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E4732" w:rsidP="007E4732">
            <w:pPr>
              <w:rPr>
                <w:rFonts w:ascii="Arial" w:hAnsi="Arial" w:cs="Arial"/>
                <w:b/>
                <w:color w:val="002C47"/>
                <w:sz w:val="36"/>
                <w:szCs w:val="36"/>
              </w:rPr>
            </w:pPr>
            <w:r>
              <w:rPr>
                <w:rFonts w:ascii="Arial" w:hAnsi="Arial" w:cs="Arial"/>
                <w:b/>
                <w:color w:val="002C47"/>
                <w:sz w:val="36"/>
                <w:szCs w:val="36"/>
              </w:rPr>
              <w:t>March</w:t>
            </w:r>
            <w:r w:rsidR="008E7846">
              <w:rPr>
                <w:rFonts w:ascii="Arial" w:hAnsi="Arial" w:cs="Arial"/>
                <w:b/>
                <w:color w:val="002C47"/>
                <w:sz w:val="36"/>
                <w:szCs w:val="36"/>
              </w:rPr>
              <w:t xml:space="preserve"> </w:t>
            </w:r>
            <w:r>
              <w:rPr>
                <w:rFonts w:ascii="Arial" w:hAnsi="Arial" w:cs="Arial"/>
                <w:b/>
                <w:color w:val="002C47"/>
                <w:sz w:val="36"/>
                <w:szCs w:val="36"/>
              </w:rPr>
              <w:t>2010</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pPr>
            <w:r w:rsidRPr="00A964D1">
              <w:t xml:space="preserve">Australian Public Assessment Report for </w:t>
            </w:r>
            <w:proofErr w:type="spellStart"/>
            <w:r w:rsidR="007E4732" w:rsidRPr="007E4732">
              <w:t>Bevacizumab</w:t>
            </w:r>
            <w:proofErr w:type="spellEnd"/>
          </w:p>
        </w:tc>
      </w:tr>
      <w:tr w:rsidR="0032583B" w:rsidRPr="00B64760" w:rsidTr="0032583B">
        <w:tc>
          <w:tcPr>
            <w:tcW w:w="9079" w:type="dxa"/>
          </w:tcPr>
          <w:p w:rsidR="0032583B" w:rsidRPr="008E7846" w:rsidRDefault="0032583B" w:rsidP="007E4732">
            <w:pPr>
              <w:pStyle w:val="Subtitle"/>
            </w:pPr>
            <w:r w:rsidRPr="008E7846">
              <w:t xml:space="preserve">Proprietary Product Name: </w:t>
            </w:r>
            <w:proofErr w:type="spellStart"/>
            <w:r w:rsidR="007E4732" w:rsidRPr="007E4732">
              <w:t>Avastin</w:t>
            </w:r>
            <w:proofErr w:type="spellEnd"/>
          </w:p>
        </w:tc>
      </w:tr>
      <w:tr w:rsidR="0032583B" w:rsidRPr="00B64760" w:rsidTr="0032583B">
        <w:trPr>
          <w:trHeight w:val="486"/>
        </w:trPr>
        <w:tc>
          <w:tcPr>
            <w:tcW w:w="9079" w:type="dxa"/>
          </w:tcPr>
          <w:p w:rsidR="0032583B" w:rsidRPr="008E7846" w:rsidRDefault="0032583B" w:rsidP="0032583B">
            <w:pPr>
              <w:pStyle w:val="Subtitle"/>
            </w:pPr>
            <w:r w:rsidRPr="008E7846">
              <w:t>Sponsor:</w:t>
            </w:r>
            <w:r w:rsidR="007E4732">
              <w:t xml:space="preserve"> </w:t>
            </w:r>
            <w:r w:rsidR="007E4732" w:rsidRPr="007E4732">
              <w:t>Roche Products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AD3D2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F02D3" w:rsidRDefault="00544C68">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7733552" w:history="1">
            <w:r w:rsidR="00AF02D3" w:rsidRPr="00115729">
              <w:rPr>
                <w:rStyle w:val="Hyperlink"/>
                <w:noProof/>
              </w:rPr>
              <w:t>I. Introduction to product submission</w:t>
            </w:r>
            <w:r w:rsidR="00AF02D3">
              <w:rPr>
                <w:noProof/>
                <w:webHidden/>
              </w:rPr>
              <w:tab/>
            </w:r>
            <w:r w:rsidR="00AF02D3">
              <w:rPr>
                <w:noProof/>
                <w:webHidden/>
              </w:rPr>
              <w:fldChar w:fldCharType="begin"/>
            </w:r>
            <w:r w:rsidR="00AF02D3">
              <w:rPr>
                <w:noProof/>
                <w:webHidden/>
              </w:rPr>
              <w:instrText xml:space="preserve"> PAGEREF _Toc377733552 \h </w:instrText>
            </w:r>
            <w:r w:rsidR="00AF02D3">
              <w:rPr>
                <w:noProof/>
                <w:webHidden/>
              </w:rPr>
            </w:r>
            <w:r w:rsidR="00AF02D3">
              <w:rPr>
                <w:noProof/>
                <w:webHidden/>
              </w:rPr>
              <w:fldChar w:fldCharType="separate"/>
            </w:r>
            <w:r w:rsidR="00AF02D3">
              <w:rPr>
                <w:noProof/>
                <w:webHidden/>
              </w:rPr>
              <w:t>3</w:t>
            </w:r>
            <w:r w:rsidR="00AF02D3">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3" w:history="1">
            <w:r w:rsidRPr="00115729">
              <w:rPr>
                <w:rStyle w:val="Hyperlink"/>
                <w:noProof/>
                <w:lang w:eastAsia="en-AU"/>
              </w:rPr>
              <w:t>Submission details</w:t>
            </w:r>
            <w:r>
              <w:rPr>
                <w:noProof/>
                <w:webHidden/>
              </w:rPr>
              <w:tab/>
            </w:r>
            <w:r>
              <w:rPr>
                <w:noProof/>
                <w:webHidden/>
              </w:rPr>
              <w:fldChar w:fldCharType="begin"/>
            </w:r>
            <w:r>
              <w:rPr>
                <w:noProof/>
                <w:webHidden/>
              </w:rPr>
              <w:instrText xml:space="preserve"> PAGEREF _Toc377733553 \h </w:instrText>
            </w:r>
            <w:r>
              <w:rPr>
                <w:noProof/>
                <w:webHidden/>
              </w:rPr>
            </w:r>
            <w:r>
              <w:rPr>
                <w:noProof/>
                <w:webHidden/>
              </w:rPr>
              <w:fldChar w:fldCharType="separate"/>
            </w:r>
            <w:r>
              <w:rPr>
                <w:noProof/>
                <w:webHidden/>
              </w:rPr>
              <w:t>3</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4" w:history="1">
            <w:r w:rsidRPr="00115729">
              <w:rPr>
                <w:rStyle w:val="Hyperlink"/>
                <w:noProof/>
              </w:rPr>
              <w:t>Product background</w:t>
            </w:r>
            <w:r>
              <w:rPr>
                <w:noProof/>
                <w:webHidden/>
              </w:rPr>
              <w:tab/>
            </w:r>
            <w:r>
              <w:rPr>
                <w:noProof/>
                <w:webHidden/>
              </w:rPr>
              <w:fldChar w:fldCharType="begin"/>
            </w:r>
            <w:r>
              <w:rPr>
                <w:noProof/>
                <w:webHidden/>
              </w:rPr>
              <w:instrText xml:space="preserve"> PAGEREF _Toc377733554 \h </w:instrText>
            </w:r>
            <w:r>
              <w:rPr>
                <w:noProof/>
                <w:webHidden/>
              </w:rPr>
            </w:r>
            <w:r>
              <w:rPr>
                <w:noProof/>
                <w:webHidden/>
              </w:rPr>
              <w:fldChar w:fldCharType="separate"/>
            </w:r>
            <w:r>
              <w:rPr>
                <w:noProof/>
                <w:webHidden/>
              </w:rPr>
              <w:t>4</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5" w:history="1">
            <w:r w:rsidRPr="00115729">
              <w:rPr>
                <w:rStyle w:val="Hyperlink"/>
                <w:noProof/>
              </w:rPr>
              <w:t>Regulatory status</w:t>
            </w:r>
            <w:r>
              <w:rPr>
                <w:noProof/>
                <w:webHidden/>
              </w:rPr>
              <w:tab/>
            </w:r>
            <w:r>
              <w:rPr>
                <w:noProof/>
                <w:webHidden/>
              </w:rPr>
              <w:fldChar w:fldCharType="begin"/>
            </w:r>
            <w:r>
              <w:rPr>
                <w:noProof/>
                <w:webHidden/>
              </w:rPr>
              <w:instrText xml:space="preserve"> PAGEREF _Toc377733555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6" w:history="1">
            <w:r w:rsidRPr="00115729">
              <w:rPr>
                <w:rStyle w:val="Hyperlink"/>
                <w:noProof/>
              </w:rPr>
              <w:t>Product information</w:t>
            </w:r>
            <w:r>
              <w:rPr>
                <w:noProof/>
                <w:webHidden/>
              </w:rPr>
              <w:tab/>
            </w:r>
            <w:r>
              <w:rPr>
                <w:noProof/>
                <w:webHidden/>
              </w:rPr>
              <w:fldChar w:fldCharType="begin"/>
            </w:r>
            <w:r>
              <w:rPr>
                <w:noProof/>
                <w:webHidden/>
              </w:rPr>
              <w:instrText xml:space="preserve"> PAGEREF _Toc377733556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2"/>
            <w:rPr>
              <w:rFonts w:asciiTheme="minorHAnsi" w:eastAsiaTheme="minorEastAsia" w:hAnsiTheme="minorHAnsi" w:cstheme="minorBidi"/>
              <w:b w:val="0"/>
              <w:noProof/>
              <w:sz w:val="22"/>
              <w:lang w:eastAsia="en-AU"/>
            </w:rPr>
          </w:pPr>
          <w:hyperlink w:anchor="_Toc377733557" w:history="1">
            <w:r w:rsidRPr="00115729">
              <w:rPr>
                <w:rStyle w:val="Hyperlink"/>
                <w:noProof/>
              </w:rPr>
              <w:t>II. Quality findings</w:t>
            </w:r>
            <w:r>
              <w:rPr>
                <w:noProof/>
                <w:webHidden/>
              </w:rPr>
              <w:tab/>
            </w:r>
            <w:r>
              <w:rPr>
                <w:noProof/>
                <w:webHidden/>
              </w:rPr>
              <w:fldChar w:fldCharType="begin"/>
            </w:r>
            <w:r>
              <w:rPr>
                <w:noProof/>
                <w:webHidden/>
              </w:rPr>
              <w:instrText xml:space="preserve"> PAGEREF _Toc377733557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8" w:history="1">
            <w:r w:rsidRPr="00115729">
              <w:rPr>
                <w:rStyle w:val="Hyperlink"/>
                <w:noProof/>
              </w:rPr>
              <w:t>Drug product</w:t>
            </w:r>
            <w:r>
              <w:rPr>
                <w:noProof/>
                <w:webHidden/>
              </w:rPr>
              <w:tab/>
            </w:r>
            <w:r>
              <w:rPr>
                <w:noProof/>
                <w:webHidden/>
              </w:rPr>
              <w:fldChar w:fldCharType="begin"/>
            </w:r>
            <w:r>
              <w:rPr>
                <w:noProof/>
                <w:webHidden/>
              </w:rPr>
              <w:instrText xml:space="preserve"> PAGEREF _Toc377733558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59" w:history="1">
            <w:r w:rsidRPr="00115729">
              <w:rPr>
                <w:rStyle w:val="Hyperlink"/>
                <w:noProof/>
              </w:rPr>
              <w:t>Quality summary and conclusions</w:t>
            </w:r>
            <w:r>
              <w:rPr>
                <w:noProof/>
                <w:webHidden/>
              </w:rPr>
              <w:tab/>
            </w:r>
            <w:r>
              <w:rPr>
                <w:noProof/>
                <w:webHidden/>
              </w:rPr>
              <w:fldChar w:fldCharType="begin"/>
            </w:r>
            <w:r>
              <w:rPr>
                <w:noProof/>
                <w:webHidden/>
              </w:rPr>
              <w:instrText xml:space="preserve"> PAGEREF _Toc377733559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2"/>
            <w:rPr>
              <w:rFonts w:asciiTheme="minorHAnsi" w:eastAsiaTheme="minorEastAsia" w:hAnsiTheme="minorHAnsi" w:cstheme="minorBidi"/>
              <w:b w:val="0"/>
              <w:noProof/>
              <w:sz w:val="22"/>
              <w:lang w:eastAsia="en-AU"/>
            </w:rPr>
          </w:pPr>
          <w:hyperlink w:anchor="_Toc377733560" w:history="1">
            <w:r w:rsidRPr="00115729">
              <w:rPr>
                <w:rStyle w:val="Hyperlink"/>
                <w:noProof/>
              </w:rPr>
              <w:t>III. Nonclinical findings</w:t>
            </w:r>
            <w:r>
              <w:rPr>
                <w:noProof/>
                <w:webHidden/>
              </w:rPr>
              <w:tab/>
            </w:r>
            <w:r>
              <w:rPr>
                <w:noProof/>
                <w:webHidden/>
              </w:rPr>
              <w:fldChar w:fldCharType="begin"/>
            </w:r>
            <w:r>
              <w:rPr>
                <w:noProof/>
                <w:webHidden/>
              </w:rPr>
              <w:instrText xml:space="preserve"> PAGEREF _Toc377733560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1" w:history="1">
            <w:r w:rsidRPr="00115729">
              <w:rPr>
                <w:rStyle w:val="Hyperlink"/>
                <w:noProof/>
              </w:rPr>
              <w:t>Nonclinical summary and conclusions</w:t>
            </w:r>
            <w:r>
              <w:rPr>
                <w:noProof/>
                <w:webHidden/>
              </w:rPr>
              <w:tab/>
            </w:r>
            <w:r>
              <w:rPr>
                <w:noProof/>
                <w:webHidden/>
              </w:rPr>
              <w:fldChar w:fldCharType="begin"/>
            </w:r>
            <w:r>
              <w:rPr>
                <w:noProof/>
                <w:webHidden/>
              </w:rPr>
              <w:instrText xml:space="preserve"> PAGEREF _Toc377733561 \h </w:instrText>
            </w:r>
            <w:r>
              <w:rPr>
                <w:noProof/>
                <w:webHidden/>
              </w:rPr>
            </w:r>
            <w:r>
              <w:rPr>
                <w:noProof/>
                <w:webHidden/>
              </w:rPr>
              <w:fldChar w:fldCharType="separate"/>
            </w:r>
            <w:r>
              <w:rPr>
                <w:noProof/>
                <w:webHidden/>
              </w:rPr>
              <w:t>5</w:t>
            </w:r>
            <w:r>
              <w:rPr>
                <w:noProof/>
                <w:webHidden/>
              </w:rPr>
              <w:fldChar w:fldCharType="end"/>
            </w:r>
          </w:hyperlink>
        </w:p>
        <w:p w:rsidR="00AF02D3" w:rsidRDefault="00AF02D3">
          <w:pPr>
            <w:pStyle w:val="TOC2"/>
            <w:rPr>
              <w:rFonts w:asciiTheme="minorHAnsi" w:eastAsiaTheme="minorEastAsia" w:hAnsiTheme="minorHAnsi" w:cstheme="minorBidi"/>
              <w:b w:val="0"/>
              <w:noProof/>
              <w:sz w:val="22"/>
              <w:lang w:eastAsia="en-AU"/>
            </w:rPr>
          </w:pPr>
          <w:hyperlink w:anchor="_Toc377733562" w:history="1">
            <w:r w:rsidRPr="00115729">
              <w:rPr>
                <w:rStyle w:val="Hyperlink"/>
                <w:noProof/>
              </w:rPr>
              <w:t>IV. Clinical findings</w:t>
            </w:r>
            <w:r>
              <w:rPr>
                <w:noProof/>
                <w:webHidden/>
              </w:rPr>
              <w:tab/>
            </w:r>
            <w:r>
              <w:rPr>
                <w:noProof/>
                <w:webHidden/>
              </w:rPr>
              <w:fldChar w:fldCharType="begin"/>
            </w:r>
            <w:r>
              <w:rPr>
                <w:noProof/>
                <w:webHidden/>
              </w:rPr>
              <w:instrText xml:space="preserve"> PAGEREF _Toc377733562 \h </w:instrText>
            </w:r>
            <w:r>
              <w:rPr>
                <w:noProof/>
                <w:webHidden/>
              </w:rPr>
            </w:r>
            <w:r>
              <w:rPr>
                <w:noProof/>
                <w:webHidden/>
              </w:rPr>
              <w:fldChar w:fldCharType="separate"/>
            </w:r>
            <w:r>
              <w:rPr>
                <w:noProof/>
                <w:webHidden/>
              </w:rPr>
              <w:t>6</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3" w:history="1">
            <w:r w:rsidRPr="00115729">
              <w:rPr>
                <w:rStyle w:val="Hyperlink"/>
                <w:noProof/>
              </w:rPr>
              <w:t>Introduction</w:t>
            </w:r>
            <w:r>
              <w:rPr>
                <w:noProof/>
                <w:webHidden/>
              </w:rPr>
              <w:tab/>
            </w:r>
            <w:r>
              <w:rPr>
                <w:noProof/>
                <w:webHidden/>
              </w:rPr>
              <w:fldChar w:fldCharType="begin"/>
            </w:r>
            <w:r>
              <w:rPr>
                <w:noProof/>
                <w:webHidden/>
              </w:rPr>
              <w:instrText xml:space="preserve"> PAGEREF _Toc377733563 \h </w:instrText>
            </w:r>
            <w:r>
              <w:rPr>
                <w:noProof/>
                <w:webHidden/>
              </w:rPr>
            </w:r>
            <w:r>
              <w:rPr>
                <w:noProof/>
                <w:webHidden/>
              </w:rPr>
              <w:fldChar w:fldCharType="separate"/>
            </w:r>
            <w:r>
              <w:rPr>
                <w:noProof/>
                <w:webHidden/>
              </w:rPr>
              <w:t>6</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4" w:history="1">
            <w:r w:rsidRPr="00115729">
              <w:rPr>
                <w:rStyle w:val="Hyperlink"/>
                <w:noProof/>
              </w:rPr>
              <w:t>Pharmacokinetics</w:t>
            </w:r>
            <w:r>
              <w:rPr>
                <w:noProof/>
                <w:webHidden/>
              </w:rPr>
              <w:tab/>
            </w:r>
            <w:r>
              <w:rPr>
                <w:noProof/>
                <w:webHidden/>
              </w:rPr>
              <w:fldChar w:fldCharType="begin"/>
            </w:r>
            <w:r>
              <w:rPr>
                <w:noProof/>
                <w:webHidden/>
              </w:rPr>
              <w:instrText xml:space="preserve"> PAGEREF _Toc377733564 \h </w:instrText>
            </w:r>
            <w:r>
              <w:rPr>
                <w:noProof/>
                <w:webHidden/>
              </w:rPr>
            </w:r>
            <w:r>
              <w:rPr>
                <w:noProof/>
                <w:webHidden/>
              </w:rPr>
              <w:fldChar w:fldCharType="separate"/>
            </w:r>
            <w:r>
              <w:rPr>
                <w:noProof/>
                <w:webHidden/>
              </w:rPr>
              <w:t>6</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5" w:history="1">
            <w:r w:rsidRPr="00115729">
              <w:rPr>
                <w:rStyle w:val="Hyperlink"/>
                <w:noProof/>
              </w:rPr>
              <w:t>Pharmacodynamics</w:t>
            </w:r>
            <w:r>
              <w:rPr>
                <w:noProof/>
                <w:webHidden/>
              </w:rPr>
              <w:tab/>
            </w:r>
            <w:r>
              <w:rPr>
                <w:noProof/>
                <w:webHidden/>
              </w:rPr>
              <w:fldChar w:fldCharType="begin"/>
            </w:r>
            <w:r>
              <w:rPr>
                <w:noProof/>
                <w:webHidden/>
              </w:rPr>
              <w:instrText xml:space="preserve"> PAGEREF _Toc377733565 \h </w:instrText>
            </w:r>
            <w:r>
              <w:rPr>
                <w:noProof/>
                <w:webHidden/>
              </w:rPr>
            </w:r>
            <w:r>
              <w:rPr>
                <w:noProof/>
                <w:webHidden/>
              </w:rPr>
              <w:fldChar w:fldCharType="separate"/>
            </w:r>
            <w:r>
              <w:rPr>
                <w:noProof/>
                <w:webHidden/>
              </w:rPr>
              <w:t>6</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6" w:history="1">
            <w:r w:rsidRPr="00115729">
              <w:rPr>
                <w:rStyle w:val="Hyperlink"/>
                <w:noProof/>
              </w:rPr>
              <w:t>Efficacy</w:t>
            </w:r>
            <w:r>
              <w:rPr>
                <w:noProof/>
                <w:webHidden/>
              </w:rPr>
              <w:tab/>
            </w:r>
            <w:r>
              <w:rPr>
                <w:noProof/>
                <w:webHidden/>
              </w:rPr>
              <w:fldChar w:fldCharType="begin"/>
            </w:r>
            <w:r>
              <w:rPr>
                <w:noProof/>
                <w:webHidden/>
              </w:rPr>
              <w:instrText xml:space="preserve"> PAGEREF _Toc377733566 \h </w:instrText>
            </w:r>
            <w:r>
              <w:rPr>
                <w:noProof/>
                <w:webHidden/>
              </w:rPr>
            </w:r>
            <w:r>
              <w:rPr>
                <w:noProof/>
                <w:webHidden/>
              </w:rPr>
              <w:fldChar w:fldCharType="separate"/>
            </w:r>
            <w:r>
              <w:rPr>
                <w:noProof/>
                <w:webHidden/>
              </w:rPr>
              <w:t>6</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7" w:history="1">
            <w:r w:rsidRPr="00115729">
              <w:rPr>
                <w:rStyle w:val="Hyperlink"/>
                <w:noProof/>
              </w:rPr>
              <w:t>Safety</w:t>
            </w:r>
            <w:r>
              <w:rPr>
                <w:noProof/>
                <w:webHidden/>
              </w:rPr>
              <w:tab/>
            </w:r>
            <w:r>
              <w:rPr>
                <w:noProof/>
                <w:webHidden/>
              </w:rPr>
              <w:fldChar w:fldCharType="begin"/>
            </w:r>
            <w:r>
              <w:rPr>
                <w:noProof/>
                <w:webHidden/>
              </w:rPr>
              <w:instrText xml:space="preserve"> PAGEREF _Toc377733567 \h </w:instrText>
            </w:r>
            <w:r>
              <w:rPr>
                <w:noProof/>
                <w:webHidden/>
              </w:rPr>
            </w:r>
            <w:r>
              <w:rPr>
                <w:noProof/>
                <w:webHidden/>
              </w:rPr>
              <w:fldChar w:fldCharType="separate"/>
            </w:r>
            <w:r>
              <w:rPr>
                <w:noProof/>
                <w:webHidden/>
              </w:rPr>
              <w:t>27</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68" w:history="1">
            <w:r w:rsidRPr="00115729">
              <w:rPr>
                <w:rStyle w:val="Hyperlink"/>
                <w:noProof/>
              </w:rPr>
              <w:t>Clinical summary and conclusions</w:t>
            </w:r>
            <w:r>
              <w:rPr>
                <w:noProof/>
                <w:webHidden/>
              </w:rPr>
              <w:tab/>
            </w:r>
            <w:r>
              <w:rPr>
                <w:noProof/>
                <w:webHidden/>
              </w:rPr>
              <w:fldChar w:fldCharType="begin"/>
            </w:r>
            <w:r>
              <w:rPr>
                <w:noProof/>
                <w:webHidden/>
              </w:rPr>
              <w:instrText xml:space="preserve"> PAGEREF _Toc377733568 \h </w:instrText>
            </w:r>
            <w:r>
              <w:rPr>
                <w:noProof/>
                <w:webHidden/>
              </w:rPr>
            </w:r>
            <w:r>
              <w:rPr>
                <w:noProof/>
                <w:webHidden/>
              </w:rPr>
              <w:fldChar w:fldCharType="separate"/>
            </w:r>
            <w:r>
              <w:rPr>
                <w:noProof/>
                <w:webHidden/>
              </w:rPr>
              <w:t>31</w:t>
            </w:r>
            <w:r>
              <w:rPr>
                <w:noProof/>
                <w:webHidden/>
              </w:rPr>
              <w:fldChar w:fldCharType="end"/>
            </w:r>
          </w:hyperlink>
        </w:p>
        <w:p w:rsidR="00AF02D3" w:rsidRDefault="00AF02D3">
          <w:pPr>
            <w:pStyle w:val="TOC2"/>
            <w:rPr>
              <w:rFonts w:asciiTheme="minorHAnsi" w:eastAsiaTheme="minorEastAsia" w:hAnsiTheme="minorHAnsi" w:cstheme="minorBidi"/>
              <w:b w:val="0"/>
              <w:noProof/>
              <w:sz w:val="22"/>
              <w:lang w:eastAsia="en-AU"/>
            </w:rPr>
          </w:pPr>
          <w:hyperlink w:anchor="_Toc377733569" w:history="1">
            <w:r w:rsidRPr="00115729">
              <w:rPr>
                <w:rStyle w:val="Hyperlink"/>
                <w:noProof/>
              </w:rPr>
              <w:t>V. Pharmacovigilance findings</w:t>
            </w:r>
            <w:r>
              <w:rPr>
                <w:noProof/>
                <w:webHidden/>
              </w:rPr>
              <w:tab/>
            </w:r>
            <w:r>
              <w:rPr>
                <w:noProof/>
                <w:webHidden/>
              </w:rPr>
              <w:fldChar w:fldCharType="begin"/>
            </w:r>
            <w:r>
              <w:rPr>
                <w:noProof/>
                <w:webHidden/>
              </w:rPr>
              <w:instrText xml:space="preserve"> PAGEREF _Toc377733569 \h </w:instrText>
            </w:r>
            <w:r>
              <w:rPr>
                <w:noProof/>
                <w:webHidden/>
              </w:rPr>
            </w:r>
            <w:r>
              <w:rPr>
                <w:noProof/>
                <w:webHidden/>
              </w:rPr>
              <w:fldChar w:fldCharType="separate"/>
            </w:r>
            <w:r>
              <w:rPr>
                <w:noProof/>
                <w:webHidden/>
              </w:rPr>
              <w:t>33</w:t>
            </w:r>
            <w:r>
              <w:rPr>
                <w:noProof/>
                <w:webHidden/>
              </w:rPr>
              <w:fldChar w:fldCharType="end"/>
            </w:r>
          </w:hyperlink>
        </w:p>
        <w:p w:rsidR="00AF02D3" w:rsidRDefault="00AF02D3">
          <w:pPr>
            <w:pStyle w:val="TOC2"/>
            <w:rPr>
              <w:rFonts w:asciiTheme="minorHAnsi" w:eastAsiaTheme="minorEastAsia" w:hAnsiTheme="minorHAnsi" w:cstheme="minorBidi"/>
              <w:b w:val="0"/>
              <w:noProof/>
              <w:sz w:val="22"/>
              <w:lang w:eastAsia="en-AU"/>
            </w:rPr>
          </w:pPr>
          <w:hyperlink w:anchor="_Toc377733570" w:history="1">
            <w:r w:rsidRPr="00115729">
              <w:rPr>
                <w:rStyle w:val="Hyperlink"/>
                <w:noProof/>
              </w:rPr>
              <w:t>VI. Overall conclusion and risk/benefit assessment</w:t>
            </w:r>
            <w:r>
              <w:rPr>
                <w:noProof/>
                <w:webHidden/>
              </w:rPr>
              <w:tab/>
            </w:r>
            <w:r>
              <w:rPr>
                <w:noProof/>
                <w:webHidden/>
              </w:rPr>
              <w:fldChar w:fldCharType="begin"/>
            </w:r>
            <w:r>
              <w:rPr>
                <w:noProof/>
                <w:webHidden/>
              </w:rPr>
              <w:instrText xml:space="preserve"> PAGEREF _Toc377733570 \h </w:instrText>
            </w:r>
            <w:r>
              <w:rPr>
                <w:noProof/>
                <w:webHidden/>
              </w:rPr>
            </w:r>
            <w:r>
              <w:rPr>
                <w:noProof/>
                <w:webHidden/>
              </w:rPr>
              <w:fldChar w:fldCharType="separate"/>
            </w:r>
            <w:r>
              <w:rPr>
                <w:noProof/>
                <w:webHidden/>
              </w:rPr>
              <w:t>33</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71" w:history="1">
            <w:r w:rsidRPr="00115729">
              <w:rPr>
                <w:rStyle w:val="Hyperlink"/>
                <w:noProof/>
              </w:rPr>
              <w:t>Quality</w:t>
            </w:r>
            <w:r>
              <w:rPr>
                <w:noProof/>
                <w:webHidden/>
              </w:rPr>
              <w:tab/>
            </w:r>
            <w:r>
              <w:rPr>
                <w:noProof/>
                <w:webHidden/>
              </w:rPr>
              <w:fldChar w:fldCharType="begin"/>
            </w:r>
            <w:r>
              <w:rPr>
                <w:noProof/>
                <w:webHidden/>
              </w:rPr>
              <w:instrText xml:space="preserve"> PAGEREF _Toc377733571 \h </w:instrText>
            </w:r>
            <w:r>
              <w:rPr>
                <w:noProof/>
                <w:webHidden/>
              </w:rPr>
            </w:r>
            <w:r>
              <w:rPr>
                <w:noProof/>
                <w:webHidden/>
              </w:rPr>
              <w:fldChar w:fldCharType="separate"/>
            </w:r>
            <w:r>
              <w:rPr>
                <w:noProof/>
                <w:webHidden/>
              </w:rPr>
              <w:t>33</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72" w:history="1">
            <w:r w:rsidRPr="00115729">
              <w:rPr>
                <w:rStyle w:val="Hyperlink"/>
                <w:noProof/>
              </w:rPr>
              <w:t>Nonclinical</w:t>
            </w:r>
            <w:r>
              <w:rPr>
                <w:noProof/>
                <w:webHidden/>
              </w:rPr>
              <w:tab/>
            </w:r>
            <w:r>
              <w:rPr>
                <w:noProof/>
                <w:webHidden/>
              </w:rPr>
              <w:fldChar w:fldCharType="begin"/>
            </w:r>
            <w:r>
              <w:rPr>
                <w:noProof/>
                <w:webHidden/>
              </w:rPr>
              <w:instrText xml:space="preserve"> PAGEREF _Toc377733572 \h </w:instrText>
            </w:r>
            <w:r>
              <w:rPr>
                <w:noProof/>
                <w:webHidden/>
              </w:rPr>
            </w:r>
            <w:r>
              <w:rPr>
                <w:noProof/>
                <w:webHidden/>
              </w:rPr>
              <w:fldChar w:fldCharType="separate"/>
            </w:r>
            <w:r>
              <w:rPr>
                <w:noProof/>
                <w:webHidden/>
              </w:rPr>
              <w:t>33</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73" w:history="1">
            <w:r w:rsidRPr="00115729">
              <w:rPr>
                <w:rStyle w:val="Hyperlink"/>
                <w:noProof/>
              </w:rPr>
              <w:t>Clinical</w:t>
            </w:r>
            <w:r>
              <w:rPr>
                <w:noProof/>
                <w:webHidden/>
              </w:rPr>
              <w:tab/>
            </w:r>
            <w:r>
              <w:rPr>
                <w:noProof/>
                <w:webHidden/>
              </w:rPr>
              <w:fldChar w:fldCharType="begin"/>
            </w:r>
            <w:r>
              <w:rPr>
                <w:noProof/>
                <w:webHidden/>
              </w:rPr>
              <w:instrText xml:space="preserve"> PAGEREF _Toc377733573 \h </w:instrText>
            </w:r>
            <w:r>
              <w:rPr>
                <w:noProof/>
                <w:webHidden/>
              </w:rPr>
            </w:r>
            <w:r>
              <w:rPr>
                <w:noProof/>
                <w:webHidden/>
              </w:rPr>
              <w:fldChar w:fldCharType="separate"/>
            </w:r>
            <w:r>
              <w:rPr>
                <w:noProof/>
                <w:webHidden/>
              </w:rPr>
              <w:t>33</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74" w:history="1">
            <w:r w:rsidRPr="00115729">
              <w:rPr>
                <w:rStyle w:val="Hyperlink"/>
                <w:noProof/>
              </w:rPr>
              <w:t>Risk-benefit analysis</w:t>
            </w:r>
            <w:r>
              <w:rPr>
                <w:noProof/>
                <w:webHidden/>
              </w:rPr>
              <w:tab/>
            </w:r>
            <w:r>
              <w:rPr>
                <w:noProof/>
                <w:webHidden/>
              </w:rPr>
              <w:fldChar w:fldCharType="begin"/>
            </w:r>
            <w:r>
              <w:rPr>
                <w:noProof/>
                <w:webHidden/>
              </w:rPr>
              <w:instrText xml:space="preserve"> PAGEREF _Toc377733574 \h </w:instrText>
            </w:r>
            <w:r>
              <w:rPr>
                <w:noProof/>
                <w:webHidden/>
              </w:rPr>
            </w:r>
            <w:r>
              <w:rPr>
                <w:noProof/>
                <w:webHidden/>
              </w:rPr>
              <w:fldChar w:fldCharType="separate"/>
            </w:r>
            <w:r>
              <w:rPr>
                <w:noProof/>
                <w:webHidden/>
              </w:rPr>
              <w:t>37</w:t>
            </w:r>
            <w:r>
              <w:rPr>
                <w:noProof/>
                <w:webHidden/>
              </w:rPr>
              <w:fldChar w:fldCharType="end"/>
            </w:r>
          </w:hyperlink>
        </w:p>
        <w:p w:rsidR="00AF02D3" w:rsidRDefault="00AF02D3">
          <w:pPr>
            <w:pStyle w:val="TOC3"/>
            <w:rPr>
              <w:rFonts w:asciiTheme="minorHAnsi" w:eastAsiaTheme="minorEastAsia" w:hAnsiTheme="minorHAnsi" w:cstheme="minorBidi"/>
              <w:noProof/>
              <w:lang w:eastAsia="en-AU"/>
            </w:rPr>
          </w:pPr>
          <w:hyperlink w:anchor="_Toc377733575" w:history="1">
            <w:r w:rsidRPr="00115729">
              <w:rPr>
                <w:rStyle w:val="Hyperlink"/>
                <w:noProof/>
              </w:rPr>
              <w:t>Outcome</w:t>
            </w:r>
            <w:r>
              <w:rPr>
                <w:noProof/>
                <w:webHidden/>
              </w:rPr>
              <w:tab/>
            </w:r>
            <w:r>
              <w:rPr>
                <w:noProof/>
                <w:webHidden/>
              </w:rPr>
              <w:fldChar w:fldCharType="begin"/>
            </w:r>
            <w:r>
              <w:rPr>
                <w:noProof/>
                <w:webHidden/>
              </w:rPr>
              <w:instrText xml:space="preserve"> PAGEREF _Toc377733575 \h </w:instrText>
            </w:r>
            <w:r>
              <w:rPr>
                <w:noProof/>
                <w:webHidden/>
              </w:rPr>
            </w:r>
            <w:r>
              <w:rPr>
                <w:noProof/>
                <w:webHidden/>
              </w:rPr>
              <w:fldChar w:fldCharType="separate"/>
            </w:r>
            <w:r>
              <w:rPr>
                <w:noProof/>
                <w:webHidden/>
              </w:rPr>
              <w:t>39</w:t>
            </w:r>
            <w:r>
              <w:rPr>
                <w:noProof/>
                <w:webHidden/>
              </w:rPr>
              <w:fldChar w:fldCharType="end"/>
            </w:r>
          </w:hyperlink>
        </w:p>
        <w:p w:rsidR="00AF02D3" w:rsidRDefault="00AF02D3">
          <w:pPr>
            <w:pStyle w:val="TOC2"/>
            <w:tabs>
              <w:tab w:val="left" w:pos="2448"/>
            </w:tabs>
            <w:rPr>
              <w:rFonts w:asciiTheme="minorHAnsi" w:eastAsiaTheme="minorEastAsia" w:hAnsiTheme="minorHAnsi" w:cstheme="minorBidi"/>
              <w:b w:val="0"/>
              <w:noProof/>
              <w:sz w:val="22"/>
              <w:lang w:eastAsia="en-AU"/>
            </w:rPr>
          </w:pPr>
          <w:hyperlink w:anchor="_Toc377733576" w:history="1">
            <w:r w:rsidRPr="00115729">
              <w:rPr>
                <w:rStyle w:val="Hyperlink"/>
                <w:noProof/>
              </w:rPr>
              <w:t>Attachment 1.</w:t>
            </w:r>
            <w:r>
              <w:rPr>
                <w:rFonts w:asciiTheme="minorHAnsi" w:eastAsiaTheme="minorEastAsia" w:hAnsiTheme="minorHAnsi" w:cstheme="minorBidi"/>
                <w:b w:val="0"/>
                <w:noProof/>
                <w:sz w:val="22"/>
                <w:lang w:eastAsia="en-AU"/>
              </w:rPr>
              <w:tab/>
            </w:r>
            <w:r w:rsidRPr="00115729">
              <w:rPr>
                <w:rStyle w:val="Hyperlink"/>
                <w:noProof/>
              </w:rPr>
              <w:t>Product Information</w:t>
            </w:r>
            <w:r>
              <w:rPr>
                <w:noProof/>
                <w:webHidden/>
              </w:rPr>
              <w:tab/>
            </w:r>
            <w:r>
              <w:rPr>
                <w:noProof/>
                <w:webHidden/>
              </w:rPr>
              <w:fldChar w:fldCharType="begin"/>
            </w:r>
            <w:r>
              <w:rPr>
                <w:noProof/>
                <w:webHidden/>
              </w:rPr>
              <w:instrText xml:space="preserve"> PAGEREF _Toc377733576 \h </w:instrText>
            </w:r>
            <w:r>
              <w:rPr>
                <w:noProof/>
                <w:webHidden/>
              </w:rPr>
            </w:r>
            <w:r>
              <w:rPr>
                <w:noProof/>
                <w:webHidden/>
              </w:rPr>
              <w:fldChar w:fldCharType="separate"/>
            </w:r>
            <w:r>
              <w:rPr>
                <w:noProof/>
                <w:webHidden/>
              </w:rPr>
              <w:t>39</w:t>
            </w:r>
            <w:r>
              <w:rPr>
                <w:noProof/>
                <w:webHidden/>
              </w:rPr>
              <w:fldChar w:fldCharType="end"/>
            </w:r>
          </w:hyperlink>
        </w:p>
        <w:p w:rsidR="003A7F6C" w:rsidRPr="00B811C6" w:rsidRDefault="00544C68" w:rsidP="00B811C6">
          <w:pPr>
            <w:pStyle w:val="TOC2"/>
          </w:pPr>
          <w:r>
            <w:fldChar w:fldCharType="end"/>
          </w:r>
        </w:p>
      </w:sdtContent>
    </w:sdt>
    <w:bookmarkStart w:id="2" w:name="_Toc314842482" w:displacedByCustomXml="prev"/>
    <w:p w:rsidR="008E7846" w:rsidRDefault="00F53C07" w:rsidP="008E7846">
      <w:pPr>
        <w:pStyle w:val="Heading2"/>
      </w:pPr>
      <w:bookmarkStart w:id="3" w:name="_Toc377733552"/>
      <w:r>
        <w:t>I.</w:t>
      </w:r>
      <w:r w:rsidR="008E7846">
        <w:t xml:space="preserve"> Introduction to product submission</w:t>
      </w:r>
      <w:bookmarkEnd w:id="2"/>
      <w:bookmarkEnd w:id="0"/>
      <w:bookmarkEnd w:id="3"/>
    </w:p>
    <w:p w:rsidR="008E7846" w:rsidRDefault="008E7846" w:rsidP="008E7846">
      <w:pPr>
        <w:pStyle w:val="Heading3"/>
        <w:rPr>
          <w:lang w:eastAsia="en-AU"/>
        </w:rPr>
      </w:pPr>
      <w:bookmarkStart w:id="4" w:name="_Toc247691502"/>
      <w:bookmarkStart w:id="5" w:name="_Toc314842483"/>
      <w:bookmarkStart w:id="6" w:name="_Toc377733553"/>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AD3D23">
        <w:trPr>
          <w:trHeight w:hRule="exact" w:val="454"/>
        </w:trPr>
        <w:tc>
          <w:tcPr>
            <w:tcW w:w="2907" w:type="dxa"/>
          </w:tcPr>
          <w:p w:rsidR="008E7846" w:rsidRPr="003D1E62" w:rsidRDefault="008E7846" w:rsidP="00AD3D23">
            <w:pPr>
              <w:rPr>
                <w:i/>
              </w:rPr>
            </w:pPr>
            <w:r w:rsidRPr="003D1E62">
              <w:rPr>
                <w:i/>
              </w:rPr>
              <w:t xml:space="preserve">Type of </w:t>
            </w:r>
            <w:r w:rsidR="00AD3D23">
              <w:rPr>
                <w:i/>
              </w:rPr>
              <w:t>s</w:t>
            </w:r>
            <w:r w:rsidRPr="003D1E62">
              <w:rPr>
                <w:i/>
              </w:rPr>
              <w:t>ubmission</w:t>
            </w:r>
            <w:r w:rsidR="00AD3D23">
              <w:rPr>
                <w:i/>
              </w:rPr>
              <w:t>:</w:t>
            </w:r>
          </w:p>
        </w:tc>
        <w:tc>
          <w:tcPr>
            <w:tcW w:w="6590" w:type="dxa"/>
          </w:tcPr>
          <w:p w:rsidR="008E7846" w:rsidRPr="003D1E62" w:rsidRDefault="00AD3D23" w:rsidP="003D1E62">
            <w:r>
              <w:t>Extension of Indication</w:t>
            </w:r>
          </w:p>
        </w:tc>
      </w:tr>
      <w:tr w:rsidR="008E7846" w:rsidRPr="003D1E62" w:rsidTr="00AD3D23">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AD3D23">
            <w:r w:rsidRPr="003D1E62">
              <w:t>Approved</w:t>
            </w:r>
          </w:p>
        </w:tc>
      </w:tr>
      <w:tr w:rsidR="008E7846" w:rsidRPr="003D1E62" w:rsidTr="00AD3D23">
        <w:trPr>
          <w:trHeight w:hRule="exact" w:val="454"/>
        </w:trPr>
        <w:tc>
          <w:tcPr>
            <w:tcW w:w="2907" w:type="dxa"/>
          </w:tcPr>
          <w:p w:rsidR="008E7846" w:rsidRPr="003D1E62" w:rsidRDefault="00AD3D23" w:rsidP="003D1E62">
            <w:pPr>
              <w:rPr>
                <w:i/>
              </w:rPr>
            </w:pPr>
            <w:r>
              <w:rPr>
                <w:i/>
              </w:rPr>
              <w:t>Date of d</w:t>
            </w:r>
            <w:r w:rsidR="008E7846" w:rsidRPr="003D1E62">
              <w:rPr>
                <w:i/>
              </w:rPr>
              <w:t>ecision:</w:t>
            </w:r>
          </w:p>
        </w:tc>
        <w:tc>
          <w:tcPr>
            <w:tcW w:w="6590" w:type="dxa"/>
          </w:tcPr>
          <w:p w:rsidR="008E7846" w:rsidRPr="003D1E62" w:rsidRDefault="00AD3D23" w:rsidP="003D1E62">
            <w:r>
              <w:t>10 February 2010</w:t>
            </w:r>
          </w:p>
        </w:tc>
      </w:tr>
      <w:tr w:rsidR="008E7846" w:rsidRPr="00487162" w:rsidTr="00183382">
        <w:tc>
          <w:tcPr>
            <w:tcW w:w="2907" w:type="dxa"/>
          </w:tcPr>
          <w:p w:rsidR="008E7846" w:rsidRPr="00487162" w:rsidRDefault="008E7846" w:rsidP="00AD3D23">
            <w:pPr>
              <w:rPr>
                <w:i/>
              </w:rPr>
            </w:pPr>
            <w:r w:rsidRPr="00487162">
              <w:rPr>
                <w:i/>
              </w:rPr>
              <w:t>Active ingredient:</w:t>
            </w:r>
          </w:p>
        </w:tc>
        <w:tc>
          <w:tcPr>
            <w:tcW w:w="6590" w:type="dxa"/>
          </w:tcPr>
          <w:p w:rsidR="008E7846" w:rsidRPr="00487162" w:rsidRDefault="00183382" w:rsidP="00E45619">
            <w:proofErr w:type="spellStart"/>
            <w:r w:rsidRPr="00183382">
              <w:t>Bevacizumab</w:t>
            </w:r>
            <w:proofErr w:type="spellEnd"/>
          </w:p>
        </w:tc>
      </w:tr>
      <w:tr w:rsidR="008E7846" w:rsidRPr="00487162" w:rsidTr="00183382">
        <w:tc>
          <w:tcPr>
            <w:tcW w:w="2907" w:type="dxa"/>
          </w:tcPr>
          <w:p w:rsidR="008E7846" w:rsidRPr="00487162" w:rsidRDefault="00183382" w:rsidP="00183382">
            <w:pPr>
              <w:rPr>
                <w:i/>
              </w:rPr>
            </w:pPr>
            <w:r>
              <w:rPr>
                <w:i/>
              </w:rPr>
              <w:lastRenderedPageBreak/>
              <w:t>Product n</w:t>
            </w:r>
            <w:r w:rsidR="008E7846" w:rsidRPr="00487162">
              <w:rPr>
                <w:i/>
              </w:rPr>
              <w:t>ame:</w:t>
            </w:r>
          </w:p>
        </w:tc>
        <w:tc>
          <w:tcPr>
            <w:tcW w:w="6590" w:type="dxa"/>
          </w:tcPr>
          <w:p w:rsidR="008E7846" w:rsidRPr="00487162" w:rsidRDefault="00183382" w:rsidP="00E45619">
            <w:proofErr w:type="spellStart"/>
            <w:r w:rsidRPr="00183382">
              <w:t>Avastin</w:t>
            </w:r>
            <w:proofErr w:type="spellEnd"/>
          </w:p>
        </w:tc>
      </w:tr>
      <w:tr w:rsidR="008E7846" w:rsidRPr="00487162" w:rsidTr="00183382">
        <w:tc>
          <w:tcPr>
            <w:tcW w:w="2907" w:type="dxa"/>
          </w:tcPr>
          <w:p w:rsidR="008E7846" w:rsidRPr="00487162" w:rsidRDefault="008E7846" w:rsidP="00183382">
            <w:pPr>
              <w:rPr>
                <w:i/>
              </w:rPr>
            </w:pPr>
            <w:r w:rsidRPr="00487162">
              <w:rPr>
                <w:i/>
              </w:rPr>
              <w:t xml:space="preserve">Sponsor’s </w:t>
            </w:r>
            <w:r w:rsidR="00183382">
              <w:rPr>
                <w:i/>
              </w:rPr>
              <w:t>n</w:t>
            </w:r>
            <w:r w:rsidRPr="00487162">
              <w:rPr>
                <w:i/>
              </w:rPr>
              <w:t xml:space="preserve">ame and </w:t>
            </w:r>
            <w:r w:rsidR="00183382">
              <w:rPr>
                <w:i/>
              </w:rPr>
              <w:t>a</w:t>
            </w:r>
            <w:r w:rsidRPr="00487162">
              <w:rPr>
                <w:i/>
              </w:rPr>
              <w:t>ddress:</w:t>
            </w:r>
          </w:p>
        </w:tc>
        <w:tc>
          <w:tcPr>
            <w:tcW w:w="6590" w:type="dxa"/>
          </w:tcPr>
          <w:p w:rsidR="008E7846" w:rsidRPr="00487162" w:rsidRDefault="00183382" w:rsidP="00183382">
            <w:r>
              <w:t>Roche Products Pty Ltd</w:t>
            </w:r>
            <w:r>
              <w:br/>
              <w:t>4-10 Inman Road</w:t>
            </w:r>
            <w:r>
              <w:br/>
              <w:t>Dee Why NSW 2099</w:t>
            </w:r>
          </w:p>
        </w:tc>
      </w:tr>
      <w:tr w:rsidR="008E7846" w:rsidRPr="00487162" w:rsidTr="00183382">
        <w:tc>
          <w:tcPr>
            <w:tcW w:w="2907" w:type="dxa"/>
          </w:tcPr>
          <w:p w:rsidR="008E7846" w:rsidRPr="00487162" w:rsidRDefault="008E7846" w:rsidP="00183382">
            <w:pPr>
              <w:rPr>
                <w:i/>
              </w:rPr>
            </w:pPr>
            <w:r w:rsidRPr="00487162">
              <w:rPr>
                <w:i/>
              </w:rPr>
              <w:t>Dose form:</w:t>
            </w:r>
          </w:p>
        </w:tc>
        <w:tc>
          <w:tcPr>
            <w:tcW w:w="6590" w:type="dxa"/>
          </w:tcPr>
          <w:p w:rsidR="008E7846" w:rsidRPr="00487162" w:rsidRDefault="00183382" w:rsidP="00E45619">
            <w:r w:rsidRPr="00183382">
              <w:t>Solution for IV infusion</w:t>
            </w:r>
          </w:p>
        </w:tc>
      </w:tr>
      <w:tr w:rsidR="008E7846" w:rsidRPr="00487162" w:rsidTr="00183382">
        <w:tc>
          <w:tcPr>
            <w:tcW w:w="2907" w:type="dxa"/>
          </w:tcPr>
          <w:p w:rsidR="008E7846" w:rsidRPr="00487162" w:rsidRDefault="008E7846" w:rsidP="00183382">
            <w:pPr>
              <w:rPr>
                <w:i/>
              </w:rPr>
            </w:pPr>
            <w:r w:rsidRPr="00487162">
              <w:rPr>
                <w:i/>
              </w:rPr>
              <w:t>Strengths:</w:t>
            </w:r>
          </w:p>
        </w:tc>
        <w:tc>
          <w:tcPr>
            <w:tcW w:w="6590" w:type="dxa"/>
          </w:tcPr>
          <w:p w:rsidR="008E7846" w:rsidRPr="00487162" w:rsidRDefault="00183382" w:rsidP="00E45619">
            <w:r w:rsidRPr="00183382">
              <w:t xml:space="preserve">4 </w:t>
            </w:r>
            <w:proofErr w:type="spellStart"/>
            <w:r w:rsidRPr="00183382">
              <w:t>mL</w:t>
            </w:r>
            <w:proofErr w:type="spellEnd"/>
            <w:r w:rsidRPr="00183382">
              <w:t xml:space="preserve"> and 16 </w:t>
            </w:r>
            <w:proofErr w:type="spellStart"/>
            <w:r w:rsidRPr="00183382">
              <w:t>mL</w:t>
            </w:r>
            <w:proofErr w:type="spellEnd"/>
          </w:p>
        </w:tc>
      </w:tr>
      <w:tr w:rsidR="008E7846" w:rsidRPr="00487162" w:rsidTr="00183382">
        <w:tc>
          <w:tcPr>
            <w:tcW w:w="2907" w:type="dxa"/>
          </w:tcPr>
          <w:p w:rsidR="008E7846" w:rsidRPr="00487162" w:rsidRDefault="008E7846" w:rsidP="00183382">
            <w:pPr>
              <w:rPr>
                <w:i/>
              </w:rPr>
            </w:pPr>
            <w:r w:rsidRPr="00487162">
              <w:rPr>
                <w:i/>
              </w:rPr>
              <w:t>Container:</w:t>
            </w:r>
          </w:p>
        </w:tc>
        <w:tc>
          <w:tcPr>
            <w:tcW w:w="6590" w:type="dxa"/>
          </w:tcPr>
          <w:p w:rsidR="008E7846" w:rsidRPr="00487162" w:rsidRDefault="00183382" w:rsidP="00E45619">
            <w:r w:rsidRPr="00183382">
              <w:t>Glass vials</w:t>
            </w:r>
          </w:p>
        </w:tc>
      </w:tr>
      <w:tr w:rsidR="008E7846" w:rsidRPr="00487162" w:rsidTr="00183382">
        <w:tc>
          <w:tcPr>
            <w:tcW w:w="2907" w:type="dxa"/>
          </w:tcPr>
          <w:p w:rsidR="008E7846" w:rsidRPr="00487162" w:rsidRDefault="008E7846" w:rsidP="00183382">
            <w:pPr>
              <w:rPr>
                <w:i/>
              </w:rPr>
            </w:pPr>
            <w:r w:rsidRPr="00487162">
              <w:rPr>
                <w:i/>
              </w:rPr>
              <w:t>Pack sizes:</w:t>
            </w:r>
          </w:p>
        </w:tc>
        <w:tc>
          <w:tcPr>
            <w:tcW w:w="6590" w:type="dxa"/>
          </w:tcPr>
          <w:p w:rsidR="00183382" w:rsidRDefault="00183382" w:rsidP="00183382">
            <w:r>
              <w:t xml:space="preserve">100 mg pack containing one 4 </w:t>
            </w:r>
            <w:proofErr w:type="spellStart"/>
            <w:r>
              <w:t>mL</w:t>
            </w:r>
            <w:proofErr w:type="spellEnd"/>
            <w:r>
              <w:t xml:space="preserve"> single-dose vial</w:t>
            </w:r>
          </w:p>
          <w:p w:rsidR="008E7846" w:rsidRPr="00487162" w:rsidRDefault="00183382" w:rsidP="00183382">
            <w:r>
              <w:t xml:space="preserve">400 mg pack containing one 16 </w:t>
            </w:r>
            <w:proofErr w:type="spellStart"/>
            <w:r>
              <w:t>mL</w:t>
            </w:r>
            <w:proofErr w:type="spellEnd"/>
            <w:r>
              <w:t xml:space="preserve"> single-dose vial</w:t>
            </w:r>
          </w:p>
        </w:tc>
      </w:tr>
      <w:tr w:rsidR="008E7846" w:rsidRPr="00487162" w:rsidTr="00183382">
        <w:tc>
          <w:tcPr>
            <w:tcW w:w="2907" w:type="dxa"/>
          </w:tcPr>
          <w:p w:rsidR="008E7846" w:rsidRPr="00487162" w:rsidRDefault="00183382" w:rsidP="00E45619">
            <w:pPr>
              <w:rPr>
                <w:i/>
              </w:rPr>
            </w:pPr>
            <w:r>
              <w:rPr>
                <w:i/>
              </w:rPr>
              <w:t>Approved t</w:t>
            </w:r>
            <w:r w:rsidR="008E7846" w:rsidRPr="00487162">
              <w:rPr>
                <w:i/>
              </w:rPr>
              <w:t>herapeutic use:</w:t>
            </w:r>
          </w:p>
        </w:tc>
        <w:tc>
          <w:tcPr>
            <w:tcW w:w="6590" w:type="dxa"/>
          </w:tcPr>
          <w:p w:rsidR="008E7846" w:rsidRPr="00487162" w:rsidRDefault="00183382" w:rsidP="00E45619">
            <w:pPr>
              <w:rPr>
                <w:rFonts w:eastAsia="MS Mincho"/>
                <w:lang w:eastAsia="ja-JP"/>
              </w:rPr>
            </w:pPr>
            <w:r w:rsidRPr="00183382">
              <w:t xml:space="preserve">As a single agent, for the treatment of patients with Grade IV </w:t>
            </w:r>
            <w:proofErr w:type="spellStart"/>
            <w:r w:rsidRPr="00183382">
              <w:t>glioma</w:t>
            </w:r>
            <w:proofErr w:type="spellEnd"/>
            <w:r w:rsidRPr="00183382">
              <w:t xml:space="preserve"> after relapse or disease progression after standard therapy, including chemotherapy</w:t>
            </w:r>
          </w:p>
        </w:tc>
      </w:tr>
      <w:tr w:rsidR="008E7846" w:rsidRPr="00487162" w:rsidTr="00183382">
        <w:tc>
          <w:tcPr>
            <w:tcW w:w="2907" w:type="dxa"/>
          </w:tcPr>
          <w:p w:rsidR="008E7846" w:rsidRPr="00487162" w:rsidRDefault="008E7846" w:rsidP="00183382">
            <w:pPr>
              <w:rPr>
                <w:i/>
              </w:rPr>
            </w:pPr>
            <w:r w:rsidRPr="00487162">
              <w:rPr>
                <w:i/>
              </w:rPr>
              <w:t>Route of administration:</w:t>
            </w:r>
          </w:p>
        </w:tc>
        <w:tc>
          <w:tcPr>
            <w:tcW w:w="6590" w:type="dxa"/>
          </w:tcPr>
          <w:p w:rsidR="008E7846" w:rsidRPr="00487162" w:rsidRDefault="00183382" w:rsidP="00E45619">
            <w:r w:rsidRPr="00183382">
              <w:t>Intravenous infusion</w:t>
            </w:r>
          </w:p>
        </w:tc>
      </w:tr>
      <w:tr w:rsidR="008E7846" w:rsidRPr="00487162" w:rsidTr="00183382">
        <w:tc>
          <w:tcPr>
            <w:tcW w:w="2907" w:type="dxa"/>
          </w:tcPr>
          <w:p w:rsidR="008E7846" w:rsidRPr="00487162" w:rsidRDefault="008E7846" w:rsidP="00E45619">
            <w:pPr>
              <w:rPr>
                <w:i/>
              </w:rPr>
            </w:pPr>
            <w:r w:rsidRPr="00487162">
              <w:rPr>
                <w:i/>
              </w:rPr>
              <w:t>Dosage:</w:t>
            </w:r>
          </w:p>
        </w:tc>
        <w:tc>
          <w:tcPr>
            <w:tcW w:w="6590" w:type="dxa"/>
          </w:tcPr>
          <w:p w:rsidR="008E7846" w:rsidRPr="00487162" w:rsidRDefault="00183382" w:rsidP="00E45619">
            <w:r w:rsidRPr="00183382">
              <w:t>10 mg/kg given every 2 weeks or 15 mg/kg given every 3 weeks</w:t>
            </w:r>
          </w:p>
        </w:tc>
      </w:tr>
    </w:tbl>
    <w:p w:rsidR="008E7846" w:rsidRDefault="008E7846" w:rsidP="008E7846">
      <w:pPr>
        <w:pStyle w:val="Heading3"/>
      </w:pPr>
      <w:bookmarkStart w:id="7" w:name="_Toc247691503"/>
      <w:bookmarkStart w:id="8" w:name="_Toc314842484"/>
      <w:bookmarkStart w:id="9" w:name="_Toc377733554"/>
      <w:r>
        <w:t>Product background</w:t>
      </w:r>
      <w:bookmarkEnd w:id="7"/>
      <w:bookmarkEnd w:id="8"/>
      <w:bookmarkEnd w:id="9"/>
    </w:p>
    <w:bookmarkEnd w:id="1"/>
    <w:p w:rsidR="001603AF" w:rsidRPr="001603AF" w:rsidRDefault="001603AF" w:rsidP="001603AF">
      <w:r w:rsidRPr="001603AF">
        <w:t xml:space="preserve">The incidence of malignant </w:t>
      </w:r>
      <w:proofErr w:type="spellStart"/>
      <w:r w:rsidRPr="001603AF">
        <w:t>gliomas</w:t>
      </w:r>
      <w:proofErr w:type="spellEnd"/>
      <w:r w:rsidRPr="001603AF">
        <w:t xml:space="preserve"> is approximately 5 per 100,000 with about 12,000 new cases per year in the US. High grade malignant </w:t>
      </w:r>
      <w:proofErr w:type="spellStart"/>
      <w:r w:rsidRPr="001603AF">
        <w:t>gliomas</w:t>
      </w:r>
      <w:proofErr w:type="spellEnd"/>
      <w:r w:rsidRPr="001603AF">
        <w:t xml:space="preserve"> include </w:t>
      </w:r>
      <w:proofErr w:type="spellStart"/>
      <w:r w:rsidRPr="001603AF">
        <w:t>Glioblastoma</w:t>
      </w:r>
      <w:proofErr w:type="spellEnd"/>
      <w:r w:rsidRPr="001603AF">
        <w:t xml:space="preserve"> </w:t>
      </w:r>
      <w:proofErr w:type="spellStart"/>
      <w:r w:rsidRPr="001603AF">
        <w:t>Multiforme</w:t>
      </w:r>
      <w:proofErr w:type="spellEnd"/>
      <w:r w:rsidRPr="001603AF">
        <w:t xml:space="preserve"> (GBM – WHO Grade IV), </w:t>
      </w:r>
      <w:proofErr w:type="spellStart"/>
      <w:r w:rsidRPr="001603AF">
        <w:t>Anaplastic</w:t>
      </w:r>
      <w:proofErr w:type="spellEnd"/>
      <w:r w:rsidRPr="001603AF">
        <w:t xml:space="preserve"> </w:t>
      </w:r>
      <w:proofErr w:type="spellStart"/>
      <w:r w:rsidRPr="001603AF">
        <w:t>Astrocytoma</w:t>
      </w:r>
      <w:proofErr w:type="spellEnd"/>
      <w:r w:rsidRPr="001603AF">
        <w:t xml:space="preserve"> (AA – WHO Grade III) and </w:t>
      </w:r>
      <w:proofErr w:type="spellStart"/>
      <w:r w:rsidRPr="001603AF">
        <w:t>Ananplastic</w:t>
      </w:r>
      <w:proofErr w:type="spellEnd"/>
      <w:r w:rsidRPr="001603AF">
        <w:t xml:space="preserve"> </w:t>
      </w:r>
      <w:proofErr w:type="spellStart"/>
      <w:r w:rsidRPr="001603AF">
        <w:t>Oligodendroglioma</w:t>
      </w:r>
      <w:proofErr w:type="spellEnd"/>
      <w:r w:rsidRPr="001603AF">
        <w:t xml:space="preserve"> (AOD – WHO Grade III).</w:t>
      </w:r>
    </w:p>
    <w:p w:rsidR="001603AF" w:rsidRPr="001603AF" w:rsidRDefault="001603AF" w:rsidP="001603AF">
      <w:r w:rsidRPr="001603AF">
        <w:t xml:space="preserve">The mainstay of treatment has been surgery plus radiotherapy with/without chemotherapy. </w:t>
      </w:r>
      <w:proofErr w:type="spellStart"/>
      <w:r w:rsidRPr="001603AF">
        <w:t>Temozolomide</w:t>
      </w:r>
      <w:proofErr w:type="spellEnd"/>
      <w:r w:rsidRPr="001603AF">
        <w:t xml:space="preserve"> has increased median survival from 12.1 months with radiotherapy alone following surgery to 14.6 months with a 2-year survival of 26% (</w:t>
      </w:r>
      <w:proofErr w:type="spellStart"/>
      <w:r w:rsidRPr="001603AF">
        <w:t>Stupp</w:t>
      </w:r>
      <w:proofErr w:type="spellEnd"/>
      <w:r w:rsidRPr="001603AF">
        <w:t xml:space="preserve"> et al. 2005).</w:t>
      </w:r>
      <w:r w:rsidRPr="001603AF">
        <w:rPr>
          <w:vertAlign w:val="superscript"/>
        </w:rPr>
        <w:footnoteReference w:id="1"/>
      </w:r>
      <w:r w:rsidRPr="001603AF">
        <w:t xml:space="preserve"> After the first recurrence, response to conventional chemotherapy is poor with 6-month progression-free survival (PFS) of 15%, the median overall survival of 25 weeks and an objective response rate of 5% (Wong et al.1999).</w:t>
      </w:r>
      <w:r w:rsidRPr="001603AF">
        <w:rPr>
          <w:vertAlign w:val="superscript"/>
        </w:rPr>
        <w:footnoteReference w:id="2"/>
      </w:r>
    </w:p>
    <w:p w:rsidR="001603AF" w:rsidRPr="001603AF" w:rsidRDefault="001603AF" w:rsidP="001603AF">
      <w:r w:rsidRPr="001603AF">
        <w:t xml:space="preserve">A potentially significant advance in the treatment of high-grade </w:t>
      </w:r>
      <w:proofErr w:type="spellStart"/>
      <w:r w:rsidRPr="001603AF">
        <w:t>glioma</w:t>
      </w:r>
      <w:proofErr w:type="spellEnd"/>
      <w:r w:rsidRPr="001603AF">
        <w:t xml:space="preserve"> is the development of anti-</w:t>
      </w:r>
      <w:proofErr w:type="spellStart"/>
      <w:r w:rsidRPr="001603AF">
        <w:t>angiogenic</w:t>
      </w:r>
      <w:proofErr w:type="spellEnd"/>
      <w:r w:rsidRPr="001603AF">
        <w:t xml:space="preserve"> agents. A phase II trial was proposed by the National Cancer Institute (NCI) on the basis that malignant </w:t>
      </w:r>
      <w:proofErr w:type="spellStart"/>
      <w:r w:rsidRPr="001603AF">
        <w:t>gliomas</w:t>
      </w:r>
      <w:proofErr w:type="spellEnd"/>
      <w:r w:rsidRPr="001603AF">
        <w:t xml:space="preserve"> over-express several growth factors including vascular endothelial growth factor (VEGF). </w:t>
      </w:r>
      <w:proofErr w:type="spellStart"/>
      <w:r w:rsidRPr="001603AF">
        <w:t>Bevacizumab</w:t>
      </w:r>
      <w:proofErr w:type="spellEnd"/>
      <w:r w:rsidRPr="001603AF">
        <w:t xml:space="preserve">, a humanised monoclonal antibody that targets VEGF to inhibit endothelial cell proliferation and tumour growth, has demonstrated activity as a single agent and in combination with chemotherapy in colorectal cancer, non small cell lung cancer, renal cell cancer, and breast cancer. </w:t>
      </w:r>
      <w:proofErr w:type="spellStart"/>
      <w:r w:rsidRPr="001603AF">
        <w:t>Bevacizumab</w:t>
      </w:r>
      <w:proofErr w:type="spellEnd"/>
      <w:r w:rsidRPr="001603AF">
        <w:t xml:space="preserve"> in combination with </w:t>
      </w:r>
      <w:proofErr w:type="spellStart"/>
      <w:r w:rsidRPr="001603AF">
        <w:t>irinotecan</w:t>
      </w:r>
      <w:proofErr w:type="spellEnd"/>
      <w:r w:rsidRPr="001603AF">
        <w:t xml:space="preserve"> was previously trialled in a phase II study (</w:t>
      </w:r>
      <w:proofErr w:type="spellStart"/>
      <w:r w:rsidRPr="001603AF">
        <w:t>Vredenburgh</w:t>
      </w:r>
      <w:proofErr w:type="spellEnd"/>
      <w:r w:rsidRPr="001603AF">
        <w:t xml:space="preserve"> et al. 2007) of patients with previously treated malignant </w:t>
      </w:r>
      <w:proofErr w:type="spellStart"/>
      <w:r w:rsidRPr="001603AF">
        <w:t>glioma</w:t>
      </w:r>
      <w:proofErr w:type="spellEnd"/>
      <w:r w:rsidRPr="001603AF">
        <w:t>.</w:t>
      </w:r>
      <w:r w:rsidRPr="001603AF">
        <w:rPr>
          <w:vertAlign w:val="superscript"/>
        </w:rPr>
        <w:footnoteReference w:id="3"/>
      </w:r>
      <w:r w:rsidRPr="001603AF">
        <w:t xml:space="preserve"> The results from this trial demonstrated 6-month PFS of 46% and </w:t>
      </w:r>
      <w:r>
        <w:t>objective response rate of 57%.</w:t>
      </w:r>
    </w:p>
    <w:p w:rsidR="001603AF" w:rsidRPr="001603AF" w:rsidRDefault="001603AF" w:rsidP="001603AF">
      <w:r w:rsidRPr="001603AF">
        <w:lastRenderedPageBreak/>
        <w:t xml:space="preserve">The currently approved indications for </w:t>
      </w:r>
      <w:proofErr w:type="spellStart"/>
      <w:r w:rsidRPr="001603AF">
        <w:t>bevac</w:t>
      </w:r>
      <w:r>
        <w:t>izumab</w:t>
      </w:r>
      <w:proofErr w:type="spellEnd"/>
      <w:r>
        <w:t xml:space="preserve"> are for the treatment of</w:t>
      </w:r>
      <w:r w:rsidRPr="001603AF">
        <w:t>:</w:t>
      </w:r>
    </w:p>
    <w:p w:rsidR="001603AF" w:rsidRPr="001603AF" w:rsidRDefault="001603AF" w:rsidP="001603AF">
      <w:pPr>
        <w:pStyle w:val="ListBullet"/>
      </w:pPr>
      <w:r w:rsidRPr="001603AF">
        <w:t>Metastatic colorectal cancer</w:t>
      </w:r>
    </w:p>
    <w:p w:rsidR="001603AF" w:rsidRPr="001603AF" w:rsidRDefault="001603AF" w:rsidP="001603AF">
      <w:pPr>
        <w:pStyle w:val="ListBullet"/>
      </w:pPr>
      <w:r w:rsidRPr="001603AF">
        <w:t>Locally recurrent or metastatic breast cancer</w:t>
      </w:r>
    </w:p>
    <w:p w:rsidR="001603AF" w:rsidRPr="001603AF" w:rsidRDefault="001603AF" w:rsidP="001603AF">
      <w:pPr>
        <w:pStyle w:val="ListBullet"/>
      </w:pPr>
      <w:r w:rsidRPr="001603AF">
        <w:t>Advanced, metastatic or recurrent non-</w:t>
      </w:r>
      <w:proofErr w:type="spellStart"/>
      <w:r w:rsidRPr="001603AF">
        <w:t>squamous</w:t>
      </w:r>
      <w:proofErr w:type="spellEnd"/>
      <w:r w:rsidRPr="001603AF">
        <w:t xml:space="preserve"> Non</w:t>
      </w:r>
      <w:r>
        <w:t xml:space="preserve"> Small Cell Lung Cancer (NSCLC)</w:t>
      </w:r>
    </w:p>
    <w:p w:rsidR="001603AF" w:rsidRPr="001603AF" w:rsidRDefault="001603AF" w:rsidP="001603AF">
      <w:pPr>
        <w:pStyle w:val="ListBullet"/>
      </w:pPr>
      <w:r w:rsidRPr="001603AF">
        <w:t>Advanced and/or metastatic renal cell cancer</w:t>
      </w:r>
    </w:p>
    <w:p w:rsidR="001603AF" w:rsidRPr="001603AF" w:rsidRDefault="001603AF" w:rsidP="001603AF">
      <w:r w:rsidRPr="001603AF">
        <w:t>The proposed indication is for:</w:t>
      </w:r>
    </w:p>
    <w:p w:rsidR="001603AF" w:rsidRPr="001603AF" w:rsidRDefault="001603AF" w:rsidP="001603AF">
      <w:pPr>
        <w:pStyle w:val="ListBullet"/>
      </w:pPr>
      <w:r w:rsidRPr="001603AF">
        <w:t xml:space="preserve">Relapsed high grade malignant </w:t>
      </w:r>
      <w:proofErr w:type="spellStart"/>
      <w:r w:rsidRPr="001603AF">
        <w:t>glioma</w:t>
      </w:r>
      <w:proofErr w:type="spellEnd"/>
      <w:r w:rsidRPr="001603AF">
        <w:t xml:space="preserve">: </w:t>
      </w:r>
      <w:proofErr w:type="spellStart"/>
      <w:r w:rsidRPr="001603AF">
        <w:t>Avastin</w:t>
      </w:r>
      <w:proofErr w:type="spellEnd"/>
      <w:r w:rsidRPr="001603AF">
        <w:t xml:space="preserve"> as a single agent or in combination with </w:t>
      </w:r>
      <w:proofErr w:type="spellStart"/>
      <w:r w:rsidRPr="001603AF">
        <w:t>irinotecan</w:t>
      </w:r>
      <w:proofErr w:type="spellEnd"/>
      <w:r w:rsidRPr="001603AF">
        <w:t xml:space="preserve"> is indicated for the treatment of patients with high grade relapsed malignant </w:t>
      </w:r>
      <w:proofErr w:type="spellStart"/>
      <w:r w:rsidRPr="001603AF">
        <w:t>glioma</w:t>
      </w:r>
      <w:proofErr w:type="spellEnd"/>
      <w:r w:rsidRPr="001603AF">
        <w:t>.</w:t>
      </w:r>
    </w:p>
    <w:p w:rsidR="001603AF" w:rsidRPr="001603AF" w:rsidRDefault="001603AF" w:rsidP="001603AF">
      <w:pPr>
        <w:pStyle w:val="Heading3"/>
      </w:pPr>
      <w:bookmarkStart w:id="10" w:name="_Toc314842485"/>
      <w:bookmarkStart w:id="11" w:name="_Toc332373857"/>
      <w:bookmarkStart w:id="12" w:name="_Toc247691504"/>
      <w:bookmarkStart w:id="13" w:name="_Toc377733555"/>
      <w:r w:rsidRPr="001603AF">
        <w:t>Regulatory status</w:t>
      </w:r>
      <w:bookmarkEnd w:id="10"/>
      <w:bookmarkEnd w:id="11"/>
      <w:bookmarkEnd w:id="12"/>
      <w:bookmarkEnd w:id="13"/>
    </w:p>
    <w:p w:rsidR="001603AF" w:rsidRPr="001603AF" w:rsidRDefault="001603AF" w:rsidP="001603AF">
      <w:r w:rsidRPr="001603AF">
        <w:t xml:space="preserve">A similar application has been approved in the US (5 May 2009), New Zealand (17 September 2009) and Switzerland (24 July 2009) as well as Albania, Dominican Republic, El Salvador, Hong Kong, India, Moldova and Ukraine. The approvals in the US and New Zealand are only for </w:t>
      </w:r>
      <w:proofErr w:type="spellStart"/>
      <w:r w:rsidRPr="001603AF">
        <w:t>monotherapy</w:t>
      </w:r>
      <w:proofErr w:type="spellEnd"/>
      <w:r w:rsidRPr="001603AF">
        <w:t xml:space="preserve"> and only for Grade IV disease. An application has been submitted in the European Union (EU) (12 Dec 2008) and Canada (Q1 2009).</w:t>
      </w:r>
    </w:p>
    <w:p w:rsidR="001603AF" w:rsidRPr="001603AF" w:rsidRDefault="001603AF" w:rsidP="001603AF">
      <w:proofErr w:type="spellStart"/>
      <w:r w:rsidRPr="001603AF">
        <w:t>Bevacizumab</w:t>
      </w:r>
      <w:proofErr w:type="spellEnd"/>
      <w:r w:rsidRPr="001603AF">
        <w:t xml:space="preserve"> has been designated as an Orphan Drug in Australia for the indication of malignant </w:t>
      </w:r>
      <w:proofErr w:type="spellStart"/>
      <w:r w:rsidRPr="001603AF">
        <w:t>glioma</w:t>
      </w:r>
      <w:proofErr w:type="spellEnd"/>
      <w:r w:rsidRPr="001603AF">
        <w:t xml:space="preserve">. According to information provided by the Australian Institute of health and Welfare (AIHW) the incidence of </w:t>
      </w:r>
      <w:proofErr w:type="spellStart"/>
      <w:r w:rsidRPr="001603AF">
        <w:t>glioma</w:t>
      </w:r>
      <w:proofErr w:type="spellEnd"/>
      <w:r w:rsidRPr="001603AF">
        <w:t xml:space="preserve"> in Australia is approximately 800 cases per annum.</w:t>
      </w:r>
    </w:p>
    <w:p w:rsidR="001603AF" w:rsidRPr="001603AF" w:rsidRDefault="001603AF" w:rsidP="001603AF">
      <w:pPr>
        <w:pStyle w:val="Heading3"/>
      </w:pPr>
      <w:bookmarkStart w:id="14" w:name="_Toc247691505"/>
      <w:bookmarkStart w:id="15" w:name="_Toc314842486"/>
      <w:bookmarkStart w:id="16" w:name="_Toc332373858"/>
      <w:bookmarkStart w:id="17" w:name="_Toc377733556"/>
      <w:r>
        <w:t>Product i</w:t>
      </w:r>
      <w:r w:rsidRPr="001603AF">
        <w:t>nformation</w:t>
      </w:r>
      <w:bookmarkEnd w:id="14"/>
      <w:bookmarkEnd w:id="15"/>
      <w:bookmarkEnd w:id="16"/>
      <w:bookmarkEnd w:id="17"/>
    </w:p>
    <w:p w:rsidR="001603AF" w:rsidRPr="001603AF" w:rsidRDefault="001603AF" w:rsidP="001603AF">
      <w:bookmarkStart w:id="18" w:name="_Toc247691506"/>
      <w:bookmarkStart w:id="19" w:name="_Toc314842487"/>
      <w:r w:rsidRPr="001603AF">
        <w:t xml:space="preserve">The approved product information current at the time this </w:t>
      </w:r>
      <w:proofErr w:type="spellStart"/>
      <w:r w:rsidRPr="001603AF">
        <w:t>AusPAR</w:t>
      </w:r>
      <w:proofErr w:type="spellEnd"/>
      <w:r w:rsidRPr="001603AF">
        <w:t xml:space="preserve"> was prepared is at Attachment 1.</w:t>
      </w:r>
    </w:p>
    <w:p w:rsidR="001603AF" w:rsidRPr="001603AF" w:rsidRDefault="001603AF" w:rsidP="001603AF">
      <w:pPr>
        <w:pStyle w:val="Heading2"/>
      </w:pPr>
      <w:bookmarkStart w:id="20" w:name="_Toc332373859"/>
      <w:bookmarkStart w:id="21" w:name="_Toc377733557"/>
      <w:r w:rsidRPr="001603AF">
        <w:t>II. Quality findings</w:t>
      </w:r>
      <w:bookmarkEnd w:id="18"/>
      <w:bookmarkEnd w:id="19"/>
      <w:bookmarkEnd w:id="20"/>
      <w:bookmarkEnd w:id="21"/>
    </w:p>
    <w:p w:rsidR="001603AF" w:rsidRPr="001603AF" w:rsidRDefault="001603AF" w:rsidP="001603AF">
      <w:pPr>
        <w:pStyle w:val="Heading3"/>
      </w:pPr>
      <w:bookmarkStart w:id="22" w:name="_Toc247691508"/>
      <w:bookmarkStart w:id="23" w:name="_Toc314842490"/>
      <w:bookmarkStart w:id="24" w:name="_Toc332373860"/>
      <w:bookmarkStart w:id="25" w:name="_Toc377733558"/>
      <w:r w:rsidRPr="001603AF">
        <w:t>Drug product</w:t>
      </w:r>
      <w:bookmarkEnd w:id="22"/>
      <w:bookmarkEnd w:id="23"/>
      <w:bookmarkEnd w:id="24"/>
      <w:bookmarkEnd w:id="25"/>
    </w:p>
    <w:p w:rsidR="001603AF" w:rsidRPr="001603AF" w:rsidRDefault="001603AF" w:rsidP="001603AF">
      <w:proofErr w:type="spellStart"/>
      <w:r w:rsidRPr="001603AF">
        <w:rPr>
          <w:lang w:eastAsia="ja-JP"/>
        </w:rPr>
        <w:t>Avastin</w:t>
      </w:r>
      <w:proofErr w:type="spellEnd"/>
      <w:r w:rsidRPr="001603AF">
        <w:rPr>
          <w:lang w:eastAsia="ja-JP"/>
        </w:rPr>
        <w:t xml:space="preserve"> is a clear to slightly opalescent, colourless to pale brown sterile solution for intravenous infusion. It is available in 100 mg and 400 mg single dose vials containing 4 ml and 16 ml, respectively of </w:t>
      </w:r>
      <w:proofErr w:type="spellStart"/>
      <w:r w:rsidRPr="001603AF">
        <w:rPr>
          <w:lang w:eastAsia="ja-JP"/>
        </w:rPr>
        <w:t>bevacizumab</w:t>
      </w:r>
      <w:proofErr w:type="spellEnd"/>
      <w:r w:rsidRPr="001603AF">
        <w:rPr>
          <w:lang w:eastAsia="ja-JP"/>
        </w:rPr>
        <w:t xml:space="preserve"> (25 mg/ml).</w:t>
      </w:r>
    </w:p>
    <w:p w:rsidR="001603AF" w:rsidRPr="001603AF" w:rsidRDefault="001603AF" w:rsidP="001603AF">
      <w:pPr>
        <w:pStyle w:val="Heading3"/>
      </w:pPr>
      <w:bookmarkStart w:id="26" w:name="_Toc247691509"/>
      <w:bookmarkStart w:id="27" w:name="_Toc314842493"/>
      <w:bookmarkStart w:id="28" w:name="_Toc332373861"/>
      <w:bookmarkStart w:id="29" w:name="_Toc377733559"/>
      <w:r w:rsidRPr="001603AF">
        <w:t>Quality summary and conclusions</w:t>
      </w:r>
      <w:bookmarkEnd w:id="26"/>
      <w:bookmarkEnd w:id="27"/>
      <w:bookmarkEnd w:id="28"/>
      <w:bookmarkEnd w:id="29"/>
    </w:p>
    <w:p w:rsidR="001603AF" w:rsidRPr="001603AF" w:rsidRDefault="001603AF" w:rsidP="001603AF">
      <w:r w:rsidRPr="001603AF">
        <w:t>There was no requirement for a quality evaluation in an application of this type.</w:t>
      </w:r>
    </w:p>
    <w:p w:rsidR="001603AF" w:rsidRPr="001603AF" w:rsidRDefault="001603AF" w:rsidP="001603AF">
      <w:pPr>
        <w:pStyle w:val="Heading2"/>
      </w:pPr>
      <w:bookmarkStart w:id="30" w:name="_Toc196046439"/>
      <w:bookmarkStart w:id="31" w:name="_Toc247691510"/>
      <w:bookmarkStart w:id="32" w:name="_Toc314842494"/>
      <w:bookmarkStart w:id="33" w:name="_Toc332373862"/>
      <w:bookmarkStart w:id="34" w:name="_Toc377733560"/>
      <w:r w:rsidRPr="001603AF">
        <w:t>III. Nonclinical</w:t>
      </w:r>
      <w:bookmarkEnd w:id="30"/>
      <w:r w:rsidRPr="001603AF">
        <w:t xml:space="preserve"> findings</w:t>
      </w:r>
      <w:bookmarkEnd w:id="31"/>
      <w:bookmarkEnd w:id="32"/>
      <w:bookmarkEnd w:id="33"/>
      <w:bookmarkEnd w:id="34"/>
    </w:p>
    <w:p w:rsidR="001603AF" w:rsidRPr="001603AF" w:rsidRDefault="001603AF" w:rsidP="001603AF">
      <w:pPr>
        <w:pStyle w:val="Heading3"/>
      </w:pPr>
      <w:bookmarkStart w:id="35" w:name="_Toc247691515"/>
      <w:bookmarkStart w:id="36" w:name="_Toc314842499"/>
      <w:bookmarkStart w:id="37" w:name="_Toc332373863"/>
      <w:bookmarkStart w:id="38" w:name="_Toc377733561"/>
      <w:r w:rsidRPr="001603AF">
        <w:t>Nonclinical summary and conclusions</w:t>
      </w:r>
      <w:bookmarkEnd w:id="35"/>
      <w:bookmarkEnd w:id="36"/>
      <w:bookmarkEnd w:id="37"/>
      <w:bookmarkEnd w:id="38"/>
    </w:p>
    <w:p w:rsidR="001603AF" w:rsidRPr="001603AF" w:rsidRDefault="001603AF" w:rsidP="001603AF">
      <w:r w:rsidRPr="001603AF">
        <w:t>There was no requirement for a nonclinical evaluation in an application of this type.</w:t>
      </w:r>
    </w:p>
    <w:p w:rsidR="001603AF" w:rsidRPr="001603AF" w:rsidRDefault="001603AF" w:rsidP="001603AF">
      <w:pPr>
        <w:pStyle w:val="Heading2"/>
      </w:pPr>
      <w:bookmarkStart w:id="39" w:name="_Toc196046462"/>
      <w:bookmarkStart w:id="40" w:name="_Toc247691516"/>
      <w:bookmarkStart w:id="41" w:name="_Toc314842500"/>
      <w:bookmarkStart w:id="42" w:name="_Toc332373864"/>
      <w:bookmarkStart w:id="43" w:name="_Toc163441353"/>
      <w:bookmarkStart w:id="44" w:name="_Toc163441348"/>
      <w:bookmarkStart w:id="45" w:name="_Toc377733562"/>
      <w:r w:rsidRPr="001603AF">
        <w:lastRenderedPageBreak/>
        <w:t>IV. Clinical</w:t>
      </w:r>
      <w:bookmarkEnd w:id="39"/>
      <w:r w:rsidRPr="001603AF">
        <w:t xml:space="preserve"> findings</w:t>
      </w:r>
      <w:bookmarkEnd w:id="40"/>
      <w:bookmarkEnd w:id="41"/>
      <w:bookmarkEnd w:id="42"/>
      <w:bookmarkEnd w:id="45"/>
    </w:p>
    <w:p w:rsidR="001603AF" w:rsidRPr="001603AF" w:rsidRDefault="001603AF" w:rsidP="001603AF">
      <w:pPr>
        <w:pStyle w:val="Heading3"/>
      </w:pPr>
      <w:bookmarkStart w:id="46" w:name="_Toc196046463"/>
      <w:bookmarkStart w:id="47" w:name="_Toc247691517"/>
      <w:bookmarkStart w:id="48" w:name="_Toc314842501"/>
      <w:bookmarkStart w:id="49" w:name="_Toc332373865"/>
      <w:bookmarkStart w:id="50" w:name="_Toc377733563"/>
      <w:r w:rsidRPr="001603AF">
        <w:t>Introduction</w:t>
      </w:r>
      <w:bookmarkEnd w:id="46"/>
      <w:bookmarkEnd w:id="47"/>
      <w:bookmarkEnd w:id="48"/>
      <w:bookmarkEnd w:id="49"/>
      <w:bookmarkEnd w:id="50"/>
    </w:p>
    <w:p w:rsidR="001603AF" w:rsidRPr="001603AF" w:rsidRDefault="001603AF" w:rsidP="001603AF">
      <w:r w:rsidRPr="001603AF">
        <w:t xml:space="preserve">The sponsor has submitted two studies in support of an application for extension of indication to include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for the treatment of patients with relapsed Grade I</w:t>
      </w:r>
      <w:r>
        <w:t xml:space="preserve">V malignant </w:t>
      </w:r>
      <w:proofErr w:type="spellStart"/>
      <w:r>
        <w:t>glioma</w:t>
      </w:r>
      <w:proofErr w:type="spellEnd"/>
      <w:r>
        <w:t>. These were:</w:t>
      </w:r>
    </w:p>
    <w:p w:rsidR="001603AF" w:rsidRPr="001603AF" w:rsidRDefault="001603AF" w:rsidP="001603AF">
      <w:pPr>
        <w:pStyle w:val="ListBullet"/>
      </w:pPr>
      <w:r w:rsidRPr="001603AF">
        <w:t xml:space="preserve">the pivotal Study AVF3708g - a phase II study in patients with WHO Grade IV malignant </w:t>
      </w:r>
      <w:proofErr w:type="spellStart"/>
      <w:r w:rsidRPr="001603AF">
        <w:t>glioma</w:t>
      </w:r>
      <w:proofErr w:type="spellEnd"/>
      <w:r w:rsidRPr="001603AF">
        <w:t xml:space="preserve"> in first or second relapse, and</w:t>
      </w:r>
    </w:p>
    <w:p w:rsidR="001603AF" w:rsidRPr="001603AF" w:rsidRDefault="001603AF" w:rsidP="001603AF">
      <w:pPr>
        <w:pStyle w:val="ListBullet"/>
      </w:pPr>
      <w:r w:rsidRPr="001603AF">
        <w:t xml:space="preserve">Study NCI-06-C-0064E - an open-label, single site study of </w:t>
      </w:r>
      <w:proofErr w:type="spellStart"/>
      <w:r w:rsidRPr="001603AF">
        <w:t>bevacizumab</w:t>
      </w:r>
      <w:proofErr w:type="spellEnd"/>
      <w:r w:rsidRPr="001603AF">
        <w:t xml:space="preserve"> in the treatment of patients with recurrent high-grade malignant </w:t>
      </w:r>
      <w:proofErr w:type="spellStart"/>
      <w:r w:rsidRPr="001603AF">
        <w:t>g</w:t>
      </w:r>
      <w:r>
        <w:t>liomas</w:t>
      </w:r>
      <w:proofErr w:type="spellEnd"/>
      <w:r>
        <w:t xml:space="preserve"> (WHO Grades III and IV).</w:t>
      </w:r>
    </w:p>
    <w:p w:rsidR="001603AF" w:rsidRPr="001603AF" w:rsidRDefault="001603AF" w:rsidP="001603AF">
      <w:r w:rsidRPr="001603AF">
        <w:t xml:space="preserve">The studies are summarised in Tables 1 and 1a. The two studies were supported by a literature based submission which contained data from over 230 patients described in 31 publications to support approval of </w:t>
      </w:r>
      <w:proofErr w:type="spellStart"/>
      <w:r w:rsidRPr="001603AF">
        <w:t>bevacizumab</w:t>
      </w:r>
      <w:proofErr w:type="spellEnd"/>
      <w:r w:rsidRPr="001603AF">
        <w:t xml:space="preserve"> for the treatment of Grade III </w:t>
      </w:r>
      <w:proofErr w:type="spellStart"/>
      <w:r w:rsidRPr="001603AF">
        <w:t>gliomas</w:t>
      </w:r>
      <w:proofErr w:type="spellEnd"/>
      <w:r w:rsidRPr="001603AF">
        <w:t>.</w:t>
      </w:r>
    </w:p>
    <w:p w:rsidR="001603AF" w:rsidRPr="001603AF" w:rsidRDefault="001603AF" w:rsidP="001603AF">
      <w:pPr>
        <w:pStyle w:val="Heading3"/>
      </w:pPr>
      <w:bookmarkStart w:id="51" w:name="_Toc196046464"/>
      <w:bookmarkStart w:id="52" w:name="_Toc247691518"/>
      <w:bookmarkStart w:id="53" w:name="_Toc314842502"/>
      <w:bookmarkStart w:id="54" w:name="_Toc332373866"/>
      <w:bookmarkStart w:id="55" w:name="_Toc377733564"/>
      <w:r w:rsidRPr="001603AF">
        <w:t>Pharmacokinetics</w:t>
      </w:r>
      <w:bookmarkEnd w:id="43"/>
      <w:bookmarkEnd w:id="51"/>
      <w:bookmarkEnd w:id="52"/>
      <w:bookmarkEnd w:id="53"/>
      <w:bookmarkEnd w:id="54"/>
      <w:bookmarkEnd w:id="55"/>
    </w:p>
    <w:p w:rsidR="001603AF" w:rsidRPr="001603AF" w:rsidRDefault="001603AF" w:rsidP="001603AF">
      <w:r w:rsidRPr="001603AF">
        <w:t>There were no pharmacokinetic data provided in the application.</w:t>
      </w:r>
    </w:p>
    <w:p w:rsidR="001603AF" w:rsidRPr="001603AF" w:rsidRDefault="001603AF" w:rsidP="001603AF">
      <w:pPr>
        <w:pStyle w:val="Heading3"/>
      </w:pPr>
      <w:bookmarkStart w:id="56" w:name="_Toc196046481"/>
      <w:bookmarkStart w:id="57" w:name="_Toc247691520"/>
      <w:bookmarkStart w:id="58" w:name="_Toc314842503"/>
      <w:bookmarkStart w:id="59" w:name="_Toc332373867"/>
      <w:bookmarkStart w:id="60" w:name="_Toc377733565"/>
      <w:proofErr w:type="spellStart"/>
      <w:r w:rsidRPr="001603AF">
        <w:t>Pharmacodynamics</w:t>
      </w:r>
      <w:bookmarkEnd w:id="44"/>
      <w:bookmarkEnd w:id="56"/>
      <w:bookmarkEnd w:id="57"/>
      <w:bookmarkEnd w:id="58"/>
      <w:bookmarkEnd w:id="59"/>
      <w:bookmarkEnd w:id="60"/>
      <w:proofErr w:type="spellEnd"/>
    </w:p>
    <w:p w:rsidR="001603AF" w:rsidRPr="001603AF" w:rsidRDefault="001603AF" w:rsidP="001603AF">
      <w:r w:rsidRPr="001603AF">
        <w:t xml:space="preserve">There were no </w:t>
      </w:r>
      <w:proofErr w:type="spellStart"/>
      <w:r w:rsidRPr="001603AF">
        <w:t>pharmacodynamic</w:t>
      </w:r>
      <w:proofErr w:type="spellEnd"/>
      <w:r w:rsidRPr="001603AF">
        <w:t xml:space="preserve"> data provided in the application.</w:t>
      </w:r>
    </w:p>
    <w:p w:rsidR="001603AF" w:rsidRPr="001603AF" w:rsidRDefault="001603AF" w:rsidP="00EF3034">
      <w:pPr>
        <w:pStyle w:val="Heading3"/>
      </w:pPr>
      <w:bookmarkStart w:id="61" w:name="_Toc163441372"/>
      <w:bookmarkStart w:id="62" w:name="_Toc196046485"/>
      <w:bookmarkStart w:id="63" w:name="_Toc247691521"/>
      <w:bookmarkStart w:id="64" w:name="_Toc314842504"/>
      <w:bookmarkStart w:id="65" w:name="_Toc332373868"/>
      <w:bookmarkStart w:id="66" w:name="_Toc377733566"/>
      <w:r w:rsidRPr="001603AF">
        <w:t>Efficacy</w:t>
      </w:r>
      <w:bookmarkEnd w:id="61"/>
      <w:bookmarkEnd w:id="62"/>
      <w:bookmarkEnd w:id="63"/>
      <w:bookmarkEnd w:id="64"/>
      <w:bookmarkEnd w:id="65"/>
      <w:bookmarkEnd w:id="66"/>
    </w:p>
    <w:p w:rsidR="001603AF" w:rsidRPr="001603AF" w:rsidRDefault="001603AF" w:rsidP="00EF3034">
      <w:bookmarkStart w:id="67" w:name="_Toc184439992"/>
      <w:bookmarkStart w:id="68" w:name="_Toc184440279"/>
      <w:bookmarkStart w:id="69" w:name="_Toc184444657"/>
      <w:bookmarkStart w:id="70" w:name="_Toc196046487"/>
      <w:r w:rsidRPr="001603AF">
        <w:rPr>
          <w:b/>
        </w:rPr>
        <w:t>Pivotal Study AVF3708g:</w:t>
      </w:r>
      <w:r w:rsidRPr="001603AF">
        <w:t xml:space="preserve"> A Phase II, multicentre, randomized, non-comparative, clinical trial to evaluate the efficacy and safety of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for treatment of </w:t>
      </w:r>
      <w:proofErr w:type="spellStart"/>
      <w:r w:rsidRPr="001603AF">
        <w:t>glioblastoma</w:t>
      </w:r>
      <w:proofErr w:type="spellEnd"/>
      <w:r w:rsidRPr="001603AF">
        <w:t xml:space="preserve"> </w:t>
      </w:r>
      <w:proofErr w:type="spellStart"/>
      <w:r w:rsidRPr="001603AF">
        <w:t>multiforme</w:t>
      </w:r>
      <w:proofErr w:type="spellEnd"/>
      <w:r w:rsidRPr="001603AF">
        <w:t xml:space="preserve"> in first or second relapse. The objectives of the trial were:</w:t>
      </w:r>
    </w:p>
    <w:p w:rsidR="001603AF" w:rsidRPr="001603AF" w:rsidRDefault="001603AF" w:rsidP="00EF3034">
      <w:pPr>
        <w:pStyle w:val="Heading4"/>
      </w:pPr>
      <w:r w:rsidRPr="001603AF">
        <w:t>Primary</w:t>
      </w:r>
    </w:p>
    <w:p w:rsidR="001603AF" w:rsidRPr="001603AF" w:rsidRDefault="001603AF" w:rsidP="00EF3034">
      <w:pPr>
        <w:pStyle w:val="ListBullet"/>
      </w:pPr>
      <w:r w:rsidRPr="001603AF">
        <w:t xml:space="preserve">To evaluate 6-month progression-free survival (PFS) in patients with </w:t>
      </w:r>
      <w:proofErr w:type="spellStart"/>
      <w:r w:rsidRPr="001603AF">
        <w:t>glioblastoma</w:t>
      </w:r>
      <w:proofErr w:type="spellEnd"/>
      <w:r w:rsidRPr="001603AF">
        <w:t xml:space="preserve"> </w:t>
      </w:r>
      <w:proofErr w:type="spellStart"/>
      <w:r w:rsidRPr="001603AF">
        <w:t>multiforme</w:t>
      </w:r>
      <w:proofErr w:type="spellEnd"/>
      <w:r w:rsidRPr="001603AF">
        <w:t xml:space="preserve"> (GBM) in first and second relapse treated with </w:t>
      </w:r>
      <w:proofErr w:type="spellStart"/>
      <w:r w:rsidRPr="001603AF">
        <w:t>bevacizumab</w:t>
      </w:r>
      <w:proofErr w:type="spellEnd"/>
      <w:r w:rsidRPr="001603AF">
        <w:t xml:space="preserve"> or </w:t>
      </w:r>
      <w:proofErr w:type="spellStart"/>
      <w:r w:rsidRPr="001603AF">
        <w:t>bevacizumab</w:t>
      </w:r>
      <w:proofErr w:type="spellEnd"/>
      <w:r w:rsidRPr="001603AF">
        <w:t xml:space="preserve"> + </w:t>
      </w:r>
      <w:proofErr w:type="spellStart"/>
      <w:r w:rsidRPr="001603AF">
        <w:t>irinotecan</w:t>
      </w:r>
      <w:proofErr w:type="spellEnd"/>
      <w:r w:rsidRPr="001603AF">
        <w:t>.</w:t>
      </w:r>
    </w:p>
    <w:p w:rsidR="001603AF" w:rsidRPr="001603AF" w:rsidRDefault="001603AF" w:rsidP="00EF3034">
      <w:pPr>
        <w:pStyle w:val="ListBullet"/>
      </w:pPr>
      <w:r w:rsidRPr="001603AF">
        <w:t xml:space="preserve">To evaluate the objective response rate in patients with GBM in first or second relapse treated with </w:t>
      </w:r>
      <w:proofErr w:type="spellStart"/>
      <w:r w:rsidRPr="001603AF">
        <w:t>bevacizumab</w:t>
      </w:r>
      <w:proofErr w:type="spellEnd"/>
      <w:r w:rsidRPr="001603AF">
        <w:t xml:space="preserve"> or </w:t>
      </w:r>
      <w:proofErr w:type="spellStart"/>
      <w:r w:rsidRPr="001603AF">
        <w:t>bevacizumab</w:t>
      </w:r>
      <w:proofErr w:type="spellEnd"/>
      <w:r w:rsidRPr="001603AF">
        <w:t xml:space="preserve"> + </w:t>
      </w:r>
      <w:proofErr w:type="spellStart"/>
      <w:r w:rsidRPr="001603AF">
        <w:t>irinotecan</w:t>
      </w:r>
      <w:proofErr w:type="spellEnd"/>
      <w:r w:rsidRPr="001603AF">
        <w:t>.</w:t>
      </w:r>
    </w:p>
    <w:p w:rsidR="001603AF" w:rsidRPr="001603AF" w:rsidRDefault="001603AF" w:rsidP="00EF3034">
      <w:pPr>
        <w:pStyle w:val="Heading4"/>
      </w:pPr>
      <w:r w:rsidRPr="001603AF">
        <w:t>Secondary</w:t>
      </w:r>
    </w:p>
    <w:p w:rsidR="001603AF" w:rsidRPr="001603AF" w:rsidRDefault="001603AF" w:rsidP="00EF3034">
      <w:pPr>
        <w:pStyle w:val="ListBullet"/>
      </w:pPr>
      <w:r w:rsidRPr="001603AF">
        <w:t xml:space="preserve">To characterize the safety of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in patients with first or second relapse.</w:t>
      </w:r>
    </w:p>
    <w:p w:rsidR="001603AF" w:rsidRPr="001603AF" w:rsidRDefault="001603AF" w:rsidP="00EF3034">
      <w:pPr>
        <w:pStyle w:val="ListBullet"/>
      </w:pPr>
      <w:r w:rsidRPr="001603AF">
        <w:t xml:space="preserve">To evaluate the efficacy of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in patients with GBM in first or second relapse, as measured by the following:</w:t>
      </w:r>
    </w:p>
    <w:p w:rsidR="001603AF" w:rsidRPr="001603AF" w:rsidRDefault="001603AF" w:rsidP="00EF3034">
      <w:pPr>
        <w:pStyle w:val="Numberbullet0"/>
      </w:pPr>
      <w:r w:rsidRPr="001603AF">
        <w:t>PFS, as determined by the IRF</w:t>
      </w:r>
      <w:r w:rsidRPr="001603AF">
        <w:rPr>
          <w:vertAlign w:val="superscript"/>
        </w:rPr>
        <w:footnoteReference w:id="4"/>
      </w:r>
    </w:p>
    <w:p w:rsidR="001603AF" w:rsidRPr="001603AF" w:rsidRDefault="001603AF" w:rsidP="00EF3034">
      <w:pPr>
        <w:pStyle w:val="Numberbullet0"/>
      </w:pPr>
      <w:r w:rsidRPr="001603AF">
        <w:lastRenderedPageBreak/>
        <w:t>Duration of objective response, as determined by the IRF</w:t>
      </w:r>
    </w:p>
    <w:p w:rsidR="001603AF" w:rsidRPr="001603AF" w:rsidRDefault="001603AF" w:rsidP="00EF3034">
      <w:pPr>
        <w:pStyle w:val="Numberbullet0"/>
      </w:pPr>
      <w:r w:rsidRPr="001603AF">
        <w:t>Overall survival</w:t>
      </w:r>
    </w:p>
    <w:p w:rsidR="001603AF" w:rsidRPr="001603AF" w:rsidRDefault="001603AF" w:rsidP="00EF3034">
      <w:r w:rsidRPr="001603AF">
        <w:t xml:space="preserve">The patients were recruited at 11 centres in the US. Eligible patients with </w:t>
      </w:r>
      <w:proofErr w:type="spellStart"/>
      <w:r w:rsidRPr="001603AF">
        <w:t>histologically</w:t>
      </w:r>
      <w:proofErr w:type="spellEnd"/>
      <w:r w:rsidRPr="001603AF">
        <w:t xml:space="preserve"> confirmed GBM in first or second relapse were randomized 1:1 into the </w:t>
      </w:r>
      <w:proofErr w:type="spellStart"/>
      <w:r w:rsidRPr="001603AF">
        <w:t>bevacizumab</w:t>
      </w:r>
      <w:proofErr w:type="spellEnd"/>
      <w:r w:rsidRPr="001603AF">
        <w:t xml:space="preserve"> alone arm (BV) and the </w:t>
      </w:r>
      <w:proofErr w:type="spellStart"/>
      <w:r w:rsidRPr="001603AF">
        <w:t>bevacizumab</w:t>
      </w:r>
      <w:proofErr w:type="spellEnd"/>
      <w:r w:rsidRPr="001603AF">
        <w:t xml:space="preserve"> + </w:t>
      </w:r>
      <w:proofErr w:type="spellStart"/>
      <w:r w:rsidRPr="001603AF">
        <w:t>irinotecan</w:t>
      </w:r>
      <w:proofErr w:type="spellEnd"/>
      <w:r w:rsidRPr="001603AF">
        <w:t xml:space="preserve"> arm (BV/CPT) using an interactive voice recognition system (IVRS). Selection criteria are summarised in Table 1.</w:t>
      </w:r>
    </w:p>
    <w:p w:rsidR="001603AF" w:rsidRPr="001603AF" w:rsidRDefault="001603AF" w:rsidP="00EF3034">
      <w:pPr>
        <w:pStyle w:val="TableTitle"/>
      </w:pPr>
      <w:r w:rsidRPr="001603AF">
        <w:t>Table 1: Summary of Study AVF3708g</w:t>
      </w:r>
    </w:p>
    <w:tbl>
      <w:tblPr>
        <w:tblStyle w:val="TableTGAblue"/>
        <w:tblW w:w="0" w:type="auto"/>
        <w:tblLook w:val="04A0"/>
      </w:tblPr>
      <w:tblGrid>
        <w:gridCol w:w="2802"/>
        <w:gridCol w:w="1984"/>
        <w:gridCol w:w="1701"/>
        <w:gridCol w:w="2233"/>
      </w:tblGrid>
      <w:tr w:rsidR="001603AF" w:rsidRPr="001603AF" w:rsidTr="00C52CCD">
        <w:trPr>
          <w:cnfStyle w:val="100000000000"/>
          <w:tblHeader/>
        </w:trPr>
        <w:tc>
          <w:tcPr>
            <w:tcW w:w="2802" w:type="dxa"/>
          </w:tcPr>
          <w:p w:rsidR="001603AF" w:rsidRPr="001603AF" w:rsidRDefault="001603AF" w:rsidP="00490FB0">
            <w:pPr>
              <w:ind w:left="284" w:right="7" w:hanging="284"/>
            </w:pPr>
            <w:r w:rsidRPr="001603AF">
              <w:t>Study design</w:t>
            </w:r>
          </w:p>
        </w:tc>
        <w:tc>
          <w:tcPr>
            <w:tcW w:w="1984" w:type="dxa"/>
          </w:tcPr>
          <w:p w:rsidR="001603AF" w:rsidRPr="001603AF" w:rsidRDefault="001603AF" w:rsidP="00490FB0">
            <w:pPr>
              <w:ind w:left="64" w:right="-6"/>
            </w:pPr>
            <w:r w:rsidRPr="001603AF">
              <w:t>Dose, Frequency, Duration</w:t>
            </w:r>
          </w:p>
        </w:tc>
        <w:tc>
          <w:tcPr>
            <w:tcW w:w="1701" w:type="dxa"/>
          </w:tcPr>
          <w:p w:rsidR="001603AF" w:rsidRPr="001603AF" w:rsidRDefault="001603AF" w:rsidP="00490FB0">
            <w:pPr>
              <w:ind w:left="75" w:right="34"/>
            </w:pPr>
            <w:r w:rsidRPr="001603AF">
              <w:t>No. of patients</w:t>
            </w:r>
          </w:p>
        </w:tc>
        <w:tc>
          <w:tcPr>
            <w:tcW w:w="2233" w:type="dxa"/>
          </w:tcPr>
          <w:p w:rsidR="001603AF" w:rsidRPr="001603AF" w:rsidRDefault="001603AF" w:rsidP="00490FB0">
            <w:pPr>
              <w:ind w:left="34" w:right="0"/>
            </w:pPr>
            <w:r w:rsidRPr="001603AF">
              <w:t>Results</w:t>
            </w:r>
          </w:p>
        </w:tc>
      </w:tr>
      <w:tr w:rsidR="001603AF" w:rsidRPr="001603AF" w:rsidTr="00EF3034">
        <w:tc>
          <w:tcPr>
            <w:tcW w:w="2802" w:type="dxa"/>
          </w:tcPr>
          <w:p w:rsidR="001603AF" w:rsidRPr="001603AF" w:rsidRDefault="001603AF" w:rsidP="00490FB0">
            <w:pPr>
              <w:ind w:left="0" w:right="7"/>
            </w:pPr>
            <w:r w:rsidRPr="001603AF">
              <w:t xml:space="preserve">Ph II, multicenter (11 US sites) randomized (1:1), non-comparative clinical trial of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for treatment of GBM in first or second relapse.</w:t>
            </w:r>
          </w:p>
          <w:p w:rsidR="001603AF" w:rsidRPr="00C52CCD" w:rsidRDefault="001603AF" w:rsidP="00490FB0">
            <w:pPr>
              <w:ind w:left="284" w:right="7" w:hanging="284"/>
              <w:rPr>
                <w:b/>
                <w:i/>
              </w:rPr>
            </w:pPr>
            <w:r w:rsidRPr="00C52CCD">
              <w:rPr>
                <w:b/>
                <w:i/>
              </w:rPr>
              <w:t>Objectives</w:t>
            </w:r>
          </w:p>
          <w:p w:rsidR="001603AF" w:rsidRPr="00C52CCD" w:rsidRDefault="001603AF" w:rsidP="00490FB0">
            <w:pPr>
              <w:ind w:left="284" w:right="7" w:hanging="284"/>
              <w:rPr>
                <w:i/>
              </w:rPr>
            </w:pPr>
            <w:r w:rsidRPr="00C52CCD">
              <w:rPr>
                <w:i/>
              </w:rPr>
              <w:t>Primary objective:</w:t>
            </w:r>
          </w:p>
          <w:p w:rsidR="001603AF" w:rsidRPr="001603AF" w:rsidRDefault="001603AF" w:rsidP="00490FB0">
            <w:pPr>
              <w:pStyle w:val="ListBullet"/>
              <w:ind w:left="284" w:right="7" w:hanging="284"/>
            </w:pPr>
            <w:r w:rsidRPr="001603AF">
              <w:t>6-month PFS</w:t>
            </w:r>
          </w:p>
          <w:p w:rsidR="001603AF" w:rsidRPr="001603AF" w:rsidRDefault="001603AF" w:rsidP="00490FB0">
            <w:pPr>
              <w:pStyle w:val="ListBullet"/>
              <w:ind w:left="284" w:right="7" w:hanging="284"/>
            </w:pPr>
            <w:r w:rsidRPr="001603AF">
              <w:t>Objective response rate (ORR)</w:t>
            </w:r>
          </w:p>
          <w:p w:rsidR="001603AF" w:rsidRPr="00C52CCD" w:rsidRDefault="001603AF" w:rsidP="00490FB0">
            <w:pPr>
              <w:ind w:left="284" w:right="7" w:hanging="284"/>
              <w:rPr>
                <w:i/>
              </w:rPr>
            </w:pPr>
            <w:r w:rsidRPr="00C52CCD">
              <w:rPr>
                <w:i/>
              </w:rPr>
              <w:t>Secondary objective:</w:t>
            </w:r>
          </w:p>
          <w:p w:rsidR="001603AF" w:rsidRPr="001603AF" w:rsidRDefault="001603AF" w:rsidP="00490FB0">
            <w:pPr>
              <w:pStyle w:val="ListBullet"/>
              <w:ind w:left="284" w:right="7" w:hanging="284"/>
            </w:pPr>
            <w:r w:rsidRPr="001603AF">
              <w:t>Safety</w:t>
            </w:r>
          </w:p>
          <w:p w:rsidR="001603AF" w:rsidRPr="001603AF" w:rsidRDefault="001603AF" w:rsidP="00490FB0">
            <w:pPr>
              <w:pStyle w:val="ListBullet"/>
              <w:ind w:left="284" w:right="7" w:hanging="284"/>
            </w:pPr>
            <w:r w:rsidRPr="001603AF">
              <w:t>PFS by IRF</w:t>
            </w:r>
          </w:p>
          <w:p w:rsidR="001603AF" w:rsidRPr="001603AF" w:rsidRDefault="001603AF" w:rsidP="00490FB0">
            <w:pPr>
              <w:pStyle w:val="ListBullet"/>
              <w:ind w:left="284" w:right="7" w:hanging="284"/>
            </w:pPr>
            <w:r w:rsidRPr="001603AF">
              <w:t>Duration of OR</w:t>
            </w:r>
          </w:p>
          <w:p w:rsidR="001603AF" w:rsidRPr="001603AF" w:rsidRDefault="001603AF" w:rsidP="00490FB0">
            <w:pPr>
              <w:pStyle w:val="ListBullet"/>
              <w:ind w:left="284" w:right="7" w:hanging="284"/>
            </w:pPr>
            <w:r w:rsidRPr="001603AF">
              <w:t>OS</w:t>
            </w:r>
          </w:p>
          <w:p w:rsidR="001603AF" w:rsidRPr="00C52CCD" w:rsidRDefault="001603AF" w:rsidP="00490FB0">
            <w:pPr>
              <w:ind w:left="284" w:right="7" w:hanging="284"/>
              <w:rPr>
                <w:b/>
                <w:i/>
              </w:rPr>
            </w:pPr>
            <w:r w:rsidRPr="00C52CCD">
              <w:rPr>
                <w:b/>
                <w:i/>
              </w:rPr>
              <w:t>Inclusion:</w:t>
            </w:r>
          </w:p>
          <w:p w:rsidR="001603AF" w:rsidRPr="001603AF" w:rsidRDefault="001603AF" w:rsidP="00490FB0">
            <w:pPr>
              <w:ind w:left="284" w:right="7" w:hanging="284"/>
            </w:pPr>
            <w:proofErr w:type="spellStart"/>
            <w:r w:rsidRPr="001603AF">
              <w:t>Karnofsky</w:t>
            </w:r>
            <w:proofErr w:type="spellEnd"/>
            <w:r w:rsidRPr="001603AF">
              <w:t xml:space="preserve"> </w:t>
            </w:r>
            <w:proofErr w:type="spellStart"/>
            <w:r w:rsidRPr="001603AF">
              <w:t>ps</w:t>
            </w:r>
            <w:proofErr w:type="spellEnd"/>
            <w:r w:rsidRPr="001603AF">
              <w:t xml:space="preserve"> &gt;70%</w:t>
            </w:r>
          </w:p>
          <w:p w:rsidR="001603AF" w:rsidRPr="001603AF" w:rsidRDefault="001603AF" w:rsidP="00490FB0">
            <w:pPr>
              <w:ind w:left="284" w:right="7" w:hanging="284"/>
            </w:pPr>
            <w:r w:rsidRPr="001603AF">
              <w:t>Life expectancy &gt;12W</w:t>
            </w:r>
          </w:p>
          <w:p w:rsidR="001603AF" w:rsidRPr="001603AF" w:rsidRDefault="001603AF" w:rsidP="00490FB0">
            <w:pPr>
              <w:ind w:left="0" w:right="7"/>
            </w:pPr>
            <w:r w:rsidRPr="001603AF">
              <w:t xml:space="preserve">Radiographic evidence of disease progression (min 1 cm in 1 diameter on MRI within 14 days of </w:t>
            </w:r>
            <w:proofErr w:type="spellStart"/>
            <w:r w:rsidRPr="001603AF">
              <w:t>Tt</w:t>
            </w:r>
            <w:proofErr w:type="spellEnd"/>
          </w:p>
          <w:p w:rsidR="001603AF" w:rsidRPr="001603AF" w:rsidRDefault="001603AF" w:rsidP="00490FB0">
            <w:pPr>
              <w:ind w:left="284" w:right="7" w:hanging="284"/>
            </w:pPr>
            <w:r w:rsidRPr="001603AF">
              <w:t>1st relapse is after:</w:t>
            </w:r>
          </w:p>
          <w:p w:rsidR="001603AF" w:rsidRPr="001603AF" w:rsidRDefault="001603AF" w:rsidP="00490FB0">
            <w:pPr>
              <w:ind w:left="284" w:right="7" w:hanging="284"/>
            </w:pPr>
            <w:r w:rsidRPr="001603AF">
              <w:t xml:space="preserve">Prior radiotherapy + </w:t>
            </w:r>
            <w:proofErr w:type="spellStart"/>
            <w:r w:rsidRPr="001603AF">
              <w:t>Temo</w:t>
            </w:r>
            <w:proofErr w:type="spellEnd"/>
          </w:p>
          <w:p w:rsidR="001603AF" w:rsidRPr="001603AF" w:rsidRDefault="001603AF" w:rsidP="00490FB0">
            <w:pPr>
              <w:ind w:left="284" w:right="7" w:hanging="284"/>
            </w:pPr>
            <w:r w:rsidRPr="001603AF">
              <w:t>2nd relapse is after:</w:t>
            </w:r>
          </w:p>
          <w:p w:rsidR="001603AF" w:rsidRPr="001603AF" w:rsidRDefault="001603AF" w:rsidP="00490FB0">
            <w:pPr>
              <w:ind w:left="0" w:right="7"/>
            </w:pPr>
            <w:r w:rsidRPr="001603AF">
              <w:t>Prior surgery &amp; radiotherapy/+chemo</w:t>
            </w:r>
          </w:p>
          <w:p w:rsidR="001603AF" w:rsidRPr="00C52CCD" w:rsidRDefault="001603AF" w:rsidP="00490FB0">
            <w:pPr>
              <w:ind w:left="284" w:right="7" w:hanging="284"/>
              <w:rPr>
                <w:b/>
                <w:i/>
              </w:rPr>
            </w:pPr>
            <w:r w:rsidRPr="00C52CCD">
              <w:rPr>
                <w:b/>
                <w:i/>
              </w:rPr>
              <w:t>Efficacy endpoint:</w:t>
            </w:r>
          </w:p>
          <w:p w:rsidR="001603AF" w:rsidRPr="001603AF" w:rsidRDefault="001603AF" w:rsidP="00490FB0">
            <w:pPr>
              <w:ind w:left="284" w:right="7" w:hanging="284"/>
            </w:pPr>
            <w:r w:rsidRPr="001603AF">
              <w:lastRenderedPageBreak/>
              <w:t>6-month PFS</w:t>
            </w:r>
          </w:p>
          <w:p w:rsidR="001603AF" w:rsidRPr="001603AF" w:rsidRDefault="001603AF" w:rsidP="00490FB0">
            <w:pPr>
              <w:ind w:left="284" w:right="7" w:hanging="284"/>
            </w:pPr>
            <w:r w:rsidRPr="001603AF">
              <w:t>IRF assessment of ORR.</w:t>
            </w:r>
          </w:p>
          <w:p w:rsidR="001603AF" w:rsidRPr="001603AF" w:rsidRDefault="001603AF" w:rsidP="00490FB0">
            <w:pPr>
              <w:ind w:left="0" w:right="7"/>
            </w:pPr>
            <w:r w:rsidRPr="001603AF">
              <w:t>Assessments on D0 &amp; then D1 of each 6/52 cycle</w:t>
            </w:r>
          </w:p>
          <w:p w:rsidR="001603AF" w:rsidRPr="00C52CCD" w:rsidRDefault="001603AF" w:rsidP="00490FB0">
            <w:pPr>
              <w:ind w:left="284" w:right="7" w:hanging="284"/>
              <w:rPr>
                <w:b/>
                <w:i/>
              </w:rPr>
            </w:pPr>
            <w:r w:rsidRPr="00C52CCD">
              <w:rPr>
                <w:b/>
                <w:i/>
              </w:rPr>
              <w:t>Safety endpoint:</w:t>
            </w:r>
          </w:p>
          <w:p w:rsidR="001603AF" w:rsidRPr="001603AF" w:rsidRDefault="00C52CCD" w:rsidP="00490FB0">
            <w:pPr>
              <w:ind w:left="284" w:right="7" w:hanging="284"/>
            </w:pPr>
            <w:r>
              <w:t>AEs, SAEs</w:t>
            </w:r>
          </w:p>
          <w:p w:rsidR="001603AF" w:rsidRPr="00C52CCD" w:rsidRDefault="001603AF" w:rsidP="00490FB0">
            <w:pPr>
              <w:ind w:left="284" w:right="7" w:hanging="284"/>
              <w:rPr>
                <w:b/>
                <w:i/>
              </w:rPr>
            </w:pPr>
            <w:r w:rsidRPr="00C52CCD">
              <w:rPr>
                <w:b/>
                <w:i/>
              </w:rPr>
              <w:t>Statistics</w:t>
            </w:r>
          </w:p>
          <w:p w:rsidR="001603AF" w:rsidRPr="001603AF" w:rsidRDefault="001603AF" w:rsidP="00490FB0">
            <w:pPr>
              <w:ind w:left="0" w:right="7"/>
            </w:pPr>
            <w:r w:rsidRPr="001603AF">
              <w:t>Historical controls were used (salvage chemotherapy)</w:t>
            </w:r>
          </w:p>
          <w:p w:rsidR="001603AF" w:rsidRPr="00C52CCD" w:rsidRDefault="00C52CCD" w:rsidP="00490FB0">
            <w:pPr>
              <w:ind w:left="284" w:right="7" w:hanging="284"/>
              <w:rPr>
                <w:b/>
                <w:i/>
              </w:rPr>
            </w:pPr>
            <w:r w:rsidRPr="00C52CCD">
              <w:rPr>
                <w:b/>
                <w:i/>
              </w:rPr>
              <w:t>Primary endpoint:</w:t>
            </w:r>
          </w:p>
          <w:p w:rsidR="001603AF" w:rsidRPr="001603AF" w:rsidRDefault="001603AF" w:rsidP="00490FB0">
            <w:pPr>
              <w:ind w:left="0" w:right="7"/>
            </w:pPr>
            <w:r w:rsidRPr="001603AF">
              <w:rPr>
                <w:b/>
              </w:rPr>
              <w:t xml:space="preserve">PFS: </w:t>
            </w:r>
            <w:r w:rsidRPr="001603AF">
              <w:t>Stat.sig 6M PFS &gt;15% in arms 1&amp;2</w:t>
            </w:r>
          </w:p>
          <w:p w:rsidR="001603AF" w:rsidRPr="001603AF" w:rsidRDefault="001603AF" w:rsidP="00490FB0">
            <w:pPr>
              <w:ind w:left="0" w:right="7"/>
            </w:pPr>
            <w:r w:rsidRPr="001603AF">
              <w:rPr>
                <w:b/>
              </w:rPr>
              <w:t xml:space="preserve">OR: </w:t>
            </w:r>
            <w:r w:rsidRPr="001603AF">
              <w:t>CR/PR on two consecutive times by IRF.</w:t>
            </w:r>
          </w:p>
          <w:p w:rsidR="001603AF" w:rsidRPr="001603AF" w:rsidRDefault="001603AF" w:rsidP="00490FB0">
            <w:pPr>
              <w:ind w:left="284" w:right="7" w:hanging="284"/>
            </w:pPr>
            <w:r w:rsidRPr="001603AF">
              <w:t>Arm 1: Stat. sig ORR &gt;5%</w:t>
            </w:r>
          </w:p>
          <w:p w:rsidR="001603AF" w:rsidRPr="001603AF" w:rsidRDefault="001603AF" w:rsidP="00490FB0">
            <w:pPr>
              <w:ind w:left="284" w:right="7" w:hanging="284"/>
            </w:pPr>
            <w:r w:rsidRPr="001603AF">
              <w:t>Arm 2: Stat. sig ORR &gt;10%</w:t>
            </w:r>
          </w:p>
        </w:tc>
        <w:tc>
          <w:tcPr>
            <w:tcW w:w="1984" w:type="dxa"/>
          </w:tcPr>
          <w:p w:rsidR="001603AF" w:rsidRPr="001603AF" w:rsidRDefault="001603AF" w:rsidP="00490FB0">
            <w:pPr>
              <w:ind w:left="64" w:right="-6"/>
            </w:pPr>
            <w:proofErr w:type="spellStart"/>
            <w:r w:rsidRPr="001603AF">
              <w:rPr>
                <w:u w:val="single"/>
              </w:rPr>
              <w:lastRenderedPageBreak/>
              <w:t>Bevacizumab</w:t>
            </w:r>
            <w:proofErr w:type="spellEnd"/>
            <w:r w:rsidRPr="001603AF">
              <w:rPr>
                <w:u w:val="single"/>
              </w:rPr>
              <w:t>:</w:t>
            </w:r>
            <w:r w:rsidRPr="001603AF">
              <w:t xml:space="preserve"> 10 mg/Kg, IV once every 2 weeks.</w:t>
            </w:r>
          </w:p>
          <w:p w:rsidR="001603AF" w:rsidRPr="001603AF" w:rsidRDefault="001603AF" w:rsidP="00490FB0">
            <w:pPr>
              <w:ind w:left="64" w:right="-6"/>
            </w:pPr>
            <w:r w:rsidRPr="001603AF">
              <w:t>Max of 104 W</w:t>
            </w:r>
          </w:p>
          <w:p w:rsidR="001603AF" w:rsidRPr="001603AF" w:rsidRDefault="001603AF" w:rsidP="00490FB0">
            <w:pPr>
              <w:ind w:left="64" w:right="-6"/>
            </w:pPr>
            <w:proofErr w:type="spellStart"/>
            <w:r w:rsidRPr="001603AF">
              <w:rPr>
                <w:u w:val="single"/>
              </w:rPr>
              <w:t>Irinotecan</w:t>
            </w:r>
            <w:proofErr w:type="spellEnd"/>
            <w:r w:rsidRPr="001603AF">
              <w:rPr>
                <w:u w:val="single"/>
              </w:rPr>
              <w:t>:</w:t>
            </w:r>
            <w:r w:rsidRPr="001603AF">
              <w:t xml:space="preserve"> 340mg/m</w:t>
            </w:r>
            <w:r w:rsidRPr="001603AF">
              <w:rPr>
                <w:vertAlign w:val="superscript"/>
              </w:rPr>
              <w:t>2</w:t>
            </w:r>
            <w:r w:rsidRPr="001603AF">
              <w:t xml:space="preserve"> over 90 min every 2W for pts on EIAEDs</w:t>
            </w:r>
          </w:p>
          <w:p w:rsidR="001603AF" w:rsidRPr="00C52CCD" w:rsidRDefault="001603AF" w:rsidP="00490FB0">
            <w:pPr>
              <w:ind w:left="64" w:right="-6"/>
              <w:rPr>
                <w:b/>
              </w:rPr>
            </w:pPr>
            <w:r w:rsidRPr="00C52CCD">
              <w:rPr>
                <w:b/>
              </w:rPr>
              <w:t>or</w:t>
            </w:r>
          </w:p>
          <w:p w:rsidR="001603AF" w:rsidRPr="001603AF" w:rsidRDefault="001603AF" w:rsidP="00490FB0">
            <w:pPr>
              <w:ind w:left="64" w:right="-6"/>
            </w:pPr>
            <w:r w:rsidRPr="001603AF">
              <w:t>125mg/m</w:t>
            </w:r>
            <w:r w:rsidRPr="001603AF">
              <w:rPr>
                <w:vertAlign w:val="superscript"/>
              </w:rPr>
              <w:t>2</w:t>
            </w:r>
            <w:r w:rsidRPr="001603AF">
              <w:t xml:space="preserve"> over 90 min every 2W for others.</w:t>
            </w:r>
          </w:p>
          <w:p w:rsidR="001603AF" w:rsidRPr="001603AF" w:rsidRDefault="001603AF" w:rsidP="00490FB0">
            <w:pPr>
              <w:ind w:left="64" w:right="-6"/>
            </w:pPr>
            <w:r w:rsidRPr="001603AF">
              <w:t>Max of 104W</w:t>
            </w:r>
          </w:p>
        </w:tc>
        <w:tc>
          <w:tcPr>
            <w:tcW w:w="1701" w:type="dxa"/>
          </w:tcPr>
          <w:p w:rsidR="001603AF" w:rsidRPr="001603AF" w:rsidRDefault="001603AF" w:rsidP="00490FB0">
            <w:pPr>
              <w:ind w:left="75" w:right="34"/>
            </w:pPr>
            <w:r w:rsidRPr="001603AF">
              <w:t>Planned:160</w:t>
            </w:r>
          </w:p>
          <w:p w:rsidR="001603AF" w:rsidRPr="001603AF" w:rsidRDefault="001603AF" w:rsidP="00490FB0">
            <w:pPr>
              <w:ind w:left="75" w:right="34"/>
            </w:pPr>
            <w:r w:rsidRPr="001603AF">
              <w:t>Analysd:167</w:t>
            </w:r>
          </w:p>
          <w:p w:rsidR="001603AF" w:rsidRPr="001603AF" w:rsidRDefault="001603AF" w:rsidP="00490FB0">
            <w:pPr>
              <w:ind w:left="75" w:right="34"/>
            </w:pPr>
            <w:r w:rsidRPr="001603AF">
              <w:rPr>
                <w:b/>
              </w:rPr>
              <w:t>ITT:</w:t>
            </w:r>
            <w:r w:rsidR="00490FB0">
              <w:t xml:space="preserve"> BV:85</w:t>
            </w:r>
          </w:p>
          <w:p w:rsidR="001603AF" w:rsidRPr="001603AF" w:rsidRDefault="001603AF" w:rsidP="00490FB0">
            <w:pPr>
              <w:ind w:left="75" w:right="34"/>
            </w:pPr>
            <w:r w:rsidRPr="001603AF">
              <w:t>BV/CPT:82</w:t>
            </w:r>
          </w:p>
          <w:p w:rsidR="001603AF" w:rsidRPr="001603AF" w:rsidRDefault="001603AF" w:rsidP="00490FB0">
            <w:pPr>
              <w:ind w:left="75" w:right="34"/>
            </w:pPr>
            <w:r w:rsidRPr="001603AF">
              <w:rPr>
                <w:b/>
              </w:rPr>
              <w:t>PP:</w:t>
            </w:r>
            <w:r w:rsidRPr="001603AF">
              <w:t xml:space="preserve"> BV:84; BV/CPT:79</w:t>
            </w:r>
          </w:p>
        </w:tc>
        <w:tc>
          <w:tcPr>
            <w:tcW w:w="2233" w:type="dxa"/>
          </w:tcPr>
          <w:p w:rsidR="001603AF" w:rsidRPr="00490FB0" w:rsidRDefault="001603AF" w:rsidP="00490FB0">
            <w:pPr>
              <w:ind w:left="34" w:right="0"/>
              <w:rPr>
                <w:b/>
                <w:i/>
              </w:rPr>
            </w:pPr>
            <w:r w:rsidRPr="00490FB0">
              <w:rPr>
                <w:b/>
                <w:i/>
              </w:rPr>
              <w:t>Efficacy</w:t>
            </w:r>
          </w:p>
          <w:p w:rsidR="001603AF" w:rsidRPr="00490FB0" w:rsidRDefault="001603AF" w:rsidP="00490FB0">
            <w:pPr>
              <w:ind w:left="34" w:right="0"/>
              <w:rPr>
                <w:i/>
              </w:rPr>
            </w:pPr>
            <w:r w:rsidRPr="00490FB0">
              <w:rPr>
                <w:i/>
              </w:rPr>
              <w:t>6M PFS</w:t>
            </w:r>
          </w:p>
          <w:p w:rsidR="001603AF" w:rsidRPr="001603AF" w:rsidRDefault="001603AF" w:rsidP="00490FB0">
            <w:pPr>
              <w:ind w:left="34" w:right="0"/>
            </w:pPr>
            <w:r w:rsidRPr="001603AF">
              <w:t>Arm 1: 42.6%</w:t>
            </w:r>
          </w:p>
          <w:p w:rsidR="001603AF" w:rsidRPr="001603AF" w:rsidRDefault="001603AF" w:rsidP="00490FB0">
            <w:pPr>
              <w:ind w:left="34" w:right="0"/>
            </w:pPr>
            <w:r w:rsidRPr="001603AF">
              <w:t>Arm 2: 50.3%</w:t>
            </w:r>
          </w:p>
          <w:p w:rsidR="001603AF" w:rsidRPr="001603AF" w:rsidRDefault="001603AF" w:rsidP="00490FB0">
            <w:pPr>
              <w:ind w:left="34" w:right="0"/>
            </w:pPr>
            <w:r w:rsidRPr="001603AF">
              <w:t>P&lt;0.0001</w:t>
            </w:r>
          </w:p>
          <w:p w:rsidR="001603AF" w:rsidRPr="00490FB0" w:rsidRDefault="001603AF" w:rsidP="00490FB0">
            <w:pPr>
              <w:ind w:left="34" w:right="0"/>
              <w:rPr>
                <w:b/>
              </w:rPr>
            </w:pPr>
            <w:r w:rsidRPr="00490FB0">
              <w:rPr>
                <w:b/>
              </w:rPr>
              <w:t>OR</w:t>
            </w:r>
          </w:p>
          <w:p w:rsidR="001603AF" w:rsidRPr="001603AF" w:rsidRDefault="00490FB0" w:rsidP="00490FB0">
            <w:pPr>
              <w:ind w:left="34" w:right="0"/>
            </w:pPr>
            <w:r>
              <w:t>Arm 1: 28.2%</w:t>
            </w:r>
          </w:p>
          <w:p w:rsidR="001603AF" w:rsidRPr="001603AF" w:rsidRDefault="001603AF" w:rsidP="00490FB0">
            <w:pPr>
              <w:ind w:left="34" w:right="0"/>
            </w:pPr>
            <w:r w:rsidRPr="001603AF">
              <w:t>Arm 2: 37.8%</w:t>
            </w:r>
          </w:p>
          <w:p w:rsidR="001603AF" w:rsidRPr="001603AF" w:rsidRDefault="001603AF" w:rsidP="00490FB0">
            <w:pPr>
              <w:ind w:left="34" w:right="0"/>
            </w:pPr>
            <w:r w:rsidRPr="001603AF">
              <w:t>P&lt;0.0001</w:t>
            </w:r>
          </w:p>
          <w:p w:rsidR="001603AF" w:rsidRPr="00490FB0" w:rsidRDefault="001603AF" w:rsidP="00490FB0">
            <w:pPr>
              <w:ind w:left="34" w:right="0"/>
              <w:rPr>
                <w:i/>
              </w:rPr>
            </w:pPr>
            <w:r w:rsidRPr="00490FB0">
              <w:rPr>
                <w:i/>
              </w:rPr>
              <w:t>Duration of response</w:t>
            </w:r>
          </w:p>
          <w:p w:rsidR="001603AF" w:rsidRPr="001603AF" w:rsidRDefault="001603AF" w:rsidP="00490FB0">
            <w:pPr>
              <w:ind w:left="34" w:right="0"/>
            </w:pPr>
            <w:r w:rsidRPr="001603AF">
              <w:t>Arm 1: 5.6 M</w:t>
            </w:r>
          </w:p>
          <w:p w:rsidR="001603AF" w:rsidRPr="001603AF" w:rsidRDefault="001603AF" w:rsidP="00490FB0">
            <w:pPr>
              <w:ind w:left="34" w:right="0"/>
            </w:pPr>
            <w:r w:rsidRPr="001603AF">
              <w:t>Arm 2: 4.3 M</w:t>
            </w:r>
          </w:p>
          <w:p w:rsidR="001603AF" w:rsidRPr="00490FB0" w:rsidRDefault="001603AF" w:rsidP="00490FB0">
            <w:pPr>
              <w:ind w:left="34" w:right="0"/>
              <w:rPr>
                <w:i/>
              </w:rPr>
            </w:pPr>
            <w:r w:rsidRPr="00490FB0">
              <w:rPr>
                <w:i/>
              </w:rPr>
              <w:t>OS</w:t>
            </w:r>
          </w:p>
          <w:p w:rsidR="001603AF" w:rsidRPr="001603AF" w:rsidRDefault="001603AF" w:rsidP="00490FB0">
            <w:pPr>
              <w:ind w:left="34" w:right="0"/>
            </w:pPr>
            <w:r w:rsidRPr="001603AF">
              <w:t>Arm 1: 9.3 M</w:t>
            </w:r>
          </w:p>
          <w:p w:rsidR="001603AF" w:rsidRPr="001603AF" w:rsidRDefault="001603AF" w:rsidP="00490FB0">
            <w:pPr>
              <w:ind w:left="34" w:right="0"/>
            </w:pPr>
            <w:r w:rsidRPr="001603AF">
              <w:t>Arm 2: 8.8 M</w:t>
            </w:r>
          </w:p>
          <w:p w:rsidR="001603AF" w:rsidRPr="00490FB0" w:rsidRDefault="001603AF" w:rsidP="00490FB0">
            <w:pPr>
              <w:ind w:left="34" w:right="0"/>
              <w:rPr>
                <w:b/>
                <w:i/>
              </w:rPr>
            </w:pPr>
            <w:r w:rsidRPr="00490FB0">
              <w:rPr>
                <w:b/>
                <w:i/>
              </w:rPr>
              <w:t>Safety</w:t>
            </w:r>
          </w:p>
          <w:p w:rsidR="001603AF" w:rsidRPr="00490FB0" w:rsidRDefault="001603AF" w:rsidP="00490FB0">
            <w:pPr>
              <w:ind w:left="34" w:right="0"/>
              <w:rPr>
                <w:i/>
              </w:rPr>
            </w:pPr>
            <w:r w:rsidRPr="00490FB0">
              <w:rPr>
                <w:i/>
              </w:rPr>
              <w:t>Grade &gt;3 AE</w:t>
            </w:r>
          </w:p>
          <w:p w:rsidR="001603AF" w:rsidRPr="001603AF" w:rsidRDefault="001603AF" w:rsidP="00490FB0">
            <w:pPr>
              <w:ind w:left="34" w:right="0"/>
            </w:pPr>
            <w:r w:rsidRPr="001603AF">
              <w:t>Arm 1: 39 (46.4%)</w:t>
            </w:r>
          </w:p>
          <w:p w:rsidR="001603AF" w:rsidRPr="001603AF" w:rsidRDefault="001603AF" w:rsidP="00490FB0">
            <w:pPr>
              <w:ind w:left="34" w:right="0"/>
            </w:pPr>
            <w:r w:rsidRPr="001603AF">
              <w:t>(hypertension 8%; convulsions 6%)</w:t>
            </w:r>
          </w:p>
          <w:p w:rsidR="001603AF" w:rsidRPr="001603AF" w:rsidRDefault="001603AF" w:rsidP="00490FB0">
            <w:pPr>
              <w:ind w:left="34" w:right="0"/>
            </w:pPr>
            <w:r w:rsidRPr="001603AF">
              <w:t>Arm 2: 52 (66%)</w:t>
            </w:r>
          </w:p>
          <w:p w:rsidR="001603AF" w:rsidRPr="001603AF" w:rsidRDefault="001603AF" w:rsidP="00490FB0">
            <w:pPr>
              <w:ind w:left="34" w:right="0"/>
            </w:pPr>
            <w:r w:rsidRPr="001603AF">
              <w:t xml:space="preserve">(convulsions 14%; </w:t>
            </w:r>
            <w:proofErr w:type="spellStart"/>
            <w:r w:rsidRPr="001603AF">
              <w:t>neutropenia</w:t>
            </w:r>
            <w:proofErr w:type="spellEnd"/>
            <w:r w:rsidRPr="001603AF">
              <w:t xml:space="preserve"> 9%; fatigue 9%)</w:t>
            </w:r>
          </w:p>
          <w:p w:rsidR="001603AF" w:rsidRPr="00490FB0" w:rsidRDefault="001603AF" w:rsidP="00490FB0">
            <w:pPr>
              <w:ind w:left="34" w:right="0"/>
              <w:rPr>
                <w:i/>
              </w:rPr>
            </w:pPr>
            <w:r w:rsidRPr="00490FB0">
              <w:rPr>
                <w:i/>
              </w:rPr>
              <w:t>AE: Special interest</w:t>
            </w:r>
          </w:p>
          <w:p w:rsidR="001603AF" w:rsidRPr="001603AF" w:rsidRDefault="001603AF" w:rsidP="00490FB0">
            <w:pPr>
              <w:ind w:left="34" w:right="0"/>
            </w:pPr>
            <w:r w:rsidRPr="001603AF">
              <w:t xml:space="preserve">Hypertension, </w:t>
            </w:r>
            <w:proofErr w:type="spellStart"/>
            <w:r w:rsidRPr="001603AF">
              <w:t>proteinuria</w:t>
            </w:r>
            <w:proofErr w:type="spellEnd"/>
            <w:r w:rsidRPr="001603AF">
              <w:t xml:space="preserve">, </w:t>
            </w:r>
            <w:proofErr w:type="spellStart"/>
            <w:r w:rsidRPr="001603AF">
              <w:t>thromboembolic</w:t>
            </w:r>
            <w:proofErr w:type="spellEnd"/>
            <w:r w:rsidRPr="001603AF">
              <w:t xml:space="preserve"> events, &amp; GI perforation, rates similar to other </w:t>
            </w:r>
            <w:r w:rsidRPr="001603AF">
              <w:lastRenderedPageBreak/>
              <w:t>tumours</w:t>
            </w:r>
          </w:p>
          <w:p w:rsidR="001603AF" w:rsidRPr="00490FB0" w:rsidRDefault="001603AF" w:rsidP="00490FB0">
            <w:pPr>
              <w:ind w:left="34" w:right="0"/>
              <w:rPr>
                <w:i/>
              </w:rPr>
            </w:pPr>
            <w:r w:rsidRPr="00490FB0">
              <w:rPr>
                <w:i/>
              </w:rPr>
              <w:t>CNS: Haemorrhage</w:t>
            </w:r>
          </w:p>
          <w:p w:rsidR="001603AF" w:rsidRPr="001603AF" w:rsidRDefault="001603AF" w:rsidP="00490FB0">
            <w:pPr>
              <w:ind w:left="34" w:right="0"/>
            </w:pPr>
            <w:r w:rsidRPr="001603AF">
              <w:t>Arm 1: 2 (Grade 1)</w:t>
            </w:r>
          </w:p>
          <w:p w:rsidR="001603AF" w:rsidRPr="001603AF" w:rsidRDefault="00490FB0" w:rsidP="00490FB0">
            <w:pPr>
              <w:ind w:left="34" w:right="0"/>
            </w:pPr>
            <w:r>
              <w:t>Arm 2: 3 (Grades 1, 2 &amp; 4)</w:t>
            </w:r>
          </w:p>
          <w:p w:rsidR="001603AF" w:rsidRPr="00490FB0" w:rsidRDefault="001603AF" w:rsidP="00490FB0">
            <w:pPr>
              <w:ind w:left="34" w:right="0"/>
              <w:rPr>
                <w:i/>
              </w:rPr>
            </w:pPr>
            <w:r w:rsidRPr="00490FB0">
              <w:rPr>
                <w:i/>
              </w:rPr>
              <w:t xml:space="preserve">Wd healing </w:t>
            </w:r>
            <w:proofErr w:type="spellStart"/>
            <w:r w:rsidRPr="00490FB0">
              <w:rPr>
                <w:i/>
              </w:rPr>
              <w:t>probs</w:t>
            </w:r>
            <w:proofErr w:type="spellEnd"/>
          </w:p>
          <w:p w:rsidR="001603AF" w:rsidRPr="001603AF" w:rsidRDefault="001603AF" w:rsidP="00490FB0">
            <w:pPr>
              <w:ind w:left="34" w:right="0"/>
            </w:pPr>
            <w:r w:rsidRPr="001603AF">
              <w:t>Arm 1: 5; Arm 2: 2</w:t>
            </w:r>
          </w:p>
          <w:p w:rsidR="001603AF" w:rsidRPr="00490FB0" w:rsidRDefault="001603AF" w:rsidP="00490FB0">
            <w:pPr>
              <w:ind w:left="34" w:right="0"/>
              <w:rPr>
                <w:i/>
              </w:rPr>
            </w:pPr>
            <w:r w:rsidRPr="00490FB0">
              <w:rPr>
                <w:i/>
              </w:rPr>
              <w:t>Discontinuations</w:t>
            </w:r>
          </w:p>
          <w:p w:rsidR="001603AF" w:rsidRPr="001603AF" w:rsidRDefault="001603AF" w:rsidP="00490FB0">
            <w:pPr>
              <w:ind w:left="34" w:right="0"/>
            </w:pPr>
            <w:proofErr w:type="spellStart"/>
            <w:r w:rsidRPr="001603AF">
              <w:t>Bevacizumab</w:t>
            </w:r>
            <w:proofErr w:type="spellEnd"/>
            <w:r w:rsidRPr="001603AF">
              <w:t>:</w:t>
            </w:r>
          </w:p>
          <w:p w:rsidR="001603AF" w:rsidRPr="001603AF" w:rsidRDefault="001603AF" w:rsidP="00490FB0">
            <w:pPr>
              <w:ind w:left="34" w:right="0"/>
            </w:pPr>
            <w:r w:rsidRPr="001603AF">
              <w:t>Arm 1: 4; Arm 2: 14</w:t>
            </w:r>
          </w:p>
          <w:p w:rsidR="001603AF" w:rsidRPr="001603AF" w:rsidRDefault="00490FB0" w:rsidP="00490FB0">
            <w:pPr>
              <w:ind w:left="34" w:right="0"/>
            </w:pPr>
            <w:proofErr w:type="spellStart"/>
            <w:r>
              <w:t>Irinotecan</w:t>
            </w:r>
            <w:proofErr w:type="spellEnd"/>
            <w:r>
              <w:t xml:space="preserve">: </w:t>
            </w:r>
            <w:r w:rsidR="001603AF" w:rsidRPr="001603AF">
              <w:t>Arm 2: 14</w:t>
            </w:r>
          </w:p>
        </w:tc>
      </w:tr>
    </w:tbl>
    <w:p w:rsidR="001603AF" w:rsidRPr="001603AF" w:rsidRDefault="001603AF" w:rsidP="00490FB0">
      <w:r w:rsidRPr="001603AF">
        <w:lastRenderedPageBreak/>
        <w:t xml:space="preserve">For patients in first relapse, prior treatment may have included radiotherapy and </w:t>
      </w:r>
      <w:proofErr w:type="spellStart"/>
      <w:r w:rsidRPr="001603AF">
        <w:t>temozolomide</w:t>
      </w:r>
      <w:proofErr w:type="spellEnd"/>
      <w:r w:rsidRPr="001603AF">
        <w:t xml:space="preserve">. Prior surgery could be biopsy, partial resection or full resection. For patients in second relapse, prior treatment may have included surgery and radiotherapy only, or surgery, radiotherapy and chemotherapy. All the patients should have received </w:t>
      </w:r>
      <w:proofErr w:type="spellStart"/>
      <w:r w:rsidRPr="001603AF">
        <w:t>temozolomide</w:t>
      </w:r>
      <w:proofErr w:type="spellEnd"/>
      <w:r w:rsidRPr="001603AF">
        <w:t xml:space="preserve"> in their first-line treatment or in the treatment of relapse.  All the patients received </w:t>
      </w:r>
      <w:proofErr w:type="spellStart"/>
      <w:r w:rsidRPr="001603AF">
        <w:t>bevacizumab</w:t>
      </w:r>
      <w:proofErr w:type="spellEnd"/>
      <w:r w:rsidRPr="001603AF">
        <w:t xml:space="preserve"> 10 mg/kg every 2 weeks. The initial dose of </w:t>
      </w:r>
      <w:proofErr w:type="spellStart"/>
      <w:r w:rsidRPr="001603AF">
        <w:t>irinotecan</w:t>
      </w:r>
      <w:proofErr w:type="spellEnd"/>
      <w:r w:rsidRPr="001603AF">
        <w:t xml:space="preserve"> was 340 mg/m</w:t>
      </w:r>
      <w:r w:rsidRPr="001603AF">
        <w:rPr>
          <w:vertAlign w:val="superscript"/>
        </w:rPr>
        <w:t>2</w:t>
      </w:r>
      <w:r w:rsidRPr="001603AF">
        <w:t xml:space="preserve"> administered intravenously (IV) over 90 minutes every other week for patients in the BV/CPT arm (Arm 2) who were taking enzyme inducing anti-epileptic drugs (EIAEDs). For those not taking EIAEDs, the initial dose was 125 mg/m</w:t>
      </w:r>
      <w:r w:rsidRPr="001603AF">
        <w:rPr>
          <w:vertAlign w:val="superscript"/>
        </w:rPr>
        <w:t>2</w:t>
      </w:r>
      <w:r w:rsidRPr="001603AF">
        <w:t xml:space="preserve"> IV over 90 minutes ever</w:t>
      </w:r>
      <w:r w:rsidR="00490FB0">
        <w:t>y other week.</w:t>
      </w:r>
    </w:p>
    <w:p w:rsidR="001603AF" w:rsidRPr="001603AF" w:rsidRDefault="001603AF" w:rsidP="00490FB0">
      <w:r w:rsidRPr="001603AF">
        <w:t xml:space="preserve">Treatment was continued for 104 weeks in the absence of disease </w:t>
      </w:r>
      <w:r w:rsidR="00490FB0">
        <w:t>progression or discontinuation.</w:t>
      </w:r>
    </w:p>
    <w:p w:rsidR="001603AF" w:rsidRPr="001603AF" w:rsidRDefault="001603AF" w:rsidP="00490FB0">
      <w:r w:rsidRPr="001603AF">
        <w:t>Response was determined using modified Macdonald criteria: complete response (CR), complete disappearance of tumour; partial response (PR), at least 50% decrease in the sum of products of the two largest perpendicular diameters of all measurable lesions. A complete response (CR) was determined if the magnetic resonance imaging (MRI) criteria for CR were met and the corticosteroid level was within physiological levels. A complete response (CR) can be determined only if the patient no longer requires corticosteroid treatment. A partial response (PR) was determined if the MRI criteria for PR were met and the corticosteroid dose at that time was the baseline corticosteroid dose. A baseline corticosteroid dose is defined as the highest corticosteroid daily dose during the firs</w:t>
      </w:r>
      <w:r w:rsidR="00490FB0">
        <w:t>t cycle (6 weeks) of treatment.</w:t>
      </w:r>
    </w:p>
    <w:p w:rsidR="001603AF" w:rsidRPr="001603AF" w:rsidRDefault="001603AF" w:rsidP="00490FB0">
      <w:r w:rsidRPr="001603AF">
        <w:t xml:space="preserve">Patients in Arm 1, who experience disease progression may, at the discretion of the investigator, also receive </w:t>
      </w:r>
      <w:proofErr w:type="spellStart"/>
      <w:r w:rsidRPr="001603AF">
        <w:t>irinotecan</w:t>
      </w:r>
      <w:proofErr w:type="spellEnd"/>
      <w:r w:rsidRPr="001603AF">
        <w:t xml:space="preserve"> within 28 days of the date progression was documented by MRI scan. The patient would be discontinued from the study if there was severe toxicit</w:t>
      </w:r>
      <w:r w:rsidR="00490FB0">
        <w:t>y or progression a second time.</w:t>
      </w:r>
    </w:p>
    <w:p w:rsidR="001603AF" w:rsidRPr="001603AF" w:rsidRDefault="001603AF" w:rsidP="00490FB0">
      <w:r w:rsidRPr="001603AF">
        <w:lastRenderedPageBreak/>
        <w:t>Patients in Arm 2 (BV/CPT) who experience severe toxicity with one of the 2 agents may discontinue that agent and continue on a single agent for the balance of the 104 week treatment period in the absence of disease progression or discontinuation.</w:t>
      </w:r>
    </w:p>
    <w:p w:rsidR="001603AF" w:rsidRPr="001603AF" w:rsidRDefault="001603AF" w:rsidP="00490FB0">
      <w:r w:rsidRPr="001603AF">
        <w:t>All the patients from both arms of the study, even if discontinued from the study, were followed up for survival until death, loss to follow-up, patient request for withdrawal or study termination by the sponsor. The study flowchart was described in Figure 1.</w:t>
      </w:r>
    </w:p>
    <w:p w:rsidR="001603AF" w:rsidRPr="001603AF" w:rsidRDefault="001603AF" w:rsidP="00490FB0">
      <w:r w:rsidRPr="001603AF">
        <w:rPr>
          <w:i/>
        </w:rPr>
        <w:t>IRF oncology review:</w:t>
      </w:r>
      <w:r w:rsidRPr="001603AF">
        <w:t xml:space="preserve"> Independent review of MRIs were performed at the Independent Review facility (IRF) up to the time of the final analysis, by which time all the patients were expected to have at least 6 months follow-up. The review consisted primarily of the radiology studies, review of corticosteroid use, photographs and other relevant information from </w:t>
      </w:r>
      <w:proofErr w:type="spellStart"/>
      <w:r w:rsidRPr="001603AF">
        <w:t>neuro</w:t>
      </w:r>
      <w:proofErr w:type="spellEnd"/>
      <w:r w:rsidRPr="001603AF">
        <w:t>-radiologists and oncologists. Corticosteroids, used for the management of tumour associated cerebral oedema and in the treatment of drug related nausea, can have an effect on blood-brain barrier permeability and hence on tumour measurements. Two listings of corticosteroid usage were obtained from the Case Report Form (CRF): one with all administered corticosteroids and the other with corticosteroids not given for chemoprophylaxis. In this study, efficacy was determined by the IRF using the modified Macdonald criteria, exclusive of corticostero</w:t>
      </w:r>
      <w:r w:rsidR="00490FB0">
        <w:t>ids given for chemoprophylaxis.</w:t>
      </w:r>
    </w:p>
    <w:p w:rsidR="001603AF" w:rsidRPr="001603AF" w:rsidRDefault="001603AF" w:rsidP="00490FB0">
      <w:r w:rsidRPr="001603AF">
        <w:rPr>
          <w:i/>
        </w:rPr>
        <w:t>Analysis population:</w:t>
      </w:r>
      <w:r w:rsidRPr="001603AF">
        <w:t xml:space="preserve"> The primary efficacy analysis population was the ITT population defined as all the patients who were randomized, regardless of whether they received study treatment. The safety population were patients who had received at least one dose of study treatment.</w:t>
      </w:r>
    </w:p>
    <w:p w:rsidR="001603AF" w:rsidRPr="001603AF" w:rsidRDefault="001603AF" w:rsidP="00490FB0">
      <w:pPr>
        <w:pStyle w:val="Heading4"/>
      </w:pPr>
      <w:r w:rsidRPr="001603AF">
        <w:t>Efficacy endpoints</w:t>
      </w:r>
    </w:p>
    <w:p w:rsidR="001603AF" w:rsidRPr="001603AF" w:rsidRDefault="001603AF" w:rsidP="00490FB0">
      <w:pPr>
        <w:pStyle w:val="Heading5"/>
      </w:pPr>
      <w:r w:rsidRPr="001603AF">
        <w:t>Primary efficacy endpoints</w:t>
      </w:r>
    </w:p>
    <w:p w:rsidR="001603AF" w:rsidRPr="001603AF" w:rsidRDefault="001603AF" w:rsidP="00490FB0">
      <w:r w:rsidRPr="001603AF">
        <w:t xml:space="preserve">The primary efficacy endpoints were IRF assessments of 6-month PFS and objective response rate for each treatment arm. The primary efficacy analyses of 6-month PFS and objective response rate were performed at the two-sided 0.025 level of significance. Historical controls used to establish the null hypotheses for these endpoints was based on a study by Wong et al in 375 patients with recurrent </w:t>
      </w:r>
      <w:proofErr w:type="spellStart"/>
      <w:r w:rsidRPr="001603AF">
        <w:t>glioma</w:t>
      </w:r>
      <w:proofErr w:type="spellEnd"/>
      <w:r w:rsidRPr="001603AF">
        <w:t xml:space="preserve">, drawn from 8 consecutive phase II chemotherapy trials. The study found the 6-month PFS was approximately 15%, overall survival, 25 weeks, and </w:t>
      </w:r>
      <w:r w:rsidR="00490FB0">
        <w:t>an objective response rate, 5%.</w:t>
      </w:r>
    </w:p>
    <w:p w:rsidR="001603AF" w:rsidRPr="001603AF" w:rsidRDefault="001603AF" w:rsidP="00490FB0">
      <w:r w:rsidRPr="001603AF">
        <w:t>The Six-month PFS was defined as the percentage of patients who remained alive and progression free at 24 weeks. PFS was the time from randomisation to documented disease progression (as determined by the IRF using the modified Macdonald criteria), clear clinical progression in the absence of MRI determination of progression, or death from any cause, whichever occurred first. The date of MRI determination of progression, if conducted, was documented as the progression date for that patient.</w:t>
      </w:r>
    </w:p>
    <w:p w:rsidR="001603AF" w:rsidRPr="001603AF" w:rsidRDefault="001603AF" w:rsidP="00490FB0">
      <w:pPr>
        <w:pStyle w:val="FigureTitle"/>
      </w:pPr>
      <w:r w:rsidRPr="001603AF">
        <w:lastRenderedPageBreak/>
        <w:t>Figure 1</w:t>
      </w:r>
      <w:r w:rsidR="00490FB0">
        <w:t xml:space="preserve"> </w:t>
      </w:r>
      <w:r w:rsidRPr="001603AF">
        <w:t>Study Design</w:t>
      </w:r>
    </w:p>
    <w:p w:rsidR="001603AF" w:rsidRPr="001603AF" w:rsidRDefault="00544C68" w:rsidP="001603AF">
      <w:r>
        <w:pict>
          <v:group id="_x0000_s1206" editas="canvas" alt="Figure 1 Study Design" style="width:415.3pt;height:350.4pt;mso-position-horizontal-relative:char;mso-position-vertical-relative:line" coordorigin="1800,1524" coordsize="8306,70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7" type="#_x0000_t75" style="position:absolute;left:1800;top:1524;width:8306;height:7008" o:preferrelative="f">
              <v:fill o:detectmouseclick="t"/>
              <v:path o:extrusionok="t" o:connecttype="none"/>
              <o:lock v:ext="edit" text="t"/>
            </v:shape>
            <v:shapetype id="_x0000_t109" coordsize="21600,21600" o:spt="109" path="m,l,21600r21600,l21600,xe">
              <v:stroke joinstyle="miter"/>
              <v:path gradientshapeok="t" o:connecttype="rect"/>
            </v:shapetype>
            <v:shape id="_x0000_s1208" type="#_x0000_t109" style="position:absolute;left:4671;top:1618;width:2528;height:900" filled="f">
              <v:textbox style="mso-next-textbox:#_x0000_s1208" inset="1.3mm,1mm,1.3mm,1mm">
                <w:txbxContent>
                  <w:p w:rsidR="005D0352" w:rsidRPr="00CB506A" w:rsidRDefault="005D0352" w:rsidP="001603AF">
                    <w:pPr>
                      <w:spacing w:before="0" w:after="0"/>
                      <w:jc w:val="center"/>
                      <w:rPr>
                        <w:rFonts w:ascii="Arial" w:hAnsi="Arial" w:cs="Arial"/>
                        <w:sz w:val="17"/>
                        <w:szCs w:val="17"/>
                      </w:rPr>
                    </w:pPr>
                    <w:r w:rsidRPr="00CB506A">
                      <w:rPr>
                        <w:rFonts w:ascii="Arial" w:hAnsi="Arial" w:cs="Arial"/>
                        <w:sz w:val="17"/>
                        <w:szCs w:val="17"/>
                      </w:rPr>
                      <w:t>Subjects with</w:t>
                    </w:r>
                    <w:r>
                      <w:rPr>
                        <w:rFonts w:ascii="Arial" w:hAnsi="Arial" w:cs="Arial"/>
                        <w:sz w:val="17"/>
                        <w:szCs w:val="17"/>
                      </w:rPr>
                      <w:br/>
                    </w:r>
                    <w:proofErr w:type="spellStart"/>
                    <w:r>
                      <w:rPr>
                        <w:rFonts w:ascii="Arial" w:hAnsi="Arial" w:cs="Arial"/>
                        <w:sz w:val="17"/>
                        <w:szCs w:val="17"/>
                      </w:rPr>
                      <w:t>glioblastoma</w:t>
                    </w:r>
                    <w:proofErr w:type="spellEnd"/>
                    <w:r>
                      <w:rPr>
                        <w:rFonts w:ascii="Arial" w:hAnsi="Arial" w:cs="Arial"/>
                        <w:sz w:val="17"/>
                        <w:szCs w:val="17"/>
                      </w:rPr>
                      <w:t xml:space="preserve"> </w:t>
                    </w:r>
                    <w:proofErr w:type="spellStart"/>
                    <w:r>
                      <w:rPr>
                        <w:rFonts w:ascii="Arial" w:hAnsi="Arial" w:cs="Arial"/>
                        <w:sz w:val="17"/>
                        <w:szCs w:val="17"/>
                      </w:rPr>
                      <w:t>multiforme</w:t>
                    </w:r>
                    <w:proofErr w:type="spellEnd"/>
                    <w:r>
                      <w:rPr>
                        <w:rFonts w:ascii="Arial" w:hAnsi="Arial" w:cs="Arial"/>
                        <w:sz w:val="17"/>
                        <w:szCs w:val="17"/>
                      </w:rPr>
                      <w:t xml:space="preserve"> in first</w:t>
                    </w:r>
                    <w:r>
                      <w:rPr>
                        <w:rFonts w:ascii="Arial" w:hAnsi="Arial" w:cs="Arial"/>
                        <w:sz w:val="17"/>
                        <w:szCs w:val="17"/>
                      </w:rPr>
                      <w:br/>
                      <w:t>or second relapse</w:t>
                    </w:r>
                  </w:p>
                </w:txbxContent>
              </v:textbox>
            </v:shape>
            <v:shape id="_x0000_s1209" type="#_x0000_t109" style="position:absolute;left:3376;top:2915;width:1631;height:653" filled="f">
              <v:textbox style="mso-next-textbox:#_x0000_s1209" inset="1.3mm,1.3mm,1.3mm,1.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Arm 1 (n=80)</w:t>
                    </w:r>
                    <w:r>
                      <w:rPr>
                        <w:rFonts w:ascii="Arial" w:hAnsi="Arial" w:cs="Arial"/>
                        <w:sz w:val="17"/>
                        <w:szCs w:val="17"/>
                      </w:rPr>
                      <w:br/>
                    </w:r>
                    <w:proofErr w:type="spellStart"/>
                    <w:r>
                      <w:rPr>
                        <w:rFonts w:ascii="Arial" w:hAnsi="Arial" w:cs="Arial"/>
                        <w:sz w:val="17"/>
                        <w:szCs w:val="17"/>
                      </w:rPr>
                      <w:t>Bevacizumab</w:t>
                    </w:r>
                    <w:proofErr w:type="spellEnd"/>
                  </w:p>
                </w:txbxContent>
              </v:textbox>
            </v:shape>
            <v:shape id="_x0000_s1210" type="#_x0000_t109" style="position:absolute;left:6641;top:2915;width:2150;height:653" filled="f">
              <v:textbox style="mso-next-textbox:#_x0000_s1210" inset="1.3mm,1.3mm,1.3mm,1.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Arm 2 (n=80)</w:t>
                    </w:r>
                    <w:r>
                      <w:rPr>
                        <w:rFonts w:ascii="Arial" w:hAnsi="Arial" w:cs="Arial"/>
                        <w:sz w:val="17"/>
                        <w:szCs w:val="17"/>
                      </w:rPr>
                      <w:br/>
                    </w:r>
                    <w:proofErr w:type="spellStart"/>
                    <w:r>
                      <w:rPr>
                        <w:rFonts w:ascii="Arial" w:hAnsi="Arial" w:cs="Arial"/>
                        <w:sz w:val="17"/>
                        <w:szCs w:val="17"/>
                      </w:rPr>
                      <w:t>Bevacizumab+Irinotecan</w:t>
                    </w:r>
                    <w:proofErr w:type="spellEnd"/>
                  </w:p>
                </w:txbxContent>
              </v:textbox>
            </v:shape>
            <v:shape id="_x0000_s1211" type="#_x0000_t109" style="position:absolute;left:3548;top:3844;width:1319;height:624" filled="f">
              <v:textbox style="mso-next-textbox:#_x0000_s1211"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Disease</w:t>
                    </w:r>
                    <w:r>
                      <w:rPr>
                        <w:rFonts w:ascii="Arial" w:hAnsi="Arial" w:cs="Arial"/>
                        <w:sz w:val="17"/>
                        <w:szCs w:val="17"/>
                      </w:rPr>
                      <w:br/>
                      <w:t>progression</w:t>
                    </w:r>
                  </w:p>
                </w:txbxContent>
              </v:textbox>
            </v:shape>
            <v:shape id="_x0000_s1212" type="#_x0000_t109" style="position:absolute;left:6329;top:3844;width:1319;height:624" filled="f">
              <v:textbox style="mso-next-textbox:#_x0000_s1212"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Unmanageable</w:t>
                    </w:r>
                    <w:r>
                      <w:rPr>
                        <w:rFonts w:ascii="Arial" w:hAnsi="Arial" w:cs="Arial"/>
                        <w:sz w:val="17"/>
                        <w:szCs w:val="17"/>
                      </w:rPr>
                      <w:br/>
                      <w:t>toxicity</w:t>
                    </w:r>
                  </w:p>
                </w:txbxContent>
              </v:textbox>
            </v:shape>
            <v:shape id="_x0000_s1213" type="#_x0000_t109" style="position:absolute;left:7809;top:3844;width:1319;height:624" filled="f">
              <v:textbox style="mso-next-textbox:#_x0000_s1213"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Disease</w:t>
                    </w:r>
                    <w:r>
                      <w:rPr>
                        <w:rFonts w:ascii="Arial" w:hAnsi="Arial" w:cs="Arial"/>
                        <w:sz w:val="17"/>
                        <w:szCs w:val="17"/>
                      </w:rPr>
                      <w:br/>
                      <w:t>progression</w:t>
                    </w:r>
                  </w:p>
                </w:txbxContent>
              </v:textbox>
            </v:shape>
            <v:shape id="_x0000_s1214" type="#_x0000_t109" style="position:absolute;left:3122;top:5043;width:2161;height:655" filled="f">
              <v:textbox style="mso-next-textbox:#_x0000_s1214" inset="1.3mm,1.3mm,1.3mm,1.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Optional post-progression</w:t>
                    </w:r>
                    <w:r>
                      <w:rPr>
                        <w:rFonts w:ascii="Arial" w:hAnsi="Arial" w:cs="Arial"/>
                        <w:sz w:val="17"/>
                        <w:szCs w:val="17"/>
                      </w:rPr>
                      <w:br/>
                      <w:t>phase</w:t>
                    </w:r>
                  </w:p>
                </w:txbxContent>
              </v:textbox>
            </v:shape>
            <v:shape id="_x0000_s1215" type="#_x0000_t109" style="position:absolute;left:5905;top:4630;width:2175;height:1482" filled="f">
              <v:textbox style="mso-next-textbox:#_x0000_s1215" inset="1.3mm,.3mm,1.3mm,.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If toxicity can be assigned</w:t>
                    </w:r>
                    <w:r>
                      <w:rPr>
                        <w:rFonts w:ascii="Arial" w:hAnsi="Arial" w:cs="Arial"/>
                        <w:sz w:val="17"/>
                        <w:szCs w:val="17"/>
                      </w:rPr>
                      <w:br/>
                      <w:t>to one of the drugs,</w:t>
                    </w:r>
                    <w:r>
                      <w:rPr>
                        <w:rFonts w:ascii="Arial" w:hAnsi="Arial" w:cs="Arial"/>
                        <w:sz w:val="17"/>
                        <w:szCs w:val="17"/>
                      </w:rPr>
                      <w:br/>
                      <w:t>discontinue</w:t>
                    </w:r>
                    <w:r>
                      <w:rPr>
                        <w:rFonts w:ascii="Arial" w:hAnsi="Arial" w:cs="Arial"/>
                        <w:sz w:val="17"/>
                        <w:szCs w:val="17"/>
                      </w:rPr>
                      <w:br/>
                      <w:t>toxicity-causing agent</w:t>
                    </w:r>
                    <w:r>
                      <w:rPr>
                        <w:rFonts w:ascii="Arial" w:hAnsi="Arial" w:cs="Arial"/>
                        <w:sz w:val="17"/>
                        <w:szCs w:val="17"/>
                      </w:rPr>
                      <w:br/>
                      <w:t>and continue with</w:t>
                    </w:r>
                    <w:r>
                      <w:rPr>
                        <w:rFonts w:ascii="Arial" w:hAnsi="Arial" w:cs="Arial"/>
                        <w:sz w:val="17"/>
                        <w:szCs w:val="17"/>
                      </w:rPr>
                      <w:br/>
                      <w:t>remaining single agent</w:t>
                    </w:r>
                  </w:p>
                </w:txbxContent>
              </v:textbox>
            </v:shape>
            <v:shape id="_x0000_s1216" type="#_x0000_t109" style="position:absolute;left:3122;top:5896;width:2117;height:714" filled="f">
              <v:textbox style="mso-next-textbox:#_x0000_s1216" inset="1.3mm,1.3mm,1.3mm,1.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Disease progression or</w:t>
                    </w:r>
                    <w:r>
                      <w:rPr>
                        <w:rFonts w:ascii="Arial" w:hAnsi="Arial" w:cs="Arial"/>
                        <w:sz w:val="17"/>
                        <w:szCs w:val="17"/>
                      </w:rPr>
                      <w:br/>
                      <w:t>unmanageable toxicity</w:t>
                    </w:r>
                  </w:p>
                </w:txbxContent>
              </v:textbox>
            </v:shape>
            <v:shape id="_x0000_s1217" type="#_x0000_t109" style="position:absolute;left:6342;top:6292;width:1319;height:576" filled="f">
              <v:textbox style="mso-next-textbox:#_x0000_s1217"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Disease</w:t>
                    </w:r>
                    <w:r>
                      <w:rPr>
                        <w:rFonts w:ascii="Arial" w:hAnsi="Arial" w:cs="Arial"/>
                        <w:sz w:val="17"/>
                        <w:szCs w:val="17"/>
                      </w:rPr>
                      <w:br/>
                      <w:t>progression</w:t>
                    </w:r>
                  </w:p>
                </w:txbxContent>
              </v:textbox>
            </v:shape>
            <v:shape id="_x0000_s1218" type="#_x0000_t109" style="position:absolute;left:3135;top:7036;width:2121;height:582" filled="f">
              <v:textbox style="mso-next-textbox:#_x0000_s1218"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Discontinuation from</w:t>
                    </w:r>
                    <w:r>
                      <w:rPr>
                        <w:rFonts w:ascii="Arial" w:hAnsi="Arial" w:cs="Arial"/>
                        <w:sz w:val="17"/>
                        <w:szCs w:val="17"/>
                      </w:rPr>
                      <w:br/>
                      <w:t>treatment phase</w:t>
                    </w:r>
                  </w:p>
                </w:txbxContent>
              </v:textbox>
            </v:shape>
            <v:shape id="_x0000_s1219" type="#_x0000_t109" style="position:absolute;left:6039;top:7051;width:1917;height:582" filled="f">
              <v:textbox style="mso-next-textbox:#_x0000_s1219" inset="1.3mm,1mm,1.3mm,1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Discontinuation from</w:t>
                    </w:r>
                    <w:r>
                      <w:rPr>
                        <w:rFonts w:ascii="Arial" w:hAnsi="Arial" w:cs="Arial"/>
                        <w:sz w:val="17"/>
                        <w:szCs w:val="17"/>
                      </w:rPr>
                      <w:br/>
                      <w:t>treatment phase</w:t>
                    </w:r>
                  </w:p>
                </w:txbxContent>
              </v:textbox>
            </v:shape>
            <v:shape id="_x0000_s1220" type="#_x0000_t109" style="position:absolute;left:4789;top:8066;width:1700;height:390" filled="f">
              <v:textbox style="mso-next-textbox:#_x0000_s1220" inset="1.3mm,1.3mm,1.3mm,1.3mm">
                <w:txbxContent>
                  <w:p w:rsidR="005D0352" w:rsidRPr="00CB506A" w:rsidRDefault="005D0352" w:rsidP="001603AF">
                    <w:pPr>
                      <w:spacing w:before="0" w:after="0"/>
                      <w:jc w:val="center"/>
                      <w:rPr>
                        <w:rFonts w:ascii="Arial" w:hAnsi="Arial" w:cs="Arial"/>
                        <w:sz w:val="17"/>
                        <w:szCs w:val="17"/>
                      </w:rPr>
                    </w:pPr>
                    <w:r>
                      <w:rPr>
                        <w:rFonts w:ascii="Arial" w:hAnsi="Arial" w:cs="Arial"/>
                        <w:sz w:val="17"/>
                        <w:szCs w:val="17"/>
                      </w:rPr>
                      <w:t>Survival follow-up</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1" type="#_x0000_t34" style="position:absolute;left:4865;top:1845;width:397;height:1743;rotation:90" o:connectortype="elbow" adj="10773,-93129,-317525">
              <v:stroke endarrow="block"/>
            </v:shape>
            <v:shape id="_x0000_s1222" type="#_x0000_t34" style="position:absolute;left:6627;top:1826;width:397;height:1781;rotation:90;flip:x" o:connectortype="elbow" adj="10773,91142,-317525">
              <v:stroke endarrow="block"/>
            </v:shape>
            <v:shapetype id="_x0000_t32" coordsize="21600,21600" o:spt="32" o:oned="t" path="m,l21600,21600e" filled="f">
              <v:path arrowok="t" fillok="f" o:connecttype="none"/>
              <o:lock v:ext="edit" shapetype="t"/>
            </v:shapetype>
            <v:shape id="_x0000_s1223" type="#_x0000_t32" style="position:absolute;left:4192;top:3568;width:16;height:276" o:connectortype="straight">
              <v:stroke endarrow="block"/>
            </v:shape>
            <v:shape id="_x0000_s1224" type="#_x0000_t34" style="position:absolute;left:7215;top:3342;width:276;height:727;rotation:90" o:connectortype="elbow" adj="10722,-254476,-596113">
              <v:stroke endarrow="block"/>
            </v:shape>
            <v:shape id="_x0000_s1225" type="#_x0000_t34" style="position:absolute;left:7955;top:3329;width:276;height:753;rotation:90;flip:x" o:connectortype="elbow" adj="10722,245689,-596113">
              <v:stroke endarrow="block"/>
            </v:shape>
            <v:shape id="_x0000_s1226" type="#_x0000_t32" style="position:absolute;left:4203;top:4468;width:5;height:575;flip:x" o:connectortype="straight">
              <v:stroke endarrow="block"/>
            </v:shape>
            <v:shape id="_x0000_s1227" type="#_x0000_t32" style="position:absolute;left:6989;top:4468;width:4;height:162" o:connectortype="straight">
              <v:stroke endarrow="block"/>
            </v:shape>
            <v:shapetype id="_x0000_t33" coordsize="21600,21600" o:spt="33" o:oned="t" path="m,l21600,r,21600e" filled="f">
              <v:stroke joinstyle="miter"/>
              <v:path arrowok="t" fillok="f" o:connecttype="none"/>
              <o:lock v:ext="edit" shapetype="t"/>
            </v:shapetype>
            <v:shape id="_x0000_s1228" type="#_x0000_t33" style="position:absolute;left:6776;top:5648;width:2874;height:513;rotation:90" o:connectortype="elbow" adj="-62906,-398526,-62906">
              <v:stroke endarrow="block"/>
            </v:shape>
            <v:shape id="_x0000_s1229" type="#_x0000_t32" style="position:absolute;left:4181;top:5698;width:22;height:198;flip:x" o:connectortype="straight">
              <v:stroke endarrow="block"/>
            </v:shape>
            <v:shape id="_x0000_s1230" type="#_x0000_t32" style="position:absolute;left:4181;top:6610;width:15;height:426" o:connectortype="straight">
              <v:stroke endarrow="block"/>
            </v:shape>
            <v:shape id="_x0000_s1231" type="#_x0000_t32" style="position:absolute;left:6989;top:4468;width:4;height:162" o:connectortype="straight">
              <v:stroke endarrow="block"/>
            </v:shape>
            <v:shape id="_x0000_s1232" type="#_x0000_t32" style="position:absolute;left:6993;top:6112;width:9;height:180" o:connectortype="straight">
              <v:stroke endarrow="block"/>
            </v:shape>
            <v:shape id="_x0000_s1233" type="#_x0000_t32" style="position:absolute;left:6998;top:6868;width:4;height:183;flip:x" o:connectortype="straight">
              <v:stroke endarrow="block"/>
            </v:shape>
            <v:shape id="_x0000_s1234" type="#_x0000_t34" style="position:absolute;left:4694;top:7120;width:448;height:1443;rotation:90;flip:x" o:connectortype="elbow" adj=",188832,-197534">
              <v:stroke endarrow="block"/>
            </v:shape>
            <v:shape id="_x0000_s1235" type="#_x0000_t34" style="position:absolute;left:6102;top:7170;width:433;height:1359;rotation:90" o:connectortype="elbow" adj="10775,-200742,-344153">
              <v:stroke endarrow="block"/>
            </v:shape>
            <w10:wrap type="none"/>
            <w10:anchorlock/>
          </v:group>
        </w:pict>
      </w:r>
    </w:p>
    <w:p w:rsidR="001603AF" w:rsidRPr="001603AF" w:rsidRDefault="001603AF" w:rsidP="00760302">
      <w:pPr>
        <w:pStyle w:val="FigureDescription"/>
      </w:pPr>
      <w:r w:rsidRPr="001603AF">
        <w:t>Note:  Patients received study treatment (</w:t>
      </w:r>
      <w:proofErr w:type="spellStart"/>
      <w:r w:rsidRPr="001603AF">
        <w:t>bevacizumab</w:t>
      </w:r>
      <w:proofErr w:type="spellEnd"/>
      <w:r w:rsidRPr="001603AF">
        <w:t xml:space="preserve"> and/or </w:t>
      </w:r>
      <w:proofErr w:type="spellStart"/>
      <w:r w:rsidRPr="001603AF">
        <w:t>irinotecan</w:t>
      </w:r>
      <w:proofErr w:type="spellEnd"/>
      <w:r w:rsidRPr="001603AF">
        <w:t>) for up to 104 weeks of treatment from Day 0 in the absence of disease progression or discontinuation. Independent review of MRIs occurred only for studies performed up to the time of the final analysis, when all randomized patients had been followed for at least 6 months.</w:t>
      </w:r>
    </w:p>
    <w:p w:rsidR="001603AF" w:rsidRPr="001603AF" w:rsidRDefault="001603AF" w:rsidP="00760302">
      <w:r w:rsidRPr="001603AF">
        <w:t xml:space="preserve">The data were censored at the last tumour assessment date of those switching over to alternative anti-tumour therapy. For patients who experienced disease progression or died more than 42 days after the last dose of study treatment, the data were censored at the date of the last tumour assessment prior to the last dose of study treatment plus 42 days. The hypothesis tested at the 0.025 level of significance in this study was that the 6-month PFS following treatment with </w:t>
      </w:r>
      <w:proofErr w:type="spellStart"/>
      <w:r w:rsidRPr="001603AF">
        <w:t>bevacizumab</w:t>
      </w:r>
      <w:proofErr w:type="spellEnd"/>
      <w:r w:rsidRPr="001603AF">
        <w:t xml:space="preserve"> alone or in combination with </w:t>
      </w:r>
      <w:proofErr w:type="spellStart"/>
      <w:r w:rsidRPr="001603AF">
        <w:t>irinotecan</w:t>
      </w:r>
      <w:proofErr w:type="spellEnd"/>
      <w:r w:rsidRPr="001603AF">
        <w:t xml:space="preserve"> was sta</w:t>
      </w:r>
      <w:r w:rsidR="00760302">
        <w:t>tistically significantly &gt; 15%.</w:t>
      </w:r>
    </w:p>
    <w:p w:rsidR="001603AF" w:rsidRPr="001603AF" w:rsidRDefault="001603AF" w:rsidP="00760302">
      <w:r w:rsidRPr="001603AF">
        <w:t>The Objective response was defined as a CR or PR determined on two consecutive assessments &gt; 4 weeks apart as determined by the IRF using the modified Macdonald criteria. The objective response rate was the percentage of patients enrolled in each treatment arm who were judged to have an objective response.</w:t>
      </w:r>
    </w:p>
    <w:p w:rsidR="001603AF" w:rsidRPr="001603AF" w:rsidRDefault="001603AF" w:rsidP="00760302">
      <w:r w:rsidRPr="001603AF">
        <w:t xml:space="preserve">In Arm 1, the objective response rate to salvage chemotherapy was assumed to be approximately 5% (Wong et al). The hypothesis tested at the 0.025 level of significance was that treatment with </w:t>
      </w:r>
      <w:proofErr w:type="spellStart"/>
      <w:r w:rsidRPr="001603AF">
        <w:t>bevacizumab</w:t>
      </w:r>
      <w:proofErr w:type="spellEnd"/>
      <w:r w:rsidRPr="001603AF">
        <w:t xml:space="preserve"> alone was associated with an objective response rate that was statistically </w:t>
      </w:r>
      <w:r w:rsidR="00760302">
        <w:t>significantly &gt; 5%.</w:t>
      </w:r>
    </w:p>
    <w:p w:rsidR="001603AF" w:rsidRPr="001603AF" w:rsidRDefault="001603AF" w:rsidP="00760302">
      <w:r w:rsidRPr="001603AF">
        <w:t xml:space="preserve">In Arm 2, objective response rate to salvage chemotherapy was assumed to be 10%. The hypothesis tested at the 0.025 level of significance was that treatment with </w:t>
      </w:r>
      <w:proofErr w:type="spellStart"/>
      <w:r w:rsidRPr="001603AF">
        <w:t>bevacizumab</w:t>
      </w:r>
      <w:proofErr w:type="spellEnd"/>
      <w:r w:rsidRPr="001603AF">
        <w:t xml:space="preserve"> plus </w:t>
      </w:r>
      <w:proofErr w:type="spellStart"/>
      <w:r w:rsidRPr="001603AF">
        <w:t>irinotecan</w:t>
      </w:r>
      <w:proofErr w:type="spellEnd"/>
      <w:r w:rsidRPr="001603AF">
        <w:t xml:space="preserve"> was associated with an objective response rate that was statistically significantly &gt; 10%.</w:t>
      </w:r>
    </w:p>
    <w:p w:rsidR="001603AF" w:rsidRPr="001603AF" w:rsidRDefault="00760302" w:rsidP="00760302">
      <w:pPr>
        <w:pStyle w:val="Heading5"/>
      </w:pPr>
      <w:r>
        <w:lastRenderedPageBreak/>
        <w:t>Secondary efficacy endpoints</w:t>
      </w:r>
    </w:p>
    <w:p w:rsidR="001603AF" w:rsidRPr="001603AF" w:rsidRDefault="001603AF" w:rsidP="00760302">
      <w:r w:rsidRPr="001603AF">
        <w:t>These were PFS as determined by IRF, duration of objective response as determined by IRF, and overall survival.</w:t>
      </w:r>
    </w:p>
    <w:p w:rsidR="001603AF" w:rsidRPr="001603AF" w:rsidRDefault="001603AF" w:rsidP="00760302">
      <w:r w:rsidRPr="001603AF">
        <w:t>PFS (as determined by IRF) was the time from randomisation to documented disease progression as determined by the IRF, using the modified Macdonald criteria, clear clinical progression in the absence of MRI determination of progression, or death from any cause, whichever occurred first. The Kaplan-Meier method was used to estimate PFS for each arm. The data of patients who received alternate therapy before disease progression were censored at the last assessment date prior to receiving alternate therapy. The data for patients experiencing disease progression or death &gt; 42 days after the last dose were censored at the date (+ 42 days) of the last tumour ass</w:t>
      </w:r>
      <w:r w:rsidR="00760302">
        <w:t>essment prior to the last dose.</w:t>
      </w:r>
    </w:p>
    <w:p w:rsidR="001603AF" w:rsidRPr="001603AF" w:rsidRDefault="001603AF" w:rsidP="00760302">
      <w:r w:rsidRPr="001603AF">
        <w:t>Duration of Objective Response (based on modified Macdonald criteria) was defined as the time from first tumour assessment that supported the patient’s objective response to the time of disease progression, as determined by IRF, clear clinical progression in the absence of an MRI determination of progression, or death due to any cause, whichever occurred first.</w:t>
      </w:r>
    </w:p>
    <w:p w:rsidR="001603AF" w:rsidRPr="001603AF" w:rsidRDefault="001603AF" w:rsidP="00760302">
      <w:r w:rsidRPr="001603AF">
        <w:t>Overall Survival for each treatment arm was defined as the time from randomisation to death from any cause.</w:t>
      </w:r>
    </w:p>
    <w:p w:rsidR="001603AF" w:rsidRPr="001603AF" w:rsidRDefault="001603AF" w:rsidP="00760302">
      <w:r w:rsidRPr="001603AF">
        <w:t xml:space="preserve">The exploratory efficacy endpoints included 6-month progression-free survival, progression-free survival, and duration of objective response, as determined by the investigators. In addition, </w:t>
      </w:r>
      <w:proofErr w:type="spellStart"/>
      <w:r w:rsidRPr="001603AF">
        <w:t>neurocognitive</w:t>
      </w:r>
      <w:proofErr w:type="spellEnd"/>
      <w:r w:rsidRPr="001603AF">
        <w:t xml:space="preserve"> function was assessed using standard psychometric instruments known to be affected by brain tumours and treatments. These tests measured memory, visual-motor scanning speed and executive function.</w:t>
      </w:r>
    </w:p>
    <w:p w:rsidR="001603AF" w:rsidRPr="001603AF" w:rsidRDefault="001603AF" w:rsidP="00760302">
      <w:pPr>
        <w:pStyle w:val="Heading5"/>
      </w:pPr>
      <w:r w:rsidRPr="001603AF">
        <w:t>Determination of sample size</w:t>
      </w:r>
    </w:p>
    <w:p w:rsidR="001603AF" w:rsidRPr="001603AF" w:rsidRDefault="001603AF" w:rsidP="00760302">
      <w:r w:rsidRPr="001603AF">
        <w:t xml:space="preserve">In Arm 1 (BV), 6-month PFS of ≥ 28% would indicate that </w:t>
      </w:r>
      <w:proofErr w:type="spellStart"/>
      <w:r w:rsidRPr="001603AF">
        <w:t>bevacizumab</w:t>
      </w:r>
      <w:proofErr w:type="spellEnd"/>
      <w:r w:rsidRPr="001603AF">
        <w:t xml:space="preserve"> </w:t>
      </w:r>
      <w:proofErr w:type="spellStart"/>
      <w:r w:rsidRPr="001603AF">
        <w:t>monotherapy</w:t>
      </w:r>
      <w:proofErr w:type="spellEnd"/>
      <w:r w:rsidRPr="001603AF">
        <w:t xml:space="preserve"> has clinically meaningful activity in this population. 80 patients would provide ~80% power to detect a 13% increase in 6-month PFS, from 15% to 28% at the 2.5% two-sided significance level. The 97.5% confidence</w:t>
      </w:r>
      <w:r w:rsidR="00760302">
        <w:t xml:space="preserve"> intervals (CI) were 17%, 39%.</w:t>
      </w:r>
    </w:p>
    <w:p w:rsidR="001603AF" w:rsidRPr="001603AF" w:rsidRDefault="001603AF" w:rsidP="00760302">
      <w:r w:rsidRPr="001603AF">
        <w:t xml:space="preserve">An objective response rate (ORR) of ≥ 18% would indicate that </w:t>
      </w:r>
      <w:proofErr w:type="spellStart"/>
      <w:r w:rsidRPr="001603AF">
        <w:t>bevacizumab</w:t>
      </w:r>
      <w:proofErr w:type="spellEnd"/>
      <w:r w:rsidRPr="001603AF">
        <w:t xml:space="preserve"> </w:t>
      </w:r>
      <w:proofErr w:type="spellStart"/>
      <w:r w:rsidRPr="001603AF">
        <w:t>monotherapy</w:t>
      </w:r>
      <w:proofErr w:type="spellEnd"/>
      <w:r w:rsidRPr="001603AF">
        <w:t xml:space="preserve"> had clinically meaningful activity in this population. 80 patients would provide 92% power to detect a 13% increase in ORR from 5% to 18% at the 2.5% two-sided significance le</w:t>
      </w:r>
      <w:r w:rsidR="00760302">
        <w:t>vel. The 97.5% CI were 8%, 28%.</w:t>
      </w:r>
    </w:p>
    <w:p w:rsidR="001603AF" w:rsidRPr="001603AF" w:rsidRDefault="001603AF" w:rsidP="00760302">
      <w:r w:rsidRPr="001603AF">
        <w:t xml:space="preserve">In Arm 2 (BV/CPT), 6-month PFS of ≥ 30% would indicate that </w:t>
      </w:r>
      <w:proofErr w:type="spellStart"/>
      <w:r w:rsidRPr="001603AF">
        <w:t>bevacizumab</w:t>
      </w:r>
      <w:proofErr w:type="spellEnd"/>
      <w:r w:rsidRPr="001603AF">
        <w:t xml:space="preserve"> + </w:t>
      </w:r>
      <w:proofErr w:type="spellStart"/>
      <w:r w:rsidRPr="001603AF">
        <w:t>irinotecan</w:t>
      </w:r>
      <w:proofErr w:type="spellEnd"/>
      <w:r w:rsidRPr="001603AF">
        <w:t xml:space="preserve"> has clinically meaningful activity in this population. 80 patients would provide 92% power to detect a 15% increase in 6-month PFS from 15% to 30% at the 2.5% two sided significance level. The 97.5% CI were 19%, 41%.</w:t>
      </w:r>
    </w:p>
    <w:p w:rsidR="001603AF" w:rsidRPr="001603AF" w:rsidRDefault="001603AF" w:rsidP="00760302">
      <w:r w:rsidRPr="001603AF">
        <w:t xml:space="preserve">An ORR of ≥ 25% would indicate that </w:t>
      </w:r>
      <w:proofErr w:type="spellStart"/>
      <w:r w:rsidRPr="001603AF">
        <w:t>bevacizumab</w:t>
      </w:r>
      <w:proofErr w:type="spellEnd"/>
      <w:r w:rsidRPr="001603AF">
        <w:t xml:space="preserve"> + </w:t>
      </w:r>
      <w:proofErr w:type="spellStart"/>
      <w:r w:rsidRPr="001603AF">
        <w:t>irinotecan</w:t>
      </w:r>
      <w:proofErr w:type="spellEnd"/>
      <w:r w:rsidRPr="001603AF">
        <w:t xml:space="preserve"> had clinically meaningful activity in this population. 80 patients would provide 92% power to detect a 15% increase in ORR from 10% to 25% at the 2.5% two-sided significance lev</w:t>
      </w:r>
      <w:r w:rsidR="00760302">
        <w:t>el. The 97.5% CI were 14%, 36%.</w:t>
      </w:r>
    </w:p>
    <w:p w:rsidR="001603AF" w:rsidRPr="001603AF" w:rsidRDefault="001603AF" w:rsidP="00760302">
      <w:pPr>
        <w:pStyle w:val="Heading5"/>
      </w:pPr>
      <w:r w:rsidRPr="001603AF">
        <w:t>Missing data</w:t>
      </w:r>
    </w:p>
    <w:p w:rsidR="001603AF" w:rsidRPr="001603AF" w:rsidRDefault="001603AF" w:rsidP="00001E7A">
      <w:r w:rsidRPr="001603AF">
        <w:t>PFS: Data for patients without disease progression or death who were lost to follow up were censored at the time of the last tumour assessment when the patient was known to be progression free. Patients randomized but not treated were censored at the time of randomization plus 1 day. Those randomized and treated but discontinued before any assessments were similarly censored on the day of randomisation plus 1 day.</w:t>
      </w:r>
    </w:p>
    <w:p w:rsidR="001603AF" w:rsidRPr="001603AF" w:rsidRDefault="001603AF" w:rsidP="00001E7A">
      <w:r w:rsidRPr="001603AF">
        <w:t>ORR: Patients randomized but not treated and those randomized and treated but discontinued before any assessments were counted as non-responders.</w:t>
      </w:r>
    </w:p>
    <w:p w:rsidR="001603AF" w:rsidRPr="001603AF" w:rsidRDefault="001603AF" w:rsidP="00001E7A">
      <w:r w:rsidRPr="001603AF">
        <w:lastRenderedPageBreak/>
        <w:t>OS: Data of patients who were lost to follow-up were censored at the date when the pati</w:t>
      </w:r>
      <w:r w:rsidR="00001E7A">
        <w:t>ent was last known to be alive.</w:t>
      </w:r>
    </w:p>
    <w:p w:rsidR="001603AF" w:rsidRPr="001603AF" w:rsidRDefault="001603AF" w:rsidP="00001E7A">
      <w:pPr>
        <w:pStyle w:val="Heading4"/>
      </w:pPr>
      <w:r w:rsidRPr="001603AF">
        <w:t>Results</w:t>
      </w:r>
    </w:p>
    <w:p w:rsidR="001603AF" w:rsidRPr="001603AF" w:rsidRDefault="001603AF" w:rsidP="00001E7A">
      <w:r w:rsidRPr="001603AF">
        <w:t xml:space="preserve">As per the protocol, the final analyses were after all the patients </w:t>
      </w:r>
      <w:r w:rsidR="00001E7A">
        <w:t>had been followed for 6 months.</w:t>
      </w:r>
    </w:p>
    <w:p w:rsidR="001603AF" w:rsidRPr="001603AF" w:rsidRDefault="001603AF" w:rsidP="00001E7A">
      <w:r w:rsidRPr="001603AF">
        <w:t>In all 160 patients were planned and 167 recruited between 30 June 2006 and 15 February 2007 from 11 study centres, and were randomised (BV: 85, BV/CPT: 82) into the study. All efficacy analyses were based on the ITT population.</w:t>
      </w:r>
    </w:p>
    <w:p w:rsidR="001603AF" w:rsidRPr="001603AF" w:rsidRDefault="001603AF" w:rsidP="00001E7A">
      <w:r w:rsidRPr="001603AF">
        <w:t>In all 84 (98.8%) in the BV Arm and 79 (96.3%) in the BV/CPT Arm received at least one dose of study treatment</w:t>
      </w:r>
      <w:r w:rsidR="00001E7A">
        <w:t xml:space="preserve"> and were evaluable for safety.</w:t>
      </w:r>
    </w:p>
    <w:p w:rsidR="001603AF" w:rsidRPr="001603AF" w:rsidRDefault="001603AF" w:rsidP="00001E7A">
      <w:r w:rsidRPr="001603AF">
        <w:t xml:space="preserve">Forty four patients (51.8%) in the BV Arm received optional post-progression treatment of </w:t>
      </w:r>
      <w:proofErr w:type="spellStart"/>
      <w:r w:rsidRPr="001603AF">
        <w:t>irinotecan</w:t>
      </w:r>
      <w:proofErr w:type="spellEnd"/>
      <w:r w:rsidRPr="001603AF">
        <w:t xml:space="preserve"> plus </w:t>
      </w:r>
      <w:proofErr w:type="spellStart"/>
      <w:r w:rsidRPr="001603AF">
        <w:t>bevacizumab</w:t>
      </w:r>
      <w:proofErr w:type="spellEnd"/>
      <w:r w:rsidRPr="001603AF">
        <w:t>. Patient disposition is summarised in Tables 2 and 3.</w:t>
      </w:r>
    </w:p>
    <w:p w:rsidR="001603AF" w:rsidRPr="001603AF" w:rsidRDefault="001603AF" w:rsidP="00001E7A">
      <w:pPr>
        <w:pStyle w:val="TableTitle"/>
      </w:pPr>
      <w:r w:rsidRPr="001603AF">
        <w:t>Table 2 Patient Disposition (Randomized Patients)</w:t>
      </w:r>
    </w:p>
    <w:tbl>
      <w:tblPr>
        <w:tblStyle w:val="TableTGAblue"/>
        <w:tblW w:w="9146" w:type="dxa"/>
        <w:tblLook w:val="04A0"/>
      </w:tblPr>
      <w:tblGrid>
        <w:gridCol w:w="5353"/>
        <w:gridCol w:w="1985"/>
        <w:gridCol w:w="1808"/>
      </w:tblGrid>
      <w:tr w:rsidR="001603AF" w:rsidRPr="001603AF" w:rsidTr="00001E7A">
        <w:trPr>
          <w:cnfStyle w:val="100000000000"/>
        </w:trPr>
        <w:tc>
          <w:tcPr>
            <w:tcW w:w="5353" w:type="dxa"/>
          </w:tcPr>
          <w:p w:rsidR="001603AF" w:rsidRPr="001603AF" w:rsidRDefault="001603AF" w:rsidP="001603AF"/>
        </w:tc>
        <w:tc>
          <w:tcPr>
            <w:tcW w:w="1985" w:type="dxa"/>
          </w:tcPr>
          <w:p w:rsidR="00001E7A" w:rsidRDefault="001603AF" w:rsidP="00001E7A">
            <w:r w:rsidRPr="001603AF">
              <w:t>BV</w:t>
            </w:r>
          </w:p>
          <w:p w:rsidR="001603AF" w:rsidRPr="001603AF" w:rsidRDefault="001603AF" w:rsidP="00001E7A">
            <w:r w:rsidRPr="001603AF">
              <w:t>(n=85)</w:t>
            </w:r>
          </w:p>
        </w:tc>
        <w:tc>
          <w:tcPr>
            <w:tcW w:w="1808" w:type="dxa"/>
          </w:tcPr>
          <w:p w:rsidR="00001E7A" w:rsidRDefault="001603AF" w:rsidP="00001E7A">
            <w:r w:rsidRPr="001603AF">
              <w:t>BV/CPT-11</w:t>
            </w:r>
          </w:p>
          <w:p w:rsidR="001603AF" w:rsidRPr="001603AF" w:rsidRDefault="001603AF" w:rsidP="00001E7A">
            <w:r w:rsidRPr="001603AF">
              <w:t>(n=82)</w:t>
            </w:r>
          </w:p>
        </w:tc>
      </w:tr>
      <w:tr w:rsidR="001603AF" w:rsidRPr="001603AF" w:rsidTr="00001E7A">
        <w:tc>
          <w:tcPr>
            <w:tcW w:w="5353" w:type="dxa"/>
          </w:tcPr>
          <w:p w:rsidR="001603AF" w:rsidRPr="001603AF" w:rsidRDefault="001603AF" w:rsidP="00001E7A">
            <w:r w:rsidRPr="001603AF">
              <w:t>Randomized patients</w:t>
            </w:r>
          </w:p>
        </w:tc>
        <w:tc>
          <w:tcPr>
            <w:tcW w:w="1985" w:type="dxa"/>
          </w:tcPr>
          <w:p w:rsidR="001603AF" w:rsidRPr="001603AF" w:rsidRDefault="001603AF" w:rsidP="00001E7A">
            <w:r w:rsidRPr="001603AF">
              <w:t>85 (100.0%)</w:t>
            </w:r>
          </w:p>
        </w:tc>
        <w:tc>
          <w:tcPr>
            <w:tcW w:w="1808" w:type="dxa"/>
          </w:tcPr>
          <w:p w:rsidR="001603AF" w:rsidRPr="001603AF" w:rsidRDefault="001603AF" w:rsidP="00001E7A">
            <w:r w:rsidRPr="001603AF">
              <w:t>82 (100.0%)</w:t>
            </w:r>
          </w:p>
        </w:tc>
      </w:tr>
      <w:tr w:rsidR="001603AF" w:rsidRPr="001603AF" w:rsidTr="00001E7A">
        <w:tc>
          <w:tcPr>
            <w:tcW w:w="5353" w:type="dxa"/>
          </w:tcPr>
          <w:p w:rsidR="001603AF" w:rsidRPr="001603AF" w:rsidRDefault="001603AF" w:rsidP="00001E7A">
            <w:pPr>
              <w:ind w:left="720"/>
            </w:pPr>
            <w:r w:rsidRPr="001603AF">
              <w:t>Treated patients</w:t>
            </w:r>
          </w:p>
        </w:tc>
        <w:tc>
          <w:tcPr>
            <w:tcW w:w="1985" w:type="dxa"/>
          </w:tcPr>
          <w:p w:rsidR="001603AF" w:rsidRPr="001603AF" w:rsidRDefault="001603AF" w:rsidP="00001E7A">
            <w:r w:rsidRPr="001603AF">
              <w:t>84 (98.8%)</w:t>
            </w:r>
          </w:p>
        </w:tc>
        <w:tc>
          <w:tcPr>
            <w:tcW w:w="1808" w:type="dxa"/>
          </w:tcPr>
          <w:p w:rsidR="001603AF" w:rsidRPr="001603AF" w:rsidRDefault="001603AF" w:rsidP="00001E7A">
            <w:r w:rsidRPr="001603AF">
              <w:t>79 (96.3%)</w:t>
            </w:r>
          </w:p>
        </w:tc>
      </w:tr>
      <w:tr w:rsidR="001603AF" w:rsidRPr="001603AF" w:rsidTr="00001E7A">
        <w:tc>
          <w:tcPr>
            <w:tcW w:w="5353" w:type="dxa"/>
          </w:tcPr>
          <w:p w:rsidR="001603AF" w:rsidRPr="001603AF" w:rsidRDefault="001603AF" w:rsidP="00001E7A">
            <w:pPr>
              <w:ind w:left="720"/>
            </w:pPr>
            <w:r w:rsidRPr="001603AF">
              <w:t xml:space="preserve">Enrolled in optional post-progression phase </w:t>
            </w:r>
            <w:r w:rsidRPr="001603AF">
              <w:rPr>
                <w:vertAlign w:val="superscript"/>
              </w:rPr>
              <w:t>a</w:t>
            </w:r>
          </w:p>
        </w:tc>
        <w:tc>
          <w:tcPr>
            <w:tcW w:w="1985" w:type="dxa"/>
          </w:tcPr>
          <w:p w:rsidR="001603AF" w:rsidRPr="001603AF" w:rsidRDefault="001603AF" w:rsidP="00001E7A">
            <w:r w:rsidRPr="001603AF">
              <w:t>44 (51.8%)</w:t>
            </w:r>
          </w:p>
        </w:tc>
        <w:tc>
          <w:tcPr>
            <w:tcW w:w="1808" w:type="dxa"/>
          </w:tcPr>
          <w:p w:rsidR="001603AF" w:rsidRPr="001603AF" w:rsidRDefault="001603AF" w:rsidP="00001E7A">
            <w:r w:rsidRPr="001603AF">
              <w:t>—</w:t>
            </w:r>
          </w:p>
        </w:tc>
      </w:tr>
      <w:tr w:rsidR="001603AF" w:rsidRPr="001603AF" w:rsidTr="00001E7A">
        <w:tc>
          <w:tcPr>
            <w:tcW w:w="5353" w:type="dxa"/>
          </w:tcPr>
          <w:p w:rsidR="001603AF" w:rsidRPr="001603AF" w:rsidRDefault="001603AF" w:rsidP="00001E7A">
            <w:r w:rsidRPr="001603AF">
              <w:t xml:space="preserve">On treatment </w:t>
            </w:r>
            <w:r w:rsidRPr="001603AF">
              <w:rPr>
                <w:vertAlign w:val="superscript"/>
              </w:rPr>
              <w:t>b</w:t>
            </w:r>
          </w:p>
        </w:tc>
        <w:tc>
          <w:tcPr>
            <w:tcW w:w="1985" w:type="dxa"/>
          </w:tcPr>
          <w:p w:rsidR="001603AF" w:rsidRPr="001603AF" w:rsidRDefault="001603AF" w:rsidP="00001E7A"/>
        </w:tc>
        <w:tc>
          <w:tcPr>
            <w:tcW w:w="1808" w:type="dxa"/>
          </w:tcPr>
          <w:p w:rsidR="001603AF" w:rsidRPr="001603AF" w:rsidRDefault="001603AF" w:rsidP="00001E7A"/>
        </w:tc>
      </w:tr>
      <w:tr w:rsidR="001603AF" w:rsidRPr="001603AF" w:rsidTr="00001E7A">
        <w:tc>
          <w:tcPr>
            <w:tcW w:w="5353" w:type="dxa"/>
          </w:tcPr>
          <w:p w:rsidR="001603AF" w:rsidRPr="001603AF" w:rsidRDefault="001603AF" w:rsidP="00001E7A">
            <w:pPr>
              <w:ind w:left="720"/>
            </w:pPr>
            <w:r w:rsidRPr="001603AF">
              <w:t>Planned treatment period</w:t>
            </w:r>
          </w:p>
        </w:tc>
        <w:tc>
          <w:tcPr>
            <w:tcW w:w="1985" w:type="dxa"/>
          </w:tcPr>
          <w:p w:rsidR="001603AF" w:rsidRPr="001603AF" w:rsidRDefault="001603AF" w:rsidP="00001E7A">
            <w:r w:rsidRPr="001603AF">
              <w:t>22 (25.9%)</w:t>
            </w:r>
          </w:p>
        </w:tc>
        <w:tc>
          <w:tcPr>
            <w:tcW w:w="1808" w:type="dxa"/>
          </w:tcPr>
          <w:p w:rsidR="001603AF" w:rsidRPr="001603AF" w:rsidRDefault="001603AF" w:rsidP="00001E7A">
            <w:r w:rsidRPr="001603AF">
              <w:t>20 (24.4%)</w:t>
            </w:r>
          </w:p>
        </w:tc>
      </w:tr>
      <w:tr w:rsidR="001603AF" w:rsidRPr="001603AF" w:rsidTr="00001E7A">
        <w:tc>
          <w:tcPr>
            <w:tcW w:w="5353" w:type="dxa"/>
          </w:tcPr>
          <w:p w:rsidR="001603AF" w:rsidRPr="001603AF" w:rsidRDefault="001603AF" w:rsidP="00001E7A">
            <w:pPr>
              <w:ind w:left="720"/>
            </w:pPr>
            <w:r w:rsidRPr="001603AF">
              <w:t>Optional post-progression treatment</w:t>
            </w:r>
          </w:p>
        </w:tc>
        <w:tc>
          <w:tcPr>
            <w:tcW w:w="1985" w:type="dxa"/>
          </w:tcPr>
          <w:p w:rsidR="001603AF" w:rsidRPr="001603AF" w:rsidRDefault="001603AF" w:rsidP="00001E7A">
            <w:r w:rsidRPr="001603AF">
              <w:t>2 (2.4%)</w:t>
            </w:r>
          </w:p>
        </w:tc>
        <w:tc>
          <w:tcPr>
            <w:tcW w:w="1808" w:type="dxa"/>
          </w:tcPr>
          <w:p w:rsidR="001603AF" w:rsidRPr="001603AF" w:rsidRDefault="001603AF" w:rsidP="00001E7A">
            <w:r w:rsidRPr="001603AF">
              <w:t>—</w:t>
            </w:r>
          </w:p>
        </w:tc>
      </w:tr>
      <w:tr w:rsidR="001603AF" w:rsidRPr="001603AF" w:rsidTr="00001E7A">
        <w:tc>
          <w:tcPr>
            <w:tcW w:w="5353" w:type="dxa"/>
          </w:tcPr>
          <w:p w:rsidR="001603AF" w:rsidRPr="001603AF" w:rsidRDefault="001603AF" w:rsidP="00001E7A">
            <w:r w:rsidRPr="001603AF">
              <w:t xml:space="preserve">Discontinued all treatment </w:t>
            </w:r>
            <w:r w:rsidRPr="001603AF">
              <w:rPr>
                <w:vertAlign w:val="superscript"/>
              </w:rPr>
              <w:t>c</w:t>
            </w:r>
          </w:p>
        </w:tc>
        <w:tc>
          <w:tcPr>
            <w:tcW w:w="1985" w:type="dxa"/>
          </w:tcPr>
          <w:p w:rsidR="001603AF" w:rsidRPr="001603AF" w:rsidRDefault="001603AF" w:rsidP="00001E7A">
            <w:r w:rsidRPr="001603AF">
              <w:t>22 (25.9%)</w:t>
            </w:r>
          </w:p>
        </w:tc>
        <w:tc>
          <w:tcPr>
            <w:tcW w:w="1808" w:type="dxa"/>
          </w:tcPr>
          <w:p w:rsidR="001603AF" w:rsidRPr="001603AF" w:rsidRDefault="001603AF" w:rsidP="00001E7A">
            <w:r w:rsidRPr="001603AF">
              <w:t>18 (22.0%)</w:t>
            </w:r>
          </w:p>
        </w:tc>
      </w:tr>
      <w:tr w:rsidR="001603AF" w:rsidRPr="001603AF" w:rsidTr="00001E7A">
        <w:tc>
          <w:tcPr>
            <w:tcW w:w="5353" w:type="dxa"/>
          </w:tcPr>
          <w:p w:rsidR="001603AF" w:rsidRPr="001603AF" w:rsidRDefault="001603AF" w:rsidP="00001E7A">
            <w:r w:rsidRPr="001603AF">
              <w:t xml:space="preserve">Discontinued study </w:t>
            </w:r>
            <w:r w:rsidRPr="001603AF">
              <w:rPr>
                <w:vertAlign w:val="superscript"/>
              </w:rPr>
              <w:t>d</w:t>
            </w:r>
          </w:p>
        </w:tc>
        <w:tc>
          <w:tcPr>
            <w:tcW w:w="1985" w:type="dxa"/>
          </w:tcPr>
          <w:p w:rsidR="001603AF" w:rsidRPr="001603AF" w:rsidRDefault="001603AF" w:rsidP="00001E7A">
            <w:r w:rsidRPr="001603AF">
              <w:t>39 (45.9%)</w:t>
            </w:r>
          </w:p>
        </w:tc>
        <w:tc>
          <w:tcPr>
            <w:tcW w:w="1808" w:type="dxa"/>
          </w:tcPr>
          <w:p w:rsidR="001603AF" w:rsidRPr="001603AF" w:rsidRDefault="001603AF" w:rsidP="00001E7A">
            <w:r w:rsidRPr="001603AF">
              <w:t>44 (53.7%)</w:t>
            </w:r>
          </w:p>
        </w:tc>
      </w:tr>
    </w:tbl>
    <w:p w:rsidR="001603AF" w:rsidRPr="001603AF" w:rsidRDefault="001603AF" w:rsidP="00001E7A">
      <w:pPr>
        <w:pStyle w:val="TableDescription"/>
      </w:pPr>
      <w:r w:rsidRPr="001603AF">
        <w:t>BV=</w:t>
      </w:r>
      <w:proofErr w:type="spellStart"/>
      <w:r w:rsidRPr="001603AF">
        <w:t>bevacizumab</w:t>
      </w:r>
      <w:proofErr w:type="spellEnd"/>
      <w:r w:rsidRPr="001603AF">
        <w:t>; CPT-11=</w:t>
      </w:r>
      <w:proofErr w:type="spellStart"/>
      <w:r w:rsidRPr="001603AF">
        <w:t>irinotecan</w:t>
      </w:r>
      <w:proofErr w:type="spellEnd"/>
      <w:r w:rsidRPr="001603AF">
        <w:t>.</w:t>
      </w:r>
    </w:p>
    <w:p w:rsidR="001603AF" w:rsidRPr="00001E7A" w:rsidRDefault="001603AF" w:rsidP="00001E7A">
      <w:pPr>
        <w:pStyle w:val="Numberbullet2"/>
        <w:spacing w:before="0" w:after="0" w:line="240" w:lineRule="auto"/>
        <w:ind w:left="850" w:hanging="425"/>
        <w:rPr>
          <w:sz w:val="18"/>
        </w:rPr>
      </w:pPr>
      <w:r w:rsidRPr="00001E7A">
        <w:rPr>
          <w:sz w:val="18"/>
        </w:rPr>
        <w:t xml:space="preserve">Includes patients who experienced disease progression and received post-progression treatment of </w:t>
      </w:r>
      <w:proofErr w:type="spellStart"/>
      <w:r w:rsidRPr="00001E7A">
        <w:rPr>
          <w:sz w:val="18"/>
        </w:rPr>
        <w:t>irinotecan</w:t>
      </w:r>
      <w:proofErr w:type="spellEnd"/>
      <w:r w:rsidRPr="00001E7A">
        <w:rPr>
          <w:sz w:val="18"/>
        </w:rPr>
        <w:t xml:space="preserve"> in combination </w:t>
      </w:r>
      <w:proofErr w:type="spellStart"/>
      <w:r w:rsidRPr="00001E7A">
        <w:rPr>
          <w:sz w:val="18"/>
        </w:rPr>
        <w:t>withbevacizumab</w:t>
      </w:r>
      <w:proofErr w:type="spellEnd"/>
      <w:r w:rsidRPr="00001E7A">
        <w:rPr>
          <w:sz w:val="18"/>
        </w:rPr>
        <w:t>.</w:t>
      </w:r>
    </w:p>
    <w:p w:rsidR="001603AF" w:rsidRPr="00001E7A" w:rsidRDefault="001603AF" w:rsidP="00001E7A">
      <w:pPr>
        <w:pStyle w:val="Numberbullet2"/>
        <w:spacing w:before="0" w:after="0" w:line="240" w:lineRule="auto"/>
        <w:ind w:left="850" w:hanging="425"/>
        <w:rPr>
          <w:sz w:val="18"/>
          <w:szCs w:val="18"/>
        </w:rPr>
      </w:pPr>
      <w:r w:rsidRPr="00001E7A">
        <w:rPr>
          <w:sz w:val="18"/>
          <w:szCs w:val="18"/>
        </w:rPr>
        <w:t xml:space="preserve">Includes patients still on study treatment as of the data </w:t>
      </w:r>
      <w:proofErr w:type="spellStart"/>
      <w:r w:rsidRPr="00001E7A">
        <w:rPr>
          <w:sz w:val="18"/>
          <w:szCs w:val="18"/>
        </w:rPr>
        <w:t>cutoff</w:t>
      </w:r>
      <w:proofErr w:type="spellEnd"/>
      <w:r w:rsidRPr="00001E7A">
        <w:rPr>
          <w:sz w:val="18"/>
          <w:szCs w:val="18"/>
        </w:rPr>
        <w:t xml:space="preserve"> date, 15 September 2007.</w:t>
      </w:r>
    </w:p>
    <w:p w:rsidR="001603AF" w:rsidRPr="00001E7A" w:rsidRDefault="001603AF" w:rsidP="00001E7A">
      <w:pPr>
        <w:numPr>
          <w:ilvl w:val="1"/>
          <w:numId w:val="8"/>
        </w:numPr>
        <w:spacing w:before="0" w:after="0" w:line="240" w:lineRule="auto"/>
        <w:ind w:left="850" w:hanging="425"/>
        <w:rPr>
          <w:sz w:val="18"/>
          <w:szCs w:val="18"/>
        </w:rPr>
      </w:pPr>
      <w:r w:rsidRPr="00001E7A">
        <w:rPr>
          <w:sz w:val="18"/>
          <w:szCs w:val="18"/>
        </w:rPr>
        <w:t>Includes patients who discontinued all treatment and remain in survival follow-up.</w:t>
      </w:r>
    </w:p>
    <w:p w:rsidR="001603AF" w:rsidRPr="00001E7A" w:rsidRDefault="001603AF" w:rsidP="00001E7A">
      <w:pPr>
        <w:numPr>
          <w:ilvl w:val="1"/>
          <w:numId w:val="8"/>
        </w:numPr>
        <w:spacing w:before="0" w:after="0" w:line="240" w:lineRule="auto"/>
        <w:ind w:left="850" w:hanging="425"/>
        <w:rPr>
          <w:sz w:val="18"/>
          <w:szCs w:val="18"/>
        </w:rPr>
      </w:pPr>
      <w:r w:rsidRPr="00001E7A">
        <w:rPr>
          <w:sz w:val="18"/>
          <w:szCs w:val="18"/>
        </w:rPr>
        <w:t>All patients discontinued the study as the result of death.</w:t>
      </w:r>
    </w:p>
    <w:p w:rsidR="001603AF" w:rsidRPr="001603AF" w:rsidRDefault="001603AF" w:rsidP="00001E7A">
      <w:pPr>
        <w:pStyle w:val="TableTitle"/>
      </w:pPr>
      <w:r w:rsidRPr="001603AF">
        <w:t>Table 3 Analysis Populations</w:t>
      </w:r>
    </w:p>
    <w:tbl>
      <w:tblPr>
        <w:tblStyle w:val="TableTGAblue"/>
        <w:tblW w:w="9146" w:type="dxa"/>
        <w:tblLook w:val="04A0"/>
      </w:tblPr>
      <w:tblGrid>
        <w:gridCol w:w="5353"/>
        <w:gridCol w:w="1985"/>
        <w:gridCol w:w="1808"/>
      </w:tblGrid>
      <w:tr w:rsidR="001603AF" w:rsidRPr="001603AF" w:rsidTr="00F24D08">
        <w:trPr>
          <w:cnfStyle w:val="100000000000"/>
          <w:tblHeader/>
        </w:trPr>
        <w:tc>
          <w:tcPr>
            <w:tcW w:w="5353" w:type="dxa"/>
          </w:tcPr>
          <w:p w:rsidR="001603AF" w:rsidRPr="001603AF" w:rsidRDefault="001603AF" w:rsidP="00001E7A">
            <w:r w:rsidRPr="001603AF">
              <w:t>Analysis Population</w:t>
            </w:r>
          </w:p>
        </w:tc>
        <w:tc>
          <w:tcPr>
            <w:tcW w:w="1985" w:type="dxa"/>
          </w:tcPr>
          <w:p w:rsidR="00001E7A" w:rsidRDefault="001603AF" w:rsidP="00001E7A">
            <w:r w:rsidRPr="001603AF">
              <w:t>BV</w:t>
            </w:r>
          </w:p>
          <w:p w:rsidR="001603AF" w:rsidRPr="001603AF" w:rsidRDefault="001603AF" w:rsidP="00001E7A">
            <w:r w:rsidRPr="001603AF">
              <w:t>(n=85)</w:t>
            </w:r>
          </w:p>
        </w:tc>
        <w:tc>
          <w:tcPr>
            <w:tcW w:w="1808" w:type="dxa"/>
          </w:tcPr>
          <w:p w:rsidR="00001E7A" w:rsidRDefault="001603AF" w:rsidP="00001E7A">
            <w:r w:rsidRPr="001603AF">
              <w:t>BV/CPT-11</w:t>
            </w:r>
          </w:p>
          <w:p w:rsidR="001603AF" w:rsidRPr="001603AF" w:rsidRDefault="001603AF" w:rsidP="00001E7A">
            <w:r w:rsidRPr="001603AF">
              <w:t>(n=82)</w:t>
            </w:r>
          </w:p>
        </w:tc>
      </w:tr>
      <w:tr w:rsidR="001603AF" w:rsidRPr="001603AF" w:rsidTr="00001E7A">
        <w:tc>
          <w:tcPr>
            <w:tcW w:w="5353" w:type="dxa"/>
          </w:tcPr>
          <w:p w:rsidR="001603AF" w:rsidRPr="001603AF" w:rsidRDefault="001603AF" w:rsidP="00001E7A">
            <w:r w:rsidRPr="001603AF">
              <w:t xml:space="preserve">Randomized </w:t>
            </w:r>
            <w:r w:rsidRPr="001603AF">
              <w:rPr>
                <w:vertAlign w:val="superscript"/>
              </w:rPr>
              <w:t>a</w:t>
            </w:r>
          </w:p>
        </w:tc>
        <w:tc>
          <w:tcPr>
            <w:tcW w:w="1985" w:type="dxa"/>
          </w:tcPr>
          <w:p w:rsidR="001603AF" w:rsidRPr="001603AF" w:rsidRDefault="001603AF" w:rsidP="00001E7A">
            <w:r w:rsidRPr="001603AF">
              <w:t>85 (100.0%)</w:t>
            </w:r>
          </w:p>
        </w:tc>
        <w:tc>
          <w:tcPr>
            <w:tcW w:w="1808" w:type="dxa"/>
          </w:tcPr>
          <w:p w:rsidR="001603AF" w:rsidRPr="001603AF" w:rsidRDefault="001603AF" w:rsidP="00001E7A">
            <w:r w:rsidRPr="001603AF">
              <w:t>82 (100.0%)</w:t>
            </w:r>
          </w:p>
        </w:tc>
      </w:tr>
      <w:tr w:rsidR="001603AF" w:rsidRPr="001603AF" w:rsidTr="00001E7A">
        <w:tc>
          <w:tcPr>
            <w:tcW w:w="5353" w:type="dxa"/>
          </w:tcPr>
          <w:p w:rsidR="001603AF" w:rsidRPr="001603AF" w:rsidRDefault="001603AF" w:rsidP="00001E7A">
            <w:r w:rsidRPr="001603AF">
              <w:t>Efficacy-evaluable</w:t>
            </w:r>
          </w:p>
        </w:tc>
        <w:tc>
          <w:tcPr>
            <w:tcW w:w="1985" w:type="dxa"/>
          </w:tcPr>
          <w:p w:rsidR="001603AF" w:rsidRPr="001603AF" w:rsidRDefault="001603AF" w:rsidP="00001E7A">
            <w:r w:rsidRPr="001603AF">
              <w:t>84 (98.8%)</w:t>
            </w:r>
          </w:p>
        </w:tc>
        <w:tc>
          <w:tcPr>
            <w:tcW w:w="1808" w:type="dxa"/>
          </w:tcPr>
          <w:p w:rsidR="001603AF" w:rsidRPr="001603AF" w:rsidRDefault="001603AF" w:rsidP="00001E7A">
            <w:r w:rsidRPr="001603AF">
              <w:t>79 (96.3%)</w:t>
            </w:r>
          </w:p>
        </w:tc>
      </w:tr>
      <w:tr w:rsidR="001603AF" w:rsidRPr="001603AF" w:rsidTr="00001E7A">
        <w:tc>
          <w:tcPr>
            <w:tcW w:w="5353" w:type="dxa"/>
          </w:tcPr>
          <w:p w:rsidR="001603AF" w:rsidRPr="001603AF" w:rsidRDefault="001603AF" w:rsidP="00001E7A">
            <w:r w:rsidRPr="001603AF">
              <w:t>Safety-evaluable</w:t>
            </w:r>
          </w:p>
        </w:tc>
        <w:tc>
          <w:tcPr>
            <w:tcW w:w="1985" w:type="dxa"/>
          </w:tcPr>
          <w:p w:rsidR="001603AF" w:rsidRPr="001603AF" w:rsidRDefault="001603AF" w:rsidP="00001E7A">
            <w:r w:rsidRPr="001603AF">
              <w:t>84 (98.8%)</w:t>
            </w:r>
          </w:p>
        </w:tc>
        <w:tc>
          <w:tcPr>
            <w:tcW w:w="1808" w:type="dxa"/>
          </w:tcPr>
          <w:p w:rsidR="001603AF" w:rsidRPr="001603AF" w:rsidRDefault="001603AF" w:rsidP="00001E7A">
            <w:r w:rsidRPr="001603AF">
              <w:t>79 (96.3%)</w:t>
            </w:r>
          </w:p>
        </w:tc>
      </w:tr>
      <w:tr w:rsidR="001603AF" w:rsidRPr="001603AF" w:rsidTr="00001E7A">
        <w:tc>
          <w:tcPr>
            <w:tcW w:w="5353" w:type="dxa"/>
          </w:tcPr>
          <w:p w:rsidR="001603AF" w:rsidRPr="001603AF" w:rsidRDefault="001603AF" w:rsidP="00001E7A">
            <w:r w:rsidRPr="001603AF">
              <w:lastRenderedPageBreak/>
              <w:t>Optional post-progression phase</w:t>
            </w:r>
          </w:p>
        </w:tc>
        <w:tc>
          <w:tcPr>
            <w:tcW w:w="1985" w:type="dxa"/>
          </w:tcPr>
          <w:p w:rsidR="001603AF" w:rsidRPr="001603AF" w:rsidRDefault="001603AF" w:rsidP="00001E7A">
            <w:r w:rsidRPr="001603AF">
              <w:t>44 (51.8%)</w:t>
            </w:r>
          </w:p>
        </w:tc>
        <w:tc>
          <w:tcPr>
            <w:tcW w:w="1808" w:type="dxa"/>
          </w:tcPr>
          <w:p w:rsidR="001603AF" w:rsidRPr="001603AF" w:rsidRDefault="001603AF" w:rsidP="00001E7A">
            <w:r w:rsidRPr="001603AF">
              <w:t>0 (0.0%)</w:t>
            </w:r>
          </w:p>
        </w:tc>
      </w:tr>
    </w:tbl>
    <w:p w:rsidR="001603AF" w:rsidRPr="001603AF" w:rsidRDefault="001603AF" w:rsidP="00E668D1">
      <w:pPr>
        <w:pStyle w:val="TableDescription"/>
      </w:pPr>
      <w:r w:rsidRPr="001603AF">
        <w:t>BV=</w:t>
      </w:r>
      <w:proofErr w:type="spellStart"/>
      <w:r w:rsidRPr="001603AF">
        <w:t>bevacizumab</w:t>
      </w:r>
      <w:proofErr w:type="spellEnd"/>
      <w:r w:rsidRPr="001603AF">
        <w:t>; CPT-11=</w:t>
      </w:r>
      <w:proofErr w:type="spellStart"/>
      <w:r w:rsidRPr="001603AF">
        <w:t>irinotecan</w:t>
      </w:r>
      <w:proofErr w:type="spellEnd"/>
      <w:r w:rsidRPr="001603AF">
        <w:t>.</w:t>
      </w:r>
    </w:p>
    <w:p w:rsidR="001603AF" w:rsidRPr="00E668D1" w:rsidRDefault="001603AF" w:rsidP="00E668D1">
      <w:pPr>
        <w:pStyle w:val="Numberbullet2"/>
        <w:numPr>
          <w:ilvl w:val="1"/>
          <w:numId w:val="38"/>
        </w:numPr>
        <w:spacing w:before="0" w:after="0" w:line="240" w:lineRule="auto"/>
        <w:ind w:left="850" w:hanging="425"/>
        <w:rPr>
          <w:sz w:val="18"/>
          <w:szCs w:val="18"/>
        </w:rPr>
      </w:pPr>
      <w:r w:rsidRPr="00E668D1">
        <w:rPr>
          <w:sz w:val="18"/>
          <w:szCs w:val="18"/>
        </w:rPr>
        <w:t>Analysis population for all efficacy analyses.</w:t>
      </w:r>
    </w:p>
    <w:p w:rsidR="001603AF" w:rsidRPr="001603AF" w:rsidRDefault="001603AF" w:rsidP="00274A55">
      <w:r w:rsidRPr="001603AF">
        <w:t xml:space="preserve">At the time of analysis, 83 patients (BV: 39 [45.9%], BV/CPT: 44 [53.7%]) had discontinued the study as a result of death. Four patients who did not meet the selection criteria were admitted to the study at the discretion of the sponsor, because the reasons for ineligibility were relatively minor and were not expected to have </w:t>
      </w:r>
      <w:r w:rsidR="00274A55">
        <w:t>an impact on the final results.</w:t>
      </w:r>
    </w:p>
    <w:p w:rsidR="001603AF" w:rsidRPr="001603AF" w:rsidRDefault="001603AF" w:rsidP="00274A55">
      <w:r w:rsidRPr="001603AF">
        <w:t xml:space="preserve">The majority of patients in the two arms were 41-64 years of age and were mainly white males with a </w:t>
      </w:r>
      <w:proofErr w:type="spellStart"/>
      <w:r w:rsidRPr="001603AF">
        <w:t>Karnofsky</w:t>
      </w:r>
      <w:proofErr w:type="spellEnd"/>
      <w:r w:rsidRPr="001603AF">
        <w:t xml:space="preserve"> performance status of 70-80%. Most of the patients in the two arms of the study had an initial diagnosis of GBM. The remaining 13 patients who had an initial diagnosis of </w:t>
      </w:r>
      <w:proofErr w:type="spellStart"/>
      <w:r w:rsidRPr="001603AF">
        <w:t>anaplastic</w:t>
      </w:r>
      <w:proofErr w:type="spellEnd"/>
      <w:r w:rsidRPr="001603AF">
        <w:t xml:space="preserve"> </w:t>
      </w:r>
      <w:proofErr w:type="spellStart"/>
      <w:r w:rsidRPr="001603AF">
        <w:t>astrocytoma</w:t>
      </w:r>
      <w:proofErr w:type="spellEnd"/>
      <w:r w:rsidRPr="001603AF">
        <w:t xml:space="preserve"> or “other” progressed to GBM by the time of study entry. The distribution of medical and surgical problems in the two arms of the study was similar. The pattern of medication use at baseline in the two arms of the study was also similar. About half the patients in each arm were receiving corticosteroids at baseline.</w:t>
      </w:r>
    </w:p>
    <w:p w:rsidR="001603AF" w:rsidRPr="001603AF" w:rsidRDefault="001603AF" w:rsidP="00274A55">
      <w:pPr>
        <w:pStyle w:val="Heading4"/>
      </w:pPr>
      <w:r w:rsidRPr="001603AF">
        <w:t>Primary efficacy results</w:t>
      </w:r>
    </w:p>
    <w:p w:rsidR="001603AF" w:rsidRPr="001603AF" w:rsidRDefault="001603AF" w:rsidP="00274A55">
      <w:r w:rsidRPr="001603AF">
        <w:t xml:space="preserve">All the MRI scans, except for one in the BV </w:t>
      </w:r>
      <w:r w:rsidR="00274A55">
        <w:t>Arm, were reviewed by the IRF.</w:t>
      </w:r>
    </w:p>
    <w:p w:rsidR="001603AF" w:rsidRPr="001603AF" w:rsidRDefault="001603AF" w:rsidP="00274A55">
      <w:r w:rsidRPr="001603AF">
        <w:rPr>
          <w:i/>
        </w:rPr>
        <w:t>Objective Response Rate (ORR):</w:t>
      </w:r>
      <w:r w:rsidRPr="001603AF">
        <w:t xml:space="preserve"> The primary analysis population for objective response rate included all the randomized patients. The objective response rates, 28.2% &amp; 37.8% in arms 1 and 2 respectively, were significantly higher than the protocol defined rates for patients receiving salvage chemotherapy (5% and 10% respectively) (Table 4). There was 1 CR in the BV A</w:t>
      </w:r>
      <w:r w:rsidR="00274A55">
        <w:t>rm and 2 CRs in the BV/CPT Arm.</w:t>
      </w:r>
    </w:p>
    <w:p w:rsidR="001603AF" w:rsidRPr="001603AF" w:rsidRDefault="001603AF" w:rsidP="00274A55">
      <w:r w:rsidRPr="001603AF">
        <w:t>Analyses of objective response, performed on 3 subsets of randomized patients, supported the findings (Table 5). The subsets were efficacy evaluable patients, patients with measurable disease at baseline as determined by IRF and patients with central patho</w:t>
      </w:r>
      <w:r w:rsidR="00274A55">
        <w:t>logy confirmed GBM at baseline.</w:t>
      </w:r>
    </w:p>
    <w:p w:rsidR="001603AF" w:rsidRPr="001603AF" w:rsidRDefault="001603AF" w:rsidP="00274A55">
      <w:r w:rsidRPr="001603AF">
        <w:t xml:space="preserve">The results of analyses of objective response rate by baseline characteristics and risk factors showed a consistent ORR of &gt; 20%, except for the subgroups in the BV Arm, of patients in second relapse (n=16) and patients with an initial diagnosis that was non-GBM (n=7). The sponsor’s explanation that the small sample sizes prevent any definitive conclusions </w:t>
      </w:r>
      <w:r w:rsidR="00274A55">
        <w:t>from being drawn is reasonable.</w:t>
      </w:r>
    </w:p>
    <w:p w:rsidR="001603AF" w:rsidRPr="001603AF" w:rsidRDefault="001603AF" w:rsidP="00274A55">
      <w:r w:rsidRPr="001603AF">
        <w:rPr>
          <w:i/>
        </w:rPr>
        <w:t>Six-Month PFS as determined by the IRF:</w:t>
      </w:r>
      <w:r w:rsidRPr="001603AF">
        <w:t xml:space="preserve"> The 6-month PFS in the BV and the BV/CPT arms (42.6% and 50.3% respectively) were significantly higher than the protocol specified rates for patients receiving salvage chemotherapy (15% in both arms) (Table 6).</w:t>
      </w:r>
    </w:p>
    <w:p w:rsidR="001603AF" w:rsidRPr="001603AF" w:rsidRDefault="001603AF" w:rsidP="00274A55">
      <w:r w:rsidRPr="001603AF">
        <w:t>Six-month PFS of &gt; 30% was achieved by all the subgroups in both arms of the study, except for patients in second relapse , patients with an initial diagnosis that was non-GBM, and patients &gt; 65 years (n=11) in the BV Arm. The small sample size prevented any definite conclusions from being drawn.</w:t>
      </w:r>
    </w:p>
    <w:p w:rsidR="001603AF" w:rsidRPr="001603AF" w:rsidRDefault="001603AF" w:rsidP="00274A55">
      <w:pPr>
        <w:pStyle w:val="TableTitle"/>
      </w:pPr>
      <w:r w:rsidRPr="001603AF">
        <w:lastRenderedPageBreak/>
        <w:t>Table 4 Objective Response, as Determined by the IRF (Randomized Patients)</w:t>
      </w:r>
    </w:p>
    <w:tbl>
      <w:tblPr>
        <w:tblStyle w:val="TableTGAblue"/>
        <w:tblW w:w="9146" w:type="dxa"/>
        <w:tblLook w:val="04A0"/>
      </w:tblPr>
      <w:tblGrid>
        <w:gridCol w:w="4928"/>
        <w:gridCol w:w="2126"/>
        <w:gridCol w:w="2092"/>
      </w:tblGrid>
      <w:tr w:rsidR="001603AF" w:rsidRPr="001603AF" w:rsidTr="00274A55">
        <w:trPr>
          <w:cnfStyle w:val="100000000000"/>
        </w:trPr>
        <w:tc>
          <w:tcPr>
            <w:tcW w:w="4928" w:type="dxa"/>
          </w:tcPr>
          <w:p w:rsidR="001603AF" w:rsidRPr="001603AF" w:rsidRDefault="001603AF" w:rsidP="00F24D08">
            <w:pPr>
              <w:keepNext/>
            </w:pPr>
          </w:p>
        </w:tc>
        <w:tc>
          <w:tcPr>
            <w:tcW w:w="2126" w:type="dxa"/>
          </w:tcPr>
          <w:p w:rsidR="00274A55" w:rsidRDefault="001603AF" w:rsidP="00274A55">
            <w:r w:rsidRPr="001603AF">
              <w:t>BV</w:t>
            </w:r>
          </w:p>
          <w:p w:rsidR="001603AF" w:rsidRPr="001603AF" w:rsidRDefault="001603AF" w:rsidP="00274A55">
            <w:r w:rsidRPr="001603AF">
              <w:t>(n=85)</w:t>
            </w:r>
          </w:p>
        </w:tc>
        <w:tc>
          <w:tcPr>
            <w:tcW w:w="2092" w:type="dxa"/>
          </w:tcPr>
          <w:p w:rsidR="00274A55" w:rsidRDefault="001603AF" w:rsidP="00274A55">
            <w:r w:rsidRPr="001603AF">
              <w:t>BV/CPT-11</w:t>
            </w:r>
          </w:p>
          <w:p w:rsidR="001603AF" w:rsidRPr="001603AF" w:rsidRDefault="001603AF" w:rsidP="00274A55">
            <w:r w:rsidRPr="001603AF">
              <w:t>(n=82)</w:t>
            </w:r>
          </w:p>
        </w:tc>
      </w:tr>
      <w:tr w:rsidR="001603AF" w:rsidRPr="001603AF" w:rsidTr="00274A55">
        <w:tc>
          <w:tcPr>
            <w:tcW w:w="4928" w:type="dxa"/>
          </w:tcPr>
          <w:p w:rsidR="001603AF" w:rsidRPr="001603AF" w:rsidRDefault="001603AF" w:rsidP="00274A55">
            <w:r w:rsidRPr="001603AF">
              <w:t>Patients with objective response</w:t>
            </w:r>
          </w:p>
        </w:tc>
        <w:tc>
          <w:tcPr>
            <w:tcW w:w="2126" w:type="dxa"/>
          </w:tcPr>
          <w:p w:rsidR="001603AF" w:rsidRPr="001603AF" w:rsidRDefault="001603AF" w:rsidP="00274A55">
            <w:r w:rsidRPr="001603AF">
              <w:t>24 (28.2%)</w:t>
            </w:r>
          </w:p>
        </w:tc>
        <w:tc>
          <w:tcPr>
            <w:tcW w:w="2092" w:type="dxa"/>
          </w:tcPr>
          <w:p w:rsidR="001603AF" w:rsidRPr="001603AF" w:rsidRDefault="001603AF" w:rsidP="00274A55">
            <w:r w:rsidRPr="001603AF">
              <w:t>31 (37.8%)</w:t>
            </w:r>
          </w:p>
        </w:tc>
      </w:tr>
      <w:tr w:rsidR="001603AF" w:rsidRPr="001603AF" w:rsidTr="00274A55">
        <w:tc>
          <w:tcPr>
            <w:tcW w:w="4928" w:type="dxa"/>
          </w:tcPr>
          <w:p w:rsidR="001603AF" w:rsidRPr="001603AF" w:rsidRDefault="001603AF" w:rsidP="00274A55">
            <w:pPr>
              <w:ind w:left="720"/>
            </w:pPr>
            <w:r w:rsidRPr="001603AF">
              <w:t>Best objective response</w:t>
            </w:r>
          </w:p>
        </w:tc>
        <w:tc>
          <w:tcPr>
            <w:tcW w:w="2126" w:type="dxa"/>
          </w:tcPr>
          <w:p w:rsidR="001603AF" w:rsidRPr="001603AF" w:rsidRDefault="001603AF" w:rsidP="00274A55"/>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1440"/>
            </w:pPr>
            <w:r w:rsidRPr="001603AF">
              <w:t>Complete response</w:t>
            </w:r>
          </w:p>
        </w:tc>
        <w:tc>
          <w:tcPr>
            <w:tcW w:w="2126" w:type="dxa"/>
          </w:tcPr>
          <w:p w:rsidR="001603AF" w:rsidRPr="001603AF" w:rsidRDefault="001603AF" w:rsidP="00274A55">
            <w:r w:rsidRPr="001603AF">
              <w:t>1 (1.2%)</w:t>
            </w:r>
          </w:p>
        </w:tc>
        <w:tc>
          <w:tcPr>
            <w:tcW w:w="2092" w:type="dxa"/>
          </w:tcPr>
          <w:p w:rsidR="001603AF" w:rsidRPr="001603AF" w:rsidRDefault="001603AF" w:rsidP="00274A55">
            <w:r w:rsidRPr="001603AF">
              <w:t>2 (2.4%)</w:t>
            </w:r>
          </w:p>
        </w:tc>
      </w:tr>
      <w:tr w:rsidR="001603AF" w:rsidRPr="001603AF" w:rsidTr="00274A55">
        <w:tc>
          <w:tcPr>
            <w:tcW w:w="4928" w:type="dxa"/>
          </w:tcPr>
          <w:p w:rsidR="001603AF" w:rsidRPr="001603AF" w:rsidRDefault="001603AF" w:rsidP="00274A55">
            <w:pPr>
              <w:ind w:left="1440"/>
            </w:pPr>
            <w:r w:rsidRPr="001603AF">
              <w:t>Partial response</w:t>
            </w:r>
          </w:p>
        </w:tc>
        <w:tc>
          <w:tcPr>
            <w:tcW w:w="2126" w:type="dxa"/>
          </w:tcPr>
          <w:p w:rsidR="001603AF" w:rsidRPr="001603AF" w:rsidRDefault="001603AF" w:rsidP="00274A55">
            <w:r w:rsidRPr="001603AF">
              <w:t>23 (27.1)</w:t>
            </w:r>
          </w:p>
        </w:tc>
        <w:tc>
          <w:tcPr>
            <w:tcW w:w="2092" w:type="dxa"/>
          </w:tcPr>
          <w:p w:rsidR="001603AF" w:rsidRPr="001603AF" w:rsidRDefault="001603AF" w:rsidP="00274A55">
            <w:r w:rsidRPr="001603AF">
              <w:t>29 (35.4%)</w:t>
            </w:r>
          </w:p>
        </w:tc>
      </w:tr>
      <w:tr w:rsidR="001603AF" w:rsidRPr="001603AF" w:rsidTr="00274A55">
        <w:tc>
          <w:tcPr>
            <w:tcW w:w="4928" w:type="dxa"/>
          </w:tcPr>
          <w:p w:rsidR="001603AF" w:rsidRPr="001603AF" w:rsidRDefault="001603AF" w:rsidP="00274A55">
            <w:pPr>
              <w:ind w:left="720"/>
            </w:pPr>
            <w:r w:rsidRPr="001603AF">
              <w:t>97.5% CI for objective response</w:t>
            </w:r>
          </w:p>
        </w:tc>
        <w:tc>
          <w:tcPr>
            <w:tcW w:w="2126" w:type="dxa"/>
          </w:tcPr>
          <w:p w:rsidR="001603AF" w:rsidRPr="001603AF" w:rsidRDefault="001603AF" w:rsidP="00274A55">
            <w:r w:rsidRPr="001603AF">
              <w:t>(18.5%, 40.3%)</w:t>
            </w:r>
          </w:p>
        </w:tc>
        <w:tc>
          <w:tcPr>
            <w:tcW w:w="2092" w:type="dxa"/>
          </w:tcPr>
          <w:p w:rsidR="001603AF" w:rsidRPr="001603AF" w:rsidRDefault="001603AF" w:rsidP="00274A55">
            <w:r w:rsidRPr="001603AF">
              <w:t>(26.5%, 50.8%)</w:t>
            </w:r>
          </w:p>
        </w:tc>
      </w:tr>
      <w:tr w:rsidR="001603AF" w:rsidRPr="001603AF" w:rsidTr="00274A55">
        <w:tc>
          <w:tcPr>
            <w:tcW w:w="4928" w:type="dxa"/>
          </w:tcPr>
          <w:p w:rsidR="001603AF" w:rsidRPr="001603AF" w:rsidRDefault="001603AF" w:rsidP="00274A55">
            <w:r w:rsidRPr="001603AF">
              <w:t>Difference in objective response rates relative to 5% objective response rate with salvage chemotherapy)</w:t>
            </w:r>
          </w:p>
        </w:tc>
        <w:tc>
          <w:tcPr>
            <w:tcW w:w="2126" w:type="dxa"/>
          </w:tcPr>
          <w:p w:rsidR="001603AF" w:rsidRPr="001603AF" w:rsidRDefault="001603AF" w:rsidP="00274A55">
            <w:r w:rsidRPr="001603AF">
              <w:t>23.2%</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720"/>
            </w:pPr>
            <w:r w:rsidRPr="001603AF">
              <w:t>(97.5% CI)</w:t>
            </w:r>
          </w:p>
        </w:tc>
        <w:tc>
          <w:tcPr>
            <w:tcW w:w="2126" w:type="dxa"/>
          </w:tcPr>
          <w:p w:rsidR="001603AF" w:rsidRPr="001603AF" w:rsidRDefault="001603AF" w:rsidP="00274A55">
            <w:r w:rsidRPr="001603AF">
              <w:t>(13.5%, 35.3%)</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720"/>
            </w:pPr>
            <w:r w:rsidRPr="001603AF">
              <w:t>p-value</w:t>
            </w:r>
          </w:p>
        </w:tc>
        <w:tc>
          <w:tcPr>
            <w:tcW w:w="2126" w:type="dxa"/>
          </w:tcPr>
          <w:p w:rsidR="001603AF" w:rsidRPr="001603AF" w:rsidRDefault="001603AF" w:rsidP="00274A55">
            <w:r w:rsidRPr="001603AF">
              <w:t>&lt;0.0001</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r w:rsidRPr="001603AF">
              <w:t xml:space="preserve">Difference in objective response rates (relative to 10% objective response rate with </w:t>
            </w:r>
            <w:proofErr w:type="spellStart"/>
            <w:r w:rsidRPr="001603AF">
              <w:t>irinotecan</w:t>
            </w:r>
            <w:proofErr w:type="spellEnd"/>
            <w:r w:rsidRPr="001603AF">
              <w:t xml:space="preserve"> alone)</w:t>
            </w:r>
          </w:p>
        </w:tc>
        <w:tc>
          <w:tcPr>
            <w:tcW w:w="2126" w:type="dxa"/>
          </w:tcPr>
          <w:p w:rsidR="001603AF" w:rsidRPr="001603AF" w:rsidRDefault="001603AF" w:rsidP="00274A55"/>
        </w:tc>
        <w:tc>
          <w:tcPr>
            <w:tcW w:w="2092" w:type="dxa"/>
          </w:tcPr>
          <w:p w:rsidR="001603AF" w:rsidRPr="001603AF" w:rsidRDefault="001603AF" w:rsidP="00274A55">
            <w:r w:rsidRPr="001603AF">
              <w:t>27.8%</w:t>
            </w:r>
          </w:p>
        </w:tc>
      </w:tr>
      <w:tr w:rsidR="001603AF" w:rsidRPr="001603AF" w:rsidTr="00274A55">
        <w:tc>
          <w:tcPr>
            <w:tcW w:w="4928" w:type="dxa"/>
          </w:tcPr>
          <w:p w:rsidR="001603AF" w:rsidRPr="001603AF" w:rsidRDefault="001603AF" w:rsidP="00274A55">
            <w:pPr>
              <w:ind w:left="720"/>
            </w:pPr>
            <w:r w:rsidRPr="001603AF">
              <w:t>(97.5% CI)</w:t>
            </w:r>
          </w:p>
        </w:tc>
        <w:tc>
          <w:tcPr>
            <w:tcW w:w="2126" w:type="dxa"/>
          </w:tcPr>
          <w:p w:rsidR="001603AF" w:rsidRPr="001603AF" w:rsidRDefault="001603AF" w:rsidP="00274A55"/>
        </w:tc>
        <w:tc>
          <w:tcPr>
            <w:tcW w:w="2092" w:type="dxa"/>
          </w:tcPr>
          <w:p w:rsidR="001603AF" w:rsidRPr="001603AF" w:rsidRDefault="001603AF" w:rsidP="00274A55">
            <w:r w:rsidRPr="001603AF">
              <w:t>(16.5%, 40.8%)</w:t>
            </w:r>
          </w:p>
        </w:tc>
      </w:tr>
      <w:tr w:rsidR="001603AF" w:rsidRPr="001603AF" w:rsidTr="00274A55">
        <w:tc>
          <w:tcPr>
            <w:tcW w:w="4928" w:type="dxa"/>
          </w:tcPr>
          <w:p w:rsidR="001603AF" w:rsidRPr="001603AF" w:rsidRDefault="001603AF" w:rsidP="00274A55">
            <w:pPr>
              <w:ind w:left="720"/>
            </w:pPr>
            <w:r w:rsidRPr="001603AF">
              <w:t>p-value</w:t>
            </w:r>
          </w:p>
        </w:tc>
        <w:tc>
          <w:tcPr>
            <w:tcW w:w="2126" w:type="dxa"/>
          </w:tcPr>
          <w:p w:rsidR="001603AF" w:rsidRPr="001603AF" w:rsidRDefault="001603AF" w:rsidP="00274A55"/>
        </w:tc>
        <w:tc>
          <w:tcPr>
            <w:tcW w:w="2092" w:type="dxa"/>
          </w:tcPr>
          <w:p w:rsidR="001603AF" w:rsidRPr="001603AF" w:rsidRDefault="001603AF" w:rsidP="00274A55">
            <w:r w:rsidRPr="001603AF">
              <w:t>&lt;0.0001</w:t>
            </w:r>
          </w:p>
        </w:tc>
      </w:tr>
    </w:tbl>
    <w:p w:rsidR="001603AF" w:rsidRPr="001603AF" w:rsidRDefault="001603AF" w:rsidP="00274A55">
      <w:pPr>
        <w:pStyle w:val="TableDescription"/>
      </w:pPr>
      <w:r w:rsidRPr="001603AF">
        <w:t>BV=</w:t>
      </w:r>
      <w:proofErr w:type="spellStart"/>
      <w:r w:rsidRPr="001603AF">
        <w:t>bevacizumab</w:t>
      </w:r>
      <w:proofErr w:type="spellEnd"/>
      <w:r w:rsidRPr="001603AF">
        <w:t>; CI=confidence interval; CPT-11=</w:t>
      </w:r>
      <w:proofErr w:type="spellStart"/>
      <w:r w:rsidRPr="001603AF">
        <w:t>irinotecan</w:t>
      </w:r>
      <w:proofErr w:type="spellEnd"/>
      <w:r w:rsidRPr="001603AF">
        <w:t>; IRF=Independent Radiology Facility</w:t>
      </w:r>
    </w:p>
    <w:p w:rsidR="001603AF" w:rsidRPr="001603AF" w:rsidRDefault="001603AF" w:rsidP="00274A55">
      <w:pPr>
        <w:pStyle w:val="TableTitle"/>
      </w:pPr>
      <w:r w:rsidRPr="001603AF">
        <w:t>Table 5 Subset Analyses of Objective Response, as Determined by the IRF</w:t>
      </w:r>
    </w:p>
    <w:tbl>
      <w:tblPr>
        <w:tblStyle w:val="TableTGAblue"/>
        <w:tblW w:w="9146" w:type="dxa"/>
        <w:tblLook w:val="04A0"/>
      </w:tblPr>
      <w:tblGrid>
        <w:gridCol w:w="4928"/>
        <w:gridCol w:w="2126"/>
        <w:gridCol w:w="2092"/>
      </w:tblGrid>
      <w:tr w:rsidR="001603AF" w:rsidRPr="001603AF" w:rsidTr="00274A55">
        <w:trPr>
          <w:cnfStyle w:val="100000000000"/>
          <w:tblHeader/>
        </w:trPr>
        <w:tc>
          <w:tcPr>
            <w:tcW w:w="4928" w:type="dxa"/>
          </w:tcPr>
          <w:p w:rsidR="001603AF" w:rsidRPr="001603AF" w:rsidRDefault="001603AF" w:rsidP="00274A55"/>
        </w:tc>
        <w:tc>
          <w:tcPr>
            <w:tcW w:w="2126" w:type="dxa"/>
          </w:tcPr>
          <w:p w:rsidR="001603AF" w:rsidRPr="001603AF" w:rsidRDefault="001603AF" w:rsidP="00274A55">
            <w:r w:rsidRPr="001603AF">
              <w:t>BV</w:t>
            </w:r>
          </w:p>
        </w:tc>
        <w:tc>
          <w:tcPr>
            <w:tcW w:w="2092" w:type="dxa"/>
          </w:tcPr>
          <w:p w:rsidR="001603AF" w:rsidRPr="001603AF" w:rsidRDefault="001603AF" w:rsidP="00274A55">
            <w:r w:rsidRPr="001603AF">
              <w:t>BV/CPT-11</w:t>
            </w:r>
          </w:p>
        </w:tc>
      </w:tr>
      <w:tr w:rsidR="001603AF" w:rsidRPr="001603AF" w:rsidTr="00274A55">
        <w:tc>
          <w:tcPr>
            <w:tcW w:w="9146" w:type="dxa"/>
            <w:gridSpan w:val="3"/>
          </w:tcPr>
          <w:p w:rsidR="001603AF" w:rsidRPr="001603AF" w:rsidRDefault="001603AF" w:rsidP="00274A55">
            <w:r w:rsidRPr="001603AF">
              <w:t>Randomized patients</w:t>
            </w:r>
          </w:p>
        </w:tc>
      </w:tr>
      <w:tr w:rsidR="001603AF" w:rsidRPr="001603AF" w:rsidTr="00274A55">
        <w:tc>
          <w:tcPr>
            <w:tcW w:w="4928" w:type="dxa"/>
          </w:tcPr>
          <w:p w:rsidR="001603AF" w:rsidRPr="001603AF" w:rsidRDefault="001603AF" w:rsidP="00274A55">
            <w:pPr>
              <w:ind w:left="720"/>
            </w:pPr>
            <w:r w:rsidRPr="001603AF">
              <w:t>Number of patients</w:t>
            </w:r>
          </w:p>
        </w:tc>
        <w:tc>
          <w:tcPr>
            <w:tcW w:w="2126" w:type="dxa"/>
          </w:tcPr>
          <w:p w:rsidR="001603AF" w:rsidRPr="001603AF" w:rsidRDefault="001603AF" w:rsidP="00274A55">
            <w:r w:rsidRPr="001603AF">
              <w:t>85</w:t>
            </w:r>
          </w:p>
        </w:tc>
        <w:tc>
          <w:tcPr>
            <w:tcW w:w="2092" w:type="dxa"/>
          </w:tcPr>
          <w:p w:rsidR="001603AF" w:rsidRPr="001603AF" w:rsidRDefault="001603AF" w:rsidP="00274A55">
            <w:r w:rsidRPr="001603AF">
              <w:t>82</w:t>
            </w:r>
          </w:p>
        </w:tc>
      </w:tr>
      <w:tr w:rsidR="001603AF" w:rsidRPr="001603AF" w:rsidTr="00274A55">
        <w:tc>
          <w:tcPr>
            <w:tcW w:w="4928" w:type="dxa"/>
          </w:tcPr>
          <w:p w:rsidR="001603AF" w:rsidRPr="001603AF" w:rsidRDefault="001603AF" w:rsidP="00274A55">
            <w:pPr>
              <w:ind w:left="720"/>
            </w:pPr>
            <w:r w:rsidRPr="001603AF">
              <w:t>Patients with objective response</w:t>
            </w:r>
          </w:p>
        </w:tc>
        <w:tc>
          <w:tcPr>
            <w:tcW w:w="2126" w:type="dxa"/>
          </w:tcPr>
          <w:p w:rsidR="001603AF" w:rsidRPr="001603AF" w:rsidRDefault="001603AF" w:rsidP="00274A55">
            <w:r w:rsidRPr="001603AF">
              <w:t>24 (28.2%)</w:t>
            </w:r>
          </w:p>
        </w:tc>
        <w:tc>
          <w:tcPr>
            <w:tcW w:w="2092" w:type="dxa"/>
          </w:tcPr>
          <w:p w:rsidR="001603AF" w:rsidRPr="001603AF" w:rsidRDefault="001603AF" w:rsidP="00274A55">
            <w:r w:rsidRPr="001603AF">
              <w:t>31 (37.8%)</w:t>
            </w:r>
          </w:p>
        </w:tc>
      </w:tr>
      <w:tr w:rsidR="001603AF" w:rsidRPr="001603AF" w:rsidTr="00274A55">
        <w:tc>
          <w:tcPr>
            <w:tcW w:w="9146" w:type="dxa"/>
            <w:gridSpan w:val="3"/>
          </w:tcPr>
          <w:p w:rsidR="001603AF" w:rsidRPr="001603AF" w:rsidRDefault="001603AF" w:rsidP="00274A55">
            <w:r w:rsidRPr="001603AF">
              <w:t>Efficacy-evaluable patients</w:t>
            </w:r>
          </w:p>
        </w:tc>
      </w:tr>
      <w:tr w:rsidR="001603AF" w:rsidRPr="001603AF" w:rsidTr="00274A55">
        <w:tc>
          <w:tcPr>
            <w:tcW w:w="4928" w:type="dxa"/>
          </w:tcPr>
          <w:p w:rsidR="001603AF" w:rsidRPr="001603AF" w:rsidRDefault="001603AF" w:rsidP="00274A55">
            <w:pPr>
              <w:ind w:left="720"/>
            </w:pPr>
            <w:r w:rsidRPr="001603AF">
              <w:t>Number of patients</w:t>
            </w:r>
          </w:p>
        </w:tc>
        <w:tc>
          <w:tcPr>
            <w:tcW w:w="2126" w:type="dxa"/>
          </w:tcPr>
          <w:p w:rsidR="001603AF" w:rsidRPr="001603AF" w:rsidRDefault="001603AF" w:rsidP="00274A55">
            <w:r w:rsidRPr="001603AF">
              <w:t>84</w:t>
            </w:r>
          </w:p>
        </w:tc>
        <w:tc>
          <w:tcPr>
            <w:tcW w:w="2092" w:type="dxa"/>
          </w:tcPr>
          <w:p w:rsidR="001603AF" w:rsidRPr="001603AF" w:rsidRDefault="001603AF" w:rsidP="00274A55">
            <w:r w:rsidRPr="001603AF">
              <w:t>79</w:t>
            </w:r>
          </w:p>
        </w:tc>
      </w:tr>
      <w:tr w:rsidR="001603AF" w:rsidRPr="001603AF" w:rsidTr="00274A55">
        <w:tc>
          <w:tcPr>
            <w:tcW w:w="4928" w:type="dxa"/>
          </w:tcPr>
          <w:p w:rsidR="001603AF" w:rsidRPr="001603AF" w:rsidRDefault="001603AF" w:rsidP="00274A55">
            <w:pPr>
              <w:ind w:left="720"/>
            </w:pPr>
            <w:r w:rsidRPr="001603AF">
              <w:t>Patients with objective response</w:t>
            </w:r>
          </w:p>
        </w:tc>
        <w:tc>
          <w:tcPr>
            <w:tcW w:w="2126" w:type="dxa"/>
          </w:tcPr>
          <w:p w:rsidR="001603AF" w:rsidRPr="001603AF" w:rsidRDefault="001603AF" w:rsidP="00274A55">
            <w:r w:rsidRPr="001603AF">
              <w:t>24 (28.6%)</w:t>
            </w:r>
          </w:p>
        </w:tc>
        <w:tc>
          <w:tcPr>
            <w:tcW w:w="2092" w:type="dxa"/>
          </w:tcPr>
          <w:p w:rsidR="001603AF" w:rsidRPr="001603AF" w:rsidRDefault="001603AF" w:rsidP="00274A55">
            <w:r w:rsidRPr="001603AF">
              <w:t>31 (39.2%)</w:t>
            </w:r>
          </w:p>
        </w:tc>
      </w:tr>
      <w:tr w:rsidR="001603AF" w:rsidRPr="001603AF" w:rsidTr="00274A55">
        <w:tc>
          <w:tcPr>
            <w:tcW w:w="9146" w:type="dxa"/>
            <w:gridSpan w:val="3"/>
          </w:tcPr>
          <w:p w:rsidR="001603AF" w:rsidRPr="001603AF" w:rsidRDefault="001603AF" w:rsidP="00274A55">
            <w:r w:rsidRPr="001603AF">
              <w:t>Randomized patients with measurable disease at baseline</w:t>
            </w:r>
          </w:p>
        </w:tc>
      </w:tr>
      <w:tr w:rsidR="001603AF" w:rsidRPr="001603AF" w:rsidTr="00274A55">
        <w:tc>
          <w:tcPr>
            <w:tcW w:w="4928" w:type="dxa"/>
          </w:tcPr>
          <w:p w:rsidR="001603AF" w:rsidRPr="001603AF" w:rsidRDefault="001603AF" w:rsidP="00274A55">
            <w:pPr>
              <w:ind w:left="720"/>
            </w:pPr>
            <w:r w:rsidRPr="001603AF">
              <w:t>Number of patients</w:t>
            </w:r>
          </w:p>
        </w:tc>
        <w:tc>
          <w:tcPr>
            <w:tcW w:w="2126" w:type="dxa"/>
          </w:tcPr>
          <w:p w:rsidR="001603AF" w:rsidRPr="001603AF" w:rsidRDefault="001603AF" w:rsidP="00274A55">
            <w:r w:rsidRPr="001603AF">
              <w:t>83</w:t>
            </w:r>
          </w:p>
        </w:tc>
        <w:tc>
          <w:tcPr>
            <w:tcW w:w="2092" w:type="dxa"/>
          </w:tcPr>
          <w:p w:rsidR="001603AF" w:rsidRPr="001603AF" w:rsidRDefault="001603AF" w:rsidP="00274A55">
            <w:r w:rsidRPr="001603AF">
              <w:t>79</w:t>
            </w:r>
          </w:p>
        </w:tc>
      </w:tr>
      <w:tr w:rsidR="001603AF" w:rsidRPr="001603AF" w:rsidTr="00274A55">
        <w:tc>
          <w:tcPr>
            <w:tcW w:w="4928" w:type="dxa"/>
          </w:tcPr>
          <w:p w:rsidR="001603AF" w:rsidRPr="001603AF" w:rsidRDefault="001603AF" w:rsidP="00274A55">
            <w:pPr>
              <w:ind w:left="720"/>
            </w:pPr>
            <w:r w:rsidRPr="001603AF">
              <w:t>Patients with objective response</w:t>
            </w:r>
          </w:p>
        </w:tc>
        <w:tc>
          <w:tcPr>
            <w:tcW w:w="2126" w:type="dxa"/>
          </w:tcPr>
          <w:p w:rsidR="001603AF" w:rsidRPr="001603AF" w:rsidRDefault="001603AF" w:rsidP="00274A55">
            <w:r w:rsidRPr="001603AF">
              <w:t>23 (27.7%)</w:t>
            </w:r>
          </w:p>
        </w:tc>
        <w:tc>
          <w:tcPr>
            <w:tcW w:w="2092" w:type="dxa"/>
          </w:tcPr>
          <w:p w:rsidR="001603AF" w:rsidRPr="001603AF" w:rsidRDefault="001603AF" w:rsidP="00274A55">
            <w:r w:rsidRPr="001603AF">
              <w:t>31 (39.2%)</w:t>
            </w:r>
          </w:p>
        </w:tc>
      </w:tr>
      <w:tr w:rsidR="001603AF" w:rsidRPr="001603AF" w:rsidTr="00274A55">
        <w:tc>
          <w:tcPr>
            <w:tcW w:w="9146" w:type="dxa"/>
            <w:gridSpan w:val="3"/>
          </w:tcPr>
          <w:p w:rsidR="001603AF" w:rsidRPr="001603AF" w:rsidRDefault="001603AF" w:rsidP="00274A55">
            <w:r w:rsidRPr="001603AF">
              <w:lastRenderedPageBreak/>
              <w:t>Randomized patients with central pathology-confirmed GBM</w:t>
            </w:r>
          </w:p>
        </w:tc>
      </w:tr>
      <w:tr w:rsidR="001603AF" w:rsidRPr="001603AF" w:rsidTr="00274A55">
        <w:tc>
          <w:tcPr>
            <w:tcW w:w="4928" w:type="dxa"/>
          </w:tcPr>
          <w:p w:rsidR="001603AF" w:rsidRPr="001603AF" w:rsidRDefault="001603AF" w:rsidP="00274A55">
            <w:pPr>
              <w:ind w:left="720"/>
            </w:pPr>
            <w:r w:rsidRPr="001603AF">
              <w:t>Number of patients</w:t>
            </w:r>
          </w:p>
        </w:tc>
        <w:tc>
          <w:tcPr>
            <w:tcW w:w="2126" w:type="dxa"/>
          </w:tcPr>
          <w:p w:rsidR="001603AF" w:rsidRPr="001603AF" w:rsidRDefault="001603AF" w:rsidP="00274A55">
            <w:r w:rsidRPr="001603AF">
              <w:t>83</w:t>
            </w:r>
          </w:p>
        </w:tc>
        <w:tc>
          <w:tcPr>
            <w:tcW w:w="2092" w:type="dxa"/>
          </w:tcPr>
          <w:p w:rsidR="001603AF" w:rsidRPr="001603AF" w:rsidRDefault="001603AF" w:rsidP="00274A55">
            <w:r w:rsidRPr="001603AF">
              <w:t>82</w:t>
            </w:r>
          </w:p>
        </w:tc>
      </w:tr>
      <w:tr w:rsidR="001603AF" w:rsidRPr="001603AF" w:rsidTr="00274A55">
        <w:tc>
          <w:tcPr>
            <w:tcW w:w="4928" w:type="dxa"/>
          </w:tcPr>
          <w:p w:rsidR="001603AF" w:rsidRPr="001603AF" w:rsidRDefault="001603AF" w:rsidP="00274A55">
            <w:pPr>
              <w:ind w:left="720"/>
            </w:pPr>
            <w:r w:rsidRPr="001603AF">
              <w:t>Patients with objective response</w:t>
            </w:r>
          </w:p>
        </w:tc>
        <w:tc>
          <w:tcPr>
            <w:tcW w:w="2126" w:type="dxa"/>
          </w:tcPr>
          <w:p w:rsidR="001603AF" w:rsidRPr="001603AF" w:rsidRDefault="001603AF" w:rsidP="00274A55">
            <w:r w:rsidRPr="001603AF">
              <w:t>24 (28.9%)</w:t>
            </w:r>
          </w:p>
        </w:tc>
        <w:tc>
          <w:tcPr>
            <w:tcW w:w="2092" w:type="dxa"/>
          </w:tcPr>
          <w:p w:rsidR="001603AF" w:rsidRPr="001603AF" w:rsidRDefault="001603AF" w:rsidP="00274A55">
            <w:r w:rsidRPr="001603AF">
              <w:t>31 (37.8%)</w:t>
            </w:r>
          </w:p>
        </w:tc>
      </w:tr>
    </w:tbl>
    <w:p w:rsidR="001603AF" w:rsidRPr="001603AF" w:rsidRDefault="001603AF" w:rsidP="00274A55">
      <w:pPr>
        <w:pStyle w:val="TableDescription"/>
      </w:pPr>
      <w:r w:rsidRPr="001603AF">
        <w:t>BV=</w:t>
      </w:r>
      <w:proofErr w:type="spellStart"/>
      <w:r w:rsidRPr="001603AF">
        <w:t>bevacizumab</w:t>
      </w:r>
      <w:proofErr w:type="spellEnd"/>
      <w:r w:rsidRPr="001603AF">
        <w:t>; CPT-11=</w:t>
      </w:r>
      <w:proofErr w:type="spellStart"/>
      <w:r w:rsidRPr="001603AF">
        <w:t>irinotecan</w:t>
      </w:r>
      <w:proofErr w:type="spellEnd"/>
      <w:r w:rsidRPr="001603AF">
        <w:t>; IRF=Independent Radiology Facility</w:t>
      </w:r>
    </w:p>
    <w:p w:rsidR="001603AF" w:rsidRPr="001603AF" w:rsidRDefault="001603AF" w:rsidP="00274A55">
      <w:pPr>
        <w:pStyle w:val="TableTitle"/>
      </w:pPr>
      <w:r w:rsidRPr="001603AF">
        <w:t>Table 6 Six-Month Progression-Free Survival, as Determined by the IRF (Randomized Patients)</w:t>
      </w:r>
    </w:p>
    <w:tbl>
      <w:tblPr>
        <w:tblStyle w:val="TableTGAblue"/>
        <w:tblW w:w="9146" w:type="dxa"/>
        <w:tblLook w:val="04A0"/>
      </w:tblPr>
      <w:tblGrid>
        <w:gridCol w:w="4928"/>
        <w:gridCol w:w="2126"/>
        <w:gridCol w:w="2092"/>
      </w:tblGrid>
      <w:tr w:rsidR="001603AF" w:rsidRPr="001603AF" w:rsidTr="00274A55">
        <w:trPr>
          <w:cnfStyle w:val="100000000000"/>
        </w:trPr>
        <w:tc>
          <w:tcPr>
            <w:tcW w:w="4928" w:type="dxa"/>
          </w:tcPr>
          <w:p w:rsidR="001603AF" w:rsidRPr="001603AF" w:rsidRDefault="001603AF" w:rsidP="00274A55"/>
        </w:tc>
        <w:tc>
          <w:tcPr>
            <w:tcW w:w="2126" w:type="dxa"/>
          </w:tcPr>
          <w:p w:rsidR="00274A55" w:rsidRDefault="001603AF" w:rsidP="00274A55">
            <w:r w:rsidRPr="001603AF">
              <w:t>BV</w:t>
            </w:r>
          </w:p>
          <w:p w:rsidR="001603AF" w:rsidRPr="001603AF" w:rsidRDefault="001603AF" w:rsidP="00274A55">
            <w:r w:rsidRPr="001603AF">
              <w:t>(n=85)</w:t>
            </w:r>
          </w:p>
        </w:tc>
        <w:tc>
          <w:tcPr>
            <w:tcW w:w="2092" w:type="dxa"/>
          </w:tcPr>
          <w:p w:rsidR="00274A55" w:rsidRDefault="001603AF" w:rsidP="00274A55">
            <w:r w:rsidRPr="001603AF">
              <w:t>BV/CPT-11</w:t>
            </w:r>
          </w:p>
          <w:p w:rsidR="001603AF" w:rsidRPr="001603AF" w:rsidRDefault="001603AF" w:rsidP="00274A55">
            <w:r w:rsidRPr="001603AF">
              <w:t>(n=82)</w:t>
            </w:r>
          </w:p>
        </w:tc>
      </w:tr>
      <w:tr w:rsidR="001603AF" w:rsidRPr="001603AF" w:rsidTr="00274A55">
        <w:tc>
          <w:tcPr>
            <w:tcW w:w="4928" w:type="dxa"/>
          </w:tcPr>
          <w:p w:rsidR="001603AF" w:rsidRPr="001603AF" w:rsidRDefault="001603AF" w:rsidP="00274A55">
            <w:r w:rsidRPr="001603AF">
              <w:t>Patients with an event up to 6-month</w:t>
            </w:r>
          </w:p>
        </w:tc>
        <w:tc>
          <w:tcPr>
            <w:tcW w:w="2126" w:type="dxa"/>
          </w:tcPr>
          <w:p w:rsidR="001603AF" w:rsidRPr="001603AF" w:rsidRDefault="001603AF" w:rsidP="00274A55">
            <w:r w:rsidRPr="001603AF">
              <w:t>44 (51.8%)</w:t>
            </w:r>
          </w:p>
        </w:tc>
        <w:tc>
          <w:tcPr>
            <w:tcW w:w="2092" w:type="dxa"/>
          </w:tcPr>
          <w:p w:rsidR="001603AF" w:rsidRPr="001603AF" w:rsidRDefault="001603AF" w:rsidP="00274A55">
            <w:r w:rsidRPr="001603AF">
              <w:t>35 (42.7%)</w:t>
            </w:r>
          </w:p>
        </w:tc>
      </w:tr>
      <w:tr w:rsidR="001603AF" w:rsidRPr="001603AF" w:rsidTr="00274A55">
        <w:tc>
          <w:tcPr>
            <w:tcW w:w="4928" w:type="dxa"/>
          </w:tcPr>
          <w:p w:rsidR="001603AF" w:rsidRPr="001603AF" w:rsidRDefault="001603AF" w:rsidP="00274A55">
            <w:pPr>
              <w:ind w:left="720"/>
            </w:pPr>
            <w:r w:rsidRPr="001603AF">
              <w:t>Earliest contributing event</w:t>
            </w:r>
          </w:p>
        </w:tc>
        <w:tc>
          <w:tcPr>
            <w:tcW w:w="2126" w:type="dxa"/>
          </w:tcPr>
          <w:p w:rsidR="001603AF" w:rsidRPr="001603AF" w:rsidRDefault="001603AF" w:rsidP="00274A55"/>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1440"/>
            </w:pPr>
            <w:r w:rsidRPr="001603AF">
              <w:t>Disease progression</w:t>
            </w:r>
          </w:p>
        </w:tc>
        <w:tc>
          <w:tcPr>
            <w:tcW w:w="2126" w:type="dxa"/>
          </w:tcPr>
          <w:p w:rsidR="001603AF" w:rsidRPr="001603AF" w:rsidRDefault="001603AF" w:rsidP="00274A55">
            <w:r w:rsidRPr="001603AF">
              <w:t>38 (44.7%)</w:t>
            </w:r>
          </w:p>
        </w:tc>
        <w:tc>
          <w:tcPr>
            <w:tcW w:w="2092" w:type="dxa"/>
          </w:tcPr>
          <w:p w:rsidR="001603AF" w:rsidRPr="001603AF" w:rsidRDefault="001603AF" w:rsidP="00274A55">
            <w:r w:rsidRPr="001603AF">
              <w:t>31 (37.8%)</w:t>
            </w:r>
          </w:p>
        </w:tc>
      </w:tr>
      <w:tr w:rsidR="001603AF" w:rsidRPr="001603AF" w:rsidTr="00274A55">
        <w:tc>
          <w:tcPr>
            <w:tcW w:w="4928" w:type="dxa"/>
          </w:tcPr>
          <w:p w:rsidR="001603AF" w:rsidRPr="001603AF" w:rsidRDefault="001603AF" w:rsidP="00274A55">
            <w:pPr>
              <w:ind w:left="1440"/>
            </w:pPr>
            <w:r w:rsidRPr="001603AF">
              <w:t>Death</w:t>
            </w:r>
          </w:p>
        </w:tc>
        <w:tc>
          <w:tcPr>
            <w:tcW w:w="2126" w:type="dxa"/>
          </w:tcPr>
          <w:p w:rsidR="001603AF" w:rsidRPr="001603AF" w:rsidRDefault="001603AF" w:rsidP="00274A55">
            <w:r w:rsidRPr="001603AF">
              <w:t>6 (7.1%)</w:t>
            </w:r>
          </w:p>
        </w:tc>
        <w:tc>
          <w:tcPr>
            <w:tcW w:w="2092" w:type="dxa"/>
          </w:tcPr>
          <w:p w:rsidR="001603AF" w:rsidRPr="001603AF" w:rsidRDefault="001603AF" w:rsidP="00274A55">
            <w:r w:rsidRPr="001603AF">
              <w:t>4 (4.9%)</w:t>
            </w:r>
          </w:p>
        </w:tc>
      </w:tr>
      <w:tr w:rsidR="001603AF" w:rsidRPr="001603AF" w:rsidTr="00274A55">
        <w:tc>
          <w:tcPr>
            <w:tcW w:w="4928" w:type="dxa"/>
          </w:tcPr>
          <w:p w:rsidR="001603AF" w:rsidRPr="001603AF" w:rsidRDefault="001603AF" w:rsidP="00274A55">
            <w:r w:rsidRPr="001603AF">
              <w:t>Patients without an event up to 6-month</w:t>
            </w:r>
          </w:p>
        </w:tc>
        <w:tc>
          <w:tcPr>
            <w:tcW w:w="2126" w:type="dxa"/>
          </w:tcPr>
          <w:p w:rsidR="001603AF" w:rsidRPr="001603AF" w:rsidRDefault="001603AF" w:rsidP="00274A55">
            <w:r w:rsidRPr="001603AF">
              <w:t>41 (48.2%)</w:t>
            </w:r>
          </w:p>
        </w:tc>
        <w:tc>
          <w:tcPr>
            <w:tcW w:w="2092" w:type="dxa"/>
          </w:tcPr>
          <w:p w:rsidR="001603AF" w:rsidRPr="001603AF" w:rsidRDefault="001603AF" w:rsidP="00274A55">
            <w:r w:rsidRPr="001603AF">
              <w:t>47 (57.3%)</w:t>
            </w:r>
          </w:p>
        </w:tc>
      </w:tr>
      <w:tr w:rsidR="001603AF" w:rsidRPr="001603AF" w:rsidTr="00274A55">
        <w:tc>
          <w:tcPr>
            <w:tcW w:w="4928" w:type="dxa"/>
          </w:tcPr>
          <w:p w:rsidR="001603AF" w:rsidRPr="001603AF" w:rsidRDefault="001603AF" w:rsidP="00274A55">
            <w:r w:rsidRPr="001603AF">
              <w:t>Event-free at 6-month</w:t>
            </w:r>
          </w:p>
        </w:tc>
        <w:tc>
          <w:tcPr>
            <w:tcW w:w="2126" w:type="dxa"/>
          </w:tcPr>
          <w:p w:rsidR="001603AF" w:rsidRPr="001603AF" w:rsidRDefault="001603AF" w:rsidP="00274A55"/>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720"/>
            </w:pPr>
            <w:r w:rsidRPr="001603AF">
              <w:t>Event-free rate</w:t>
            </w:r>
          </w:p>
        </w:tc>
        <w:tc>
          <w:tcPr>
            <w:tcW w:w="2126" w:type="dxa"/>
          </w:tcPr>
          <w:p w:rsidR="001603AF" w:rsidRPr="001603AF" w:rsidRDefault="001603AF" w:rsidP="00274A55">
            <w:r w:rsidRPr="001603AF">
              <w:t>42.6%</w:t>
            </w:r>
          </w:p>
        </w:tc>
        <w:tc>
          <w:tcPr>
            <w:tcW w:w="2092" w:type="dxa"/>
          </w:tcPr>
          <w:p w:rsidR="001603AF" w:rsidRPr="001603AF" w:rsidRDefault="001603AF" w:rsidP="00274A55">
            <w:r w:rsidRPr="001603AF">
              <w:t>50.3%)</w:t>
            </w:r>
          </w:p>
        </w:tc>
      </w:tr>
      <w:tr w:rsidR="001603AF" w:rsidRPr="001603AF" w:rsidTr="00274A55">
        <w:tc>
          <w:tcPr>
            <w:tcW w:w="4928" w:type="dxa"/>
          </w:tcPr>
          <w:p w:rsidR="001603AF" w:rsidRPr="001603AF" w:rsidRDefault="001603AF" w:rsidP="00274A55">
            <w:pPr>
              <w:ind w:left="720"/>
            </w:pPr>
            <w:r w:rsidRPr="001603AF">
              <w:t>(97.5% CI)</w:t>
            </w:r>
          </w:p>
        </w:tc>
        <w:tc>
          <w:tcPr>
            <w:tcW w:w="2126" w:type="dxa"/>
          </w:tcPr>
          <w:p w:rsidR="001603AF" w:rsidRPr="001603AF" w:rsidRDefault="001603AF" w:rsidP="00274A55">
            <w:r w:rsidRPr="001603AF">
              <w:t>(29.6, 55.5)</w:t>
            </w:r>
          </w:p>
        </w:tc>
        <w:tc>
          <w:tcPr>
            <w:tcW w:w="2092" w:type="dxa"/>
          </w:tcPr>
          <w:p w:rsidR="001603AF" w:rsidRPr="001603AF" w:rsidRDefault="001603AF" w:rsidP="00274A55">
            <w:r w:rsidRPr="001603AF">
              <w:t>(36.8, 63.9)</w:t>
            </w:r>
          </w:p>
        </w:tc>
      </w:tr>
      <w:tr w:rsidR="001603AF" w:rsidRPr="001603AF" w:rsidTr="00274A55">
        <w:tc>
          <w:tcPr>
            <w:tcW w:w="4928" w:type="dxa"/>
          </w:tcPr>
          <w:p w:rsidR="001603AF" w:rsidRPr="001603AF" w:rsidRDefault="001603AF" w:rsidP="00274A55">
            <w:r w:rsidRPr="001603AF">
              <w:t>Difference in rates (relative to 15% 6-month PFS with salvage chemotherapy)</w:t>
            </w:r>
          </w:p>
        </w:tc>
        <w:tc>
          <w:tcPr>
            <w:tcW w:w="2126" w:type="dxa"/>
          </w:tcPr>
          <w:p w:rsidR="001603AF" w:rsidRPr="001603AF" w:rsidRDefault="001603AF" w:rsidP="00274A55">
            <w:r w:rsidRPr="001603AF">
              <w:t>27.6%</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720"/>
            </w:pPr>
            <w:r w:rsidRPr="001603AF">
              <w:t>(97.5% CI)</w:t>
            </w:r>
          </w:p>
        </w:tc>
        <w:tc>
          <w:tcPr>
            <w:tcW w:w="2126" w:type="dxa"/>
          </w:tcPr>
          <w:p w:rsidR="001603AF" w:rsidRPr="001603AF" w:rsidRDefault="001603AF" w:rsidP="00274A55">
            <w:r w:rsidRPr="001603AF">
              <w:t>(14.6, 40.5)</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pPr>
              <w:ind w:left="720"/>
            </w:pPr>
            <w:r w:rsidRPr="001603AF">
              <w:t>p-value</w:t>
            </w:r>
          </w:p>
        </w:tc>
        <w:tc>
          <w:tcPr>
            <w:tcW w:w="2126" w:type="dxa"/>
          </w:tcPr>
          <w:p w:rsidR="001603AF" w:rsidRPr="001603AF" w:rsidRDefault="001603AF" w:rsidP="00274A55">
            <w:r w:rsidRPr="001603AF">
              <w:t>&lt;0.0001</w:t>
            </w:r>
          </w:p>
        </w:tc>
        <w:tc>
          <w:tcPr>
            <w:tcW w:w="2092" w:type="dxa"/>
          </w:tcPr>
          <w:p w:rsidR="001603AF" w:rsidRPr="001603AF" w:rsidRDefault="001603AF" w:rsidP="00274A55"/>
        </w:tc>
      </w:tr>
      <w:tr w:rsidR="001603AF" w:rsidRPr="001603AF" w:rsidTr="00274A55">
        <w:tc>
          <w:tcPr>
            <w:tcW w:w="4928" w:type="dxa"/>
          </w:tcPr>
          <w:p w:rsidR="001603AF" w:rsidRPr="001603AF" w:rsidRDefault="001603AF" w:rsidP="00274A55">
            <w:r w:rsidRPr="001603AF">
              <w:t xml:space="preserve">Difference in rates (relative to 15% 6-month PFS with </w:t>
            </w:r>
            <w:proofErr w:type="spellStart"/>
            <w:r w:rsidRPr="001603AF">
              <w:t>irinotecan</w:t>
            </w:r>
            <w:proofErr w:type="spellEnd"/>
            <w:r w:rsidRPr="001603AF">
              <w:t xml:space="preserve"> alone)</w:t>
            </w:r>
          </w:p>
        </w:tc>
        <w:tc>
          <w:tcPr>
            <w:tcW w:w="2126" w:type="dxa"/>
          </w:tcPr>
          <w:p w:rsidR="001603AF" w:rsidRPr="001603AF" w:rsidRDefault="001603AF" w:rsidP="00274A55"/>
        </w:tc>
        <w:tc>
          <w:tcPr>
            <w:tcW w:w="2092" w:type="dxa"/>
          </w:tcPr>
          <w:p w:rsidR="001603AF" w:rsidRPr="001603AF" w:rsidRDefault="001603AF" w:rsidP="00274A55">
            <w:r w:rsidRPr="001603AF">
              <w:t>35.3%</w:t>
            </w:r>
          </w:p>
        </w:tc>
      </w:tr>
      <w:tr w:rsidR="001603AF" w:rsidRPr="001603AF" w:rsidTr="00274A55">
        <w:tc>
          <w:tcPr>
            <w:tcW w:w="4928" w:type="dxa"/>
          </w:tcPr>
          <w:p w:rsidR="001603AF" w:rsidRPr="001603AF" w:rsidRDefault="001603AF" w:rsidP="00274A55">
            <w:pPr>
              <w:ind w:left="720"/>
            </w:pPr>
            <w:r w:rsidRPr="001603AF">
              <w:t>(97.5% CI)</w:t>
            </w:r>
          </w:p>
        </w:tc>
        <w:tc>
          <w:tcPr>
            <w:tcW w:w="2126" w:type="dxa"/>
          </w:tcPr>
          <w:p w:rsidR="001603AF" w:rsidRPr="001603AF" w:rsidRDefault="001603AF" w:rsidP="00274A55"/>
        </w:tc>
        <w:tc>
          <w:tcPr>
            <w:tcW w:w="2092" w:type="dxa"/>
          </w:tcPr>
          <w:p w:rsidR="001603AF" w:rsidRPr="001603AF" w:rsidRDefault="001603AF" w:rsidP="00274A55">
            <w:r w:rsidRPr="001603AF">
              <w:t>(21.8, 48.9)</w:t>
            </w:r>
          </w:p>
        </w:tc>
      </w:tr>
      <w:tr w:rsidR="001603AF" w:rsidRPr="001603AF" w:rsidTr="00274A55">
        <w:tc>
          <w:tcPr>
            <w:tcW w:w="4928" w:type="dxa"/>
          </w:tcPr>
          <w:p w:rsidR="001603AF" w:rsidRPr="001603AF" w:rsidRDefault="001603AF" w:rsidP="00274A55">
            <w:pPr>
              <w:ind w:left="720"/>
            </w:pPr>
            <w:r w:rsidRPr="001603AF">
              <w:t>p-value</w:t>
            </w:r>
          </w:p>
        </w:tc>
        <w:tc>
          <w:tcPr>
            <w:tcW w:w="2126" w:type="dxa"/>
          </w:tcPr>
          <w:p w:rsidR="001603AF" w:rsidRPr="001603AF" w:rsidRDefault="001603AF" w:rsidP="00274A55"/>
        </w:tc>
        <w:tc>
          <w:tcPr>
            <w:tcW w:w="2092" w:type="dxa"/>
          </w:tcPr>
          <w:p w:rsidR="001603AF" w:rsidRPr="001603AF" w:rsidRDefault="001603AF" w:rsidP="00274A55">
            <w:r w:rsidRPr="001603AF">
              <w:rPr>
                <w:rFonts w:ascii="Arial" w:hAnsi="Arial" w:cs="Arial"/>
                <w:sz w:val="20"/>
                <w:szCs w:val="20"/>
              </w:rPr>
              <w:t>&lt;0.0001</w:t>
            </w:r>
          </w:p>
        </w:tc>
      </w:tr>
    </w:tbl>
    <w:p w:rsidR="00274A55" w:rsidRDefault="001603AF" w:rsidP="00274A55">
      <w:pPr>
        <w:pStyle w:val="TableDescription"/>
      </w:pPr>
      <w:r w:rsidRPr="001603AF">
        <w:t>BV=</w:t>
      </w:r>
      <w:proofErr w:type="spellStart"/>
      <w:r w:rsidRPr="001603AF">
        <w:t>bevacizumab</w:t>
      </w:r>
      <w:proofErr w:type="spellEnd"/>
      <w:r w:rsidRPr="001603AF">
        <w:t>; CI=confidence interval; CPT-11=</w:t>
      </w:r>
      <w:proofErr w:type="spellStart"/>
      <w:r w:rsidRPr="001603AF">
        <w:t>irinotecan</w:t>
      </w:r>
      <w:proofErr w:type="spellEnd"/>
      <w:r w:rsidRPr="001603AF">
        <w:t>;</w:t>
      </w:r>
    </w:p>
    <w:p w:rsidR="001603AF" w:rsidRPr="001603AF" w:rsidRDefault="001603AF" w:rsidP="00274A55">
      <w:pPr>
        <w:pStyle w:val="TableDescription"/>
      </w:pPr>
      <w:r w:rsidRPr="001603AF">
        <w:t>IRF=Independent Radiology Facility; PFS=progression-free survival.</w:t>
      </w:r>
    </w:p>
    <w:p w:rsidR="001603AF" w:rsidRPr="001603AF" w:rsidRDefault="001603AF" w:rsidP="00274A55">
      <w:r w:rsidRPr="001603AF">
        <w:t>Note: An event was defined as disease progression as determined by the IRF, clear clinical progression in the absence of an MRI determination of progression, or death due to any cause, whichever occurs first.</w:t>
      </w:r>
    </w:p>
    <w:p w:rsidR="001603AF" w:rsidRPr="001603AF" w:rsidRDefault="001603AF" w:rsidP="00274A55">
      <w:pPr>
        <w:pStyle w:val="Heading4"/>
      </w:pPr>
      <w:r w:rsidRPr="001603AF">
        <w:lastRenderedPageBreak/>
        <w:t>Secondary efficacy results</w:t>
      </w:r>
    </w:p>
    <w:p w:rsidR="001603AF" w:rsidRPr="001603AF" w:rsidRDefault="001603AF" w:rsidP="00140F3F">
      <w:r w:rsidRPr="001603AF">
        <w:rPr>
          <w:i/>
        </w:rPr>
        <w:t xml:space="preserve">PFS as determined by IRF: </w:t>
      </w:r>
      <w:r w:rsidRPr="001603AF">
        <w:t>In all 72.9% in the BV Arm and 61% in the BV/CPT Arm had died or experienced disease progression at the time of the analysis. Median PFS was 4.2 months in the BV Arm and 5.6 months in the BV/CPT Arm (Table 7).</w:t>
      </w:r>
    </w:p>
    <w:p w:rsidR="001603AF" w:rsidRPr="001603AF" w:rsidRDefault="001603AF" w:rsidP="00140F3F">
      <w:pPr>
        <w:pStyle w:val="TableTitle"/>
      </w:pPr>
      <w:r w:rsidRPr="001603AF">
        <w:t>Table 7 Progression-Free Survival, as Determined by the IRF (Randomized Patients)</w:t>
      </w:r>
    </w:p>
    <w:tbl>
      <w:tblPr>
        <w:tblStyle w:val="TableTGAblue"/>
        <w:tblW w:w="9146" w:type="dxa"/>
        <w:tblLook w:val="04A0"/>
      </w:tblPr>
      <w:tblGrid>
        <w:gridCol w:w="4928"/>
        <w:gridCol w:w="2126"/>
        <w:gridCol w:w="2092"/>
      </w:tblGrid>
      <w:tr w:rsidR="001603AF" w:rsidRPr="001603AF" w:rsidTr="00140F3F">
        <w:trPr>
          <w:cnfStyle w:val="100000000000"/>
        </w:trPr>
        <w:tc>
          <w:tcPr>
            <w:tcW w:w="4928" w:type="dxa"/>
          </w:tcPr>
          <w:p w:rsidR="001603AF" w:rsidRPr="001603AF" w:rsidRDefault="001603AF" w:rsidP="00140F3F"/>
        </w:tc>
        <w:tc>
          <w:tcPr>
            <w:tcW w:w="2126" w:type="dxa"/>
          </w:tcPr>
          <w:p w:rsidR="00140F3F" w:rsidRDefault="001603AF" w:rsidP="00140F3F">
            <w:r w:rsidRPr="001603AF">
              <w:t>BV</w:t>
            </w:r>
          </w:p>
          <w:p w:rsidR="001603AF" w:rsidRPr="001603AF" w:rsidRDefault="001603AF" w:rsidP="00140F3F">
            <w:r w:rsidRPr="001603AF">
              <w:t>(n=85)</w:t>
            </w:r>
          </w:p>
        </w:tc>
        <w:tc>
          <w:tcPr>
            <w:tcW w:w="2092" w:type="dxa"/>
          </w:tcPr>
          <w:p w:rsidR="00140F3F" w:rsidRDefault="001603AF" w:rsidP="00140F3F">
            <w:r w:rsidRPr="001603AF">
              <w:t>BV/CPT-11</w:t>
            </w:r>
          </w:p>
          <w:p w:rsidR="001603AF" w:rsidRPr="001603AF" w:rsidRDefault="001603AF" w:rsidP="00140F3F">
            <w:r w:rsidRPr="001603AF">
              <w:t>(n=82)</w:t>
            </w:r>
          </w:p>
        </w:tc>
      </w:tr>
      <w:tr w:rsidR="001603AF" w:rsidRPr="001603AF" w:rsidTr="00140F3F">
        <w:tc>
          <w:tcPr>
            <w:tcW w:w="4928" w:type="dxa"/>
          </w:tcPr>
          <w:p w:rsidR="001603AF" w:rsidRPr="001603AF" w:rsidRDefault="001603AF" w:rsidP="00140F3F">
            <w:r w:rsidRPr="001603AF">
              <w:t>Patients with an event</w:t>
            </w:r>
          </w:p>
        </w:tc>
        <w:tc>
          <w:tcPr>
            <w:tcW w:w="2126" w:type="dxa"/>
          </w:tcPr>
          <w:p w:rsidR="001603AF" w:rsidRPr="001603AF" w:rsidRDefault="001603AF" w:rsidP="00140F3F">
            <w:r w:rsidRPr="001603AF">
              <w:t>62 (72.9%)</w:t>
            </w:r>
          </w:p>
        </w:tc>
        <w:tc>
          <w:tcPr>
            <w:tcW w:w="2092" w:type="dxa"/>
          </w:tcPr>
          <w:p w:rsidR="001603AF" w:rsidRPr="001603AF" w:rsidRDefault="001603AF" w:rsidP="00140F3F">
            <w:r w:rsidRPr="001603AF">
              <w:t>50 (61.0%)</w:t>
            </w:r>
          </w:p>
        </w:tc>
      </w:tr>
      <w:tr w:rsidR="001603AF" w:rsidRPr="001603AF" w:rsidTr="00140F3F">
        <w:tc>
          <w:tcPr>
            <w:tcW w:w="4928" w:type="dxa"/>
          </w:tcPr>
          <w:p w:rsidR="001603AF" w:rsidRPr="001603AF" w:rsidRDefault="001603AF" w:rsidP="00140F3F">
            <w:r w:rsidRPr="001603AF">
              <w:t>Earliest contributing event</w:t>
            </w:r>
          </w:p>
        </w:tc>
        <w:tc>
          <w:tcPr>
            <w:tcW w:w="2126" w:type="dxa"/>
          </w:tcPr>
          <w:p w:rsidR="001603AF" w:rsidRPr="001603AF" w:rsidRDefault="001603AF" w:rsidP="00140F3F"/>
        </w:tc>
        <w:tc>
          <w:tcPr>
            <w:tcW w:w="2092" w:type="dxa"/>
          </w:tcPr>
          <w:p w:rsidR="001603AF" w:rsidRPr="001603AF" w:rsidRDefault="001603AF" w:rsidP="00140F3F"/>
        </w:tc>
      </w:tr>
      <w:tr w:rsidR="001603AF" w:rsidRPr="001603AF" w:rsidTr="00140F3F">
        <w:tc>
          <w:tcPr>
            <w:tcW w:w="4928" w:type="dxa"/>
          </w:tcPr>
          <w:p w:rsidR="001603AF" w:rsidRPr="001603AF" w:rsidRDefault="001603AF" w:rsidP="00140F3F">
            <w:pPr>
              <w:ind w:left="720"/>
            </w:pPr>
            <w:r w:rsidRPr="001603AF">
              <w:t>Disease progression</w:t>
            </w:r>
          </w:p>
        </w:tc>
        <w:tc>
          <w:tcPr>
            <w:tcW w:w="2126" w:type="dxa"/>
          </w:tcPr>
          <w:p w:rsidR="001603AF" w:rsidRPr="001603AF" w:rsidRDefault="001603AF" w:rsidP="00140F3F">
            <w:r w:rsidRPr="001603AF">
              <w:t>56 (65.9%)</w:t>
            </w:r>
          </w:p>
        </w:tc>
        <w:tc>
          <w:tcPr>
            <w:tcW w:w="2092" w:type="dxa"/>
          </w:tcPr>
          <w:p w:rsidR="001603AF" w:rsidRPr="001603AF" w:rsidRDefault="001603AF" w:rsidP="00140F3F">
            <w:r w:rsidRPr="001603AF">
              <w:t>46 (56.1%)</w:t>
            </w:r>
          </w:p>
        </w:tc>
      </w:tr>
      <w:tr w:rsidR="001603AF" w:rsidRPr="001603AF" w:rsidTr="00140F3F">
        <w:tc>
          <w:tcPr>
            <w:tcW w:w="4928" w:type="dxa"/>
          </w:tcPr>
          <w:p w:rsidR="001603AF" w:rsidRPr="001603AF" w:rsidRDefault="001603AF" w:rsidP="00140F3F">
            <w:pPr>
              <w:ind w:left="720"/>
            </w:pPr>
            <w:r w:rsidRPr="001603AF">
              <w:t>Death</w:t>
            </w:r>
          </w:p>
        </w:tc>
        <w:tc>
          <w:tcPr>
            <w:tcW w:w="2126" w:type="dxa"/>
          </w:tcPr>
          <w:p w:rsidR="001603AF" w:rsidRPr="001603AF" w:rsidRDefault="001603AF" w:rsidP="00140F3F">
            <w:r w:rsidRPr="001603AF">
              <w:t>6 (7.1%)</w:t>
            </w:r>
          </w:p>
        </w:tc>
        <w:tc>
          <w:tcPr>
            <w:tcW w:w="2092" w:type="dxa"/>
          </w:tcPr>
          <w:p w:rsidR="001603AF" w:rsidRPr="001603AF" w:rsidRDefault="001603AF" w:rsidP="00140F3F">
            <w:r w:rsidRPr="001603AF">
              <w:t>4 (4.9%)</w:t>
            </w:r>
          </w:p>
        </w:tc>
      </w:tr>
      <w:tr w:rsidR="001603AF" w:rsidRPr="001603AF" w:rsidTr="00140F3F">
        <w:tc>
          <w:tcPr>
            <w:tcW w:w="4928" w:type="dxa"/>
          </w:tcPr>
          <w:p w:rsidR="001603AF" w:rsidRPr="001603AF" w:rsidRDefault="001603AF" w:rsidP="00140F3F">
            <w:r w:rsidRPr="001603AF">
              <w:t>Patients without an event</w:t>
            </w:r>
          </w:p>
        </w:tc>
        <w:tc>
          <w:tcPr>
            <w:tcW w:w="2126" w:type="dxa"/>
          </w:tcPr>
          <w:p w:rsidR="001603AF" w:rsidRPr="001603AF" w:rsidRDefault="001603AF" w:rsidP="00140F3F">
            <w:r w:rsidRPr="001603AF">
              <w:t>23 (27.1%)</w:t>
            </w:r>
          </w:p>
        </w:tc>
        <w:tc>
          <w:tcPr>
            <w:tcW w:w="2092" w:type="dxa"/>
          </w:tcPr>
          <w:p w:rsidR="001603AF" w:rsidRPr="001603AF" w:rsidRDefault="001603AF" w:rsidP="00140F3F">
            <w:r w:rsidRPr="001603AF">
              <w:t>32 (39.0%)</w:t>
            </w:r>
          </w:p>
        </w:tc>
      </w:tr>
      <w:tr w:rsidR="001603AF" w:rsidRPr="001603AF" w:rsidTr="00140F3F">
        <w:tc>
          <w:tcPr>
            <w:tcW w:w="4928" w:type="dxa"/>
          </w:tcPr>
          <w:p w:rsidR="001603AF" w:rsidRPr="001603AF" w:rsidRDefault="001603AF" w:rsidP="00140F3F">
            <w:r w:rsidRPr="001603AF">
              <w:t>Progression-free survival (months)</w:t>
            </w:r>
          </w:p>
        </w:tc>
        <w:tc>
          <w:tcPr>
            <w:tcW w:w="2126" w:type="dxa"/>
          </w:tcPr>
          <w:p w:rsidR="001603AF" w:rsidRPr="001603AF" w:rsidRDefault="001603AF" w:rsidP="00140F3F"/>
        </w:tc>
        <w:tc>
          <w:tcPr>
            <w:tcW w:w="2092" w:type="dxa"/>
          </w:tcPr>
          <w:p w:rsidR="001603AF" w:rsidRPr="001603AF" w:rsidRDefault="001603AF" w:rsidP="00140F3F"/>
        </w:tc>
      </w:tr>
      <w:tr w:rsidR="001603AF" w:rsidRPr="001603AF" w:rsidTr="00140F3F">
        <w:tc>
          <w:tcPr>
            <w:tcW w:w="4928" w:type="dxa"/>
          </w:tcPr>
          <w:p w:rsidR="001603AF" w:rsidRPr="001603AF" w:rsidRDefault="001603AF" w:rsidP="00140F3F">
            <w:pPr>
              <w:ind w:left="720"/>
            </w:pPr>
            <w:r w:rsidRPr="001603AF">
              <w:t>Median</w:t>
            </w:r>
          </w:p>
        </w:tc>
        <w:tc>
          <w:tcPr>
            <w:tcW w:w="2126" w:type="dxa"/>
          </w:tcPr>
          <w:p w:rsidR="001603AF" w:rsidRPr="001603AF" w:rsidRDefault="001603AF" w:rsidP="00140F3F">
            <w:r w:rsidRPr="001603AF">
              <w:t>4.2</w:t>
            </w:r>
          </w:p>
        </w:tc>
        <w:tc>
          <w:tcPr>
            <w:tcW w:w="2092" w:type="dxa"/>
          </w:tcPr>
          <w:p w:rsidR="001603AF" w:rsidRPr="001603AF" w:rsidRDefault="001603AF" w:rsidP="00140F3F">
            <w:r w:rsidRPr="001603AF">
              <w:t>5.6</w:t>
            </w:r>
          </w:p>
        </w:tc>
      </w:tr>
      <w:tr w:rsidR="001603AF" w:rsidRPr="001603AF" w:rsidTr="00140F3F">
        <w:tc>
          <w:tcPr>
            <w:tcW w:w="4928" w:type="dxa"/>
          </w:tcPr>
          <w:p w:rsidR="001603AF" w:rsidRPr="001603AF" w:rsidRDefault="001603AF" w:rsidP="00140F3F">
            <w:pPr>
              <w:ind w:left="720"/>
            </w:pPr>
            <w:r w:rsidRPr="001603AF">
              <w:t>(95% CI)</w:t>
            </w:r>
          </w:p>
        </w:tc>
        <w:tc>
          <w:tcPr>
            <w:tcW w:w="2126" w:type="dxa"/>
          </w:tcPr>
          <w:p w:rsidR="001603AF" w:rsidRPr="001603AF" w:rsidRDefault="001603AF" w:rsidP="00140F3F">
            <w:r w:rsidRPr="001603AF">
              <w:t>(2.9, 5.8)</w:t>
            </w:r>
          </w:p>
        </w:tc>
        <w:tc>
          <w:tcPr>
            <w:tcW w:w="2092" w:type="dxa"/>
          </w:tcPr>
          <w:p w:rsidR="001603AF" w:rsidRPr="001603AF" w:rsidRDefault="001603AF" w:rsidP="00140F3F">
            <w:r w:rsidRPr="001603AF">
              <w:t>(4.4, 6.2)</w:t>
            </w:r>
          </w:p>
        </w:tc>
      </w:tr>
      <w:tr w:rsidR="001603AF" w:rsidRPr="001603AF" w:rsidTr="00140F3F">
        <w:tc>
          <w:tcPr>
            <w:tcW w:w="4928" w:type="dxa"/>
          </w:tcPr>
          <w:p w:rsidR="001603AF" w:rsidRPr="001603AF" w:rsidRDefault="001603AF" w:rsidP="00140F3F">
            <w:pPr>
              <w:ind w:left="720"/>
            </w:pPr>
            <w:r w:rsidRPr="001603AF">
              <w:t>25th–75th percentile</w:t>
            </w:r>
          </w:p>
        </w:tc>
        <w:tc>
          <w:tcPr>
            <w:tcW w:w="2126" w:type="dxa"/>
          </w:tcPr>
          <w:p w:rsidR="001603AF" w:rsidRPr="001603AF" w:rsidRDefault="001603AF" w:rsidP="00140F3F">
            <w:r w:rsidRPr="001603AF">
              <w:t>2.7–7.1</w:t>
            </w:r>
          </w:p>
        </w:tc>
        <w:tc>
          <w:tcPr>
            <w:tcW w:w="2092" w:type="dxa"/>
          </w:tcPr>
          <w:p w:rsidR="001603AF" w:rsidRPr="001603AF" w:rsidRDefault="001603AF" w:rsidP="00140F3F">
            <w:r w:rsidRPr="001603AF">
              <w:t>3.0–11.1</w:t>
            </w:r>
          </w:p>
        </w:tc>
      </w:tr>
      <w:tr w:rsidR="001603AF" w:rsidRPr="001603AF" w:rsidTr="00140F3F">
        <w:tc>
          <w:tcPr>
            <w:tcW w:w="4928" w:type="dxa"/>
          </w:tcPr>
          <w:p w:rsidR="001603AF" w:rsidRPr="001603AF" w:rsidRDefault="001603AF" w:rsidP="00140F3F">
            <w:pPr>
              <w:ind w:left="720"/>
            </w:pPr>
            <w:r w:rsidRPr="001603AF">
              <w:t>Minimum–maximum</w:t>
            </w:r>
          </w:p>
        </w:tc>
        <w:tc>
          <w:tcPr>
            <w:tcW w:w="2126" w:type="dxa"/>
          </w:tcPr>
          <w:p w:rsidR="001603AF" w:rsidRPr="001603AF" w:rsidRDefault="001603AF" w:rsidP="00140F3F">
            <w:r w:rsidRPr="001603AF">
              <w:t>0.0+–12.6+</w:t>
            </w:r>
          </w:p>
        </w:tc>
        <w:tc>
          <w:tcPr>
            <w:tcW w:w="2092" w:type="dxa"/>
          </w:tcPr>
          <w:p w:rsidR="001603AF" w:rsidRPr="001603AF" w:rsidRDefault="001603AF" w:rsidP="00140F3F">
            <w:r w:rsidRPr="001603AF">
              <w:t>0.0+–12.6+</w:t>
            </w:r>
          </w:p>
        </w:tc>
      </w:tr>
    </w:tbl>
    <w:p w:rsidR="00140F3F" w:rsidRDefault="001603AF" w:rsidP="00140F3F">
      <w:pPr>
        <w:pStyle w:val="TableDescription"/>
      </w:pPr>
      <w:r w:rsidRPr="001603AF">
        <w:t>BV=</w:t>
      </w:r>
      <w:proofErr w:type="spellStart"/>
      <w:r w:rsidRPr="001603AF">
        <w:t>bevacizumab</w:t>
      </w:r>
      <w:proofErr w:type="spellEnd"/>
      <w:r w:rsidRPr="001603AF">
        <w:t>; CI=confidence interval; CPT-11=</w:t>
      </w:r>
      <w:proofErr w:type="spellStart"/>
      <w:r w:rsidRPr="001603AF">
        <w:t>irinotecan</w:t>
      </w:r>
      <w:proofErr w:type="spellEnd"/>
      <w:r w:rsidRPr="001603AF">
        <w:t>;</w:t>
      </w:r>
    </w:p>
    <w:p w:rsidR="001603AF" w:rsidRPr="001603AF" w:rsidRDefault="001603AF" w:rsidP="00140F3F">
      <w:pPr>
        <w:pStyle w:val="TableDescription"/>
      </w:pPr>
      <w:r w:rsidRPr="001603AF">
        <w:t>IRF=Independent Radiology Facility; + indicates a censored value.</w:t>
      </w:r>
    </w:p>
    <w:p w:rsidR="001603AF" w:rsidRPr="001603AF" w:rsidRDefault="001603AF" w:rsidP="00140F3F">
      <w:r w:rsidRPr="001603AF">
        <w:rPr>
          <w:i/>
        </w:rPr>
        <w:t xml:space="preserve">Duration of Objective Response as determined by the IRF: </w:t>
      </w:r>
      <w:r w:rsidRPr="001603AF">
        <w:t>The median duration in the BV Arm was 5.6 months, and in the BV/CPT Arm, 4.3 months (Table 8).</w:t>
      </w:r>
    </w:p>
    <w:p w:rsidR="001603AF" w:rsidRPr="001603AF" w:rsidRDefault="001603AF" w:rsidP="00140F3F">
      <w:pPr>
        <w:pStyle w:val="TableTitle"/>
      </w:pPr>
      <w:r w:rsidRPr="001603AF">
        <w:t>Table 8 Duration of Objective Response, as Determined by the IRF (Randomized Patients)</w:t>
      </w:r>
    </w:p>
    <w:tbl>
      <w:tblPr>
        <w:tblStyle w:val="TableTGAblue"/>
        <w:tblW w:w="9146" w:type="dxa"/>
        <w:tblLook w:val="04A0"/>
      </w:tblPr>
      <w:tblGrid>
        <w:gridCol w:w="4928"/>
        <w:gridCol w:w="2126"/>
        <w:gridCol w:w="2092"/>
      </w:tblGrid>
      <w:tr w:rsidR="001603AF" w:rsidRPr="001603AF" w:rsidTr="00140F3F">
        <w:trPr>
          <w:cnfStyle w:val="100000000000"/>
          <w:tblHeader/>
        </w:trPr>
        <w:tc>
          <w:tcPr>
            <w:tcW w:w="4928" w:type="dxa"/>
          </w:tcPr>
          <w:p w:rsidR="001603AF" w:rsidRPr="001603AF" w:rsidRDefault="001603AF" w:rsidP="00140F3F"/>
        </w:tc>
        <w:tc>
          <w:tcPr>
            <w:tcW w:w="2126" w:type="dxa"/>
          </w:tcPr>
          <w:p w:rsidR="00140F3F" w:rsidRDefault="001603AF" w:rsidP="00140F3F">
            <w:r w:rsidRPr="001603AF">
              <w:t>BV</w:t>
            </w:r>
          </w:p>
          <w:p w:rsidR="001603AF" w:rsidRPr="001603AF" w:rsidRDefault="001603AF" w:rsidP="00140F3F">
            <w:r w:rsidRPr="001603AF">
              <w:t>(n=85)</w:t>
            </w:r>
          </w:p>
        </w:tc>
        <w:tc>
          <w:tcPr>
            <w:tcW w:w="2092" w:type="dxa"/>
          </w:tcPr>
          <w:p w:rsidR="00140F3F" w:rsidRDefault="001603AF" w:rsidP="00140F3F">
            <w:r w:rsidRPr="001603AF">
              <w:t>BV/CPT-11</w:t>
            </w:r>
          </w:p>
          <w:p w:rsidR="001603AF" w:rsidRPr="001603AF" w:rsidRDefault="001603AF" w:rsidP="00140F3F">
            <w:r w:rsidRPr="001603AF">
              <w:t>(n=82)</w:t>
            </w:r>
          </w:p>
        </w:tc>
      </w:tr>
      <w:tr w:rsidR="001603AF" w:rsidRPr="001603AF" w:rsidTr="00140F3F">
        <w:tc>
          <w:tcPr>
            <w:tcW w:w="4928" w:type="dxa"/>
          </w:tcPr>
          <w:p w:rsidR="001603AF" w:rsidRPr="001603AF" w:rsidRDefault="001603AF" w:rsidP="00140F3F">
            <w:r w:rsidRPr="001603AF">
              <w:t>Number of patients with an objective response</w:t>
            </w:r>
          </w:p>
        </w:tc>
        <w:tc>
          <w:tcPr>
            <w:tcW w:w="2126" w:type="dxa"/>
          </w:tcPr>
          <w:p w:rsidR="001603AF" w:rsidRPr="001603AF" w:rsidRDefault="001603AF" w:rsidP="00140F3F">
            <w:r w:rsidRPr="001603AF">
              <w:t>24</w:t>
            </w:r>
          </w:p>
        </w:tc>
        <w:tc>
          <w:tcPr>
            <w:tcW w:w="2092" w:type="dxa"/>
          </w:tcPr>
          <w:p w:rsidR="001603AF" w:rsidRPr="001603AF" w:rsidRDefault="001603AF" w:rsidP="00140F3F">
            <w:r w:rsidRPr="001603AF">
              <w:t>31</w:t>
            </w:r>
          </w:p>
        </w:tc>
      </w:tr>
      <w:tr w:rsidR="001603AF" w:rsidRPr="001603AF" w:rsidTr="00140F3F">
        <w:tc>
          <w:tcPr>
            <w:tcW w:w="4928" w:type="dxa"/>
          </w:tcPr>
          <w:p w:rsidR="001603AF" w:rsidRPr="001603AF" w:rsidRDefault="001603AF" w:rsidP="00140F3F">
            <w:pPr>
              <w:ind w:left="720"/>
            </w:pPr>
            <w:r w:rsidRPr="001603AF">
              <w:t>Patients with an event</w:t>
            </w:r>
          </w:p>
        </w:tc>
        <w:tc>
          <w:tcPr>
            <w:tcW w:w="2126" w:type="dxa"/>
          </w:tcPr>
          <w:p w:rsidR="001603AF" w:rsidRPr="001603AF" w:rsidRDefault="001603AF" w:rsidP="00140F3F">
            <w:r w:rsidRPr="001603AF">
              <w:t>19 (79.2%)</w:t>
            </w:r>
          </w:p>
        </w:tc>
        <w:tc>
          <w:tcPr>
            <w:tcW w:w="2092" w:type="dxa"/>
          </w:tcPr>
          <w:p w:rsidR="001603AF" w:rsidRPr="001603AF" w:rsidRDefault="001603AF" w:rsidP="00140F3F">
            <w:r w:rsidRPr="001603AF">
              <w:t>16 (51.6%)</w:t>
            </w:r>
          </w:p>
        </w:tc>
      </w:tr>
      <w:tr w:rsidR="001603AF" w:rsidRPr="001603AF" w:rsidTr="00140F3F">
        <w:tc>
          <w:tcPr>
            <w:tcW w:w="4928" w:type="dxa"/>
          </w:tcPr>
          <w:p w:rsidR="001603AF" w:rsidRPr="001603AF" w:rsidRDefault="001603AF" w:rsidP="00140F3F">
            <w:pPr>
              <w:ind w:left="720"/>
            </w:pPr>
            <w:r w:rsidRPr="001603AF">
              <w:t>Earliest contributing event</w:t>
            </w:r>
          </w:p>
        </w:tc>
        <w:tc>
          <w:tcPr>
            <w:tcW w:w="2126" w:type="dxa"/>
          </w:tcPr>
          <w:p w:rsidR="001603AF" w:rsidRPr="001603AF" w:rsidRDefault="001603AF" w:rsidP="00140F3F"/>
        </w:tc>
        <w:tc>
          <w:tcPr>
            <w:tcW w:w="2092" w:type="dxa"/>
          </w:tcPr>
          <w:p w:rsidR="001603AF" w:rsidRPr="001603AF" w:rsidRDefault="001603AF" w:rsidP="00140F3F"/>
        </w:tc>
      </w:tr>
      <w:tr w:rsidR="001603AF" w:rsidRPr="001603AF" w:rsidTr="00140F3F">
        <w:tc>
          <w:tcPr>
            <w:tcW w:w="4928" w:type="dxa"/>
          </w:tcPr>
          <w:p w:rsidR="001603AF" w:rsidRPr="001603AF" w:rsidRDefault="001603AF" w:rsidP="00140F3F">
            <w:pPr>
              <w:ind w:left="1440"/>
            </w:pPr>
            <w:r w:rsidRPr="001603AF">
              <w:t>Disease progression</w:t>
            </w:r>
          </w:p>
        </w:tc>
        <w:tc>
          <w:tcPr>
            <w:tcW w:w="2126" w:type="dxa"/>
          </w:tcPr>
          <w:p w:rsidR="001603AF" w:rsidRPr="001603AF" w:rsidRDefault="001603AF" w:rsidP="00140F3F">
            <w:r w:rsidRPr="001603AF">
              <w:t>19</w:t>
            </w:r>
          </w:p>
        </w:tc>
        <w:tc>
          <w:tcPr>
            <w:tcW w:w="2092" w:type="dxa"/>
          </w:tcPr>
          <w:p w:rsidR="001603AF" w:rsidRPr="001603AF" w:rsidRDefault="001603AF" w:rsidP="00140F3F">
            <w:r w:rsidRPr="001603AF">
              <w:t>16</w:t>
            </w:r>
          </w:p>
        </w:tc>
      </w:tr>
      <w:tr w:rsidR="001603AF" w:rsidRPr="001603AF" w:rsidTr="00140F3F">
        <w:tc>
          <w:tcPr>
            <w:tcW w:w="4928" w:type="dxa"/>
          </w:tcPr>
          <w:p w:rsidR="001603AF" w:rsidRPr="001603AF" w:rsidRDefault="001603AF" w:rsidP="00140F3F">
            <w:pPr>
              <w:ind w:left="1440"/>
            </w:pPr>
            <w:r w:rsidRPr="001603AF">
              <w:t>Death</w:t>
            </w:r>
          </w:p>
        </w:tc>
        <w:tc>
          <w:tcPr>
            <w:tcW w:w="2126" w:type="dxa"/>
          </w:tcPr>
          <w:p w:rsidR="001603AF" w:rsidRPr="001603AF" w:rsidRDefault="001603AF" w:rsidP="00140F3F"/>
        </w:tc>
        <w:tc>
          <w:tcPr>
            <w:tcW w:w="2092" w:type="dxa"/>
          </w:tcPr>
          <w:p w:rsidR="001603AF" w:rsidRPr="001603AF" w:rsidRDefault="001603AF" w:rsidP="00140F3F"/>
        </w:tc>
      </w:tr>
      <w:tr w:rsidR="001603AF" w:rsidRPr="001603AF" w:rsidTr="00140F3F">
        <w:tc>
          <w:tcPr>
            <w:tcW w:w="4928" w:type="dxa"/>
          </w:tcPr>
          <w:p w:rsidR="001603AF" w:rsidRPr="001603AF" w:rsidRDefault="001603AF" w:rsidP="00140F3F">
            <w:pPr>
              <w:ind w:left="720"/>
            </w:pPr>
            <w:r w:rsidRPr="001603AF">
              <w:t>Patients without an event</w:t>
            </w:r>
          </w:p>
        </w:tc>
        <w:tc>
          <w:tcPr>
            <w:tcW w:w="2126" w:type="dxa"/>
          </w:tcPr>
          <w:p w:rsidR="001603AF" w:rsidRPr="001603AF" w:rsidRDefault="001603AF" w:rsidP="00140F3F">
            <w:r w:rsidRPr="001603AF">
              <w:t>5 (20.8%)</w:t>
            </w:r>
          </w:p>
        </w:tc>
        <w:tc>
          <w:tcPr>
            <w:tcW w:w="2092" w:type="dxa"/>
          </w:tcPr>
          <w:p w:rsidR="001603AF" w:rsidRPr="001603AF" w:rsidRDefault="001603AF" w:rsidP="00140F3F">
            <w:r w:rsidRPr="001603AF">
              <w:t>15 (48.4%)</w:t>
            </w:r>
          </w:p>
        </w:tc>
      </w:tr>
      <w:tr w:rsidR="001603AF" w:rsidRPr="001603AF" w:rsidTr="00140F3F">
        <w:tc>
          <w:tcPr>
            <w:tcW w:w="4928" w:type="dxa"/>
          </w:tcPr>
          <w:p w:rsidR="001603AF" w:rsidRPr="001603AF" w:rsidRDefault="001603AF" w:rsidP="00140F3F">
            <w:r w:rsidRPr="001603AF">
              <w:t>Duration of objective response (months)</w:t>
            </w:r>
          </w:p>
        </w:tc>
        <w:tc>
          <w:tcPr>
            <w:tcW w:w="2126" w:type="dxa"/>
          </w:tcPr>
          <w:p w:rsidR="001603AF" w:rsidRPr="001603AF" w:rsidRDefault="001603AF" w:rsidP="00140F3F"/>
        </w:tc>
        <w:tc>
          <w:tcPr>
            <w:tcW w:w="2092" w:type="dxa"/>
          </w:tcPr>
          <w:p w:rsidR="001603AF" w:rsidRPr="001603AF" w:rsidRDefault="001603AF" w:rsidP="00140F3F"/>
        </w:tc>
      </w:tr>
      <w:tr w:rsidR="001603AF" w:rsidRPr="001603AF" w:rsidTr="00140F3F">
        <w:tc>
          <w:tcPr>
            <w:tcW w:w="4928" w:type="dxa"/>
          </w:tcPr>
          <w:p w:rsidR="001603AF" w:rsidRPr="001603AF" w:rsidRDefault="001603AF" w:rsidP="00140F3F">
            <w:pPr>
              <w:ind w:left="720"/>
            </w:pPr>
            <w:r w:rsidRPr="001603AF">
              <w:lastRenderedPageBreak/>
              <w:t>Median</w:t>
            </w:r>
          </w:p>
        </w:tc>
        <w:tc>
          <w:tcPr>
            <w:tcW w:w="2126" w:type="dxa"/>
          </w:tcPr>
          <w:p w:rsidR="001603AF" w:rsidRPr="001603AF" w:rsidRDefault="001603AF" w:rsidP="00140F3F">
            <w:r w:rsidRPr="001603AF">
              <w:t>5.6</w:t>
            </w:r>
          </w:p>
        </w:tc>
        <w:tc>
          <w:tcPr>
            <w:tcW w:w="2092" w:type="dxa"/>
          </w:tcPr>
          <w:p w:rsidR="001603AF" w:rsidRPr="001603AF" w:rsidRDefault="001603AF" w:rsidP="00140F3F">
            <w:r w:rsidRPr="001603AF">
              <w:t>4.3</w:t>
            </w:r>
          </w:p>
        </w:tc>
      </w:tr>
      <w:tr w:rsidR="001603AF" w:rsidRPr="001603AF" w:rsidTr="00140F3F">
        <w:tc>
          <w:tcPr>
            <w:tcW w:w="4928" w:type="dxa"/>
          </w:tcPr>
          <w:p w:rsidR="001603AF" w:rsidRPr="001603AF" w:rsidRDefault="001603AF" w:rsidP="00140F3F">
            <w:pPr>
              <w:ind w:left="720"/>
            </w:pPr>
            <w:r w:rsidRPr="001603AF">
              <w:t>(95% CI)</w:t>
            </w:r>
          </w:p>
        </w:tc>
        <w:tc>
          <w:tcPr>
            <w:tcW w:w="2126" w:type="dxa"/>
          </w:tcPr>
          <w:p w:rsidR="001603AF" w:rsidRPr="001603AF" w:rsidRDefault="001603AF" w:rsidP="00140F3F">
            <w:r w:rsidRPr="001603AF">
              <w:t>(3.0, 5.8)</w:t>
            </w:r>
          </w:p>
        </w:tc>
        <w:tc>
          <w:tcPr>
            <w:tcW w:w="2092" w:type="dxa"/>
          </w:tcPr>
          <w:p w:rsidR="001603AF" w:rsidRPr="001603AF" w:rsidRDefault="001603AF" w:rsidP="00140F3F">
            <w:r w:rsidRPr="001603AF">
              <w:t>(4.2, –)</w:t>
            </w:r>
          </w:p>
        </w:tc>
      </w:tr>
      <w:tr w:rsidR="001603AF" w:rsidRPr="001603AF" w:rsidTr="00140F3F">
        <w:tc>
          <w:tcPr>
            <w:tcW w:w="4928" w:type="dxa"/>
          </w:tcPr>
          <w:p w:rsidR="001603AF" w:rsidRPr="001603AF" w:rsidRDefault="001603AF" w:rsidP="00140F3F">
            <w:pPr>
              <w:ind w:left="720"/>
            </w:pPr>
            <w:r w:rsidRPr="001603AF">
              <w:t>25th–75th percentile</w:t>
            </w:r>
          </w:p>
        </w:tc>
        <w:tc>
          <w:tcPr>
            <w:tcW w:w="2126" w:type="dxa"/>
          </w:tcPr>
          <w:p w:rsidR="001603AF" w:rsidRPr="001603AF" w:rsidRDefault="001603AF" w:rsidP="00140F3F">
            <w:r w:rsidRPr="001603AF">
              <w:t>3.0–5.9</w:t>
            </w:r>
          </w:p>
        </w:tc>
        <w:tc>
          <w:tcPr>
            <w:tcW w:w="2092" w:type="dxa"/>
          </w:tcPr>
          <w:p w:rsidR="001603AF" w:rsidRPr="001603AF" w:rsidRDefault="001603AF" w:rsidP="00140F3F">
            <w:r w:rsidRPr="001603AF">
              <w:t>4.1–NR</w:t>
            </w:r>
          </w:p>
        </w:tc>
      </w:tr>
      <w:tr w:rsidR="001603AF" w:rsidRPr="001603AF" w:rsidTr="00140F3F">
        <w:tc>
          <w:tcPr>
            <w:tcW w:w="4928" w:type="dxa"/>
          </w:tcPr>
          <w:p w:rsidR="001603AF" w:rsidRPr="001603AF" w:rsidRDefault="001603AF" w:rsidP="00140F3F">
            <w:pPr>
              <w:ind w:left="720"/>
            </w:pPr>
            <w:r w:rsidRPr="001603AF">
              <w:t>Minimum–maximum</w:t>
            </w:r>
          </w:p>
        </w:tc>
        <w:tc>
          <w:tcPr>
            <w:tcW w:w="2126" w:type="dxa"/>
          </w:tcPr>
          <w:p w:rsidR="001603AF" w:rsidRPr="001603AF" w:rsidRDefault="001603AF" w:rsidP="00140F3F">
            <w:r w:rsidRPr="001603AF">
              <w:t>1.4+–11.1+</w:t>
            </w:r>
          </w:p>
        </w:tc>
        <w:tc>
          <w:tcPr>
            <w:tcW w:w="2092" w:type="dxa"/>
          </w:tcPr>
          <w:p w:rsidR="001603AF" w:rsidRPr="001603AF" w:rsidRDefault="001603AF" w:rsidP="00140F3F">
            <w:r w:rsidRPr="001603AF">
              <w:t>1.4+–9.7+</w:t>
            </w:r>
          </w:p>
        </w:tc>
      </w:tr>
    </w:tbl>
    <w:p w:rsidR="001603AF" w:rsidRPr="001603AF" w:rsidRDefault="001603AF" w:rsidP="00140F3F">
      <w:pPr>
        <w:pStyle w:val="TableDescription"/>
      </w:pPr>
      <w:r w:rsidRPr="001603AF">
        <w:t>BV=</w:t>
      </w:r>
      <w:proofErr w:type="spellStart"/>
      <w:r w:rsidRPr="001603AF">
        <w:t>bevacizumab</w:t>
      </w:r>
      <w:proofErr w:type="spellEnd"/>
      <w:r w:rsidRPr="001603AF">
        <w:t>; CI=confidence interval; CPT-11=</w:t>
      </w:r>
      <w:proofErr w:type="spellStart"/>
      <w:r w:rsidRPr="001603AF">
        <w:t>irinotecan</w:t>
      </w:r>
      <w:proofErr w:type="spellEnd"/>
      <w:r w:rsidRPr="001603AF">
        <w:t>; IRF=Independent Radiology Facility; NR=not reached; + indicates a censored value; a dash indicates that the upper limit of the confidence interval could not be obtained.</w:t>
      </w:r>
    </w:p>
    <w:p w:rsidR="001603AF" w:rsidRPr="001603AF" w:rsidRDefault="001603AF" w:rsidP="00140F3F">
      <w:r w:rsidRPr="001603AF">
        <w:rPr>
          <w:i/>
        </w:rPr>
        <w:t>Overall Survival:</w:t>
      </w:r>
      <w:r w:rsidRPr="001603AF">
        <w:t xml:space="preserve"> As at the cut-off date (15 September 2007) 45.9% (83 patients) in the BV Arm and 53.7% (44 patients) in the BV/CPT Arm had died. The median OS was 9.3 months in the BV Arm and 8.8 months in the BV/CPT Arm (Table 9).</w:t>
      </w:r>
    </w:p>
    <w:p w:rsidR="001603AF" w:rsidRPr="001603AF" w:rsidRDefault="001603AF" w:rsidP="001603AF">
      <w:pPr>
        <w:keepNext/>
        <w:rPr>
          <w:b/>
          <w:sz w:val="20"/>
        </w:rPr>
      </w:pPr>
      <w:r w:rsidRPr="001603AF">
        <w:rPr>
          <w:b/>
          <w:sz w:val="20"/>
        </w:rPr>
        <w:t>Table 9 Overall Survival (Randomized Patients)</w:t>
      </w:r>
    </w:p>
    <w:tbl>
      <w:tblPr>
        <w:tblStyle w:val="TableTGAblue"/>
        <w:tblW w:w="9146" w:type="dxa"/>
        <w:tblLook w:val="04A0"/>
      </w:tblPr>
      <w:tblGrid>
        <w:gridCol w:w="4928"/>
        <w:gridCol w:w="2126"/>
        <w:gridCol w:w="2092"/>
      </w:tblGrid>
      <w:tr w:rsidR="001603AF" w:rsidRPr="001603AF" w:rsidTr="00D00250">
        <w:trPr>
          <w:cnfStyle w:val="100000000000"/>
        </w:trPr>
        <w:tc>
          <w:tcPr>
            <w:tcW w:w="4928" w:type="dxa"/>
          </w:tcPr>
          <w:p w:rsidR="001603AF" w:rsidRPr="001603AF" w:rsidRDefault="001603AF" w:rsidP="00D00250"/>
        </w:tc>
        <w:tc>
          <w:tcPr>
            <w:tcW w:w="2126" w:type="dxa"/>
          </w:tcPr>
          <w:p w:rsidR="00D00250" w:rsidRDefault="001603AF" w:rsidP="00D00250">
            <w:r w:rsidRPr="001603AF">
              <w:t>BV</w:t>
            </w:r>
          </w:p>
          <w:p w:rsidR="001603AF" w:rsidRPr="001603AF" w:rsidRDefault="001603AF" w:rsidP="00D00250">
            <w:r w:rsidRPr="001603AF">
              <w:t>(n=85)</w:t>
            </w:r>
          </w:p>
        </w:tc>
        <w:tc>
          <w:tcPr>
            <w:tcW w:w="2092" w:type="dxa"/>
          </w:tcPr>
          <w:p w:rsidR="00D00250" w:rsidRDefault="001603AF" w:rsidP="00D00250">
            <w:r w:rsidRPr="001603AF">
              <w:t>BV/CPT-11</w:t>
            </w:r>
          </w:p>
          <w:p w:rsidR="001603AF" w:rsidRPr="001603AF" w:rsidRDefault="001603AF" w:rsidP="00D00250">
            <w:r w:rsidRPr="001603AF">
              <w:t>(n=82)</w:t>
            </w:r>
          </w:p>
        </w:tc>
      </w:tr>
      <w:tr w:rsidR="001603AF" w:rsidRPr="001603AF" w:rsidTr="00D00250">
        <w:tc>
          <w:tcPr>
            <w:tcW w:w="4928" w:type="dxa"/>
          </w:tcPr>
          <w:p w:rsidR="001603AF" w:rsidRPr="001603AF" w:rsidRDefault="001603AF" w:rsidP="00D00250">
            <w:r w:rsidRPr="001603AF">
              <w:t>Patients who died</w:t>
            </w:r>
          </w:p>
        </w:tc>
        <w:tc>
          <w:tcPr>
            <w:tcW w:w="2126" w:type="dxa"/>
          </w:tcPr>
          <w:p w:rsidR="001603AF" w:rsidRPr="001603AF" w:rsidRDefault="001603AF" w:rsidP="00D00250">
            <w:r w:rsidRPr="001603AF">
              <w:t>39 (45.9%)</w:t>
            </w:r>
          </w:p>
        </w:tc>
        <w:tc>
          <w:tcPr>
            <w:tcW w:w="2092" w:type="dxa"/>
          </w:tcPr>
          <w:p w:rsidR="001603AF" w:rsidRPr="001603AF" w:rsidRDefault="001603AF" w:rsidP="00D00250">
            <w:r w:rsidRPr="001603AF">
              <w:t>44 (53.7%)</w:t>
            </w:r>
          </w:p>
        </w:tc>
      </w:tr>
      <w:tr w:rsidR="001603AF" w:rsidRPr="001603AF" w:rsidTr="00D00250">
        <w:tc>
          <w:tcPr>
            <w:tcW w:w="4928" w:type="dxa"/>
          </w:tcPr>
          <w:p w:rsidR="001603AF" w:rsidRPr="001603AF" w:rsidRDefault="001603AF" w:rsidP="00D00250">
            <w:r w:rsidRPr="001603AF">
              <w:t>Patients not known to have died</w:t>
            </w:r>
          </w:p>
        </w:tc>
        <w:tc>
          <w:tcPr>
            <w:tcW w:w="2126" w:type="dxa"/>
          </w:tcPr>
          <w:p w:rsidR="001603AF" w:rsidRPr="001603AF" w:rsidRDefault="001603AF" w:rsidP="00D00250">
            <w:r w:rsidRPr="001603AF">
              <w:t>46 (54.1%)</w:t>
            </w:r>
          </w:p>
        </w:tc>
        <w:tc>
          <w:tcPr>
            <w:tcW w:w="2092" w:type="dxa"/>
          </w:tcPr>
          <w:p w:rsidR="001603AF" w:rsidRPr="001603AF" w:rsidRDefault="001603AF" w:rsidP="00D00250">
            <w:r w:rsidRPr="001603AF">
              <w:t>38 (46.3%)</w:t>
            </w:r>
          </w:p>
        </w:tc>
      </w:tr>
      <w:tr w:rsidR="001603AF" w:rsidRPr="001603AF" w:rsidTr="00D00250">
        <w:tc>
          <w:tcPr>
            <w:tcW w:w="4928" w:type="dxa"/>
          </w:tcPr>
          <w:p w:rsidR="001603AF" w:rsidRPr="001603AF" w:rsidRDefault="001603AF" w:rsidP="00D00250">
            <w:r w:rsidRPr="001603AF">
              <w:t>Overall survival (months)</w:t>
            </w:r>
          </w:p>
        </w:tc>
        <w:tc>
          <w:tcPr>
            <w:tcW w:w="2126" w:type="dxa"/>
          </w:tcPr>
          <w:p w:rsidR="001603AF" w:rsidRPr="001603AF" w:rsidRDefault="001603AF" w:rsidP="00D00250"/>
        </w:tc>
        <w:tc>
          <w:tcPr>
            <w:tcW w:w="2092" w:type="dxa"/>
          </w:tcPr>
          <w:p w:rsidR="001603AF" w:rsidRPr="001603AF" w:rsidRDefault="001603AF" w:rsidP="00D00250"/>
        </w:tc>
      </w:tr>
      <w:tr w:rsidR="001603AF" w:rsidRPr="001603AF" w:rsidTr="00D00250">
        <w:tc>
          <w:tcPr>
            <w:tcW w:w="4928" w:type="dxa"/>
          </w:tcPr>
          <w:p w:rsidR="001603AF" w:rsidRPr="001603AF" w:rsidRDefault="001603AF" w:rsidP="00D00250">
            <w:pPr>
              <w:ind w:left="720"/>
            </w:pPr>
            <w:r w:rsidRPr="001603AF">
              <w:t>Median</w:t>
            </w:r>
          </w:p>
        </w:tc>
        <w:tc>
          <w:tcPr>
            <w:tcW w:w="2126" w:type="dxa"/>
          </w:tcPr>
          <w:p w:rsidR="001603AF" w:rsidRPr="001603AF" w:rsidRDefault="001603AF" w:rsidP="00D00250">
            <w:r w:rsidRPr="001603AF">
              <w:t>9.3</w:t>
            </w:r>
          </w:p>
        </w:tc>
        <w:tc>
          <w:tcPr>
            <w:tcW w:w="2092" w:type="dxa"/>
          </w:tcPr>
          <w:p w:rsidR="001603AF" w:rsidRPr="001603AF" w:rsidRDefault="001603AF" w:rsidP="00D00250">
            <w:r w:rsidRPr="001603AF">
              <w:t>8.8</w:t>
            </w:r>
          </w:p>
        </w:tc>
      </w:tr>
      <w:tr w:rsidR="001603AF" w:rsidRPr="001603AF" w:rsidTr="00D00250">
        <w:tc>
          <w:tcPr>
            <w:tcW w:w="4928" w:type="dxa"/>
          </w:tcPr>
          <w:p w:rsidR="001603AF" w:rsidRPr="001603AF" w:rsidRDefault="001603AF" w:rsidP="00D00250">
            <w:pPr>
              <w:ind w:left="720"/>
            </w:pPr>
            <w:r w:rsidRPr="001603AF">
              <w:t>(95% CI)</w:t>
            </w:r>
          </w:p>
        </w:tc>
        <w:tc>
          <w:tcPr>
            <w:tcW w:w="2126" w:type="dxa"/>
          </w:tcPr>
          <w:p w:rsidR="001603AF" w:rsidRPr="001603AF" w:rsidRDefault="001603AF" w:rsidP="00D00250">
            <w:r w:rsidRPr="001603AF">
              <w:t>(8.2, –)</w:t>
            </w:r>
          </w:p>
        </w:tc>
        <w:tc>
          <w:tcPr>
            <w:tcW w:w="2092" w:type="dxa"/>
          </w:tcPr>
          <w:p w:rsidR="001603AF" w:rsidRPr="001603AF" w:rsidRDefault="001603AF" w:rsidP="00D00250">
            <w:r w:rsidRPr="001603AF">
              <w:t>(7.8, –)</w:t>
            </w:r>
          </w:p>
        </w:tc>
      </w:tr>
      <w:tr w:rsidR="001603AF" w:rsidRPr="001603AF" w:rsidTr="00D00250">
        <w:tc>
          <w:tcPr>
            <w:tcW w:w="4928" w:type="dxa"/>
          </w:tcPr>
          <w:p w:rsidR="001603AF" w:rsidRPr="001603AF" w:rsidRDefault="001603AF" w:rsidP="00D00250">
            <w:pPr>
              <w:ind w:left="720"/>
            </w:pPr>
            <w:r w:rsidRPr="001603AF">
              <w:t>25th–75th percentile</w:t>
            </w:r>
          </w:p>
        </w:tc>
        <w:tc>
          <w:tcPr>
            <w:tcW w:w="2126" w:type="dxa"/>
          </w:tcPr>
          <w:p w:rsidR="001603AF" w:rsidRPr="001603AF" w:rsidRDefault="001603AF" w:rsidP="00D00250">
            <w:r w:rsidRPr="001603AF">
              <w:t>6.1–NR</w:t>
            </w:r>
          </w:p>
        </w:tc>
        <w:tc>
          <w:tcPr>
            <w:tcW w:w="2092" w:type="dxa"/>
          </w:tcPr>
          <w:p w:rsidR="001603AF" w:rsidRPr="001603AF" w:rsidRDefault="001603AF" w:rsidP="00D00250">
            <w:r w:rsidRPr="001603AF">
              <w:t>5.7–NR</w:t>
            </w:r>
          </w:p>
        </w:tc>
      </w:tr>
      <w:tr w:rsidR="001603AF" w:rsidRPr="001603AF" w:rsidTr="00D00250">
        <w:tc>
          <w:tcPr>
            <w:tcW w:w="4928" w:type="dxa"/>
          </w:tcPr>
          <w:p w:rsidR="001603AF" w:rsidRPr="001603AF" w:rsidRDefault="001603AF" w:rsidP="00D00250">
            <w:pPr>
              <w:ind w:left="720"/>
            </w:pPr>
            <w:r w:rsidRPr="001603AF">
              <w:t>Minimum–maximum</w:t>
            </w:r>
          </w:p>
        </w:tc>
        <w:tc>
          <w:tcPr>
            <w:tcW w:w="2126" w:type="dxa"/>
          </w:tcPr>
          <w:p w:rsidR="001603AF" w:rsidRPr="001603AF" w:rsidRDefault="001603AF" w:rsidP="00D00250">
            <w:r w:rsidRPr="001603AF">
              <w:t>0.7–13.0+</w:t>
            </w:r>
          </w:p>
        </w:tc>
        <w:tc>
          <w:tcPr>
            <w:tcW w:w="2092" w:type="dxa"/>
          </w:tcPr>
          <w:p w:rsidR="001603AF" w:rsidRPr="001603AF" w:rsidRDefault="001603AF" w:rsidP="00D00250">
            <w:r w:rsidRPr="001603AF">
              <w:t>0.8–13.3+</w:t>
            </w:r>
          </w:p>
        </w:tc>
      </w:tr>
    </w:tbl>
    <w:p w:rsidR="001603AF" w:rsidRPr="001603AF" w:rsidRDefault="001603AF" w:rsidP="00D00250">
      <w:pPr>
        <w:pStyle w:val="TableDescription"/>
      </w:pPr>
      <w:r w:rsidRPr="001603AF">
        <w:t>BV=</w:t>
      </w:r>
      <w:proofErr w:type="spellStart"/>
      <w:r w:rsidRPr="001603AF">
        <w:t>bevacizumab</w:t>
      </w:r>
      <w:proofErr w:type="spellEnd"/>
      <w:r w:rsidRPr="001603AF">
        <w:t>; CI=confidence interval; CPT-11=</w:t>
      </w:r>
      <w:proofErr w:type="spellStart"/>
      <w:r w:rsidRPr="001603AF">
        <w:t>irinotecan</w:t>
      </w:r>
      <w:proofErr w:type="spellEnd"/>
      <w:r w:rsidRPr="001603AF">
        <w:t>; NR=not reached; + indicates a censored value; a dash indicates that the upper limit of the confidence interval could not be obtained.</w:t>
      </w:r>
    </w:p>
    <w:p w:rsidR="001603AF" w:rsidRPr="001603AF" w:rsidRDefault="001603AF" w:rsidP="00D00250">
      <w:pPr>
        <w:pStyle w:val="Heading5"/>
      </w:pPr>
      <w:r w:rsidRPr="001603AF">
        <w:t>Exploratory efficacy results:</w:t>
      </w:r>
    </w:p>
    <w:p w:rsidR="001603AF" w:rsidRPr="001603AF" w:rsidRDefault="001603AF" w:rsidP="00D00250">
      <w:r w:rsidRPr="001603AF">
        <w:t>The 6-month PFS, PFS, ORR and duration of objective response, as determined by the investigators, were in general in agreement with the results determined by the IRF.</w:t>
      </w:r>
    </w:p>
    <w:p w:rsidR="001603AF" w:rsidRPr="001603AF" w:rsidRDefault="001603AF" w:rsidP="00D00250">
      <w:r w:rsidRPr="001603AF">
        <w:t xml:space="preserve">Of the patients initially randomised to the BV Arm, 51.8% (44/85) had disease progression and transitioned into the optional post progression phase and received </w:t>
      </w:r>
      <w:proofErr w:type="spellStart"/>
      <w:r w:rsidRPr="001603AF">
        <w:t>bevacizumab</w:t>
      </w:r>
      <w:proofErr w:type="spellEnd"/>
      <w:r w:rsidRPr="001603AF">
        <w:t xml:space="preserve"> + </w:t>
      </w:r>
      <w:proofErr w:type="spellStart"/>
      <w:r w:rsidRPr="001603AF">
        <w:t>irinotecan</w:t>
      </w:r>
      <w:proofErr w:type="spellEnd"/>
      <w:r w:rsidRPr="001603AF">
        <w:t>. There were no confirmed objective responses in this group (as determined by the investigators). Therefore, tumour assessments were not performed by the IRF.</w:t>
      </w:r>
    </w:p>
    <w:p w:rsidR="001603AF" w:rsidRPr="001603AF" w:rsidRDefault="001603AF" w:rsidP="00D00250">
      <w:r w:rsidRPr="001603AF">
        <w:t xml:space="preserve">In regard to </w:t>
      </w:r>
      <w:proofErr w:type="spellStart"/>
      <w:r w:rsidRPr="001603AF">
        <w:t>neurocognitive</w:t>
      </w:r>
      <w:proofErr w:type="spellEnd"/>
      <w:r w:rsidRPr="001603AF">
        <w:t xml:space="preserve"> function, since the study did not include a comparator arm, any attempt to quantify the results of the </w:t>
      </w:r>
      <w:proofErr w:type="spellStart"/>
      <w:r w:rsidRPr="001603AF">
        <w:t>neurocognitive</w:t>
      </w:r>
      <w:proofErr w:type="spellEnd"/>
      <w:r w:rsidRPr="001603AF">
        <w:t xml:space="preserve"> function was considered exploratory in nature.</w:t>
      </w:r>
    </w:p>
    <w:p w:rsidR="001603AF" w:rsidRPr="001603AF" w:rsidRDefault="001603AF" w:rsidP="00D00250">
      <w:r w:rsidRPr="001603AF">
        <w:rPr>
          <w:b/>
        </w:rPr>
        <w:t xml:space="preserve">Supporting Study NCI-06-C-0064E </w:t>
      </w:r>
      <w:r w:rsidRPr="001603AF">
        <w:t xml:space="preserve">was an open label, non-randomized, single centre, single arm, Phase II study of </w:t>
      </w:r>
      <w:proofErr w:type="spellStart"/>
      <w:r w:rsidRPr="001603AF">
        <w:t>bevacizumab</w:t>
      </w:r>
      <w:proofErr w:type="spellEnd"/>
      <w:r w:rsidRPr="001603AF">
        <w:t xml:space="preserve"> in the treatment of patients with high-grade </w:t>
      </w:r>
      <w:proofErr w:type="spellStart"/>
      <w:r w:rsidRPr="001603AF">
        <w:lastRenderedPageBreak/>
        <w:t>gliomas</w:t>
      </w:r>
      <w:proofErr w:type="spellEnd"/>
      <w:r w:rsidRPr="001603AF">
        <w:t xml:space="preserve"> (Table 1b). It was conducted by NCI according to the guidelines of NCIs Cancer Therapy Evaluation Program (CTEP). This study report contains the efficacy results based on a retrospective review by an Independent Review Facility (IRF). Safety analyses on Grades 3-5 adverse events and a summary of deaths are also included. The o</w:t>
      </w:r>
      <w:r w:rsidR="00D00250">
        <w:t>bjectives of the study were:</w:t>
      </w:r>
    </w:p>
    <w:p w:rsidR="001603AF" w:rsidRPr="001603AF" w:rsidRDefault="001603AF" w:rsidP="00D00250">
      <w:pPr>
        <w:pStyle w:val="Heading5"/>
      </w:pPr>
      <w:r w:rsidRPr="001603AF">
        <w:t>Primary objectives</w:t>
      </w:r>
    </w:p>
    <w:p w:rsidR="001603AF" w:rsidRPr="001603AF" w:rsidRDefault="001603AF" w:rsidP="00D00250">
      <w:pPr>
        <w:pStyle w:val="ListBullet"/>
      </w:pPr>
      <w:r w:rsidRPr="001603AF">
        <w:t xml:space="preserve">To evaluate the anti-tumour activity of </w:t>
      </w:r>
      <w:proofErr w:type="spellStart"/>
      <w:r w:rsidRPr="001603AF">
        <w:t>bevacizumab</w:t>
      </w:r>
      <w:proofErr w:type="spellEnd"/>
      <w:r w:rsidRPr="001603AF">
        <w:t xml:space="preserve"> in patients with recurrent high-grade</w:t>
      </w:r>
      <w:r w:rsidR="00D00250">
        <w:t xml:space="preserve"> </w:t>
      </w:r>
      <w:proofErr w:type="spellStart"/>
      <w:r w:rsidR="00D00250">
        <w:t>gliomas</w:t>
      </w:r>
      <w:proofErr w:type="spellEnd"/>
      <w:r w:rsidR="00D00250">
        <w:t xml:space="preserve"> as determined by PFS.</w:t>
      </w:r>
    </w:p>
    <w:p w:rsidR="001603AF" w:rsidRPr="001603AF" w:rsidRDefault="001603AF" w:rsidP="00D00250">
      <w:pPr>
        <w:pStyle w:val="ListBullet"/>
      </w:pPr>
      <w:r w:rsidRPr="001603AF">
        <w:t xml:space="preserve">To evaluate the safety of treatment with </w:t>
      </w:r>
      <w:proofErr w:type="spellStart"/>
      <w:r w:rsidRPr="001603AF">
        <w:t>bevacizumab</w:t>
      </w:r>
      <w:proofErr w:type="spellEnd"/>
      <w:r w:rsidRPr="001603AF">
        <w:t xml:space="preserve"> of patients with high-grade </w:t>
      </w:r>
      <w:proofErr w:type="spellStart"/>
      <w:r w:rsidRPr="001603AF">
        <w:t>gliomas</w:t>
      </w:r>
      <w:proofErr w:type="spellEnd"/>
      <w:r w:rsidRPr="001603AF">
        <w:t>.</w:t>
      </w:r>
    </w:p>
    <w:p w:rsidR="001603AF" w:rsidRPr="001603AF" w:rsidRDefault="001603AF" w:rsidP="00D00250">
      <w:pPr>
        <w:pStyle w:val="Heading5"/>
      </w:pPr>
      <w:r w:rsidRPr="001603AF">
        <w:t>Retrospective review</w:t>
      </w:r>
    </w:p>
    <w:p w:rsidR="001603AF" w:rsidRPr="001603AF" w:rsidRDefault="001603AF" w:rsidP="00D00250">
      <w:pPr>
        <w:pStyle w:val="ListBullet"/>
      </w:pPr>
      <w:r w:rsidRPr="001603AF">
        <w:t xml:space="preserve">To evaluate the Objective Response and the duration of Objective Response in patients with recurrent </w:t>
      </w:r>
      <w:proofErr w:type="spellStart"/>
      <w:r w:rsidRPr="001603AF">
        <w:t>glioblastoma</w:t>
      </w:r>
      <w:proofErr w:type="spellEnd"/>
      <w:r w:rsidRPr="001603AF">
        <w:t xml:space="preserve"> in Study NCI-06-C-0064E on the basis of an independent radiology review.</w:t>
      </w:r>
    </w:p>
    <w:p w:rsidR="001603AF" w:rsidRPr="001603AF" w:rsidRDefault="001603AF" w:rsidP="00D00250">
      <w:r w:rsidRPr="001603AF">
        <w:t xml:space="preserve">The patients were recruited at one institution in the US. Eligible patients were entered into two cohorts: </w:t>
      </w:r>
      <w:proofErr w:type="spellStart"/>
      <w:r w:rsidRPr="001603AF">
        <w:t>glioblastoma</w:t>
      </w:r>
      <w:proofErr w:type="spellEnd"/>
      <w:r w:rsidRPr="001603AF">
        <w:t xml:space="preserve"> cohort and </w:t>
      </w:r>
      <w:proofErr w:type="spellStart"/>
      <w:r w:rsidRPr="001603AF">
        <w:t>anaplastic</w:t>
      </w:r>
      <w:proofErr w:type="spellEnd"/>
      <w:r w:rsidRPr="001603AF">
        <w:t xml:space="preserve"> </w:t>
      </w:r>
      <w:proofErr w:type="spellStart"/>
      <w:r w:rsidRPr="001603AF">
        <w:t>astrocytoma</w:t>
      </w:r>
      <w:proofErr w:type="spellEnd"/>
      <w:r w:rsidRPr="001603AF">
        <w:t xml:space="preserve"> cohort. The </w:t>
      </w:r>
      <w:proofErr w:type="spellStart"/>
      <w:r w:rsidRPr="001603AF">
        <w:t>glioblastoma</w:t>
      </w:r>
      <w:proofErr w:type="spellEnd"/>
      <w:r w:rsidRPr="001603AF">
        <w:t xml:space="preserve"> cohort contained all the patients with high-grade recurrent </w:t>
      </w:r>
      <w:proofErr w:type="spellStart"/>
      <w:r w:rsidRPr="001603AF">
        <w:t>glioblastoma</w:t>
      </w:r>
      <w:proofErr w:type="spellEnd"/>
      <w:r w:rsidRPr="001603AF">
        <w:t xml:space="preserve"> </w:t>
      </w:r>
      <w:proofErr w:type="spellStart"/>
      <w:r w:rsidRPr="001603AF">
        <w:t>multiforme</w:t>
      </w:r>
      <w:proofErr w:type="spellEnd"/>
      <w:r w:rsidRPr="001603AF">
        <w:t xml:space="preserve"> or </w:t>
      </w:r>
      <w:proofErr w:type="spellStart"/>
      <w:r w:rsidRPr="001603AF">
        <w:t>gliosarcoma</w:t>
      </w:r>
      <w:proofErr w:type="spellEnd"/>
      <w:r w:rsidRPr="001603AF">
        <w:t xml:space="preserve">. The </w:t>
      </w:r>
      <w:proofErr w:type="spellStart"/>
      <w:r w:rsidRPr="001603AF">
        <w:t>anaplastic</w:t>
      </w:r>
      <w:proofErr w:type="spellEnd"/>
      <w:r w:rsidRPr="001603AF">
        <w:t xml:space="preserve"> </w:t>
      </w:r>
      <w:proofErr w:type="spellStart"/>
      <w:r w:rsidRPr="001603AF">
        <w:t>astrocytoma</w:t>
      </w:r>
      <w:proofErr w:type="spellEnd"/>
      <w:r w:rsidRPr="001603AF">
        <w:t xml:space="preserve"> cohort included patients with high-grade recurrent </w:t>
      </w:r>
      <w:proofErr w:type="spellStart"/>
      <w:r w:rsidRPr="001603AF">
        <w:t>anaplastic</w:t>
      </w:r>
      <w:proofErr w:type="spellEnd"/>
      <w:r w:rsidRPr="001603AF">
        <w:t xml:space="preserve"> </w:t>
      </w:r>
      <w:proofErr w:type="spellStart"/>
      <w:r w:rsidRPr="001603AF">
        <w:t>astrocytoma</w:t>
      </w:r>
      <w:proofErr w:type="spellEnd"/>
      <w:r w:rsidRPr="001603AF">
        <w:t xml:space="preserve">, </w:t>
      </w:r>
      <w:proofErr w:type="spellStart"/>
      <w:r w:rsidRPr="001603AF">
        <w:t>anaplastic</w:t>
      </w:r>
      <w:proofErr w:type="spellEnd"/>
      <w:r w:rsidRPr="001603AF">
        <w:t xml:space="preserve"> </w:t>
      </w:r>
      <w:proofErr w:type="spellStart"/>
      <w:r w:rsidRPr="001603AF">
        <w:t>oligodendroglioma</w:t>
      </w:r>
      <w:proofErr w:type="spellEnd"/>
      <w:r w:rsidRPr="001603AF">
        <w:t xml:space="preserve">, </w:t>
      </w:r>
      <w:proofErr w:type="spellStart"/>
      <w:r w:rsidRPr="001603AF">
        <w:t>anaplastic</w:t>
      </w:r>
      <w:proofErr w:type="spellEnd"/>
      <w:r w:rsidRPr="001603AF">
        <w:t xml:space="preserve"> mixed </w:t>
      </w:r>
      <w:proofErr w:type="spellStart"/>
      <w:r w:rsidRPr="001603AF">
        <w:t>oligoastrocytoma</w:t>
      </w:r>
      <w:proofErr w:type="spellEnd"/>
      <w:r w:rsidRPr="001603AF">
        <w:t xml:space="preserve"> and malignant </w:t>
      </w:r>
      <w:proofErr w:type="spellStart"/>
      <w:r w:rsidRPr="001603AF">
        <w:t>astrocytoma</w:t>
      </w:r>
      <w:proofErr w:type="spellEnd"/>
      <w:r w:rsidRPr="001603AF">
        <w:t>.</w:t>
      </w:r>
    </w:p>
    <w:p w:rsidR="001603AF" w:rsidRPr="001603AF" w:rsidRDefault="001603AF" w:rsidP="00D00250">
      <w:pPr>
        <w:pStyle w:val="TableTitle"/>
      </w:pPr>
      <w:r w:rsidRPr="001603AF">
        <w:t>Table 1a: Summary of Study NCI-06-C-0064E</w:t>
      </w:r>
    </w:p>
    <w:tbl>
      <w:tblPr>
        <w:tblStyle w:val="TableTGAblue"/>
        <w:tblW w:w="0" w:type="auto"/>
        <w:tblLayout w:type="fixed"/>
        <w:tblLook w:val="04A0"/>
      </w:tblPr>
      <w:tblGrid>
        <w:gridCol w:w="2518"/>
        <w:gridCol w:w="1843"/>
        <w:gridCol w:w="1417"/>
        <w:gridCol w:w="2942"/>
      </w:tblGrid>
      <w:tr w:rsidR="001603AF" w:rsidRPr="001603AF" w:rsidTr="00D00250">
        <w:trPr>
          <w:cnfStyle w:val="100000000000"/>
          <w:tblHeader/>
        </w:trPr>
        <w:tc>
          <w:tcPr>
            <w:tcW w:w="2518" w:type="dxa"/>
          </w:tcPr>
          <w:p w:rsidR="001603AF" w:rsidRPr="001603AF" w:rsidRDefault="001603AF" w:rsidP="00D00250">
            <w:pPr>
              <w:ind w:left="0" w:right="34"/>
            </w:pPr>
            <w:r w:rsidRPr="001603AF">
              <w:t>Study design</w:t>
            </w:r>
          </w:p>
        </w:tc>
        <w:tc>
          <w:tcPr>
            <w:tcW w:w="1843" w:type="dxa"/>
          </w:tcPr>
          <w:p w:rsidR="001603AF" w:rsidRPr="001603AF" w:rsidRDefault="001603AF" w:rsidP="00D00250">
            <w:pPr>
              <w:ind w:left="34" w:right="34"/>
            </w:pPr>
            <w:r w:rsidRPr="001603AF">
              <w:t>Dose, Frequency, Duration</w:t>
            </w:r>
          </w:p>
        </w:tc>
        <w:tc>
          <w:tcPr>
            <w:tcW w:w="1417" w:type="dxa"/>
          </w:tcPr>
          <w:p w:rsidR="001603AF" w:rsidRPr="001603AF" w:rsidRDefault="001603AF" w:rsidP="00D00250">
            <w:pPr>
              <w:tabs>
                <w:tab w:val="left" w:pos="1168"/>
              </w:tabs>
              <w:ind w:left="34" w:right="33"/>
            </w:pPr>
            <w:r w:rsidRPr="001603AF">
              <w:t>No. of patients</w:t>
            </w:r>
          </w:p>
        </w:tc>
        <w:tc>
          <w:tcPr>
            <w:tcW w:w="2942" w:type="dxa"/>
          </w:tcPr>
          <w:p w:rsidR="001603AF" w:rsidRPr="001603AF" w:rsidRDefault="001603AF" w:rsidP="00D00250">
            <w:pPr>
              <w:ind w:left="34" w:right="0"/>
            </w:pPr>
            <w:r w:rsidRPr="001603AF">
              <w:t>Results</w:t>
            </w:r>
          </w:p>
        </w:tc>
      </w:tr>
      <w:tr w:rsidR="001603AF" w:rsidRPr="001603AF" w:rsidTr="00D00250">
        <w:tc>
          <w:tcPr>
            <w:tcW w:w="2518" w:type="dxa"/>
          </w:tcPr>
          <w:p w:rsidR="001603AF" w:rsidRPr="001603AF" w:rsidRDefault="001603AF" w:rsidP="00D00250">
            <w:pPr>
              <w:ind w:left="0" w:right="34"/>
            </w:pPr>
            <w:r w:rsidRPr="001603AF">
              <w:t xml:space="preserve">NCI study: Open-label, single site, Phase II study of </w:t>
            </w:r>
            <w:proofErr w:type="spellStart"/>
            <w:r w:rsidRPr="001603AF">
              <w:t>bevacizumab</w:t>
            </w:r>
            <w:proofErr w:type="spellEnd"/>
            <w:r w:rsidRPr="001603AF">
              <w:t xml:space="preserve"> in patients with recurrent high-grade </w:t>
            </w:r>
            <w:proofErr w:type="spellStart"/>
            <w:r w:rsidRPr="001603AF">
              <w:t>gliomas</w:t>
            </w:r>
            <w:proofErr w:type="spellEnd"/>
            <w:r w:rsidRPr="001603AF">
              <w:t xml:space="preserve">: GBM &amp; </w:t>
            </w:r>
            <w:proofErr w:type="spellStart"/>
            <w:r w:rsidRPr="001603AF">
              <w:t>gliosarcomas</w:t>
            </w:r>
            <w:proofErr w:type="spellEnd"/>
            <w:r w:rsidRPr="001603AF">
              <w:t xml:space="preserve">. </w:t>
            </w:r>
          </w:p>
          <w:p w:rsidR="001603AF" w:rsidRPr="001603AF" w:rsidRDefault="001603AF" w:rsidP="00D00250">
            <w:pPr>
              <w:ind w:left="0" w:right="34"/>
              <w:rPr>
                <w:rFonts w:eastAsia="Times New Roman"/>
                <w:bCs/>
                <w:i/>
              </w:rPr>
            </w:pPr>
            <w:r w:rsidRPr="001603AF">
              <w:rPr>
                <w:rFonts w:eastAsia="Times New Roman"/>
                <w:bCs/>
                <w:i/>
              </w:rPr>
              <w:t>Inclusion</w:t>
            </w:r>
          </w:p>
          <w:p w:rsidR="001603AF" w:rsidRPr="001603AF" w:rsidRDefault="001603AF" w:rsidP="00D00250">
            <w:pPr>
              <w:ind w:left="0" w:right="34"/>
            </w:pPr>
            <w:r w:rsidRPr="001603AF">
              <w:t xml:space="preserve">&gt;18y, </w:t>
            </w:r>
            <w:proofErr w:type="spellStart"/>
            <w:r w:rsidRPr="001603AF">
              <w:t>histo</w:t>
            </w:r>
            <w:proofErr w:type="spellEnd"/>
            <w:r w:rsidRPr="001603AF">
              <w:t>. confirmed GBM, radiographic evidence of disease progression on MRI, interval of  &gt; 4W between radiotherapy &amp; study entry (no limit for prior chemo).</w:t>
            </w:r>
          </w:p>
          <w:p w:rsidR="001603AF" w:rsidRPr="001603AF" w:rsidRDefault="001603AF" w:rsidP="00D00250">
            <w:pPr>
              <w:ind w:left="0" w:right="34"/>
              <w:rPr>
                <w:rFonts w:eastAsia="Times New Roman"/>
                <w:bCs/>
                <w:i/>
              </w:rPr>
            </w:pPr>
            <w:r w:rsidRPr="001603AF">
              <w:rPr>
                <w:rFonts w:eastAsia="Times New Roman"/>
                <w:bCs/>
                <w:i/>
              </w:rPr>
              <w:t>Exclusion</w:t>
            </w:r>
          </w:p>
          <w:p w:rsidR="001603AF" w:rsidRPr="001603AF" w:rsidRDefault="001603AF" w:rsidP="00D00250">
            <w:pPr>
              <w:ind w:left="0" w:right="34"/>
            </w:pPr>
            <w:r w:rsidRPr="001603AF">
              <w:t>Intracranial bleeding &amp; anticoagulant therapy.</w:t>
            </w:r>
          </w:p>
          <w:p w:rsidR="001603AF" w:rsidRPr="00D00250" w:rsidRDefault="001603AF" w:rsidP="00D00250">
            <w:pPr>
              <w:ind w:left="0" w:right="34"/>
              <w:rPr>
                <w:b/>
              </w:rPr>
            </w:pPr>
            <w:r w:rsidRPr="00D00250">
              <w:rPr>
                <w:b/>
              </w:rPr>
              <w:t>Objectives</w:t>
            </w:r>
          </w:p>
          <w:p w:rsidR="001603AF" w:rsidRPr="001603AF" w:rsidRDefault="001603AF" w:rsidP="00D00250">
            <w:pPr>
              <w:ind w:left="0" w:right="34"/>
            </w:pPr>
            <w:r w:rsidRPr="001603AF">
              <w:t>PFS</w:t>
            </w:r>
          </w:p>
          <w:p w:rsidR="001603AF" w:rsidRPr="001603AF" w:rsidRDefault="001603AF" w:rsidP="00D00250">
            <w:pPr>
              <w:ind w:left="0" w:right="34"/>
            </w:pPr>
            <w:r w:rsidRPr="001603AF">
              <w:lastRenderedPageBreak/>
              <w:t>Safety</w:t>
            </w:r>
          </w:p>
          <w:p w:rsidR="001603AF" w:rsidRPr="001603AF" w:rsidRDefault="001603AF" w:rsidP="00D00250">
            <w:pPr>
              <w:ind w:left="0" w:right="34"/>
            </w:pPr>
            <w:r w:rsidRPr="00D00250">
              <w:rPr>
                <w:b/>
              </w:rPr>
              <w:t>Design:</w:t>
            </w:r>
            <w:r w:rsidRPr="001603AF">
              <w:t xml:space="preserve"> Two cohorts: recurrent GBM and recurrent AA.</w:t>
            </w:r>
          </w:p>
          <w:p w:rsidR="001603AF" w:rsidRPr="001603AF" w:rsidRDefault="001603AF" w:rsidP="00D00250">
            <w:pPr>
              <w:ind w:left="0" w:right="34"/>
            </w:pPr>
            <w:r w:rsidRPr="001603AF">
              <w:t>FDG-PET scan before first dose, a MRI perfusion scan within 48-96 h of 1st dose and then a MRI  perfusion scan prior to each 4W cycle.</w:t>
            </w:r>
          </w:p>
          <w:p w:rsidR="001603AF" w:rsidRPr="001603AF" w:rsidRDefault="001603AF" w:rsidP="00D00250">
            <w:pPr>
              <w:ind w:left="0" w:right="34"/>
            </w:pPr>
            <w:r w:rsidRPr="001603AF">
              <w:t>An independent radiology review was conducted in a blinded manner.</w:t>
            </w:r>
          </w:p>
        </w:tc>
        <w:tc>
          <w:tcPr>
            <w:tcW w:w="1843" w:type="dxa"/>
          </w:tcPr>
          <w:p w:rsidR="001603AF" w:rsidRPr="001603AF" w:rsidRDefault="001603AF" w:rsidP="00D00250">
            <w:pPr>
              <w:ind w:left="34" w:right="34"/>
            </w:pPr>
            <w:proofErr w:type="spellStart"/>
            <w:r w:rsidRPr="001603AF">
              <w:lastRenderedPageBreak/>
              <w:t>bevacizumab</w:t>
            </w:r>
            <w:proofErr w:type="spellEnd"/>
            <w:r w:rsidRPr="001603AF">
              <w:t xml:space="preserve"> 10 mg/kg every 2W on a 4W cycle.</w:t>
            </w:r>
          </w:p>
          <w:p w:rsidR="001603AF" w:rsidRPr="001603AF" w:rsidRDefault="001603AF" w:rsidP="00D00250">
            <w:pPr>
              <w:ind w:left="34" w:right="34"/>
            </w:pPr>
            <w:r w:rsidRPr="001603AF">
              <w:t xml:space="preserve">Other CA </w:t>
            </w:r>
            <w:proofErr w:type="spellStart"/>
            <w:r w:rsidRPr="001603AF">
              <w:t>Tts</w:t>
            </w:r>
            <w:proofErr w:type="spellEnd"/>
            <w:r w:rsidRPr="001603AF">
              <w:t xml:space="preserve"> were ceased.</w:t>
            </w:r>
          </w:p>
        </w:tc>
        <w:tc>
          <w:tcPr>
            <w:tcW w:w="1417" w:type="dxa"/>
          </w:tcPr>
          <w:p w:rsidR="001603AF" w:rsidRPr="001603AF" w:rsidRDefault="001603AF" w:rsidP="00D00250">
            <w:pPr>
              <w:tabs>
                <w:tab w:val="left" w:pos="1168"/>
              </w:tabs>
              <w:ind w:left="34" w:right="33"/>
            </w:pPr>
            <w:r w:rsidRPr="001603AF">
              <w:t>56 patients – all had GBM</w:t>
            </w:r>
          </w:p>
          <w:p w:rsidR="001603AF" w:rsidRPr="001603AF" w:rsidRDefault="001603AF" w:rsidP="00D00250">
            <w:pPr>
              <w:tabs>
                <w:tab w:val="left" w:pos="1168"/>
              </w:tabs>
              <w:ind w:left="34" w:right="33"/>
            </w:pPr>
            <w:r w:rsidRPr="001603AF">
              <w:t>Male: 53.6%</w:t>
            </w:r>
          </w:p>
          <w:p w:rsidR="001603AF" w:rsidRPr="001603AF" w:rsidRDefault="001603AF" w:rsidP="00D00250">
            <w:pPr>
              <w:tabs>
                <w:tab w:val="left" w:pos="1168"/>
              </w:tabs>
              <w:ind w:left="34" w:right="33"/>
            </w:pPr>
            <w:r w:rsidRPr="001603AF">
              <w:t>Female: 46.4%</w:t>
            </w:r>
          </w:p>
          <w:p w:rsidR="001603AF" w:rsidRPr="001603AF" w:rsidRDefault="001603AF" w:rsidP="00D00250">
            <w:pPr>
              <w:tabs>
                <w:tab w:val="left" w:pos="1168"/>
              </w:tabs>
              <w:ind w:left="34" w:right="33"/>
            </w:pPr>
            <w:r w:rsidRPr="001603AF">
              <w:t>White: 98.2%</w:t>
            </w:r>
          </w:p>
          <w:p w:rsidR="001603AF" w:rsidRPr="001603AF" w:rsidRDefault="001603AF" w:rsidP="00D00250">
            <w:pPr>
              <w:tabs>
                <w:tab w:val="left" w:pos="1168"/>
              </w:tabs>
              <w:ind w:left="34" w:right="33"/>
            </w:pPr>
            <w:r w:rsidRPr="001603AF">
              <w:t>Asian: 1.8%</w:t>
            </w:r>
          </w:p>
          <w:p w:rsidR="001603AF" w:rsidRPr="001603AF" w:rsidRDefault="001603AF" w:rsidP="00D00250">
            <w:pPr>
              <w:tabs>
                <w:tab w:val="left" w:pos="1168"/>
              </w:tabs>
              <w:ind w:left="34" w:right="33"/>
            </w:pPr>
            <w:r w:rsidRPr="001603AF">
              <w:t xml:space="preserve">Age: </w:t>
            </w:r>
          </w:p>
          <w:p w:rsidR="001603AF" w:rsidRPr="001603AF" w:rsidRDefault="001603AF" w:rsidP="00D00250">
            <w:pPr>
              <w:tabs>
                <w:tab w:val="left" w:pos="1168"/>
              </w:tabs>
              <w:ind w:left="34" w:right="33"/>
            </w:pPr>
            <w:r w:rsidRPr="001603AF">
              <w:t>18-40y: 14%</w:t>
            </w:r>
          </w:p>
          <w:p w:rsidR="001603AF" w:rsidRPr="001603AF" w:rsidRDefault="001603AF" w:rsidP="00D00250">
            <w:pPr>
              <w:tabs>
                <w:tab w:val="left" w:pos="1168"/>
              </w:tabs>
              <w:ind w:left="34" w:right="33"/>
            </w:pPr>
            <w:r w:rsidRPr="001603AF">
              <w:t>41-64y: 75%</w:t>
            </w:r>
          </w:p>
          <w:p w:rsidR="001603AF" w:rsidRPr="001603AF" w:rsidRDefault="001603AF" w:rsidP="00D00250">
            <w:pPr>
              <w:tabs>
                <w:tab w:val="left" w:pos="1168"/>
              </w:tabs>
              <w:ind w:left="34" w:right="33"/>
            </w:pPr>
            <w:r w:rsidRPr="001603AF">
              <w:t>&gt; 65: 11%</w:t>
            </w:r>
          </w:p>
        </w:tc>
        <w:tc>
          <w:tcPr>
            <w:tcW w:w="2942" w:type="dxa"/>
          </w:tcPr>
          <w:p w:rsidR="001603AF" w:rsidRPr="001603AF" w:rsidRDefault="001603AF" w:rsidP="00D00250">
            <w:pPr>
              <w:ind w:left="34" w:right="0"/>
              <w:rPr>
                <w:rFonts w:eastAsia="Times New Roman"/>
                <w:bCs/>
                <w:i/>
              </w:rPr>
            </w:pPr>
            <w:r w:rsidRPr="001603AF">
              <w:rPr>
                <w:rFonts w:eastAsia="Times New Roman"/>
                <w:bCs/>
                <w:i/>
              </w:rPr>
              <w:t>Efficacy</w:t>
            </w:r>
          </w:p>
          <w:p w:rsidR="001603AF" w:rsidRPr="001603AF" w:rsidRDefault="001603AF" w:rsidP="00D00250">
            <w:pPr>
              <w:ind w:left="34" w:right="0"/>
            </w:pPr>
            <w:r w:rsidRPr="00D00250">
              <w:rPr>
                <w:b/>
              </w:rPr>
              <w:t>OR:</w:t>
            </w:r>
            <w:r w:rsidRPr="001603AF">
              <w:t xml:space="preserve"> 11 (all PRs)</w:t>
            </w:r>
          </w:p>
          <w:p w:rsidR="001603AF" w:rsidRPr="001603AF" w:rsidRDefault="001603AF" w:rsidP="00D00250">
            <w:pPr>
              <w:ind w:left="34" w:right="0"/>
            </w:pPr>
            <w:r w:rsidRPr="00D00250">
              <w:rPr>
                <w:b/>
              </w:rPr>
              <w:t>ORR:</w:t>
            </w:r>
            <w:r w:rsidRPr="001603AF">
              <w:t xml:space="preserve"> 20% </w:t>
            </w:r>
          </w:p>
          <w:p w:rsidR="001603AF" w:rsidRPr="001603AF" w:rsidRDefault="001603AF" w:rsidP="00D00250">
            <w:pPr>
              <w:ind w:left="34" w:right="0"/>
            </w:pPr>
            <w:r w:rsidRPr="001603AF">
              <w:t>(95%CI: 11%, 31%)</w:t>
            </w:r>
          </w:p>
          <w:p w:rsidR="001603AF" w:rsidRPr="001603AF" w:rsidRDefault="001603AF" w:rsidP="00D00250">
            <w:pPr>
              <w:ind w:left="34" w:right="0"/>
              <w:rPr>
                <w:rFonts w:eastAsia="Times New Roman"/>
                <w:bCs/>
                <w:i/>
              </w:rPr>
            </w:pPr>
            <w:r w:rsidRPr="001603AF">
              <w:rPr>
                <w:rFonts w:eastAsia="Times New Roman"/>
                <w:bCs/>
                <w:i/>
              </w:rPr>
              <w:t>Duration of response:</w:t>
            </w:r>
          </w:p>
          <w:p w:rsidR="001603AF" w:rsidRPr="001603AF" w:rsidRDefault="001603AF" w:rsidP="00D00250">
            <w:pPr>
              <w:ind w:left="34" w:right="0"/>
            </w:pPr>
            <w:r w:rsidRPr="001603AF">
              <w:t>Median – 3.9m</w:t>
            </w:r>
          </w:p>
          <w:p w:rsidR="001603AF" w:rsidRPr="001603AF" w:rsidRDefault="001603AF" w:rsidP="00D00250">
            <w:pPr>
              <w:ind w:left="34" w:right="0"/>
            </w:pPr>
            <w:r w:rsidRPr="001603AF">
              <w:t>95%CI: 2.4, 17.4</w:t>
            </w:r>
          </w:p>
          <w:p w:rsidR="001603AF" w:rsidRPr="001603AF" w:rsidRDefault="001603AF" w:rsidP="00D00250">
            <w:pPr>
              <w:ind w:left="34" w:right="0"/>
              <w:rPr>
                <w:rFonts w:eastAsia="Times New Roman"/>
                <w:bCs/>
                <w:i/>
              </w:rPr>
            </w:pPr>
            <w:r w:rsidRPr="001603AF">
              <w:rPr>
                <w:rFonts w:eastAsia="Times New Roman"/>
                <w:bCs/>
                <w:i/>
              </w:rPr>
              <w:t>Safety</w:t>
            </w:r>
          </w:p>
          <w:p w:rsidR="001603AF" w:rsidRPr="00D00250" w:rsidRDefault="001603AF" w:rsidP="00D00250">
            <w:pPr>
              <w:ind w:left="34" w:right="0"/>
              <w:rPr>
                <w:rFonts w:eastAsia="Times New Roman"/>
                <w:b/>
                <w:bCs/>
              </w:rPr>
            </w:pPr>
            <w:r w:rsidRPr="00D00250">
              <w:rPr>
                <w:rFonts w:eastAsia="Times New Roman"/>
                <w:b/>
                <w:bCs/>
              </w:rPr>
              <w:t>Exposure</w:t>
            </w:r>
          </w:p>
          <w:p w:rsidR="001603AF" w:rsidRPr="00D00250" w:rsidRDefault="00D00250" w:rsidP="00D00250">
            <w:pPr>
              <w:ind w:left="34" w:right="0"/>
              <w:rPr>
                <w:rFonts w:eastAsia="Times New Roman"/>
                <w:b/>
                <w:bCs/>
              </w:rPr>
            </w:pPr>
            <w:r>
              <w:rPr>
                <w:rFonts w:eastAsia="Times New Roman"/>
                <w:b/>
                <w:bCs/>
              </w:rPr>
              <w:t>Doses per Patient:</w:t>
            </w:r>
          </w:p>
          <w:p w:rsidR="001603AF" w:rsidRPr="001603AF" w:rsidRDefault="001603AF" w:rsidP="00D00250">
            <w:pPr>
              <w:ind w:left="34" w:right="0"/>
            </w:pPr>
            <w:r w:rsidRPr="001603AF">
              <w:t>mean: 8.9</w:t>
            </w:r>
          </w:p>
          <w:p w:rsidR="001603AF" w:rsidRPr="001603AF" w:rsidRDefault="001603AF" w:rsidP="00D00250">
            <w:pPr>
              <w:ind w:left="34" w:right="0"/>
            </w:pPr>
            <w:r w:rsidRPr="001603AF">
              <w:t>median: 7</w:t>
            </w:r>
          </w:p>
          <w:p w:rsidR="001603AF" w:rsidRPr="001603AF" w:rsidRDefault="001603AF" w:rsidP="00D00250">
            <w:pPr>
              <w:ind w:left="34" w:right="0"/>
              <w:rPr>
                <w:rFonts w:eastAsia="Times New Roman"/>
                <w:bCs/>
              </w:rPr>
            </w:pPr>
            <w:r w:rsidRPr="001603AF">
              <w:rPr>
                <w:rFonts w:eastAsia="Times New Roman"/>
                <w:bCs/>
              </w:rPr>
              <w:t xml:space="preserve">Duration of </w:t>
            </w:r>
            <w:proofErr w:type="spellStart"/>
            <w:r w:rsidRPr="001603AF">
              <w:rPr>
                <w:rFonts w:eastAsia="Times New Roman"/>
                <w:bCs/>
              </w:rPr>
              <w:t>Tt</w:t>
            </w:r>
            <w:proofErr w:type="spellEnd"/>
          </w:p>
          <w:p w:rsidR="001603AF" w:rsidRPr="001603AF" w:rsidRDefault="001603AF" w:rsidP="00D00250">
            <w:pPr>
              <w:ind w:left="34" w:right="0"/>
            </w:pPr>
            <w:r w:rsidRPr="001603AF">
              <w:t>Mean: 4.0 m</w:t>
            </w:r>
          </w:p>
          <w:p w:rsidR="001603AF" w:rsidRPr="001603AF" w:rsidRDefault="001603AF" w:rsidP="00D00250">
            <w:pPr>
              <w:ind w:left="34" w:right="0"/>
            </w:pPr>
            <w:r w:rsidRPr="001603AF">
              <w:t>Median: 2.8 m</w:t>
            </w:r>
          </w:p>
          <w:p w:rsidR="001603AF" w:rsidRPr="001603AF" w:rsidRDefault="001603AF" w:rsidP="00D00250">
            <w:pPr>
              <w:ind w:left="34" w:right="0"/>
            </w:pPr>
            <w:r w:rsidRPr="001603AF">
              <w:t>Range 0-22.5 m</w:t>
            </w:r>
          </w:p>
          <w:p w:rsidR="001603AF" w:rsidRPr="001603AF" w:rsidRDefault="001603AF" w:rsidP="00D00250">
            <w:pPr>
              <w:ind w:left="34" w:right="0"/>
            </w:pPr>
            <w:r w:rsidRPr="001603AF">
              <w:t>25th-75th percentile: 1.4-</w:t>
            </w:r>
            <w:r w:rsidRPr="001603AF">
              <w:lastRenderedPageBreak/>
              <w:t>4.4 m</w:t>
            </w:r>
          </w:p>
          <w:p w:rsidR="001603AF" w:rsidRPr="00D00250" w:rsidRDefault="001603AF" w:rsidP="00D00250">
            <w:pPr>
              <w:ind w:left="34" w:right="0"/>
              <w:rPr>
                <w:rFonts w:eastAsia="Times New Roman"/>
                <w:b/>
                <w:bCs/>
              </w:rPr>
            </w:pPr>
            <w:r w:rsidRPr="00D00250">
              <w:rPr>
                <w:rFonts w:eastAsia="Times New Roman"/>
                <w:b/>
                <w:bCs/>
              </w:rPr>
              <w:t>AEs</w:t>
            </w:r>
          </w:p>
          <w:p w:rsidR="001603AF" w:rsidRPr="001603AF" w:rsidRDefault="001603AF" w:rsidP="00D00250">
            <w:pPr>
              <w:ind w:left="34" w:right="0"/>
            </w:pPr>
            <w:r w:rsidRPr="001603AF">
              <w:t xml:space="preserve">Grade &gt; 3: </w:t>
            </w:r>
          </w:p>
          <w:p w:rsidR="001603AF" w:rsidRPr="001603AF" w:rsidRDefault="001603AF" w:rsidP="00D00250">
            <w:pPr>
              <w:ind w:left="34" w:right="0"/>
            </w:pPr>
            <w:r w:rsidRPr="001603AF">
              <w:t>65.5% (36 pts) had at least 1 event.</w:t>
            </w:r>
          </w:p>
          <w:p w:rsidR="001603AF" w:rsidRPr="001603AF" w:rsidRDefault="001603AF" w:rsidP="00D00250">
            <w:pPr>
              <w:ind w:left="34" w:right="0"/>
            </w:pPr>
            <w:proofErr w:type="spellStart"/>
            <w:r w:rsidRPr="001603AF">
              <w:t>Lymphopaenia</w:t>
            </w:r>
            <w:proofErr w:type="spellEnd"/>
            <w:r w:rsidRPr="001603AF">
              <w:t>: 16</w:t>
            </w:r>
          </w:p>
          <w:p w:rsidR="001603AF" w:rsidRPr="001603AF" w:rsidRDefault="001603AF" w:rsidP="00D00250">
            <w:pPr>
              <w:ind w:left="34" w:right="0"/>
            </w:pPr>
            <w:r w:rsidRPr="001603AF">
              <w:t>Seizures: 5</w:t>
            </w:r>
          </w:p>
          <w:p w:rsidR="001603AF" w:rsidRPr="001603AF" w:rsidRDefault="001603AF" w:rsidP="00D00250">
            <w:pPr>
              <w:ind w:left="34" w:right="0"/>
            </w:pPr>
            <w:r w:rsidRPr="001603AF">
              <w:t>Thromboembolism:7Hypophosphatemia:6</w:t>
            </w:r>
          </w:p>
          <w:p w:rsidR="001603AF" w:rsidRPr="001603AF" w:rsidRDefault="001603AF" w:rsidP="00D00250">
            <w:pPr>
              <w:ind w:left="34" w:right="0"/>
            </w:pPr>
            <w:r w:rsidRPr="001603AF">
              <w:t>Hypertension:2</w:t>
            </w:r>
          </w:p>
          <w:p w:rsidR="001603AF" w:rsidRPr="001603AF" w:rsidRDefault="001603AF" w:rsidP="00D00250">
            <w:pPr>
              <w:ind w:left="34" w:right="0"/>
              <w:rPr>
                <w:rFonts w:eastAsia="Times New Roman"/>
                <w:bCs/>
                <w:i/>
              </w:rPr>
            </w:pPr>
            <w:r w:rsidRPr="001603AF">
              <w:rPr>
                <w:rFonts w:eastAsia="Times New Roman"/>
                <w:bCs/>
                <w:i/>
              </w:rPr>
              <w:t>Deaths</w:t>
            </w:r>
          </w:p>
          <w:p w:rsidR="001603AF" w:rsidRPr="001603AF" w:rsidRDefault="001603AF" w:rsidP="00D00250">
            <w:pPr>
              <w:ind w:left="34" w:right="0"/>
            </w:pPr>
            <w:r w:rsidRPr="001603AF">
              <w:t xml:space="preserve">As at June 2003: </w:t>
            </w:r>
          </w:p>
          <w:p w:rsidR="001603AF" w:rsidRPr="001603AF" w:rsidRDefault="001603AF" w:rsidP="00D00250">
            <w:pPr>
              <w:ind w:left="34" w:right="0"/>
            </w:pPr>
            <w:r w:rsidRPr="001603AF">
              <w:t>80.4% (45 pts)</w:t>
            </w:r>
          </w:p>
          <w:p w:rsidR="001603AF" w:rsidRPr="001603AF" w:rsidRDefault="001603AF" w:rsidP="00D00250">
            <w:pPr>
              <w:ind w:left="34" w:right="0"/>
            </w:pPr>
            <w:r w:rsidRPr="001603AF">
              <w:t>Malignancy: 77%</w:t>
            </w:r>
          </w:p>
          <w:p w:rsidR="001603AF" w:rsidRPr="001603AF" w:rsidRDefault="001603AF" w:rsidP="00D00250">
            <w:pPr>
              <w:ind w:left="34" w:right="0"/>
            </w:pPr>
            <w:proofErr w:type="spellStart"/>
            <w:r w:rsidRPr="001603AF">
              <w:t>Tt</w:t>
            </w:r>
            <w:proofErr w:type="spellEnd"/>
            <w:r w:rsidRPr="001603AF">
              <w:t xml:space="preserve"> toxicity: 2%</w:t>
            </w:r>
          </w:p>
        </w:tc>
      </w:tr>
    </w:tbl>
    <w:p w:rsidR="001603AF" w:rsidRPr="001603AF" w:rsidRDefault="001603AF" w:rsidP="00D00250">
      <w:r w:rsidRPr="001603AF">
        <w:lastRenderedPageBreak/>
        <w:t xml:space="preserve">The patients received </w:t>
      </w:r>
      <w:proofErr w:type="spellStart"/>
      <w:r w:rsidRPr="001603AF">
        <w:t>bevacizumab</w:t>
      </w:r>
      <w:proofErr w:type="spellEnd"/>
      <w:r w:rsidRPr="001603AF">
        <w:t xml:space="preserve"> 10 mg/kg IV every 2 weeks on a 4-week cycle. Other cancer chemotherapy, radiotherapy, immunotherapy, and investigational agents were excluded for the duration of the study. Patients who developed significant toxicity that was primarily caused by </w:t>
      </w:r>
      <w:proofErr w:type="spellStart"/>
      <w:r w:rsidRPr="001603AF">
        <w:t>bevacizumab</w:t>
      </w:r>
      <w:proofErr w:type="spellEnd"/>
      <w:r w:rsidRPr="001603AF">
        <w:t xml:space="preserve"> were discontinued from the study.</w:t>
      </w:r>
    </w:p>
    <w:p w:rsidR="001603AF" w:rsidRPr="001603AF" w:rsidRDefault="001603AF" w:rsidP="00D00250">
      <w:r w:rsidRPr="001603AF">
        <w:t xml:space="preserve">MRI perfusion scans were performed within 48-96 hours of the first dose of </w:t>
      </w:r>
      <w:proofErr w:type="spellStart"/>
      <w:r w:rsidRPr="001603AF">
        <w:t>bevacizumab</w:t>
      </w:r>
      <w:proofErr w:type="spellEnd"/>
      <w:r w:rsidRPr="001603AF">
        <w:t xml:space="preserve"> and thereafter prior to each 4-week cycle. An IRF was used to review the radiology scans, with IRF reviewers blinded to the investigator’s assessments of efficacy outcomes. The first scan was not read by the IRF reviewers except in cases where no further follow-up scans were available for review. Tumour responses were determined by the IRF using the modified WHO response evaluation criteria (Macdonald criteria). Selection criteria are summarised in Table 1a.</w:t>
      </w:r>
    </w:p>
    <w:p w:rsidR="001603AF" w:rsidRPr="001603AF" w:rsidRDefault="001603AF" w:rsidP="00D00250">
      <w:r w:rsidRPr="001603AF">
        <w:t>The Efficacy population was the ITT population, and included all the patients who satisfied the selection criteria. The ef</w:t>
      </w:r>
      <w:r w:rsidR="00D00250">
        <w:t>ficacy endpoints analysed were:</w:t>
      </w:r>
    </w:p>
    <w:p w:rsidR="001603AF" w:rsidRPr="001603AF" w:rsidRDefault="001603AF" w:rsidP="00D00250">
      <w:pPr>
        <w:pStyle w:val="ListBullet"/>
      </w:pPr>
      <w:r w:rsidRPr="001603AF">
        <w:t>Objective Response Rate - defined as a CR or PR determined on two consecutive assessments &gt; 4 weeks apart, as determined by the IRF using the modified Macdonald criteria. Patients who were registered but did not receive treatment and those who received treatment but did not undergo a post-baseline tumour assessment were considered to be non-responders.</w:t>
      </w:r>
    </w:p>
    <w:p w:rsidR="001603AF" w:rsidRPr="001603AF" w:rsidRDefault="001603AF" w:rsidP="00D00250">
      <w:pPr>
        <w:pStyle w:val="ListBullet"/>
      </w:pPr>
      <w:r w:rsidRPr="001603AF">
        <w:t xml:space="preserve">Duration of Objective Response (based on modified Macdonald criteria) - defined as the time from first tumour assessment that supported the patient’s objective response to the time of disease progression as determined by IRF, clear clinical progression in the absence of an MRI determination of progression, or death due to any cause, whichever occurred first. For patients who did not experience disease progression or death, the duration of response was censored at the date of the last tumour assessment. In the case of patients who experienced the first disease progression or death &gt;56 days after the last dose, duration of objective response was censored at the </w:t>
      </w:r>
      <w:r w:rsidRPr="001603AF">
        <w:lastRenderedPageBreak/>
        <w:t>date of the last tumour assessment prior to the last study dose of study drug plus 56 days.</w:t>
      </w:r>
    </w:p>
    <w:p w:rsidR="001603AF" w:rsidRPr="001603AF" w:rsidRDefault="001603AF" w:rsidP="00D00250">
      <w:r w:rsidRPr="001603AF">
        <w:t>The Safety population included all those who received at least one dose of study drug.</w:t>
      </w:r>
    </w:p>
    <w:p w:rsidR="001603AF" w:rsidRPr="001603AF" w:rsidRDefault="001603AF" w:rsidP="00D00250">
      <w:r w:rsidRPr="001603AF">
        <w:t xml:space="preserve">This report presented the results of only the </w:t>
      </w:r>
      <w:proofErr w:type="spellStart"/>
      <w:r w:rsidRPr="001603AF">
        <w:t>glioblastoma</w:t>
      </w:r>
      <w:proofErr w:type="spellEnd"/>
      <w:r w:rsidRPr="001603AF">
        <w:t xml:space="preserve"> cohort (Grade IV </w:t>
      </w:r>
      <w:proofErr w:type="spellStart"/>
      <w:r w:rsidRPr="001603AF">
        <w:t>glioma</w:t>
      </w:r>
      <w:proofErr w:type="spellEnd"/>
      <w:r w:rsidRPr="001603AF">
        <w:t>)</w:t>
      </w:r>
    </w:p>
    <w:p w:rsidR="001603AF" w:rsidRPr="001603AF" w:rsidRDefault="001603AF" w:rsidP="00D00250">
      <w:r w:rsidRPr="001603AF">
        <w:t xml:space="preserve">Of the 56 patients enrolled from January 2006 to September 2007, 55 received at least one dose of study drug. At the time of data cut-off (3 June 2008), 54 patients had discontinued from the study (Table 10). The majority of patients were Caucasian (98%) males (54%) aged 41-64 years with a </w:t>
      </w:r>
      <w:proofErr w:type="spellStart"/>
      <w:r w:rsidRPr="001603AF">
        <w:t>Karnofsky</w:t>
      </w:r>
      <w:proofErr w:type="spellEnd"/>
      <w:r w:rsidRPr="001603AF">
        <w:t xml:space="preserve"> pe</w:t>
      </w:r>
      <w:r w:rsidR="00D00250">
        <w:t>rformance status of 90% - 100%.</w:t>
      </w:r>
    </w:p>
    <w:p w:rsidR="001603AF" w:rsidRPr="001603AF" w:rsidRDefault="001603AF" w:rsidP="00D00250">
      <w:pPr>
        <w:pStyle w:val="TableTitle"/>
      </w:pPr>
      <w:r w:rsidRPr="001603AF">
        <w:t>Table 10 Patient Disposition (Intent-to-Treat Patients)</w:t>
      </w:r>
    </w:p>
    <w:tbl>
      <w:tblPr>
        <w:tblStyle w:val="TableTGAblue"/>
        <w:tblW w:w="8755" w:type="dxa"/>
        <w:tblLook w:val="04A0"/>
      </w:tblPr>
      <w:tblGrid>
        <w:gridCol w:w="5495"/>
        <w:gridCol w:w="3260"/>
      </w:tblGrid>
      <w:tr w:rsidR="001603AF" w:rsidRPr="001603AF" w:rsidTr="00D00250">
        <w:trPr>
          <w:cnfStyle w:val="100000000000"/>
        </w:trPr>
        <w:tc>
          <w:tcPr>
            <w:tcW w:w="5495" w:type="dxa"/>
          </w:tcPr>
          <w:p w:rsidR="001603AF" w:rsidRPr="001603AF" w:rsidRDefault="001603AF" w:rsidP="00D00250"/>
        </w:tc>
        <w:tc>
          <w:tcPr>
            <w:tcW w:w="3260" w:type="dxa"/>
          </w:tcPr>
          <w:p w:rsidR="00D00250" w:rsidRDefault="001603AF" w:rsidP="00D00250">
            <w:proofErr w:type="spellStart"/>
            <w:r w:rsidRPr="001603AF">
              <w:t>Bevacizumab</w:t>
            </w:r>
            <w:proofErr w:type="spellEnd"/>
          </w:p>
          <w:p w:rsidR="001603AF" w:rsidRPr="001603AF" w:rsidRDefault="001603AF" w:rsidP="00D00250">
            <w:r w:rsidRPr="001603AF">
              <w:t>(n=56)</w:t>
            </w:r>
          </w:p>
        </w:tc>
      </w:tr>
      <w:tr w:rsidR="001603AF" w:rsidRPr="001603AF" w:rsidTr="00D00250">
        <w:tc>
          <w:tcPr>
            <w:tcW w:w="5495" w:type="dxa"/>
          </w:tcPr>
          <w:p w:rsidR="001603AF" w:rsidRPr="001603AF" w:rsidRDefault="001603AF" w:rsidP="00D00250">
            <w:r w:rsidRPr="001603AF">
              <w:t>Patients not treated</w:t>
            </w:r>
          </w:p>
        </w:tc>
        <w:tc>
          <w:tcPr>
            <w:tcW w:w="3260" w:type="dxa"/>
          </w:tcPr>
          <w:p w:rsidR="001603AF" w:rsidRPr="001603AF" w:rsidRDefault="001603AF" w:rsidP="00D00250">
            <w:r w:rsidRPr="001603AF">
              <w:t>1 (1.8%)</w:t>
            </w:r>
          </w:p>
        </w:tc>
      </w:tr>
      <w:tr w:rsidR="001603AF" w:rsidRPr="001603AF" w:rsidTr="00D00250">
        <w:tc>
          <w:tcPr>
            <w:tcW w:w="5495" w:type="dxa"/>
          </w:tcPr>
          <w:p w:rsidR="001603AF" w:rsidRPr="001603AF" w:rsidRDefault="001603AF" w:rsidP="00D00250">
            <w:r w:rsidRPr="001603AF">
              <w:t>Patients treated</w:t>
            </w:r>
          </w:p>
        </w:tc>
        <w:tc>
          <w:tcPr>
            <w:tcW w:w="3260" w:type="dxa"/>
          </w:tcPr>
          <w:p w:rsidR="001603AF" w:rsidRPr="001603AF" w:rsidRDefault="001603AF" w:rsidP="00D00250">
            <w:r w:rsidRPr="001603AF">
              <w:t>55 (98.2%)</w:t>
            </w:r>
          </w:p>
        </w:tc>
      </w:tr>
      <w:tr w:rsidR="001603AF" w:rsidRPr="001603AF" w:rsidTr="00D00250">
        <w:tc>
          <w:tcPr>
            <w:tcW w:w="5495" w:type="dxa"/>
          </w:tcPr>
          <w:p w:rsidR="001603AF" w:rsidRPr="001603AF" w:rsidRDefault="001603AF" w:rsidP="00D00250">
            <w:r w:rsidRPr="001603AF">
              <w:t>Patients not known to have discontinued from study</w:t>
            </w:r>
          </w:p>
        </w:tc>
        <w:tc>
          <w:tcPr>
            <w:tcW w:w="3260" w:type="dxa"/>
          </w:tcPr>
          <w:p w:rsidR="001603AF" w:rsidRPr="001603AF" w:rsidRDefault="001603AF" w:rsidP="00D00250">
            <w:r w:rsidRPr="001603AF">
              <w:t>2 (3.6%)</w:t>
            </w:r>
          </w:p>
        </w:tc>
      </w:tr>
      <w:tr w:rsidR="001603AF" w:rsidRPr="001603AF" w:rsidTr="00D00250">
        <w:tc>
          <w:tcPr>
            <w:tcW w:w="5495" w:type="dxa"/>
          </w:tcPr>
          <w:p w:rsidR="001603AF" w:rsidRPr="001603AF" w:rsidRDefault="001603AF" w:rsidP="00D00250">
            <w:r w:rsidRPr="001603AF">
              <w:t>Patients who discontinued from study</w:t>
            </w:r>
          </w:p>
        </w:tc>
        <w:tc>
          <w:tcPr>
            <w:tcW w:w="3260" w:type="dxa"/>
          </w:tcPr>
          <w:p w:rsidR="001603AF" w:rsidRPr="001603AF" w:rsidRDefault="001603AF" w:rsidP="00D00250">
            <w:r w:rsidRPr="001603AF">
              <w:t>54 (96.4%)</w:t>
            </w:r>
          </w:p>
        </w:tc>
      </w:tr>
      <w:tr w:rsidR="001603AF" w:rsidRPr="001603AF" w:rsidTr="00D00250">
        <w:tc>
          <w:tcPr>
            <w:tcW w:w="5495" w:type="dxa"/>
          </w:tcPr>
          <w:p w:rsidR="001603AF" w:rsidRPr="001603AF" w:rsidRDefault="001603AF" w:rsidP="00D00250">
            <w:pPr>
              <w:tabs>
                <w:tab w:val="left" w:pos="2166"/>
              </w:tabs>
              <w:ind w:left="720"/>
            </w:pPr>
            <w:r w:rsidRPr="001603AF">
              <w:t>Adverse event</w:t>
            </w:r>
          </w:p>
        </w:tc>
        <w:tc>
          <w:tcPr>
            <w:tcW w:w="3260" w:type="dxa"/>
          </w:tcPr>
          <w:p w:rsidR="001603AF" w:rsidRPr="001603AF" w:rsidRDefault="001603AF" w:rsidP="00D00250">
            <w:r w:rsidRPr="001603AF">
              <w:t>11 (19.6%)</w:t>
            </w:r>
          </w:p>
        </w:tc>
      </w:tr>
      <w:tr w:rsidR="001603AF" w:rsidRPr="001603AF" w:rsidTr="00D00250">
        <w:tc>
          <w:tcPr>
            <w:tcW w:w="5495" w:type="dxa"/>
          </w:tcPr>
          <w:p w:rsidR="001603AF" w:rsidRPr="001603AF" w:rsidRDefault="001603AF" w:rsidP="00D00250">
            <w:pPr>
              <w:ind w:left="720"/>
            </w:pPr>
            <w:r w:rsidRPr="001603AF">
              <w:t xml:space="preserve">Disease progression before treatment </w:t>
            </w:r>
            <w:r w:rsidRPr="001603AF">
              <w:rPr>
                <w:vertAlign w:val="superscript"/>
              </w:rPr>
              <w:t>a</w:t>
            </w:r>
          </w:p>
        </w:tc>
        <w:tc>
          <w:tcPr>
            <w:tcW w:w="3260" w:type="dxa"/>
          </w:tcPr>
          <w:p w:rsidR="001603AF" w:rsidRPr="001603AF" w:rsidRDefault="001603AF" w:rsidP="00D00250">
            <w:r w:rsidRPr="001603AF">
              <w:t>1 (1.8%)</w:t>
            </w:r>
          </w:p>
        </w:tc>
      </w:tr>
      <w:tr w:rsidR="001603AF" w:rsidRPr="001603AF" w:rsidTr="00D00250">
        <w:tc>
          <w:tcPr>
            <w:tcW w:w="5495" w:type="dxa"/>
          </w:tcPr>
          <w:p w:rsidR="001603AF" w:rsidRPr="001603AF" w:rsidRDefault="001603AF" w:rsidP="00D00250">
            <w:pPr>
              <w:ind w:left="720"/>
            </w:pPr>
            <w:r w:rsidRPr="001603AF">
              <w:t xml:space="preserve">Disease progression during study </w:t>
            </w:r>
            <w:r w:rsidRPr="001603AF">
              <w:rPr>
                <w:vertAlign w:val="superscript"/>
              </w:rPr>
              <w:t>a</w:t>
            </w:r>
          </w:p>
        </w:tc>
        <w:tc>
          <w:tcPr>
            <w:tcW w:w="3260" w:type="dxa"/>
          </w:tcPr>
          <w:p w:rsidR="001603AF" w:rsidRPr="001603AF" w:rsidRDefault="001603AF" w:rsidP="00D00250">
            <w:r w:rsidRPr="001603AF">
              <w:t>40 (71.4%)</w:t>
            </w:r>
          </w:p>
        </w:tc>
      </w:tr>
      <w:tr w:rsidR="001603AF" w:rsidRPr="001603AF" w:rsidTr="00D00250">
        <w:tc>
          <w:tcPr>
            <w:tcW w:w="5495" w:type="dxa"/>
          </w:tcPr>
          <w:p w:rsidR="001603AF" w:rsidRPr="001603AF" w:rsidRDefault="001603AF" w:rsidP="00D00250">
            <w:pPr>
              <w:ind w:left="720"/>
            </w:pPr>
            <w:r w:rsidRPr="001603AF">
              <w:t>Patient request</w:t>
            </w:r>
          </w:p>
        </w:tc>
        <w:tc>
          <w:tcPr>
            <w:tcW w:w="3260" w:type="dxa"/>
          </w:tcPr>
          <w:p w:rsidR="001603AF" w:rsidRPr="001603AF" w:rsidRDefault="001603AF" w:rsidP="00D00250">
            <w:r w:rsidRPr="001603AF">
              <w:t>2 (3.6%)</w:t>
            </w:r>
          </w:p>
        </w:tc>
      </w:tr>
    </w:tbl>
    <w:p w:rsidR="001603AF" w:rsidRPr="00D00250" w:rsidRDefault="001603AF" w:rsidP="00D00250">
      <w:pPr>
        <w:pStyle w:val="Numberbullet2"/>
        <w:numPr>
          <w:ilvl w:val="1"/>
          <w:numId w:val="39"/>
        </w:numPr>
        <w:spacing w:before="0" w:after="0" w:line="240" w:lineRule="auto"/>
        <w:ind w:left="850" w:hanging="425"/>
        <w:rPr>
          <w:sz w:val="18"/>
        </w:rPr>
      </w:pPr>
      <w:r w:rsidRPr="00D00250">
        <w:rPr>
          <w:sz w:val="18"/>
        </w:rPr>
        <w:t>Disease progression was based on investigator assessment, not on IRF review.</w:t>
      </w:r>
    </w:p>
    <w:p w:rsidR="001603AF" w:rsidRPr="001603AF" w:rsidRDefault="001603AF" w:rsidP="00CF06F0">
      <w:pPr>
        <w:pStyle w:val="Heading4"/>
      </w:pPr>
      <w:r w:rsidRPr="001603AF">
        <w:t>Efficacy results</w:t>
      </w:r>
    </w:p>
    <w:p w:rsidR="001603AF" w:rsidRPr="001603AF" w:rsidRDefault="001603AF" w:rsidP="00CF06F0">
      <w:r w:rsidRPr="001603AF">
        <w:rPr>
          <w:i/>
        </w:rPr>
        <w:t>Objective response:</w:t>
      </w:r>
      <w:r w:rsidRPr="001603AF">
        <w:t xml:space="preserve"> In all 11 patients achieved a PR. There were no CRs. The objective response rate was 19.6% for the ITT population. The sensitivity analysis for the treated population (55 patients) determined an </w:t>
      </w:r>
      <w:r w:rsidR="00CF06F0">
        <w:t>objective response rate of 20%.</w:t>
      </w:r>
    </w:p>
    <w:p w:rsidR="001603AF" w:rsidRPr="001603AF" w:rsidRDefault="001603AF" w:rsidP="00CF06F0">
      <w:r w:rsidRPr="001603AF">
        <w:rPr>
          <w:i/>
        </w:rPr>
        <w:t xml:space="preserve">Duration of Objective Response: </w:t>
      </w:r>
      <w:r w:rsidRPr="001603AF">
        <w:t>The median duration of obj</w:t>
      </w:r>
      <w:r w:rsidR="00CF06F0">
        <w:t>ective response was 3.9 months.</w:t>
      </w:r>
    </w:p>
    <w:p w:rsidR="001603AF" w:rsidRPr="001603AF" w:rsidRDefault="001603AF" w:rsidP="00CF06F0">
      <w:r w:rsidRPr="001603AF">
        <w:rPr>
          <w:i/>
        </w:rPr>
        <w:t xml:space="preserve">Exploratory analyses: </w:t>
      </w:r>
      <w:r w:rsidRPr="001603AF">
        <w:t>The percent change in the smallest post-baseline sum of product of diameters (SPD) from baseline is an indicator of the best tumour shrinkage that was achieved by patients during the study. Of the 55 patients who were treated, 50 patients had tumour shrinkages and 14 ha</w:t>
      </w:r>
      <w:r w:rsidR="00CF06F0">
        <w:t>d tumours that shrank by &gt; 50%.</w:t>
      </w:r>
    </w:p>
    <w:p w:rsidR="001603AF" w:rsidRPr="001603AF" w:rsidRDefault="001603AF" w:rsidP="00CF06F0">
      <w:pPr>
        <w:pStyle w:val="Heading4"/>
      </w:pPr>
      <w:r w:rsidRPr="001603AF">
        <w:t xml:space="preserve">Other </w:t>
      </w:r>
      <w:r w:rsidR="00CF06F0">
        <w:t>s</w:t>
      </w:r>
      <w:r w:rsidRPr="001603AF">
        <w:t xml:space="preserve">tudies – </w:t>
      </w:r>
      <w:r w:rsidR="00CF06F0">
        <w:t>l</w:t>
      </w:r>
      <w:r w:rsidRPr="001603AF">
        <w:t xml:space="preserve">iterature </w:t>
      </w:r>
      <w:r w:rsidR="00CF06F0">
        <w:t>r</w:t>
      </w:r>
      <w:r w:rsidRPr="001603AF">
        <w:t>eview</w:t>
      </w:r>
    </w:p>
    <w:p w:rsidR="001603AF" w:rsidRPr="001603AF" w:rsidRDefault="001603AF" w:rsidP="00CF06F0">
      <w:r w:rsidRPr="001603AF">
        <w:t xml:space="preserve">The review included 31 clinical publications, reporting on 16 clinical trials containing patients with Grade III </w:t>
      </w:r>
      <w:proofErr w:type="spellStart"/>
      <w:r w:rsidRPr="001603AF">
        <w:t>glioma</w:t>
      </w:r>
      <w:proofErr w:type="spellEnd"/>
      <w:r w:rsidRPr="001603AF">
        <w:t xml:space="preserve">, treated with </w:t>
      </w:r>
      <w:proofErr w:type="spellStart"/>
      <w:r w:rsidRPr="001603AF">
        <w:t>bevacizumab</w:t>
      </w:r>
      <w:proofErr w:type="spellEnd"/>
      <w:r w:rsidRPr="001603AF">
        <w:t xml:space="preserve"> </w:t>
      </w:r>
      <w:proofErr w:type="spellStart"/>
      <w:r w:rsidRPr="001603AF">
        <w:t>monotherapy</w:t>
      </w:r>
      <w:proofErr w:type="spellEnd"/>
      <w:r w:rsidRPr="001603AF">
        <w:t xml:space="preserve"> or </w:t>
      </w:r>
      <w:proofErr w:type="spellStart"/>
      <w:r w:rsidRPr="001603AF">
        <w:t>bevacizumab</w:t>
      </w:r>
      <w:proofErr w:type="spellEnd"/>
      <w:r w:rsidRPr="001603AF">
        <w:t xml:space="preserve"> in combination with </w:t>
      </w:r>
      <w:proofErr w:type="spellStart"/>
      <w:r w:rsidRPr="001603AF">
        <w:t>irinotecan</w:t>
      </w:r>
      <w:proofErr w:type="spellEnd"/>
      <w:r w:rsidRPr="001603AF">
        <w:t xml:space="preserve">. Of the 16 clinical trials, 15 reported on efficacy and all 16 provided safety data. The number of studies of </w:t>
      </w:r>
      <w:proofErr w:type="spellStart"/>
      <w:r w:rsidRPr="001603AF">
        <w:t>bevacizumab</w:t>
      </w:r>
      <w:proofErr w:type="spellEnd"/>
      <w:r w:rsidRPr="001603AF">
        <w:t xml:space="preserve"> </w:t>
      </w:r>
      <w:proofErr w:type="spellStart"/>
      <w:r w:rsidRPr="001603AF">
        <w:t>monotherapy</w:t>
      </w:r>
      <w:proofErr w:type="spellEnd"/>
      <w:r w:rsidRPr="001603AF">
        <w:t xml:space="preserve"> in patients with malignant </w:t>
      </w:r>
      <w:proofErr w:type="spellStart"/>
      <w:r w:rsidRPr="001603AF">
        <w:t>gliomas</w:t>
      </w:r>
      <w:proofErr w:type="spellEnd"/>
      <w:r w:rsidRPr="001603AF">
        <w:t xml:space="preserve"> after relapse was small.</w:t>
      </w:r>
    </w:p>
    <w:p w:rsidR="001603AF" w:rsidRPr="001603AF" w:rsidRDefault="001603AF" w:rsidP="00CF06F0">
      <w:r w:rsidRPr="001603AF">
        <w:lastRenderedPageBreak/>
        <w:t xml:space="preserve">The literature searches were performed in Medline and EMBASE and the annual meeting abstracts of the American Society of Clinical Oncology (ASCO). The search produced 17 citations from Medline and EMBASE, 11 from ASCO abstracts and 3 from bibliography review of reviews. The patients in these citations were recruited from France, Spain, Israel, Denmark and the USA. The majority of these reported their experience of treatment with </w:t>
      </w:r>
      <w:proofErr w:type="spellStart"/>
      <w:r w:rsidRPr="001603AF">
        <w:t>bevacizumab</w:t>
      </w:r>
      <w:proofErr w:type="spellEnd"/>
      <w:r w:rsidRPr="001603AF">
        <w:t xml:space="preserve"> plus </w:t>
      </w:r>
      <w:proofErr w:type="spellStart"/>
      <w:r w:rsidRPr="001603AF">
        <w:t>irinotecan</w:t>
      </w:r>
      <w:proofErr w:type="spellEnd"/>
      <w:r w:rsidRPr="001603AF">
        <w:t xml:space="preserve">, except for 2 which were of </w:t>
      </w:r>
      <w:proofErr w:type="spellStart"/>
      <w:r w:rsidRPr="001603AF">
        <w:t>bevacizumab</w:t>
      </w:r>
      <w:proofErr w:type="spellEnd"/>
      <w:r w:rsidRPr="001603AF">
        <w:t xml:space="preserve"> </w:t>
      </w:r>
      <w:proofErr w:type="spellStart"/>
      <w:r w:rsidRPr="001603AF">
        <w:t>monotherapy</w:t>
      </w:r>
      <w:proofErr w:type="spellEnd"/>
      <w:r w:rsidRPr="001603AF">
        <w:t>.</w:t>
      </w:r>
    </w:p>
    <w:p w:rsidR="001603AF" w:rsidRPr="001603AF" w:rsidRDefault="001603AF" w:rsidP="00CF06F0">
      <w:pPr>
        <w:pStyle w:val="Heading5"/>
      </w:pPr>
      <w:r w:rsidRPr="001603AF">
        <w:t>Review of efficacy</w:t>
      </w:r>
    </w:p>
    <w:p w:rsidR="001603AF" w:rsidRPr="001603AF" w:rsidRDefault="001603AF" w:rsidP="00CF06F0">
      <w:r w:rsidRPr="001603AF">
        <w:t>The demographics and reported efficacy were discussed in 3 groups:</w:t>
      </w:r>
    </w:p>
    <w:p w:rsidR="001603AF" w:rsidRPr="001603AF" w:rsidRDefault="001603AF" w:rsidP="00CF06F0">
      <w:pPr>
        <w:pStyle w:val="ListBullet"/>
      </w:pPr>
      <w:r w:rsidRPr="001603AF">
        <w:t xml:space="preserve">Patients treated with </w:t>
      </w:r>
      <w:proofErr w:type="spellStart"/>
      <w:r w:rsidRPr="001603AF">
        <w:t>bevacizumab</w:t>
      </w:r>
      <w:proofErr w:type="spellEnd"/>
      <w:r w:rsidRPr="001603AF">
        <w:t xml:space="preserve"> plus </w:t>
      </w:r>
      <w:proofErr w:type="spellStart"/>
      <w:r w:rsidRPr="001603AF">
        <w:t>irinotecan</w:t>
      </w:r>
      <w:proofErr w:type="spellEnd"/>
      <w:r w:rsidRPr="001603AF">
        <w:t>.</w:t>
      </w:r>
    </w:p>
    <w:p w:rsidR="001603AF" w:rsidRPr="001603AF" w:rsidRDefault="001603AF" w:rsidP="00CF06F0">
      <w:pPr>
        <w:pStyle w:val="Numberbullet0"/>
        <w:numPr>
          <w:ilvl w:val="0"/>
          <w:numId w:val="40"/>
        </w:numPr>
      </w:pPr>
      <w:r w:rsidRPr="001603AF">
        <w:t>Separate efficacy data for Grade III patients.</w:t>
      </w:r>
    </w:p>
    <w:p w:rsidR="001603AF" w:rsidRPr="001603AF" w:rsidRDefault="001603AF" w:rsidP="00CF06F0">
      <w:pPr>
        <w:pStyle w:val="Numberbullet0"/>
      </w:pPr>
      <w:r w:rsidRPr="001603AF">
        <w:t>Pooled efficacy data for both Grade III and Grade IV patients.</w:t>
      </w:r>
    </w:p>
    <w:p w:rsidR="001603AF" w:rsidRPr="001603AF" w:rsidRDefault="001603AF" w:rsidP="00CF06F0">
      <w:pPr>
        <w:pStyle w:val="ListBullet"/>
      </w:pPr>
      <w:r w:rsidRPr="001603AF">
        <w:t xml:space="preserve">Patients treated with </w:t>
      </w:r>
      <w:proofErr w:type="spellStart"/>
      <w:r w:rsidRPr="001603AF">
        <w:t>bevacizumab</w:t>
      </w:r>
      <w:proofErr w:type="spellEnd"/>
      <w:r w:rsidRPr="001603AF">
        <w:t xml:space="preserve"> alone.</w:t>
      </w:r>
    </w:p>
    <w:p w:rsidR="001603AF" w:rsidRPr="001603AF" w:rsidRDefault="001603AF" w:rsidP="00A00D87">
      <w:r w:rsidRPr="001603AF">
        <w:t xml:space="preserve">Integrated analyses of data from the studies of Wong et al and </w:t>
      </w:r>
      <w:proofErr w:type="spellStart"/>
      <w:r w:rsidRPr="001603AF">
        <w:t>Lamborn</w:t>
      </w:r>
      <w:proofErr w:type="spellEnd"/>
      <w:r w:rsidRPr="001603AF">
        <w:t xml:space="preserve"> et al of patients with recurrent GBM and recurrent Grade III malignant </w:t>
      </w:r>
      <w:proofErr w:type="spellStart"/>
      <w:r w:rsidRPr="001603AF">
        <w:t>glioma</w:t>
      </w:r>
      <w:proofErr w:type="spellEnd"/>
      <w:r w:rsidRPr="001603AF">
        <w:t xml:space="preserve"> were used. The 6-month PFS in patients with recurrent Grade III malignant </w:t>
      </w:r>
      <w:proofErr w:type="spellStart"/>
      <w:r w:rsidRPr="001603AF">
        <w:t>glioma</w:t>
      </w:r>
      <w:proofErr w:type="spellEnd"/>
      <w:r w:rsidRPr="001603AF">
        <w:t xml:space="preserve"> was 31% (Wong</w:t>
      </w:r>
      <w:r w:rsidR="00A00D87">
        <w:t xml:space="preserve"> et al) to 28% (</w:t>
      </w:r>
      <w:proofErr w:type="spellStart"/>
      <w:r w:rsidR="00A00D87">
        <w:t>Lamborn</w:t>
      </w:r>
      <w:proofErr w:type="spellEnd"/>
      <w:r w:rsidR="00A00D87">
        <w:t xml:space="preserve"> et al).</w:t>
      </w:r>
    </w:p>
    <w:p w:rsidR="001603AF" w:rsidRPr="001603AF" w:rsidRDefault="001603AF" w:rsidP="00A00D87">
      <w:r w:rsidRPr="001603AF">
        <w:t xml:space="preserve">The standard dosing schedule for </w:t>
      </w:r>
      <w:proofErr w:type="spellStart"/>
      <w:r w:rsidRPr="001603AF">
        <w:t>bevacizumab</w:t>
      </w:r>
      <w:proofErr w:type="spellEnd"/>
      <w:r w:rsidRPr="001603AF">
        <w:t xml:space="preserve"> was 10 mg/kg given ever 2 weeks. A different dosing schedule using 5 mg/kg/week was used in some patient cohorts. </w:t>
      </w:r>
      <w:proofErr w:type="spellStart"/>
      <w:r w:rsidRPr="001603AF">
        <w:t>Irinotecan</w:t>
      </w:r>
      <w:proofErr w:type="spellEnd"/>
      <w:r w:rsidRPr="001603AF">
        <w:t xml:space="preserve"> dose schedules had dose alteration included to allow for concomitant medications. No cap on the duration of treatment was explicitly stated in the majority of citations.</w:t>
      </w:r>
    </w:p>
    <w:p w:rsidR="001603AF" w:rsidRPr="001603AF" w:rsidRDefault="001603AF" w:rsidP="00A00D87">
      <w:pPr>
        <w:pStyle w:val="Heading5"/>
      </w:pPr>
      <w:r w:rsidRPr="001603AF">
        <w:t xml:space="preserve">Separate </w:t>
      </w:r>
      <w:r w:rsidR="00A00D87">
        <w:t>e</w:t>
      </w:r>
      <w:r w:rsidRPr="001603AF">
        <w:t xml:space="preserve">fficacy data for </w:t>
      </w:r>
      <w:r w:rsidR="00A00D87">
        <w:t>g</w:t>
      </w:r>
      <w:r w:rsidRPr="001603AF">
        <w:t>rade III patients (</w:t>
      </w:r>
      <w:r w:rsidR="00A00D87">
        <w:t>p</w:t>
      </w:r>
      <w:r w:rsidRPr="001603AF">
        <w:t>atient groups 1-4)</w:t>
      </w:r>
    </w:p>
    <w:p w:rsidR="001603AF" w:rsidRPr="001603AF" w:rsidRDefault="001603AF" w:rsidP="00A00D87">
      <w:r w:rsidRPr="001603AF">
        <w:t xml:space="preserve">Patient groups 1 – 4 were studies of </w:t>
      </w:r>
      <w:proofErr w:type="spellStart"/>
      <w:r w:rsidRPr="001603AF">
        <w:t>bevacizumab</w:t>
      </w:r>
      <w:proofErr w:type="spellEnd"/>
      <w:r w:rsidRPr="001603AF">
        <w:t xml:space="preserve"> + </w:t>
      </w:r>
      <w:proofErr w:type="spellStart"/>
      <w:r w:rsidRPr="001603AF">
        <w:t>irinotecan</w:t>
      </w:r>
      <w:proofErr w:type="spellEnd"/>
      <w:r w:rsidRPr="001603AF">
        <w:t xml:space="preserve"> in combination in which efficacy data were available specifically for patients with Grade III </w:t>
      </w:r>
      <w:proofErr w:type="spellStart"/>
      <w:r w:rsidRPr="001603AF">
        <w:t>glioma</w:t>
      </w:r>
      <w:proofErr w:type="spellEnd"/>
      <w:r w:rsidRPr="001603AF">
        <w:t xml:space="preserve"> (Table 11).</w:t>
      </w:r>
    </w:p>
    <w:p w:rsidR="001603AF" w:rsidRPr="001603AF" w:rsidRDefault="001603AF" w:rsidP="00A00D87">
      <w:r w:rsidRPr="001603AF">
        <w:t xml:space="preserve">The selection criteria in all 4 studies were similar. All the patients were treated with </w:t>
      </w:r>
      <w:proofErr w:type="spellStart"/>
      <w:r w:rsidRPr="001603AF">
        <w:t>bevacizumab</w:t>
      </w:r>
      <w:proofErr w:type="spellEnd"/>
      <w:r w:rsidRPr="001603AF">
        <w:t xml:space="preserve"> plus </w:t>
      </w:r>
      <w:proofErr w:type="spellStart"/>
      <w:r w:rsidRPr="001603AF">
        <w:t>irinotecan</w:t>
      </w:r>
      <w:proofErr w:type="spellEnd"/>
      <w:r w:rsidRPr="001603AF">
        <w:t xml:space="preserve">. Progress was measured by MRI at 6 – 8 weekly intervals. The endpoints included 6-month PFS, response rates and overall survival. There was limited efficacy data from patient group 4. Patients </w:t>
      </w:r>
      <w:r w:rsidR="00A00D87">
        <w:t>in groups 1 and 2 were younger.</w:t>
      </w:r>
    </w:p>
    <w:p w:rsidR="001603AF" w:rsidRPr="001603AF" w:rsidRDefault="001603AF" w:rsidP="00A00D87">
      <w:pPr>
        <w:pStyle w:val="TableTitle"/>
      </w:pPr>
      <w:r w:rsidRPr="001603AF">
        <w:t>Table 11 Patient demographics of Patient Groups 1-4 (</w:t>
      </w:r>
      <w:proofErr w:type="spellStart"/>
      <w:r w:rsidRPr="001603AF">
        <w:t>bevacizumab</w:t>
      </w:r>
      <w:proofErr w:type="spellEnd"/>
      <w:r w:rsidRPr="001603AF">
        <w:t xml:space="preserve"> +</w:t>
      </w:r>
      <w:proofErr w:type="spellStart"/>
      <w:r w:rsidRPr="001603AF">
        <w:t>irinotecan</w:t>
      </w:r>
      <w:proofErr w:type="spellEnd"/>
      <w:r w:rsidRPr="001603AF">
        <w:t>)</w:t>
      </w:r>
    </w:p>
    <w:tbl>
      <w:tblPr>
        <w:tblStyle w:val="TableTGAblue"/>
        <w:tblW w:w="0" w:type="auto"/>
        <w:tblLayout w:type="fixed"/>
        <w:tblLook w:val="04A0"/>
      </w:tblPr>
      <w:tblGrid>
        <w:gridCol w:w="1384"/>
        <w:gridCol w:w="1559"/>
        <w:gridCol w:w="1843"/>
        <w:gridCol w:w="2126"/>
        <w:gridCol w:w="1808"/>
      </w:tblGrid>
      <w:tr w:rsidR="001603AF" w:rsidRPr="001603AF" w:rsidTr="00F24D08">
        <w:trPr>
          <w:cnfStyle w:val="100000000000"/>
          <w:tblHeader/>
        </w:trPr>
        <w:tc>
          <w:tcPr>
            <w:tcW w:w="1384" w:type="dxa"/>
          </w:tcPr>
          <w:p w:rsidR="001603AF" w:rsidRPr="001603AF" w:rsidRDefault="001603AF" w:rsidP="00B658ED">
            <w:pPr>
              <w:ind w:left="0" w:right="34"/>
            </w:pPr>
            <w:r w:rsidRPr="001603AF">
              <w:t>Pt group</w:t>
            </w:r>
          </w:p>
        </w:tc>
        <w:tc>
          <w:tcPr>
            <w:tcW w:w="1559" w:type="dxa"/>
          </w:tcPr>
          <w:p w:rsidR="001603AF" w:rsidRPr="001603AF" w:rsidRDefault="001603AF" w:rsidP="00B658ED">
            <w:pPr>
              <w:ind w:left="34" w:right="33"/>
            </w:pPr>
            <w:r w:rsidRPr="001603AF">
              <w:t>KPS &gt;80</w:t>
            </w:r>
          </w:p>
        </w:tc>
        <w:tc>
          <w:tcPr>
            <w:tcW w:w="1843" w:type="dxa"/>
          </w:tcPr>
          <w:p w:rsidR="001603AF" w:rsidRPr="001603AF" w:rsidRDefault="001603AF" w:rsidP="00B658ED">
            <w:pPr>
              <w:ind w:left="34" w:right="34"/>
            </w:pPr>
            <w:r w:rsidRPr="001603AF">
              <w:t>Median Age</w:t>
            </w:r>
          </w:p>
        </w:tc>
        <w:tc>
          <w:tcPr>
            <w:tcW w:w="2126" w:type="dxa"/>
          </w:tcPr>
          <w:p w:rsidR="00A00D87" w:rsidRDefault="001603AF" w:rsidP="00B658ED">
            <w:pPr>
              <w:ind w:left="34" w:right="33"/>
            </w:pPr>
            <w:r w:rsidRPr="001603AF">
              <w:t>AA:AO/other Grade III</w:t>
            </w:r>
          </w:p>
          <w:p w:rsidR="001603AF" w:rsidRPr="001603AF" w:rsidRDefault="001603AF" w:rsidP="00B658ED">
            <w:pPr>
              <w:ind w:left="34" w:right="33"/>
            </w:pPr>
            <w:r w:rsidRPr="001603AF">
              <w:t>(n)</w:t>
            </w:r>
          </w:p>
        </w:tc>
        <w:tc>
          <w:tcPr>
            <w:tcW w:w="1808" w:type="dxa"/>
          </w:tcPr>
          <w:p w:rsidR="001603AF" w:rsidRPr="001603AF" w:rsidRDefault="001603AF" w:rsidP="00B658ED">
            <w:pPr>
              <w:ind w:left="34" w:right="0"/>
            </w:pPr>
            <w:r w:rsidRPr="001603AF">
              <w:t>Prior Rx</w:t>
            </w:r>
          </w:p>
        </w:tc>
      </w:tr>
      <w:tr w:rsidR="001603AF" w:rsidRPr="001603AF" w:rsidTr="00A00D87">
        <w:tc>
          <w:tcPr>
            <w:tcW w:w="1384" w:type="dxa"/>
          </w:tcPr>
          <w:p w:rsidR="001603AF" w:rsidRPr="001603AF" w:rsidRDefault="001603AF" w:rsidP="00B658ED">
            <w:pPr>
              <w:ind w:left="0" w:right="34"/>
            </w:pPr>
            <w:r w:rsidRPr="001603AF">
              <w:t>1</w:t>
            </w:r>
          </w:p>
        </w:tc>
        <w:tc>
          <w:tcPr>
            <w:tcW w:w="1559" w:type="dxa"/>
          </w:tcPr>
          <w:p w:rsidR="001603AF" w:rsidRPr="001603AF" w:rsidRDefault="001603AF" w:rsidP="00B658ED">
            <w:pPr>
              <w:ind w:left="34" w:right="33"/>
            </w:pPr>
            <w:r w:rsidRPr="001603AF">
              <w:t>55</w:t>
            </w:r>
          </w:p>
          <w:p w:rsidR="001603AF" w:rsidRPr="001603AF" w:rsidRDefault="001603AF" w:rsidP="00B658ED">
            <w:pPr>
              <w:ind w:left="34" w:right="33"/>
            </w:pPr>
            <w:r w:rsidRPr="001603AF">
              <w:t>All&gt;60 KPS</w:t>
            </w:r>
          </w:p>
        </w:tc>
        <w:tc>
          <w:tcPr>
            <w:tcW w:w="1843" w:type="dxa"/>
          </w:tcPr>
          <w:p w:rsidR="001603AF" w:rsidRPr="001603AF" w:rsidRDefault="001603AF" w:rsidP="00B658ED">
            <w:pPr>
              <w:ind w:left="34" w:right="34"/>
            </w:pPr>
            <w:r w:rsidRPr="001603AF">
              <w:t>43</w:t>
            </w:r>
          </w:p>
        </w:tc>
        <w:tc>
          <w:tcPr>
            <w:tcW w:w="2126" w:type="dxa"/>
          </w:tcPr>
          <w:p w:rsidR="001603AF" w:rsidRPr="001603AF" w:rsidRDefault="001603AF" w:rsidP="00B658ED">
            <w:pPr>
              <w:ind w:left="34" w:right="33"/>
            </w:pPr>
            <w:r w:rsidRPr="001603AF">
              <w:t>25 / 8</w:t>
            </w:r>
          </w:p>
          <w:p w:rsidR="001603AF" w:rsidRPr="001603AF" w:rsidRDefault="001603AF" w:rsidP="00B658ED">
            <w:pPr>
              <w:ind w:left="34" w:right="33"/>
            </w:pPr>
            <w:r w:rsidRPr="001603AF">
              <w:t>(</w:t>
            </w:r>
            <w:r w:rsidRPr="00B658ED">
              <w:rPr>
                <w:b/>
              </w:rPr>
              <w:t>33</w:t>
            </w:r>
            <w:r w:rsidRPr="001603AF">
              <w:t>)</w:t>
            </w:r>
          </w:p>
        </w:tc>
        <w:tc>
          <w:tcPr>
            <w:tcW w:w="1808" w:type="dxa"/>
          </w:tcPr>
          <w:p w:rsidR="001603AF" w:rsidRPr="001603AF" w:rsidRDefault="001603AF" w:rsidP="00B658ED">
            <w:pPr>
              <w:ind w:left="34" w:right="0"/>
            </w:pPr>
            <w:r w:rsidRPr="001603AF">
              <w:t>Median of 3</w:t>
            </w:r>
          </w:p>
        </w:tc>
      </w:tr>
      <w:tr w:rsidR="001603AF" w:rsidRPr="001603AF" w:rsidTr="00A00D87">
        <w:tc>
          <w:tcPr>
            <w:tcW w:w="1384" w:type="dxa"/>
          </w:tcPr>
          <w:p w:rsidR="001603AF" w:rsidRPr="001603AF" w:rsidRDefault="001603AF" w:rsidP="00B658ED">
            <w:pPr>
              <w:ind w:left="0" w:right="34"/>
            </w:pPr>
            <w:r w:rsidRPr="001603AF">
              <w:t>2</w:t>
            </w:r>
          </w:p>
        </w:tc>
        <w:tc>
          <w:tcPr>
            <w:tcW w:w="1559" w:type="dxa"/>
          </w:tcPr>
          <w:p w:rsidR="001603AF" w:rsidRPr="001603AF" w:rsidRDefault="001603AF" w:rsidP="00B658ED">
            <w:pPr>
              <w:ind w:left="34" w:right="33"/>
            </w:pPr>
            <w:r w:rsidRPr="001603AF">
              <w:t>WHO</w:t>
            </w:r>
          </w:p>
          <w:p w:rsidR="001603AF" w:rsidRPr="001603AF" w:rsidRDefault="001603AF" w:rsidP="00B658ED">
            <w:pPr>
              <w:ind w:left="34" w:right="33"/>
            </w:pPr>
            <w:r w:rsidRPr="001603AF">
              <w:t>0=38%</w:t>
            </w:r>
          </w:p>
          <w:p w:rsidR="001603AF" w:rsidRPr="001603AF" w:rsidRDefault="001603AF" w:rsidP="00B658ED">
            <w:pPr>
              <w:ind w:left="34" w:right="33"/>
            </w:pPr>
            <w:r w:rsidRPr="001603AF">
              <w:t>1=41%</w:t>
            </w:r>
          </w:p>
          <w:p w:rsidR="001603AF" w:rsidRPr="001603AF" w:rsidRDefault="001603AF" w:rsidP="00B658ED">
            <w:pPr>
              <w:ind w:left="34" w:right="33"/>
            </w:pPr>
            <w:r w:rsidRPr="001603AF">
              <w:t>2=21%</w:t>
            </w:r>
          </w:p>
        </w:tc>
        <w:tc>
          <w:tcPr>
            <w:tcW w:w="1843" w:type="dxa"/>
          </w:tcPr>
          <w:p w:rsidR="001603AF" w:rsidRPr="001603AF" w:rsidRDefault="001603AF" w:rsidP="00B658ED">
            <w:pPr>
              <w:ind w:left="34" w:right="34"/>
            </w:pPr>
            <w:r w:rsidRPr="001603AF">
              <w:t>46</w:t>
            </w:r>
          </w:p>
        </w:tc>
        <w:tc>
          <w:tcPr>
            <w:tcW w:w="2126" w:type="dxa"/>
          </w:tcPr>
          <w:p w:rsidR="001603AF" w:rsidRPr="001603AF" w:rsidRDefault="001603AF" w:rsidP="00B658ED">
            <w:pPr>
              <w:ind w:left="34" w:right="33"/>
            </w:pPr>
            <w:r w:rsidRPr="001603AF">
              <w:t>13 / 7</w:t>
            </w:r>
          </w:p>
          <w:p w:rsidR="001603AF" w:rsidRPr="001603AF" w:rsidRDefault="001603AF" w:rsidP="00B658ED">
            <w:pPr>
              <w:ind w:left="34" w:right="33"/>
            </w:pPr>
            <w:r w:rsidRPr="001603AF">
              <w:t>(</w:t>
            </w:r>
            <w:r w:rsidRPr="00B658ED">
              <w:rPr>
                <w:b/>
              </w:rPr>
              <w:t>20</w:t>
            </w:r>
            <w:r w:rsidRPr="001603AF">
              <w:t>)</w:t>
            </w:r>
          </w:p>
        </w:tc>
        <w:tc>
          <w:tcPr>
            <w:tcW w:w="1808" w:type="dxa"/>
          </w:tcPr>
          <w:p w:rsidR="001603AF" w:rsidRPr="001603AF" w:rsidRDefault="001603AF" w:rsidP="00B658ED">
            <w:pPr>
              <w:ind w:left="34" w:right="0"/>
            </w:pPr>
            <w:r w:rsidRPr="001603AF">
              <w:t>&lt;2 = 0%</w:t>
            </w:r>
          </w:p>
          <w:p w:rsidR="001603AF" w:rsidRPr="001603AF" w:rsidRDefault="001603AF" w:rsidP="00B658ED">
            <w:pPr>
              <w:ind w:left="34" w:right="0"/>
            </w:pPr>
            <w:r w:rsidRPr="001603AF">
              <w:t>2 = 4%</w:t>
            </w:r>
          </w:p>
          <w:p w:rsidR="001603AF" w:rsidRPr="001603AF" w:rsidRDefault="001603AF" w:rsidP="00B658ED">
            <w:pPr>
              <w:ind w:left="34" w:right="0"/>
            </w:pPr>
            <w:r w:rsidRPr="001603AF">
              <w:t>≥3 = 96%</w:t>
            </w:r>
          </w:p>
        </w:tc>
      </w:tr>
      <w:tr w:rsidR="001603AF" w:rsidRPr="001603AF" w:rsidTr="00A00D87">
        <w:tc>
          <w:tcPr>
            <w:tcW w:w="1384" w:type="dxa"/>
          </w:tcPr>
          <w:p w:rsidR="001603AF" w:rsidRPr="001603AF" w:rsidRDefault="001603AF" w:rsidP="00B658ED">
            <w:pPr>
              <w:ind w:left="0" w:right="34"/>
            </w:pPr>
            <w:r w:rsidRPr="001603AF">
              <w:t>3</w:t>
            </w:r>
          </w:p>
        </w:tc>
        <w:tc>
          <w:tcPr>
            <w:tcW w:w="1559" w:type="dxa"/>
          </w:tcPr>
          <w:p w:rsidR="001603AF" w:rsidRPr="001603AF" w:rsidRDefault="001603AF" w:rsidP="00B658ED">
            <w:pPr>
              <w:ind w:left="34" w:right="33"/>
            </w:pPr>
            <w:r w:rsidRPr="001603AF">
              <w:t>42%</w:t>
            </w:r>
          </w:p>
        </w:tc>
        <w:tc>
          <w:tcPr>
            <w:tcW w:w="1843" w:type="dxa"/>
          </w:tcPr>
          <w:p w:rsidR="001603AF" w:rsidRPr="001603AF" w:rsidRDefault="001603AF" w:rsidP="00B658ED">
            <w:pPr>
              <w:ind w:left="34" w:right="34"/>
            </w:pPr>
            <w:r w:rsidRPr="001603AF">
              <w:t>51</w:t>
            </w:r>
          </w:p>
        </w:tc>
        <w:tc>
          <w:tcPr>
            <w:tcW w:w="2126" w:type="dxa"/>
          </w:tcPr>
          <w:p w:rsidR="001603AF" w:rsidRPr="001603AF" w:rsidRDefault="001603AF" w:rsidP="00B658ED">
            <w:pPr>
              <w:ind w:left="34" w:right="33"/>
            </w:pPr>
            <w:r w:rsidRPr="001603AF">
              <w:t>3 / 11</w:t>
            </w:r>
          </w:p>
          <w:p w:rsidR="001603AF" w:rsidRPr="001603AF" w:rsidRDefault="001603AF" w:rsidP="00B658ED">
            <w:pPr>
              <w:ind w:left="34" w:right="33"/>
            </w:pPr>
            <w:r w:rsidRPr="001603AF">
              <w:t>(</w:t>
            </w:r>
            <w:r w:rsidRPr="00B658ED">
              <w:rPr>
                <w:b/>
              </w:rPr>
              <w:t>14</w:t>
            </w:r>
            <w:r w:rsidRPr="001603AF">
              <w:t>)</w:t>
            </w:r>
          </w:p>
        </w:tc>
        <w:tc>
          <w:tcPr>
            <w:tcW w:w="1808" w:type="dxa"/>
          </w:tcPr>
          <w:p w:rsidR="001603AF" w:rsidRPr="001603AF" w:rsidRDefault="001603AF" w:rsidP="00B658ED">
            <w:pPr>
              <w:ind w:left="34" w:right="0"/>
            </w:pPr>
            <w:r w:rsidRPr="001603AF">
              <w:t>1st -line 43%</w:t>
            </w:r>
          </w:p>
          <w:p w:rsidR="001603AF" w:rsidRPr="001603AF" w:rsidRDefault="001603AF" w:rsidP="00B658ED">
            <w:pPr>
              <w:ind w:left="34" w:right="0"/>
            </w:pPr>
            <w:r w:rsidRPr="001603AF">
              <w:t>2nd line 29%</w:t>
            </w:r>
          </w:p>
          <w:p w:rsidR="001603AF" w:rsidRPr="001603AF" w:rsidRDefault="001603AF" w:rsidP="00B658ED">
            <w:pPr>
              <w:ind w:left="34" w:right="0"/>
            </w:pPr>
            <w:r w:rsidRPr="001603AF">
              <w:t>≥3rd line 28%</w:t>
            </w:r>
          </w:p>
        </w:tc>
      </w:tr>
      <w:tr w:rsidR="001603AF" w:rsidRPr="001603AF" w:rsidTr="00B658ED">
        <w:tc>
          <w:tcPr>
            <w:tcW w:w="1384" w:type="dxa"/>
          </w:tcPr>
          <w:p w:rsidR="001603AF" w:rsidRPr="001603AF" w:rsidRDefault="001603AF" w:rsidP="00B658ED">
            <w:pPr>
              <w:ind w:left="0" w:right="34"/>
            </w:pPr>
            <w:r w:rsidRPr="001603AF">
              <w:lastRenderedPageBreak/>
              <w:t>4</w:t>
            </w:r>
          </w:p>
        </w:tc>
        <w:tc>
          <w:tcPr>
            <w:tcW w:w="1559" w:type="dxa"/>
          </w:tcPr>
          <w:p w:rsidR="001603AF" w:rsidRPr="001603AF" w:rsidRDefault="001603AF" w:rsidP="00B658ED">
            <w:pPr>
              <w:ind w:left="34" w:right="33"/>
            </w:pPr>
            <w:r w:rsidRPr="001603AF">
              <w:t>29%</w:t>
            </w:r>
          </w:p>
        </w:tc>
        <w:tc>
          <w:tcPr>
            <w:tcW w:w="1843" w:type="dxa"/>
          </w:tcPr>
          <w:p w:rsidR="001603AF" w:rsidRPr="001603AF" w:rsidRDefault="001603AF" w:rsidP="00B658ED">
            <w:pPr>
              <w:ind w:left="34" w:right="34"/>
            </w:pPr>
            <w:r w:rsidRPr="001603AF">
              <w:t>52</w:t>
            </w:r>
          </w:p>
        </w:tc>
        <w:tc>
          <w:tcPr>
            <w:tcW w:w="2126" w:type="dxa"/>
          </w:tcPr>
          <w:p w:rsidR="001603AF" w:rsidRPr="001603AF" w:rsidRDefault="001603AF" w:rsidP="00B658ED">
            <w:pPr>
              <w:ind w:left="34" w:right="33"/>
            </w:pPr>
            <w:r w:rsidRPr="001603AF">
              <w:t>5 / 23</w:t>
            </w:r>
          </w:p>
          <w:p w:rsidR="001603AF" w:rsidRPr="001603AF" w:rsidRDefault="001603AF" w:rsidP="00B658ED">
            <w:pPr>
              <w:ind w:left="34" w:right="33"/>
            </w:pPr>
            <w:r w:rsidRPr="001603AF">
              <w:t>(</w:t>
            </w:r>
            <w:r w:rsidRPr="00B658ED">
              <w:rPr>
                <w:b/>
              </w:rPr>
              <w:t>28</w:t>
            </w:r>
            <w:r w:rsidRPr="001603AF">
              <w:t>)</w:t>
            </w:r>
          </w:p>
        </w:tc>
        <w:tc>
          <w:tcPr>
            <w:tcW w:w="1808" w:type="dxa"/>
            <w:vAlign w:val="bottom"/>
          </w:tcPr>
          <w:p w:rsidR="001603AF" w:rsidRPr="001603AF" w:rsidRDefault="001603AF" w:rsidP="00B658ED">
            <w:pPr>
              <w:ind w:left="34" w:right="0"/>
            </w:pPr>
            <w:r w:rsidRPr="001603AF">
              <w:t>NR</w:t>
            </w:r>
          </w:p>
        </w:tc>
      </w:tr>
      <w:tr w:rsidR="001603AF" w:rsidRPr="001603AF" w:rsidTr="00A00D87">
        <w:tc>
          <w:tcPr>
            <w:tcW w:w="1384" w:type="dxa"/>
          </w:tcPr>
          <w:p w:rsidR="001603AF" w:rsidRPr="001603AF" w:rsidRDefault="001603AF" w:rsidP="00B658ED">
            <w:pPr>
              <w:ind w:left="0" w:right="34"/>
            </w:pPr>
          </w:p>
        </w:tc>
        <w:tc>
          <w:tcPr>
            <w:tcW w:w="1559" w:type="dxa"/>
          </w:tcPr>
          <w:p w:rsidR="001603AF" w:rsidRPr="001603AF" w:rsidRDefault="001603AF" w:rsidP="00B658ED">
            <w:pPr>
              <w:ind w:left="34" w:right="33"/>
            </w:pPr>
          </w:p>
        </w:tc>
        <w:tc>
          <w:tcPr>
            <w:tcW w:w="1843" w:type="dxa"/>
          </w:tcPr>
          <w:p w:rsidR="001603AF" w:rsidRPr="001603AF" w:rsidRDefault="001603AF" w:rsidP="00B658ED">
            <w:pPr>
              <w:ind w:left="34" w:right="34"/>
            </w:pPr>
          </w:p>
        </w:tc>
        <w:tc>
          <w:tcPr>
            <w:tcW w:w="2126" w:type="dxa"/>
          </w:tcPr>
          <w:p w:rsidR="001603AF" w:rsidRPr="00B658ED" w:rsidRDefault="001603AF" w:rsidP="00B658ED">
            <w:pPr>
              <w:ind w:left="34" w:right="33"/>
              <w:rPr>
                <w:b/>
              </w:rPr>
            </w:pPr>
            <w:r w:rsidRPr="00B658ED">
              <w:rPr>
                <w:b/>
              </w:rPr>
              <w:t>95</w:t>
            </w:r>
          </w:p>
        </w:tc>
        <w:tc>
          <w:tcPr>
            <w:tcW w:w="1808" w:type="dxa"/>
          </w:tcPr>
          <w:p w:rsidR="001603AF" w:rsidRPr="001603AF" w:rsidRDefault="001603AF" w:rsidP="00B658ED">
            <w:pPr>
              <w:ind w:left="34" w:right="0"/>
            </w:pPr>
          </w:p>
        </w:tc>
      </w:tr>
    </w:tbl>
    <w:p w:rsidR="001603AF" w:rsidRPr="001603AF" w:rsidRDefault="001603AF" w:rsidP="00B658ED">
      <w:pPr>
        <w:pStyle w:val="TableDescription"/>
      </w:pPr>
      <w:r w:rsidRPr="001603AF">
        <w:t xml:space="preserve">AA: </w:t>
      </w:r>
      <w:proofErr w:type="spellStart"/>
      <w:r w:rsidRPr="001603AF">
        <w:t>Anaplastic</w:t>
      </w:r>
      <w:proofErr w:type="spellEnd"/>
      <w:r w:rsidRPr="001603AF">
        <w:t xml:space="preserve"> </w:t>
      </w:r>
      <w:proofErr w:type="spellStart"/>
      <w:r w:rsidRPr="001603AF">
        <w:t>Astrocytoma</w:t>
      </w:r>
      <w:proofErr w:type="spellEnd"/>
      <w:r w:rsidRPr="001603AF">
        <w:t xml:space="preserve">, AO: </w:t>
      </w:r>
      <w:proofErr w:type="spellStart"/>
      <w:r w:rsidRPr="001603AF">
        <w:t>Anaplastic</w:t>
      </w:r>
      <w:proofErr w:type="spellEnd"/>
      <w:r w:rsidRPr="001603AF">
        <w:t xml:space="preserve"> </w:t>
      </w:r>
      <w:proofErr w:type="spellStart"/>
      <w:r w:rsidRPr="001603AF">
        <w:t>Oligoastrocytoma</w:t>
      </w:r>
      <w:proofErr w:type="spellEnd"/>
    </w:p>
    <w:p w:rsidR="001603AF" w:rsidRPr="001603AF" w:rsidRDefault="001603AF" w:rsidP="00B658ED">
      <w:r w:rsidRPr="001603AF">
        <w:t>The response rate ranged from 15% to 79% (Table 12). The lower response rate in group 2 may be because the patients in Group 2 had considerably more pre-treatments than the other groups. The CR rate was 4%. The overall pooled response rate for patient groups 1-3 was 52%. Stable disease was r</w:t>
      </w:r>
      <w:r w:rsidR="00B658ED">
        <w:t>eported in 75% of the patients.</w:t>
      </w:r>
    </w:p>
    <w:p w:rsidR="001603AF" w:rsidRPr="001603AF" w:rsidRDefault="001603AF" w:rsidP="00B658ED">
      <w:r w:rsidRPr="001603AF">
        <w:t>The 6-month PFS for patient gr</w:t>
      </w:r>
      <w:r w:rsidR="00B658ED">
        <w:t>oups 1-3 ranged from 33% - 79%.</w:t>
      </w:r>
    </w:p>
    <w:p w:rsidR="001603AF" w:rsidRPr="001603AF" w:rsidRDefault="001603AF" w:rsidP="00B658ED">
      <w:r w:rsidRPr="001603AF">
        <w:t>For response rates and 6-month PFS, the poorer results were in the heavily pre-treated patient group (group 2) and the best results were in the least heavily pre-treated population (patient group 3).</w:t>
      </w:r>
    </w:p>
    <w:p w:rsidR="001603AF" w:rsidRPr="001603AF" w:rsidRDefault="001603AF" w:rsidP="00B658ED">
      <w:r w:rsidRPr="001603AF">
        <w:t>The range of 12-month OS for the patient groups 1 to 3 was 45% to 78%.</w:t>
      </w:r>
    </w:p>
    <w:p w:rsidR="001603AF" w:rsidRPr="001603AF" w:rsidRDefault="001603AF" w:rsidP="00B658ED">
      <w:r w:rsidRPr="001603AF">
        <w:rPr>
          <w:i/>
        </w:rPr>
        <w:t xml:space="preserve">Conclusion: </w:t>
      </w:r>
      <w:r w:rsidRPr="001603AF">
        <w:t xml:space="preserve">Treatment with a combination of </w:t>
      </w:r>
      <w:proofErr w:type="spellStart"/>
      <w:r w:rsidRPr="001603AF">
        <w:t>bevacizumab</w:t>
      </w:r>
      <w:proofErr w:type="spellEnd"/>
      <w:r w:rsidRPr="001603AF">
        <w:t xml:space="preserve"> and </w:t>
      </w:r>
      <w:proofErr w:type="spellStart"/>
      <w:r w:rsidRPr="001603AF">
        <w:t>irinotecan</w:t>
      </w:r>
      <w:proofErr w:type="spellEnd"/>
      <w:r w:rsidRPr="001603AF">
        <w:t xml:space="preserve"> in 95 patients with Grade III </w:t>
      </w:r>
      <w:proofErr w:type="spellStart"/>
      <w:r w:rsidRPr="001603AF">
        <w:t>glioma</w:t>
      </w:r>
      <w:proofErr w:type="spellEnd"/>
      <w:r w:rsidRPr="001603AF">
        <w:t xml:space="preserve"> showed a response rate and 6-month PFS that was higher than in historical controls (Wong et al 1999).</w:t>
      </w:r>
    </w:p>
    <w:p w:rsidR="001603AF" w:rsidRPr="001603AF" w:rsidRDefault="001603AF" w:rsidP="00B658ED">
      <w:pPr>
        <w:pStyle w:val="TableTitle"/>
      </w:pPr>
      <w:r w:rsidRPr="001603AF">
        <w:t>Table 12 Summary of response data for Patient Groups 1-4 (</w:t>
      </w:r>
      <w:proofErr w:type="spellStart"/>
      <w:r w:rsidRPr="001603AF">
        <w:t>bevacizumab</w:t>
      </w:r>
      <w:proofErr w:type="spellEnd"/>
      <w:r w:rsidRPr="001603AF">
        <w:t xml:space="preserve"> +</w:t>
      </w:r>
      <w:proofErr w:type="spellStart"/>
      <w:r w:rsidRPr="001603AF">
        <w:t>irinotecan</w:t>
      </w:r>
      <w:proofErr w:type="spellEnd"/>
      <w:r w:rsidRPr="001603AF">
        <w:t>)</w:t>
      </w:r>
    </w:p>
    <w:tbl>
      <w:tblPr>
        <w:tblStyle w:val="TableTGAblue"/>
        <w:tblW w:w="0" w:type="auto"/>
        <w:tblLayout w:type="fixed"/>
        <w:tblLook w:val="04A0"/>
      </w:tblPr>
      <w:tblGrid>
        <w:gridCol w:w="1154"/>
        <w:gridCol w:w="1364"/>
        <w:gridCol w:w="1447"/>
        <w:gridCol w:w="1519"/>
        <w:gridCol w:w="11"/>
        <w:gridCol w:w="1701"/>
        <w:gridCol w:w="33"/>
        <w:gridCol w:w="1491"/>
      </w:tblGrid>
      <w:tr w:rsidR="001603AF" w:rsidRPr="001603AF" w:rsidTr="00B658ED">
        <w:trPr>
          <w:cnfStyle w:val="100000000000"/>
          <w:tblHeader/>
        </w:trPr>
        <w:tc>
          <w:tcPr>
            <w:tcW w:w="1154" w:type="dxa"/>
            <w:vMerge w:val="restart"/>
          </w:tcPr>
          <w:p w:rsidR="001603AF" w:rsidRPr="001603AF" w:rsidRDefault="001603AF" w:rsidP="00B658ED">
            <w:pPr>
              <w:ind w:left="0" w:right="0"/>
            </w:pPr>
            <w:r w:rsidRPr="001603AF">
              <w:t>Pt group</w:t>
            </w:r>
          </w:p>
        </w:tc>
        <w:tc>
          <w:tcPr>
            <w:tcW w:w="2811" w:type="dxa"/>
            <w:gridSpan w:val="2"/>
          </w:tcPr>
          <w:p w:rsidR="001603AF" w:rsidRPr="001603AF" w:rsidRDefault="001603AF" w:rsidP="00B658ED">
            <w:pPr>
              <w:ind w:left="0" w:right="0"/>
            </w:pPr>
            <w:r w:rsidRPr="001603AF">
              <w:t>Number</w:t>
            </w:r>
          </w:p>
        </w:tc>
        <w:tc>
          <w:tcPr>
            <w:tcW w:w="4755" w:type="dxa"/>
            <w:gridSpan w:val="5"/>
          </w:tcPr>
          <w:p w:rsidR="001603AF" w:rsidRPr="001603AF" w:rsidRDefault="001603AF" w:rsidP="00B658ED">
            <w:pPr>
              <w:ind w:left="34" w:right="63"/>
            </w:pPr>
            <w:r w:rsidRPr="001603AF">
              <w:t>Response Rates</w:t>
            </w:r>
          </w:p>
        </w:tc>
      </w:tr>
      <w:tr w:rsidR="001603AF" w:rsidRPr="001603AF" w:rsidTr="00B658ED">
        <w:trPr>
          <w:cnfStyle w:val="100000000000"/>
          <w:tblHeader/>
        </w:trPr>
        <w:tc>
          <w:tcPr>
            <w:tcW w:w="1154" w:type="dxa"/>
            <w:vMerge/>
          </w:tcPr>
          <w:p w:rsidR="001603AF" w:rsidRPr="001603AF" w:rsidRDefault="001603AF" w:rsidP="00B658ED">
            <w:pPr>
              <w:ind w:left="0" w:right="0"/>
            </w:pPr>
          </w:p>
        </w:tc>
        <w:tc>
          <w:tcPr>
            <w:tcW w:w="1364" w:type="dxa"/>
          </w:tcPr>
          <w:p w:rsidR="001603AF" w:rsidRPr="001603AF" w:rsidRDefault="001603AF" w:rsidP="00B658ED">
            <w:pPr>
              <w:ind w:left="0" w:right="0"/>
            </w:pPr>
            <w:r w:rsidRPr="001603AF">
              <w:t>n (all)</w:t>
            </w:r>
          </w:p>
        </w:tc>
        <w:tc>
          <w:tcPr>
            <w:tcW w:w="1447" w:type="dxa"/>
          </w:tcPr>
          <w:p w:rsidR="001603AF" w:rsidRPr="001603AF" w:rsidRDefault="001603AF" w:rsidP="00B658ED">
            <w:pPr>
              <w:ind w:left="0" w:right="0"/>
            </w:pPr>
            <w:r w:rsidRPr="001603AF">
              <w:t xml:space="preserve">Grade III </w:t>
            </w:r>
          </w:p>
          <w:p w:rsidR="001603AF" w:rsidRPr="001603AF" w:rsidRDefault="001603AF" w:rsidP="00B658ED">
            <w:pPr>
              <w:ind w:left="0" w:right="0"/>
              <w:rPr>
                <w:b w:val="0"/>
              </w:rPr>
            </w:pPr>
            <w:r w:rsidRPr="001603AF">
              <w:t>n (%)</w:t>
            </w:r>
          </w:p>
        </w:tc>
        <w:tc>
          <w:tcPr>
            <w:tcW w:w="1530" w:type="dxa"/>
            <w:gridSpan w:val="2"/>
          </w:tcPr>
          <w:p w:rsidR="001603AF" w:rsidRPr="001603AF" w:rsidRDefault="001603AF" w:rsidP="00B658ED">
            <w:pPr>
              <w:ind w:left="34" w:right="63"/>
            </w:pPr>
            <w:r w:rsidRPr="001603AF">
              <w:t>CR</w:t>
            </w:r>
          </w:p>
        </w:tc>
        <w:tc>
          <w:tcPr>
            <w:tcW w:w="1701" w:type="dxa"/>
          </w:tcPr>
          <w:p w:rsidR="001603AF" w:rsidRPr="001603AF" w:rsidRDefault="001603AF" w:rsidP="00B658ED">
            <w:pPr>
              <w:ind w:left="34" w:right="63"/>
            </w:pPr>
            <w:r w:rsidRPr="001603AF">
              <w:t>PR</w:t>
            </w:r>
          </w:p>
          <w:p w:rsidR="001603AF" w:rsidRPr="001603AF" w:rsidRDefault="001603AF" w:rsidP="00B658ED">
            <w:pPr>
              <w:ind w:left="34" w:right="63"/>
            </w:pPr>
            <w:r w:rsidRPr="001603AF">
              <w:t>SD</w:t>
            </w:r>
          </w:p>
          <w:p w:rsidR="001603AF" w:rsidRPr="001603AF" w:rsidRDefault="001603AF" w:rsidP="00B658ED">
            <w:pPr>
              <w:ind w:left="34" w:right="63"/>
            </w:pPr>
            <w:r w:rsidRPr="001603AF">
              <w:t>PD</w:t>
            </w:r>
          </w:p>
        </w:tc>
        <w:tc>
          <w:tcPr>
            <w:tcW w:w="1524" w:type="dxa"/>
            <w:gridSpan w:val="2"/>
          </w:tcPr>
          <w:p w:rsidR="001603AF" w:rsidRPr="001603AF" w:rsidRDefault="001603AF" w:rsidP="00B658ED">
            <w:pPr>
              <w:ind w:left="34" w:right="63"/>
            </w:pPr>
            <w:r w:rsidRPr="001603AF">
              <w:t>ORR CR+PR</w:t>
            </w:r>
          </w:p>
        </w:tc>
      </w:tr>
      <w:tr w:rsidR="001603AF" w:rsidRPr="001603AF" w:rsidTr="00B658ED">
        <w:tc>
          <w:tcPr>
            <w:tcW w:w="1154" w:type="dxa"/>
          </w:tcPr>
          <w:p w:rsidR="001603AF" w:rsidRPr="00B658ED" w:rsidRDefault="001603AF" w:rsidP="00B658ED">
            <w:pPr>
              <w:ind w:left="0" w:right="0"/>
              <w:rPr>
                <w:b/>
              </w:rPr>
            </w:pPr>
            <w:r w:rsidRPr="00B658ED">
              <w:rPr>
                <w:b/>
              </w:rPr>
              <w:t>1</w:t>
            </w:r>
          </w:p>
        </w:tc>
        <w:tc>
          <w:tcPr>
            <w:tcW w:w="1364" w:type="dxa"/>
          </w:tcPr>
          <w:p w:rsidR="001603AF" w:rsidRPr="001603AF" w:rsidRDefault="001603AF" w:rsidP="00B658ED">
            <w:pPr>
              <w:ind w:left="0" w:right="0"/>
            </w:pPr>
            <w:r w:rsidRPr="001603AF">
              <w:t>33</w:t>
            </w:r>
          </w:p>
        </w:tc>
        <w:tc>
          <w:tcPr>
            <w:tcW w:w="1447" w:type="dxa"/>
          </w:tcPr>
          <w:p w:rsidR="001603AF" w:rsidRPr="001603AF" w:rsidRDefault="001603AF" w:rsidP="00B658ED">
            <w:pPr>
              <w:ind w:left="0" w:right="0"/>
            </w:pPr>
            <w:r w:rsidRPr="00B658ED">
              <w:rPr>
                <w:b/>
              </w:rPr>
              <w:t>33</w:t>
            </w:r>
            <w:r w:rsidRPr="001603AF">
              <w:t xml:space="preserve"> (100%)</w:t>
            </w:r>
          </w:p>
        </w:tc>
        <w:tc>
          <w:tcPr>
            <w:tcW w:w="1530" w:type="dxa"/>
            <w:gridSpan w:val="2"/>
          </w:tcPr>
          <w:p w:rsidR="001603AF" w:rsidRPr="001603AF" w:rsidRDefault="001603AF" w:rsidP="00B658ED">
            <w:pPr>
              <w:ind w:left="34" w:right="63"/>
            </w:pPr>
            <w:r w:rsidRPr="001603AF">
              <w:t>3/33</w:t>
            </w:r>
          </w:p>
        </w:tc>
        <w:tc>
          <w:tcPr>
            <w:tcW w:w="1701" w:type="dxa"/>
          </w:tcPr>
          <w:p w:rsidR="001603AF" w:rsidRPr="001603AF" w:rsidRDefault="001603AF" w:rsidP="00B658ED">
            <w:pPr>
              <w:ind w:left="34" w:right="63"/>
            </w:pPr>
            <w:r w:rsidRPr="001603AF">
              <w:t>PR 17/33</w:t>
            </w:r>
          </w:p>
          <w:p w:rsidR="001603AF" w:rsidRPr="001603AF" w:rsidRDefault="001603AF" w:rsidP="00B658ED">
            <w:pPr>
              <w:ind w:left="34" w:right="63"/>
            </w:pPr>
            <w:r w:rsidRPr="001603AF">
              <w:t>SD11/33</w:t>
            </w:r>
          </w:p>
          <w:p w:rsidR="001603AF" w:rsidRPr="001603AF" w:rsidRDefault="001603AF" w:rsidP="00B658ED">
            <w:pPr>
              <w:ind w:left="34" w:right="63"/>
            </w:pPr>
            <w:r w:rsidRPr="001603AF">
              <w:t>PD 2/33</w:t>
            </w:r>
          </w:p>
        </w:tc>
        <w:tc>
          <w:tcPr>
            <w:tcW w:w="1524" w:type="dxa"/>
            <w:gridSpan w:val="2"/>
          </w:tcPr>
          <w:p w:rsidR="001603AF" w:rsidRPr="001603AF" w:rsidRDefault="001603AF" w:rsidP="00B658ED">
            <w:pPr>
              <w:ind w:left="34" w:right="63"/>
            </w:pPr>
            <w:r w:rsidRPr="001603AF">
              <w:t>61%</w:t>
            </w:r>
          </w:p>
        </w:tc>
      </w:tr>
      <w:tr w:rsidR="001603AF" w:rsidRPr="001603AF" w:rsidTr="00B658ED">
        <w:tc>
          <w:tcPr>
            <w:tcW w:w="1154" w:type="dxa"/>
          </w:tcPr>
          <w:p w:rsidR="001603AF" w:rsidRPr="00B658ED" w:rsidRDefault="001603AF" w:rsidP="00B658ED">
            <w:pPr>
              <w:ind w:left="0" w:right="0"/>
              <w:rPr>
                <w:b/>
              </w:rPr>
            </w:pPr>
            <w:r w:rsidRPr="00B658ED">
              <w:rPr>
                <w:b/>
              </w:rPr>
              <w:t>2</w:t>
            </w:r>
          </w:p>
        </w:tc>
        <w:tc>
          <w:tcPr>
            <w:tcW w:w="1364" w:type="dxa"/>
          </w:tcPr>
          <w:p w:rsidR="001603AF" w:rsidRPr="001603AF" w:rsidRDefault="001603AF" w:rsidP="00B658ED">
            <w:pPr>
              <w:ind w:left="0" w:right="0"/>
            </w:pPr>
            <w:r w:rsidRPr="001603AF">
              <w:t>52</w:t>
            </w:r>
          </w:p>
        </w:tc>
        <w:tc>
          <w:tcPr>
            <w:tcW w:w="1447" w:type="dxa"/>
          </w:tcPr>
          <w:p w:rsidR="001603AF" w:rsidRPr="001603AF" w:rsidRDefault="001603AF" w:rsidP="00B658ED">
            <w:pPr>
              <w:ind w:left="0" w:right="0"/>
            </w:pPr>
            <w:r w:rsidRPr="00B658ED">
              <w:rPr>
                <w:b/>
              </w:rPr>
              <w:t>20</w:t>
            </w:r>
            <w:r w:rsidRPr="001603AF">
              <w:t xml:space="preserve"> (38%)</w:t>
            </w:r>
          </w:p>
        </w:tc>
        <w:tc>
          <w:tcPr>
            <w:tcW w:w="1530" w:type="dxa"/>
            <w:gridSpan w:val="2"/>
          </w:tcPr>
          <w:p w:rsidR="001603AF" w:rsidRPr="001603AF" w:rsidRDefault="001603AF" w:rsidP="00B658ED">
            <w:pPr>
              <w:ind w:left="34" w:right="63"/>
            </w:pPr>
            <w:r w:rsidRPr="001603AF">
              <w:t>1/20</w:t>
            </w:r>
          </w:p>
        </w:tc>
        <w:tc>
          <w:tcPr>
            <w:tcW w:w="1701" w:type="dxa"/>
          </w:tcPr>
          <w:p w:rsidR="001603AF" w:rsidRPr="001603AF" w:rsidRDefault="001603AF" w:rsidP="00B658ED">
            <w:pPr>
              <w:ind w:left="34" w:right="63"/>
            </w:pPr>
            <w:r w:rsidRPr="001603AF">
              <w:t>PR  3/20</w:t>
            </w:r>
          </w:p>
          <w:p w:rsidR="001603AF" w:rsidRPr="001603AF" w:rsidRDefault="001603AF" w:rsidP="00B658ED">
            <w:pPr>
              <w:ind w:left="34" w:right="63"/>
            </w:pPr>
            <w:r w:rsidRPr="001603AF">
              <w:t>SD15/20</w:t>
            </w:r>
          </w:p>
          <w:p w:rsidR="001603AF" w:rsidRPr="001603AF" w:rsidRDefault="001603AF" w:rsidP="00B658ED">
            <w:pPr>
              <w:ind w:left="34" w:right="63"/>
            </w:pPr>
            <w:r w:rsidRPr="001603AF">
              <w:t>PD  1/20</w:t>
            </w:r>
          </w:p>
        </w:tc>
        <w:tc>
          <w:tcPr>
            <w:tcW w:w="1524" w:type="dxa"/>
            <w:gridSpan w:val="2"/>
          </w:tcPr>
          <w:p w:rsidR="001603AF" w:rsidRPr="001603AF" w:rsidRDefault="001603AF" w:rsidP="00B658ED">
            <w:pPr>
              <w:ind w:left="34" w:right="63"/>
            </w:pPr>
            <w:r w:rsidRPr="001603AF">
              <w:t>15%</w:t>
            </w:r>
          </w:p>
        </w:tc>
      </w:tr>
      <w:tr w:rsidR="001603AF" w:rsidRPr="001603AF" w:rsidTr="00B658ED">
        <w:tc>
          <w:tcPr>
            <w:tcW w:w="1154" w:type="dxa"/>
          </w:tcPr>
          <w:p w:rsidR="001603AF" w:rsidRPr="001603AF" w:rsidRDefault="001603AF" w:rsidP="00B658ED">
            <w:pPr>
              <w:ind w:left="0" w:right="0"/>
            </w:pPr>
            <w:r w:rsidRPr="001603AF">
              <w:t>3</w:t>
            </w:r>
          </w:p>
        </w:tc>
        <w:tc>
          <w:tcPr>
            <w:tcW w:w="1364" w:type="dxa"/>
          </w:tcPr>
          <w:p w:rsidR="001603AF" w:rsidRPr="001603AF" w:rsidRDefault="001603AF" w:rsidP="00B658ED">
            <w:pPr>
              <w:ind w:left="0" w:right="0"/>
            </w:pPr>
            <w:r w:rsidRPr="001603AF">
              <w:t>51</w:t>
            </w:r>
          </w:p>
        </w:tc>
        <w:tc>
          <w:tcPr>
            <w:tcW w:w="1447" w:type="dxa"/>
          </w:tcPr>
          <w:p w:rsidR="001603AF" w:rsidRPr="001603AF" w:rsidRDefault="001603AF" w:rsidP="00B658ED">
            <w:pPr>
              <w:ind w:left="0" w:right="0"/>
            </w:pPr>
            <w:r w:rsidRPr="00B658ED">
              <w:rPr>
                <w:b/>
              </w:rPr>
              <w:t>14</w:t>
            </w:r>
            <w:r w:rsidRPr="001603AF">
              <w:t xml:space="preserve"> (27%)</w:t>
            </w:r>
          </w:p>
        </w:tc>
        <w:tc>
          <w:tcPr>
            <w:tcW w:w="1530" w:type="dxa"/>
            <w:gridSpan w:val="2"/>
          </w:tcPr>
          <w:p w:rsidR="001603AF" w:rsidRPr="001603AF" w:rsidRDefault="001603AF" w:rsidP="00B658ED">
            <w:pPr>
              <w:ind w:left="34" w:right="63"/>
            </w:pPr>
            <w:r w:rsidRPr="001603AF">
              <w:t>2/14</w:t>
            </w:r>
          </w:p>
        </w:tc>
        <w:tc>
          <w:tcPr>
            <w:tcW w:w="1701" w:type="dxa"/>
          </w:tcPr>
          <w:p w:rsidR="001603AF" w:rsidRPr="001603AF" w:rsidRDefault="001603AF" w:rsidP="00B658ED">
            <w:pPr>
              <w:ind w:left="34" w:right="63"/>
            </w:pPr>
            <w:r w:rsidRPr="001603AF">
              <w:t>PR 9/14</w:t>
            </w:r>
          </w:p>
          <w:p w:rsidR="001603AF" w:rsidRPr="001603AF" w:rsidRDefault="001603AF" w:rsidP="00B658ED">
            <w:pPr>
              <w:ind w:left="34" w:right="63"/>
            </w:pPr>
            <w:r w:rsidRPr="001603AF">
              <w:t>SD 3/14</w:t>
            </w:r>
          </w:p>
          <w:p w:rsidR="001603AF" w:rsidRPr="001603AF" w:rsidRDefault="001603AF" w:rsidP="00B658ED">
            <w:pPr>
              <w:ind w:left="34" w:right="63"/>
            </w:pPr>
            <w:r w:rsidRPr="001603AF">
              <w:t>PD 0/14</w:t>
            </w:r>
          </w:p>
        </w:tc>
        <w:tc>
          <w:tcPr>
            <w:tcW w:w="1524" w:type="dxa"/>
            <w:gridSpan w:val="2"/>
          </w:tcPr>
          <w:p w:rsidR="001603AF" w:rsidRPr="001603AF" w:rsidRDefault="001603AF" w:rsidP="00B658ED">
            <w:pPr>
              <w:ind w:left="34" w:right="63"/>
            </w:pPr>
            <w:r w:rsidRPr="001603AF">
              <w:t>79%</w:t>
            </w:r>
          </w:p>
        </w:tc>
      </w:tr>
      <w:tr w:rsidR="001603AF" w:rsidRPr="001603AF" w:rsidTr="00B658ED">
        <w:tc>
          <w:tcPr>
            <w:tcW w:w="1154" w:type="dxa"/>
          </w:tcPr>
          <w:p w:rsidR="001603AF" w:rsidRPr="00B658ED" w:rsidRDefault="001603AF" w:rsidP="00B658ED">
            <w:pPr>
              <w:ind w:left="0" w:right="0"/>
              <w:rPr>
                <w:b/>
              </w:rPr>
            </w:pPr>
            <w:r w:rsidRPr="00B658ED">
              <w:rPr>
                <w:b/>
              </w:rPr>
              <w:t>4</w:t>
            </w:r>
          </w:p>
        </w:tc>
        <w:tc>
          <w:tcPr>
            <w:tcW w:w="1364" w:type="dxa"/>
          </w:tcPr>
          <w:p w:rsidR="001603AF" w:rsidRPr="001603AF" w:rsidRDefault="001603AF" w:rsidP="00B658ED">
            <w:pPr>
              <w:ind w:left="0" w:right="0"/>
            </w:pPr>
            <w:r w:rsidRPr="001603AF">
              <w:t>77</w:t>
            </w:r>
          </w:p>
        </w:tc>
        <w:tc>
          <w:tcPr>
            <w:tcW w:w="1447" w:type="dxa"/>
          </w:tcPr>
          <w:p w:rsidR="001603AF" w:rsidRPr="001603AF" w:rsidRDefault="001603AF" w:rsidP="00B658ED">
            <w:pPr>
              <w:ind w:left="0" w:right="0"/>
            </w:pPr>
            <w:r w:rsidRPr="00B658ED">
              <w:rPr>
                <w:b/>
              </w:rPr>
              <w:t>28</w:t>
            </w:r>
            <w:r w:rsidRPr="001603AF">
              <w:t xml:space="preserve"> (36%)</w:t>
            </w:r>
          </w:p>
        </w:tc>
        <w:tc>
          <w:tcPr>
            <w:tcW w:w="4755" w:type="dxa"/>
            <w:gridSpan w:val="5"/>
          </w:tcPr>
          <w:p w:rsidR="001603AF" w:rsidRPr="001603AF" w:rsidRDefault="001603AF" w:rsidP="00B658ED">
            <w:pPr>
              <w:ind w:left="34" w:right="63"/>
            </w:pPr>
            <w:r w:rsidRPr="001603AF">
              <w:t>Grade III = 54%</w:t>
            </w:r>
          </w:p>
          <w:p w:rsidR="001603AF" w:rsidRPr="001603AF" w:rsidRDefault="001603AF" w:rsidP="00B658ED">
            <w:pPr>
              <w:ind w:left="34" w:right="63"/>
            </w:pPr>
            <w:r w:rsidRPr="001603AF">
              <w:t>Grade III &amp; IV = 36%</w:t>
            </w:r>
          </w:p>
          <w:p w:rsidR="001603AF" w:rsidRPr="001603AF" w:rsidRDefault="001603AF" w:rsidP="00B658ED">
            <w:pPr>
              <w:ind w:left="34" w:right="63"/>
            </w:pPr>
            <w:r w:rsidRPr="001603AF">
              <w:t>(At 2 months)</w:t>
            </w:r>
          </w:p>
        </w:tc>
      </w:tr>
      <w:tr w:rsidR="001603AF" w:rsidRPr="001603AF" w:rsidTr="00B658ED">
        <w:tc>
          <w:tcPr>
            <w:tcW w:w="1154" w:type="dxa"/>
          </w:tcPr>
          <w:p w:rsidR="001603AF" w:rsidRPr="001603AF" w:rsidRDefault="001603AF" w:rsidP="00B658ED">
            <w:pPr>
              <w:ind w:left="0" w:right="0"/>
            </w:pPr>
          </w:p>
        </w:tc>
        <w:tc>
          <w:tcPr>
            <w:tcW w:w="1364" w:type="dxa"/>
          </w:tcPr>
          <w:p w:rsidR="001603AF" w:rsidRPr="001603AF" w:rsidRDefault="001603AF" w:rsidP="00B658ED">
            <w:pPr>
              <w:ind w:left="0" w:right="0"/>
            </w:pPr>
          </w:p>
        </w:tc>
        <w:tc>
          <w:tcPr>
            <w:tcW w:w="1447" w:type="dxa"/>
          </w:tcPr>
          <w:p w:rsidR="001603AF" w:rsidRPr="00B658ED" w:rsidRDefault="001603AF" w:rsidP="00B658ED">
            <w:pPr>
              <w:ind w:left="0" w:right="0"/>
              <w:rPr>
                <w:b/>
              </w:rPr>
            </w:pPr>
            <w:r w:rsidRPr="00B658ED">
              <w:rPr>
                <w:b/>
              </w:rPr>
              <w:t>n = 95</w:t>
            </w:r>
          </w:p>
        </w:tc>
        <w:tc>
          <w:tcPr>
            <w:tcW w:w="1519" w:type="dxa"/>
          </w:tcPr>
          <w:p w:rsidR="001603AF" w:rsidRPr="001603AF" w:rsidRDefault="001603AF" w:rsidP="00B658ED">
            <w:pPr>
              <w:ind w:left="34" w:right="63"/>
            </w:pPr>
          </w:p>
        </w:tc>
        <w:tc>
          <w:tcPr>
            <w:tcW w:w="1745" w:type="dxa"/>
            <w:gridSpan w:val="3"/>
          </w:tcPr>
          <w:p w:rsidR="001603AF" w:rsidRPr="001603AF" w:rsidRDefault="001603AF" w:rsidP="00B658ED">
            <w:pPr>
              <w:ind w:left="34" w:right="63"/>
            </w:pPr>
          </w:p>
        </w:tc>
        <w:tc>
          <w:tcPr>
            <w:tcW w:w="1491" w:type="dxa"/>
          </w:tcPr>
          <w:p w:rsidR="001603AF" w:rsidRPr="001603AF" w:rsidRDefault="001603AF" w:rsidP="00B658ED">
            <w:pPr>
              <w:ind w:left="34" w:right="63"/>
            </w:pPr>
          </w:p>
        </w:tc>
      </w:tr>
    </w:tbl>
    <w:p w:rsidR="001603AF" w:rsidRPr="001603AF" w:rsidRDefault="001603AF" w:rsidP="00B658ED">
      <w:pPr>
        <w:pStyle w:val="Heading5"/>
      </w:pPr>
      <w:r w:rsidRPr="001603AF">
        <w:t xml:space="preserve">Pooled efficacy data for </w:t>
      </w:r>
      <w:r w:rsidR="00B658ED">
        <w:t>g</w:t>
      </w:r>
      <w:r w:rsidRPr="001603AF">
        <w:t>rades III and IV patients (</w:t>
      </w:r>
      <w:r w:rsidR="00B658ED">
        <w:t>p</w:t>
      </w:r>
      <w:r w:rsidRPr="001603AF">
        <w:t>atient groups 5-12)</w:t>
      </w:r>
    </w:p>
    <w:p w:rsidR="001603AF" w:rsidRPr="001603AF" w:rsidRDefault="001603AF" w:rsidP="00B658ED">
      <w:r w:rsidRPr="001603AF">
        <w:t xml:space="preserve">Patient groups 5–12 were studies of </w:t>
      </w:r>
      <w:proofErr w:type="spellStart"/>
      <w:r w:rsidRPr="001603AF">
        <w:t>bevacizumab</w:t>
      </w:r>
      <w:proofErr w:type="spellEnd"/>
      <w:r w:rsidRPr="001603AF">
        <w:t xml:space="preserve"> in combination with </w:t>
      </w:r>
      <w:proofErr w:type="spellStart"/>
      <w:r w:rsidRPr="001603AF">
        <w:t>irinotecan</w:t>
      </w:r>
      <w:proofErr w:type="spellEnd"/>
      <w:r w:rsidRPr="001603AF">
        <w:t xml:space="preserve">, where efficacy results were presented for a mixed population of Grade III and IV relapsed </w:t>
      </w:r>
      <w:proofErr w:type="spellStart"/>
      <w:r w:rsidRPr="001603AF">
        <w:t>glioma</w:t>
      </w:r>
      <w:proofErr w:type="spellEnd"/>
      <w:r w:rsidRPr="001603AF">
        <w:t xml:space="preserve"> patients. Patient groups 5-9 were from at least one full publication, while patient groups 10-12 were described in scientific congress abstract form, and were briefly summarised (Table 13).</w:t>
      </w:r>
    </w:p>
    <w:p w:rsidR="001603AF" w:rsidRPr="001603AF" w:rsidRDefault="001603AF" w:rsidP="00B658ED">
      <w:r w:rsidRPr="001603AF">
        <w:t>Grade III disease was present in 28% of the patients in this group. The patients, except for two patient groups, were 5-13 years older than the historic controls. They also had a higher median number of treatments than the controls.</w:t>
      </w:r>
    </w:p>
    <w:p w:rsidR="001603AF" w:rsidRPr="001603AF" w:rsidRDefault="001603AF" w:rsidP="00B658ED">
      <w:pPr>
        <w:pStyle w:val="TableTitle"/>
      </w:pPr>
      <w:r w:rsidRPr="001603AF">
        <w:t>Table 13 Demographics of Patient Groups 5-12</w:t>
      </w:r>
    </w:p>
    <w:tbl>
      <w:tblPr>
        <w:tblStyle w:val="TableTGAblue"/>
        <w:tblW w:w="0" w:type="auto"/>
        <w:tblLayout w:type="fixed"/>
        <w:tblLook w:val="04A0"/>
      </w:tblPr>
      <w:tblGrid>
        <w:gridCol w:w="1384"/>
        <w:gridCol w:w="1559"/>
        <w:gridCol w:w="1560"/>
        <w:gridCol w:w="2268"/>
        <w:gridCol w:w="1949"/>
      </w:tblGrid>
      <w:tr w:rsidR="001603AF" w:rsidRPr="001603AF" w:rsidTr="00367841">
        <w:trPr>
          <w:cnfStyle w:val="100000000000"/>
          <w:tblHeader/>
        </w:trPr>
        <w:tc>
          <w:tcPr>
            <w:tcW w:w="1384" w:type="dxa"/>
          </w:tcPr>
          <w:p w:rsidR="001603AF" w:rsidRPr="001603AF" w:rsidRDefault="001603AF" w:rsidP="00367841">
            <w:pPr>
              <w:ind w:left="0" w:right="34"/>
            </w:pPr>
            <w:r w:rsidRPr="001603AF">
              <w:t>Pt group (P or A)*</w:t>
            </w:r>
          </w:p>
        </w:tc>
        <w:tc>
          <w:tcPr>
            <w:tcW w:w="1559" w:type="dxa"/>
          </w:tcPr>
          <w:p w:rsidR="001603AF" w:rsidRPr="001603AF" w:rsidRDefault="001603AF" w:rsidP="00367841">
            <w:pPr>
              <w:ind w:left="34" w:right="33"/>
            </w:pPr>
            <w:r w:rsidRPr="001603AF">
              <w:t>KPS  &gt;80</w:t>
            </w:r>
          </w:p>
          <w:p w:rsidR="001603AF" w:rsidRPr="001603AF" w:rsidRDefault="001603AF" w:rsidP="00367841">
            <w:pPr>
              <w:ind w:left="34" w:right="33"/>
            </w:pPr>
            <w:r w:rsidRPr="001603AF">
              <w:t>(All patients)</w:t>
            </w:r>
          </w:p>
        </w:tc>
        <w:tc>
          <w:tcPr>
            <w:tcW w:w="1560" w:type="dxa"/>
          </w:tcPr>
          <w:p w:rsidR="001603AF" w:rsidRPr="001603AF" w:rsidRDefault="001603AF" w:rsidP="00367841">
            <w:pPr>
              <w:ind w:left="34" w:right="34"/>
            </w:pPr>
            <w:r w:rsidRPr="001603AF">
              <w:t>Median Age</w:t>
            </w:r>
          </w:p>
        </w:tc>
        <w:tc>
          <w:tcPr>
            <w:tcW w:w="2268" w:type="dxa"/>
          </w:tcPr>
          <w:p w:rsidR="001603AF" w:rsidRPr="001603AF" w:rsidRDefault="001603AF" w:rsidP="00367841">
            <w:pPr>
              <w:tabs>
                <w:tab w:val="left" w:pos="2018"/>
              </w:tabs>
              <w:ind w:left="33" w:right="34"/>
            </w:pPr>
            <w:r w:rsidRPr="001603AF">
              <w:t>Grade IV: Grade III</w:t>
            </w:r>
          </w:p>
          <w:p w:rsidR="001603AF" w:rsidRPr="001603AF" w:rsidRDefault="001603AF" w:rsidP="00367841">
            <w:pPr>
              <w:tabs>
                <w:tab w:val="left" w:pos="2018"/>
              </w:tabs>
              <w:ind w:left="33" w:right="34"/>
            </w:pPr>
            <w:r w:rsidRPr="001603AF">
              <w:t>(% Grade III)</w:t>
            </w:r>
          </w:p>
          <w:p w:rsidR="001603AF" w:rsidRPr="001603AF" w:rsidRDefault="001603AF" w:rsidP="00367841">
            <w:pPr>
              <w:tabs>
                <w:tab w:val="left" w:pos="2018"/>
              </w:tabs>
              <w:ind w:left="33" w:right="34"/>
            </w:pPr>
            <w:proofErr w:type="spellStart"/>
            <w:r w:rsidRPr="001603AF">
              <w:t>AA:AO+other</w:t>
            </w:r>
            <w:proofErr w:type="spellEnd"/>
          </w:p>
        </w:tc>
        <w:tc>
          <w:tcPr>
            <w:tcW w:w="1949" w:type="dxa"/>
          </w:tcPr>
          <w:p w:rsidR="001603AF" w:rsidRPr="001603AF" w:rsidRDefault="001603AF" w:rsidP="00367841">
            <w:pPr>
              <w:tabs>
                <w:tab w:val="left" w:pos="1733"/>
              </w:tabs>
              <w:ind w:left="33" w:right="0"/>
            </w:pPr>
            <w:r w:rsidRPr="001603AF">
              <w:t>Prior treatment of study population</w:t>
            </w:r>
          </w:p>
        </w:tc>
      </w:tr>
      <w:tr w:rsidR="001603AF" w:rsidRPr="001603AF" w:rsidTr="00367841">
        <w:tc>
          <w:tcPr>
            <w:tcW w:w="1384" w:type="dxa"/>
          </w:tcPr>
          <w:p w:rsidR="001603AF" w:rsidRPr="001603AF" w:rsidRDefault="001603AF" w:rsidP="00367841">
            <w:pPr>
              <w:ind w:left="0" w:right="34"/>
            </w:pPr>
            <w:r w:rsidRPr="001603AF">
              <w:t>5</w:t>
            </w:r>
          </w:p>
          <w:p w:rsidR="001603AF" w:rsidRPr="001603AF" w:rsidRDefault="001603AF" w:rsidP="00367841">
            <w:pPr>
              <w:ind w:left="0" w:right="34"/>
            </w:pPr>
            <w:r w:rsidRPr="001603AF">
              <w:t>(P)</w:t>
            </w:r>
          </w:p>
        </w:tc>
        <w:tc>
          <w:tcPr>
            <w:tcW w:w="1559" w:type="dxa"/>
          </w:tcPr>
          <w:p w:rsidR="001603AF" w:rsidRPr="001603AF" w:rsidRDefault="001603AF" w:rsidP="00367841">
            <w:pPr>
              <w:ind w:left="34" w:right="33"/>
            </w:pPr>
            <w:r w:rsidRPr="001603AF">
              <w:t>77</w:t>
            </w:r>
          </w:p>
        </w:tc>
        <w:tc>
          <w:tcPr>
            <w:tcW w:w="1560" w:type="dxa"/>
          </w:tcPr>
          <w:p w:rsidR="001603AF" w:rsidRPr="001603AF" w:rsidRDefault="001603AF" w:rsidP="00367841">
            <w:pPr>
              <w:ind w:left="34" w:right="34"/>
            </w:pPr>
            <w:r w:rsidRPr="001603AF">
              <w:t>56</w:t>
            </w:r>
          </w:p>
        </w:tc>
        <w:tc>
          <w:tcPr>
            <w:tcW w:w="2268" w:type="dxa"/>
          </w:tcPr>
          <w:p w:rsidR="001603AF" w:rsidRPr="001603AF" w:rsidRDefault="001603AF" w:rsidP="00367841">
            <w:pPr>
              <w:tabs>
                <w:tab w:val="left" w:pos="2018"/>
              </w:tabs>
              <w:ind w:left="33" w:right="34"/>
            </w:pPr>
            <w:r w:rsidRPr="001603AF">
              <w:t>37 : 24</w:t>
            </w:r>
          </w:p>
          <w:p w:rsidR="001603AF" w:rsidRPr="001603AF" w:rsidRDefault="001603AF" w:rsidP="00367841">
            <w:pPr>
              <w:tabs>
                <w:tab w:val="left" w:pos="2018"/>
              </w:tabs>
              <w:ind w:left="33" w:right="34"/>
            </w:pPr>
            <w:r w:rsidRPr="001603AF">
              <w:t>(</w:t>
            </w:r>
            <w:r w:rsidRPr="00367841">
              <w:rPr>
                <w:b/>
              </w:rPr>
              <w:t>40%</w:t>
            </w:r>
            <w:r w:rsidRPr="001603AF">
              <w:t>)</w:t>
            </w:r>
          </w:p>
          <w:p w:rsidR="001603AF" w:rsidRPr="001603AF" w:rsidRDefault="001603AF" w:rsidP="00367841">
            <w:pPr>
              <w:tabs>
                <w:tab w:val="left" w:pos="2018"/>
              </w:tabs>
              <w:ind w:left="33" w:right="34"/>
            </w:pPr>
            <w:r w:rsidRPr="001603AF">
              <w:t>NR</w:t>
            </w:r>
          </w:p>
        </w:tc>
        <w:tc>
          <w:tcPr>
            <w:tcW w:w="1949" w:type="dxa"/>
          </w:tcPr>
          <w:p w:rsidR="001603AF" w:rsidRPr="001603AF" w:rsidRDefault="001603AF" w:rsidP="00367841">
            <w:pPr>
              <w:tabs>
                <w:tab w:val="left" w:pos="1733"/>
              </w:tabs>
              <w:ind w:left="33" w:right="0"/>
            </w:pPr>
            <w:r w:rsidRPr="001603AF">
              <w:t>Mean of 2 prior regimens + DXT</w:t>
            </w:r>
          </w:p>
        </w:tc>
      </w:tr>
      <w:tr w:rsidR="001603AF" w:rsidRPr="001603AF" w:rsidTr="00367841">
        <w:tc>
          <w:tcPr>
            <w:tcW w:w="1384" w:type="dxa"/>
          </w:tcPr>
          <w:p w:rsidR="001603AF" w:rsidRPr="001603AF" w:rsidRDefault="001603AF" w:rsidP="00367841">
            <w:pPr>
              <w:ind w:left="0" w:right="34"/>
            </w:pPr>
            <w:r w:rsidRPr="001603AF">
              <w:t>6</w:t>
            </w:r>
          </w:p>
          <w:p w:rsidR="001603AF" w:rsidRPr="001603AF" w:rsidRDefault="001603AF" w:rsidP="00367841">
            <w:pPr>
              <w:ind w:left="0" w:right="34"/>
            </w:pPr>
            <w:r w:rsidRPr="001603AF">
              <w:t>(P)</w:t>
            </w:r>
          </w:p>
        </w:tc>
        <w:tc>
          <w:tcPr>
            <w:tcW w:w="1559" w:type="dxa"/>
          </w:tcPr>
          <w:p w:rsidR="001603AF" w:rsidRPr="001603AF" w:rsidRDefault="001603AF" w:rsidP="00367841">
            <w:pPr>
              <w:ind w:left="34" w:right="33"/>
            </w:pPr>
            <w:r w:rsidRPr="001603AF">
              <w:t>Median 80</w:t>
            </w:r>
          </w:p>
        </w:tc>
        <w:tc>
          <w:tcPr>
            <w:tcW w:w="1560" w:type="dxa"/>
          </w:tcPr>
          <w:p w:rsidR="001603AF" w:rsidRPr="001603AF" w:rsidRDefault="001603AF" w:rsidP="00367841">
            <w:pPr>
              <w:ind w:left="34" w:right="34"/>
            </w:pPr>
            <w:r w:rsidRPr="001603AF">
              <w:t>50</w:t>
            </w:r>
          </w:p>
        </w:tc>
        <w:tc>
          <w:tcPr>
            <w:tcW w:w="2268" w:type="dxa"/>
          </w:tcPr>
          <w:p w:rsidR="001603AF" w:rsidRPr="001603AF" w:rsidRDefault="001603AF" w:rsidP="00367841">
            <w:pPr>
              <w:tabs>
                <w:tab w:val="left" w:pos="2018"/>
              </w:tabs>
              <w:ind w:left="33" w:right="34"/>
            </w:pPr>
            <w:r w:rsidRPr="001603AF">
              <w:t>33 / 22</w:t>
            </w:r>
          </w:p>
          <w:p w:rsidR="001603AF" w:rsidRPr="001603AF" w:rsidRDefault="001603AF" w:rsidP="00367841">
            <w:pPr>
              <w:tabs>
                <w:tab w:val="left" w:pos="2018"/>
              </w:tabs>
              <w:ind w:left="33" w:right="34"/>
            </w:pPr>
            <w:r w:rsidRPr="001603AF">
              <w:t>(</w:t>
            </w:r>
            <w:r w:rsidRPr="00367841">
              <w:rPr>
                <w:b/>
              </w:rPr>
              <w:t>40%</w:t>
            </w:r>
            <w:r w:rsidRPr="001603AF">
              <w:t>)</w:t>
            </w:r>
          </w:p>
          <w:p w:rsidR="001603AF" w:rsidRPr="001603AF" w:rsidRDefault="001603AF" w:rsidP="00367841">
            <w:pPr>
              <w:tabs>
                <w:tab w:val="left" w:pos="2018"/>
              </w:tabs>
              <w:ind w:left="33" w:right="34"/>
            </w:pPr>
            <w:r w:rsidRPr="001603AF">
              <w:t>21:1</w:t>
            </w:r>
          </w:p>
        </w:tc>
        <w:tc>
          <w:tcPr>
            <w:tcW w:w="1949" w:type="dxa"/>
          </w:tcPr>
          <w:p w:rsidR="001603AF" w:rsidRPr="001603AF" w:rsidRDefault="001603AF" w:rsidP="00367841">
            <w:pPr>
              <w:tabs>
                <w:tab w:val="left" w:pos="1733"/>
              </w:tabs>
              <w:ind w:left="33" w:right="0"/>
            </w:pPr>
            <w:r w:rsidRPr="001603AF">
              <w:t>Median of 2 prior treatments</w:t>
            </w:r>
          </w:p>
        </w:tc>
      </w:tr>
      <w:tr w:rsidR="001603AF" w:rsidRPr="001603AF" w:rsidTr="00367841">
        <w:tc>
          <w:tcPr>
            <w:tcW w:w="1384" w:type="dxa"/>
          </w:tcPr>
          <w:p w:rsidR="001603AF" w:rsidRPr="001603AF" w:rsidRDefault="001603AF" w:rsidP="00367841">
            <w:pPr>
              <w:ind w:left="0" w:right="34"/>
            </w:pPr>
            <w:r w:rsidRPr="001603AF">
              <w:t>7</w:t>
            </w:r>
          </w:p>
          <w:p w:rsidR="001603AF" w:rsidRPr="001603AF" w:rsidRDefault="001603AF" w:rsidP="00367841">
            <w:pPr>
              <w:ind w:left="0" w:right="34"/>
            </w:pPr>
            <w:r w:rsidRPr="001603AF">
              <w:t>(P)</w:t>
            </w:r>
          </w:p>
        </w:tc>
        <w:tc>
          <w:tcPr>
            <w:tcW w:w="1559" w:type="dxa"/>
          </w:tcPr>
          <w:p w:rsidR="001603AF" w:rsidRPr="001603AF" w:rsidRDefault="001603AF" w:rsidP="00367841">
            <w:pPr>
              <w:ind w:left="34" w:right="33"/>
            </w:pPr>
            <w:r w:rsidRPr="001603AF">
              <w:t>Median 80</w:t>
            </w:r>
          </w:p>
        </w:tc>
        <w:tc>
          <w:tcPr>
            <w:tcW w:w="1560" w:type="dxa"/>
          </w:tcPr>
          <w:p w:rsidR="001603AF" w:rsidRPr="001603AF" w:rsidRDefault="001603AF" w:rsidP="00367841">
            <w:pPr>
              <w:ind w:left="34" w:right="34"/>
            </w:pPr>
            <w:r w:rsidRPr="001603AF">
              <w:t>46</w:t>
            </w:r>
          </w:p>
        </w:tc>
        <w:tc>
          <w:tcPr>
            <w:tcW w:w="2268" w:type="dxa"/>
          </w:tcPr>
          <w:p w:rsidR="001603AF" w:rsidRPr="001603AF" w:rsidRDefault="001603AF" w:rsidP="00367841">
            <w:pPr>
              <w:tabs>
                <w:tab w:val="left" w:pos="2018"/>
              </w:tabs>
              <w:ind w:left="33" w:right="34"/>
            </w:pPr>
            <w:r w:rsidRPr="001603AF">
              <w:t xml:space="preserve">12 / </w:t>
            </w:r>
            <w:r w:rsidRPr="00367841">
              <w:rPr>
                <w:b/>
              </w:rPr>
              <w:t>15</w:t>
            </w:r>
          </w:p>
          <w:p w:rsidR="001603AF" w:rsidRPr="001603AF" w:rsidRDefault="001603AF" w:rsidP="00367841">
            <w:pPr>
              <w:tabs>
                <w:tab w:val="left" w:pos="2018"/>
              </w:tabs>
              <w:ind w:left="33" w:right="34"/>
            </w:pPr>
            <w:r w:rsidRPr="001603AF">
              <w:t>(</w:t>
            </w:r>
            <w:r w:rsidRPr="00367841">
              <w:rPr>
                <w:b/>
              </w:rPr>
              <w:t>56%</w:t>
            </w:r>
            <w:r w:rsidRPr="001603AF">
              <w:t>)</w:t>
            </w:r>
          </w:p>
          <w:p w:rsidR="001603AF" w:rsidRPr="001603AF" w:rsidRDefault="001603AF" w:rsidP="00367841">
            <w:pPr>
              <w:tabs>
                <w:tab w:val="left" w:pos="2018"/>
              </w:tabs>
              <w:ind w:left="33" w:right="34"/>
            </w:pPr>
            <w:r w:rsidRPr="001603AF">
              <w:t>NR</w:t>
            </w:r>
          </w:p>
        </w:tc>
        <w:tc>
          <w:tcPr>
            <w:tcW w:w="1949" w:type="dxa"/>
          </w:tcPr>
          <w:p w:rsidR="001603AF" w:rsidRPr="001603AF" w:rsidRDefault="001603AF" w:rsidP="00367841">
            <w:pPr>
              <w:tabs>
                <w:tab w:val="left" w:pos="1733"/>
              </w:tabs>
              <w:ind w:left="33" w:right="0"/>
            </w:pPr>
            <w:r w:rsidRPr="001603AF">
              <w:t>Median of 2 prior treatments</w:t>
            </w:r>
          </w:p>
        </w:tc>
      </w:tr>
      <w:tr w:rsidR="001603AF" w:rsidRPr="001603AF" w:rsidTr="00367841">
        <w:tc>
          <w:tcPr>
            <w:tcW w:w="1384" w:type="dxa"/>
          </w:tcPr>
          <w:p w:rsidR="001603AF" w:rsidRPr="001603AF" w:rsidRDefault="001603AF" w:rsidP="00367841">
            <w:pPr>
              <w:ind w:left="0" w:right="34"/>
            </w:pPr>
            <w:r w:rsidRPr="001603AF">
              <w:t>8</w:t>
            </w:r>
          </w:p>
          <w:p w:rsidR="001603AF" w:rsidRPr="001603AF" w:rsidRDefault="001603AF" w:rsidP="00367841">
            <w:pPr>
              <w:ind w:left="0" w:right="34"/>
            </w:pPr>
            <w:r w:rsidRPr="001603AF">
              <w:t>(P)</w:t>
            </w:r>
          </w:p>
        </w:tc>
        <w:tc>
          <w:tcPr>
            <w:tcW w:w="1559" w:type="dxa"/>
          </w:tcPr>
          <w:p w:rsidR="001603AF" w:rsidRPr="001603AF" w:rsidRDefault="001603AF" w:rsidP="00367841">
            <w:pPr>
              <w:ind w:left="34" w:right="33"/>
            </w:pPr>
            <w:r w:rsidRPr="001603AF">
              <w:t>NR</w:t>
            </w:r>
          </w:p>
        </w:tc>
        <w:tc>
          <w:tcPr>
            <w:tcW w:w="1560" w:type="dxa"/>
          </w:tcPr>
          <w:p w:rsidR="001603AF" w:rsidRPr="001603AF" w:rsidRDefault="001603AF" w:rsidP="00367841">
            <w:pPr>
              <w:ind w:left="34" w:right="34"/>
            </w:pPr>
            <w:r w:rsidRPr="001603AF">
              <w:t>58</w:t>
            </w:r>
          </w:p>
        </w:tc>
        <w:tc>
          <w:tcPr>
            <w:tcW w:w="2268" w:type="dxa"/>
          </w:tcPr>
          <w:p w:rsidR="001603AF" w:rsidRPr="001603AF" w:rsidRDefault="001603AF" w:rsidP="00367841">
            <w:pPr>
              <w:tabs>
                <w:tab w:val="left" w:pos="2018"/>
              </w:tabs>
              <w:ind w:left="33" w:right="34"/>
            </w:pPr>
            <w:r w:rsidRPr="001603AF">
              <w:t xml:space="preserve">17 / </w:t>
            </w:r>
            <w:r w:rsidRPr="00367841">
              <w:rPr>
                <w:b/>
              </w:rPr>
              <w:t>4</w:t>
            </w:r>
          </w:p>
          <w:p w:rsidR="001603AF" w:rsidRPr="001603AF" w:rsidRDefault="001603AF" w:rsidP="00367841">
            <w:pPr>
              <w:tabs>
                <w:tab w:val="left" w:pos="2018"/>
              </w:tabs>
              <w:ind w:left="33" w:right="34"/>
            </w:pPr>
            <w:r w:rsidRPr="001603AF">
              <w:t>(</w:t>
            </w:r>
            <w:r w:rsidRPr="00367841">
              <w:rPr>
                <w:b/>
              </w:rPr>
              <w:t>20%</w:t>
            </w:r>
            <w:r w:rsidRPr="001603AF">
              <w:t>)</w:t>
            </w:r>
          </w:p>
          <w:p w:rsidR="001603AF" w:rsidRPr="001603AF" w:rsidRDefault="001603AF" w:rsidP="00367841">
            <w:pPr>
              <w:tabs>
                <w:tab w:val="left" w:pos="2018"/>
              </w:tabs>
              <w:ind w:left="33" w:right="34"/>
            </w:pPr>
            <w:r w:rsidRPr="001603AF">
              <w:t>1 : 3</w:t>
            </w:r>
          </w:p>
        </w:tc>
        <w:tc>
          <w:tcPr>
            <w:tcW w:w="1949" w:type="dxa"/>
          </w:tcPr>
          <w:p w:rsidR="001603AF" w:rsidRPr="001603AF" w:rsidRDefault="001603AF" w:rsidP="00367841">
            <w:pPr>
              <w:tabs>
                <w:tab w:val="left" w:pos="1733"/>
              </w:tabs>
              <w:ind w:left="33" w:right="0"/>
            </w:pPr>
            <w:r w:rsidRPr="001603AF">
              <w:t>NR</w:t>
            </w:r>
          </w:p>
        </w:tc>
      </w:tr>
      <w:tr w:rsidR="001603AF" w:rsidRPr="001603AF" w:rsidTr="00367841">
        <w:tc>
          <w:tcPr>
            <w:tcW w:w="1384" w:type="dxa"/>
          </w:tcPr>
          <w:p w:rsidR="001603AF" w:rsidRPr="001603AF" w:rsidRDefault="001603AF" w:rsidP="00367841">
            <w:pPr>
              <w:ind w:left="0" w:right="34"/>
            </w:pPr>
            <w:r w:rsidRPr="001603AF">
              <w:t>9</w:t>
            </w:r>
          </w:p>
          <w:p w:rsidR="001603AF" w:rsidRPr="001603AF" w:rsidRDefault="001603AF" w:rsidP="00367841">
            <w:pPr>
              <w:ind w:left="0" w:right="34"/>
            </w:pPr>
            <w:r w:rsidRPr="001603AF">
              <w:t>(P)</w:t>
            </w:r>
          </w:p>
        </w:tc>
        <w:tc>
          <w:tcPr>
            <w:tcW w:w="1559" w:type="dxa"/>
          </w:tcPr>
          <w:p w:rsidR="001603AF" w:rsidRPr="001603AF" w:rsidRDefault="001603AF" w:rsidP="00367841">
            <w:pPr>
              <w:ind w:left="34" w:right="33"/>
            </w:pPr>
            <w:r w:rsidRPr="001603AF">
              <w:t>50% : 50%</w:t>
            </w:r>
          </w:p>
        </w:tc>
        <w:tc>
          <w:tcPr>
            <w:tcW w:w="1560" w:type="dxa"/>
          </w:tcPr>
          <w:p w:rsidR="001603AF" w:rsidRPr="001603AF" w:rsidRDefault="001603AF" w:rsidP="00367841">
            <w:pPr>
              <w:ind w:left="34" w:right="34"/>
            </w:pPr>
            <w:r w:rsidRPr="001603AF">
              <w:t>56</w:t>
            </w:r>
          </w:p>
        </w:tc>
        <w:tc>
          <w:tcPr>
            <w:tcW w:w="2268" w:type="dxa"/>
          </w:tcPr>
          <w:p w:rsidR="001603AF" w:rsidRPr="001603AF" w:rsidRDefault="001603AF" w:rsidP="00367841">
            <w:pPr>
              <w:tabs>
                <w:tab w:val="left" w:pos="2018"/>
              </w:tabs>
              <w:ind w:left="33" w:right="34"/>
            </w:pPr>
            <w:r w:rsidRPr="001603AF">
              <w:t xml:space="preserve">17 / </w:t>
            </w:r>
            <w:r w:rsidRPr="00367841">
              <w:rPr>
                <w:b/>
              </w:rPr>
              <w:t>3</w:t>
            </w:r>
          </w:p>
          <w:p w:rsidR="001603AF" w:rsidRPr="001603AF" w:rsidRDefault="001603AF" w:rsidP="00367841">
            <w:pPr>
              <w:tabs>
                <w:tab w:val="left" w:pos="2018"/>
              </w:tabs>
              <w:ind w:left="33" w:right="34"/>
            </w:pPr>
            <w:r w:rsidRPr="001603AF">
              <w:t>(</w:t>
            </w:r>
            <w:r w:rsidRPr="00367841">
              <w:rPr>
                <w:b/>
              </w:rPr>
              <w:t>15%</w:t>
            </w:r>
            <w:r w:rsidRPr="001603AF">
              <w:t>)</w:t>
            </w:r>
          </w:p>
          <w:p w:rsidR="001603AF" w:rsidRPr="001603AF" w:rsidRDefault="001603AF" w:rsidP="00367841">
            <w:pPr>
              <w:tabs>
                <w:tab w:val="left" w:pos="2018"/>
              </w:tabs>
              <w:ind w:left="33" w:right="34"/>
            </w:pPr>
            <w:r w:rsidRPr="001603AF">
              <w:t>1 : 2</w:t>
            </w:r>
          </w:p>
        </w:tc>
        <w:tc>
          <w:tcPr>
            <w:tcW w:w="1949" w:type="dxa"/>
          </w:tcPr>
          <w:p w:rsidR="001603AF" w:rsidRPr="001603AF" w:rsidRDefault="001603AF" w:rsidP="00367841">
            <w:pPr>
              <w:tabs>
                <w:tab w:val="left" w:pos="1733"/>
              </w:tabs>
              <w:ind w:left="33" w:right="0"/>
            </w:pPr>
            <w:r w:rsidRPr="001603AF">
              <w:t>80%  1 prior</w:t>
            </w:r>
          </w:p>
          <w:p w:rsidR="001603AF" w:rsidRPr="001603AF" w:rsidRDefault="001603AF" w:rsidP="00367841">
            <w:pPr>
              <w:tabs>
                <w:tab w:val="left" w:pos="1733"/>
              </w:tabs>
              <w:ind w:left="33" w:right="0"/>
            </w:pPr>
            <w:r w:rsidRPr="001603AF">
              <w:t>15%  2 prior</w:t>
            </w:r>
          </w:p>
          <w:p w:rsidR="001603AF" w:rsidRPr="001603AF" w:rsidRDefault="001603AF" w:rsidP="00367841">
            <w:pPr>
              <w:tabs>
                <w:tab w:val="left" w:pos="1733"/>
              </w:tabs>
              <w:ind w:left="33" w:right="0"/>
            </w:pPr>
            <w:r w:rsidRPr="001603AF">
              <w:t>5% ≥2 prior</w:t>
            </w:r>
          </w:p>
        </w:tc>
      </w:tr>
      <w:tr w:rsidR="001603AF" w:rsidRPr="001603AF" w:rsidTr="00367841">
        <w:tc>
          <w:tcPr>
            <w:tcW w:w="1384" w:type="dxa"/>
          </w:tcPr>
          <w:p w:rsidR="001603AF" w:rsidRPr="001603AF" w:rsidRDefault="001603AF" w:rsidP="00367841">
            <w:pPr>
              <w:ind w:left="0" w:right="34"/>
            </w:pPr>
            <w:r w:rsidRPr="001603AF">
              <w:t>10</w:t>
            </w:r>
          </w:p>
          <w:p w:rsidR="001603AF" w:rsidRPr="001603AF" w:rsidRDefault="001603AF" w:rsidP="00367841">
            <w:pPr>
              <w:ind w:left="0" w:right="34"/>
            </w:pPr>
            <w:r w:rsidRPr="001603AF">
              <w:t>(A)</w:t>
            </w:r>
          </w:p>
        </w:tc>
        <w:tc>
          <w:tcPr>
            <w:tcW w:w="1559" w:type="dxa"/>
          </w:tcPr>
          <w:p w:rsidR="001603AF" w:rsidRPr="001603AF" w:rsidRDefault="001603AF" w:rsidP="00367841">
            <w:pPr>
              <w:ind w:left="34" w:right="33"/>
            </w:pPr>
            <w:r w:rsidRPr="001603AF">
              <w:t>NR</w:t>
            </w:r>
          </w:p>
        </w:tc>
        <w:tc>
          <w:tcPr>
            <w:tcW w:w="1560" w:type="dxa"/>
          </w:tcPr>
          <w:p w:rsidR="001603AF" w:rsidRPr="001603AF" w:rsidRDefault="001603AF" w:rsidP="00367841">
            <w:pPr>
              <w:ind w:left="34" w:right="34"/>
            </w:pPr>
            <w:r w:rsidRPr="001603AF">
              <w:t>50</w:t>
            </w:r>
          </w:p>
        </w:tc>
        <w:tc>
          <w:tcPr>
            <w:tcW w:w="2268" w:type="dxa"/>
          </w:tcPr>
          <w:p w:rsidR="001603AF" w:rsidRPr="001603AF" w:rsidRDefault="001603AF" w:rsidP="00367841">
            <w:pPr>
              <w:tabs>
                <w:tab w:val="left" w:pos="2018"/>
              </w:tabs>
              <w:ind w:left="33" w:right="34"/>
            </w:pPr>
            <w:r w:rsidRPr="001603AF">
              <w:t xml:space="preserve">22 / </w:t>
            </w:r>
            <w:r w:rsidRPr="00367841">
              <w:rPr>
                <w:b/>
              </w:rPr>
              <w:t>14</w:t>
            </w:r>
          </w:p>
          <w:p w:rsidR="001603AF" w:rsidRPr="001603AF" w:rsidRDefault="001603AF" w:rsidP="00367841">
            <w:pPr>
              <w:tabs>
                <w:tab w:val="left" w:pos="2018"/>
              </w:tabs>
              <w:ind w:left="33" w:right="34"/>
            </w:pPr>
            <w:r w:rsidRPr="001603AF">
              <w:t>(</w:t>
            </w:r>
            <w:r w:rsidRPr="00367841">
              <w:rPr>
                <w:b/>
              </w:rPr>
              <w:t>38%</w:t>
            </w:r>
            <w:r w:rsidRPr="001603AF">
              <w:t>)</w:t>
            </w:r>
          </w:p>
          <w:p w:rsidR="001603AF" w:rsidRPr="001603AF" w:rsidRDefault="001603AF" w:rsidP="00367841">
            <w:pPr>
              <w:tabs>
                <w:tab w:val="left" w:pos="2018"/>
              </w:tabs>
              <w:ind w:left="33" w:right="34"/>
            </w:pPr>
            <w:r w:rsidRPr="001603AF">
              <w:lastRenderedPageBreak/>
              <w:t>NR</w:t>
            </w:r>
          </w:p>
        </w:tc>
        <w:tc>
          <w:tcPr>
            <w:tcW w:w="1949" w:type="dxa"/>
          </w:tcPr>
          <w:p w:rsidR="001603AF" w:rsidRPr="001603AF" w:rsidRDefault="001603AF" w:rsidP="00367841">
            <w:pPr>
              <w:tabs>
                <w:tab w:val="left" w:pos="1733"/>
              </w:tabs>
              <w:ind w:left="33" w:right="0"/>
            </w:pPr>
            <w:r w:rsidRPr="001603AF">
              <w:lastRenderedPageBreak/>
              <w:t>50 % 5% ≥2 prior</w:t>
            </w:r>
          </w:p>
        </w:tc>
      </w:tr>
      <w:tr w:rsidR="001603AF" w:rsidRPr="001603AF" w:rsidTr="00367841">
        <w:tc>
          <w:tcPr>
            <w:tcW w:w="1384" w:type="dxa"/>
          </w:tcPr>
          <w:p w:rsidR="001603AF" w:rsidRPr="001603AF" w:rsidRDefault="001603AF" w:rsidP="00367841">
            <w:pPr>
              <w:ind w:left="0" w:right="34"/>
            </w:pPr>
            <w:r w:rsidRPr="001603AF">
              <w:lastRenderedPageBreak/>
              <w:t>11</w:t>
            </w:r>
          </w:p>
          <w:p w:rsidR="001603AF" w:rsidRPr="001603AF" w:rsidRDefault="001603AF" w:rsidP="00367841">
            <w:pPr>
              <w:ind w:left="0" w:right="34"/>
            </w:pPr>
            <w:r w:rsidRPr="001603AF">
              <w:t>(A)</w:t>
            </w:r>
          </w:p>
        </w:tc>
        <w:tc>
          <w:tcPr>
            <w:tcW w:w="1559" w:type="dxa"/>
          </w:tcPr>
          <w:p w:rsidR="001603AF" w:rsidRPr="001603AF" w:rsidRDefault="001603AF" w:rsidP="00367841">
            <w:pPr>
              <w:ind w:left="34" w:right="33"/>
            </w:pPr>
            <w:r w:rsidRPr="001603AF">
              <w:t>Median 70</w:t>
            </w:r>
          </w:p>
        </w:tc>
        <w:tc>
          <w:tcPr>
            <w:tcW w:w="1560" w:type="dxa"/>
          </w:tcPr>
          <w:p w:rsidR="001603AF" w:rsidRPr="001603AF" w:rsidRDefault="001603AF" w:rsidP="00367841">
            <w:pPr>
              <w:ind w:left="34" w:right="34"/>
            </w:pPr>
            <w:r w:rsidRPr="001603AF">
              <w:t>53</w:t>
            </w:r>
          </w:p>
        </w:tc>
        <w:tc>
          <w:tcPr>
            <w:tcW w:w="2268" w:type="dxa"/>
          </w:tcPr>
          <w:p w:rsidR="001603AF" w:rsidRPr="001603AF" w:rsidRDefault="001603AF" w:rsidP="00367841">
            <w:pPr>
              <w:tabs>
                <w:tab w:val="left" w:pos="2018"/>
              </w:tabs>
              <w:ind w:left="33" w:right="34"/>
            </w:pPr>
            <w:r w:rsidRPr="001603AF">
              <w:t xml:space="preserve">28 : </w:t>
            </w:r>
            <w:r w:rsidRPr="00367841">
              <w:rPr>
                <w:b/>
              </w:rPr>
              <w:t>16</w:t>
            </w:r>
          </w:p>
          <w:p w:rsidR="001603AF" w:rsidRPr="001603AF" w:rsidRDefault="001603AF" w:rsidP="00367841">
            <w:pPr>
              <w:tabs>
                <w:tab w:val="left" w:pos="2018"/>
              </w:tabs>
              <w:ind w:left="33" w:right="34"/>
            </w:pPr>
            <w:r w:rsidRPr="001603AF">
              <w:t>(</w:t>
            </w:r>
            <w:r w:rsidRPr="00367841">
              <w:rPr>
                <w:b/>
              </w:rPr>
              <w:t>36%</w:t>
            </w:r>
            <w:r w:rsidRPr="001603AF">
              <w:t>)</w:t>
            </w:r>
          </w:p>
          <w:p w:rsidR="001603AF" w:rsidRPr="001603AF" w:rsidRDefault="001603AF" w:rsidP="00367841">
            <w:pPr>
              <w:tabs>
                <w:tab w:val="left" w:pos="2018"/>
              </w:tabs>
              <w:ind w:left="33" w:right="34"/>
            </w:pPr>
            <w:r w:rsidRPr="001603AF">
              <w:t>11 : 5</w:t>
            </w:r>
          </w:p>
        </w:tc>
        <w:tc>
          <w:tcPr>
            <w:tcW w:w="1949" w:type="dxa"/>
          </w:tcPr>
          <w:p w:rsidR="001603AF" w:rsidRPr="001603AF" w:rsidRDefault="001603AF" w:rsidP="00367841">
            <w:pPr>
              <w:tabs>
                <w:tab w:val="left" w:pos="1733"/>
              </w:tabs>
              <w:ind w:left="33" w:right="0"/>
            </w:pPr>
            <w:r w:rsidRPr="001603AF">
              <w:t>Median of 2 prior treatments</w:t>
            </w:r>
          </w:p>
        </w:tc>
      </w:tr>
      <w:tr w:rsidR="001603AF" w:rsidRPr="001603AF" w:rsidTr="00367841">
        <w:tc>
          <w:tcPr>
            <w:tcW w:w="1384" w:type="dxa"/>
          </w:tcPr>
          <w:p w:rsidR="001603AF" w:rsidRPr="001603AF" w:rsidRDefault="001603AF" w:rsidP="00367841">
            <w:pPr>
              <w:ind w:left="0" w:right="34"/>
            </w:pPr>
            <w:r w:rsidRPr="001603AF">
              <w:t>12</w:t>
            </w:r>
          </w:p>
          <w:p w:rsidR="001603AF" w:rsidRPr="001603AF" w:rsidRDefault="001603AF" w:rsidP="00367841">
            <w:pPr>
              <w:ind w:left="0" w:right="34"/>
            </w:pPr>
            <w:r w:rsidRPr="001603AF">
              <w:t>(A)</w:t>
            </w:r>
          </w:p>
        </w:tc>
        <w:tc>
          <w:tcPr>
            <w:tcW w:w="1559" w:type="dxa"/>
          </w:tcPr>
          <w:p w:rsidR="001603AF" w:rsidRPr="001603AF" w:rsidRDefault="001603AF" w:rsidP="00367841">
            <w:pPr>
              <w:ind w:left="34" w:right="33"/>
            </w:pPr>
            <w:r w:rsidRPr="001603AF">
              <w:t>NR</w:t>
            </w:r>
          </w:p>
        </w:tc>
        <w:tc>
          <w:tcPr>
            <w:tcW w:w="1560" w:type="dxa"/>
          </w:tcPr>
          <w:p w:rsidR="001603AF" w:rsidRPr="001603AF" w:rsidRDefault="001603AF" w:rsidP="00367841">
            <w:pPr>
              <w:ind w:left="34" w:right="34"/>
            </w:pPr>
            <w:r w:rsidRPr="001603AF">
              <w:t>42</w:t>
            </w:r>
          </w:p>
        </w:tc>
        <w:tc>
          <w:tcPr>
            <w:tcW w:w="2268" w:type="dxa"/>
          </w:tcPr>
          <w:p w:rsidR="001603AF" w:rsidRPr="001603AF" w:rsidRDefault="001603AF" w:rsidP="00367841">
            <w:pPr>
              <w:tabs>
                <w:tab w:val="left" w:pos="2018"/>
              </w:tabs>
              <w:ind w:left="33" w:right="34"/>
            </w:pPr>
            <w:r w:rsidRPr="001603AF">
              <w:t xml:space="preserve">11 : </w:t>
            </w:r>
            <w:r w:rsidRPr="00367841">
              <w:rPr>
                <w:b/>
              </w:rPr>
              <w:t>10</w:t>
            </w:r>
          </w:p>
          <w:p w:rsidR="001603AF" w:rsidRPr="001603AF" w:rsidRDefault="001603AF" w:rsidP="00367841">
            <w:pPr>
              <w:tabs>
                <w:tab w:val="left" w:pos="2018"/>
              </w:tabs>
              <w:ind w:left="33" w:right="34"/>
            </w:pPr>
            <w:r w:rsidRPr="001603AF">
              <w:t>(</w:t>
            </w:r>
            <w:r w:rsidRPr="00367841">
              <w:rPr>
                <w:b/>
              </w:rPr>
              <w:t>48%</w:t>
            </w:r>
            <w:r w:rsidRPr="001603AF">
              <w:t>)</w:t>
            </w:r>
          </w:p>
          <w:p w:rsidR="001603AF" w:rsidRPr="001603AF" w:rsidRDefault="001603AF" w:rsidP="00367841">
            <w:pPr>
              <w:tabs>
                <w:tab w:val="left" w:pos="2018"/>
              </w:tabs>
              <w:ind w:left="33" w:right="34"/>
            </w:pPr>
            <w:r w:rsidRPr="001603AF">
              <w:t>NR</w:t>
            </w:r>
          </w:p>
        </w:tc>
        <w:tc>
          <w:tcPr>
            <w:tcW w:w="1949" w:type="dxa"/>
          </w:tcPr>
          <w:p w:rsidR="001603AF" w:rsidRPr="001603AF" w:rsidRDefault="001603AF" w:rsidP="00367841">
            <w:pPr>
              <w:tabs>
                <w:tab w:val="left" w:pos="1733"/>
              </w:tabs>
              <w:ind w:left="33" w:right="0"/>
            </w:pPr>
            <w:r w:rsidRPr="001603AF">
              <w:t>Median of 3 prior treatments</w:t>
            </w:r>
          </w:p>
        </w:tc>
      </w:tr>
      <w:tr w:rsidR="001603AF" w:rsidRPr="001603AF" w:rsidTr="00367841">
        <w:tc>
          <w:tcPr>
            <w:tcW w:w="1384" w:type="dxa"/>
          </w:tcPr>
          <w:p w:rsidR="001603AF" w:rsidRPr="001603AF" w:rsidRDefault="001603AF" w:rsidP="00367841">
            <w:pPr>
              <w:ind w:left="0" w:right="34"/>
            </w:pPr>
          </w:p>
        </w:tc>
        <w:tc>
          <w:tcPr>
            <w:tcW w:w="1559" w:type="dxa"/>
          </w:tcPr>
          <w:p w:rsidR="001603AF" w:rsidRPr="001603AF" w:rsidRDefault="001603AF" w:rsidP="00367841">
            <w:pPr>
              <w:ind w:left="34" w:right="33"/>
            </w:pPr>
          </w:p>
        </w:tc>
        <w:tc>
          <w:tcPr>
            <w:tcW w:w="1560" w:type="dxa"/>
          </w:tcPr>
          <w:p w:rsidR="001603AF" w:rsidRPr="001603AF" w:rsidRDefault="001603AF" w:rsidP="00367841">
            <w:pPr>
              <w:ind w:left="34" w:right="34"/>
            </w:pPr>
          </w:p>
        </w:tc>
        <w:tc>
          <w:tcPr>
            <w:tcW w:w="2268" w:type="dxa"/>
          </w:tcPr>
          <w:p w:rsidR="001603AF" w:rsidRPr="001603AF" w:rsidRDefault="001603AF" w:rsidP="00367841">
            <w:pPr>
              <w:tabs>
                <w:tab w:val="left" w:pos="2018"/>
              </w:tabs>
              <w:ind w:left="33" w:right="34"/>
            </w:pPr>
            <w:r w:rsidRPr="001603AF">
              <w:t xml:space="preserve">276 / </w:t>
            </w:r>
            <w:r w:rsidRPr="00367841">
              <w:rPr>
                <w:b/>
              </w:rPr>
              <w:t>108</w:t>
            </w:r>
          </w:p>
          <w:p w:rsidR="001603AF" w:rsidRPr="001603AF" w:rsidRDefault="001603AF" w:rsidP="00367841">
            <w:pPr>
              <w:tabs>
                <w:tab w:val="left" w:pos="2018"/>
              </w:tabs>
              <w:ind w:left="33" w:right="34"/>
            </w:pPr>
            <w:r w:rsidRPr="001603AF">
              <w:t>(</w:t>
            </w:r>
            <w:r w:rsidRPr="00367841">
              <w:rPr>
                <w:b/>
              </w:rPr>
              <w:t>28%</w:t>
            </w:r>
            <w:r w:rsidRPr="001603AF">
              <w:t>)</w:t>
            </w:r>
          </w:p>
        </w:tc>
        <w:tc>
          <w:tcPr>
            <w:tcW w:w="1949" w:type="dxa"/>
          </w:tcPr>
          <w:p w:rsidR="001603AF" w:rsidRPr="001603AF" w:rsidRDefault="001603AF" w:rsidP="00367841">
            <w:pPr>
              <w:tabs>
                <w:tab w:val="left" w:pos="1733"/>
              </w:tabs>
              <w:ind w:left="33" w:right="0"/>
            </w:pPr>
          </w:p>
        </w:tc>
      </w:tr>
    </w:tbl>
    <w:p w:rsidR="001603AF" w:rsidRPr="001603AF" w:rsidRDefault="001603AF" w:rsidP="00367841">
      <w:pPr>
        <w:pStyle w:val="TableDescription"/>
      </w:pPr>
      <w:r w:rsidRPr="001603AF">
        <w:t>*: Publication or Abstract</w:t>
      </w:r>
    </w:p>
    <w:p w:rsidR="001603AF" w:rsidRPr="001603AF" w:rsidRDefault="001603AF" w:rsidP="00367841">
      <w:pPr>
        <w:pStyle w:val="TableDescription"/>
      </w:pPr>
      <w:r w:rsidRPr="001603AF">
        <w:t xml:space="preserve">AA: </w:t>
      </w:r>
      <w:proofErr w:type="spellStart"/>
      <w:r w:rsidRPr="001603AF">
        <w:t>Anaplastic</w:t>
      </w:r>
      <w:proofErr w:type="spellEnd"/>
      <w:r w:rsidRPr="001603AF">
        <w:t xml:space="preserve"> </w:t>
      </w:r>
      <w:proofErr w:type="spellStart"/>
      <w:r w:rsidRPr="001603AF">
        <w:t>Astrocytoma</w:t>
      </w:r>
      <w:proofErr w:type="spellEnd"/>
      <w:r w:rsidRPr="001603AF">
        <w:t xml:space="preserve">, AO: </w:t>
      </w:r>
      <w:proofErr w:type="spellStart"/>
      <w:r w:rsidRPr="001603AF">
        <w:t>Anaplastic</w:t>
      </w:r>
      <w:proofErr w:type="spellEnd"/>
      <w:r w:rsidRPr="001603AF">
        <w:t xml:space="preserve"> </w:t>
      </w:r>
      <w:proofErr w:type="spellStart"/>
      <w:r w:rsidRPr="001603AF">
        <w:t>Oligoastrocytoma</w:t>
      </w:r>
      <w:proofErr w:type="spellEnd"/>
    </w:p>
    <w:p w:rsidR="001603AF" w:rsidRPr="001603AF" w:rsidRDefault="001603AF" w:rsidP="00367841">
      <w:r w:rsidRPr="001603AF">
        <w:t>Pooled response rates were reported for all the groups except for group 10, which only reported PFS and OS. More than 5% of patients in the pooled analysis obtained a CR compared with &lt; 1% in the 349 historic controls (Wong et al) (Table 14).</w:t>
      </w:r>
    </w:p>
    <w:p w:rsidR="001603AF" w:rsidRPr="001603AF" w:rsidRDefault="001603AF" w:rsidP="00367841">
      <w:pPr>
        <w:pStyle w:val="TableTitle"/>
      </w:pPr>
      <w:r w:rsidRPr="001603AF">
        <w:t>Table 14 Summary of response efficacy data for Patient Groups 5-12</w:t>
      </w:r>
    </w:p>
    <w:tbl>
      <w:tblPr>
        <w:tblStyle w:val="TableTGAblue"/>
        <w:tblW w:w="0" w:type="auto"/>
        <w:tblLayout w:type="fixed"/>
        <w:tblLook w:val="04A0"/>
      </w:tblPr>
      <w:tblGrid>
        <w:gridCol w:w="1384"/>
        <w:gridCol w:w="1134"/>
        <w:gridCol w:w="1447"/>
        <w:gridCol w:w="1530"/>
        <w:gridCol w:w="1559"/>
        <w:gridCol w:w="1666"/>
      </w:tblGrid>
      <w:tr w:rsidR="001603AF" w:rsidRPr="001603AF" w:rsidTr="00792085">
        <w:trPr>
          <w:cnfStyle w:val="100000000000"/>
          <w:tblHeader/>
        </w:trPr>
        <w:tc>
          <w:tcPr>
            <w:tcW w:w="1384" w:type="dxa"/>
            <w:vMerge w:val="restart"/>
          </w:tcPr>
          <w:p w:rsidR="001603AF" w:rsidRPr="001603AF" w:rsidRDefault="001603AF" w:rsidP="00792085">
            <w:pPr>
              <w:tabs>
                <w:tab w:val="left" w:pos="1168"/>
              </w:tabs>
              <w:ind w:left="0" w:right="34"/>
            </w:pPr>
            <w:r w:rsidRPr="001603AF">
              <w:t>Patient Group</w:t>
            </w:r>
          </w:p>
          <w:p w:rsidR="001603AF" w:rsidRPr="001603AF" w:rsidRDefault="001603AF" w:rsidP="00792085">
            <w:pPr>
              <w:tabs>
                <w:tab w:val="left" w:pos="1168"/>
              </w:tabs>
              <w:ind w:left="0" w:right="34"/>
            </w:pPr>
            <w:r w:rsidRPr="001603AF">
              <w:t>(A or P)</w:t>
            </w:r>
          </w:p>
        </w:tc>
        <w:tc>
          <w:tcPr>
            <w:tcW w:w="2581" w:type="dxa"/>
            <w:gridSpan w:val="2"/>
          </w:tcPr>
          <w:p w:rsidR="001603AF" w:rsidRPr="001603AF" w:rsidRDefault="001603AF" w:rsidP="00792085">
            <w:pPr>
              <w:ind w:left="34" w:right="34"/>
            </w:pPr>
            <w:r w:rsidRPr="001603AF">
              <w:t>Number</w:t>
            </w:r>
          </w:p>
        </w:tc>
        <w:tc>
          <w:tcPr>
            <w:tcW w:w="4755" w:type="dxa"/>
            <w:gridSpan w:val="3"/>
          </w:tcPr>
          <w:p w:rsidR="00792085" w:rsidRDefault="001603AF" w:rsidP="00792085">
            <w:pPr>
              <w:ind w:left="34" w:right="63"/>
            </w:pPr>
            <w:r w:rsidRPr="001603AF">
              <w:t>Response Rates</w:t>
            </w:r>
          </w:p>
          <w:p w:rsidR="001603AF" w:rsidRPr="001603AF" w:rsidRDefault="001603AF" w:rsidP="00792085">
            <w:pPr>
              <w:ind w:left="34" w:right="63"/>
            </w:pPr>
            <w:r w:rsidRPr="001603AF">
              <w:t>(combined Grade III and IV</w:t>
            </w:r>
          </w:p>
        </w:tc>
      </w:tr>
      <w:tr w:rsidR="001603AF" w:rsidRPr="001603AF" w:rsidTr="00792085">
        <w:trPr>
          <w:cnfStyle w:val="100000000000"/>
          <w:tblHeader/>
        </w:trPr>
        <w:tc>
          <w:tcPr>
            <w:tcW w:w="1384" w:type="dxa"/>
            <w:vMerge/>
          </w:tcPr>
          <w:p w:rsidR="001603AF" w:rsidRPr="001603AF" w:rsidRDefault="001603AF" w:rsidP="00792085">
            <w:pPr>
              <w:tabs>
                <w:tab w:val="left" w:pos="1168"/>
              </w:tabs>
              <w:ind w:left="0" w:right="34"/>
            </w:pPr>
          </w:p>
        </w:tc>
        <w:tc>
          <w:tcPr>
            <w:tcW w:w="1134" w:type="dxa"/>
          </w:tcPr>
          <w:p w:rsidR="001603AF" w:rsidRPr="001603AF" w:rsidRDefault="001603AF" w:rsidP="00792085">
            <w:pPr>
              <w:ind w:left="34" w:right="34"/>
            </w:pPr>
            <w:r w:rsidRPr="001603AF">
              <w:t>n (all)</w:t>
            </w:r>
          </w:p>
        </w:tc>
        <w:tc>
          <w:tcPr>
            <w:tcW w:w="1447" w:type="dxa"/>
          </w:tcPr>
          <w:p w:rsidR="001603AF" w:rsidRPr="001603AF" w:rsidRDefault="001603AF" w:rsidP="00792085">
            <w:pPr>
              <w:ind w:left="34" w:right="34"/>
              <w:rPr>
                <w:b w:val="0"/>
              </w:rPr>
            </w:pPr>
            <w:r w:rsidRPr="001603AF">
              <w:t>Grade III n (%)</w:t>
            </w:r>
          </w:p>
        </w:tc>
        <w:tc>
          <w:tcPr>
            <w:tcW w:w="1530" w:type="dxa"/>
          </w:tcPr>
          <w:p w:rsidR="001603AF" w:rsidRPr="001603AF" w:rsidRDefault="001603AF" w:rsidP="00792085">
            <w:pPr>
              <w:ind w:left="34" w:right="63"/>
            </w:pPr>
            <w:r w:rsidRPr="001603AF">
              <w:t>CR</w:t>
            </w:r>
          </w:p>
        </w:tc>
        <w:tc>
          <w:tcPr>
            <w:tcW w:w="1559" w:type="dxa"/>
          </w:tcPr>
          <w:p w:rsidR="001603AF" w:rsidRPr="001603AF" w:rsidRDefault="001603AF" w:rsidP="00792085">
            <w:pPr>
              <w:ind w:left="34" w:right="63"/>
            </w:pPr>
            <w:r w:rsidRPr="001603AF">
              <w:t>PR</w:t>
            </w:r>
          </w:p>
          <w:p w:rsidR="001603AF" w:rsidRPr="001603AF" w:rsidRDefault="001603AF" w:rsidP="00792085">
            <w:pPr>
              <w:ind w:left="34" w:right="63"/>
            </w:pPr>
            <w:r w:rsidRPr="001603AF">
              <w:t>SD</w:t>
            </w:r>
          </w:p>
          <w:p w:rsidR="001603AF" w:rsidRPr="001603AF" w:rsidRDefault="001603AF" w:rsidP="00792085">
            <w:pPr>
              <w:ind w:left="34" w:right="63"/>
            </w:pPr>
            <w:r w:rsidRPr="001603AF">
              <w:t>PD</w:t>
            </w:r>
          </w:p>
        </w:tc>
        <w:tc>
          <w:tcPr>
            <w:tcW w:w="1666" w:type="dxa"/>
          </w:tcPr>
          <w:p w:rsidR="001603AF" w:rsidRPr="001603AF" w:rsidRDefault="001603AF" w:rsidP="00792085">
            <w:pPr>
              <w:ind w:left="34" w:right="63"/>
            </w:pPr>
            <w:r w:rsidRPr="001603AF">
              <w:t>ORR</w:t>
            </w:r>
          </w:p>
          <w:p w:rsidR="001603AF" w:rsidRPr="001603AF" w:rsidRDefault="001603AF" w:rsidP="00792085">
            <w:pPr>
              <w:ind w:left="34" w:right="63"/>
            </w:pPr>
            <w:r w:rsidRPr="001603AF">
              <w:t>CR+PR</w:t>
            </w:r>
          </w:p>
          <w:p w:rsidR="001603AF" w:rsidRPr="001603AF" w:rsidRDefault="001603AF" w:rsidP="00792085">
            <w:pPr>
              <w:ind w:left="34" w:right="63"/>
            </w:pPr>
            <w:r w:rsidRPr="001603AF">
              <w:t>(Grade III)</w:t>
            </w:r>
          </w:p>
        </w:tc>
      </w:tr>
      <w:tr w:rsidR="001603AF" w:rsidRPr="001603AF" w:rsidTr="00792085">
        <w:tc>
          <w:tcPr>
            <w:tcW w:w="1384" w:type="dxa"/>
          </w:tcPr>
          <w:p w:rsidR="001603AF" w:rsidRPr="001603AF" w:rsidRDefault="001603AF" w:rsidP="00792085">
            <w:pPr>
              <w:tabs>
                <w:tab w:val="left" w:pos="1168"/>
              </w:tabs>
              <w:ind w:left="0" w:right="34"/>
            </w:pPr>
            <w:r w:rsidRPr="001603AF">
              <w:t>5</w:t>
            </w:r>
          </w:p>
          <w:p w:rsidR="001603AF" w:rsidRPr="001603AF" w:rsidRDefault="001603AF" w:rsidP="00792085">
            <w:pPr>
              <w:tabs>
                <w:tab w:val="left" w:pos="1168"/>
              </w:tabs>
              <w:ind w:left="0" w:right="34"/>
            </w:pPr>
            <w:r w:rsidRPr="001603AF">
              <w:t>(P)</w:t>
            </w:r>
          </w:p>
        </w:tc>
        <w:tc>
          <w:tcPr>
            <w:tcW w:w="1134" w:type="dxa"/>
          </w:tcPr>
          <w:p w:rsidR="001603AF" w:rsidRPr="001603AF" w:rsidRDefault="001603AF" w:rsidP="00792085">
            <w:pPr>
              <w:ind w:left="34" w:right="34"/>
            </w:pPr>
            <w:r w:rsidRPr="001603AF">
              <w:t>61</w:t>
            </w:r>
          </w:p>
        </w:tc>
        <w:tc>
          <w:tcPr>
            <w:tcW w:w="1447" w:type="dxa"/>
          </w:tcPr>
          <w:p w:rsidR="001603AF" w:rsidRPr="001603AF" w:rsidRDefault="001603AF" w:rsidP="00792085">
            <w:pPr>
              <w:ind w:left="34" w:right="34"/>
            </w:pPr>
            <w:r w:rsidRPr="001603AF">
              <w:t>24 (40%)</w:t>
            </w:r>
          </w:p>
          <w:p w:rsidR="001603AF" w:rsidRPr="001603AF" w:rsidRDefault="001603AF" w:rsidP="00792085">
            <w:pPr>
              <w:ind w:left="34" w:right="34"/>
            </w:pPr>
            <w:r w:rsidRPr="001603AF">
              <w:t>AA = 15</w:t>
            </w:r>
          </w:p>
          <w:p w:rsidR="001603AF" w:rsidRPr="001603AF" w:rsidRDefault="001603AF" w:rsidP="00792085">
            <w:pPr>
              <w:ind w:left="34" w:right="34"/>
            </w:pPr>
            <w:r w:rsidRPr="001603AF">
              <w:t>AO =  9</w:t>
            </w:r>
          </w:p>
        </w:tc>
        <w:tc>
          <w:tcPr>
            <w:tcW w:w="1530" w:type="dxa"/>
          </w:tcPr>
          <w:p w:rsidR="001603AF" w:rsidRPr="001603AF" w:rsidRDefault="001603AF" w:rsidP="00792085">
            <w:pPr>
              <w:ind w:left="34" w:right="63"/>
            </w:pPr>
            <w:r w:rsidRPr="001603AF">
              <w:t>7/53</w:t>
            </w:r>
          </w:p>
        </w:tc>
        <w:tc>
          <w:tcPr>
            <w:tcW w:w="1559" w:type="dxa"/>
          </w:tcPr>
          <w:p w:rsidR="001603AF" w:rsidRPr="001603AF" w:rsidRDefault="001603AF" w:rsidP="00792085">
            <w:pPr>
              <w:ind w:left="34" w:right="63"/>
            </w:pPr>
            <w:r w:rsidRPr="001603AF">
              <w:t>PR 32/55</w:t>
            </w:r>
          </w:p>
          <w:p w:rsidR="001603AF" w:rsidRPr="001603AF" w:rsidRDefault="001603AF" w:rsidP="00792085">
            <w:pPr>
              <w:ind w:left="34" w:right="63"/>
            </w:pPr>
            <w:r w:rsidRPr="001603AF">
              <w:t>SD 11/55</w:t>
            </w:r>
          </w:p>
          <w:p w:rsidR="001603AF" w:rsidRPr="001603AF" w:rsidRDefault="001603AF" w:rsidP="00792085">
            <w:pPr>
              <w:ind w:left="34" w:right="63"/>
            </w:pPr>
            <w:r w:rsidRPr="001603AF">
              <w:t>PD 3/55</w:t>
            </w:r>
          </w:p>
        </w:tc>
        <w:tc>
          <w:tcPr>
            <w:tcW w:w="1666" w:type="dxa"/>
          </w:tcPr>
          <w:p w:rsidR="001603AF" w:rsidRPr="001603AF" w:rsidRDefault="001603AF" w:rsidP="00792085">
            <w:pPr>
              <w:ind w:left="34" w:right="63"/>
            </w:pPr>
            <w:r w:rsidRPr="001603AF">
              <w:t>NR</w:t>
            </w:r>
          </w:p>
        </w:tc>
      </w:tr>
      <w:tr w:rsidR="001603AF" w:rsidRPr="001603AF" w:rsidTr="00792085">
        <w:tc>
          <w:tcPr>
            <w:tcW w:w="1384" w:type="dxa"/>
          </w:tcPr>
          <w:p w:rsidR="001603AF" w:rsidRPr="001603AF" w:rsidRDefault="001603AF" w:rsidP="00792085">
            <w:pPr>
              <w:tabs>
                <w:tab w:val="left" w:pos="1168"/>
              </w:tabs>
              <w:ind w:left="0" w:right="34"/>
            </w:pPr>
            <w:r w:rsidRPr="001603AF">
              <w:t>6</w:t>
            </w:r>
          </w:p>
          <w:p w:rsidR="001603AF" w:rsidRPr="001603AF" w:rsidRDefault="001603AF" w:rsidP="00792085">
            <w:pPr>
              <w:tabs>
                <w:tab w:val="left" w:pos="1168"/>
              </w:tabs>
              <w:ind w:left="0" w:right="34"/>
            </w:pPr>
            <w:r w:rsidRPr="001603AF">
              <w:t>(P)</w:t>
            </w:r>
          </w:p>
        </w:tc>
        <w:tc>
          <w:tcPr>
            <w:tcW w:w="1134" w:type="dxa"/>
          </w:tcPr>
          <w:p w:rsidR="001603AF" w:rsidRPr="001603AF" w:rsidRDefault="001603AF" w:rsidP="00792085">
            <w:pPr>
              <w:ind w:left="34" w:right="34"/>
            </w:pPr>
            <w:r w:rsidRPr="001603AF">
              <w:t>55</w:t>
            </w:r>
          </w:p>
        </w:tc>
        <w:tc>
          <w:tcPr>
            <w:tcW w:w="1447" w:type="dxa"/>
          </w:tcPr>
          <w:p w:rsidR="001603AF" w:rsidRPr="001603AF" w:rsidRDefault="001603AF" w:rsidP="00792085">
            <w:pPr>
              <w:ind w:left="34" w:right="34"/>
            </w:pPr>
            <w:r w:rsidRPr="001603AF">
              <w:t>22 (40%)</w:t>
            </w:r>
          </w:p>
          <w:p w:rsidR="001603AF" w:rsidRPr="001603AF" w:rsidRDefault="001603AF" w:rsidP="00792085">
            <w:pPr>
              <w:ind w:left="34" w:right="34"/>
            </w:pPr>
            <w:r w:rsidRPr="001603AF">
              <w:t>AG = 21</w:t>
            </w:r>
          </w:p>
          <w:p w:rsidR="001603AF" w:rsidRPr="001603AF" w:rsidRDefault="001603AF" w:rsidP="00792085">
            <w:pPr>
              <w:ind w:left="34" w:right="34"/>
            </w:pPr>
            <w:r w:rsidRPr="001603AF">
              <w:t>Other = 1</w:t>
            </w:r>
          </w:p>
        </w:tc>
        <w:tc>
          <w:tcPr>
            <w:tcW w:w="1530" w:type="dxa"/>
          </w:tcPr>
          <w:p w:rsidR="001603AF" w:rsidRPr="001603AF" w:rsidRDefault="001603AF" w:rsidP="00792085">
            <w:pPr>
              <w:ind w:left="34" w:right="63"/>
            </w:pPr>
            <w:r w:rsidRPr="001603AF">
              <w:t>1/55</w:t>
            </w:r>
          </w:p>
        </w:tc>
        <w:tc>
          <w:tcPr>
            <w:tcW w:w="1559" w:type="dxa"/>
          </w:tcPr>
          <w:p w:rsidR="001603AF" w:rsidRPr="001603AF" w:rsidRDefault="001603AF" w:rsidP="00792085">
            <w:pPr>
              <w:ind w:left="34" w:right="63"/>
            </w:pPr>
            <w:r w:rsidRPr="001603AF">
              <w:t>PR 25/55</w:t>
            </w:r>
          </w:p>
          <w:p w:rsidR="001603AF" w:rsidRPr="001603AF" w:rsidRDefault="001603AF" w:rsidP="00792085">
            <w:pPr>
              <w:ind w:left="34" w:right="63"/>
            </w:pPr>
            <w:r w:rsidRPr="001603AF">
              <w:t>SD 25/55</w:t>
            </w:r>
          </w:p>
          <w:p w:rsidR="001603AF" w:rsidRPr="001603AF" w:rsidRDefault="001603AF" w:rsidP="00792085">
            <w:pPr>
              <w:ind w:left="34" w:right="63"/>
            </w:pPr>
            <w:r w:rsidRPr="001603AF">
              <w:t>PD 3/55</w:t>
            </w:r>
          </w:p>
        </w:tc>
        <w:tc>
          <w:tcPr>
            <w:tcW w:w="1666" w:type="dxa"/>
          </w:tcPr>
          <w:p w:rsidR="001603AF" w:rsidRPr="001603AF" w:rsidRDefault="001603AF" w:rsidP="00792085">
            <w:pPr>
              <w:ind w:left="34" w:right="63"/>
            </w:pPr>
            <w:r w:rsidRPr="001603AF">
              <w:t>NR</w:t>
            </w:r>
          </w:p>
        </w:tc>
      </w:tr>
      <w:tr w:rsidR="001603AF" w:rsidRPr="001603AF" w:rsidTr="00792085">
        <w:tc>
          <w:tcPr>
            <w:tcW w:w="1384" w:type="dxa"/>
          </w:tcPr>
          <w:p w:rsidR="001603AF" w:rsidRPr="001603AF" w:rsidRDefault="001603AF" w:rsidP="00792085">
            <w:pPr>
              <w:tabs>
                <w:tab w:val="left" w:pos="1168"/>
              </w:tabs>
              <w:ind w:left="0" w:right="34"/>
            </w:pPr>
            <w:r w:rsidRPr="001603AF">
              <w:t>7</w:t>
            </w:r>
          </w:p>
          <w:p w:rsidR="001603AF" w:rsidRPr="001603AF" w:rsidRDefault="001603AF" w:rsidP="00792085">
            <w:pPr>
              <w:tabs>
                <w:tab w:val="left" w:pos="1168"/>
              </w:tabs>
              <w:ind w:left="0" w:right="34"/>
            </w:pPr>
            <w:r w:rsidRPr="001603AF">
              <w:t>(P)</w:t>
            </w:r>
          </w:p>
        </w:tc>
        <w:tc>
          <w:tcPr>
            <w:tcW w:w="1134" w:type="dxa"/>
          </w:tcPr>
          <w:p w:rsidR="001603AF" w:rsidRPr="001603AF" w:rsidRDefault="001603AF" w:rsidP="00792085">
            <w:pPr>
              <w:ind w:left="34" w:right="34"/>
            </w:pPr>
            <w:r w:rsidRPr="001603AF">
              <w:t>27</w:t>
            </w:r>
          </w:p>
        </w:tc>
        <w:tc>
          <w:tcPr>
            <w:tcW w:w="1447" w:type="dxa"/>
          </w:tcPr>
          <w:p w:rsidR="001603AF" w:rsidRPr="001603AF" w:rsidRDefault="001603AF" w:rsidP="00792085">
            <w:pPr>
              <w:ind w:left="34" w:right="34"/>
            </w:pPr>
            <w:r w:rsidRPr="001603AF">
              <w:t>15 (55%)</w:t>
            </w:r>
          </w:p>
          <w:p w:rsidR="001603AF" w:rsidRPr="001603AF" w:rsidRDefault="001603AF" w:rsidP="00792085">
            <w:pPr>
              <w:ind w:left="34" w:right="34"/>
            </w:pPr>
            <w:proofErr w:type="spellStart"/>
            <w:r w:rsidRPr="001603AF">
              <w:t>Gd</w:t>
            </w:r>
            <w:proofErr w:type="spellEnd"/>
            <w:r w:rsidRPr="001603AF">
              <w:t xml:space="preserve"> III = 9</w:t>
            </w:r>
          </w:p>
          <w:p w:rsidR="001603AF" w:rsidRPr="001603AF" w:rsidRDefault="001603AF" w:rsidP="00792085">
            <w:pPr>
              <w:ind w:left="34" w:right="34"/>
            </w:pPr>
            <w:proofErr w:type="spellStart"/>
            <w:r w:rsidRPr="001603AF">
              <w:t>Gd</w:t>
            </w:r>
            <w:proofErr w:type="spellEnd"/>
            <w:r w:rsidRPr="001603AF">
              <w:t xml:space="preserve"> I/II = 6</w:t>
            </w:r>
          </w:p>
        </w:tc>
        <w:tc>
          <w:tcPr>
            <w:tcW w:w="1530" w:type="dxa"/>
          </w:tcPr>
          <w:p w:rsidR="001603AF" w:rsidRPr="001603AF" w:rsidRDefault="001603AF" w:rsidP="00792085">
            <w:pPr>
              <w:ind w:left="34" w:right="63"/>
            </w:pPr>
            <w:r w:rsidRPr="001603AF">
              <w:t>0/27</w:t>
            </w:r>
          </w:p>
        </w:tc>
        <w:tc>
          <w:tcPr>
            <w:tcW w:w="1559" w:type="dxa"/>
          </w:tcPr>
          <w:p w:rsidR="001603AF" w:rsidRPr="001603AF" w:rsidRDefault="001603AF" w:rsidP="00792085">
            <w:pPr>
              <w:ind w:left="34" w:right="63"/>
            </w:pPr>
            <w:r w:rsidRPr="001603AF">
              <w:t>PR 12/27</w:t>
            </w:r>
          </w:p>
          <w:p w:rsidR="001603AF" w:rsidRPr="001603AF" w:rsidRDefault="001603AF" w:rsidP="00792085">
            <w:pPr>
              <w:ind w:left="34" w:right="63"/>
            </w:pPr>
            <w:r w:rsidRPr="001603AF">
              <w:t>SD 11/27</w:t>
            </w:r>
          </w:p>
          <w:p w:rsidR="001603AF" w:rsidRPr="001603AF" w:rsidRDefault="001603AF" w:rsidP="00792085">
            <w:pPr>
              <w:ind w:left="34" w:right="63"/>
            </w:pPr>
            <w:r w:rsidRPr="001603AF">
              <w:t>PD 4/27</w:t>
            </w:r>
          </w:p>
        </w:tc>
        <w:tc>
          <w:tcPr>
            <w:tcW w:w="1666" w:type="dxa"/>
          </w:tcPr>
          <w:p w:rsidR="001603AF" w:rsidRPr="001603AF" w:rsidRDefault="001603AF" w:rsidP="00792085">
            <w:pPr>
              <w:ind w:left="34" w:right="63"/>
            </w:pPr>
            <w:r w:rsidRPr="001603AF">
              <w:t>NR</w:t>
            </w:r>
          </w:p>
        </w:tc>
      </w:tr>
      <w:tr w:rsidR="001603AF" w:rsidRPr="001603AF" w:rsidTr="00792085">
        <w:tc>
          <w:tcPr>
            <w:tcW w:w="1384" w:type="dxa"/>
          </w:tcPr>
          <w:p w:rsidR="001603AF" w:rsidRPr="001603AF" w:rsidRDefault="001603AF" w:rsidP="00792085">
            <w:pPr>
              <w:tabs>
                <w:tab w:val="left" w:pos="1168"/>
              </w:tabs>
              <w:ind w:left="0" w:right="34"/>
            </w:pPr>
            <w:r w:rsidRPr="001603AF">
              <w:t>8</w:t>
            </w:r>
          </w:p>
          <w:p w:rsidR="001603AF" w:rsidRPr="001603AF" w:rsidRDefault="001603AF" w:rsidP="00792085">
            <w:pPr>
              <w:tabs>
                <w:tab w:val="left" w:pos="1168"/>
              </w:tabs>
              <w:ind w:left="0" w:right="34"/>
            </w:pPr>
            <w:r w:rsidRPr="001603AF">
              <w:t>(P)</w:t>
            </w:r>
          </w:p>
        </w:tc>
        <w:tc>
          <w:tcPr>
            <w:tcW w:w="1134" w:type="dxa"/>
          </w:tcPr>
          <w:p w:rsidR="001603AF" w:rsidRPr="001603AF" w:rsidRDefault="001603AF" w:rsidP="00792085">
            <w:pPr>
              <w:ind w:left="34" w:right="34"/>
            </w:pPr>
            <w:r w:rsidRPr="001603AF">
              <w:t>21</w:t>
            </w:r>
          </w:p>
        </w:tc>
        <w:tc>
          <w:tcPr>
            <w:tcW w:w="1447" w:type="dxa"/>
          </w:tcPr>
          <w:p w:rsidR="001603AF" w:rsidRPr="001603AF" w:rsidRDefault="001603AF" w:rsidP="00792085">
            <w:pPr>
              <w:ind w:left="34" w:right="34"/>
            </w:pPr>
            <w:r w:rsidRPr="001603AF">
              <w:t>8 (NR)</w:t>
            </w:r>
          </w:p>
        </w:tc>
        <w:tc>
          <w:tcPr>
            <w:tcW w:w="1530" w:type="dxa"/>
          </w:tcPr>
          <w:p w:rsidR="001603AF" w:rsidRPr="001603AF" w:rsidRDefault="001603AF" w:rsidP="00792085">
            <w:pPr>
              <w:ind w:left="34" w:right="63"/>
              <w:rPr>
                <w:u w:val="single"/>
              </w:rPr>
            </w:pPr>
            <w:r w:rsidRPr="001603AF">
              <w:rPr>
                <w:u w:val="single"/>
              </w:rPr>
              <w:t>Grade III</w:t>
            </w:r>
          </w:p>
          <w:p w:rsidR="001603AF" w:rsidRPr="001603AF" w:rsidRDefault="001603AF" w:rsidP="00792085">
            <w:pPr>
              <w:ind w:left="34" w:right="63"/>
            </w:pPr>
            <w:r w:rsidRPr="001603AF">
              <w:t>CR 0/8</w:t>
            </w:r>
          </w:p>
        </w:tc>
        <w:tc>
          <w:tcPr>
            <w:tcW w:w="1559" w:type="dxa"/>
          </w:tcPr>
          <w:p w:rsidR="001603AF" w:rsidRPr="001603AF" w:rsidRDefault="001603AF" w:rsidP="00792085">
            <w:pPr>
              <w:ind w:left="34" w:right="63"/>
              <w:rPr>
                <w:u w:val="single"/>
              </w:rPr>
            </w:pPr>
            <w:r w:rsidRPr="001603AF">
              <w:rPr>
                <w:u w:val="single"/>
              </w:rPr>
              <w:t>Grade III</w:t>
            </w:r>
          </w:p>
          <w:p w:rsidR="001603AF" w:rsidRPr="001603AF" w:rsidRDefault="001603AF" w:rsidP="00792085">
            <w:pPr>
              <w:ind w:left="34" w:right="63"/>
            </w:pPr>
            <w:r w:rsidRPr="001603AF">
              <w:t>PR 4/8</w:t>
            </w:r>
          </w:p>
          <w:p w:rsidR="001603AF" w:rsidRPr="001603AF" w:rsidRDefault="001603AF" w:rsidP="00792085">
            <w:pPr>
              <w:ind w:left="34" w:right="63"/>
            </w:pPr>
            <w:r w:rsidRPr="001603AF">
              <w:lastRenderedPageBreak/>
              <w:t>SD 1/8</w:t>
            </w:r>
          </w:p>
          <w:p w:rsidR="001603AF" w:rsidRPr="001603AF" w:rsidRDefault="001603AF" w:rsidP="00792085">
            <w:pPr>
              <w:ind w:left="34" w:right="63"/>
            </w:pPr>
            <w:r w:rsidRPr="001603AF">
              <w:t>PD 3/8</w:t>
            </w:r>
          </w:p>
        </w:tc>
        <w:tc>
          <w:tcPr>
            <w:tcW w:w="1666" w:type="dxa"/>
          </w:tcPr>
          <w:p w:rsidR="001603AF" w:rsidRPr="001603AF" w:rsidRDefault="001603AF" w:rsidP="00792085">
            <w:pPr>
              <w:ind w:left="34" w:right="63"/>
              <w:rPr>
                <w:u w:val="single"/>
              </w:rPr>
            </w:pPr>
            <w:r w:rsidRPr="001603AF">
              <w:rPr>
                <w:u w:val="single"/>
              </w:rPr>
              <w:lastRenderedPageBreak/>
              <w:t>Grade III</w:t>
            </w:r>
          </w:p>
          <w:p w:rsidR="001603AF" w:rsidRPr="001603AF" w:rsidRDefault="001603AF" w:rsidP="00792085">
            <w:pPr>
              <w:ind w:left="34" w:right="63"/>
            </w:pPr>
            <w:r w:rsidRPr="001603AF">
              <w:t>50%</w:t>
            </w:r>
          </w:p>
        </w:tc>
      </w:tr>
      <w:tr w:rsidR="001603AF" w:rsidRPr="001603AF" w:rsidTr="00792085">
        <w:tc>
          <w:tcPr>
            <w:tcW w:w="1384" w:type="dxa"/>
          </w:tcPr>
          <w:p w:rsidR="001603AF" w:rsidRPr="001603AF" w:rsidRDefault="001603AF" w:rsidP="00792085">
            <w:pPr>
              <w:tabs>
                <w:tab w:val="left" w:pos="1168"/>
              </w:tabs>
              <w:ind w:left="0" w:right="34"/>
            </w:pPr>
            <w:r w:rsidRPr="001603AF">
              <w:lastRenderedPageBreak/>
              <w:t>9</w:t>
            </w:r>
          </w:p>
          <w:p w:rsidR="001603AF" w:rsidRPr="001603AF" w:rsidRDefault="001603AF" w:rsidP="00792085">
            <w:pPr>
              <w:tabs>
                <w:tab w:val="left" w:pos="1168"/>
              </w:tabs>
              <w:ind w:left="0" w:right="34"/>
            </w:pPr>
            <w:r w:rsidRPr="001603AF">
              <w:t>(P)</w:t>
            </w:r>
          </w:p>
        </w:tc>
        <w:tc>
          <w:tcPr>
            <w:tcW w:w="1134" w:type="dxa"/>
          </w:tcPr>
          <w:p w:rsidR="001603AF" w:rsidRPr="001603AF" w:rsidRDefault="001603AF" w:rsidP="00792085">
            <w:pPr>
              <w:ind w:left="34" w:right="34"/>
            </w:pPr>
            <w:r w:rsidRPr="001603AF">
              <w:t>20</w:t>
            </w:r>
          </w:p>
        </w:tc>
        <w:tc>
          <w:tcPr>
            <w:tcW w:w="1447" w:type="dxa"/>
          </w:tcPr>
          <w:p w:rsidR="001603AF" w:rsidRPr="001603AF" w:rsidRDefault="001603AF" w:rsidP="00792085">
            <w:pPr>
              <w:ind w:left="34" w:right="34"/>
            </w:pPr>
            <w:r w:rsidRPr="001603AF">
              <w:t>3 (15%)</w:t>
            </w:r>
          </w:p>
          <w:p w:rsidR="001603AF" w:rsidRPr="001603AF" w:rsidRDefault="001603AF" w:rsidP="00792085">
            <w:pPr>
              <w:ind w:left="34" w:right="34"/>
            </w:pPr>
            <w:r w:rsidRPr="001603AF">
              <w:t>AA = 2</w:t>
            </w:r>
          </w:p>
          <w:p w:rsidR="001603AF" w:rsidRPr="001603AF" w:rsidRDefault="001603AF" w:rsidP="00792085">
            <w:pPr>
              <w:ind w:left="34" w:right="34"/>
            </w:pPr>
            <w:r w:rsidRPr="001603AF">
              <w:t>AO = 1</w:t>
            </w:r>
          </w:p>
        </w:tc>
        <w:tc>
          <w:tcPr>
            <w:tcW w:w="1530" w:type="dxa"/>
          </w:tcPr>
          <w:p w:rsidR="001603AF" w:rsidRPr="001603AF" w:rsidRDefault="001603AF" w:rsidP="00792085">
            <w:pPr>
              <w:ind w:left="34" w:right="63"/>
            </w:pPr>
            <w:r w:rsidRPr="001603AF">
              <w:t>CR 2/19</w:t>
            </w:r>
          </w:p>
        </w:tc>
        <w:tc>
          <w:tcPr>
            <w:tcW w:w="1559" w:type="dxa"/>
          </w:tcPr>
          <w:p w:rsidR="001603AF" w:rsidRPr="001603AF" w:rsidRDefault="001603AF" w:rsidP="00792085">
            <w:pPr>
              <w:ind w:left="34" w:right="63"/>
            </w:pPr>
            <w:r w:rsidRPr="001603AF">
              <w:t>PR 7/19</w:t>
            </w:r>
          </w:p>
          <w:p w:rsidR="001603AF" w:rsidRPr="001603AF" w:rsidRDefault="001603AF" w:rsidP="00792085">
            <w:pPr>
              <w:ind w:left="34" w:right="63"/>
            </w:pPr>
            <w:r w:rsidRPr="001603AF">
              <w:t>SD 2/19</w:t>
            </w:r>
          </w:p>
          <w:p w:rsidR="001603AF" w:rsidRPr="001603AF" w:rsidRDefault="001603AF" w:rsidP="00792085">
            <w:pPr>
              <w:ind w:left="34" w:right="63"/>
            </w:pPr>
            <w:r w:rsidRPr="001603AF">
              <w:t>PD 8/19</w:t>
            </w:r>
          </w:p>
        </w:tc>
        <w:tc>
          <w:tcPr>
            <w:tcW w:w="1666" w:type="dxa"/>
          </w:tcPr>
          <w:p w:rsidR="001603AF" w:rsidRPr="001603AF" w:rsidRDefault="001603AF" w:rsidP="00792085">
            <w:pPr>
              <w:ind w:left="34" w:right="63"/>
            </w:pPr>
            <w:r w:rsidRPr="001603AF">
              <w:t>NR</w:t>
            </w:r>
          </w:p>
        </w:tc>
      </w:tr>
      <w:tr w:rsidR="001603AF" w:rsidRPr="001603AF" w:rsidTr="00792085">
        <w:tc>
          <w:tcPr>
            <w:tcW w:w="1384" w:type="dxa"/>
          </w:tcPr>
          <w:p w:rsidR="001603AF" w:rsidRPr="001603AF" w:rsidRDefault="001603AF" w:rsidP="00792085">
            <w:pPr>
              <w:tabs>
                <w:tab w:val="left" w:pos="1168"/>
              </w:tabs>
              <w:ind w:left="0" w:right="34"/>
            </w:pPr>
            <w:r w:rsidRPr="001603AF">
              <w:t>11</w:t>
            </w:r>
          </w:p>
          <w:p w:rsidR="001603AF" w:rsidRPr="001603AF" w:rsidRDefault="001603AF" w:rsidP="00792085">
            <w:pPr>
              <w:tabs>
                <w:tab w:val="left" w:pos="1168"/>
              </w:tabs>
              <w:ind w:left="0" w:right="34"/>
            </w:pPr>
            <w:r w:rsidRPr="001603AF">
              <w:t>(A)</w:t>
            </w:r>
          </w:p>
        </w:tc>
        <w:tc>
          <w:tcPr>
            <w:tcW w:w="1134" w:type="dxa"/>
          </w:tcPr>
          <w:p w:rsidR="001603AF" w:rsidRPr="001603AF" w:rsidRDefault="001603AF" w:rsidP="00792085">
            <w:pPr>
              <w:ind w:left="34" w:right="34"/>
            </w:pPr>
            <w:r w:rsidRPr="001603AF">
              <w:t>44</w:t>
            </w:r>
          </w:p>
        </w:tc>
        <w:tc>
          <w:tcPr>
            <w:tcW w:w="1447" w:type="dxa"/>
          </w:tcPr>
          <w:p w:rsidR="001603AF" w:rsidRPr="001603AF" w:rsidRDefault="001603AF" w:rsidP="00792085">
            <w:pPr>
              <w:ind w:left="34" w:right="34"/>
            </w:pPr>
            <w:r w:rsidRPr="001603AF">
              <w:t>16 (37%)</w:t>
            </w:r>
          </w:p>
          <w:p w:rsidR="001603AF" w:rsidRPr="001603AF" w:rsidRDefault="001603AF" w:rsidP="00792085">
            <w:pPr>
              <w:ind w:left="34" w:right="34"/>
            </w:pPr>
            <w:r w:rsidRPr="001603AF">
              <w:t>AA = 11</w:t>
            </w:r>
          </w:p>
          <w:p w:rsidR="001603AF" w:rsidRPr="001603AF" w:rsidRDefault="001603AF" w:rsidP="00792085">
            <w:pPr>
              <w:ind w:left="34" w:right="34"/>
            </w:pPr>
            <w:r w:rsidRPr="001603AF">
              <w:t>AOD = 5</w:t>
            </w:r>
          </w:p>
        </w:tc>
        <w:tc>
          <w:tcPr>
            <w:tcW w:w="1530" w:type="dxa"/>
          </w:tcPr>
          <w:p w:rsidR="001603AF" w:rsidRPr="001603AF" w:rsidRDefault="001603AF" w:rsidP="00792085">
            <w:pPr>
              <w:ind w:left="34" w:right="63"/>
            </w:pPr>
            <w:r w:rsidRPr="001603AF">
              <w:t>CR 4/44</w:t>
            </w:r>
          </w:p>
        </w:tc>
        <w:tc>
          <w:tcPr>
            <w:tcW w:w="1559" w:type="dxa"/>
          </w:tcPr>
          <w:p w:rsidR="001603AF" w:rsidRPr="001603AF" w:rsidRDefault="001603AF" w:rsidP="00792085">
            <w:pPr>
              <w:ind w:left="34" w:right="63"/>
            </w:pPr>
            <w:r w:rsidRPr="001603AF">
              <w:t>PR 19/44</w:t>
            </w:r>
          </w:p>
          <w:p w:rsidR="001603AF" w:rsidRPr="001603AF" w:rsidRDefault="001603AF" w:rsidP="00792085">
            <w:pPr>
              <w:ind w:left="34" w:right="63"/>
            </w:pPr>
            <w:r w:rsidRPr="001603AF">
              <w:t>SD 12/44</w:t>
            </w:r>
          </w:p>
          <w:p w:rsidR="001603AF" w:rsidRPr="001603AF" w:rsidRDefault="001603AF" w:rsidP="00792085">
            <w:pPr>
              <w:ind w:left="34" w:right="63"/>
            </w:pPr>
            <w:r w:rsidRPr="001603AF">
              <w:t>PD 7/44</w:t>
            </w:r>
          </w:p>
        </w:tc>
        <w:tc>
          <w:tcPr>
            <w:tcW w:w="1666" w:type="dxa"/>
          </w:tcPr>
          <w:p w:rsidR="001603AF" w:rsidRPr="001603AF" w:rsidRDefault="001603AF" w:rsidP="00792085">
            <w:pPr>
              <w:ind w:left="34" w:right="63"/>
            </w:pPr>
            <w:r w:rsidRPr="001603AF">
              <w:t>NR</w:t>
            </w:r>
          </w:p>
        </w:tc>
      </w:tr>
      <w:tr w:rsidR="001603AF" w:rsidRPr="001603AF" w:rsidTr="00792085">
        <w:tc>
          <w:tcPr>
            <w:tcW w:w="1384" w:type="dxa"/>
          </w:tcPr>
          <w:p w:rsidR="001603AF" w:rsidRPr="001603AF" w:rsidRDefault="001603AF" w:rsidP="00792085">
            <w:pPr>
              <w:tabs>
                <w:tab w:val="left" w:pos="1168"/>
              </w:tabs>
              <w:ind w:left="0" w:right="34"/>
            </w:pPr>
            <w:r w:rsidRPr="001603AF">
              <w:t>12</w:t>
            </w:r>
          </w:p>
          <w:p w:rsidR="001603AF" w:rsidRPr="001603AF" w:rsidRDefault="001603AF" w:rsidP="00792085">
            <w:pPr>
              <w:tabs>
                <w:tab w:val="left" w:pos="1168"/>
              </w:tabs>
              <w:ind w:left="0" w:right="34"/>
            </w:pPr>
            <w:r w:rsidRPr="001603AF">
              <w:t>(A)</w:t>
            </w:r>
          </w:p>
        </w:tc>
        <w:tc>
          <w:tcPr>
            <w:tcW w:w="1134" w:type="dxa"/>
          </w:tcPr>
          <w:p w:rsidR="001603AF" w:rsidRPr="001603AF" w:rsidRDefault="001603AF" w:rsidP="00792085">
            <w:pPr>
              <w:ind w:left="34" w:right="34"/>
            </w:pPr>
            <w:r w:rsidRPr="001603AF">
              <w:t>21</w:t>
            </w:r>
          </w:p>
        </w:tc>
        <w:tc>
          <w:tcPr>
            <w:tcW w:w="1447" w:type="dxa"/>
          </w:tcPr>
          <w:p w:rsidR="001603AF" w:rsidRPr="001603AF" w:rsidRDefault="001603AF" w:rsidP="00792085">
            <w:pPr>
              <w:ind w:left="34" w:right="34"/>
            </w:pPr>
            <w:r w:rsidRPr="001603AF">
              <w:t>10 (48%)</w:t>
            </w:r>
          </w:p>
        </w:tc>
        <w:tc>
          <w:tcPr>
            <w:tcW w:w="1530" w:type="dxa"/>
          </w:tcPr>
          <w:p w:rsidR="001603AF" w:rsidRPr="001603AF" w:rsidRDefault="001603AF" w:rsidP="00792085">
            <w:pPr>
              <w:ind w:left="34" w:right="63"/>
            </w:pPr>
            <w:r w:rsidRPr="001603AF">
              <w:t>CR 1/27</w:t>
            </w:r>
          </w:p>
        </w:tc>
        <w:tc>
          <w:tcPr>
            <w:tcW w:w="1559" w:type="dxa"/>
          </w:tcPr>
          <w:p w:rsidR="001603AF" w:rsidRPr="001603AF" w:rsidRDefault="001603AF" w:rsidP="00792085">
            <w:pPr>
              <w:ind w:left="34" w:right="63"/>
            </w:pPr>
            <w:r w:rsidRPr="001603AF">
              <w:t>PR 8/27</w:t>
            </w:r>
          </w:p>
          <w:p w:rsidR="001603AF" w:rsidRPr="001603AF" w:rsidRDefault="001603AF" w:rsidP="00792085">
            <w:pPr>
              <w:ind w:left="34" w:right="63"/>
            </w:pPr>
            <w:r w:rsidRPr="001603AF">
              <w:t>SD 11/27</w:t>
            </w:r>
          </w:p>
          <w:p w:rsidR="001603AF" w:rsidRPr="001603AF" w:rsidRDefault="001603AF" w:rsidP="00792085">
            <w:pPr>
              <w:ind w:left="34" w:right="63"/>
            </w:pPr>
            <w:r w:rsidRPr="001603AF">
              <w:t>PD 7/27</w:t>
            </w:r>
          </w:p>
        </w:tc>
        <w:tc>
          <w:tcPr>
            <w:tcW w:w="1666" w:type="dxa"/>
          </w:tcPr>
          <w:p w:rsidR="001603AF" w:rsidRPr="001603AF" w:rsidRDefault="001603AF" w:rsidP="00792085">
            <w:pPr>
              <w:ind w:left="34" w:right="63"/>
            </w:pPr>
            <w:r w:rsidRPr="001603AF">
              <w:t>NR</w:t>
            </w:r>
          </w:p>
        </w:tc>
      </w:tr>
    </w:tbl>
    <w:p w:rsidR="001603AF" w:rsidRPr="001603AF" w:rsidRDefault="001603AF" w:rsidP="00792085">
      <w:pPr>
        <w:pStyle w:val="TableDescription"/>
      </w:pPr>
      <w:r w:rsidRPr="001603AF">
        <w:t>*: Publication or Abstract</w:t>
      </w:r>
    </w:p>
    <w:p w:rsidR="001603AF" w:rsidRPr="001603AF" w:rsidRDefault="001603AF" w:rsidP="00792085">
      <w:pPr>
        <w:pStyle w:val="TableDescription"/>
      </w:pPr>
      <w:r w:rsidRPr="001603AF">
        <w:t xml:space="preserve">AA: </w:t>
      </w:r>
      <w:proofErr w:type="spellStart"/>
      <w:r w:rsidRPr="001603AF">
        <w:t>Anaplastic</w:t>
      </w:r>
      <w:proofErr w:type="spellEnd"/>
      <w:r w:rsidRPr="001603AF">
        <w:t xml:space="preserve"> </w:t>
      </w:r>
      <w:proofErr w:type="spellStart"/>
      <w:r w:rsidRPr="001603AF">
        <w:t>Astrocytoma</w:t>
      </w:r>
      <w:proofErr w:type="spellEnd"/>
      <w:r w:rsidRPr="001603AF">
        <w:t xml:space="preserve">, AO: </w:t>
      </w:r>
      <w:proofErr w:type="spellStart"/>
      <w:r w:rsidRPr="001603AF">
        <w:t>Anaplastic</w:t>
      </w:r>
      <w:proofErr w:type="spellEnd"/>
      <w:r w:rsidRPr="001603AF">
        <w:t xml:space="preserve"> </w:t>
      </w:r>
      <w:proofErr w:type="spellStart"/>
      <w:r w:rsidRPr="001603AF">
        <w:t>Oligoastrocytoma</w:t>
      </w:r>
      <w:proofErr w:type="spellEnd"/>
      <w:r w:rsidRPr="001603AF">
        <w:t xml:space="preserve">, AOD: </w:t>
      </w:r>
      <w:proofErr w:type="spellStart"/>
      <w:r w:rsidRPr="001603AF">
        <w:t>Anaplastic</w:t>
      </w:r>
      <w:proofErr w:type="spellEnd"/>
      <w:r w:rsidRPr="001603AF">
        <w:t xml:space="preserve"> </w:t>
      </w:r>
      <w:proofErr w:type="spellStart"/>
      <w:r w:rsidRPr="001603AF">
        <w:t>Oligodendroglioma</w:t>
      </w:r>
      <w:proofErr w:type="spellEnd"/>
      <w:r w:rsidRPr="001603AF">
        <w:t xml:space="preserve">, AG: </w:t>
      </w:r>
      <w:proofErr w:type="spellStart"/>
      <w:r w:rsidRPr="001603AF">
        <w:t>Anaplastic</w:t>
      </w:r>
      <w:proofErr w:type="spellEnd"/>
      <w:r w:rsidRPr="001603AF">
        <w:t xml:space="preserve"> </w:t>
      </w:r>
      <w:proofErr w:type="spellStart"/>
      <w:r w:rsidRPr="001603AF">
        <w:t>Glioma</w:t>
      </w:r>
      <w:proofErr w:type="spellEnd"/>
    </w:p>
    <w:p w:rsidR="001603AF" w:rsidRPr="001603AF" w:rsidRDefault="001603AF" w:rsidP="00792085">
      <w:r w:rsidRPr="001603AF">
        <w:t>Six-month PFS was reported separately for Grades III and IV in only 2 studies. The 6-month PFS for patients with Grade III disease was 32% in group 6 and 75% in group 7. In patients with Grade IV disease the corresponding results were 42% and 17%. The discrepancy in group 6 where the 6-month PFS was lower in Grade III patients than in Grade IV patients was explained as being due to the small sample size. The results for Grades III and IV combined, ranged from 25% to 44%. The data for patients in Groups 8 and 12 were not presented because there was no duration of response data available (Table 15).</w:t>
      </w:r>
    </w:p>
    <w:p w:rsidR="001603AF" w:rsidRPr="001603AF" w:rsidRDefault="001603AF" w:rsidP="00792085">
      <w:pPr>
        <w:pStyle w:val="TableTitle"/>
      </w:pPr>
      <w:r w:rsidRPr="001603AF">
        <w:t>Table 15 Summary of PFS and OS data for Patient Groups 5-12</w:t>
      </w:r>
    </w:p>
    <w:tbl>
      <w:tblPr>
        <w:tblStyle w:val="TableTGAblue"/>
        <w:tblW w:w="0" w:type="auto"/>
        <w:tblLayout w:type="fixed"/>
        <w:tblLook w:val="04A0"/>
      </w:tblPr>
      <w:tblGrid>
        <w:gridCol w:w="1384"/>
        <w:gridCol w:w="1134"/>
        <w:gridCol w:w="1843"/>
        <w:gridCol w:w="2268"/>
        <w:gridCol w:w="2091"/>
      </w:tblGrid>
      <w:tr w:rsidR="001603AF" w:rsidRPr="001603AF" w:rsidTr="00792085">
        <w:trPr>
          <w:cnfStyle w:val="100000000000"/>
          <w:tblHeader/>
        </w:trPr>
        <w:tc>
          <w:tcPr>
            <w:tcW w:w="1384" w:type="dxa"/>
            <w:vMerge w:val="restart"/>
          </w:tcPr>
          <w:p w:rsidR="001603AF" w:rsidRPr="001603AF" w:rsidRDefault="001603AF" w:rsidP="00792085">
            <w:pPr>
              <w:ind w:left="0" w:right="34"/>
            </w:pPr>
            <w:r w:rsidRPr="001603AF">
              <w:t>Patient Group</w:t>
            </w:r>
          </w:p>
          <w:p w:rsidR="001603AF" w:rsidRPr="001603AF" w:rsidRDefault="001603AF" w:rsidP="00792085">
            <w:pPr>
              <w:ind w:left="0" w:right="34"/>
            </w:pPr>
            <w:r w:rsidRPr="001603AF">
              <w:t>(A or P)</w:t>
            </w:r>
          </w:p>
        </w:tc>
        <w:tc>
          <w:tcPr>
            <w:tcW w:w="2977" w:type="dxa"/>
            <w:gridSpan w:val="2"/>
          </w:tcPr>
          <w:p w:rsidR="001603AF" w:rsidRPr="001603AF" w:rsidRDefault="001603AF" w:rsidP="00792085">
            <w:pPr>
              <w:tabs>
                <w:tab w:val="left" w:pos="918"/>
              </w:tabs>
              <w:ind w:left="34" w:right="34"/>
            </w:pPr>
            <w:r w:rsidRPr="001603AF">
              <w:t>Number</w:t>
            </w:r>
          </w:p>
        </w:tc>
        <w:tc>
          <w:tcPr>
            <w:tcW w:w="4359" w:type="dxa"/>
            <w:gridSpan w:val="2"/>
          </w:tcPr>
          <w:p w:rsidR="001603AF" w:rsidRPr="001603AF" w:rsidRDefault="001603AF" w:rsidP="00792085">
            <w:pPr>
              <w:ind w:left="34" w:right="0"/>
            </w:pPr>
            <w:r w:rsidRPr="001603AF">
              <w:t>Response Duration</w:t>
            </w:r>
          </w:p>
        </w:tc>
      </w:tr>
      <w:tr w:rsidR="001603AF" w:rsidRPr="001603AF" w:rsidTr="00792085">
        <w:trPr>
          <w:cnfStyle w:val="100000000000"/>
          <w:tblHeader/>
        </w:trPr>
        <w:tc>
          <w:tcPr>
            <w:tcW w:w="1384" w:type="dxa"/>
            <w:vMerge/>
          </w:tcPr>
          <w:p w:rsidR="001603AF" w:rsidRPr="001603AF" w:rsidRDefault="001603AF" w:rsidP="00792085">
            <w:pPr>
              <w:ind w:left="0" w:right="34"/>
            </w:pPr>
          </w:p>
        </w:tc>
        <w:tc>
          <w:tcPr>
            <w:tcW w:w="1134" w:type="dxa"/>
          </w:tcPr>
          <w:p w:rsidR="001603AF" w:rsidRPr="001603AF" w:rsidRDefault="001603AF" w:rsidP="00792085">
            <w:pPr>
              <w:tabs>
                <w:tab w:val="left" w:pos="918"/>
              </w:tabs>
              <w:ind w:left="34" w:right="34"/>
            </w:pPr>
            <w:r w:rsidRPr="001603AF">
              <w:t>N</w:t>
            </w:r>
          </w:p>
        </w:tc>
        <w:tc>
          <w:tcPr>
            <w:tcW w:w="1843" w:type="dxa"/>
          </w:tcPr>
          <w:p w:rsidR="001603AF" w:rsidRPr="001603AF" w:rsidRDefault="001603AF" w:rsidP="00792085">
            <w:pPr>
              <w:tabs>
                <w:tab w:val="left" w:pos="918"/>
              </w:tabs>
              <w:ind w:left="34" w:right="34"/>
              <w:rPr>
                <w:b w:val="0"/>
              </w:rPr>
            </w:pPr>
            <w:r w:rsidRPr="001603AF">
              <w:t>Grade III n/(%)</w:t>
            </w:r>
          </w:p>
        </w:tc>
        <w:tc>
          <w:tcPr>
            <w:tcW w:w="2268" w:type="dxa"/>
          </w:tcPr>
          <w:p w:rsidR="001603AF" w:rsidRPr="001603AF" w:rsidRDefault="001603AF" w:rsidP="00792085">
            <w:pPr>
              <w:ind w:left="34" w:right="0"/>
            </w:pPr>
            <w:r w:rsidRPr="001603AF">
              <w:t>6-month PFS</w:t>
            </w:r>
          </w:p>
        </w:tc>
        <w:tc>
          <w:tcPr>
            <w:tcW w:w="2091" w:type="dxa"/>
          </w:tcPr>
          <w:p w:rsidR="001603AF" w:rsidRPr="001603AF" w:rsidRDefault="001603AF" w:rsidP="00792085">
            <w:pPr>
              <w:ind w:left="34" w:right="0"/>
              <w:rPr>
                <w:b w:val="0"/>
              </w:rPr>
            </w:pPr>
            <w:r w:rsidRPr="001603AF">
              <w:t>OS</w:t>
            </w:r>
          </w:p>
        </w:tc>
      </w:tr>
      <w:tr w:rsidR="001603AF" w:rsidRPr="001603AF" w:rsidTr="00792085">
        <w:tc>
          <w:tcPr>
            <w:tcW w:w="1384" w:type="dxa"/>
          </w:tcPr>
          <w:p w:rsidR="001603AF" w:rsidRPr="001603AF" w:rsidRDefault="001603AF" w:rsidP="00792085">
            <w:pPr>
              <w:ind w:left="0" w:right="34"/>
            </w:pPr>
            <w:r w:rsidRPr="001603AF">
              <w:t>5</w:t>
            </w:r>
          </w:p>
          <w:p w:rsidR="001603AF" w:rsidRPr="001603AF" w:rsidRDefault="001603AF" w:rsidP="00792085">
            <w:pPr>
              <w:ind w:left="0" w:right="34"/>
            </w:pPr>
            <w:r w:rsidRPr="001603AF">
              <w:t>(P)</w:t>
            </w:r>
          </w:p>
        </w:tc>
        <w:tc>
          <w:tcPr>
            <w:tcW w:w="1134" w:type="dxa"/>
          </w:tcPr>
          <w:p w:rsidR="001603AF" w:rsidRPr="001603AF" w:rsidRDefault="001603AF" w:rsidP="00792085">
            <w:pPr>
              <w:tabs>
                <w:tab w:val="left" w:pos="918"/>
              </w:tabs>
              <w:ind w:left="34" w:right="34"/>
            </w:pPr>
            <w:r w:rsidRPr="001603AF">
              <w:t>61</w:t>
            </w:r>
          </w:p>
        </w:tc>
        <w:tc>
          <w:tcPr>
            <w:tcW w:w="1843" w:type="dxa"/>
          </w:tcPr>
          <w:p w:rsidR="001603AF" w:rsidRPr="001603AF" w:rsidRDefault="001603AF" w:rsidP="00792085">
            <w:pPr>
              <w:tabs>
                <w:tab w:val="left" w:pos="918"/>
              </w:tabs>
              <w:ind w:left="34" w:right="34"/>
            </w:pPr>
            <w:r w:rsidRPr="001603AF">
              <w:t>24 (40%)</w:t>
            </w:r>
          </w:p>
          <w:p w:rsidR="001603AF" w:rsidRPr="001603AF" w:rsidRDefault="001603AF" w:rsidP="00792085">
            <w:pPr>
              <w:tabs>
                <w:tab w:val="left" w:pos="918"/>
              </w:tabs>
              <w:ind w:left="34" w:right="34"/>
            </w:pPr>
            <w:r w:rsidRPr="001603AF">
              <w:t>AA = 15</w:t>
            </w:r>
          </w:p>
          <w:p w:rsidR="001603AF" w:rsidRPr="001603AF" w:rsidRDefault="001603AF" w:rsidP="00792085">
            <w:pPr>
              <w:tabs>
                <w:tab w:val="left" w:pos="918"/>
              </w:tabs>
              <w:ind w:left="34" w:right="34"/>
            </w:pPr>
            <w:r w:rsidRPr="001603AF">
              <w:t>AO =  9</w:t>
            </w:r>
          </w:p>
        </w:tc>
        <w:tc>
          <w:tcPr>
            <w:tcW w:w="2268" w:type="dxa"/>
          </w:tcPr>
          <w:p w:rsidR="001603AF" w:rsidRPr="001603AF" w:rsidRDefault="001603AF" w:rsidP="00792085">
            <w:pPr>
              <w:ind w:left="34" w:right="0"/>
            </w:pPr>
            <w:r w:rsidRPr="001603AF">
              <w:t>All pts</w:t>
            </w:r>
          </w:p>
          <w:p w:rsidR="001603AF" w:rsidRPr="001603AF" w:rsidRDefault="001603AF" w:rsidP="00792085">
            <w:pPr>
              <w:ind w:left="34" w:right="0"/>
            </w:pPr>
            <w:r w:rsidRPr="001603AF">
              <w:t>44%</w:t>
            </w:r>
          </w:p>
        </w:tc>
        <w:tc>
          <w:tcPr>
            <w:tcW w:w="2091" w:type="dxa"/>
          </w:tcPr>
          <w:p w:rsidR="001603AF" w:rsidRPr="001603AF" w:rsidRDefault="001603AF" w:rsidP="00792085">
            <w:pPr>
              <w:ind w:left="34" w:right="0"/>
            </w:pPr>
            <w:r w:rsidRPr="001603AF">
              <w:t>Median 9 month</w:t>
            </w:r>
          </w:p>
        </w:tc>
      </w:tr>
      <w:tr w:rsidR="001603AF" w:rsidRPr="001603AF" w:rsidTr="00792085">
        <w:tc>
          <w:tcPr>
            <w:tcW w:w="1384" w:type="dxa"/>
          </w:tcPr>
          <w:p w:rsidR="001603AF" w:rsidRPr="001603AF" w:rsidRDefault="001603AF" w:rsidP="00792085">
            <w:pPr>
              <w:ind w:left="0" w:right="34"/>
            </w:pPr>
            <w:r w:rsidRPr="001603AF">
              <w:t>6</w:t>
            </w:r>
          </w:p>
          <w:p w:rsidR="001603AF" w:rsidRPr="001603AF" w:rsidRDefault="001603AF" w:rsidP="00792085">
            <w:pPr>
              <w:ind w:left="0" w:right="34"/>
            </w:pPr>
            <w:r w:rsidRPr="001603AF">
              <w:t>(P)</w:t>
            </w:r>
          </w:p>
        </w:tc>
        <w:tc>
          <w:tcPr>
            <w:tcW w:w="1134" w:type="dxa"/>
          </w:tcPr>
          <w:p w:rsidR="001603AF" w:rsidRPr="001603AF" w:rsidRDefault="001603AF" w:rsidP="00792085">
            <w:pPr>
              <w:tabs>
                <w:tab w:val="left" w:pos="918"/>
              </w:tabs>
              <w:ind w:left="34" w:right="34"/>
            </w:pPr>
            <w:r w:rsidRPr="001603AF">
              <w:t>55</w:t>
            </w:r>
          </w:p>
        </w:tc>
        <w:tc>
          <w:tcPr>
            <w:tcW w:w="1843" w:type="dxa"/>
          </w:tcPr>
          <w:p w:rsidR="001603AF" w:rsidRPr="001603AF" w:rsidRDefault="001603AF" w:rsidP="00792085">
            <w:pPr>
              <w:tabs>
                <w:tab w:val="left" w:pos="918"/>
              </w:tabs>
              <w:ind w:left="34" w:right="34"/>
            </w:pPr>
            <w:r w:rsidRPr="001603AF">
              <w:t>22 (40%)</w:t>
            </w:r>
          </w:p>
          <w:p w:rsidR="001603AF" w:rsidRPr="001603AF" w:rsidRDefault="001603AF" w:rsidP="00792085">
            <w:pPr>
              <w:tabs>
                <w:tab w:val="left" w:pos="918"/>
              </w:tabs>
              <w:ind w:left="34" w:right="34"/>
            </w:pPr>
            <w:r w:rsidRPr="001603AF">
              <w:t>AG = 21</w:t>
            </w:r>
          </w:p>
          <w:p w:rsidR="001603AF" w:rsidRPr="001603AF" w:rsidRDefault="001603AF" w:rsidP="00792085">
            <w:pPr>
              <w:tabs>
                <w:tab w:val="left" w:pos="918"/>
              </w:tabs>
              <w:ind w:left="34" w:right="34"/>
            </w:pPr>
            <w:r w:rsidRPr="001603AF">
              <w:t>Other = 1</w:t>
            </w:r>
          </w:p>
        </w:tc>
        <w:tc>
          <w:tcPr>
            <w:tcW w:w="2268" w:type="dxa"/>
          </w:tcPr>
          <w:p w:rsidR="001603AF" w:rsidRPr="001603AF" w:rsidRDefault="001603AF" w:rsidP="00792085">
            <w:pPr>
              <w:ind w:left="34" w:right="0"/>
            </w:pPr>
            <w:proofErr w:type="spellStart"/>
            <w:r w:rsidRPr="001603AF">
              <w:t>Gd</w:t>
            </w:r>
            <w:proofErr w:type="spellEnd"/>
            <w:r w:rsidRPr="001603AF">
              <w:t xml:space="preserve"> III=32%</w:t>
            </w:r>
          </w:p>
          <w:p w:rsidR="001603AF" w:rsidRPr="001603AF" w:rsidRDefault="001603AF" w:rsidP="00792085">
            <w:pPr>
              <w:ind w:left="34" w:right="0"/>
            </w:pPr>
            <w:proofErr w:type="spellStart"/>
            <w:r w:rsidRPr="001603AF">
              <w:t>Gd</w:t>
            </w:r>
            <w:proofErr w:type="spellEnd"/>
            <w:r w:rsidRPr="001603AF">
              <w:t xml:space="preserve"> IV=42%</w:t>
            </w:r>
          </w:p>
        </w:tc>
        <w:tc>
          <w:tcPr>
            <w:tcW w:w="2091" w:type="dxa"/>
          </w:tcPr>
          <w:p w:rsidR="001603AF" w:rsidRPr="001603AF" w:rsidRDefault="001603AF" w:rsidP="00792085">
            <w:pPr>
              <w:ind w:left="34" w:right="0"/>
            </w:pPr>
            <w:r w:rsidRPr="001603AF">
              <w:t>III&amp;IV 39%</w:t>
            </w:r>
          </w:p>
        </w:tc>
      </w:tr>
      <w:tr w:rsidR="001603AF" w:rsidRPr="001603AF" w:rsidTr="00792085">
        <w:tc>
          <w:tcPr>
            <w:tcW w:w="1384" w:type="dxa"/>
          </w:tcPr>
          <w:p w:rsidR="001603AF" w:rsidRPr="001603AF" w:rsidRDefault="001603AF" w:rsidP="00792085">
            <w:pPr>
              <w:ind w:left="0" w:right="34"/>
            </w:pPr>
            <w:r w:rsidRPr="001603AF">
              <w:lastRenderedPageBreak/>
              <w:t>7</w:t>
            </w:r>
          </w:p>
          <w:p w:rsidR="001603AF" w:rsidRPr="001603AF" w:rsidRDefault="001603AF" w:rsidP="00792085">
            <w:pPr>
              <w:ind w:left="0" w:right="34"/>
            </w:pPr>
            <w:r w:rsidRPr="001603AF">
              <w:t>(P)</w:t>
            </w:r>
          </w:p>
        </w:tc>
        <w:tc>
          <w:tcPr>
            <w:tcW w:w="1134" w:type="dxa"/>
          </w:tcPr>
          <w:p w:rsidR="001603AF" w:rsidRPr="001603AF" w:rsidRDefault="001603AF" w:rsidP="00792085">
            <w:pPr>
              <w:tabs>
                <w:tab w:val="left" w:pos="918"/>
              </w:tabs>
              <w:ind w:left="34" w:right="34"/>
            </w:pPr>
            <w:r w:rsidRPr="001603AF">
              <w:t>27</w:t>
            </w:r>
          </w:p>
        </w:tc>
        <w:tc>
          <w:tcPr>
            <w:tcW w:w="1843" w:type="dxa"/>
          </w:tcPr>
          <w:p w:rsidR="001603AF" w:rsidRPr="001603AF" w:rsidRDefault="001603AF" w:rsidP="00792085">
            <w:pPr>
              <w:tabs>
                <w:tab w:val="left" w:pos="918"/>
              </w:tabs>
              <w:ind w:left="34" w:right="34"/>
            </w:pPr>
            <w:r w:rsidRPr="001603AF">
              <w:t>15 (55%)</w:t>
            </w:r>
          </w:p>
          <w:p w:rsidR="001603AF" w:rsidRPr="001603AF" w:rsidRDefault="001603AF" w:rsidP="00792085">
            <w:pPr>
              <w:tabs>
                <w:tab w:val="left" w:pos="918"/>
              </w:tabs>
              <w:ind w:left="34" w:right="34"/>
            </w:pPr>
            <w:proofErr w:type="spellStart"/>
            <w:r w:rsidRPr="001603AF">
              <w:t>Gd</w:t>
            </w:r>
            <w:proofErr w:type="spellEnd"/>
            <w:r w:rsidRPr="001603AF">
              <w:t xml:space="preserve"> III = 9</w:t>
            </w:r>
          </w:p>
          <w:p w:rsidR="001603AF" w:rsidRPr="001603AF" w:rsidRDefault="001603AF" w:rsidP="00792085">
            <w:pPr>
              <w:tabs>
                <w:tab w:val="left" w:pos="918"/>
              </w:tabs>
              <w:ind w:left="34" w:right="34"/>
            </w:pPr>
            <w:proofErr w:type="spellStart"/>
            <w:r w:rsidRPr="001603AF">
              <w:t>Gd</w:t>
            </w:r>
            <w:proofErr w:type="spellEnd"/>
            <w:r w:rsidRPr="001603AF">
              <w:t xml:space="preserve"> I/II = 4 (</w:t>
            </w:r>
            <w:proofErr w:type="spellStart"/>
            <w:r w:rsidRPr="001603AF">
              <w:t>Bx</w:t>
            </w:r>
            <w:proofErr w:type="spellEnd"/>
            <w:r w:rsidRPr="001603AF">
              <w:t xml:space="preserve"> </w:t>
            </w:r>
            <w:proofErr w:type="spellStart"/>
            <w:r w:rsidRPr="001603AF">
              <w:t>GdIII</w:t>
            </w:r>
            <w:proofErr w:type="spellEnd"/>
            <w:r w:rsidRPr="001603AF">
              <w:t>)</w:t>
            </w:r>
          </w:p>
          <w:p w:rsidR="001603AF" w:rsidRPr="001603AF" w:rsidRDefault="001603AF" w:rsidP="00792085">
            <w:pPr>
              <w:tabs>
                <w:tab w:val="left" w:pos="918"/>
              </w:tabs>
              <w:ind w:left="34" w:right="34"/>
            </w:pPr>
            <w:proofErr w:type="spellStart"/>
            <w:r w:rsidRPr="001603AF">
              <w:t>Gd</w:t>
            </w:r>
            <w:proofErr w:type="spellEnd"/>
            <w:r w:rsidRPr="001603AF">
              <w:t xml:space="preserve"> I/II = 2</w:t>
            </w:r>
          </w:p>
        </w:tc>
        <w:tc>
          <w:tcPr>
            <w:tcW w:w="2268" w:type="dxa"/>
          </w:tcPr>
          <w:p w:rsidR="001603AF" w:rsidRPr="001603AF" w:rsidRDefault="001603AF" w:rsidP="00792085">
            <w:pPr>
              <w:ind w:left="34" w:right="0"/>
            </w:pPr>
            <w:r w:rsidRPr="001603AF">
              <w:t>Grade III = 75%</w:t>
            </w:r>
          </w:p>
          <w:p w:rsidR="001603AF" w:rsidRPr="001603AF" w:rsidRDefault="001603AF" w:rsidP="00792085">
            <w:pPr>
              <w:ind w:left="34" w:right="0"/>
            </w:pPr>
            <w:r w:rsidRPr="001603AF">
              <w:t>Grade IV = 17%</w:t>
            </w:r>
          </w:p>
        </w:tc>
        <w:tc>
          <w:tcPr>
            <w:tcW w:w="2091" w:type="dxa"/>
          </w:tcPr>
          <w:p w:rsidR="001603AF" w:rsidRPr="001603AF" w:rsidRDefault="001603AF" w:rsidP="00792085">
            <w:pPr>
              <w:ind w:left="34" w:right="0"/>
            </w:pPr>
            <w:r w:rsidRPr="001603AF">
              <w:t>Grade I/II = 100%</w:t>
            </w:r>
          </w:p>
          <w:p w:rsidR="001603AF" w:rsidRPr="001603AF" w:rsidRDefault="001603AF" w:rsidP="00792085">
            <w:pPr>
              <w:ind w:left="34" w:right="0"/>
            </w:pPr>
            <w:r w:rsidRPr="001603AF">
              <w:t>Grade III = 88%</w:t>
            </w:r>
          </w:p>
          <w:p w:rsidR="001603AF" w:rsidRPr="001603AF" w:rsidRDefault="001603AF" w:rsidP="00792085">
            <w:pPr>
              <w:ind w:left="34" w:right="0"/>
            </w:pPr>
            <w:r w:rsidRPr="001603AF">
              <w:t>Grade IV = 75%</w:t>
            </w:r>
          </w:p>
        </w:tc>
      </w:tr>
      <w:tr w:rsidR="001603AF" w:rsidRPr="001603AF" w:rsidTr="00792085">
        <w:tc>
          <w:tcPr>
            <w:tcW w:w="1384" w:type="dxa"/>
          </w:tcPr>
          <w:p w:rsidR="001603AF" w:rsidRPr="001603AF" w:rsidRDefault="001603AF" w:rsidP="00792085">
            <w:pPr>
              <w:ind w:left="0" w:right="34"/>
            </w:pPr>
            <w:r w:rsidRPr="001603AF">
              <w:t>9</w:t>
            </w:r>
          </w:p>
          <w:p w:rsidR="001603AF" w:rsidRPr="001603AF" w:rsidRDefault="001603AF" w:rsidP="00792085">
            <w:pPr>
              <w:ind w:left="0" w:right="34"/>
            </w:pPr>
            <w:r w:rsidRPr="001603AF">
              <w:t>(P)</w:t>
            </w:r>
          </w:p>
        </w:tc>
        <w:tc>
          <w:tcPr>
            <w:tcW w:w="1134" w:type="dxa"/>
          </w:tcPr>
          <w:p w:rsidR="001603AF" w:rsidRPr="001603AF" w:rsidRDefault="001603AF" w:rsidP="00792085">
            <w:pPr>
              <w:tabs>
                <w:tab w:val="left" w:pos="918"/>
              </w:tabs>
              <w:ind w:left="34" w:right="34"/>
            </w:pPr>
            <w:r w:rsidRPr="001603AF">
              <w:t>20</w:t>
            </w:r>
          </w:p>
        </w:tc>
        <w:tc>
          <w:tcPr>
            <w:tcW w:w="1843" w:type="dxa"/>
          </w:tcPr>
          <w:p w:rsidR="001603AF" w:rsidRPr="001603AF" w:rsidRDefault="001603AF" w:rsidP="00792085">
            <w:pPr>
              <w:tabs>
                <w:tab w:val="left" w:pos="918"/>
              </w:tabs>
              <w:ind w:left="34" w:right="34"/>
            </w:pPr>
            <w:r w:rsidRPr="001603AF">
              <w:t>3 (15%)</w:t>
            </w:r>
          </w:p>
          <w:p w:rsidR="001603AF" w:rsidRPr="001603AF" w:rsidRDefault="001603AF" w:rsidP="00792085">
            <w:pPr>
              <w:tabs>
                <w:tab w:val="left" w:pos="918"/>
              </w:tabs>
              <w:ind w:left="34" w:right="34"/>
            </w:pPr>
            <w:r w:rsidRPr="001603AF">
              <w:t>AA = 2</w:t>
            </w:r>
          </w:p>
          <w:p w:rsidR="001603AF" w:rsidRPr="001603AF" w:rsidRDefault="001603AF" w:rsidP="00792085">
            <w:pPr>
              <w:tabs>
                <w:tab w:val="left" w:pos="918"/>
              </w:tabs>
              <w:ind w:left="34" w:right="34"/>
            </w:pPr>
            <w:r w:rsidRPr="001603AF">
              <w:t>AO = 1</w:t>
            </w:r>
          </w:p>
        </w:tc>
        <w:tc>
          <w:tcPr>
            <w:tcW w:w="2268" w:type="dxa"/>
          </w:tcPr>
          <w:p w:rsidR="001603AF" w:rsidRPr="001603AF" w:rsidRDefault="001603AF" w:rsidP="00792085">
            <w:pPr>
              <w:ind w:left="34" w:right="0"/>
            </w:pPr>
            <w:r w:rsidRPr="001603AF">
              <w:t>All pts</w:t>
            </w:r>
          </w:p>
          <w:p w:rsidR="001603AF" w:rsidRPr="001603AF" w:rsidRDefault="001603AF" w:rsidP="00792085">
            <w:pPr>
              <w:ind w:left="34" w:right="0"/>
            </w:pPr>
            <w:r w:rsidRPr="001603AF">
              <w:t>25%</w:t>
            </w:r>
          </w:p>
        </w:tc>
        <w:tc>
          <w:tcPr>
            <w:tcW w:w="2091" w:type="dxa"/>
          </w:tcPr>
          <w:p w:rsidR="001603AF" w:rsidRPr="001603AF" w:rsidRDefault="001603AF" w:rsidP="00792085">
            <w:pPr>
              <w:ind w:left="34" w:right="0"/>
            </w:pPr>
            <w:r w:rsidRPr="001603AF">
              <w:t>All pts</w:t>
            </w:r>
          </w:p>
          <w:p w:rsidR="001603AF" w:rsidRPr="001603AF" w:rsidRDefault="001603AF" w:rsidP="00792085">
            <w:pPr>
              <w:ind w:left="34" w:right="0"/>
            </w:pPr>
            <w:r w:rsidRPr="001603AF">
              <w:t>55%</w:t>
            </w:r>
          </w:p>
        </w:tc>
      </w:tr>
      <w:tr w:rsidR="001603AF" w:rsidRPr="001603AF" w:rsidTr="00792085">
        <w:tc>
          <w:tcPr>
            <w:tcW w:w="1384" w:type="dxa"/>
          </w:tcPr>
          <w:p w:rsidR="001603AF" w:rsidRPr="001603AF" w:rsidRDefault="001603AF" w:rsidP="00792085">
            <w:pPr>
              <w:ind w:left="0" w:right="34"/>
            </w:pPr>
            <w:r w:rsidRPr="001603AF">
              <w:t>10</w:t>
            </w:r>
          </w:p>
          <w:p w:rsidR="001603AF" w:rsidRPr="001603AF" w:rsidRDefault="001603AF" w:rsidP="00792085">
            <w:pPr>
              <w:ind w:left="0" w:right="34"/>
            </w:pPr>
            <w:r w:rsidRPr="001603AF">
              <w:t>(A)</w:t>
            </w:r>
          </w:p>
        </w:tc>
        <w:tc>
          <w:tcPr>
            <w:tcW w:w="1134" w:type="dxa"/>
          </w:tcPr>
          <w:p w:rsidR="001603AF" w:rsidRPr="001603AF" w:rsidRDefault="001603AF" w:rsidP="00792085">
            <w:pPr>
              <w:tabs>
                <w:tab w:val="left" w:pos="918"/>
              </w:tabs>
              <w:ind w:left="34" w:right="34"/>
            </w:pPr>
            <w:r w:rsidRPr="001603AF">
              <w:t>36</w:t>
            </w:r>
          </w:p>
        </w:tc>
        <w:tc>
          <w:tcPr>
            <w:tcW w:w="1843" w:type="dxa"/>
          </w:tcPr>
          <w:p w:rsidR="001603AF" w:rsidRPr="001603AF" w:rsidRDefault="001603AF" w:rsidP="00792085">
            <w:pPr>
              <w:tabs>
                <w:tab w:val="left" w:pos="918"/>
              </w:tabs>
              <w:ind w:left="34" w:right="34"/>
            </w:pPr>
            <w:r w:rsidRPr="001603AF">
              <w:t>14 (47%) NR</w:t>
            </w:r>
          </w:p>
        </w:tc>
        <w:tc>
          <w:tcPr>
            <w:tcW w:w="2268" w:type="dxa"/>
          </w:tcPr>
          <w:p w:rsidR="001603AF" w:rsidRPr="001603AF" w:rsidRDefault="001603AF" w:rsidP="00792085">
            <w:pPr>
              <w:ind w:left="34" w:right="0"/>
            </w:pPr>
            <w:r w:rsidRPr="001603AF">
              <w:t>All pts</w:t>
            </w:r>
          </w:p>
          <w:p w:rsidR="001603AF" w:rsidRPr="001603AF" w:rsidRDefault="001603AF" w:rsidP="00792085">
            <w:pPr>
              <w:ind w:left="34" w:right="0"/>
            </w:pPr>
            <w:r w:rsidRPr="001603AF">
              <w:t>25%</w:t>
            </w:r>
          </w:p>
        </w:tc>
        <w:tc>
          <w:tcPr>
            <w:tcW w:w="2091" w:type="dxa"/>
          </w:tcPr>
          <w:p w:rsidR="001603AF" w:rsidRPr="001603AF" w:rsidRDefault="001603AF" w:rsidP="00792085">
            <w:pPr>
              <w:ind w:left="34" w:right="0"/>
            </w:pPr>
            <w:r w:rsidRPr="001603AF">
              <w:t>All pts 30 weeks</w:t>
            </w:r>
          </w:p>
        </w:tc>
      </w:tr>
      <w:tr w:rsidR="001603AF" w:rsidRPr="001603AF" w:rsidTr="00792085">
        <w:tc>
          <w:tcPr>
            <w:tcW w:w="1384" w:type="dxa"/>
          </w:tcPr>
          <w:p w:rsidR="001603AF" w:rsidRPr="001603AF" w:rsidRDefault="001603AF" w:rsidP="00792085">
            <w:pPr>
              <w:ind w:left="0" w:right="34"/>
            </w:pPr>
            <w:r w:rsidRPr="001603AF">
              <w:t>11</w:t>
            </w:r>
          </w:p>
          <w:p w:rsidR="001603AF" w:rsidRPr="001603AF" w:rsidRDefault="001603AF" w:rsidP="00792085">
            <w:pPr>
              <w:ind w:left="0" w:right="34"/>
            </w:pPr>
            <w:r w:rsidRPr="001603AF">
              <w:t>(A)</w:t>
            </w:r>
          </w:p>
        </w:tc>
        <w:tc>
          <w:tcPr>
            <w:tcW w:w="1134" w:type="dxa"/>
          </w:tcPr>
          <w:p w:rsidR="001603AF" w:rsidRPr="001603AF" w:rsidRDefault="001603AF" w:rsidP="00792085">
            <w:pPr>
              <w:tabs>
                <w:tab w:val="left" w:pos="918"/>
              </w:tabs>
              <w:ind w:left="34" w:right="34"/>
            </w:pPr>
            <w:r w:rsidRPr="001603AF">
              <w:t>44</w:t>
            </w:r>
          </w:p>
        </w:tc>
        <w:tc>
          <w:tcPr>
            <w:tcW w:w="1843" w:type="dxa"/>
          </w:tcPr>
          <w:p w:rsidR="001603AF" w:rsidRPr="001603AF" w:rsidRDefault="001603AF" w:rsidP="00792085">
            <w:pPr>
              <w:tabs>
                <w:tab w:val="left" w:pos="918"/>
              </w:tabs>
              <w:ind w:left="34" w:right="34"/>
            </w:pPr>
            <w:r w:rsidRPr="001603AF">
              <w:t>16 (37%)</w:t>
            </w:r>
          </w:p>
          <w:p w:rsidR="001603AF" w:rsidRPr="001603AF" w:rsidRDefault="001603AF" w:rsidP="00792085">
            <w:pPr>
              <w:tabs>
                <w:tab w:val="left" w:pos="918"/>
              </w:tabs>
              <w:ind w:left="34" w:right="34"/>
            </w:pPr>
            <w:r w:rsidRPr="001603AF">
              <w:t>AA = 11</w:t>
            </w:r>
          </w:p>
          <w:p w:rsidR="001603AF" w:rsidRPr="001603AF" w:rsidRDefault="001603AF" w:rsidP="00792085">
            <w:pPr>
              <w:tabs>
                <w:tab w:val="left" w:pos="918"/>
              </w:tabs>
              <w:ind w:left="34" w:right="34"/>
            </w:pPr>
            <w:r w:rsidRPr="001603AF">
              <w:t>AOD = 5</w:t>
            </w:r>
          </w:p>
        </w:tc>
        <w:tc>
          <w:tcPr>
            <w:tcW w:w="2268" w:type="dxa"/>
          </w:tcPr>
          <w:p w:rsidR="001603AF" w:rsidRPr="001603AF" w:rsidRDefault="001603AF" w:rsidP="00792085">
            <w:pPr>
              <w:ind w:left="34" w:right="0"/>
            </w:pPr>
            <w:r w:rsidRPr="001603AF">
              <w:t>Mean PFS 7.4 month</w:t>
            </w:r>
          </w:p>
        </w:tc>
        <w:tc>
          <w:tcPr>
            <w:tcW w:w="2091" w:type="dxa"/>
          </w:tcPr>
          <w:p w:rsidR="001603AF" w:rsidRPr="001603AF" w:rsidRDefault="001603AF" w:rsidP="00792085">
            <w:pPr>
              <w:ind w:left="34" w:right="0"/>
            </w:pPr>
            <w:r w:rsidRPr="001603AF">
              <w:t>9.8 months</w:t>
            </w:r>
          </w:p>
        </w:tc>
      </w:tr>
    </w:tbl>
    <w:p w:rsidR="001603AF" w:rsidRPr="001603AF" w:rsidRDefault="001603AF" w:rsidP="00792085">
      <w:pPr>
        <w:pStyle w:val="TableDescription"/>
      </w:pPr>
      <w:r w:rsidRPr="001603AF">
        <w:t>*: Publication or Abstract</w:t>
      </w:r>
    </w:p>
    <w:p w:rsidR="001603AF" w:rsidRPr="001603AF" w:rsidRDefault="001603AF" w:rsidP="00792085">
      <w:pPr>
        <w:pStyle w:val="TableDescription"/>
      </w:pPr>
      <w:r w:rsidRPr="001603AF">
        <w:t xml:space="preserve">AA: </w:t>
      </w:r>
      <w:proofErr w:type="spellStart"/>
      <w:r w:rsidRPr="001603AF">
        <w:t>Anaplastic</w:t>
      </w:r>
      <w:proofErr w:type="spellEnd"/>
      <w:r w:rsidRPr="001603AF">
        <w:t xml:space="preserve"> </w:t>
      </w:r>
      <w:proofErr w:type="spellStart"/>
      <w:r w:rsidRPr="001603AF">
        <w:t>Astrocytoma</w:t>
      </w:r>
      <w:proofErr w:type="spellEnd"/>
      <w:r w:rsidRPr="001603AF">
        <w:t xml:space="preserve">, AO: </w:t>
      </w:r>
      <w:proofErr w:type="spellStart"/>
      <w:r w:rsidRPr="001603AF">
        <w:t>Anaplastic</w:t>
      </w:r>
      <w:proofErr w:type="spellEnd"/>
      <w:r w:rsidRPr="001603AF">
        <w:t xml:space="preserve"> </w:t>
      </w:r>
      <w:proofErr w:type="spellStart"/>
      <w:r w:rsidRPr="001603AF">
        <w:t>Oligoastrocytoma</w:t>
      </w:r>
      <w:proofErr w:type="spellEnd"/>
      <w:r w:rsidRPr="001603AF">
        <w:t xml:space="preserve">, AOD: </w:t>
      </w:r>
      <w:proofErr w:type="spellStart"/>
      <w:r w:rsidRPr="001603AF">
        <w:t>Anaplastic</w:t>
      </w:r>
      <w:proofErr w:type="spellEnd"/>
      <w:r w:rsidRPr="001603AF">
        <w:t xml:space="preserve"> </w:t>
      </w:r>
      <w:proofErr w:type="spellStart"/>
      <w:r w:rsidRPr="001603AF">
        <w:t>Oligodendroglioma</w:t>
      </w:r>
      <w:proofErr w:type="spellEnd"/>
      <w:r w:rsidRPr="001603AF">
        <w:t xml:space="preserve">, AG: </w:t>
      </w:r>
      <w:proofErr w:type="spellStart"/>
      <w:r w:rsidRPr="001603AF">
        <w:t>Anaplastic</w:t>
      </w:r>
      <w:proofErr w:type="spellEnd"/>
      <w:r w:rsidRPr="001603AF">
        <w:t xml:space="preserve"> </w:t>
      </w:r>
      <w:proofErr w:type="spellStart"/>
      <w:r w:rsidRPr="001603AF">
        <w:t>Glioma</w:t>
      </w:r>
      <w:proofErr w:type="spellEnd"/>
    </w:p>
    <w:p w:rsidR="001603AF" w:rsidRPr="001603AF" w:rsidRDefault="001603AF" w:rsidP="00792085">
      <w:r w:rsidRPr="001603AF">
        <w:t>Conclusion: In the absence of any distinction between Grades III and IV efficacy results in this pooled data set, comparison of efficacy with historical controls, where the results were Gr</w:t>
      </w:r>
      <w:r w:rsidR="00792085">
        <w:t>ade specific, was not possible.</w:t>
      </w:r>
    </w:p>
    <w:p w:rsidR="001603AF" w:rsidRPr="001603AF" w:rsidRDefault="001603AF" w:rsidP="00792085">
      <w:pPr>
        <w:pStyle w:val="Heading4"/>
      </w:pPr>
      <w:r w:rsidRPr="001603AF">
        <w:t>Efficacy conclusions</w:t>
      </w:r>
    </w:p>
    <w:p w:rsidR="001603AF" w:rsidRPr="001603AF" w:rsidRDefault="001603AF" w:rsidP="00792085">
      <w:proofErr w:type="spellStart"/>
      <w:r w:rsidRPr="001603AF">
        <w:t>Bevacizumab</w:t>
      </w:r>
      <w:proofErr w:type="spellEnd"/>
      <w:r w:rsidRPr="001603AF">
        <w:t xml:space="preserve"> used as single agent or in combination with </w:t>
      </w:r>
      <w:proofErr w:type="spellStart"/>
      <w:r w:rsidRPr="001603AF">
        <w:t>irinotecan</w:t>
      </w:r>
      <w:proofErr w:type="spellEnd"/>
      <w:r w:rsidRPr="001603AF">
        <w:t xml:space="preserve"> for the treatment of patients with relapsed </w:t>
      </w:r>
      <w:proofErr w:type="spellStart"/>
      <w:r w:rsidRPr="001603AF">
        <w:t>glioblastoma</w:t>
      </w:r>
      <w:proofErr w:type="spellEnd"/>
      <w:r w:rsidRPr="001603AF">
        <w:t xml:space="preserve"> resulted in a statistically significant increase in the IRF-assessed 6-month PFS in both treatment arms compared with historical controls (42.6% in the BV Arm and 50.3% in the BV/CPT Arm versus 15% in historical controls). There was a statistically significant increase in the IRF-assessed objective response rates in both treatment arms compared with historical controls (28.2% in the BV Arm and 37.8% in the BV/CPT Arm versus 5% and 10% in historical controls, respectively).</w:t>
      </w:r>
    </w:p>
    <w:p w:rsidR="001603AF" w:rsidRPr="001603AF" w:rsidRDefault="001603AF" w:rsidP="00792085">
      <w:r w:rsidRPr="001603AF">
        <w:t>The duration of responses in both treatment arms was a median of 5.6 months (95% CI 3.0, 5.8) in the BV Arm and 4.3 months (95% CI 4.2, -) in the BV/CPT Arm. The median overall survival was 9.3 months (95% CI 8.2, -) in the BV Arm and 8.8 months (95% CI 7.8, -) in the BV/CPT Arm.</w:t>
      </w:r>
    </w:p>
    <w:p w:rsidR="001603AF" w:rsidRPr="001603AF" w:rsidRDefault="001603AF" w:rsidP="00792085">
      <w:r w:rsidRPr="001603AF">
        <w:t>In Study NCI-06-C-0064E, the objective response rate, as determined by IRF, was 19.6% (11/56 patients, 95% CI 10.9, 31.3) and the median duration of response was</w:t>
      </w:r>
      <w:r w:rsidR="00792085">
        <w:t xml:space="preserve"> 3.9 months (95% CI 2.4, 17.4).</w:t>
      </w:r>
    </w:p>
    <w:p w:rsidR="001603AF" w:rsidRPr="001603AF" w:rsidRDefault="001603AF" w:rsidP="00792085">
      <w:r w:rsidRPr="001603AF">
        <w:t xml:space="preserve">The literature survey included 31 clinical publications, reporting on 16 trials, containing patients with Grade III </w:t>
      </w:r>
      <w:proofErr w:type="spellStart"/>
      <w:r w:rsidRPr="001603AF">
        <w:t>glioma</w:t>
      </w:r>
      <w:proofErr w:type="spellEnd"/>
      <w:r w:rsidRPr="001603AF">
        <w:t xml:space="preserve"> treated with </w:t>
      </w:r>
      <w:proofErr w:type="spellStart"/>
      <w:r w:rsidRPr="001603AF">
        <w:t>bevacizumab</w:t>
      </w:r>
      <w:proofErr w:type="spellEnd"/>
      <w:r w:rsidRPr="001603AF">
        <w:t xml:space="preserve"> </w:t>
      </w:r>
      <w:proofErr w:type="spellStart"/>
      <w:r w:rsidRPr="001603AF">
        <w:t>monotherapy</w:t>
      </w:r>
      <w:proofErr w:type="spellEnd"/>
      <w:r w:rsidRPr="001603AF">
        <w:t xml:space="preserve"> or </w:t>
      </w:r>
      <w:proofErr w:type="spellStart"/>
      <w:r w:rsidRPr="001603AF">
        <w:t>bevacizumab</w:t>
      </w:r>
      <w:proofErr w:type="spellEnd"/>
      <w:r w:rsidRPr="001603AF">
        <w:t xml:space="preserve"> in combination with </w:t>
      </w:r>
      <w:proofErr w:type="spellStart"/>
      <w:r w:rsidRPr="001603AF">
        <w:t>irinotecan</w:t>
      </w:r>
      <w:proofErr w:type="spellEnd"/>
      <w:r w:rsidRPr="001603AF">
        <w:t xml:space="preserve">. Treatment with a combination of </w:t>
      </w:r>
      <w:proofErr w:type="spellStart"/>
      <w:r w:rsidRPr="001603AF">
        <w:t>bevacizumab</w:t>
      </w:r>
      <w:proofErr w:type="spellEnd"/>
      <w:r w:rsidRPr="001603AF">
        <w:t xml:space="preserve"> and </w:t>
      </w:r>
      <w:proofErr w:type="spellStart"/>
      <w:r w:rsidRPr="001603AF">
        <w:t>irinotecan</w:t>
      </w:r>
      <w:proofErr w:type="spellEnd"/>
      <w:r w:rsidRPr="001603AF">
        <w:t xml:space="preserve"> had a response rate and 6-month PFS that were higher than that in historical </w:t>
      </w:r>
      <w:r w:rsidRPr="001603AF">
        <w:lastRenderedPageBreak/>
        <w:t xml:space="preserve">controls. The limited number of trials of </w:t>
      </w:r>
      <w:proofErr w:type="spellStart"/>
      <w:r w:rsidRPr="001603AF">
        <w:t>bevacizumab</w:t>
      </w:r>
      <w:proofErr w:type="spellEnd"/>
      <w:r w:rsidRPr="001603AF">
        <w:t xml:space="preserve"> </w:t>
      </w:r>
      <w:proofErr w:type="spellStart"/>
      <w:r w:rsidRPr="001603AF">
        <w:t>monotherapy</w:t>
      </w:r>
      <w:proofErr w:type="spellEnd"/>
      <w:r w:rsidRPr="001603AF">
        <w:t xml:space="preserve"> prevented any efficacy </w:t>
      </w:r>
      <w:r w:rsidR="00792085">
        <w:t>conclusions from being reached.</w:t>
      </w:r>
    </w:p>
    <w:p w:rsidR="001603AF" w:rsidRPr="001603AF" w:rsidRDefault="001603AF" w:rsidP="00792085">
      <w:pPr>
        <w:pStyle w:val="Heading3"/>
      </w:pPr>
      <w:bookmarkStart w:id="71" w:name="_Toc163441378"/>
      <w:bookmarkStart w:id="72" w:name="_Toc196046495"/>
      <w:bookmarkStart w:id="73" w:name="_Toc247691522"/>
      <w:bookmarkStart w:id="74" w:name="_Toc314842505"/>
      <w:bookmarkStart w:id="75" w:name="_Toc332373869"/>
      <w:bookmarkStart w:id="76" w:name="_Toc377733567"/>
      <w:bookmarkEnd w:id="67"/>
      <w:bookmarkEnd w:id="68"/>
      <w:bookmarkEnd w:id="69"/>
      <w:bookmarkEnd w:id="70"/>
      <w:r w:rsidRPr="001603AF">
        <w:t>Safety</w:t>
      </w:r>
      <w:bookmarkEnd w:id="71"/>
      <w:bookmarkEnd w:id="72"/>
      <w:bookmarkEnd w:id="73"/>
      <w:bookmarkEnd w:id="74"/>
      <w:bookmarkEnd w:id="75"/>
      <w:bookmarkEnd w:id="76"/>
    </w:p>
    <w:p w:rsidR="001603AF" w:rsidRPr="001603AF" w:rsidRDefault="001603AF" w:rsidP="00792085">
      <w:pPr>
        <w:pStyle w:val="Heading4"/>
      </w:pPr>
      <w:r w:rsidRPr="001603AF">
        <w:t xml:space="preserve">Pivotal </w:t>
      </w:r>
      <w:r w:rsidR="00792085">
        <w:t>s</w:t>
      </w:r>
      <w:r w:rsidRPr="001603AF">
        <w:t>tudy AVF3708g</w:t>
      </w:r>
    </w:p>
    <w:p w:rsidR="001603AF" w:rsidRPr="001603AF" w:rsidRDefault="001603AF" w:rsidP="00792085">
      <w:r w:rsidRPr="001603AF">
        <w:t xml:space="preserve">All the patients who received at least one dose of study treatment were included in the safety analyses, that is, 84 patients in the BV Arm and 79 patients in the BV/CPT Arm. The median number of doses received was 9 in the BV Arm and 12 in the BV/CPT Arm. The median dose in both arms was 10 mg/Kg. All the patients in the BV/CPT Arm received at least one dose of </w:t>
      </w:r>
      <w:proofErr w:type="spellStart"/>
      <w:r w:rsidRPr="001603AF">
        <w:t>irinotecan</w:t>
      </w:r>
      <w:proofErr w:type="spellEnd"/>
      <w:r w:rsidRPr="001603AF">
        <w:t xml:space="preserve">. The median number of doses received was 11. The </w:t>
      </w:r>
      <w:proofErr w:type="spellStart"/>
      <w:r w:rsidRPr="001603AF">
        <w:t>irinotecan</w:t>
      </w:r>
      <w:proofErr w:type="spellEnd"/>
      <w:r w:rsidRPr="001603AF">
        <w:t xml:space="preserve"> dosing was dependent on whether enzyme inducing anti-epileptic drugs (EIAEDs) were used. Adverse events that were included in the planned treatment period were those that occurred up to 30 days from the last treatment in the BV Arm and BV/CPT Arm. In patients receiving the optional post-progression treatment of </w:t>
      </w:r>
      <w:proofErr w:type="spellStart"/>
      <w:r w:rsidRPr="001603AF">
        <w:t>irinotecan</w:t>
      </w:r>
      <w:proofErr w:type="spellEnd"/>
      <w:r w:rsidRPr="001603AF">
        <w:t xml:space="preserve">, adverse events occurring on or after the first treatment with </w:t>
      </w:r>
      <w:proofErr w:type="spellStart"/>
      <w:r w:rsidRPr="001603AF">
        <w:t>irinotecan</w:t>
      </w:r>
      <w:proofErr w:type="spellEnd"/>
      <w:r w:rsidRPr="001603AF">
        <w:t xml:space="preserve"> and up to 30 days after the last treatment with either </w:t>
      </w:r>
      <w:proofErr w:type="spellStart"/>
      <w:r w:rsidRPr="001603AF">
        <w:t>bevacizumab</w:t>
      </w:r>
      <w:proofErr w:type="spellEnd"/>
      <w:r w:rsidRPr="001603AF">
        <w:t xml:space="preserve"> or </w:t>
      </w:r>
      <w:proofErr w:type="spellStart"/>
      <w:r w:rsidRPr="001603AF">
        <w:t>irinotecan</w:t>
      </w:r>
      <w:proofErr w:type="spellEnd"/>
      <w:r w:rsidRPr="001603AF">
        <w:t xml:space="preserve"> (whichever was the last to occur) were included in the optional p</w:t>
      </w:r>
      <w:r w:rsidR="00792085">
        <w:t>ost-progression phase analysis.</w:t>
      </w:r>
    </w:p>
    <w:p w:rsidR="001603AF" w:rsidRPr="001603AF" w:rsidRDefault="001603AF" w:rsidP="00792085">
      <w:r w:rsidRPr="001603AF">
        <w:t xml:space="preserve">The median duration of safety observation in the planned treatment period was 4.3 months in the BV Arm and 6.1 months in the BV/CPT Arm. For patients in the optional post-progression phase of treatment which included </w:t>
      </w:r>
      <w:proofErr w:type="spellStart"/>
      <w:r w:rsidRPr="001603AF">
        <w:t>irinotecan</w:t>
      </w:r>
      <w:proofErr w:type="spellEnd"/>
      <w:r w:rsidRPr="001603AF">
        <w:t xml:space="preserve">, the duration of safety observation was from the first administration of </w:t>
      </w:r>
      <w:proofErr w:type="spellStart"/>
      <w:r w:rsidRPr="001603AF">
        <w:t>irinotecan</w:t>
      </w:r>
      <w:proofErr w:type="spellEnd"/>
      <w:r w:rsidRPr="001603AF">
        <w:t xml:space="preserve">. The number of doses of </w:t>
      </w:r>
      <w:proofErr w:type="spellStart"/>
      <w:r w:rsidRPr="001603AF">
        <w:t>bevacizumab</w:t>
      </w:r>
      <w:proofErr w:type="spellEnd"/>
      <w:r w:rsidRPr="001603AF">
        <w:t xml:space="preserve"> and </w:t>
      </w:r>
      <w:proofErr w:type="spellStart"/>
      <w:r w:rsidRPr="001603AF">
        <w:t>irinotecan</w:t>
      </w:r>
      <w:proofErr w:type="spellEnd"/>
      <w:r w:rsidRPr="001603AF">
        <w:t xml:space="preserve"> received was a median of 3 and the length of treatment was also similar (Medians of 1</w:t>
      </w:r>
      <w:r w:rsidR="00792085">
        <w:t xml:space="preserve"> and 1.1 months, respectively).</w:t>
      </w:r>
    </w:p>
    <w:p w:rsidR="001603AF" w:rsidRPr="001603AF" w:rsidRDefault="001603AF" w:rsidP="00792085">
      <w:pPr>
        <w:pStyle w:val="Heading4"/>
      </w:pPr>
      <w:r w:rsidRPr="001603AF">
        <w:t>Adverse events</w:t>
      </w:r>
    </w:p>
    <w:p w:rsidR="001603AF" w:rsidRPr="001603AF" w:rsidRDefault="001603AF" w:rsidP="00792085">
      <w:r w:rsidRPr="001603AF">
        <w:t>In all, 98.8% (83 patients) in the BV Arm, and 100% (79 patients) in the BV/CPT Arm reported an adverse event. Of these, 46% of the patients in the BV Arm and 66% of those in the BV/CPT Arm re</w:t>
      </w:r>
      <w:r w:rsidR="00792085">
        <w:t>ported Grade ≥3 adverse events.</w:t>
      </w:r>
    </w:p>
    <w:p w:rsidR="001603AF" w:rsidRPr="001603AF" w:rsidRDefault="001603AF" w:rsidP="00792085">
      <w:r w:rsidRPr="001603AF">
        <w:t xml:space="preserve">The most common adverse events were fatigue (45.2%), headache (37%) and hypertension (30%) in the BV Arm and fatigue (75%), diarrhoea (75%) and nausea (67%) in the BV/CPT Arm. The commonest Grade ≥3 adverse events were hypertension, and convulsion in the BV Arm and convulsion, </w:t>
      </w:r>
      <w:proofErr w:type="spellStart"/>
      <w:r w:rsidRPr="001603AF">
        <w:t>neutropenia</w:t>
      </w:r>
      <w:proofErr w:type="spellEnd"/>
      <w:r w:rsidRPr="001603AF">
        <w:t>, and fatigue in the BV/CPT Arm (Table 16).</w:t>
      </w:r>
    </w:p>
    <w:p w:rsidR="001603AF" w:rsidRPr="001603AF" w:rsidRDefault="001603AF" w:rsidP="00792085">
      <w:r w:rsidRPr="001603AF">
        <w:t xml:space="preserve">In the optional post-progression phase, 98% of the patients reported an adverse event. Of these, 52% reported a Grade ≥3 adverse event. The commonest Grade ≥3 adverse events were </w:t>
      </w:r>
      <w:proofErr w:type="spellStart"/>
      <w:r w:rsidRPr="001603AF">
        <w:t>lymphopenia</w:t>
      </w:r>
      <w:proofErr w:type="spellEnd"/>
      <w:r w:rsidRPr="001603AF">
        <w:t xml:space="preserve"> (7%), diarrhoea (7%), fatigue (7%) and headache (9%).</w:t>
      </w:r>
    </w:p>
    <w:p w:rsidR="001603AF" w:rsidRPr="001603AF" w:rsidRDefault="001603AF" w:rsidP="00792085">
      <w:pPr>
        <w:pStyle w:val="TableTitle"/>
      </w:pPr>
      <w:r w:rsidRPr="001603AF">
        <w:t xml:space="preserve">Table 16 Incidence of Grade </w:t>
      </w:r>
      <w:r w:rsidRPr="001603AF">
        <w:sym w:font="Symbol" w:char="F0B3"/>
      </w:r>
      <w:r w:rsidRPr="001603AF">
        <w:t xml:space="preserve">3 Adverse Events Occurring in </w:t>
      </w:r>
      <w:r w:rsidRPr="001603AF">
        <w:sym w:font="Symbol" w:char="F0B3"/>
      </w:r>
      <w:r w:rsidRPr="001603AF">
        <w:t>5% of Patients in Either Treatment Arm during the Planned Treatment Period (Safety-Evaluable Patients)</w:t>
      </w:r>
    </w:p>
    <w:tbl>
      <w:tblPr>
        <w:tblStyle w:val="TableTGAblue"/>
        <w:tblW w:w="8755" w:type="dxa"/>
        <w:tblLook w:val="04A0"/>
      </w:tblPr>
      <w:tblGrid>
        <w:gridCol w:w="4219"/>
        <w:gridCol w:w="2126"/>
        <w:gridCol w:w="2410"/>
      </w:tblGrid>
      <w:tr w:rsidR="001603AF" w:rsidRPr="001603AF" w:rsidTr="005D0352">
        <w:trPr>
          <w:cnfStyle w:val="100000000000"/>
          <w:tblHeader/>
        </w:trPr>
        <w:tc>
          <w:tcPr>
            <w:tcW w:w="4219" w:type="dxa"/>
          </w:tcPr>
          <w:p w:rsidR="001603AF" w:rsidRPr="001603AF" w:rsidRDefault="001603AF" w:rsidP="00D56689">
            <w:pPr>
              <w:ind w:left="0" w:right="34"/>
            </w:pPr>
            <w:proofErr w:type="spellStart"/>
            <w:r w:rsidRPr="001603AF">
              <w:t>MedDRA</w:t>
            </w:r>
            <w:proofErr w:type="spellEnd"/>
            <w:r w:rsidRPr="001603AF">
              <w:t xml:space="preserve"> Preferred Term</w:t>
            </w:r>
          </w:p>
        </w:tc>
        <w:tc>
          <w:tcPr>
            <w:tcW w:w="2126" w:type="dxa"/>
          </w:tcPr>
          <w:p w:rsidR="005D0352" w:rsidRDefault="001603AF" w:rsidP="00D56689">
            <w:pPr>
              <w:ind w:left="34" w:right="33"/>
            </w:pPr>
            <w:r w:rsidRPr="001603AF">
              <w:t>BV</w:t>
            </w:r>
          </w:p>
          <w:p w:rsidR="001603AF" w:rsidRPr="001603AF" w:rsidRDefault="001603AF" w:rsidP="00D56689">
            <w:pPr>
              <w:ind w:left="34" w:right="33"/>
            </w:pPr>
            <w:r w:rsidRPr="001603AF">
              <w:t>(n=84)</w:t>
            </w:r>
          </w:p>
        </w:tc>
        <w:tc>
          <w:tcPr>
            <w:tcW w:w="2410" w:type="dxa"/>
          </w:tcPr>
          <w:p w:rsidR="005D0352" w:rsidRDefault="001603AF" w:rsidP="00D56689">
            <w:pPr>
              <w:ind w:left="34" w:right="34"/>
            </w:pPr>
            <w:r w:rsidRPr="001603AF">
              <w:t>BV/CPT-11</w:t>
            </w:r>
          </w:p>
          <w:p w:rsidR="001603AF" w:rsidRPr="001603AF" w:rsidRDefault="001603AF" w:rsidP="00D56689">
            <w:pPr>
              <w:ind w:left="34" w:right="34"/>
            </w:pPr>
            <w:r w:rsidRPr="001603AF">
              <w:t>(n=79)</w:t>
            </w:r>
          </w:p>
        </w:tc>
      </w:tr>
      <w:tr w:rsidR="001603AF" w:rsidRPr="001603AF" w:rsidTr="005D0352">
        <w:tc>
          <w:tcPr>
            <w:tcW w:w="4219" w:type="dxa"/>
          </w:tcPr>
          <w:p w:rsidR="001603AF" w:rsidRPr="001603AF" w:rsidRDefault="001603AF" w:rsidP="00D56689">
            <w:pPr>
              <w:ind w:left="0" w:right="34"/>
            </w:pPr>
            <w:r w:rsidRPr="001603AF">
              <w:t xml:space="preserve">Any Grade </w:t>
            </w:r>
            <w:r w:rsidRPr="001603AF">
              <w:sym w:font="Symbol" w:char="F0B3"/>
            </w:r>
            <w:r w:rsidRPr="001603AF">
              <w:t>3 adverse events</w:t>
            </w:r>
          </w:p>
        </w:tc>
        <w:tc>
          <w:tcPr>
            <w:tcW w:w="2126" w:type="dxa"/>
          </w:tcPr>
          <w:p w:rsidR="001603AF" w:rsidRPr="001603AF" w:rsidRDefault="001603AF" w:rsidP="00D56689">
            <w:pPr>
              <w:ind w:left="34" w:right="33"/>
            </w:pPr>
            <w:r w:rsidRPr="001603AF">
              <w:t>39 (46.4%)</w:t>
            </w:r>
          </w:p>
        </w:tc>
        <w:tc>
          <w:tcPr>
            <w:tcW w:w="2410" w:type="dxa"/>
          </w:tcPr>
          <w:p w:rsidR="001603AF" w:rsidRPr="001603AF" w:rsidRDefault="001603AF" w:rsidP="00D56689">
            <w:pPr>
              <w:ind w:left="34" w:right="34"/>
            </w:pPr>
            <w:r w:rsidRPr="001603AF">
              <w:t>52 (65.8%)</w:t>
            </w:r>
          </w:p>
        </w:tc>
      </w:tr>
      <w:tr w:rsidR="001603AF" w:rsidRPr="001603AF" w:rsidTr="005D0352">
        <w:tc>
          <w:tcPr>
            <w:tcW w:w="4219" w:type="dxa"/>
          </w:tcPr>
          <w:p w:rsidR="001603AF" w:rsidRPr="001603AF" w:rsidRDefault="001603AF" w:rsidP="00D56689">
            <w:pPr>
              <w:ind w:left="0" w:right="34"/>
            </w:pPr>
            <w:r w:rsidRPr="001603AF">
              <w:t>Aphasia</w:t>
            </w:r>
          </w:p>
        </w:tc>
        <w:tc>
          <w:tcPr>
            <w:tcW w:w="2126" w:type="dxa"/>
          </w:tcPr>
          <w:p w:rsidR="001603AF" w:rsidRPr="001603AF" w:rsidRDefault="001603AF" w:rsidP="00D56689">
            <w:pPr>
              <w:ind w:left="34" w:right="33"/>
            </w:pPr>
            <w:r w:rsidRPr="001603AF">
              <w:t>3 (3.6%)</w:t>
            </w:r>
          </w:p>
        </w:tc>
        <w:tc>
          <w:tcPr>
            <w:tcW w:w="2410" w:type="dxa"/>
          </w:tcPr>
          <w:p w:rsidR="001603AF" w:rsidRPr="001603AF" w:rsidRDefault="001603AF" w:rsidP="00D56689">
            <w:pPr>
              <w:ind w:left="34" w:right="34"/>
            </w:pPr>
            <w:r w:rsidRPr="001603AF">
              <w:t>6 (7.6%)</w:t>
            </w:r>
          </w:p>
        </w:tc>
      </w:tr>
      <w:tr w:rsidR="001603AF" w:rsidRPr="001603AF" w:rsidTr="005D0352">
        <w:tc>
          <w:tcPr>
            <w:tcW w:w="4219" w:type="dxa"/>
          </w:tcPr>
          <w:p w:rsidR="001603AF" w:rsidRPr="001603AF" w:rsidRDefault="001603AF" w:rsidP="00D56689">
            <w:pPr>
              <w:ind w:left="0" w:right="34"/>
            </w:pPr>
            <w:proofErr w:type="spellStart"/>
            <w:r w:rsidRPr="001603AF">
              <w:t>Confusional</w:t>
            </w:r>
            <w:proofErr w:type="spellEnd"/>
            <w:r w:rsidRPr="001603AF">
              <w:t xml:space="preserve"> state</w:t>
            </w:r>
          </w:p>
        </w:tc>
        <w:tc>
          <w:tcPr>
            <w:tcW w:w="2126" w:type="dxa"/>
          </w:tcPr>
          <w:p w:rsidR="001603AF" w:rsidRPr="001603AF" w:rsidRDefault="001603AF" w:rsidP="00D56689">
            <w:pPr>
              <w:ind w:left="34" w:right="33"/>
            </w:pPr>
            <w:r w:rsidRPr="001603AF">
              <w:t>2 (2.4%)</w:t>
            </w:r>
          </w:p>
        </w:tc>
        <w:tc>
          <w:tcPr>
            <w:tcW w:w="2410" w:type="dxa"/>
          </w:tcPr>
          <w:p w:rsidR="001603AF" w:rsidRPr="001603AF" w:rsidRDefault="001603AF" w:rsidP="00D56689">
            <w:pPr>
              <w:ind w:left="34" w:right="34"/>
            </w:pPr>
            <w:r w:rsidRPr="001603AF">
              <w:t>4 (5.1%)</w:t>
            </w:r>
          </w:p>
        </w:tc>
      </w:tr>
      <w:tr w:rsidR="001603AF" w:rsidRPr="001603AF" w:rsidTr="005D0352">
        <w:tc>
          <w:tcPr>
            <w:tcW w:w="4219" w:type="dxa"/>
          </w:tcPr>
          <w:p w:rsidR="001603AF" w:rsidRPr="001603AF" w:rsidRDefault="001603AF" w:rsidP="00D56689">
            <w:pPr>
              <w:ind w:left="0" w:right="34"/>
            </w:pPr>
            <w:r w:rsidRPr="001603AF">
              <w:lastRenderedPageBreak/>
              <w:t>Convulsion</w:t>
            </w:r>
          </w:p>
        </w:tc>
        <w:tc>
          <w:tcPr>
            <w:tcW w:w="2126" w:type="dxa"/>
          </w:tcPr>
          <w:p w:rsidR="001603AF" w:rsidRPr="001603AF" w:rsidRDefault="001603AF" w:rsidP="00D56689">
            <w:pPr>
              <w:ind w:left="34" w:right="33"/>
            </w:pPr>
            <w:r w:rsidRPr="001603AF">
              <w:t>5 (6.0%)</w:t>
            </w:r>
          </w:p>
        </w:tc>
        <w:tc>
          <w:tcPr>
            <w:tcW w:w="2410" w:type="dxa"/>
          </w:tcPr>
          <w:p w:rsidR="001603AF" w:rsidRPr="001603AF" w:rsidRDefault="001603AF" w:rsidP="00D56689">
            <w:pPr>
              <w:ind w:left="34" w:right="34"/>
            </w:pPr>
            <w:r w:rsidRPr="001603AF">
              <w:t>11 (13.9%)</w:t>
            </w:r>
          </w:p>
        </w:tc>
      </w:tr>
      <w:tr w:rsidR="001603AF" w:rsidRPr="001603AF" w:rsidTr="005D0352">
        <w:tc>
          <w:tcPr>
            <w:tcW w:w="4219" w:type="dxa"/>
          </w:tcPr>
          <w:p w:rsidR="001603AF" w:rsidRPr="001603AF" w:rsidRDefault="001603AF" w:rsidP="00D56689">
            <w:pPr>
              <w:ind w:left="0" w:right="34"/>
            </w:pPr>
            <w:r w:rsidRPr="001603AF">
              <w:t>Deep vein thrombosis</w:t>
            </w:r>
          </w:p>
        </w:tc>
        <w:tc>
          <w:tcPr>
            <w:tcW w:w="2126" w:type="dxa"/>
          </w:tcPr>
          <w:p w:rsidR="001603AF" w:rsidRPr="001603AF" w:rsidRDefault="001603AF" w:rsidP="00D56689">
            <w:pPr>
              <w:ind w:left="34" w:right="33"/>
            </w:pPr>
            <w:r w:rsidRPr="001603AF">
              <w:t>2 (2.4%)</w:t>
            </w:r>
          </w:p>
        </w:tc>
        <w:tc>
          <w:tcPr>
            <w:tcW w:w="2410" w:type="dxa"/>
          </w:tcPr>
          <w:p w:rsidR="001603AF" w:rsidRPr="001603AF" w:rsidRDefault="001603AF" w:rsidP="00D56689">
            <w:pPr>
              <w:ind w:left="34" w:right="34"/>
            </w:pPr>
            <w:r w:rsidRPr="001603AF">
              <w:t>5 (6.3%)</w:t>
            </w:r>
          </w:p>
        </w:tc>
      </w:tr>
      <w:tr w:rsidR="001603AF" w:rsidRPr="001603AF" w:rsidTr="005D0352">
        <w:tc>
          <w:tcPr>
            <w:tcW w:w="4219" w:type="dxa"/>
          </w:tcPr>
          <w:p w:rsidR="001603AF" w:rsidRPr="001603AF" w:rsidRDefault="001603AF" w:rsidP="00D56689">
            <w:pPr>
              <w:ind w:left="0" w:right="34"/>
            </w:pPr>
            <w:proofErr w:type="spellStart"/>
            <w:r w:rsidRPr="001603AF">
              <w:t>Diarrhea</w:t>
            </w:r>
            <w:proofErr w:type="spellEnd"/>
          </w:p>
        </w:tc>
        <w:tc>
          <w:tcPr>
            <w:tcW w:w="2126" w:type="dxa"/>
          </w:tcPr>
          <w:p w:rsidR="001603AF" w:rsidRPr="001603AF" w:rsidRDefault="001603AF" w:rsidP="00D56689">
            <w:pPr>
              <w:ind w:left="34" w:right="33"/>
            </w:pPr>
            <w:r w:rsidRPr="001603AF">
              <w:t>1 (1.2%)</w:t>
            </w:r>
          </w:p>
        </w:tc>
        <w:tc>
          <w:tcPr>
            <w:tcW w:w="2410" w:type="dxa"/>
          </w:tcPr>
          <w:p w:rsidR="001603AF" w:rsidRPr="001603AF" w:rsidRDefault="001603AF" w:rsidP="00D56689">
            <w:pPr>
              <w:ind w:left="34" w:right="34"/>
            </w:pPr>
            <w:r w:rsidRPr="001603AF">
              <w:t>4 (5.1%)</w:t>
            </w:r>
          </w:p>
        </w:tc>
      </w:tr>
      <w:tr w:rsidR="001603AF" w:rsidRPr="001603AF" w:rsidTr="005D0352">
        <w:tc>
          <w:tcPr>
            <w:tcW w:w="4219" w:type="dxa"/>
          </w:tcPr>
          <w:p w:rsidR="001603AF" w:rsidRPr="001603AF" w:rsidRDefault="001603AF" w:rsidP="00D56689">
            <w:pPr>
              <w:ind w:left="0" w:right="34"/>
            </w:pPr>
            <w:r w:rsidRPr="001603AF">
              <w:t>Fatigue</w:t>
            </w:r>
          </w:p>
        </w:tc>
        <w:tc>
          <w:tcPr>
            <w:tcW w:w="2126" w:type="dxa"/>
          </w:tcPr>
          <w:p w:rsidR="001603AF" w:rsidRPr="001603AF" w:rsidRDefault="001603AF" w:rsidP="00D56689">
            <w:pPr>
              <w:ind w:left="34" w:right="33"/>
            </w:pPr>
            <w:r w:rsidRPr="001603AF">
              <w:t>3 (3.6%)</w:t>
            </w:r>
          </w:p>
        </w:tc>
        <w:tc>
          <w:tcPr>
            <w:tcW w:w="2410" w:type="dxa"/>
          </w:tcPr>
          <w:p w:rsidR="001603AF" w:rsidRPr="001603AF" w:rsidRDefault="001603AF" w:rsidP="00D56689">
            <w:pPr>
              <w:ind w:left="34" w:right="34"/>
            </w:pPr>
            <w:r w:rsidRPr="001603AF">
              <w:t>7 (8.9%)</w:t>
            </w:r>
          </w:p>
        </w:tc>
      </w:tr>
      <w:tr w:rsidR="001603AF" w:rsidRPr="001603AF" w:rsidTr="005D0352">
        <w:tc>
          <w:tcPr>
            <w:tcW w:w="4219" w:type="dxa"/>
          </w:tcPr>
          <w:p w:rsidR="001603AF" w:rsidRPr="001603AF" w:rsidRDefault="001603AF" w:rsidP="00D56689">
            <w:pPr>
              <w:ind w:left="0" w:right="34"/>
            </w:pPr>
            <w:r w:rsidRPr="001603AF">
              <w:t>Hypertension</w:t>
            </w:r>
          </w:p>
        </w:tc>
        <w:tc>
          <w:tcPr>
            <w:tcW w:w="2126" w:type="dxa"/>
          </w:tcPr>
          <w:p w:rsidR="001603AF" w:rsidRPr="001603AF" w:rsidRDefault="001603AF" w:rsidP="00D56689">
            <w:pPr>
              <w:ind w:left="34" w:right="33"/>
            </w:pPr>
            <w:r w:rsidRPr="001603AF">
              <w:t>7 (8.3%)</w:t>
            </w:r>
          </w:p>
        </w:tc>
        <w:tc>
          <w:tcPr>
            <w:tcW w:w="2410" w:type="dxa"/>
          </w:tcPr>
          <w:p w:rsidR="001603AF" w:rsidRPr="001603AF" w:rsidRDefault="001603AF" w:rsidP="00D56689">
            <w:pPr>
              <w:ind w:left="34" w:right="34"/>
            </w:pPr>
            <w:r w:rsidRPr="001603AF">
              <w:t>1 (1.3%)</w:t>
            </w:r>
          </w:p>
        </w:tc>
      </w:tr>
      <w:tr w:rsidR="001603AF" w:rsidRPr="001603AF" w:rsidTr="005D0352">
        <w:tc>
          <w:tcPr>
            <w:tcW w:w="4219" w:type="dxa"/>
          </w:tcPr>
          <w:p w:rsidR="001603AF" w:rsidRPr="001603AF" w:rsidRDefault="001603AF" w:rsidP="00D56689">
            <w:pPr>
              <w:ind w:left="0" w:right="34"/>
            </w:pPr>
            <w:r w:rsidRPr="001603AF">
              <w:t>Pneumonia</w:t>
            </w:r>
          </w:p>
        </w:tc>
        <w:tc>
          <w:tcPr>
            <w:tcW w:w="2126" w:type="dxa"/>
          </w:tcPr>
          <w:p w:rsidR="001603AF" w:rsidRPr="001603AF" w:rsidRDefault="001603AF" w:rsidP="00D56689">
            <w:pPr>
              <w:ind w:left="34" w:right="33"/>
            </w:pPr>
            <w:r w:rsidRPr="001603AF">
              <w:t>1 (1.2%)</w:t>
            </w:r>
          </w:p>
        </w:tc>
        <w:tc>
          <w:tcPr>
            <w:tcW w:w="2410" w:type="dxa"/>
          </w:tcPr>
          <w:p w:rsidR="001603AF" w:rsidRPr="001603AF" w:rsidRDefault="001603AF" w:rsidP="00D56689">
            <w:pPr>
              <w:ind w:left="34" w:right="34"/>
            </w:pPr>
            <w:r w:rsidRPr="001603AF">
              <w:t>4 (5.1%)</w:t>
            </w:r>
          </w:p>
        </w:tc>
      </w:tr>
      <w:tr w:rsidR="001603AF" w:rsidRPr="001603AF" w:rsidTr="005D0352">
        <w:tc>
          <w:tcPr>
            <w:tcW w:w="4219" w:type="dxa"/>
          </w:tcPr>
          <w:p w:rsidR="001603AF" w:rsidRPr="001603AF" w:rsidRDefault="001603AF" w:rsidP="00D56689">
            <w:pPr>
              <w:ind w:left="0" w:right="34"/>
            </w:pPr>
            <w:r w:rsidRPr="001603AF">
              <w:t>Pyramidal tract syndrome</w:t>
            </w:r>
          </w:p>
        </w:tc>
        <w:tc>
          <w:tcPr>
            <w:tcW w:w="2126" w:type="dxa"/>
          </w:tcPr>
          <w:p w:rsidR="001603AF" w:rsidRPr="001603AF" w:rsidRDefault="001603AF" w:rsidP="00D56689">
            <w:pPr>
              <w:ind w:left="34" w:right="33"/>
            </w:pPr>
            <w:r w:rsidRPr="001603AF">
              <w:t>1 (1.2%)</w:t>
            </w:r>
          </w:p>
        </w:tc>
        <w:tc>
          <w:tcPr>
            <w:tcW w:w="2410" w:type="dxa"/>
          </w:tcPr>
          <w:p w:rsidR="001603AF" w:rsidRPr="001603AF" w:rsidRDefault="001603AF" w:rsidP="00D56689">
            <w:pPr>
              <w:ind w:left="34" w:right="34"/>
            </w:pPr>
            <w:r w:rsidRPr="001603AF">
              <w:t>4 (5.1%)</w:t>
            </w:r>
          </w:p>
        </w:tc>
      </w:tr>
      <w:tr w:rsidR="001603AF" w:rsidRPr="001603AF" w:rsidTr="005D0352">
        <w:tc>
          <w:tcPr>
            <w:tcW w:w="4219" w:type="dxa"/>
          </w:tcPr>
          <w:p w:rsidR="001603AF" w:rsidRPr="001603AF" w:rsidRDefault="001603AF" w:rsidP="00D56689">
            <w:pPr>
              <w:ind w:left="0" w:right="34"/>
            </w:pPr>
            <w:r w:rsidRPr="001603AF">
              <w:t>Somnolence</w:t>
            </w:r>
          </w:p>
        </w:tc>
        <w:tc>
          <w:tcPr>
            <w:tcW w:w="2126" w:type="dxa"/>
          </w:tcPr>
          <w:p w:rsidR="001603AF" w:rsidRPr="001603AF" w:rsidRDefault="001603AF" w:rsidP="00D56689">
            <w:pPr>
              <w:ind w:left="34" w:right="33"/>
            </w:pPr>
            <w:r w:rsidRPr="001603AF">
              <w:t>1 (1.2%)</w:t>
            </w:r>
          </w:p>
        </w:tc>
        <w:tc>
          <w:tcPr>
            <w:tcW w:w="2410" w:type="dxa"/>
          </w:tcPr>
          <w:p w:rsidR="001603AF" w:rsidRPr="001603AF" w:rsidRDefault="001603AF" w:rsidP="00D56689">
            <w:pPr>
              <w:ind w:left="34" w:right="34"/>
            </w:pPr>
            <w:r w:rsidRPr="001603AF">
              <w:t>4 (5.1%)</w:t>
            </w:r>
          </w:p>
        </w:tc>
      </w:tr>
      <w:tr w:rsidR="001603AF" w:rsidRPr="001603AF" w:rsidTr="005D0352">
        <w:tc>
          <w:tcPr>
            <w:tcW w:w="4219" w:type="dxa"/>
          </w:tcPr>
          <w:p w:rsidR="001603AF" w:rsidRPr="001603AF" w:rsidRDefault="001603AF" w:rsidP="00D56689">
            <w:pPr>
              <w:ind w:left="0" w:right="34"/>
            </w:pPr>
            <w:proofErr w:type="spellStart"/>
            <w:r w:rsidRPr="001603AF">
              <w:t>Hypokalemia</w:t>
            </w:r>
            <w:proofErr w:type="spellEnd"/>
          </w:p>
        </w:tc>
        <w:tc>
          <w:tcPr>
            <w:tcW w:w="2126" w:type="dxa"/>
          </w:tcPr>
          <w:p w:rsidR="001603AF" w:rsidRPr="001603AF" w:rsidRDefault="001603AF" w:rsidP="00D56689">
            <w:pPr>
              <w:ind w:left="34" w:right="33"/>
            </w:pPr>
            <w:r w:rsidRPr="001603AF">
              <w:t>3 (3.6%)</w:t>
            </w:r>
          </w:p>
        </w:tc>
        <w:tc>
          <w:tcPr>
            <w:tcW w:w="2410" w:type="dxa"/>
          </w:tcPr>
          <w:p w:rsidR="001603AF" w:rsidRPr="001603AF" w:rsidRDefault="001603AF" w:rsidP="00D56689">
            <w:pPr>
              <w:ind w:left="34" w:right="34"/>
            </w:pPr>
            <w:r w:rsidRPr="001603AF">
              <w:t>6 (7.6%)</w:t>
            </w:r>
          </w:p>
        </w:tc>
      </w:tr>
      <w:tr w:rsidR="001603AF" w:rsidRPr="001603AF" w:rsidTr="005D0352">
        <w:tc>
          <w:tcPr>
            <w:tcW w:w="4219" w:type="dxa"/>
          </w:tcPr>
          <w:p w:rsidR="001603AF" w:rsidRPr="001603AF" w:rsidRDefault="001603AF" w:rsidP="00D56689">
            <w:pPr>
              <w:ind w:left="0" w:right="34"/>
            </w:pPr>
            <w:proofErr w:type="spellStart"/>
            <w:r w:rsidRPr="001603AF">
              <w:t>Leukopenia</w:t>
            </w:r>
            <w:proofErr w:type="spellEnd"/>
          </w:p>
        </w:tc>
        <w:tc>
          <w:tcPr>
            <w:tcW w:w="2126" w:type="dxa"/>
          </w:tcPr>
          <w:p w:rsidR="001603AF" w:rsidRPr="001603AF" w:rsidRDefault="001603AF" w:rsidP="00D56689">
            <w:pPr>
              <w:ind w:left="34" w:right="33"/>
            </w:pPr>
            <w:r w:rsidRPr="001603AF">
              <w:t>0 (0.0%)</w:t>
            </w:r>
          </w:p>
        </w:tc>
        <w:tc>
          <w:tcPr>
            <w:tcW w:w="2410" w:type="dxa"/>
          </w:tcPr>
          <w:p w:rsidR="001603AF" w:rsidRPr="001603AF" w:rsidRDefault="001603AF" w:rsidP="00D56689">
            <w:pPr>
              <w:ind w:left="34" w:right="34"/>
            </w:pPr>
            <w:r w:rsidRPr="001603AF">
              <w:t>5 (6.3%)</w:t>
            </w:r>
          </w:p>
        </w:tc>
      </w:tr>
      <w:tr w:rsidR="001603AF" w:rsidRPr="001603AF" w:rsidTr="005D0352">
        <w:tc>
          <w:tcPr>
            <w:tcW w:w="4219" w:type="dxa"/>
          </w:tcPr>
          <w:p w:rsidR="001603AF" w:rsidRPr="001603AF" w:rsidRDefault="001603AF" w:rsidP="00D56689">
            <w:pPr>
              <w:ind w:left="0" w:right="34"/>
            </w:pPr>
            <w:proofErr w:type="spellStart"/>
            <w:r w:rsidRPr="001603AF">
              <w:t>Lymphopenia</w:t>
            </w:r>
            <w:proofErr w:type="spellEnd"/>
          </w:p>
        </w:tc>
        <w:tc>
          <w:tcPr>
            <w:tcW w:w="2126" w:type="dxa"/>
          </w:tcPr>
          <w:p w:rsidR="001603AF" w:rsidRPr="001603AF" w:rsidRDefault="001603AF" w:rsidP="00D56689">
            <w:pPr>
              <w:ind w:left="34" w:right="33"/>
            </w:pPr>
            <w:r w:rsidRPr="001603AF">
              <w:t>2 (2.4%)</w:t>
            </w:r>
          </w:p>
        </w:tc>
        <w:tc>
          <w:tcPr>
            <w:tcW w:w="2410" w:type="dxa"/>
          </w:tcPr>
          <w:p w:rsidR="001603AF" w:rsidRPr="001603AF" w:rsidRDefault="001603AF" w:rsidP="00D56689">
            <w:pPr>
              <w:ind w:left="34" w:right="34"/>
            </w:pPr>
            <w:r w:rsidRPr="001603AF">
              <w:t>6 (7.6%)</w:t>
            </w:r>
          </w:p>
        </w:tc>
      </w:tr>
      <w:tr w:rsidR="001603AF" w:rsidRPr="001603AF" w:rsidTr="005D0352">
        <w:tc>
          <w:tcPr>
            <w:tcW w:w="4219" w:type="dxa"/>
          </w:tcPr>
          <w:p w:rsidR="001603AF" w:rsidRPr="001603AF" w:rsidRDefault="001603AF" w:rsidP="00D56689">
            <w:pPr>
              <w:ind w:left="0" w:right="34"/>
            </w:pPr>
            <w:proofErr w:type="spellStart"/>
            <w:r w:rsidRPr="001603AF">
              <w:t>Neutropenia</w:t>
            </w:r>
            <w:proofErr w:type="spellEnd"/>
          </w:p>
        </w:tc>
        <w:tc>
          <w:tcPr>
            <w:tcW w:w="2126" w:type="dxa"/>
          </w:tcPr>
          <w:p w:rsidR="001603AF" w:rsidRPr="001603AF" w:rsidRDefault="001603AF" w:rsidP="00D56689">
            <w:pPr>
              <w:ind w:left="34" w:right="33"/>
            </w:pPr>
            <w:r w:rsidRPr="001603AF">
              <w:t>1 (1.2%)</w:t>
            </w:r>
          </w:p>
        </w:tc>
        <w:tc>
          <w:tcPr>
            <w:tcW w:w="2410" w:type="dxa"/>
          </w:tcPr>
          <w:p w:rsidR="001603AF" w:rsidRPr="001603AF" w:rsidRDefault="001603AF" w:rsidP="00D56689">
            <w:pPr>
              <w:ind w:left="34" w:right="34"/>
            </w:pPr>
            <w:r w:rsidRPr="001603AF">
              <w:t>7 (8.9%)</w:t>
            </w:r>
          </w:p>
        </w:tc>
      </w:tr>
    </w:tbl>
    <w:p w:rsidR="001603AF" w:rsidRPr="001603AF" w:rsidRDefault="001603AF" w:rsidP="00D56689">
      <w:pPr>
        <w:pStyle w:val="TableDescription"/>
      </w:pPr>
      <w:r w:rsidRPr="001603AF">
        <w:t>BV=</w:t>
      </w:r>
      <w:proofErr w:type="spellStart"/>
      <w:r w:rsidRPr="001603AF">
        <w:t>bevacizumab</w:t>
      </w:r>
      <w:proofErr w:type="spellEnd"/>
      <w:r w:rsidRPr="001603AF">
        <w:t>; CPT-11-irinotecan.</w:t>
      </w:r>
    </w:p>
    <w:p w:rsidR="001603AF" w:rsidRPr="001603AF" w:rsidRDefault="001603AF" w:rsidP="00D56689">
      <w:r w:rsidRPr="001603AF">
        <w:rPr>
          <w:b/>
        </w:rPr>
        <w:t>Deaths:</w:t>
      </w:r>
      <w:r w:rsidRPr="001603AF">
        <w:t xml:space="preserve"> Among treated patients, 45% of patients in the BV Arm and 52% of those in the BV/CPT Arm died. All but 5 of the deaths were due to disease progression. Adverse events were the cause of death in 3 of the 5 deaths not due to disease progression. These events were </w:t>
      </w:r>
      <w:proofErr w:type="spellStart"/>
      <w:r w:rsidRPr="001603AF">
        <w:t>neutropenic</w:t>
      </w:r>
      <w:proofErr w:type="spellEnd"/>
      <w:r w:rsidRPr="001603AF">
        <w:t xml:space="preserve"> infection and pulmonary embolism in the BV Arm and convulsions in the BV/CPT Arm.</w:t>
      </w:r>
    </w:p>
    <w:p w:rsidR="001603AF" w:rsidRPr="001603AF" w:rsidRDefault="001603AF" w:rsidP="00D56689">
      <w:r w:rsidRPr="001603AF">
        <w:rPr>
          <w:b/>
        </w:rPr>
        <w:t>Serious Adverse Events (SAEs):</w:t>
      </w:r>
      <w:r w:rsidRPr="001603AF">
        <w:t xml:space="preserve"> Among treated patients, 26% of patients in the BV Arm and 43% of patients in the BV/CPT Arm experienced a SAE. The commonest SAE in both </w:t>
      </w:r>
      <w:r w:rsidR="00D56689">
        <w:t>arms was convulsion (Table 17).</w:t>
      </w:r>
    </w:p>
    <w:p w:rsidR="001603AF" w:rsidRPr="001603AF" w:rsidRDefault="001603AF" w:rsidP="00D56689">
      <w:r w:rsidRPr="001603AF">
        <w:t>In the optional post-progression phase, 13 patients (29.5%) experienced a SAE. These were unstable angina, large intestine perforation, pyrexia, wound infection, wound dehiscence, muscular weakness, intracranial tumour haemorrhage, hydrocephalus, convulsions, cerebral haemorrhage, headaches, pulmonary embolism, hypoxia and deep vein thrombosis.</w:t>
      </w:r>
    </w:p>
    <w:p w:rsidR="001603AF" w:rsidRPr="001603AF" w:rsidRDefault="001603AF" w:rsidP="00D56689">
      <w:r w:rsidRPr="001603AF">
        <w:rPr>
          <w:b/>
        </w:rPr>
        <w:t xml:space="preserve">Adverse events leading to treatment discontinuation: </w:t>
      </w:r>
      <w:r w:rsidRPr="001603AF">
        <w:t xml:space="preserve">In all 4 patients (4.8%) in the BV Arm discontinued treatment because of an adverse event. None of these adverse events had an incidence &gt;2%. In the BV/CPT Arm 14 patients (17.7%) discontinued </w:t>
      </w:r>
      <w:proofErr w:type="spellStart"/>
      <w:r w:rsidRPr="001603AF">
        <w:t>bevacizumab</w:t>
      </w:r>
      <w:proofErr w:type="spellEnd"/>
      <w:r w:rsidRPr="001603AF">
        <w:t xml:space="preserve"> treatment because of adverse events. Fatigue (2.5%) and cerebral haemorrhage (3.8%) were the commonest adverse events that ca</w:t>
      </w:r>
      <w:r w:rsidR="00D56689">
        <w:t>used treatment discontinuation.</w:t>
      </w:r>
    </w:p>
    <w:p w:rsidR="001603AF" w:rsidRPr="001603AF" w:rsidRDefault="001603AF" w:rsidP="00D56689">
      <w:r w:rsidRPr="001603AF">
        <w:t xml:space="preserve">In the optional post-progression phase, 9 patients (20.9%) discontinued </w:t>
      </w:r>
      <w:proofErr w:type="spellStart"/>
      <w:r w:rsidRPr="001603AF">
        <w:t>bevacizumab</w:t>
      </w:r>
      <w:proofErr w:type="spellEnd"/>
      <w:r w:rsidRPr="001603AF">
        <w:t xml:space="preserve"> and 7 (15.9%) discontinued </w:t>
      </w:r>
      <w:proofErr w:type="spellStart"/>
      <w:r w:rsidRPr="001603AF">
        <w:t>irinotecan</w:t>
      </w:r>
      <w:proofErr w:type="spellEnd"/>
      <w:r w:rsidRPr="001603AF">
        <w:t xml:space="preserve"> because of an adverse event. No adverse event was responsible for more than one discontinuation.</w:t>
      </w:r>
    </w:p>
    <w:p w:rsidR="001603AF" w:rsidRPr="001603AF" w:rsidRDefault="001603AF" w:rsidP="00D56689">
      <w:pPr>
        <w:pStyle w:val="TableTitle"/>
      </w:pPr>
      <w:r w:rsidRPr="001603AF">
        <w:lastRenderedPageBreak/>
        <w:t xml:space="preserve">Table 17 Incidence of Serious Adverse Events Occurring in </w:t>
      </w:r>
      <w:r w:rsidRPr="001603AF">
        <w:sym w:font="Symbol" w:char="F0B3"/>
      </w:r>
      <w:r w:rsidRPr="001603AF">
        <w:t>2% of Treated Patients in Either Treatment Arm during the Planned Treatment Period (Safety-Evaluable Patients)</w:t>
      </w:r>
    </w:p>
    <w:tbl>
      <w:tblPr>
        <w:tblStyle w:val="TableTGAblue"/>
        <w:tblW w:w="8755" w:type="dxa"/>
        <w:tblLook w:val="04A0"/>
      </w:tblPr>
      <w:tblGrid>
        <w:gridCol w:w="4219"/>
        <w:gridCol w:w="2126"/>
        <w:gridCol w:w="2410"/>
      </w:tblGrid>
      <w:tr w:rsidR="001603AF" w:rsidRPr="001603AF" w:rsidTr="00D56689">
        <w:trPr>
          <w:cnfStyle w:val="100000000000"/>
        </w:trPr>
        <w:tc>
          <w:tcPr>
            <w:tcW w:w="4219" w:type="dxa"/>
          </w:tcPr>
          <w:p w:rsidR="001603AF" w:rsidRPr="001603AF" w:rsidRDefault="001603AF" w:rsidP="00D56689">
            <w:pPr>
              <w:keepNext/>
            </w:pPr>
            <w:proofErr w:type="spellStart"/>
            <w:r w:rsidRPr="001603AF">
              <w:t>MedDRA</w:t>
            </w:r>
            <w:proofErr w:type="spellEnd"/>
            <w:r w:rsidRPr="001603AF">
              <w:t xml:space="preserve"> Preferred Term</w:t>
            </w:r>
          </w:p>
        </w:tc>
        <w:tc>
          <w:tcPr>
            <w:tcW w:w="2126" w:type="dxa"/>
          </w:tcPr>
          <w:p w:rsidR="00D56689" w:rsidRDefault="001603AF" w:rsidP="00D56689">
            <w:r w:rsidRPr="001603AF">
              <w:t>BV</w:t>
            </w:r>
          </w:p>
          <w:p w:rsidR="001603AF" w:rsidRPr="001603AF" w:rsidRDefault="001603AF" w:rsidP="00D56689">
            <w:r w:rsidRPr="001603AF">
              <w:t>(n=84)</w:t>
            </w:r>
          </w:p>
        </w:tc>
        <w:tc>
          <w:tcPr>
            <w:tcW w:w="2410" w:type="dxa"/>
          </w:tcPr>
          <w:p w:rsidR="00D56689" w:rsidRDefault="001603AF" w:rsidP="00D56689">
            <w:r w:rsidRPr="001603AF">
              <w:t>BV/CPT-11</w:t>
            </w:r>
          </w:p>
          <w:p w:rsidR="001603AF" w:rsidRPr="001603AF" w:rsidRDefault="001603AF" w:rsidP="00D56689">
            <w:r w:rsidRPr="001603AF">
              <w:t>(n=79)</w:t>
            </w:r>
          </w:p>
        </w:tc>
      </w:tr>
      <w:tr w:rsidR="001603AF" w:rsidRPr="001603AF" w:rsidTr="00D56689">
        <w:tc>
          <w:tcPr>
            <w:tcW w:w="4219" w:type="dxa"/>
          </w:tcPr>
          <w:p w:rsidR="001603AF" w:rsidRPr="001603AF" w:rsidRDefault="001603AF" w:rsidP="00D56689">
            <w:r w:rsidRPr="001603AF">
              <w:t>Any serious adverse events</w:t>
            </w:r>
          </w:p>
        </w:tc>
        <w:tc>
          <w:tcPr>
            <w:tcW w:w="2126" w:type="dxa"/>
          </w:tcPr>
          <w:p w:rsidR="001603AF" w:rsidRPr="001603AF" w:rsidRDefault="001603AF" w:rsidP="00D56689">
            <w:r w:rsidRPr="001603AF">
              <w:t>22 (26.2%)</w:t>
            </w:r>
          </w:p>
        </w:tc>
        <w:tc>
          <w:tcPr>
            <w:tcW w:w="2410" w:type="dxa"/>
          </w:tcPr>
          <w:p w:rsidR="001603AF" w:rsidRPr="001603AF" w:rsidRDefault="001603AF" w:rsidP="00D56689">
            <w:r w:rsidRPr="001603AF">
              <w:t>34 (43.0%)</w:t>
            </w:r>
          </w:p>
        </w:tc>
      </w:tr>
      <w:tr w:rsidR="001603AF" w:rsidRPr="001603AF" w:rsidTr="00D56689">
        <w:tc>
          <w:tcPr>
            <w:tcW w:w="4219" w:type="dxa"/>
          </w:tcPr>
          <w:p w:rsidR="001603AF" w:rsidRPr="001603AF" w:rsidRDefault="001603AF" w:rsidP="00D56689">
            <w:proofErr w:type="spellStart"/>
            <w:r w:rsidRPr="001603AF">
              <w:t>Cellulitis</w:t>
            </w:r>
            <w:proofErr w:type="spellEnd"/>
          </w:p>
        </w:tc>
        <w:tc>
          <w:tcPr>
            <w:tcW w:w="2126" w:type="dxa"/>
          </w:tcPr>
          <w:p w:rsidR="001603AF" w:rsidRPr="001603AF" w:rsidRDefault="001603AF" w:rsidP="00D56689">
            <w:r w:rsidRPr="001603AF">
              <w:t>1 (1.2%)</w:t>
            </w:r>
          </w:p>
        </w:tc>
        <w:tc>
          <w:tcPr>
            <w:tcW w:w="2410" w:type="dxa"/>
          </w:tcPr>
          <w:p w:rsidR="001603AF" w:rsidRPr="001603AF" w:rsidRDefault="001603AF" w:rsidP="00D56689">
            <w:r w:rsidRPr="001603AF">
              <w:t>3 (3.8%)</w:t>
            </w:r>
          </w:p>
        </w:tc>
      </w:tr>
      <w:tr w:rsidR="001603AF" w:rsidRPr="001603AF" w:rsidTr="00D56689">
        <w:tc>
          <w:tcPr>
            <w:tcW w:w="4219" w:type="dxa"/>
          </w:tcPr>
          <w:p w:rsidR="001603AF" w:rsidRPr="001603AF" w:rsidRDefault="001603AF" w:rsidP="00D56689">
            <w:r w:rsidRPr="001603AF">
              <w:t xml:space="preserve">Cerebral </w:t>
            </w:r>
            <w:proofErr w:type="spellStart"/>
            <w:r w:rsidRPr="001603AF">
              <w:t>hemorrhage</w:t>
            </w:r>
            <w:proofErr w:type="spellEnd"/>
          </w:p>
        </w:tc>
        <w:tc>
          <w:tcPr>
            <w:tcW w:w="2126" w:type="dxa"/>
          </w:tcPr>
          <w:p w:rsidR="001603AF" w:rsidRPr="001603AF" w:rsidRDefault="001603AF" w:rsidP="00D56689">
            <w:r w:rsidRPr="001603AF">
              <w:t>1 (1.2%)</w:t>
            </w:r>
          </w:p>
        </w:tc>
        <w:tc>
          <w:tcPr>
            <w:tcW w:w="2410" w:type="dxa"/>
          </w:tcPr>
          <w:p w:rsidR="001603AF" w:rsidRPr="001603AF" w:rsidRDefault="001603AF" w:rsidP="00D56689">
            <w:r w:rsidRPr="001603AF">
              <w:t>2 (2.5%)</w:t>
            </w:r>
          </w:p>
        </w:tc>
      </w:tr>
      <w:tr w:rsidR="001603AF" w:rsidRPr="001603AF" w:rsidTr="00D56689">
        <w:tc>
          <w:tcPr>
            <w:tcW w:w="4219" w:type="dxa"/>
          </w:tcPr>
          <w:p w:rsidR="001603AF" w:rsidRPr="001603AF" w:rsidRDefault="001603AF" w:rsidP="00D56689">
            <w:r w:rsidRPr="001603AF">
              <w:t>Convulsion</w:t>
            </w:r>
          </w:p>
        </w:tc>
        <w:tc>
          <w:tcPr>
            <w:tcW w:w="2126" w:type="dxa"/>
          </w:tcPr>
          <w:p w:rsidR="001603AF" w:rsidRPr="001603AF" w:rsidRDefault="001603AF" w:rsidP="00D56689">
            <w:r w:rsidRPr="001603AF">
              <w:t>5 (6.0%)</w:t>
            </w:r>
          </w:p>
        </w:tc>
        <w:tc>
          <w:tcPr>
            <w:tcW w:w="2410" w:type="dxa"/>
          </w:tcPr>
          <w:p w:rsidR="001603AF" w:rsidRPr="001603AF" w:rsidRDefault="001603AF" w:rsidP="00D56689">
            <w:r w:rsidRPr="001603AF">
              <w:t>9 (11.4%)</w:t>
            </w:r>
          </w:p>
        </w:tc>
      </w:tr>
      <w:tr w:rsidR="001603AF" w:rsidRPr="001603AF" w:rsidTr="00D56689">
        <w:tc>
          <w:tcPr>
            <w:tcW w:w="4219" w:type="dxa"/>
          </w:tcPr>
          <w:p w:rsidR="001603AF" w:rsidRPr="001603AF" w:rsidRDefault="001603AF" w:rsidP="00D56689">
            <w:proofErr w:type="spellStart"/>
            <w:r w:rsidRPr="001603AF">
              <w:t>Diarrhea</w:t>
            </w:r>
            <w:proofErr w:type="spellEnd"/>
          </w:p>
        </w:tc>
        <w:tc>
          <w:tcPr>
            <w:tcW w:w="2126" w:type="dxa"/>
          </w:tcPr>
          <w:p w:rsidR="001603AF" w:rsidRPr="001603AF" w:rsidRDefault="001603AF" w:rsidP="00D56689">
            <w:r w:rsidRPr="001603AF">
              <w:t>0 (0.0%)</w:t>
            </w:r>
          </w:p>
        </w:tc>
        <w:tc>
          <w:tcPr>
            <w:tcW w:w="2410" w:type="dxa"/>
          </w:tcPr>
          <w:p w:rsidR="001603AF" w:rsidRPr="001603AF" w:rsidRDefault="001603AF" w:rsidP="00D56689">
            <w:r w:rsidRPr="001603AF">
              <w:t>2 (2.5%)</w:t>
            </w:r>
          </w:p>
        </w:tc>
      </w:tr>
      <w:tr w:rsidR="001603AF" w:rsidRPr="001603AF" w:rsidTr="00D56689">
        <w:tc>
          <w:tcPr>
            <w:tcW w:w="4219" w:type="dxa"/>
          </w:tcPr>
          <w:p w:rsidR="001603AF" w:rsidRPr="001603AF" w:rsidRDefault="001603AF" w:rsidP="00D56689">
            <w:r w:rsidRPr="001603AF">
              <w:t>Deep vein thrombosis</w:t>
            </w:r>
          </w:p>
        </w:tc>
        <w:tc>
          <w:tcPr>
            <w:tcW w:w="2126" w:type="dxa"/>
          </w:tcPr>
          <w:p w:rsidR="001603AF" w:rsidRPr="001603AF" w:rsidRDefault="001603AF" w:rsidP="00D56689">
            <w:r w:rsidRPr="001603AF">
              <w:t>1 (1.2%)</w:t>
            </w:r>
          </w:p>
        </w:tc>
        <w:tc>
          <w:tcPr>
            <w:tcW w:w="2410" w:type="dxa"/>
          </w:tcPr>
          <w:p w:rsidR="001603AF" w:rsidRPr="001603AF" w:rsidRDefault="001603AF" w:rsidP="00D56689">
            <w:r w:rsidRPr="001603AF">
              <w:t>2 (2.5%)</w:t>
            </w:r>
          </w:p>
        </w:tc>
      </w:tr>
      <w:tr w:rsidR="001603AF" w:rsidRPr="001603AF" w:rsidTr="00D56689">
        <w:tc>
          <w:tcPr>
            <w:tcW w:w="4219" w:type="dxa"/>
          </w:tcPr>
          <w:p w:rsidR="001603AF" w:rsidRPr="001603AF" w:rsidRDefault="001603AF" w:rsidP="00D56689">
            <w:proofErr w:type="spellStart"/>
            <w:r w:rsidRPr="001603AF">
              <w:t>Hyperglycemia</w:t>
            </w:r>
            <w:proofErr w:type="spellEnd"/>
          </w:p>
        </w:tc>
        <w:tc>
          <w:tcPr>
            <w:tcW w:w="2126" w:type="dxa"/>
          </w:tcPr>
          <w:p w:rsidR="001603AF" w:rsidRPr="001603AF" w:rsidRDefault="001603AF" w:rsidP="00D56689">
            <w:r w:rsidRPr="001603AF">
              <w:t>2 (2.4%)</w:t>
            </w:r>
          </w:p>
        </w:tc>
        <w:tc>
          <w:tcPr>
            <w:tcW w:w="2410" w:type="dxa"/>
          </w:tcPr>
          <w:p w:rsidR="001603AF" w:rsidRPr="001603AF" w:rsidRDefault="001603AF" w:rsidP="00D56689">
            <w:r w:rsidRPr="001603AF">
              <w:t>0 (0.0%)</w:t>
            </w:r>
          </w:p>
        </w:tc>
      </w:tr>
      <w:tr w:rsidR="001603AF" w:rsidRPr="001603AF" w:rsidTr="00D56689">
        <w:tc>
          <w:tcPr>
            <w:tcW w:w="4219" w:type="dxa"/>
          </w:tcPr>
          <w:p w:rsidR="001603AF" w:rsidRPr="001603AF" w:rsidRDefault="001603AF" w:rsidP="00D56689">
            <w:r w:rsidRPr="001603AF">
              <w:t>Pneumonia</w:t>
            </w:r>
          </w:p>
        </w:tc>
        <w:tc>
          <w:tcPr>
            <w:tcW w:w="2126" w:type="dxa"/>
          </w:tcPr>
          <w:p w:rsidR="001603AF" w:rsidRPr="001603AF" w:rsidRDefault="001603AF" w:rsidP="00D56689">
            <w:r w:rsidRPr="001603AF">
              <w:t>0 (0.0%)</w:t>
            </w:r>
          </w:p>
        </w:tc>
        <w:tc>
          <w:tcPr>
            <w:tcW w:w="2410" w:type="dxa"/>
          </w:tcPr>
          <w:p w:rsidR="001603AF" w:rsidRPr="001603AF" w:rsidRDefault="001603AF" w:rsidP="00D56689">
            <w:r w:rsidRPr="001603AF">
              <w:t>3 (3.8%)</w:t>
            </w:r>
          </w:p>
        </w:tc>
      </w:tr>
    </w:tbl>
    <w:p w:rsidR="001603AF" w:rsidRPr="001603AF" w:rsidRDefault="001603AF" w:rsidP="00D56689">
      <w:pPr>
        <w:pStyle w:val="TableDescription"/>
      </w:pPr>
      <w:r w:rsidRPr="001603AF">
        <w:t>BV=</w:t>
      </w:r>
      <w:proofErr w:type="spellStart"/>
      <w:r w:rsidRPr="001603AF">
        <w:t>bevacizumab</w:t>
      </w:r>
      <w:proofErr w:type="spellEnd"/>
      <w:r w:rsidRPr="001603AF">
        <w:t xml:space="preserve">; CPT-11-irinotecan; </w:t>
      </w:r>
      <w:proofErr w:type="spellStart"/>
      <w:r w:rsidRPr="001603AF">
        <w:t>MedDRA</w:t>
      </w:r>
      <w:proofErr w:type="spellEnd"/>
      <w:r w:rsidRPr="001603AF">
        <w:t>=Medical Dictionary for Regulatory Activities.</w:t>
      </w:r>
    </w:p>
    <w:p w:rsidR="001603AF" w:rsidRPr="001603AF" w:rsidRDefault="001603AF" w:rsidP="00D56689">
      <w:pPr>
        <w:pStyle w:val="Heading4"/>
      </w:pPr>
      <w:r w:rsidRPr="001603AF">
        <w:t>Significant adverse events</w:t>
      </w:r>
    </w:p>
    <w:p w:rsidR="001603AF" w:rsidRPr="001603AF" w:rsidRDefault="001603AF" w:rsidP="00D56689">
      <w:r w:rsidRPr="001603AF">
        <w:rPr>
          <w:i/>
        </w:rPr>
        <w:t>Haemorrhage:</w:t>
      </w:r>
      <w:r w:rsidRPr="001603AF">
        <w:t xml:space="preserve"> There were fewer haemorrhages reported in the BV Arm than in the BV/CPT Arm (27.4% </w:t>
      </w:r>
      <w:proofErr w:type="spellStart"/>
      <w:r w:rsidRPr="001603AF">
        <w:t>vs</w:t>
      </w:r>
      <w:proofErr w:type="spellEnd"/>
      <w:r w:rsidRPr="001603AF">
        <w:t xml:space="preserve"> 40.5%). Cerebral haemorrhage was reported by 1 patient in the BV Arm and 3 patients in the BV/CPT Arm. All the cerebral haemorrhages were of Grade 1/2 intensity except for one in the BV/CPT Arm which was Grade 4. In the optional post-progression phase, 12 patients (27.3%) experienced haemorrhagic events. Cerebral haemorrhage was reported in 3 patients. Of these one was reported as a Grade 3 haemorrhage. One of the patients with a Grade 1 cerebral haemorrhage developed a Grade 3 haemorrhage 61 days </w:t>
      </w:r>
      <w:r w:rsidR="00D56689">
        <w:t>after the last study treatment.</w:t>
      </w:r>
    </w:p>
    <w:p w:rsidR="001603AF" w:rsidRPr="001603AF" w:rsidRDefault="001603AF" w:rsidP="00D56689">
      <w:r w:rsidRPr="001603AF">
        <w:rPr>
          <w:i/>
        </w:rPr>
        <w:t xml:space="preserve">Hypertension: </w:t>
      </w:r>
      <w:r w:rsidRPr="001603AF">
        <w:t>In all 30 patients in the BV Arm (35.7%) and 21 patients in the BV/CPT Arm (26.6%) experienced hypertension. Of these, there were 7 patients in the BV Arm and 1 patient in the BV/CPT Arm who reported Grade 3 hypertension. There were no Grade 4 hypertension events reported. Two patients experienced hypertension (Grade 2) in the o</w:t>
      </w:r>
      <w:r w:rsidR="00D56689">
        <w:t>ptional post-progression phase.</w:t>
      </w:r>
    </w:p>
    <w:p w:rsidR="001603AF" w:rsidRPr="001603AF" w:rsidRDefault="001603AF" w:rsidP="00D56689">
      <w:proofErr w:type="spellStart"/>
      <w:r w:rsidRPr="001603AF">
        <w:rPr>
          <w:i/>
        </w:rPr>
        <w:t>Proteinuria</w:t>
      </w:r>
      <w:proofErr w:type="spellEnd"/>
      <w:r w:rsidRPr="001603AF">
        <w:rPr>
          <w:i/>
        </w:rPr>
        <w:t xml:space="preserve">: </w:t>
      </w:r>
      <w:r w:rsidRPr="001603AF">
        <w:t xml:space="preserve">A total of 4 patients in the BV Arm and 2 patients in the BV/CPT Arm experienced </w:t>
      </w:r>
      <w:proofErr w:type="spellStart"/>
      <w:r w:rsidRPr="001603AF">
        <w:t>proteinuria</w:t>
      </w:r>
      <w:proofErr w:type="spellEnd"/>
      <w:r w:rsidRPr="001603AF">
        <w:t>. Of these 1 patient in the BV/CPT Ar</w:t>
      </w:r>
      <w:r w:rsidR="00D56689">
        <w:t xml:space="preserve">m reported Grade 3 </w:t>
      </w:r>
      <w:proofErr w:type="spellStart"/>
      <w:r w:rsidR="00D56689">
        <w:t>proteinuria</w:t>
      </w:r>
      <w:proofErr w:type="spellEnd"/>
      <w:r w:rsidR="00D56689">
        <w:t>.</w:t>
      </w:r>
    </w:p>
    <w:p w:rsidR="001603AF" w:rsidRPr="001603AF" w:rsidRDefault="001603AF" w:rsidP="00D56689">
      <w:r w:rsidRPr="001603AF">
        <w:rPr>
          <w:i/>
        </w:rPr>
        <w:t xml:space="preserve">Venous </w:t>
      </w:r>
      <w:proofErr w:type="spellStart"/>
      <w:r w:rsidRPr="001603AF">
        <w:rPr>
          <w:i/>
        </w:rPr>
        <w:t>thromboembolic</w:t>
      </w:r>
      <w:proofErr w:type="spellEnd"/>
      <w:r w:rsidRPr="001603AF">
        <w:rPr>
          <w:i/>
        </w:rPr>
        <w:t xml:space="preserve"> events: </w:t>
      </w:r>
      <w:r w:rsidRPr="001603AF">
        <w:t xml:space="preserve">There were more venous </w:t>
      </w:r>
      <w:proofErr w:type="spellStart"/>
      <w:r w:rsidRPr="001603AF">
        <w:t>thromboembolic</w:t>
      </w:r>
      <w:proofErr w:type="spellEnd"/>
      <w:r w:rsidRPr="001603AF">
        <w:t xml:space="preserve"> events reported in the BV/CPT Arm. One patient in the BV Arm had Grade 5 pulmonary emboli</w:t>
      </w:r>
      <w:r w:rsidR="00D56689">
        <w:t>sm, which led to death.</w:t>
      </w:r>
    </w:p>
    <w:p w:rsidR="001603AF" w:rsidRPr="001603AF" w:rsidRDefault="001603AF" w:rsidP="00D56689">
      <w:r w:rsidRPr="001603AF">
        <w:t>In the optional post-progression phase 1 patient had a Grade 4 pulmonary embolism. Another also experienced Grade 4 pulmonary embolism and then 2.5 months late</w:t>
      </w:r>
      <w:r w:rsidR="00D56689">
        <w:t>r Grade 3 deep vein thrombosis.</w:t>
      </w:r>
    </w:p>
    <w:p w:rsidR="001603AF" w:rsidRPr="001603AF" w:rsidRDefault="001603AF" w:rsidP="00D56689">
      <w:r w:rsidRPr="001603AF">
        <w:rPr>
          <w:i/>
        </w:rPr>
        <w:t xml:space="preserve">Arterial </w:t>
      </w:r>
      <w:proofErr w:type="spellStart"/>
      <w:r w:rsidRPr="001603AF">
        <w:rPr>
          <w:i/>
        </w:rPr>
        <w:t>thromboembolic</w:t>
      </w:r>
      <w:proofErr w:type="spellEnd"/>
      <w:r w:rsidRPr="001603AF">
        <w:rPr>
          <w:i/>
        </w:rPr>
        <w:t xml:space="preserve"> events:</w:t>
      </w:r>
      <w:r w:rsidRPr="001603AF">
        <w:t xml:space="preserve"> These included angina unstable, cerebral </w:t>
      </w:r>
      <w:proofErr w:type="spellStart"/>
      <w:r w:rsidRPr="001603AF">
        <w:t>ischaemia</w:t>
      </w:r>
      <w:proofErr w:type="spellEnd"/>
      <w:r w:rsidRPr="001603AF">
        <w:t xml:space="preserve">, </w:t>
      </w:r>
      <w:proofErr w:type="spellStart"/>
      <w:r w:rsidRPr="001603AF">
        <w:t>cerebrovascular</w:t>
      </w:r>
      <w:proofErr w:type="spellEnd"/>
      <w:r w:rsidRPr="001603AF">
        <w:t xml:space="preserve"> accident, chest pain, myocardial infarction, myocardial </w:t>
      </w:r>
      <w:proofErr w:type="spellStart"/>
      <w:r w:rsidRPr="001603AF">
        <w:t>ischaemia</w:t>
      </w:r>
      <w:proofErr w:type="spellEnd"/>
      <w:r w:rsidRPr="001603AF">
        <w:t xml:space="preserve">, and </w:t>
      </w:r>
      <w:proofErr w:type="spellStart"/>
      <w:r w:rsidRPr="001603AF">
        <w:t>troponin</w:t>
      </w:r>
      <w:proofErr w:type="spellEnd"/>
      <w:r w:rsidRPr="001603AF">
        <w:t xml:space="preserve"> increased. In all 4 patients in the BV Arm and 5 patients in the BV/CPT experienced an arterial </w:t>
      </w:r>
      <w:proofErr w:type="spellStart"/>
      <w:r w:rsidRPr="001603AF">
        <w:t>thromboembolic</w:t>
      </w:r>
      <w:proofErr w:type="spellEnd"/>
      <w:r w:rsidRPr="001603AF">
        <w:t xml:space="preserve"> event. There were 2 Grade 3 events in each arm. </w:t>
      </w:r>
      <w:r w:rsidRPr="001603AF">
        <w:lastRenderedPageBreak/>
        <w:t xml:space="preserve">There were no Grade 4 events. One patient experienced an arterial </w:t>
      </w:r>
      <w:proofErr w:type="spellStart"/>
      <w:r w:rsidRPr="001603AF">
        <w:t>thromboembolic</w:t>
      </w:r>
      <w:proofErr w:type="spellEnd"/>
      <w:r w:rsidRPr="001603AF">
        <w:t xml:space="preserve"> event (Grade 3 angina unstable) in the optional post-progression phase.</w:t>
      </w:r>
    </w:p>
    <w:p w:rsidR="001603AF" w:rsidRPr="001603AF" w:rsidRDefault="001603AF" w:rsidP="00D56689">
      <w:r w:rsidRPr="001603AF">
        <w:rPr>
          <w:i/>
        </w:rPr>
        <w:t xml:space="preserve">Gastrointestinal perforation: </w:t>
      </w:r>
      <w:r w:rsidRPr="001603AF">
        <w:t>Only the BV/CPT Arm reported gastrointestinal perforation in 2 patients (2.5%). Both events were classified as Grade 3. One patient (2.3%) in the optional post-progression phase experienced a Grade 4 large intestine perforation.</w:t>
      </w:r>
    </w:p>
    <w:p w:rsidR="001603AF" w:rsidRPr="001603AF" w:rsidRDefault="001603AF" w:rsidP="00D56689">
      <w:r w:rsidRPr="001603AF">
        <w:rPr>
          <w:i/>
        </w:rPr>
        <w:t>Wound healing complications:</w:t>
      </w:r>
      <w:r w:rsidRPr="001603AF">
        <w:t xml:space="preserve"> In all 5 patients (6%) in the BV Arm and 2 patients in the BV/CPT Arm (2.5%) experienced wound healing complications during the planned treatment phase. The incidence of impaired wound healing was 3.6% in the BV Arm and 1.3% in the BV/CPT Arm. In all 5 were classified as Grade 3. In the optional post-progression phase, 3 patients experienced wound healing complications of whi</w:t>
      </w:r>
      <w:r w:rsidR="00D56689">
        <w:t>ch 1 was classified as Grade 3.</w:t>
      </w:r>
    </w:p>
    <w:p w:rsidR="001603AF" w:rsidRPr="001603AF" w:rsidRDefault="001603AF" w:rsidP="00D56689">
      <w:r w:rsidRPr="001603AF">
        <w:rPr>
          <w:i/>
        </w:rPr>
        <w:t xml:space="preserve">Reversible Posterior </w:t>
      </w:r>
      <w:proofErr w:type="spellStart"/>
      <w:r w:rsidRPr="001603AF">
        <w:rPr>
          <w:i/>
        </w:rPr>
        <w:t>Leukoencephalopathy</w:t>
      </w:r>
      <w:proofErr w:type="spellEnd"/>
      <w:r w:rsidRPr="001603AF">
        <w:rPr>
          <w:i/>
        </w:rPr>
        <w:t xml:space="preserve"> Syndrome (RPLS): </w:t>
      </w:r>
      <w:r w:rsidRPr="001603AF">
        <w:t>The only report of RPLS events was a Grade 1 event in the BV/CPT Arm. There were no RPLS events in the o</w:t>
      </w:r>
      <w:r w:rsidR="00D56689">
        <w:t>ptional post-progression phase.</w:t>
      </w:r>
    </w:p>
    <w:p w:rsidR="001603AF" w:rsidRPr="001603AF" w:rsidRDefault="001603AF" w:rsidP="00D56689">
      <w:r w:rsidRPr="001603AF">
        <w:rPr>
          <w:i/>
        </w:rPr>
        <w:t xml:space="preserve">Seizure: </w:t>
      </w:r>
      <w:r w:rsidRPr="001603AF">
        <w:t>A total of 15 patients in the BV Arm and 19 patients in the BV/CPT Arm experienced a seizure during the planned treatment phase. Of these 2 were classified Grade 5. In the optional post-progression phase, 6 patients experienced a seizure. Three of these were classified Grade 3. Of the 6, four patients had a prior medical history of seizures.</w:t>
      </w:r>
    </w:p>
    <w:p w:rsidR="001603AF" w:rsidRPr="001603AF" w:rsidRDefault="001603AF" w:rsidP="00D56689">
      <w:r w:rsidRPr="001603AF">
        <w:rPr>
          <w:i/>
        </w:rPr>
        <w:t>Infection:</w:t>
      </w:r>
      <w:r w:rsidRPr="001603AF">
        <w:t xml:space="preserve"> In all 8 patients in the BV Arm and 11 patients in the BV/CPT Arm experienced a Grade ≥3 infection event during the planned treatment period. Of the infection events in the BV Arm, one was classified Grade 5 (</w:t>
      </w:r>
      <w:proofErr w:type="spellStart"/>
      <w:r w:rsidRPr="001603AF">
        <w:t>neutropenic</w:t>
      </w:r>
      <w:proofErr w:type="spellEnd"/>
      <w:r w:rsidRPr="001603AF">
        <w:t xml:space="preserve"> infection) which led to death. In the optional post-progression phase, two patients experienced Grade 3 infections (wound infection and peritonitis). There were no Grade ≥4 infections.</w:t>
      </w:r>
    </w:p>
    <w:p w:rsidR="001603AF" w:rsidRPr="001603AF" w:rsidRDefault="001603AF" w:rsidP="00D56689">
      <w:pPr>
        <w:pStyle w:val="Heading4"/>
      </w:pPr>
      <w:r w:rsidRPr="001603AF">
        <w:t>Clinical laboratory evaluations</w:t>
      </w:r>
    </w:p>
    <w:p w:rsidR="001603AF" w:rsidRPr="001603AF" w:rsidRDefault="001603AF" w:rsidP="00D56689">
      <w:r w:rsidRPr="001603AF">
        <w:t>There were 6 Grade ≥3 abnormalities in the BV Arm and 10 Grade ≥3 a</w:t>
      </w:r>
      <w:r w:rsidR="00D56689">
        <w:t>bnormalities in the BV/CLT Arm.</w:t>
      </w:r>
    </w:p>
    <w:p w:rsidR="001603AF" w:rsidRPr="001603AF" w:rsidRDefault="001603AF" w:rsidP="00D56689">
      <w:pPr>
        <w:pStyle w:val="Heading4"/>
      </w:pPr>
      <w:r w:rsidRPr="001603AF">
        <w:t xml:space="preserve">Supporting </w:t>
      </w:r>
      <w:r w:rsidR="00D56689">
        <w:t>s</w:t>
      </w:r>
      <w:r w:rsidRPr="001603AF">
        <w:t>tudy NCI-06-C-0064E</w:t>
      </w:r>
    </w:p>
    <w:p w:rsidR="001603AF" w:rsidRPr="001603AF" w:rsidRDefault="001603AF" w:rsidP="00D56689">
      <w:r w:rsidRPr="001603AF">
        <w:t xml:space="preserve">In all 55 patients received at least one dose of </w:t>
      </w:r>
      <w:proofErr w:type="spellStart"/>
      <w:r w:rsidRPr="001603AF">
        <w:t>bevacizumab</w:t>
      </w:r>
      <w:proofErr w:type="spellEnd"/>
      <w:r w:rsidRPr="001603AF">
        <w:t xml:space="preserve">. The median number of doses received per patient was 7 and the median length of </w:t>
      </w:r>
      <w:proofErr w:type="spellStart"/>
      <w:r w:rsidRPr="001603AF">
        <w:t>bevaci</w:t>
      </w:r>
      <w:r w:rsidR="00D56689">
        <w:t>zumab</w:t>
      </w:r>
      <w:proofErr w:type="spellEnd"/>
      <w:r w:rsidR="00D56689">
        <w:t xml:space="preserve"> treatment was 2.8 months.</w:t>
      </w:r>
    </w:p>
    <w:p w:rsidR="001603AF" w:rsidRPr="001603AF" w:rsidRDefault="001603AF" w:rsidP="00D56689">
      <w:r w:rsidRPr="001603AF">
        <w:rPr>
          <w:b/>
        </w:rPr>
        <w:t>Adverse events:</w:t>
      </w:r>
      <w:r w:rsidRPr="001603AF">
        <w:t xml:space="preserve"> Of the 55 patients, 36 experienced a Grade ≥3 AE. The commonest was </w:t>
      </w:r>
      <w:proofErr w:type="spellStart"/>
      <w:r w:rsidRPr="001603AF">
        <w:t>lymphopenia</w:t>
      </w:r>
      <w:proofErr w:type="spellEnd"/>
      <w:r w:rsidRPr="001603AF">
        <w:t xml:space="preserve"> (25.5%). The other Grade ≥3 AEs were: 7 patients with venous </w:t>
      </w:r>
      <w:proofErr w:type="spellStart"/>
      <w:r w:rsidRPr="001603AF">
        <w:t>thromboembolic</w:t>
      </w:r>
      <w:proofErr w:type="spellEnd"/>
      <w:r w:rsidRPr="001603AF">
        <w:t xml:space="preserve"> events (9%), 2 patients with hypertension (3.6%), 1 patient with an arterial </w:t>
      </w:r>
      <w:proofErr w:type="spellStart"/>
      <w:r w:rsidRPr="001603AF">
        <w:t>thromboembolic</w:t>
      </w:r>
      <w:proofErr w:type="spellEnd"/>
      <w:r w:rsidRPr="001603AF">
        <w:t xml:space="preserve"> event (1.8%), and 1 patient with gastrointestinal perforation (1.8%). There were no instances of congestive heart failure or intracranial events reported.</w:t>
      </w:r>
    </w:p>
    <w:p w:rsidR="001603AF" w:rsidRPr="001603AF" w:rsidRDefault="001603AF" w:rsidP="00D56689">
      <w:r w:rsidRPr="001603AF">
        <w:t xml:space="preserve">The commonest AE leading to discontinuation were venous </w:t>
      </w:r>
      <w:proofErr w:type="spellStart"/>
      <w:r w:rsidRPr="001603AF">
        <w:t>thromboembolic</w:t>
      </w:r>
      <w:proofErr w:type="spellEnd"/>
      <w:r w:rsidRPr="001603AF">
        <w:t xml:space="preserve"> events. The others were vomiting, neck pain, death, infection, and hyperglycaemia.</w:t>
      </w:r>
    </w:p>
    <w:p w:rsidR="001603AF" w:rsidRPr="001603AF" w:rsidRDefault="001603AF" w:rsidP="00D56689">
      <w:r w:rsidRPr="001603AF">
        <w:rPr>
          <w:b/>
        </w:rPr>
        <w:t xml:space="preserve">Deaths: </w:t>
      </w:r>
      <w:r w:rsidRPr="001603AF">
        <w:t xml:space="preserve">Of the 56 patients enrolled in the study, 45 were known to have died as of 3 June 2008. Disease progression was the commonest cause (76.8%). One patient died of pulmonary emboli and CVA and another had a venous </w:t>
      </w:r>
      <w:proofErr w:type="spellStart"/>
      <w:r w:rsidRPr="001603AF">
        <w:t>thromboembolic</w:t>
      </w:r>
      <w:proofErr w:type="spellEnd"/>
      <w:r w:rsidRPr="001603AF">
        <w:t xml:space="preserve"> event, followed by sudden death. The other causes were toxicity from treatment (1.8%), and other clinical deterioration (1.8%).</w:t>
      </w:r>
    </w:p>
    <w:p w:rsidR="001603AF" w:rsidRPr="001603AF" w:rsidRDefault="001603AF" w:rsidP="00D56689">
      <w:pPr>
        <w:pStyle w:val="Heading4"/>
      </w:pPr>
      <w:r w:rsidRPr="001603AF">
        <w:lastRenderedPageBreak/>
        <w:t>Literature review</w:t>
      </w:r>
    </w:p>
    <w:p w:rsidR="001603AF" w:rsidRPr="001603AF" w:rsidRDefault="001603AF" w:rsidP="00D56689">
      <w:r w:rsidRPr="001603AF">
        <w:t xml:space="preserve">The literature review found that the reporting of safety of </w:t>
      </w:r>
      <w:proofErr w:type="spellStart"/>
      <w:r w:rsidRPr="001603AF">
        <w:t>bevacizumab</w:t>
      </w:r>
      <w:proofErr w:type="spellEnd"/>
      <w:r w:rsidRPr="001603AF">
        <w:t xml:space="preserve">, as </w:t>
      </w:r>
      <w:proofErr w:type="spellStart"/>
      <w:r w:rsidRPr="001603AF">
        <w:t>monotherapy</w:t>
      </w:r>
      <w:proofErr w:type="spellEnd"/>
      <w:r w:rsidRPr="001603AF">
        <w:t xml:space="preserve"> or in combination with </w:t>
      </w:r>
      <w:proofErr w:type="spellStart"/>
      <w:r w:rsidRPr="001603AF">
        <w:t>irinotecan</w:t>
      </w:r>
      <w:proofErr w:type="spellEnd"/>
      <w:r w:rsidRPr="001603AF">
        <w:t xml:space="preserve"> in the treatment of Grade III patients, was limited. The publications tend to report only CTC Grades 3-5 adverse events because of word-count limitations.</w:t>
      </w:r>
    </w:p>
    <w:p w:rsidR="001603AF" w:rsidRPr="001603AF" w:rsidRDefault="001603AF" w:rsidP="00D56689">
      <w:r w:rsidRPr="001603AF">
        <w:t xml:space="preserve">Duration of exposure was not reported in almost half the citations. Duration of exposure where reported ranged from 9 -24 weeks. The adverse events of special interest were haemorrhage, cerebral haemorrhage, hypertension, </w:t>
      </w:r>
      <w:proofErr w:type="spellStart"/>
      <w:r w:rsidRPr="001603AF">
        <w:t>proteinuria</w:t>
      </w:r>
      <w:proofErr w:type="spellEnd"/>
      <w:r w:rsidRPr="001603AF">
        <w:t xml:space="preserve">, venous </w:t>
      </w:r>
      <w:proofErr w:type="spellStart"/>
      <w:r w:rsidRPr="001603AF">
        <w:t>thromboembolic</w:t>
      </w:r>
      <w:proofErr w:type="spellEnd"/>
      <w:r w:rsidRPr="001603AF">
        <w:t xml:space="preserve"> events, arterial </w:t>
      </w:r>
      <w:proofErr w:type="spellStart"/>
      <w:r w:rsidRPr="001603AF">
        <w:t>thromboembolic</w:t>
      </w:r>
      <w:proofErr w:type="spellEnd"/>
      <w:r w:rsidRPr="001603AF">
        <w:t xml:space="preserve"> events, GI perforation, wound healing complications, reversible posterior </w:t>
      </w:r>
      <w:proofErr w:type="spellStart"/>
      <w:r w:rsidRPr="001603AF">
        <w:t>leukoencephalopathy</w:t>
      </w:r>
      <w:proofErr w:type="spellEnd"/>
      <w:r w:rsidRPr="001603AF">
        <w:t xml:space="preserve"> syndrome, congestive heart failure, infections, and convulsions.</w:t>
      </w:r>
    </w:p>
    <w:p w:rsidR="001603AF" w:rsidRPr="001603AF" w:rsidRDefault="001603AF" w:rsidP="00D56689">
      <w:r w:rsidRPr="001603AF">
        <w:t xml:space="preserve">The under reporting of events and inconsistent causality reporting that was seen in the citations made interpretation of safety difficult. The data presented in the 16 citations suggest however, that the adverse event profile was in keeping with the known </w:t>
      </w:r>
      <w:r w:rsidR="00D56689">
        <w:t xml:space="preserve">adverse events of </w:t>
      </w:r>
      <w:proofErr w:type="spellStart"/>
      <w:r w:rsidR="00D56689">
        <w:t>bevacizumab</w:t>
      </w:r>
      <w:proofErr w:type="spellEnd"/>
      <w:r w:rsidR="00D56689">
        <w:t>.</w:t>
      </w:r>
    </w:p>
    <w:p w:rsidR="001603AF" w:rsidRPr="001603AF" w:rsidRDefault="001603AF" w:rsidP="00A069C4">
      <w:pPr>
        <w:pStyle w:val="Heading4"/>
      </w:pPr>
      <w:r w:rsidRPr="001603AF">
        <w:t>Conclusion</w:t>
      </w:r>
    </w:p>
    <w:p w:rsidR="001603AF" w:rsidRPr="001603AF" w:rsidRDefault="001603AF" w:rsidP="00A069C4">
      <w:r w:rsidRPr="001603AF">
        <w:t xml:space="preserve">Adverse events were reported in &gt; 99% of the patients enrolled in study AVF3708g. Grade ≥3 adverse events were reported by 46.4% of patients in the BV Arm versus 65.8% of patients in the BV/CPT Arm. The commonest Grade ≥3 adverse events in the BV Arm were hypertension and convulsion, and in the BV/CPT Arm, convulsion, </w:t>
      </w:r>
      <w:proofErr w:type="spellStart"/>
      <w:r w:rsidRPr="001603AF">
        <w:t>neutropenia</w:t>
      </w:r>
      <w:proofErr w:type="spellEnd"/>
      <w:r w:rsidRPr="001603AF">
        <w:t xml:space="preserve"> and fatigue.</w:t>
      </w:r>
    </w:p>
    <w:p w:rsidR="001603AF" w:rsidRPr="001603AF" w:rsidRDefault="001603AF" w:rsidP="00A069C4">
      <w:r w:rsidRPr="001603AF">
        <w:t xml:space="preserve">The adverse events of special interest in the </w:t>
      </w:r>
      <w:proofErr w:type="spellStart"/>
      <w:r w:rsidRPr="001603AF">
        <w:t>bevacizumab</w:t>
      </w:r>
      <w:proofErr w:type="spellEnd"/>
      <w:r w:rsidRPr="001603AF">
        <w:t xml:space="preserve"> alone Arm were haemorrhage, including CNS haemorrhage (27.4%), hypertension (35.7%), gastrointestinal perforation (2.5%), </w:t>
      </w:r>
      <w:proofErr w:type="spellStart"/>
      <w:r w:rsidRPr="001603AF">
        <w:t>thromboembolic</w:t>
      </w:r>
      <w:proofErr w:type="spellEnd"/>
      <w:r w:rsidRPr="001603AF">
        <w:t xml:space="preserve"> events (venous: 3.6% and arterial: 4.8%), infection (Grade ≥3: 9.5%), seizures (17.9%), </w:t>
      </w:r>
      <w:proofErr w:type="spellStart"/>
      <w:r w:rsidRPr="001603AF">
        <w:t>proteinuria</w:t>
      </w:r>
      <w:proofErr w:type="spellEnd"/>
      <w:r w:rsidRPr="001603AF">
        <w:t xml:space="preserve"> (4.8%) and wound healing complications (</w:t>
      </w:r>
      <w:r w:rsidR="00A069C4">
        <w:t>6%).</w:t>
      </w:r>
    </w:p>
    <w:p w:rsidR="001603AF" w:rsidRPr="001603AF" w:rsidRDefault="001603AF" w:rsidP="00A069C4">
      <w:r w:rsidRPr="001603AF">
        <w:t xml:space="preserve">There were fewer reports of haemorrhage, including CNS haemorrhage, gastrointestinal perforation, </w:t>
      </w:r>
      <w:proofErr w:type="spellStart"/>
      <w:r w:rsidRPr="001603AF">
        <w:t>thromboembolic</w:t>
      </w:r>
      <w:proofErr w:type="spellEnd"/>
      <w:r w:rsidRPr="001603AF">
        <w:t xml:space="preserve"> events (venous and arterial), infection, RPLS, seizures and laboratory abnormalities in the BV Arm than in the BV/CPT Arm. There were slightly more wound healing complications in the BV Arm than in the BV/CPT Arm. The number of discontinuations due to adverse events was greater in the BV/CPT Arm than in the BV Arm. About half the patient population in both arms died. All but 5 of the deaths were due to disease progression. Adverse events were the cause of death in 3 of the 5 deaths </w:t>
      </w:r>
      <w:r w:rsidR="00A069C4">
        <w:t>not due to disease progression.</w:t>
      </w:r>
    </w:p>
    <w:p w:rsidR="001603AF" w:rsidRPr="001603AF" w:rsidRDefault="001603AF" w:rsidP="00A069C4">
      <w:r w:rsidRPr="001603AF">
        <w:t xml:space="preserve">In Study NCI-06-C-0064E, the reported adverse events were </w:t>
      </w:r>
      <w:proofErr w:type="spellStart"/>
      <w:r w:rsidRPr="001603AF">
        <w:t>lymphopenia</w:t>
      </w:r>
      <w:proofErr w:type="spellEnd"/>
      <w:r w:rsidRPr="001603AF">
        <w:t xml:space="preserve">, venous </w:t>
      </w:r>
      <w:proofErr w:type="spellStart"/>
      <w:r w:rsidRPr="001603AF">
        <w:t>thromboembolic</w:t>
      </w:r>
      <w:proofErr w:type="spellEnd"/>
      <w:r w:rsidRPr="001603AF">
        <w:t xml:space="preserve"> events, </w:t>
      </w:r>
      <w:proofErr w:type="spellStart"/>
      <w:r w:rsidRPr="001603AF">
        <w:t>hypophosphatemia</w:t>
      </w:r>
      <w:proofErr w:type="spellEnd"/>
      <w:r w:rsidRPr="001603AF">
        <w:t xml:space="preserve">, hypertension, seizure, arterial </w:t>
      </w:r>
      <w:proofErr w:type="spellStart"/>
      <w:r w:rsidRPr="001603AF">
        <w:t>thromboembolic</w:t>
      </w:r>
      <w:proofErr w:type="spellEnd"/>
      <w:r w:rsidRPr="001603AF">
        <w:t xml:space="preserve"> events, gastrointestinal perforation and wound healing complication. These were all in keeping with the known</w:t>
      </w:r>
      <w:r w:rsidR="00A069C4">
        <w:t xml:space="preserve"> safety profile of </w:t>
      </w:r>
      <w:proofErr w:type="spellStart"/>
      <w:r w:rsidR="00A069C4">
        <w:t>bevacizumab</w:t>
      </w:r>
      <w:proofErr w:type="spellEnd"/>
      <w:r w:rsidR="00A069C4">
        <w:t>.</w:t>
      </w:r>
    </w:p>
    <w:p w:rsidR="001603AF" w:rsidRPr="001603AF" w:rsidRDefault="001603AF" w:rsidP="00A069C4">
      <w:r w:rsidRPr="001603AF">
        <w:t>The safety data from the 16 citations from the literature review were of limited value because of its brevity and the inconsistent causality reporting.</w:t>
      </w:r>
    </w:p>
    <w:p w:rsidR="001603AF" w:rsidRPr="001603AF" w:rsidRDefault="001603AF" w:rsidP="00A069C4">
      <w:pPr>
        <w:pStyle w:val="Heading3"/>
      </w:pPr>
      <w:bookmarkStart w:id="77" w:name="_Toc247691523"/>
      <w:bookmarkStart w:id="78" w:name="_Toc314842507"/>
      <w:bookmarkStart w:id="79" w:name="_Toc332373870"/>
      <w:bookmarkStart w:id="80" w:name="_Toc184440295"/>
      <w:bookmarkStart w:id="81" w:name="_Toc184444673"/>
      <w:bookmarkStart w:id="82" w:name="_Toc196046503"/>
      <w:bookmarkStart w:id="83" w:name="_Toc377733568"/>
      <w:r w:rsidRPr="001603AF">
        <w:t>Clinical summary and conclusions</w:t>
      </w:r>
      <w:bookmarkEnd w:id="77"/>
      <w:bookmarkEnd w:id="78"/>
      <w:bookmarkEnd w:id="79"/>
      <w:bookmarkEnd w:id="83"/>
    </w:p>
    <w:p w:rsidR="001603AF" w:rsidRPr="001603AF" w:rsidRDefault="001603AF" w:rsidP="00A069C4">
      <w:bookmarkStart w:id="84" w:name="_Toc196046504"/>
      <w:bookmarkStart w:id="85" w:name="_Toc163441390"/>
      <w:bookmarkEnd w:id="80"/>
      <w:bookmarkEnd w:id="81"/>
      <w:bookmarkEnd w:id="82"/>
      <w:r w:rsidRPr="001603AF">
        <w:t xml:space="preserve">The sponsor seeks approval for </w:t>
      </w:r>
      <w:proofErr w:type="spellStart"/>
      <w:r w:rsidRPr="001603AF">
        <w:t>Avastin</w:t>
      </w:r>
      <w:proofErr w:type="spellEnd"/>
      <w:r w:rsidRPr="001603AF">
        <w:t xml:space="preserve"> (</w:t>
      </w:r>
      <w:proofErr w:type="spellStart"/>
      <w:r w:rsidRPr="001603AF">
        <w:t>bevacizumab</w:t>
      </w:r>
      <w:proofErr w:type="spellEnd"/>
      <w:r w:rsidRPr="001603AF">
        <w:t xml:space="preserve">) as a single agent, or in combination with </w:t>
      </w:r>
      <w:proofErr w:type="spellStart"/>
      <w:r w:rsidRPr="001603AF">
        <w:t>irinotecan</w:t>
      </w:r>
      <w:proofErr w:type="spellEnd"/>
      <w:r w:rsidRPr="001603AF">
        <w:t xml:space="preserve"> for the treatment of patients with relapsed high grade malignant </w:t>
      </w:r>
      <w:proofErr w:type="spellStart"/>
      <w:r w:rsidRPr="001603AF">
        <w:t>glioma</w:t>
      </w:r>
      <w:proofErr w:type="spellEnd"/>
      <w:r w:rsidRPr="001603AF">
        <w:t xml:space="preserve">. Efficacy and safety data from two historically-controlled studies were submitted in support of Grade IV </w:t>
      </w:r>
      <w:proofErr w:type="spellStart"/>
      <w:r w:rsidRPr="001603AF">
        <w:t>glioma</w:t>
      </w:r>
      <w:proofErr w:type="spellEnd"/>
      <w:r w:rsidRPr="001603AF">
        <w:t xml:space="preserve">. The sponsor also submitted a clinical overview of 16 clinical trials described in 31 publications retrieved from a systematic literature review </w:t>
      </w:r>
      <w:r w:rsidR="00A069C4">
        <w:t xml:space="preserve">in support of Grade III </w:t>
      </w:r>
      <w:proofErr w:type="spellStart"/>
      <w:r w:rsidR="00A069C4">
        <w:t>glioma</w:t>
      </w:r>
      <w:proofErr w:type="spellEnd"/>
      <w:r w:rsidR="00A069C4">
        <w:t>.</w:t>
      </w:r>
    </w:p>
    <w:p w:rsidR="001603AF" w:rsidRPr="001603AF" w:rsidRDefault="001603AF" w:rsidP="00A069C4">
      <w:r w:rsidRPr="001603AF">
        <w:lastRenderedPageBreak/>
        <w:t xml:space="preserve">The pivotal study AVF3708g is an open-label, multicenter, non-comparative, parallel group trial to evaluate the efficacy and safety of </w:t>
      </w:r>
      <w:proofErr w:type="spellStart"/>
      <w:r w:rsidRPr="001603AF">
        <w:t>bevacizumab</w:t>
      </w:r>
      <w:proofErr w:type="spellEnd"/>
      <w:r w:rsidRPr="001603AF">
        <w:t xml:space="preserve"> </w:t>
      </w:r>
      <w:proofErr w:type="spellStart"/>
      <w:r w:rsidRPr="001603AF">
        <w:t>monotherapy</w:t>
      </w:r>
      <w:proofErr w:type="spellEnd"/>
      <w:r w:rsidRPr="001603AF">
        <w:t xml:space="preserve"> and of </w:t>
      </w:r>
      <w:proofErr w:type="spellStart"/>
      <w:r w:rsidRPr="001603AF">
        <w:t>bevacizumab</w:t>
      </w:r>
      <w:proofErr w:type="spellEnd"/>
      <w:r w:rsidRPr="001603AF">
        <w:t xml:space="preserve"> plus </w:t>
      </w:r>
      <w:proofErr w:type="spellStart"/>
      <w:r w:rsidRPr="001603AF">
        <w:t>irinotecan</w:t>
      </w:r>
      <w:proofErr w:type="spellEnd"/>
      <w:r w:rsidRPr="001603AF">
        <w:t xml:space="preserve"> in patients with previously treated </w:t>
      </w:r>
      <w:proofErr w:type="spellStart"/>
      <w:r w:rsidRPr="001603AF">
        <w:t>glioblastoma</w:t>
      </w:r>
      <w:proofErr w:type="spellEnd"/>
      <w:r w:rsidRPr="001603AF">
        <w:t xml:space="preserve">. A total of 167 patients were enrolled: 85 in the </w:t>
      </w:r>
      <w:proofErr w:type="spellStart"/>
      <w:r w:rsidRPr="001603AF">
        <w:t>bevacizumab</w:t>
      </w:r>
      <w:proofErr w:type="spellEnd"/>
      <w:r w:rsidRPr="001603AF">
        <w:t xml:space="preserve"> alone Arm, 82 in the </w:t>
      </w:r>
      <w:proofErr w:type="spellStart"/>
      <w:r w:rsidRPr="001603AF">
        <w:t>bevacizumab</w:t>
      </w:r>
      <w:proofErr w:type="spellEnd"/>
      <w:r w:rsidRPr="001603AF">
        <w:t xml:space="preserve"> plus </w:t>
      </w:r>
      <w:proofErr w:type="spellStart"/>
      <w:r w:rsidRPr="001603AF">
        <w:t>irinotecan</w:t>
      </w:r>
      <w:proofErr w:type="spellEnd"/>
      <w:r w:rsidRPr="001603AF">
        <w:t xml:space="preserve"> Arm. The primary efficacy endpoints were objective response rate as determined by an independent review facility and the 6-month PFS. Tumour assessment was based on the modified WHO response criteria taking into </w:t>
      </w:r>
      <w:r w:rsidR="00A069C4">
        <w:t>account corticosteroid dosing.</w:t>
      </w:r>
    </w:p>
    <w:p w:rsidR="001603AF" w:rsidRPr="001603AF" w:rsidRDefault="001603AF" w:rsidP="00A069C4">
      <w:r w:rsidRPr="001603AF">
        <w:t>There was a statistically significant increase in the IRF-assessed objective response rates in both treatment arms compared with historical controls (28.2% in the BV Arm and 37.8% in the BV/CPT Arm versus 5% and 10%, respectively, in historical controls). Similarly, there was a statistically significant increase in the IRF-assessed 6-month PFS in both treatment arms compared with historical controls (42.6% in the BV Arm and 50.3% in the BV/CPT Arm vers</w:t>
      </w:r>
      <w:r w:rsidR="00A069C4">
        <w:t>us 15% in historical controls).</w:t>
      </w:r>
    </w:p>
    <w:p w:rsidR="001603AF" w:rsidRPr="001603AF" w:rsidRDefault="001603AF" w:rsidP="00A069C4">
      <w:r w:rsidRPr="001603AF">
        <w:t>The duration of responses was a median of 5.6 months (95% CI 3.0, 5.8) in the BV Arm and 4.3 months (95% CI 4.2, -) in the BV/CPT Arm. The median overall survival was 9.3 months (95% CI 8.2, -) in the BV Arm and 8.8 months (95%</w:t>
      </w:r>
      <w:r w:rsidR="00A069C4">
        <w:t xml:space="preserve"> CI 7.8, -) in the BV/CPT Arm.</w:t>
      </w:r>
    </w:p>
    <w:p w:rsidR="001603AF" w:rsidRPr="001603AF" w:rsidRDefault="001603AF" w:rsidP="00A069C4">
      <w:r w:rsidRPr="001603AF">
        <w:t xml:space="preserve">NCI 06-C-0064E was a single arm, single site, NCI-sponsored study of </w:t>
      </w:r>
      <w:proofErr w:type="spellStart"/>
      <w:r w:rsidRPr="001603AF">
        <w:t>bevacizumab</w:t>
      </w:r>
      <w:proofErr w:type="spellEnd"/>
      <w:r w:rsidRPr="001603AF">
        <w:t xml:space="preserve"> for the treatment of patients with previously treated Grade IV </w:t>
      </w:r>
      <w:proofErr w:type="spellStart"/>
      <w:r w:rsidRPr="001603AF">
        <w:t>gliomas</w:t>
      </w:r>
      <w:proofErr w:type="spellEnd"/>
      <w:r w:rsidRPr="001603AF">
        <w:t xml:space="preserve">. The study enrolled 56 patients with high grade </w:t>
      </w:r>
      <w:proofErr w:type="spellStart"/>
      <w:r w:rsidRPr="001603AF">
        <w:t>glioma</w:t>
      </w:r>
      <w:proofErr w:type="spellEnd"/>
      <w:r w:rsidRPr="001603AF">
        <w:t>. Objective response as determined by independent review was 19.6% (95% CI 10.9 %, 31.3%). Median duration of response was 3.9 months (95% CI 2.4, 17.4) among the responders.</w:t>
      </w:r>
    </w:p>
    <w:p w:rsidR="001603AF" w:rsidRPr="001603AF" w:rsidRDefault="001603AF" w:rsidP="00A069C4">
      <w:r w:rsidRPr="001603AF">
        <w:t xml:space="preserve">The systematic literature review confirmed improvement in response rate, 6-month PFS and OS compared to historical controls in patients with Grade III </w:t>
      </w:r>
      <w:proofErr w:type="spellStart"/>
      <w:r w:rsidRPr="001603AF">
        <w:t>gliomas</w:t>
      </w:r>
      <w:proofErr w:type="spellEnd"/>
      <w:r w:rsidRPr="001603AF">
        <w:t>. The reduction in steroid use, as described by the sponsor, supports the improvement in the eff</w:t>
      </w:r>
      <w:r w:rsidR="00A069C4">
        <w:t>icacy parameters.</w:t>
      </w:r>
    </w:p>
    <w:p w:rsidR="001603AF" w:rsidRPr="001603AF" w:rsidRDefault="001603AF" w:rsidP="00A069C4">
      <w:r w:rsidRPr="001603AF">
        <w:t xml:space="preserve">The IRF assessments were based on MRI measurements. Due to the hallmark histology of </w:t>
      </w:r>
      <w:proofErr w:type="spellStart"/>
      <w:r w:rsidRPr="001603AF">
        <w:t>pseudopalisading</w:t>
      </w:r>
      <w:proofErr w:type="spellEnd"/>
      <w:r w:rsidRPr="001603AF">
        <w:t xml:space="preserve"> necrosis of GBM, tumour size cannot be accurately measured by MRI because of the irregular configuration. This difficulty is even greater for relapsed </w:t>
      </w:r>
      <w:proofErr w:type="spellStart"/>
      <w:r w:rsidRPr="001603AF">
        <w:t>gliomas</w:t>
      </w:r>
      <w:proofErr w:type="spellEnd"/>
      <w:r w:rsidRPr="001603AF">
        <w:t xml:space="preserve"> after prior surgery and radiation therapy, the target population for this application. Neither objective response rate nor objective progression can be satisfactorily assessed. However, it was considered that a response rate of sufficient magnitude was likely to be associated with clinical benefit as the magnitude of response rate would outweigh the uncertainties associated with interpreting MRI scans.</w:t>
      </w:r>
    </w:p>
    <w:p w:rsidR="001603AF" w:rsidRPr="001603AF" w:rsidRDefault="001603AF" w:rsidP="00A069C4">
      <w:r w:rsidRPr="001603AF">
        <w:t xml:space="preserve">Adverse events were reported in &gt; 99% of the patients enrolled in study AVF3708g. The incidence of serious adverse events (Grade ≥3) was greater in the BV/CPT Arm than in the BV Arm. The commonest Grade ≥3 adverse events in the BV Arm were hypertension and convulsion and in the BV/CPT Arm, convulsion, </w:t>
      </w:r>
      <w:proofErr w:type="spellStart"/>
      <w:r w:rsidRPr="001603AF">
        <w:t>neutropenia</w:t>
      </w:r>
      <w:proofErr w:type="spellEnd"/>
      <w:r w:rsidRPr="001603AF">
        <w:t xml:space="preserve"> and fatigue. The adverse events of special interest in the </w:t>
      </w:r>
      <w:proofErr w:type="spellStart"/>
      <w:r w:rsidRPr="001603AF">
        <w:t>bevacizumab</w:t>
      </w:r>
      <w:proofErr w:type="spellEnd"/>
      <w:r w:rsidRPr="001603AF">
        <w:t xml:space="preserve"> alone Arm were haemorrhage, including CNS haemorrhage (27.4%), hypertension (35.7%), gastrointestinal perforation (2.5%), </w:t>
      </w:r>
      <w:proofErr w:type="spellStart"/>
      <w:r w:rsidRPr="001603AF">
        <w:t>thromboembolic</w:t>
      </w:r>
      <w:proofErr w:type="spellEnd"/>
      <w:r w:rsidRPr="001603AF">
        <w:t xml:space="preserve"> events (venous: 3.6% and arterial: 4.8%), infection (Grade ≥3: 9.5%), seizures (17.9%), </w:t>
      </w:r>
      <w:proofErr w:type="spellStart"/>
      <w:r w:rsidRPr="001603AF">
        <w:t>proteinuria</w:t>
      </w:r>
      <w:proofErr w:type="spellEnd"/>
      <w:r w:rsidRPr="001603AF">
        <w:t xml:space="preserve"> (4.8%) and wound healing complications (6%). There were fewer reports of haemorrhage, including CNS haemorrhage, infection, gastrointestinal perforation, </w:t>
      </w:r>
      <w:proofErr w:type="spellStart"/>
      <w:r w:rsidRPr="001603AF">
        <w:t>thromboembolic</w:t>
      </w:r>
      <w:proofErr w:type="spellEnd"/>
      <w:r w:rsidRPr="001603AF">
        <w:t xml:space="preserve"> events, RPLS, seizures and laboratory abnormalities in the BV Arm than in the BV/CPT Arm. There were more discontinuations due to adverse events in the BV/CPT Arm. About half the patient population in both arms died. All but 5 of the deaths were due to disease progression. Adverse events were the cause of death in 3 of the 5 deaths </w:t>
      </w:r>
      <w:r w:rsidR="00A069C4">
        <w:t>not due to disease progression.</w:t>
      </w:r>
    </w:p>
    <w:p w:rsidR="001603AF" w:rsidRPr="001603AF" w:rsidRDefault="001603AF" w:rsidP="00A069C4">
      <w:r w:rsidRPr="001603AF">
        <w:t xml:space="preserve">In Study NCI-06-C-0064E, the reported adverse events were </w:t>
      </w:r>
      <w:proofErr w:type="spellStart"/>
      <w:r w:rsidRPr="001603AF">
        <w:t>lymphopenia</w:t>
      </w:r>
      <w:proofErr w:type="spellEnd"/>
      <w:r w:rsidRPr="001603AF">
        <w:t xml:space="preserve">, venous </w:t>
      </w:r>
      <w:proofErr w:type="spellStart"/>
      <w:r w:rsidRPr="001603AF">
        <w:t>thromboembolic</w:t>
      </w:r>
      <w:proofErr w:type="spellEnd"/>
      <w:r w:rsidRPr="001603AF">
        <w:t xml:space="preserve"> events, </w:t>
      </w:r>
      <w:proofErr w:type="spellStart"/>
      <w:r w:rsidRPr="001603AF">
        <w:t>hypophosphatemia</w:t>
      </w:r>
      <w:proofErr w:type="spellEnd"/>
      <w:r w:rsidRPr="001603AF">
        <w:t xml:space="preserve">, hypertension, seizure, arterial </w:t>
      </w:r>
      <w:proofErr w:type="spellStart"/>
      <w:r w:rsidRPr="001603AF">
        <w:t>thromboembolic</w:t>
      </w:r>
      <w:proofErr w:type="spellEnd"/>
      <w:r w:rsidRPr="001603AF">
        <w:t xml:space="preserve"> events, gastrointestinal perforation </w:t>
      </w:r>
      <w:r w:rsidR="00A069C4">
        <w:t>and wound healing complication.</w:t>
      </w:r>
    </w:p>
    <w:p w:rsidR="001603AF" w:rsidRPr="001603AF" w:rsidRDefault="001603AF" w:rsidP="00A069C4">
      <w:r w:rsidRPr="001603AF">
        <w:lastRenderedPageBreak/>
        <w:t>The safety data from the 16 citations from the literature review were of limited value because of their brevity and the in</w:t>
      </w:r>
      <w:r w:rsidR="00A069C4">
        <w:t>consistent causality reporting.</w:t>
      </w:r>
    </w:p>
    <w:p w:rsidR="001603AF" w:rsidRPr="001603AF" w:rsidRDefault="001603AF" w:rsidP="00A069C4">
      <w:r w:rsidRPr="001603AF">
        <w:t xml:space="preserve">The adverse event profile in the submitted studies was in keeping with the known profile. Events of special concern were CNS haemorrhage, wound healing complications and venous </w:t>
      </w:r>
      <w:proofErr w:type="spellStart"/>
      <w:r w:rsidRPr="001603AF">
        <w:t>thromboembolism</w:t>
      </w:r>
      <w:proofErr w:type="spellEnd"/>
      <w:r w:rsidRPr="001603AF">
        <w:t>, which are inherent in patients with GBM and a</w:t>
      </w:r>
      <w:r w:rsidR="00A069C4">
        <w:t>ssociated surgery/radiotherapy.</w:t>
      </w:r>
    </w:p>
    <w:p w:rsidR="001603AF" w:rsidRPr="001603AF" w:rsidRDefault="001603AF" w:rsidP="00A069C4">
      <w:r w:rsidRPr="001603AF">
        <w:t xml:space="preserve">The submitted data has demonstrated that </w:t>
      </w:r>
      <w:proofErr w:type="spellStart"/>
      <w:r w:rsidRPr="001603AF">
        <w:t>bevacizumab</w:t>
      </w:r>
      <w:proofErr w:type="spellEnd"/>
      <w:r w:rsidRPr="001603AF">
        <w:t xml:space="preserve"> was beneficial in the treatment of these extremely treatment-resistant tumours. The combination of </w:t>
      </w:r>
      <w:proofErr w:type="spellStart"/>
      <w:r w:rsidRPr="001603AF">
        <w:t>irinotecan</w:t>
      </w:r>
      <w:proofErr w:type="spellEnd"/>
      <w:r w:rsidRPr="001603AF">
        <w:t xml:space="preserve"> with </w:t>
      </w:r>
      <w:proofErr w:type="spellStart"/>
      <w:r w:rsidRPr="001603AF">
        <w:t>bevacizumab</w:t>
      </w:r>
      <w:proofErr w:type="spellEnd"/>
      <w:r w:rsidRPr="001603AF">
        <w:t xml:space="preserve"> for the treatment of high-grade </w:t>
      </w:r>
      <w:proofErr w:type="spellStart"/>
      <w:r w:rsidRPr="001603AF">
        <w:t>glioma</w:t>
      </w:r>
      <w:proofErr w:type="spellEnd"/>
      <w:r w:rsidRPr="001603AF">
        <w:t xml:space="preserve"> however is questionable. In study AVF3708g, there was no statistical difference in efficacy between the treatment arms and a higher incidence of severe adverse events in the combination therapy Arm. It can be concluded that </w:t>
      </w:r>
      <w:proofErr w:type="spellStart"/>
      <w:r w:rsidRPr="001603AF">
        <w:t>irinotecan</w:t>
      </w:r>
      <w:proofErr w:type="spellEnd"/>
      <w:r w:rsidRPr="001603AF">
        <w:t xml:space="preserve"> does not add significant efficacy to </w:t>
      </w:r>
      <w:proofErr w:type="spellStart"/>
      <w:r w:rsidRPr="001603AF">
        <w:t>bevacizumab</w:t>
      </w:r>
      <w:proofErr w:type="spellEnd"/>
      <w:r w:rsidRPr="001603AF">
        <w:t xml:space="preserve"> and at the expense of added toxicity.</w:t>
      </w:r>
    </w:p>
    <w:p w:rsidR="001603AF" w:rsidRPr="001603AF" w:rsidRDefault="001603AF" w:rsidP="00A069C4">
      <w:pPr>
        <w:pStyle w:val="Heading4"/>
      </w:pPr>
      <w:r w:rsidRPr="001603AF">
        <w:t xml:space="preserve">Recommendation of the </w:t>
      </w:r>
      <w:r w:rsidR="00A069C4">
        <w:t>c</w:t>
      </w:r>
      <w:r w:rsidRPr="001603AF">
        <w:t xml:space="preserve">linical </w:t>
      </w:r>
      <w:r w:rsidR="00A069C4">
        <w:t>evaluator</w:t>
      </w:r>
    </w:p>
    <w:p w:rsidR="001603AF" w:rsidRPr="001603AF" w:rsidRDefault="001603AF" w:rsidP="00A069C4">
      <w:r w:rsidRPr="001603AF">
        <w:t xml:space="preserve">On the basis of the submitted data, the clinical evaluator recommended that </w:t>
      </w:r>
      <w:proofErr w:type="spellStart"/>
      <w:r w:rsidRPr="001603AF">
        <w:t>Avastin</w:t>
      </w:r>
      <w:proofErr w:type="spellEnd"/>
      <w:r w:rsidRPr="001603AF">
        <w:t xml:space="preserve"> (</w:t>
      </w:r>
      <w:proofErr w:type="spellStart"/>
      <w:r w:rsidRPr="001603AF">
        <w:t>bevacizumab</w:t>
      </w:r>
      <w:proofErr w:type="spellEnd"/>
      <w:r w:rsidRPr="001603AF">
        <w:t>), as a single agent, be approved for the treatment of patients with relapse</w:t>
      </w:r>
      <w:r w:rsidR="00A069C4">
        <w:t xml:space="preserve">d high grade malignant </w:t>
      </w:r>
      <w:proofErr w:type="spellStart"/>
      <w:r w:rsidR="00A069C4">
        <w:t>glioma</w:t>
      </w:r>
      <w:proofErr w:type="spellEnd"/>
      <w:r w:rsidR="00A069C4">
        <w:t>.</w:t>
      </w:r>
    </w:p>
    <w:p w:rsidR="001603AF" w:rsidRPr="001603AF" w:rsidRDefault="001603AF" w:rsidP="00A069C4">
      <w:r w:rsidRPr="001603AF">
        <w:t xml:space="preserve">The application for the use of </w:t>
      </w:r>
      <w:proofErr w:type="spellStart"/>
      <w:r w:rsidRPr="001603AF">
        <w:t>Avastin</w:t>
      </w:r>
      <w:proofErr w:type="spellEnd"/>
      <w:r w:rsidRPr="001603AF">
        <w:t xml:space="preserve"> (</w:t>
      </w:r>
      <w:proofErr w:type="spellStart"/>
      <w:r w:rsidRPr="001603AF">
        <w:t>bevacizumab</w:t>
      </w:r>
      <w:proofErr w:type="spellEnd"/>
      <w:r w:rsidRPr="001603AF">
        <w:t xml:space="preserve">) in combination with </w:t>
      </w:r>
      <w:proofErr w:type="spellStart"/>
      <w:r w:rsidRPr="001603AF">
        <w:t>irinotecan</w:t>
      </w:r>
      <w:proofErr w:type="spellEnd"/>
      <w:r w:rsidRPr="001603AF">
        <w:t xml:space="preserve"> for the treatment of relapsed high grade </w:t>
      </w:r>
      <w:proofErr w:type="spellStart"/>
      <w:r w:rsidRPr="001603AF">
        <w:t>glioma</w:t>
      </w:r>
      <w:proofErr w:type="spellEnd"/>
      <w:r w:rsidRPr="001603AF">
        <w:t xml:space="preserve"> should be rejected.</w:t>
      </w:r>
    </w:p>
    <w:p w:rsidR="001603AF" w:rsidRPr="001603AF" w:rsidRDefault="001603AF" w:rsidP="00A069C4">
      <w:pPr>
        <w:pStyle w:val="Heading2"/>
      </w:pPr>
      <w:bookmarkStart w:id="86" w:name="_Toc247691524"/>
      <w:bookmarkStart w:id="87" w:name="_Toc314842508"/>
      <w:bookmarkStart w:id="88" w:name="_Toc332373871"/>
      <w:bookmarkStart w:id="89" w:name="_Toc377733569"/>
      <w:r w:rsidRPr="001603AF">
        <w:t xml:space="preserve">V. </w:t>
      </w:r>
      <w:proofErr w:type="spellStart"/>
      <w:r w:rsidRPr="001603AF">
        <w:t>Pharmacovigilance</w:t>
      </w:r>
      <w:proofErr w:type="spellEnd"/>
      <w:r w:rsidRPr="001603AF">
        <w:t xml:space="preserve"> findings</w:t>
      </w:r>
      <w:bookmarkEnd w:id="86"/>
      <w:bookmarkEnd w:id="87"/>
      <w:bookmarkEnd w:id="88"/>
      <w:bookmarkEnd w:id="89"/>
    </w:p>
    <w:p w:rsidR="001603AF" w:rsidRPr="001603AF" w:rsidRDefault="001603AF" w:rsidP="00A069C4">
      <w:pPr>
        <w:rPr>
          <w:lang w:eastAsia="en-AU"/>
        </w:rPr>
      </w:pPr>
      <w:r w:rsidRPr="001603AF">
        <w:rPr>
          <w:lang w:eastAsia="en-AU"/>
        </w:rPr>
        <w:t>A Risk Management Plan was submitted with the application but it was not a requirement at the time of submission and was therefore not evaluated.</w:t>
      </w:r>
    </w:p>
    <w:p w:rsidR="001603AF" w:rsidRPr="001603AF" w:rsidRDefault="001603AF" w:rsidP="00A069C4">
      <w:pPr>
        <w:pStyle w:val="Heading2"/>
      </w:pPr>
      <w:bookmarkStart w:id="90" w:name="_Toc247691527"/>
      <w:bookmarkStart w:id="91" w:name="_Toc314842510"/>
      <w:bookmarkStart w:id="92" w:name="_Toc332373872"/>
      <w:bookmarkStart w:id="93" w:name="_Toc377733570"/>
      <w:r w:rsidRPr="001603AF">
        <w:t>VI. Overall conclusion and risk/benefit assessment</w:t>
      </w:r>
      <w:bookmarkEnd w:id="84"/>
      <w:bookmarkEnd w:id="90"/>
      <w:bookmarkEnd w:id="91"/>
      <w:bookmarkEnd w:id="92"/>
      <w:bookmarkEnd w:id="93"/>
    </w:p>
    <w:p w:rsidR="001603AF" w:rsidRPr="001603AF" w:rsidRDefault="001603AF" w:rsidP="00A069C4">
      <w:bookmarkStart w:id="94" w:name="_Toc247691528"/>
      <w:r w:rsidRPr="001603AF">
        <w:t>The submission was summarised in the following Delegate’s overview and recommendations:</w:t>
      </w:r>
    </w:p>
    <w:p w:rsidR="001603AF" w:rsidRPr="001603AF" w:rsidRDefault="001603AF" w:rsidP="00A069C4">
      <w:pPr>
        <w:pStyle w:val="Heading3"/>
      </w:pPr>
      <w:bookmarkStart w:id="95" w:name="_Toc314842511"/>
      <w:bookmarkStart w:id="96" w:name="_Toc332373873"/>
      <w:bookmarkStart w:id="97" w:name="_Toc377733571"/>
      <w:r w:rsidRPr="001603AF">
        <w:t>Quality</w:t>
      </w:r>
      <w:bookmarkEnd w:id="94"/>
      <w:bookmarkEnd w:id="95"/>
      <w:bookmarkEnd w:id="96"/>
      <w:bookmarkEnd w:id="97"/>
    </w:p>
    <w:p w:rsidR="001603AF" w:rsidRPr="001603AF" w:rsidRDefault="001603AF" w:rsidP="00A069C4">
      <w:r w:rsidRPr="001603AF">
        <w:t>There was no requirement for a quality evaluation in an application of this type.</w:t>
      </w:r>
    </w:p>
    <w:p w:rsidR="001603AF" w:rsidRPr="001603AF" w:rsidRDefault="001603AF" w:rsidP="00A069C4">
      <w:pPr>
        <w:pStyle w:val="Heading3"/>
      </w:pPr>
      <w:bookmarkStart w:id="98" w:name="_Toc314842512"/>
      <w:bookmarkStart w:id="99" w:name="_Toc332373874"/>
      <w:bookmarkStart w:id="100" w:name="_Toc377733572"/>
      <w:r w:rsidRPr="001603AF">
        <w:t>Nonclinical</w:t>
      </w:r>
      <w:bookmarkEnd w:id="98"/>
      <w:bookmarkEnd w:id="99"/>
      <w:bookmarkEnd w:id="100"/>
    </w:p>
    <w:p w:rsidR="001603AF" w:rsidRPr="001603AF" w:rsidRDefault="001603AF" w:rsidP="00A069C4">
      <w:r w:rsidRPr="001603AF">
        <w:t>There was no requirement for a nonclinical evaluation in an application of this type.</w:t>
      </w:r>
    </w:p>
    <w:p w:rsidR="001603AF" w:rsidRPr="001603AF" w:rsidRDefault="001603AF" w:rsidP="00A069C4">
      <w:pPr>
        <w:pStyle w:val="Heading3"/>
      </w:pPr>
      <w:bookmarkStart w:id="101" w:name="_Toc247691530"/>
      <w:bookmarkStart w:id="102" w:name="_Toc314842513"/>
      <w:bookmarkStart w:id="103" w:name="_Toc332373875"/>
      <w:bookmarkStart w:id="104" w:name="_Toc377733573"/>
      <w:r w:rsidRPr="001603AF">
        <w:t>Clinical</w:t>
      </w:r>
      <w:bookmarkEnd w:id="101"/>
      <w:bookmarkEnd w:id="102"/>
      <w:bookmarkEnd w:id="103"/>
      <w:bookmarkEnd w:id="104"/>
    </w:p>
    <w:p w:rsidR="001603AF" w:rsidRPr="001603AF" w:rsidRDefault="001603AF" w:rsidP="00A069C4">
      <w:r w:rsidRPr="001603AF">
        <w:t>The clinical evaluator has recommended approval of the application, but only for use</w:t>
      </w:r>
      <w:r w:rsidR="00A069C4">
        <w:t xml:space="preserve"> of </w:t>
      </w:r>
      <w:proofErr w:type="spellStart"/>
      <w:r w:rsidR="00A069C4">
        <w:t>bevacizumab</w:t>
      </w:r>
      <w:proofErr w:type="spellEnd"/>
      <w:r w:rsidR="00A069C4">
        <w:t xml:space="preserve"> as </w:t>
      </w:r>
      <w:proofErr w:type="spellStart"/>
      <w:r w:rsidR="00A069C4">
        <w:t>monotherapy</w:t>
      </w:r>
      <w:proofErr w:type="spellEnd"/>
      <w:r w:rsidR="00A069C4">
        <w:t>.</w:t>
      </w:r>
    </w:p>
    <w:p w:rsidR="001603AF" w:rsidRPr="001603AF" w:rsidRDefault="001603AF" w:rsidP="00A069C4">
      <w:r w:rsidRPr="001603AF">
        <w:t>Two separate sets of clinical data have been submitted:</w:t>
      </w:r>
    </w:p>
    <w:p w:rsidR="001603AF" w:rsidRPr="001603AF" w:rsidRDefault="001603AF" w:rsidP="00A069C4">
      <w:r w:rsidRPr="001603AF">
        <w:t xml:space="preserve">For </w:t>
      </w:r>
      <w:r w:rsidRPr="001603AF">
        <w:rPr>
          <w:u w:val="single"/>
        </w:rPr>
        <w:t>Grade IV</w:t>
      </w:r>
      <w:r w:rsidRPr="001603AF">
        <w:t xml:space="preserve"> </w:t>
      </w:r>
      <w:proofErr w:type="spellStart"/>
      <w:r w:rsidRPr="001603AF">
        <w:t>glioma</w:t>
      </w:r>
      <w:proofErr w:type="spellEnd"/>
      <w:r w:rsidRPr="001603AF">
        <w:t xml:space="preserve"> the data submitted were one pivotal phase II trial (</w:t>
      </w:r>
      <w:r w:rsidRPr="001603AF">
        <w:rPr>
          <w:b/>
        </w:rPr>
        <w:t>study AVF 3708g</w:t>
      </w:r>
      <w:r w:rsidRPr="001603AF">
        <w:t>) and one supportive phase II trial (</w:t>
      </w:r>
      <w:r w:rsidRPr="001603AF">
        <w:rPr>
          <w:b/>
        </w:rPr>
        <w:t>NCI-06-C-0064E</w:t>
      </w:r>
      <w:r w:rsidRPr="001603AF">
        <w:t>);</w:t>
      </w:r>
    </w:p>
    <w:p w:rsidR="001603AF" w:rsidRPr="001603AF" w:rsidRDefault="001603AF" w:rsidP="00947340">
      <w:r w:rsidRPr="001603AF">
        <w:t xml:space="preserve">For </w:t>
      </w:r>
      <w:r w:rsidRPr="001603AF">
        <w:rPr>
          <w:u w:val="single"/>
        </w:rPr>
        <w:t>Grade III</w:t>
      </w:r>
      <w:r w:rsidRPr="001603AF">
        <w:t xml:space="preserve"> </w:t>
      </w:r>
      <w:proofErr w:type="spellStart"/>
      <w:r w:rsidRPr="001603AF">
        <w:t>glioma</w:t>
      </w:r>
      <w:proofErr w:type="spellEnd"/>
      <w:r w:rsidRPr="001603AF">
        <w:t xml:space="preserve"> the sponsor has submitted a literature-based submission, which included 31 publications from 16 separate clinical trials.</w:t>
      </w:r>
    </w:p>
    <w:p w:rsidR="001603AF" w:rsidRPr="001603AF" w:rsidRDefault="001603AF" w:rsidP="00947340">
      <w:pPr>
        <w:pStyle w:val="Heading4"/>
      </w:pPr>
      <w:r w:rsidRPr="001603AF">
        <w:lastRenderedPageBreak/>
        <w:t xml:space="preserve">Efficacy – </w:t>
      </w:r>
      <w:r w:rsidR="00947340">
        <w:t>g</w:t>
      </w:r>
      <w:r w:rsidRPr="001603AF">
        <w:t xml:space="preserve">rade IV </w:t>
      </w:r>
      <w:proofErr w:type="spellStart"/>
      <w:r w:rsidRPr="001603AF">
        <w:t>glioma</w:t>
      </w:r>
      <w:proofErr w:type="spellEnd"/>
    </w:p>
    <w:p w:rsidR="001603AF" w:rsidRPr="001603AF" w:rsidRDefault="001603AF" w:rsidP="00947340">
      <w:r w:rsidRPr="001603AF">
        <w:t xml:space="preserve">Study AVF 3708g enrolled 167 subjects with </w:t>
      </w:r>
      <w:proofErr w:type="spellStart"/>
      <w:r w:rsidRPr="001603AF">
        <w:t>glioblastoma</w:t>
      </w:r>
      <w:proofErr w:type="spellEnd"/>
      <w:r w:rsidRPr="001603AF">
        <w:t xml:space="preserve"> </w:t>
      </w:r>
      <w:proofErr w:type="spellStart"/>
      <w:r w:rsidRPr="001603AF">
        <w:t>multiforme</w:t>
      </w:r>
      <w:proofErr w:type="spellEnd"/>
      <w:r w:rsidRPr="001603AF">
        <w:t xml:space="preserve"> (GBM) in first or second relapse. All patients were required to have had prior therapy with </w:t>
      </w:r>
      <w:proofErr w:type="spellStart"/>
      <w:r w:rsidRPr="001603AF">
        <w:t>temozolomide</w:t>
      </w:r>
      <w:proofErr w:type="spellEnd"/>
      <w:r w:rsidRPr="001603AF">
        <w:t>. Subjects were randomised to receive either:</w:t>
      </w:r>
    </w:p>
    <w:p w:rsidR="001603AF" w:rsidRPr="001603AF" w:rsidRDefault="001603AF" w:rsidP="00947340">
      <w:pPr>
        <w:pStyle w:val="ListBullet"/>
      </w:pPr>
      <w:proofErr w:type="spellStart"/>
      <w:r w:rsidRPr="001603AF">
        <w:t>Bevacizumab</w:t>
      </w:r>
      <w:proofErr w:type="spellEnd"/>
      <w:r w:rsidRPr="001603AF">
        <w:t xml:space="preserve"> 10 mg/kg IV every 2 weeks; or</w:t>
      </w:r>
    </w:p>
    <w:p w:rsidR="001603AF" w:rsidRPr="001603AF" w:rsidRDefault="001603AF" w:rsidP="00947340">
      <w:pPr>
        <w:pStyle w:val="ListBullet"/>
      </w:pPr>
      <w:proofErr w:type="spellStart"/>
      <w:r w:rsidRPr="001603AF">
        <w:t>Bevacizumab</w:t>
      </w:r>
      <w:proofErr w:type="spellEnd"/>
      <w:r w:rsidRPr="001603AF">
        <w:t xml:space="preserve"> 10 mg/kg IV every 2 weeks with </w:t>
      </w:r>
      <w:proofErr w:type="spellStart"/>
      <w:r w:rsidRPr="001603AF">
        <w:t>irinotecan</w:t>
      </w:r>
      <w:proofErr w:type="spellEnd"/>
      <w:r w:rsidRPr="001603AF">
        <w:t xml:space="preserve"> 125 or 340 mg/m2 every 2 weeks.</w:t>
      </w:r>
    </w:p>
    <w:p w:rsidR="001603AF" w:rsidRPr="001603AF" w:rsidRDefault="001603AF" w:rsidP="00947340">
      <w:r w:rsidRPr="001603AF">
        <w:t xml:space="preserve">The higher dose of </w:t>
      </w:r>
      <w:proofErr w:type="spellStart"/>
      <w:r w:rsidRPr="001603AF">
        <w:t>irinotecan</w:t>
      </w:r>
      <w:proofErr w:type="spellEnd"/>
      <w:r w:rsidRPr="001603AF">
        <w:t xml:space="preserve"> was used in those patients who were on enzyme-inducing anti-epileptic agents (EIAEA’s) as the drug is metabolised by CYP3A4.</w:t>
      </w:r>
    </w:p>
    <w:p w:rsidR="001603AF" w:rsidRPr="001603AF" w:rsidRDefault="001603AF" w:rsidP="00947340">
      <w:r w:rsidRPr="001603AF">
        <w:t>The primary endpoints were response rate and progression-free survival (PFS) at 6 months. Although patients were randomised to the two treatment arms, the trial was not designed to compare the efficacy of the two treatments. Rather, each of the two treatments was to be compared with published pooled historical data from previous phase II studies of various chemotherapy agents.</w:t>
      </w:r>
    </w:p>
    <w:p w:rsidR="001603AF" w:rsidRPr="001603AF" w:rsidRDefault="001603AF" w:rsidP="00947340">
      <w:r w:rsidRPr="001603AF">
        <w:t xml:space="preserve">Study NCI-06-C-0064E was an open uncontrolled study which enrolled 56 subjects with relapsed GBM or </w:t>
      </w:r>
      <w:proofErr w:type="spellStart"/>
      <w:r w:rsidRPr="001603AF">
        <w:t>gliosarcoma</w:t>
      </w:r>
      <w:proofErr w:type="spellEnd"/>
      <w:r w:rsidRPr="001603AF">
        <w:t xml:space="preserve">. All were treated with </w:t>
      </w:r>
      <w:proofErr w:type="spellStart"/>
      <w:r w:rsidRPr="001603AF">
        <w:t>bevacizumab</w:t>
      </w:r>
      <w:proofErr w:type="spellEnd"/>
      <w:r w:rsidRPr="001603AF">
        <w:t xml:space="preserve"> </w:t>
      </w:r>
      <w:proofErr w:type="spellStart"/>
      <w:r w:rsidRPr="001603AF">
        <w:t>monotherapy</w:t>
      </w:r>
      <w:proofErr w:type="spellEnd"/>
      <w:r w:rsidRPr="001603AF">
        <w:t xml:space="preserve"> 10 mg/kg IV every 2 weeks. The primary endpoint was response rate.</w:t>
      </w:r>
    </w:p>
    <w:p w:rsidR="001603AF" w:rsidRPr="001603AF" w:rsidRDefault="001603AF" w:rsidP="00947340">
      <w:r w:rsidRPr="001603AF">
        <w:t xml:space="preserve">Results of these two studies are summarised in Table 18. The table also includes historical data from the Wong et al paper, as well as the results from the trials which were the basis of TGA approval of </w:t>
      </w:r>
      <w:proofErr w:type="spellStart"/>
      <w:r w:rsidRPr="001603AF">
        <w:t>temozolomide</w:t>
      </w:r>
      <w:proofErr w:type="spellEnd"/>
      <w:r w:rsidRPr="001603AF">
        <w:t xml:space="preserve"> for relapsed GBM in 1999.</w:t>
      </w:r>
    </w:p>
    <w:p w:rsidR="001603AF" w:rsidRPr="001603AF" w:rsidRDefault="001603AF" w:rsidP="00947340">
      <w:pPr>
        <w:pStyle w:val="TableTitle"/>
      </w:pPr>
      <w:r w:rsidRPr="001603AF">
        <w:t xml:space="preserve">Table 18 – Efficacy results for relapsed Grade IV </w:t>
      </w:r>
      <w:proofErr w:type="spellStart"/>
      <w:r w:rsidRPr="001603AF">
        <w:t>glioma</w:t>
      </w:r>
      <w:proofErr w:type="spellEnd"/>
      <w:r w:rsidRPr="001603AF">
        <w:t xml:space="preserve"> - compared with historical data</w:t>
      </w:r>
    </w:p>
    <w:tbl>
      <w:tblPr>
        <w:tblStyle w:val="TableTGAblue"/>
        <w:tblW w:w="0" w:type="auto"/>
        <w:tblLayout w:type="fixed"/>
        <w:tblLook w:val="04A0"/>
      </w:tblPr>
      <w:tblGrid>
        <w:gridCol w:w="1809"/>
        <w:gridCol w:w="851"/>
        <w:gridCol w:w="1276"/>
        <w:gridCol w:w="1559"/>
        <w:gridCol w:w="850"/>
        <w:gridCol w:w="1134"/>
        <w:gridCol w:w="1241"/>
      </w:tblGrid>
      <w:tr w:rsidR="001603AF" w:rsidRPr="001603AF" w:rsidTr="00947340">
        <w:trPr>
          <w:cnfStyle w:val="100000000000"/>
          <w:tblHeader/>
        </w:trPr>
        <w:tc>
          <w:tcPr>
            <w:tcW w:w="1809" w:type="dxa"/>
          </w:tcPr>
          <w:p w:rsidR="001603AF" w:rsidRPr="001603AF" w:rsidRDefault="001603AF" w:rsidP="00947340">
            <w:pPr>
              <w:ind w:left="0" w:right="33"/>
            </w:pPr>
            <w:r w:rsidRPr="001603AF">
              <w:t>Study</w:t>
            </w:r>
          </w:p>
        </w:tc>
        <w:tc>
          <w:tcPr>
            <w:tcW w:w="851" w:type="dxa"/>
          </w:tcPr>
          <w:p w:rsidR="001603AF" w:rsidRPr="001603AF" w:rsidRDefault="001603AF" w:rsidP="00947340">
            <w:pPr>
              <w:tabs>
                <w:tab w:val="left" w:pos="601"/>
              </w:tabs>
              <w:ind w:left="34" w:right="34"/>
            </w:pPr>
            <w:r w:rsidRPr="001603AF">
              <w:t>N</w:t>
            </w:r>
          </w:p>
        </w:tc>
        <w:tc>
          <w:tcPr>
            <w:tcW w:w="1276" w:type="dxa"/>
          </w:tcPr>
          <w:p w:rsidR="001603AF" w:rsidRPr="001603AF" w:rsidRDefault="001603AF" w:rsidP="00947340">
            <w:pPr>
              <w:ind w:left="34" w:right="33"/>
            </w:pPr>
            <w:r w:rsidRPr="001603AF">
              <w:t>Response Rate</w:t>
            </w:r>
          </w:p>
        </w:tc>
        <w:tc>
          <w:tcPr>
            <w:tcW w:w="1559" w:type="dxa"/>
          </w:tcPr>
          <w:p w:rsidR="001603AF" w:rsidRPr="001603AF" w:rsidRDefault="001603AF" w:rsidP="00947340">
            <w:pPr>
              <w:ind w:left="34" w:right="34"/>
            </w:pPr>
            <w:r w:rsidRPr="001603AF">
              <w:t>Median Duration Of Response</w:t>
            </w:r>
          </w:p>
        </w:tc>
        <w:tc>
          <w:tcPr>
            <w:tcW w:w="850" w:type="dxa"/>
          </w:tcPr>
          <w:p w:rsidR="001603AF" w:rsidRPr="001603AF" w:rsidRDefault="001603AF" w:rsidP="00947340">
            <w:pPr>
              <w:ind w:left="34" w:right="33"/>
            </w:pPr>
            <w:r w:rsidRPr="001603AF">
              <w:t>PFS at 6 m</w:t>
            </w:r>
          </w:p>
        </w:tc>
        <w:tc>
          <w:tcPr>
            <w:tcW w:w="1134" w:type="dxa"/>
          </w:tcPr>
          <w:p w:rsidR="001603AF" w:rsidRPr="001603AF" w:rsidRDefault="001603AF" w:rsidP="00947340">
            <w:pPr>
              <w:ind w:left="0" w:right="33"/>
            </w:pPr>
            <w:r w:rsidRPr="001603AF">
              <w:t xml:space="preserve">Median PFS </w:t>
            </w:r>
            <w:r w:rsidRPr="001603AF">
              <w:rPr>
                <w:vertAlign w:val="superscript"/>
              </w:rPr>
              <w:t>(1)</w:t>
            </w:r>
          </w:p>
        </w:tc>
        <w:tc>
          <w:tcPr>
            <w:tcW w:w="1241" w:type="dxa"/>
          </w:tcPr>
          <w:p w:rsidR="001603AF" w:rsidRPr="001603AF" w:rsidRDefault="001603AF" w:rsidP="00947340">
            <w:pPr>
              <w:ind w:left="34" w:right="0"/>
            </w:pPr>
            <w:r w:rsidRPr="001603AF">
              <w:t>Median OS</w:t>
            </w:r>
            <w:r w:rsidRPr="001603AF">
              <w:rPr>
                <w:vertAlign w:val="superscript"/>
              </w:rPr>
              <w:t>(1)</w:t>
            </w:r>
          </w:p>
        </w:tc>
      </w:tr>
      <w:tr w:rsidR="001603AF" w:rsidRPr="001603AF" w:rsidTr="00947340">
        <w:tc>
          <w:tcPr>
            <w:tcW w:w="8720" w:type="dxa"/>
            <w:gridSpan w:val="7"/>
          </w:tcPr>
          <w:p w:rsidR="001603AF" w:rsidRPr="00947340" w:rsidRDefault="001603AF" w:rsidP="00947340">
            <w:pPr>
              <w:tabs>
                <w:tab w:val="left" w:pos="601"/>
              </w:tabs>
              <w:ind w:left="34" w:right="0"/>
              <w:rPr>
                <w:b/>
              </w:rPr>
            </w:pPr>
            <w:r w:rsidRPr="00947340">
              <w:rPr>
                <w:b/>
              </w:rPr>
              <w:t>HISTORICAL DATA</w:t>
            </w:r>
          </w:p>
        </w:tc>
      </w:tr>
      <w:tr w:rsidR="001603AF" w:rsidRPr="001603AF" w:rsidTr="00947340">
        <w:tc>
          <w:tcPr>
            <w:tcW w:w="1809" w:type="dxa"/>
          </w:tcPr>
          <w:p w:rsidR="001603AF" w:rsidRPr="001603AF" w:rsidRDefault="001603AF" w:rsidP="00947340">
            <w:pPr>
              <w:ind w:left="0" w:right="33"/>
            </w:pPr>
            <w:r w:rsidRPr="001603AF">
              <w:t xml:space="preserve">Pooled Historical data </w:t>
            </w:r>
            <w:r w:rsidRPr="001603AF">
              <w:rPr>
                <w:vertAlign w:val="superscript"/>
              </w:rPr>
              <w:t>(2)</w:t>
            </w:r>
          </w:p>
        </w:tc>
        <w:tc>
          <w:tcPr>
            <w:tcW w:w="851" w:type="dxa"/>
          </w:tcPr>
          <w:p w:rsidR="001603AF" w:rsidRPr="001603AF" w:rsidRDefault="001603AF" w:rsidP="00947340">
            <w:pPr>
              <w:tabs>
                <w:tab w:val="left" w:pos="601"/>
              </w:tabs>
              <w:ind w:left="34" w:right="34"/>
            </w:pPr>
            <w:r w:rsidRPr="001603AF">
              <w:t>150</w:t>
            </w:r>
          </w:p>
        </w:tc>
        <w:tc>
          <w:tcPr>
            <w:tcW w:w="1276" w:type="dxa"/>
          </w:tcPr>
          <w:p w:rsidR="001603AF" w:rsidRPr="001603AF" w:rsidRDefault="001603AF" w:rsidP="00947340">
            <w:pPr>
              <w:ind w:left="34" w:right="34"/>
            </w:pPr>
            <w:r w:rsidRPr="001603AF">
              <w:t>6 %</w:t>
            </w:r>
          </w:p>
        </w:tc>
        <w:tc>
          <w:tcPr>
            <w:tcW w:w="1559" w:type="dxa"/>
          </w:tcPr>
          <w:p w:rsidR="001603AF" w:rsidRPr="001603AF" w:rsidRDefault="001603AF" w:rsidP="00947340">
            <w:pPr>
              <w:ind w:left="34" w:right="34"/>
            </w:pPr>
            <w:r w:rsidRPr="001603AF">
              <w:t>-</w:t>
            </w:r>
          </w:p>
        </w:tc>
        <w:tc>
          <w:tcPr>
            <w:tcW w:w="850" w:type="dxa"/>
          </w:tcPr>
          <w:p w:rsidR="001603AF" w:rsidRPr="001603AF" w:rsidRDefault="001603AF" w:rsidP="00947340">
            <w:pPr>
              <w:ind w:left="34" w:right="33"/>
            </w:pPr>
            <w:r w:rsidRPr="001603AF">
              <w:t>15 %</w:t>
            </w:r>
          </w:p>
        </w:tc>
        <w:tc>
          <w:tcPr>
            <w:tcW w:w="1134" w:type="dxa"/>
          </w:tcPr>
          <w:p w:rsidR="001603AF" w:rsidRPr="001603AF" w:rsidRDefault="001603AF" w:rsidP="00947340">
            <w:pPr>
              <w:ind w:left="0" w:right="33"/>
            </w:pPr>
            <w:r w:rsidRPr="001603AF">
              <w:t>2.1 m</w:t>
            </w:r>
          </w:p>
          <w:p w:rsidR="001603AF" w:rsidRPr="001603AF" w:rsidRDefault="001603AF" w:rsidP="00947340">
            <w:pPr>
              <w:ind w:left="0" w:right="33"/>
            </w:pPr>
            <w:r w:rsidRPr="001603AF">
              <w:t>(9 wks)</w:t>
            </w:r>
          </w:p>
        </w:tc>
        <w:tc>
          <w:tcPr>
            <w:tcW w:w="1241" w:type="dxa"/>
          </w:tcPr>
          <w:p w:rsidR="001603AF" w:rsidRPr="001603AF" w:rsidRDefault="001603AF" w:rsidP="00947340">
            <w:pPr>
              <w:ind w:left="34" w:right="0"/>
            </w:pPr>
            <w:r w:rsidRPr="001603AF">
              <w:t>5.8 m</w:t>
            </w:r>
          </w:p>
          <w:p w:rsidR="001603AF" w:rsidRPr="001603AF" w:rsidRDefault="001603AF" w:rsidP="00947340">
            <w:pPr>
              <w:ind w:left="34" w:right="0"/>
            </w:pPr>
            <w:r w:rsidRPr="001603AF">
              <w:t>(25 wks)</w:t>
            </w:r>
          </w:p>
        </w:tc>
      </w:tr>
      <w:tr w:rsidR="001603AF" w:rsidRPr="001603AF" w:rsidTr="00947340">
        <w:tc>
          <w:tcPr>
            <w:tcW w:w="8720" w:type="dxa"/>
            <w:gridSpan w:val="7"/>
          </w:tcPr>
          <w:p w:rsidR="001603AF" w:rsidRPr="001603AF" w:rsidRDefault="001603AF" w:rsidP="00947340">
            <w:pPr>
              <w:tabs>
                <w:tab w:val="left" w:pos="601"/>
              </w:tabs>
              <w:ind w:left="34" w:right="0"/>
            </w:pPr>
            <w:proofErr w:type="spellStart"/>
            <w:r w:rsidRPr="001603AF">
              <w:t>Temozolomide</w:t>
            </w:r>
            <w:proofErr w:type="spellEnd"/>
            <w:r w:rsidRPr="001603AF">
              <w:t xml:space="preserve"> </w:t>
            </w:r>
            <w:r w:rsidRPr="001603AF">
              <w:rPr>
                <w:vertAlign w:val="superscript"/>
              </w:rPr>
              <w:t>(3)</w:t>
            </w:r>
          </w:p>
        </w:tc>
      </w:tr>
      <w:tr w:rsidR="001603AF" w:rsidRPr="001603AF" w:rsidTr="00947340">
        <w:tc>
          <w:tcPr>
            <w:tcW w:w="1809" w:type="dxa"/>
          </w:tcPr>
          <w:p w:rsidR="001603AF" w:rsidRPr="001603AF" w:rsidRDefault="001603AF" w:rsidP="00947340">
            <w:pPr>
              <w:ind w:left="0" w:right="33"/>
            </w:pPr>
            <w:r w:rsidRPr="001603AF">
              <w:t>trial 1</w:t>
            </w:r>
          </w:p>
        </w:tc>
        <w:tc>
          <w:tcPr>
            <w:tcW w:w="851" w:type="dxa"/>
          </w:tcPr>
          <w:p w:rsidR="001603AF" w:rsidRPr="001603AF" w:rsidRDefault="001603AF" w:rsidP="00947340">
            <w:pPr>
              <w:tabs>
                <w:tab w:val="left" w:pos="601"/>
              </w:tabs>
              <w:ind w:left="34" w:right="34"/>
            </w:pPr>
            <w:r w:rsidRPr="001603AF">
              <w:t>60</w:t>
            </w:r>
          </w:p>
        </w:tc>
        <w:tc>
          <w:tcPr>
            <w:tcW w:w="1276" w:type="dxa"/>
          </w:tcPr>
          <w:p w:rsidR="001603AF" w:rsidRPr="001603AF" w:rsidRDefault="001603AF" w:rsidP="00947340">
            <w:pPr>
              <w:ind w:left="34" w:right="34"/>
            </w:pPr>
            <w:r w:rsidRPr="001603AF">
              <w:t>7 %</w:t>
            </w:r>
          </w:p>
        </w:tc>
        <w:tc>
          <w:tcPr>
            <w:tcW w:w="1559" w:type="dxa"/>
          </w:tcPr>
          <w:p w:rsidR="001603AF" w:rsidRPr="001603AF" w:rsidRDefault="001603AF" w:rsidP="00947340">
            <w:pPr>
              <w:ind w:left="34" w:right="34"/>
            </w:pPr>
            <w:r w:rsidRPr="001603AF">
              <w:t>-</w:t>
            </w:r>
          </w:p>
        </w:tc>
        <w:tc>
          <w:tcPr>
            <w:tcW w:w="850" w:type="dxa"/>
          </w:tcPr>
          <w:p w:rsidR="001603AF" w:rsidRPr="001603AF" w:rsidRDefault="001603AF" w:rsidP="00947340">
            <w:pPr>
              <w:ind w:left="34" w:right="33"/>
            </w:pPr>
            <w:r w:rsidRPr="001603AF">
              <w:t>20 %</w:t>
            </w:r>
          </w:p>
        </w:tc>
        <w:tc>
          <w:tcPr>
            <w:tcW w:w="1134" w:type="dxa"/>
          </w:tcPr>
          <w:p w:rsidR="001603AF" w:rsidRPr="001603AF" w:rsidRDefault="001603AF" w:rsidP="00947340">
            <w:pPr>
              <w:ind w:left="0" w:right="33"/>
            </w:pPr>
            <w:r w:rsidRPr="001603AF">
              <w:t>3.5 m</w:t>
            </w:r>
          </w:p>
        </w:tc>
        <w:tc>
          <w:tcPr>
            <w:tcW w:w="1241" w:type="dxa"/>
          </w:tcPr>
          <w:p w:rsidR="001603AF" w:rsidRPr="001603AF" w:rsidRDefault="001603AF" w:rsidP="00947340">
            <w:pPr>
              <w:ind w:left="34" w:right="0"/>
            </w:pPr>
            <w:r w:rsidRPr="001603AF">
              <w:t>7.7 m</w:t>
            </w:r>
          </w:p>
        </w:tc>
      </w:tr>
      <w:tr w:rsidR="001603AF" w:rsidRPr="001603AF" w:rsidTr="00947340">
        <w:tc>
          <w:tcPr>
            <w:tcW w:w="1809" w:type="dxa"/>
          </w:tcPr>
          <w:p w:rsidR="001603AF" w:rsidRPr="001603AF" w:rsidRDefault="001603AF" w:rsidP="00947340">
            <w:pPr>
              <w:ind w:left="0" w:right="33"/>
            </w:pPr>
            <w:r w:rsidRPr="001603AF">
              <w:t>trial 2</w:t>
            </w:r>
          </w:p>
        </w:tc>
        <w:tc>
          <w:tcPr>
            <w:tcW w:w="851" w:type="dxa"/>
          </w:tcPr>
          <w:p w:rsidR="001603AF" w:rsidRPr="001603AF" w:rsidRDefault="001603AF" w:rsidP="00947340">
            <w:pPr>
              <w:tabs>
                <w:tab w:val="left" w:pos="601"/>
              </w:tabs>
              <w:ind w:left="34" w:right="34"/>
            </w:pPr>
            <w:r w:rsidRPr="001603AF">
              <w:t>138</w:t>
            </w:r>
          </w:p>
        </w:tc>
        <w:tc>
          <w:tcPr>
            <w:tcW w:w="1276" w:type="dxa"/>
          </w:tcPr>
          <w:p w:rsidR="001603AF" w:rsidRPr="001603AF" w:rsidRDefault="001603AF" w:rsidP="00947340">
            <w:pPr>
              <w:ind w:left="34" w:right="34"/>
            </w:pPr>
            <w:r w:rsidRPr="001603AF">
              <w:t>8 %</w:t>
            </w:r>
          </w:p>
        </w:tc>
        <w:tc>
          <w:tcPr>
            <w:tcW w:w="1559" w:type="dxa"/>
          </w:tcPr>
          <w:p w:rsidR="001603AF" w:rsidRPr="001603AF" w:rsidRDefault="001603AF" w:rsidP="00947340">
            <w:pPr>
              <w:ind w:left="34" w:right="34"/>
            </w:pPr>
            <w:r w:rsidRPr="001603AF">
              <w:t>-</w:t>
            </w:r>
          </w:p>
        </w:tc>
        <w:tc>
          <w:tcPr>
            <w:tcW w:w="850" w:type="dxa"/>
          </w:tcPr>
          <w:p w:rsidR="001603AF" w:rsidRPr="001603AF" w:rsidRDefault="001603AF" w:rsidP="00947340">
            <w:pPr>
              <w:ind w:left="34" w:right="33"/>
            </w:pPr>
            <w:r w:rsidRPr="001603AF">
              <w:t>19 %</w:t>
            </w:r>
          </w:p>
        </w:tc>
        <w:tc>
          <w:tcPr>
            <w:tcW w:w="1134" w:type="dxa"/>
          </w:tcPr>
          <w:p w:rsidR="001603AF" w:rsidRPr="001603AF" w:rsidRDefault="001603AF" w:rsidP="00947340">
            <w:pPr>
              <w:ind w:left="0" w:right="33"/>
            </w:pPr>
            <w:r w:rsidRPr="001603AF">
              <w:t>2.1 m</w:t>
            </w:r>
          </w:p>
        </w:tc>
        <w:tc>
          <w:tcPr>
            <w:tcW w:w="1241" w:type="dxa"/>
          </w:tcPr>
          <w:p w:rsidR="001603AF" w:rsidRPr="001603AF" w:rsidRDefault="001603AF" w:rsidP="00947340">
            <w:pPr>
              <w:ind w:left="34" w:right="0"/>
            </w:pPr>
            <w:r w:rsidRPr="001603AF">
              <w:t>5.4 m</w:t>
            </w:r>
          </w:p>
        </w:tc>
      </w:tr>
      <w:tr w:rsidR="001603AF" w:rsidRPr="001603AF" w:rsidTr="00947340">
        <w:tc>
          <w:tcPr>
            <w:tcW w:w="8720" w:type="dxa"/>
            <w:gridSpan w:val="7"/>
          </w:tcPr>
          <w:p w:rsidR="001603AF" w:rsidRPr="00947340" w:rsidRDefault="001603AF" w:rsidP="00947340">
            <w:pPr>
              <w:tabs>
                <w:tab w:val="left" w:pos="601"/>
              </w:tabs>
              <w:ind w:left="34" w:right="0"/>
              <w:rPr>
                <w:b/>
              </w:rPr>
            </w:pPr>
            <w:r w:rsidRPr="00947340">
              <w:rPr>
                <w:b/>
              </w:rPr>
              <w:t>STUDY AVF 3708g</w:t>
            </w:r>
          </w:p>
        </w:tc>
      </w:tr>
      <w:tr w:rsidR="001603AF" w:rsidRPr="001603AF" w:rsidTr="00947340">
        <w:tc>
          <w:tcPr>
            <w:tcW w:w="1809" w:type="dxa"/>
          </w:tcPr>
          <w:p w:rsidR="001603AF" w:rsidRPr="001603AF" w:rsidRDefault="001603AF" w:rsidP="00947340">
            <w:pPr>
              <w:ind w:left="0" w:right="33"/>
            </w:pPr>
            <w:proofErr w:type="spellStart"/>
            <w:r w:rsidRPr="001603AF">
              <w:t>Bevacizumab</w:t>
            </w:r>
            <w:proofErr w:type="spellEnd"/>
            <w:r w:rsidRPr="001603AF">
              <w:t xml:space="preserve"> </w:t>
            </w:r>
            <w:proofErr w:type="spellStart"/>
            <w:r w:rsidRPr="001603AF">
              <w:t>monotherapy</w:t>
            </w:r>
            <w:proofErr w:type="spellEnd"/>
          </w:p>
        </w:tc>
        <w:tc>
          <w:tcPr>
            <w:tcW w:w="851" w:type="dxa"/>
          </w:tcPr>
          <w:p w:rsidR="001603AF" w:rsidRPr="001603AF" w:rsidRDefault="001603AF" w:rsidP="00947340">
            <w:pPr>
              <w:tabs>
                <w:tab w:val="left" w:pos="601"/>
              </w:tabs>
              <w:ind w:left="34" w:right="34"/>
            </w:pPr>
            <w:r w:rsidRPr="001603AF">
              <w:t>85</w:t>
            </w:r>
          </w:p>
        </w:tc>
        <w:tc>
          <w:tcPr>
            <w:tcW w:w="1276" w:type="dxa"/>
          </w:tcPr>
          <w:p w:rsidR="001603AF" w:rsidRPr="001603AF" w:rsidRDefault="001603AF" w:rsidP="00947340">
            <w:pPr>
              <w:ind w:left="34" w:right="34"/>
            </w:pPr>
            <w:r w:rsidRPr="001603AF">
              <w:t>28.2 %</w:t>
            </w:r>
          </w:p>
        </w:tc>
        <w:tc>
          <w:tcPr>
            <w:tcW w:w="1559" w:type="dxa"/>
          </w:tcPr>
          <w:p w:rsidR="001603AF" w:rsidRPr="001603AF" w:rsidRDefault="001603AF" w:rsidP="00947340">
            <w:pPr>
              <w:ind w:left="34" w:right="34"/>
            </w:pPr>
            <w:r w:rsidRPr="001603AF">
              <w:t>5.6 m</w:t>
            </w:r>
          </w:p>
        </w:tc>
        <w:tc>
          <w:tcPr>
            <w:tcW w:w="850" w:type="dxa"/>
          </w:tcPr>
          <w:p w:rsidR="001603AF" w:rsidRPr="001603AF" w:rsidRDefault="001603AF" w:rsidP="00947340">
            <w:pPr>
              <w:ind w:left="34" w:right="33"/>
            </w:pPr>
            <w:r w:rsidRPr="001603AF">
              <w:t>42.6 %</w:t>
            </w:r>
          </w:p>
        </w:tc>
        <w:tc>
          <w:tcPr>
            <w:tcW w:w="1134" w:type="dxa"/>
          </w:tcPr>
          <w:p w:rsidR="001603AF" w:rsidRPr="001603AF" w:rsidRDefault="001603AF" w:rsidP="00947340">
            <w:pPr>
              <w:ind w:left="0" w:right="33"/>
            </w:pPr>
            <w:r w:rsidRPr="001603AF">
              <w:t>4.2 m</w:t>
            </w:r>
          </w:p>
        </w:tc>
        <w:tc>
          <w:tcPr>
            <w:tcW w:w="1241" w:type="dxa"/>
          </w:tcPr>
          <w:p w:rsidR="001603AF" w:rsidRPr="001603AF" w:rsidRDefault="001603AF" w:rsidP="00947340">
            <w:pPr>
              <w:ind w:left="34" w:right="0"/>
            </w:pPr>
            <w:r w:rsidRPr="001603AF">
              <w:t>9.3 m</w:t>
            </w:r>
          </w:p>
        </w:tc>
      </w:tr>
      <w:tr w:rsidR="001603AF" w:rsidRPr="001603AF" w:rsidTr="00947340">
        <w:tc>
          <w:tcPr>
            <w:tcW w:w="1809" w:type="dxa"/>
          </w:tcPr>
          <w:p w:rsidR="001603AF" w:rsidRPr="001603AF" w:rsidRDefault="001603AF" w:rsidP="00947340">
            <w:pPr>
              <w:ind w:left="0" w:right="33"/>
            </w:pPr>
            <w:proofErr w:type="spellStart"/>
            <w:r w:rsidRPr="001603AF">
              <w:t>Bevacizumab</w:t>
            </w:r>
            <w:proofErr w:type="spellEnd"/>
            <w:r w:rsidRPr="001603AF">
              <w:t xml:space="preserve"> with </w:t>
            </w:r>
            <w:proofErr w:type="spellStart"/>
            <w:r w:rsidRPr="001603AF">
              <w:t>irinotecan</w:t>
            </w:r>
            <w:proofErr w:type="spellEnd"/>
          </w:p>
        </w:tc>
        <w:tc>
          <w:tcPr>
            <w:tcW w:w="851" w:type="dxa"/>
          </w:tcPr>
          <w:p w:rsidR="001603AF" w:rsidRPr="001603AF" w:rsidRDefault="001603AF" w:rsidP="00947340">
            <w:pPr>
              <w:tabs>
                <w:tab w:val="left" w:pos="601"/>
              </w:tabs>
              <w:ind w:left="34" w:right="34"/>
            </w:pPr>
            <w:r w:rsidRPr="001603AF">
              <w:t>82</w:t>
            </w:r>
          </w:p>
        </w:tc>
        <w:tc>
          <w:tcPr>
            <w:tcW w:w="1276" w:type="dxa"/>
          </w:tcPr>
          <w:p w:rsidR="001603AF" w:rsidRPr="001603AF" w:rsidRDefault="001603AF" w:rsidP="00947340">
            <w:pPr>
              <w:ind w:left="34" w:right="34"/>
            </w:pPr>
            <w:r w:rsidRPr="001603AF">
              <w:t>37.8 %</w:t>
            </w:r>
          </w:p>
        </w:tc>
        <w:tc>
          <w:tcPr>
            <w:tcW w:w="1559" w:type="dxa"/>
          </w:tcPr>
          <w:p w:rsidR="001603AF" w:rsidRPr="001603AF" w:rsidRDefault="001603AF" w:rsidP="00947340">
            <w:pPr>
              <w:ind w:left="34" w:right="34"/>
            </w:pPr>
            <w:r w:rsidRPr="001603AF">
              <w:t>4.3 m</w:t>
            </w:r>
          </w:p>
        </w:tc>
        <w:tc>
          <w:tcPr>
            <w:tcW w:w="850" w:type="dxa"/>
          </w:tcPr>
          <w:p w:rsidR="001603AF" w:rsidRPr="001603AF" w:rsidRDefault="001603AF" w:rsidP="00947340">
            <w:pPr>
              <w:ind w:left="34" w:right="33"/>
            </w:pPr>
            <w:r w:rsidRPr="001603AF">
              <w:t>50.3 %</w:t>
            </w:r>
          </w:p>
        </w:tc>
        <w:tc>
          <w:tcPr>
            <w:tcW w:w="1134" w:type="dxa"/>
          </w:tcPr>
          <w:p w:rsidR="001603AF" w:rsidRPr="001603AF" w:rsidRDefault="001603AF" w:rsidP="00947340">
            <w:pPr>
              <w:ind w:left="0" w:right="33"/>
            </w:pPr>
            <w:r w:rsidRPr="001603AF">
              <w:t>5.6 m</w:t>
            </w:r>
          </w:p>
        </w:tc>
        <w:tc>
          <w:tcPr>
            <w:tcW w:w="1241" w:type="dxa"/>
          </w:tcPr>
          <w:p w:rsidR="001603AF" w:rsidRPr="001603AF" w:rsidRDefault="001603AF" w:rsidP="00947340">
            <w:pPr>
              <w:ind w:left="34" w:right="0"/>
            </w:pPr>
            <w:r w:rsidRPr="001603AF">
              <w:t>8.8 m</w:t>
            </w:r>
          </w:p>
        </w:tc>
      </w:tr>
      <w:tr w:rsidR="001603AF" w:rsidRPr="001603AF" w:rsidTr="00947340">
        <w:tc>
          <w:tcPr>
            <w:tcW w:w="8720" w:type="dxa"/>
            <w:gridSpan w:val="7"/>
          </w:tcPr>
          <w:p w:rsidR="001603AF" w:rsidRPr="00947340" w:rsidRDefault="001603AF" w:rsidP="00947340">
            <w:pPr>
              <w:tabs>
                <w:tab w:val="left" w:pos="601"/>
              </w:tabs>
              <w:ind w:left="34" w:right="0"/>
              <w:rPr>
                <w:b/>
              </w:rPr>
            </w:pPr>
            <w:r w:rsidRPr="00947340">
              <w:rPr>
                <w:b/>
              </w:rPr>
              <w:t>STUDY NCI 06-C-0064E</w:t>
            </w:r>
          </w:p>
        </w:tc>
      </w:tr>
      <w:tr w:rsidR="001603AF" w:rsidRPr="001603AF" w:rsidTr="00947340">
        <w:tc>
          <w:tcPr>
            <w:tcW w:w="1809" w:type="dxa"/>
          </w:tcPr>
          <w:p w:rsidR="001603AF" w:rsidRPr="001603AF" w:rsidRDefault="001603AF" w:rsidP="00947340">
            <w:pPr>
              <w:ind w:left="0" w:right="33"/>
            </w:pPr>
            <w:proofErr w:type="spellStart"/>
            <w:r w:rsidRPr="001603AF">
              <w:t>Bevacizumab</w:t>
            </w:r>
            <w:proofErr w:type="spellEnd"/>
            <w:r w:rsidRPr="001603AF">
              <w:t xml:space="preserve"> </w:t>
            </w:r>
            <w:proofErr w:type="spellStart"/>
            <w:r w:rsidRPr="001603AF">
              <w:t>monotherapy</w:t>
            </w:r>
            <w:proofErr w:type="spellEnd"/>
          </w:p>
        </w:tc>
        <w:tc>
          <w:tcPr>
            <w:tcW w:w="851" w:type="dxa"/>
          </w:tcPr>
          <w:p w:rsidR="001603AF" w:rsidRPr="001603AF" w:rsidRDefault="001603AF" w:rsidP="00947340">
            <w:pPr>
              <w:tabs>
                <w:tab w:val="left" w:pos="601"/>
              </w:tabs>
              <w:ind w:left="34" w:right="34"/>
            </w:pPr>
            <w:r w:rsidRPr="001603AF">
              <w:t>56</w:t>
            </w:r>
          </w:p>
        </w:tc>
        <w:tc>
          <w:tcPr>
            <w:tcW w:w="1276" w:type="dxa"/>
          </w:tcPr>
          <w:p w:rsidR="001603AF" w:rsidRPr="001603AF" w:rsidRDefault="001603AF" w:rsidP="00947340">
            <w:pPr>
              <w:ind w:left="34" w:right="34"/>
            </w:pPr>
            <w:r w:rsidRPr="001603AF">
              <w:t>19.6 %</w:t>
            </w:r>
          </w:p>
        </w:tc>
        <w:tc>
          <w:tcPr>
            <w:tcW w:w="1559" w:type="dxa"/>
          </w:tcPr>
          <w:p w:rsidR="001603AF" w:rsidRPr="001603AF" w:rsidRDefault="001603AF" w:rsidP="00947340">
            <w:pPr>
              <w:ind w:left="34" w:right="34"/>
            </w:pPr>
            <w:r w:rsidRPr="001603AF">
              <w:t>3.4 m</w:t>
            </w:r>
          </w:p>
        </w:tc>
        <w:tc>
          <w:tcPr>
            <w:tcW w:w="850" w:type="dxa"/>
          </w:tcPr>
          <w:p w:rsidR="001603AF" w:rsidRPr="001603AF" w:rsidRDefault="001603AF" w:rsidP="00947340">
            <w:pPr>
              <w:ind w:left="34" w:right="33"/>
            </w:pPr>
            <w:r w:rsidRPr="001603AF">
              <w:t>-</w:t>
            </w:r>
          </w:p>
        </w:tc>
        <w:tc>
          <w:tcPr>
            <w:tcW w:w="1134" w:type="dxa"/>
          </w:tcPr>
          <w:p w:rsidR="001603AF" w:rsidRPr="001603AF" w:rsidRDefault="001603AF" w:rsidP="00947340">
            <w:pPr>
              <w:ind w:left="0" w:right="33"/>
            </w:pPr>
            <w:r w:rsidRPr="001603AF">
              <w:t>-</w:t>
            </w:r>
          </w:p>
        </w:tc>
        <w:tc>
          <w:tcPr>
            <w:tcW w:w="1241" w:type="dxa"/>
          </w:tcPr>
          <w:p w:rsidR="001603AF" w:rsidRPr="001603AF" w:rsidRDefault="001603AF" w:rsidP="00947340">
            <w:pPr>
              <w:ind w:left="34" w:right="0"/>
            </w:pPr>
            <w:r w:rsidRPr="001603AF">
              <w:t>-</w:t>
            </w:r>
          </w:p>
        </w:tc>
      </w:tr>
    </w:tbl>
    <w:p w:rsidR="001603AF" w:rsidRPr="001603AF" w:rsidRDefault="001603AF" w:rsidP="00947340">
      <w:pPr>
        <w:pStyle w:val="TableDescription"/>
      </w:pPr>
      <w:r w:rsidRPr="001603AF">
        <w:lastRenderedPageBreak/>
        <w:t>(1)</w:t>
      </w:r>
      <w:r w:rsidRPr="001603AF">
        <w:tab/>
        <w:t>– Where result for median PFS or OS was reported in terms of weeks, this has been converted to months, with actual week value in brackets.</w:t>
      </w:r>
    </w:p>
    <w:p w:rsidR="001603AF" w:rsidRPr="001603AF" w:rsidRDefault="001603AF" w:rsidP="00947340">
      <w:pPr>
        <w:pStyle w:val="TableDescription"/>
      </w:pPr>
      <w:r w:rsidRPr="001603AF">
        <w:t>(2)</w:t>
      </w:r>
      <w:r w:rsidRPr="001603AF">
        <w:tab/>
        <w:t>- Wong et al 1999</w:t>
      </w:r>
    </w:p>
    <w:p w:rsidR="001603AF" w:rsidRPr="001603AF" w:rsidRDefault="001603AF" w:rsidP="00947340">
      <w:pPr>
        <w:pStyle w:val="TableDescription"/>
      </w:pPr>
      <w:r w:rsidRPr="001603AF">
        <w:t>(3)</w:t>
      </w:r>
      <w:r w:rsidRPr="001603AF">
        <w:tab/>
        <w:t xml:space="preserve">– </w:t>
      </w:r>
      <w:proofErr w:type="spellStart"/>
      <w:r w:rsidRPr="001603AF">
        <w:t>Temodal</w:t>
      </w:r>
      <w:proofErr w:type="spellEnd"/>
      <w:r w:rsidRPr="001603AF">
        <w:t xml:space="preserve"> product information</w:t>
      </w:r>
    </w:p>
    <w:p w:rsidR="001603AF" w:rsidRPr="001603AF" w:rsidRDefault="001603AF" w:rsidP="00947340">
      <w:r w:rsidRPr="001603AF">
        <w:t xml:space="preserve">Comparison of the results across trials clearly suggests that </w:t>
      </w:r>
      <w:proofErr w:type="spellStart"/>
      <w:r w:rsidRPr="001603AF">
        <w:t>bevacizumab</w:t>
      </w:r>
      <w:proofErr w:type="spellEnd"/>
      <w:r w:rsidRPr="001603AF">
        <w:t xml:space="preserve"> treatment (either as </w:t>
      </w:r>
      <w:proofErr w:type="spellStart"/>
      <w:r w:rsidRPr="001603AF">
        <w:t>monotherapy</w:t>
      </w:r>
      <w:proofErr w:type="spellEnd"/>
      <w:r w:rsidRPr="001603AF">
        <w:t xml:space="preserve"> or in combination with </w:t>
      </w:r>
      <w:proofErr w:type="spellStart"/>
      <w:r w:rsidRPr="001603AF">
        <w:t>irinotecan</w:t>
      </w:r>
      <w:proofErr w:type="spellEnd"/>
      <w:r w:rsidRPr="001603AF">
        <w:t xml:space="preserve">) results in improved response rates and 6-month PFS compared to the pooled historical data or the previous data with </w:t>
      </w:r>
      <w:proofErr w:type="spellStart"/>
      <w:r w:rsidRPr="001603AF">
        <w:t>temozolomide</w:t>
      </w:r>
      <w:proofErr w:type="spellEnd"/>
      <w:r w:rsidRPr="001603AF">
        <w:t xml:space="preserve">. The differences between the </w:t>
      </w:r>
      <w:proofErr w:type="spellStart"/>
      <w:r w:rsidRPr="001603AF">
        <w:t>bevacizumab</w:t>
      </w:r>
      <w:proofErr w:type="spellEnd"/>
      <w:r w:rsidRPr="001603AF">
        <w:t xml:space="preserve"> arms and the historical data were statistically significant for these two endpoints.</w:t>
      </w:r>
    </w:p>
    <w:p w:rsidR="001603AF" w:rsidRPr="001603AF" w:rsidRDefault="001603AF" w:rsidP="00947340">
      <w:r w:rsidRPr="001603AF">
        <w:t>Results for median PFS and median overall survival (OS) were also numerically superior.</w:t>
      </w:r>
    </w:p>
    <w:p w:rsidR="001603AF" w:rsidRPr="001603AF" w:rsidRDefault="001603AF" w:rsidP="00947340">
      <w:r w:rsidRPr="001603AF">
        <w:t xml:space="preserve">Although the study was not designed to compare the two treatment arms, the efficacy results did not suggest any marked advantage of the </w:t>
      </w:r>
      <w:proofErr w:type="spellStart"/>
      <w:r w:rsidRPr="001603AF">
        <w:t>bevacizumab</w:t>
      </w:r>
      <w:proofErr w:type="spellEnd"/>
      <w:r w:rsidRPr="001603AF">
        <w:t xml:space="preserve"> + </w:t>
      </w:r>
      <w:proofErr w:type="spellStart"/>
      <w:r w:rsidRPr="001603AF">
        <w:t>irinotecan</w:t>
      </w:r>
      <w:proofErr w:type="spellEnd"/>
      <w:r w:rsidRPr="001603AF">
        <w:t xml:space="preserve"> combination over </w:t>
      </w:r>
      <w:proofErr w:type="spellStart"/>
      <w:r w:rsidRPr="001603AF">
        <w:t>bevacizumab</w:t>
      </w:r>
      <w:proofErr w:type="spellEnd"/>
      <w:r w:rsidRPr="001603AF">
        <w:t xml:space="preserve"> </w:t>
      </w:r>
      <w:proofErr w:type="spellStart"/>
      <w:r w:rsidRPr="001603AF">
        <w:t>monotherapy</w:t>
      </w:r>
      <w:proofErr w:type="spellEnd"/>
      <w:r w:rsidRPr="001603AF">
        <w:t>.</w:t>
      </w:r>
    </w:p>
    <w:p w:rsidR="001603AF" w:rsidRPr="001603AF" w:rsidRDefault="001603AF" w:rsidP="00616585">
      <w:pPr>
        <w:pStyle w:val="Heading4"/>
      </w:pPr>
      <w:r w:rsidRPr="001603AF">
        <w:t xml:space="preserve">Efficacy – </w:t>
      </w:r>
      <w:r w:rsidR="00616585">
        <w:t>g</w:t>
      </w:r>
      <w:r w:rsidRPr="001603AF">
        <w:t xml:space="preserve">rade III </w:t>
      </w:r>
      <w:proofErr w:type="spellStart"/>
      <w:r w:rsidRPr="001603AF">
        <w:t>glioma</w:t>
      </w:r>
      <w:proofErr w:type="spellEnd"/>
    </w:p>
    <w:p w:rsidR="001603AF" w:rsidRPr="001603AF" w:rsidRDefault="001603AF" w:rsidP="00616585">
      <w:r w:rsidRPr="001603AF">
        <w:t xml:space="preserve">The literature review included 31 publications arising from 16 separate clinical trials. There were a total of six studies of </w:t>
      </w:r>
      <w:proofErr w:type="spellStart"/>
      <w:r w:rsidRPr="001603AF">
        <w:t>bevacizumab</w:t>
      </w:r>
      <w:proofErr w:type="spellEnd"/>
      <w:r w:rsidRPr="001603AF">
        <w:t xml:space="preserve"> which contained efficacy data specifically for the Grade III </w:t>
      </w:r>
      <w:proofErr w:type="spellStart"/>
      <w:r w:rsidRPr="001603AF">
        <w:t>glioma</w:t>
      </w:r>
      <w:proofErr w:type="spellEnd"/>
      <w:r w:rsidRPr="001603AF">
        <w:t xml:space="preserve"> population. The remaining studies all presented data for mixed populations of Grade III and Grade IV patients and hence efficacy data specific to the grade III population in question could not be analysed. Only one of the studies was a prospectively conducted clinical trial, the others being retrospective analyses of patients treated at the authors’ institutions. All were small studies.</w:t>
      </w:r>
    </w:p>
    <w:p w:rsidR="001603AF" w:rsidRPr="001603AF" w:rsidRDefault="001603AF" w:rsidP="00616585">
      <w:r w:rsidRPr="001603AF">
        <w:t xml:space="preserve">The results of the six studies are summarised in Table 19. The table also includes historical data from the Wong et al paper, as well as the results from the trial which was the basis of TGA approval of </w:t>
      </w:r>
      <w:proofErr w:type="spellStart"/>
      <w:r w:rsidRPr="001603AF">
        <w:t>temozolomide</w:t>
      </w:r>
      <w:proofErr w:type="spellEnd"/>
      <w:r w:rsidRPr="001603AF">
        <w:t xml:space="preserve"> for relapsed Grade III disease (</w:t>
      </w:r>
      <w:proofErr w:type="spellStart"/>
      <w:r w:rsidRPr="001603AF">
        <w:t>anaplastic</w:t>
      </w:r>
      <w:proofErr w:type="spellEnd"/>
      <w:r w:rsidRPr="001603AF">
        <w:t xml:space="preserve"> </w:t>
      </w:r>
      <w:proofErr w:type="spellStart"/>
      <w:r w:rsidRPr="001603AF">
        <w:t>astrocytoma</w:t>
      </w:r>
      <w:proofErr w:type="spellEnd"/>
      <w:r w:rsidRPr="001603AF">
        <w:t>) in 1999.</w:t>
      </w:r>
    </w:p>
    <w:p w:rsidR="001603AF" w:rsidRPr="001603AF" w:rsidRDefault="001603AF" w:rsidP="00616585">
      <w:pPr>
        <w:pStyle w:val="TableTitle"/>
      </w:pPr>
      <w:r w:rsidRPr="001603AF">
        <w:t xml:space="preserve">Table 19 – Results of published studies  (relapsed </w:t>
      </w:r>
      <w:r w:rsidRPr="001603AF">
        <w:rPr>
          <w:u w:val="single"/>
        </w:rPr>
        <w:t>Grade III</w:t>
      </w:r>
      <w:r w:rsidRPr="001603AF">
        <w:t xml:space="preserve"> </w:t>
      </w:r>
      <w:proofErr w:type="spellStart"/>
      <w:r w:rsidRPr="001603AF">
        <w:t>glioma</w:t>
      </w:r>
      <w:proofErr w:type="spellEnd"/>
      <w:r w:rsidRPr="001603AF">
        <w:t>)  – compared with historical data.</w:t>
      </w:r>
    </w:p>
    <w:tbl>
      <w:tblPr>
        <w:tblStyle w:val="TableTGAblue"/>
        <w:tblW w:w="5392" w:type="pct"/>
        <w:tblLayout w:type="fixed"/>
        <w:tblLook w:val="0620"/>
      </w:tblPr>
      <w:tblGrid>
        <w:gridCol w:w="676"/>
        <w:gridCol w:w="1494"/>
        <w:gridCol w:w="550"/>
        <w:gridCol w:w="739"/>
        <w:gridCol w:w="711"/>
        <w:gridCol w:w="846"/>
        <w:gridCol w:w="863"/>
        <w:gridCol w:w="1004"/>
        <w:gridCol w:w="720"/>
        <w:gridCol w:w="814"/>
        <w:gridCol w:w="987"/>
      </w:tblGrid>
      <w:tr w:rsidR="001603AF" w:rsidRPr="001603AF" w:rsidTr="00616585">
        <w:trPr>
          <w:cnfStyle w:val="100000000000"/>
          <w:tblHeader/>
        </w:trPr>
        <w:tc>
          <w:tcPr>
            <w:tcW w:w="359" w:type="pct"/>
          </w:tcPr>
          <w:p w:rsidR="001603AF" w:rsidRPr="001603AF" w:rsidRDefault="001603AF" w:rsidP="00616585"/>
        </w:tc>
        <w:tc>
          <w:tcPr>
            <w:tcW w:w="794" w:type="pct"/>
          </w:tcPr>
          <w:p w:rsidR="001603AF" w:rsidRPr="001603AF" w:rsidRDefault="001603AF" w:rsidP="00616585">
            <w:pPr>
              <w:ind w:left="33" w:right="0"/>
            </w:pPr>
          </w:p>
        </w:tc>
        <w:tc>
          <w:tcPr>
            <w:tcW w:w="292" w:type="pct"/>
          </w:tcPr>
          <w:p w:rsidR="001603AF" w:rsidRPr="001603AF" w:rsidRDefault="001603AF" w:rsidP="00616585"/>
        </w:tc>
        <w:tc>
          <w:tcPr>
            <w:tcW w:w="393" w:type="pct"/>
          </w:tcPr>
          <w:p w:rsidR="001603AF" w:rsidRPr="001603AF" w:rsidRDefault="001603AF" w:rsidP="00616585">
            <w:pPr>
              <w:ind w:left="0" w:right="0"/>
            </w:pPr>
          </w:p>
        </w:tc>
        <w:tc>
          <w:tcPr>
            <w:tcW w:w="1821" w:type="pct"/>
            <w:gridSpan w:val="4"/>
          </w:tcPr>
          <w:p w:rsidR="001603AF" w:rsidRPr="001603AF" w:rsidRDefault="001603AF" w:rsidP="00616585">
            <w:pPr>
              <w:ind w:left="0" w:right="0"/>
            </w:pPr>
            <w:r w:rsidRPr="001603AF">
              <w:t>PROGRESSION-FREE SURVIVAL (PFS)</w:t>
            </w:r>
          </w:p>
        </w:tc>
        <w:tc>
          <w:tcPr>
            <w:tcW w:w="1341" w:type="pct"/>
            <w:gridSpan w:val="3"/>
          </w:tcPr>
          <w:p w:rsidR="001603AF" w:rsidRPr="001603AF" w:rsidRDefault="001603AF" w:rsidP="00616585">
            <w:pPr>
              <w:ind w:left="0" w:right="0"/>
            </w:pPr>
            <w:r w:rsidRPr="001603AF">
              <w:t>OVERALL SURVIVAL (OS)</w:t>
            </w:r>
          </w:p>
        </w:tc>
      </w:tr>
      <w:tr w:rsidR="001603AF" w:rsidRPr="001603AF" w:rsidTr="00616585">
        <w:trPr>
          <w:cnfStyle w:val="100000000000"/>
          <w:tblHeader/>
        </w:trPr>
        <w:tc>
          <w:tcPr>
            <w:tcW w:w="359" w:type="pct"/>
          </w:tcPr>
          <w:p w:rsidR="001603AF" w:rsidRPr="001603AF" w:rsidRDefault="001603AF" w:rsidP="00616585"/>
        </w:tc>
        <w:tc>
          <w:tcPr>
            <w:tcW w:w="794" w:type="pct"/>
          </w:tcPr>
          <w:p w:rsidR="001603AF" w:rsidRPr="001603AF" w:rsidRDefault="001603AF" w:rsidP="00616585">
            <w:pPr>
              <w:ind w:left="33" w:right="0"/>
            </w:pPr>
            <w:r w:rsidRPr="001603AF">
              <w:t>Study</w:t>
            </w:r>
          </w:p>
        </w:tc>
        <w:tc>
          <w:tcPr>
            <w:tcW w:w="292" w:type="pct"/>
          </w:tcPr>
          <w:p w:rsidR="001603AF" w:rsidRPr="001603AF" w:rsidRDefault="001603AF" w:rsidP="00616585">
            <w:r w:rsidRPr="001603AF">
              <w:t>N</w:t>
            </w:r>
          </w:p>
        </w:tc>
        <w:tc>
          <w:tcPr>
            <w:tcW w:w="393" w:type="pct"/>
          </w:tcPr>
          <w:p w:rsidR="001603AF" w:rsidRPr="001603AF" w:rsidRDefault="001603AF" w:rsidP="00616585">
            <w:pPr>
              <w:ind w:left="0" w:right="0"/>
            </w:pPr>
            <w:r w:rsidRPr="001603AF">
              <w:t>Response Rate</w:t>
            </w:r>
          </w:p>
        </w:tc>
        <w:tc>
          <w:tcPr>
            <w:tcW w:w="378" w:type="pct"/>
          </w:tcPr>
          <w:p w:rsidR="001603AF" w:rsidRPr="001603AF" w:rsidRDefault="001603AF" w:rsidP="00616585">
            <w:pPr>
              <w:ind w:left="0" w:right="0"/>
            </w:pPr>
            <w:r w:rsidRPr="001603AF">
              <w:t>PFS at 6 m</w:t>
            </w:r>
          </w:p>
        </w:tc>
        <w:tc>
          <w:tcPr>
            <w:tcW w:w="450" w:type="pct"/>
          </w:tcPr>
          <w:p w:rsidR="001603AF" w:rsidRPr="001603AF" w:rsidRDefault="001603AF" w:rsidP="00616585">
            <w:pPr>
              <w:ind w:left="0" w:right="0"/>
            </w:pPr>
            <w:r w:rsidRPr="001603AF">
              <w:t>PFS at 12 m</w:t>
            </w:r>
          </w:p>
        </w:tc>
        <w:tc>
          <w:tcPr>
            <w:tcW w:w="459" w:type="pct"/>
          </w:tcPr>
          <w:p w:rsidR="001603AF" w:rsidRPr="001603AF" w:rsidRDefault="001603AF" w:rsidP="00616585">
            <w:pPr>
              <w:ind w:left="0" w:right="0"/>
            </w:pPr>
            <w:r w:rsidRPr="001603AF">
              <w:t>PFS at 24 m</w:t>
            </w:r>
          </w:p>
        </w:tc>
        <w:tc>
          <w:tcPr>
            <w:tcW w:w="534" w:type="pct"/>
          </w:tcPr>
          <w:p w:rsidR="001603AF" w:rsidRPr="001603AF" w:rsidRDefault="001603AF" w:rsidP="00616585">
            <w:pPr>
              <w:ind w:left="0" w:right="0"/>
            </w:pPr>
            <w:r w:rsidRPr="001603AF">
              <w:t xml:space="preserve">Median PFS </w:t>
            </w:r>
            <w:r w:rsidRPr="001603AF">
              <w:rPr>
                <w:vertAlign w:val="superscript"/>
              </w:rPr>
              <w:t>(1)</w:t>
            </w:r>
          </w:p>
        </w:tc>
        <w:tc>
          <w:tcPr>
            <w:tcW w:w="383" w:type="pct"/>
          </w:tcPr>
          <w:p w:rsidR="001603AF" w:rsidRPr="001603AF" w:rsidRDefault="001603AF" w:rsidP="00616585">
            <w:pPr>
              <w:ind w:left="0" w:right="0"/>
            </w:pPr>
            <w:r w:rsidRPr="001603AF">
              <w:t>OS at 6 m</w:t>
            </w:r>
          </w:p>
        </w:tc>
        <w:tc>
          <w:tcPr>
            <w:tcW w:w="433" w:type="pct"/>
          </w:tcPr>
          <w:p w:rsidR="001603AF" w:rsidRPr="001603AF" w:rsidRDefault="001603AF" w:rsidP="00616585">
            <w:pPr>
              <w:ind w:left="0" w:right="0"/>
            </w:pPr>
            <w:r w:rsidRPr="001603AF">
              <w:t>OS at 12 m</w:t>
            </w:r>
          </w:p>
        </w:tc>
        <w:tc>
          <w:tcPr>
            <w:tcW w:w="525" w:type="pct"/>
          </w:tcPr>
          <w:p w:rsidR="001603AF" w:rsidRPr="001603AF" w:rsidRDefault="001603AF" w:rsidP="00616585">
            <w:pPr>
              <w:ind w:left="0" w:right="0"/>
            </w:pPr>
            <w:r w:rsidRPr="001603AF">
              <w:t>Median OS</w:t>
            </w:r>
            <w:r w:rsidRPr="001603AF">
              <w:rPr>
                <w:vertAlign w:val="superscript"/>
              </w:rPr>
              <w:t>(1)</w:t>
            </w:r>
          </w:p>
        </w:tc>
      </w:tr>
      <w:tr w:rsidR="001603AF" w:rsidRPr="001603AF" w:rsidTr="00616585">
        <w:tc>
          <w:tcPr>
            <w:tcW w:w="5000" w:type="pct"/>
            <w:gridSpan w:val="11"/>
          </w:tcPr>
          <w:p w:rsidR="001603AF" w:rsidRPr="001603AF" w:rsidRDefault="001603AF" w:rsidP="00616585">
            <w:pPr>
              <w:ind w:left="0" w:right="0"/>
            </w:pPr>
            <w:r w:rsidRPr="001603AF">
              <w:rPr>
                <w:b/>
              </w:rPr>
              <w:t>HISTORICAL DATA</w:t>
            </w:r>
          </w:p>
        </w:tc>
      </w:tr>
      <w:tr w:rsidR="001603AF" w:rsidRPr="001603AF" w:rsidTr="00616585">
        <w:tc>
          <w:tcPr>
            <w:tcW w:w="359" w:type="pct"/>
          </w:tcPr>
          <w:p w:rsidR="001603AF" w:rsidRPr="001603AF" w:rsidRDefault="001603AF" w:rsidP="00616585"/>
        </w:tc>
        <w:tc>
          <w:tcPr>
            <w:tcW w:w="794" w:type="pct"/>
          </w:tcPr>
          <w:p w:rsidR="001603AF" w:rsidRPr="001603AF" w:rsidRDefault="001603AF" w:rsidP="00616585">
            <w:pPr>
              <w:ind w:left="33" w:right="0"/>
            </w:pPr>
            <w:r w:rsidRPr="001603AF">
              <w:t>Wong et al  1999</w:t>
            </w:r>
          </w:p>
        </w:tc>
        <w:tc>
          <w:tcPr>
            <w:tcW w:w="292" w:type="pct"/>
          </w:tcPr>
          <w:p w:rsidR="001603AF" w:rsidRPr="001603AF" w:rsidRDefault="001603AF" w:rsidP="00616585">
            <w:r w:rsidRPr="001603AF">
              <w:t>150</w:t>
            </w:r>
          </w:p>
        </w:tc>
        <w:tc>
          <w:tcPr>
            <w:tcW w:w="393" w:type="pct"/>
          </w:tcPr>
          <w:p w:rsidR="001603AF" w:rsidRPr="001603AF" w:rsidRDefault="001603AF" w:rsidP="00616585">
            <w:pPr>
              <w:ind w:left="0" w:right="0"/>
            </w:pPr>
            <w:r w:rsidRPr="001603AF">
              <w:t>14 %</w:t>
            </w:r>
          </w:p>
        </w:tc>
        <w:tc>
          <w:tcPr>
            <w:tcW w:w="378" w:type="pct"/>
          </w:tcPr>
          <w:p w:rsidR="001603AF" w:rsidRPr="001603AF" w:rsidRDefault="001603AF" w:rsidP="00616585">
            <w:pPr>
              <w:ind w:left="0" w:right="0"/>
            </w:pPr>
            <w:r w:rsidRPr="001603AF">
              <w:t>31 %</w:t>
            </w:r>
          </w:p>
        </w:tc>
        <w:tc>
          <w:tcPr>
            <w:tcW w:w="450" w:type="pct"/>
          </w:tcPr>
          <w:p w:rsidR="001603AF" w:rsidRPr="001603AF" w:rsidRDefault="001603AF" w:rsidP="00616585">
            <w:pPr>
              <w:ind w:left="0" w:right="0"/>
            </w:pPr>
            <w:r w:rsidRPr="001603AF">
              <w:t>20 %</w:t>
            </w:r>
          </w:p>
        </w:tc>
        <w:tc>
          <w:tcPr>
            <w:tcW w:w="459" w:type="pct"/>
          </w:tcPr>
          <w:p w:rsidR="001603AF" w:rsidRPr="001603AF" w:rsidRDefault="001603AF" w:rsidP="00616585">
            <w:pPr>
              <w:ind w:left="0" w:right="0"/>
            </w:pPr>
            <w:r w:rsidRPr="001603AF">
              <w:t>10 %</w:t>
            </w:r>
          </w:p>
        </w:tc>
        <w:tc>
          <w:tcPr>
            <w:tcW w:w="534" w:type="pct"/>
          </w:tcPr>
          <w:p w:rsidR="001603AF" w:rsidRPr="001603AF" w:rsidRDefault="001603AF" w:rsidP="00616585">
            <w:pPr>
              <w:ind w:left="0" w:right="0"/>
            </w:pPr>
            <w:r w:rsidRPr="001603AF">
              <w:t>13 wks</w:t>
            </w:r>
          </w:p>
        </w:tc>
        <w:tc>
          <w:tcPr>
            <w:tcW w:w="383" w:type="pct"/>
          </w:tcPr>
          <w:p w:rsidR="001603AF" w:rsidRPr="001603AF" w:rsidRDefault="001603AF" w:rsidP="00616585">
            <w:pPr>
              <w:ind w:left="0" w:right="0"/>
            </w:pPr>
            <w:r w:rsidRPr="001603AF">
              <w:t xml:space="preserve"> -</w:t>
            </w:r>
          </w:p>
        </w:tc>
        <w:tc>
          <w:tcPr>
            <w:tcW w:w="433" w:type="pct"/>
          </w:tcPr>
          <w:p w:rsidR="001603AF" w:rsidRPr="001603AF" w:rsidRDefault="001603AF" w:rsidP="00616585">
            <w:pPr>
              <w:ind w:left="0" w:right="0"/>
            </w:pPr>
            <w:r w:rsidRPr="001603AF">
              <w:t>47 %</w:t>
            </w:r>
          </w:p>
        </w:tc>
        <w:tc>
          <w:tcPr>
            <w:tcW w:w="525" w:type="pct"/>
          </w:tcPr>
          <w:p w:rsidR="001603AF" w:rsidRPr="001603AF" w:rsidRDefault="001603AF" w:rsidP="00616585">
            <w:pPr>
              <w:ind w:left="0" w:right="0"/>
            </w:pPr>
            <w:r w:rsidRPr="001603AF">
              <w:t>47 wks</w:t>
            </w:r>
          </w:p>
        </w:tc>
      </w:tr>
      <w:tr w:rsidR="001603AF" w:rsidRPr="001603AF" w:rsidTr="00616585">
        <w:tc>
          <w:tcPr>
            <w:tcW w:w="359" w:type="pct"/>
          </w:tcPr>
          <w:p w:rsidR="001603AF" w:rsidRPr="001603AF" w:rsidRDefault="001603AF" w:rsidP="00616585"/>
        </w:tc>
        <w:tc>
          <w:tcPr>
            <w:tcW w:w="794" w:type="pct"/>
          </w:tcPr>
          <w:p w:rsidR="001603AF" w:rsidRPr="001603AF" w:rsidRDefault="001603AF" w:rsidP="00616585">
            <w:pPr>
              <w:ind w:left="33" w:right="0"/>
            </w:pPr>
            <w:proofErr w:type="spellStart"/>
            <w:r w:rsidRPr="001603AF">
              <w:t>Temozolomide</w:t>
            </w:r>
            <w:proofErr w:type="spellEnd"/>
            <w:r w:rsidRPr="001603AF">
              <w:t xml:space="preserve"> </w:t>
            </w:r>
            <w:r w:rsidRPr="001603AF">
              <w:rPr>
                <w:vertAlign w:val="superscript"/>
              </w:rPr>
              <w:t>(2)</w:t>
            </w:r>
          </w:p>
        </w:tc>
        <w:tc>
          <w:tcPr>
            <w:tcW w:w="292" w:type="pct"/>
          </w:tcPr>
          <w:p w:rsidR="001603AF" w:rsidRPr="001603AF" w:rsidRDefault="001603AF" w:rsidP="00616585">
            <w:r w:rsidRPr="001603AF">
              <w:t>162</w:t>
            </w:r>
          </w:p>
        </w:tc>
        <w:tc>
          <w:tcPr>
            <w:tcW w:w="393" w:type="pct"/>
          </w:tcPr>
          <w:p w:rsidR="001603AF" w:rsidRPr="001603AF" w:rsidRDefault="001603AF" w:rsidP="00616585">
            <w:pPr>
              <w:ind w:left="0" w:right="0"/>
            </w:pPr>
            <w:r w:rsidRPr="001603AF">
              <w:t>35 %</w:t>
            </w:r>
          </w:p>
        </w:tc>
        <w:tc>
          <w:tcPr>
            <w:tcW w:w="378" w:type="pct"/>
          </w:tcPr>
          <w:p w:rsidR="001603AF" w:rsidRPr="001603AF" w:rsidRDefault="001603AF" w:rsidP="00616585">
            <w:pPr>
              <w:ind w:left="0" w:right="0"/>
            </w:pPr>
            <w:r w:rsidRPr="001603AF">
              <w:t>46 %</w:t>
            </w:r>
          </w:p>
        </w:tc>
        <w:tc>
          <w:tcPr>
            <w:tcW w:w="450" w:type="pct"/>
          </w:tcPr>
          <w:p w:rsidR="001603AF" w:rsidRPr="001603AF" w:rsidRDefault="001603AF" w:rsidP="00616585">
            <w:pPr>
              <w:ind w:left="0" w:right="0"/>
            </w:pPr>
            <w:r w:rsidRPr="001603AF">
              <w:t>24 %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23 wks</w:t>
            </w:r>
          </w:p>
          <w:p w:rsidR="001603AF" w:rsidRPr="001603AF" w:rsidRDefault="001603AF" w:rsidP="00616585">
            <w:pPr>
              <w:ind w:left="0" w:right="0"/>
            </w:pPr>
            <w:r w:rsidRPr="001603AF">
              <w:t>(5.4 m)</w:t>
            </w:r>
          </w:p>
        </w:tc>
        <w:tc>
          <w:tcPr>
            <w:tcW w:w="383" w:type="pct"/>
          </w:tcPr>
          <w:p w:rsidR="001603AF" w:rsidRPr="001603AF" w:rsidRDefault="001603AF" w:rsidP="00616585">
            <w:pPr>
              <w:ind w:left="0" w:right="0"/>
            </w:pPr>
            <w:r w:rsidRPr="001603AF">
              <w:t>75 %</w:t>
            </w:r>
          </w:p>
        </w:tc>
        <w:tc>
          <w:tcPr>
            <w:tcW w:w="433" w:type="pct"/>
          </w:tcPr>
          <w:p w:rsidR="001603AF" w:rsidRPr="001603AF" w:rsidRDefault="001603AF" w:rsidP="00616585">
            <w:pPr>
              <w:ind w:left="0" w:right="0"/>
            </w:pPr>
            <w:r w:rsidRPr="001603AF">
              <w:t>56 %</w:t>
            </w:r>
          </w:p>
        </w:tc>
        <w:tc>
          <w:tcPr>
            <w:tcW w:w="525" w:type="pct"/>
          </w:tcPr>
          <w:p w:rsidR="001603AF" w:rsidRPr="001603AF" w:rsidRDefault="001603AF" w:rsidP="00616585">
            <w:pPr>
              <w:ind w:left="0" w:right="0"/>
            </w:pPr>
            <w:r w:rsidRPr="001603AF">
              <w:t>59 wks</w:t>
            </w:r>
          </w:p>
          <w:p w:rsidR="001603AF" w:rsidRPr="001603AF" w:rsidRDefault="001603AF" w:rsidP="00616585">
            <w:pPr>
              <w:ind w:left="0" w:right="0"/>
            </w:pPr>
            <w:r w:rsidRPr="001603AF">
              <w:t>(13.6 m)</w:t>
            </w:r>
          </w:p>
        </w:tc>
      </w:tr>
      <w:tr w:rsidR="001603AF" w:rsidRPr="001603AF" w:rsidTr="00616585">
        <w:tc>
          <w:tcPr>
            <w:tcW w:w="5000" w:type="pct"/>
            <w:gridSpan w:val="11"/>
          </w:tcPr>
          <w:p w:rsidR="001603AF" w:rsidRPr="001603AF" w:rsidRDefault="001603AF" w:rsidP="00616585">
            <w:pPr>
              <w:ind w:left="0" w:right="0"/>
            </w:pPr>
            <w:r w:rsidRPr="001603AF">
              <w:rPr>
                <w:b/>
              </w:rPr>
              <w:t>BEVACIZUMAB WITH IRINOTECAN</w:t>
            </w:r>
          </w:p>
        </w:tc>
      </w:tr>
      <w:tr w:rsidR="001603AF" w:rsidRPr="001603AF" w:rsidTr="00616585">
        <w:tc>
          <w:tcPr>
            <w:tcW w:w="359" w:type="pct"/>
          </w:tcPr>
          <w:p w:rsidR="001603AF" w:rsidRPr="001603AF" w:rsidRDefault="001603AF" w:rsidP="00616585">
            <w:pPr>
              <w:rPr>
                <w:b/>
              </w:rPr>
            </w:pPr>
            <w:r w:rsidRPr="001603AF">
              <w:rPr>
                <w:b/>
              </w:rPr>
              <w:t>1</w:t>
            </w:r>
          </w:p>
        </w:tc>
        <w:tc>
          <w:tcPr>
            <w:tcW w:w="794" w:type="pct"/>
          </w:tcPr>
          <w:p w:rsidR="001603AF" w:rsidRPr="001603AF" w:rsidRDefault="001603AF" w:rsidP="00616585">
            <w:pPr>
              <w:ind w:left="33" w:right="0"/>
            </w:pPr>
            <w:r w:rsidRPr="001603AF">
              <w:t>Desjardins 2008</w:t>
            </w:r>
          </w:p>
        </w:tc>
        <w:tc>
          <w:tcPr>
            <w:tcW w:w="292" w:type="pct"/>
          </w:tcPr>
          <w:p w:rsidR="001603AF" w:rsidRPr="001603AF" w:rsidRDefault="001603AF" w:rsidP="00616585">
            <w:r w:rsidRPr="001603AF">
              <w:t>33</w:t>
            </w:r>
          </w:p>
          <w:p w:rsidR="001603AF" w:rsidRPr="001603AF" w:rsidRDefault="001603AF" w:rsidP="00616585"/>
        </w:tc>
        <w:tc>
          <w:tcPr>
            <w:tcW w:w="393" w:type="pct"/>
          </w:tcPr>
          <w:p w:rsidR="001603AF" w:rsidRPr="001603AF" w:rsidRDefault="001603AF" w:rsidP="00616585">
            <w:pPr>
              <w:ind w:left="0" w:right="0"/>
            </w:pPr>
            <w:r w:rsidRPr="001603AF">
              <w:lastRenderedPageBreak/>
              <w:t>61 %</w:t>
            </w:r>
          </w:p>
        </w:tc>
        <w:tc>
          <w:tcPr>
            <w:tcW w:w="378" w:type="pct"/>
          </w:tcPr>
          <w:p w:rsidR="001603AF" w:rsidRPr="001603AF" w:rsidRDefault="001603AF" w:rsidP="00616585">
            <w:pPr>
              <w:ind w:left="0" w:right="0"/>
            </w:pPr>
            <w:r w:rsidRPr="001603AF">
              <w:t>55 %</w:t>
            </w:r>
          </w:p>
        </w:tc>
        <w:tc>
          <w:tcPr>
            <w:tcW w:w="450" w:type="pct"/>
          </w:tcPr>
          <w:p w:rsidR="001603AF" w:rsidRPr="001603AF" w:rsidRDefault="001603AF" w:rsidP="00616585">
            <w:pPr>
              <w:ind w:left="0" w:right="0"/>
            </w:pPr>
            <w:r w:rsidRPr="001603AF">
              <w:t>39 %</w:t>
            </w:r>
          </w:p>
        </w:tc>
        <w:tc>
          <w:tcPr>
            <w:tcW w:w="459" w:type="pct"/>
          </w:tcPr>
          <w:p w:rsidR="001603AF" w:rsidRPr="001603AF" w:rsidRDefault="001603AF" w:rsidP="00616585">
            <w:pPr>
              <w:ind w:left="0" w:right="0"/>
            </w:pPr>
            <w:r w:rsidRPr="001603AF">
              <w:t>11 %</w:t>
            </w:r>
          </w:p>
        </w:tc>
        <w:tc>
          <w:tcPr>
            <w:tcW w:w="534" w:type="pct"/>
          </w:tcPr>
          <w:p w:rsidR="001603AF" w:rsidRPr="001603AF" w:rsidRDefault="001603AF" w:rsidP="00616585">
            <w:pPr>
              <w:ind w:left="0" w:right="0"/>
            </w:pPr>
            <w:r w:rsidRPr="001603AF">
              <w:t>30 wks</w:t>
            </w:r>
          </w:p>
        </w:tc>
        <w:tc>
          <w:tcPr>
            <w:tcW w:w="383" w:type="pct"/>
          </w:tcPr>
          <w:p w:rsidR="001603AF" w:rsidRPr="001603AF" w:rsidRDefault="001603AF" w:rsidP="00616585">
            <w:pPr>
              <w:ind w:left="0" w:right="0"/>
            </w:pPr>
            <w:r w:rsidRPr="001603AF">
              <w:t>79 %</w:t>
            </w:r>
          </w:p>
        </w:tc>
        <w:tc>
          <w:tcPr>
            <w:tcW w:w="433" w:type="pct"/>
          </w:tcPr>
          <w:p w:rsidR="001603AF" w:rsidRPr="001603AF" w:rsidRDefault="001603AF" w:rsidP="00616585">
            <w:pPr>
              <w:ind w:left="0" w:right="0"/>
            </w:pPr>
            <w:r w:rsidRPr="001603AF">
              <w:t>55 %</w:t>
            </w:r>
          </w:p>
        </w:tc>
        <w:tc>
          <w:tcPr>
            <w:tcW w:w="525" w:type="pct"/>
          </w:tcPr>
          <w:p w:rsidR="001603AF" w:rsidRPr="001603AF" w:rsidRDefault="001603AF" w:rsidP="00616585">
            <w:pPr>
              <w:ind w:left="0" w:right="0"/>
            </w:pPr>
            <w:r w:rsidRPr="001603AF">
              <w:t>65 wks</w:t>
            </w:r>
          </w:p>
        </w:tc>
      </w:tr>
      <w:tr w:rsidR="001603AF" w:rsidRPr="001603AF" w:rsidTr="00616585">
        <w:tc>
          <w:tcPr>
            <w:tcW w:w="359" w:type="pct"/>
          </w:tcPr>
          <w:p w:rsidR="001603AF" w:rsidRPr="001603AF" w:rsidRDefault="001603AF" w:rsidP="00616585">
            <w:pPr>
              <w:rPr>
                <w:b/>
              </w:rPr>
            </w:pPr>
            <w:r w:rsidRPr="001603AF">
              <w:rPr>
                <w:b/>
              </w:rPr>
              <w:lastRenderedPageBreak/>
              <w:t>2</w:t>
            </w:r>
          </w:p>
        </w:tc>
        <w:tc>
          <w:tcPr>
            <w:tcW w:w="794" w:type="pct"/>
          </w:tcPr>
          <w:p w:rsidR="001603AF" w:rsidRPr="001603AF" w:rsidRDefault="001603AF" w:rsidP="00616585">
            <w:pPr>
              <w:ind w:left="33" w:right="0"/>
            </w:pPr>
            <w:proofErr w:type="spellStart"/>
            <w:r w:rsidRPr="001603AF">
              <w:t>Poulsen</w:t>
            </w:r>
            <w:proofErr w:type="spellEnd"/>
            <w:r w:rsidRPr="001603AF">
              <w:t xml:space="preserve"> 2008</w:t>
            </w:r>
          </w:p>
        </w:tc>
        <w:tc>
          <w:tcPr>
            <w:tcW w:w="292" w:type="pct"/>
          </w:tcPr>
          <w:p w:rsidR="001603AF" w:rsidRPr="001603AF" w:rsidRDefault="001603AF" w:rsidP="00616585">
            <w:r w:rsidRPr="001603AF">
              <w:t>20</w:t>
            </w:r>
          </w:p>
        </w:tc>
        <w:tc>
          <w:tcPr>
            <w:tcW w:w="393" w:type="pct"/>
          </w:tcPr>
          <w:p w:rsidR="001603AF" w:rsidRPr="001603AF" w:rsidRDefault="001603AF" w:rsidP="00616585">
            <w:pPr>
              <w:ind w:left="0" w:right="0"/>
            </w:pPr>
            <w:r w:rsidRPr="001603AF">
              <w:t>15%</w:t>
            </w:r>
          </w:p>
        </w:tc>
        <w:tc>
          <w:tcPr>
            <w:tcW w:w="378" w:type="pct"/>
          </w:tcPr>
          <w:p w:rsidR="001603AF" w:rsidRPr="001603AF" w:rsidRDefault="001603AF" w:rsidP="00616585">
            <w:pPr>
              <w:ind w:left="0" w:right="0"/>
            </w:pPr>
            <w:r w:rsidRPr="001603AF">
              <w:t>33 %</w:t>
            </w:r>
          </w:p>
        </w:tc>
        <w:tc>
          <w:tcPr>
            <w:tcW w:w="450" w:type="pct"/>
          </w:tcPr>
          <w:p w:rsidR="001603AF" w:rsidRPr="001603AF" w:rsidRDefault="001603AF" w:rsidP="00616585">
            <w:pPr>
              <w:ind w:left="0" w:right="0"/>
            </w:pPr>
            <w:r w:rsidRPr="001603AF">
              <w:t xml:space="preserve">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22 wks</w:t>
            </w:r>
          </w:p>
        </w:tc>
        <w:tc>
          <w:tcPr>
            <w:tcW w:w="383" w:type="pct"/>
          </w:tcPr>
          <w:p w:rsidR="001603AF" w:rsidRPr="001603AF" w:rsidRDefault="001603AF" w:rsidP="00616585">
            <w:pPr>
              <w:ind w:left="0" w:right="0"/>
            </w:pPr>
            <w:r w:rsidRPr="001603AF">
              <w:t xml:space="preserve"> -</w:t>
            </w:r>
          </w:p>
        </w:tc>
        <w:tc>
          <w:tcPr>
            <w:tcW w:w="433" w:type="pct"/>
          </w:tcPr>
          <w:p w:rsidR="001603AF" w:rsidRPr="001603AF" w:rsidRDefault="001603AF" w:rsidP="00616585">
            <w:pPr>
              <w:ind w:left="0" w:right="0"/>
            </w:pPr>
            <w:r w:rsidRPr="001603AF">
              <w:t>45 %</w:t>
            </w:r>
          </w:p>
        </w:tc>
        <w:tc>
          <w:tcPr>
            <w:tcW w:w="525" w:type="pct"/>
          </w:tcPr>
          <w:p w:rsidR="001603AF" w:rsidRPr="001603AF" w:rsidRDefault="001603AF" w:rsidP="00616585">
            <w:pPr>
              <w:ind w:left="0" w:right="0"/>
            </w:pPr>
            <w:r w:rsidRPr="001603AF">
              <w:t>32 wks</w:t>
            </w:r>
          </w:p>
        </w:tc>
      </w:tr>
      <w:tr w:rsidR="001603AF" w:rsidRPr="001603AF" w:rsidTr="00616585">
        <w:tc>
          <w:tcPr>
            <w:tcW w:w="359" w:type="pct"/>
          </w:tcPr>
          <w:p w:rsidR="001603AF" w:rsidRPr="001603AF" w:rsidRDefault="001603AF" w:rsidP="00616585">
            <w:pPr>
              <w:rPr>
                <w:b/>
              </w:rPr>
            </w:pPr>
            <w:r w:rsidRPr="001603AF">
              <w:rPr>
                <w:b/>
              </w:rPr>
              <w:t>3</w:t>
            </w:r>
          </w:p>
        </w:tc>
        <w:tc>
          <w:tcPr>
            <w:tcW w:w="794" w:type="pct"/>
          </w:tcPr>
          <w:p w:rsidR="001603AF" w:rsidRPr="001603AF" w:rsidRDefault="001603AF" w:rsidP="00616585">
            <w:pPr>
              <w:ind w:left="33" w:right="0"/>
            </w:pPr>
            <w:r w:rsidRPr="001603AF">
              <w:t>Zuniga 2009</w:t>
            </w:r>
          </w:p>
        </w:tc>
        <w:tc>
          <w:tcPr>
            <w:tcW w:w="292" w:type="pct"/>
          </w:tcPr>
          <w:p w:rsidR="001603AF" w:rsidRPr="001603AF" w:rsidRDefault="001603AF" w:rsidP="00616585">
            <w:r w:rsidRPr="001603AF">
              <w:t>14</w:t>
            </w:r>
          </w:p>
        </w:tc>
        <w:tc>
          <w:tcPr>
            <w:tcW w:w="393" w:type="pct"/>
          </w:tcPr>
          <w:p w:rsidR="001603AF" w:rsidRPr="001603AF" w:rsidRDefault="001603AF" w:rsidP="00616585">
            <w:pPr>
              <w:ind w:left="0" w:right="0"/>
            </w:pPr>
            <w:r w:rsidRPr="001603AF">
              <w:t>79 %</w:t>
            </w:r>
          </w:p>
        </w:tc>
        <w:tc>
          <w:tcPr>
            <w:tcW w:w="378" w:type="pct"/>
          </w:tcPr>
          <w:p w:rsidR="001603AF" w:rsidRPr="001603AF" w:rsidRDefault="001603AF" w:rsidP="00616585">
            <w:pPr>
              <w:ind w:left="0" w:right="0"/>
            </w:pPr>
            <w:r w:rsidRPr="001603AF">
              <w:t>79 %</w:t>
            </w:r>
          </w:p>
        </w:tc>
        <w:tc>
          <w:tcPr>
            <w:tcW w:w="450" w:type="pct"/>
          </w:tcPr>
          <w:p w:rsidR="001603AF" w:rsidRPr="001603AF" w:rsidRDefault="001603AF" w:rsidP="00616585">
            <w:pPr>
              <w:ind w:left="0" w:right="0"/>
            </w:pPr>
            <w:r w:rsidRPr="001603AF">
              <w:t>64 %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58 wks</w:t>
            </w:r>
          </w:p>
          <w:p w:rsidR="001603AF" w:rsidRPr="001603AF" w:rsidRDefault="001603AF" w:rsidP="00616585">
            <w:pPr>
              <w:ind w:left="0" w:right="0"/>
            </w:pPr>
            <w:r w:rsidRPr="001603AF">
              <w:t>(13.4 m)</w:t>
            </w:r>
          </w:p>
        </w:tc>
        <w:tc>
          <w:tcPr>
            <w:tcW w:w="383" w:type="pct"/>
          </w:tcPr>
          <w:p w:rsidR="001603AF" w:rsidRPr="001603AF" w:rsidRDefault="001603AF" w:rsidP="00616585">
            <w:pPr>
              <w:ind w:left="0" w:right="0"/>
            </w:pPr>
            <w:r w:rsidRPr="001603AF">
              <w:t>86 %</w:t>
            </w:r>
          </w:p>
        </w:tc>
        <w:tc>
          <w:tcPr>
            <w:tcW w:w="433" w:type="pct"/>
          </w:tcPr>
          <w:p w:rsidR="001603AF" w:rsidRPr="001603AF" w:rsidRDefault="001603AF" w:rsidP="00616585">
            <w:pPr>
              <w:ind w:left="0" w:right="0"/>
            </w:pPr>
            <w:r w:rsidRPr="001603AF">
              <w:t>78 %</w:t>
            </w:r>
          </w:p>
        </w:tc>
        <w:tc>
          <w:tcPr>
            <w:tcW w:w="525" w:type="pct"/>
          </w:tcPr>
          <w:p w:rsidR="001603AF" w:rsidRPr="001603AF" w:rsidRDefault="001603AF" w:rsidP="00616585">
            <w:pPr>
              <w:ind w:left="0" w:right="0"/>
            </w:pPr>
            <w:r w:rsidRPr="001603AF">
              <w:t>Not reached</w:t>
            </w:r>
          </w:p>
        </w:tc>
      </w:tr>
      <w:tr w:rsidR="001603AF" w:rsidRPr="001603AF" w:rsidTr="00616585">
        <w:tc>
          <w:tcPr>
            <w:tcW w:w="359" w:type="pct"/>
          </w:tcPr>
          <w:p w:rsidR="001603AF" w:rsidRPr="001603AF" w:rsidRDefault="001603AF" w:rsidP="00616585">
            <w:pPr>
              <w:rPr>
                <w:b/>
              </w:rPr>
            </w:pPr>
            <w:r w:rsidRPr="001603AF">
              <w:rPr>
                <w:b/>
              </w:rPr>
              <w:t>4</w:t>
            </w:r>
          </w:p>
        </w:tc>
        <w:tc>
          <w:tcPr>
            <w:tcW w:w="794" w:type="pct"/>
          </w:tcPr>
          <w:p w:rsidR="001603AF" w:rsidRPr="001603AF" w:rsidRDefault="001603AF" w:rsidP="00616585">
            <w:pPr>
              <w:ind w:left="33" w:right="0"/>
            </w:pPr>
            <w:proofErr w:type="spellStart"/>
            <w:r w:rsidRPr="001603AF">
              <w:t>Guiu</w:t>
            </w:r>
            <w:proofErr w:type="spellEnd"/>
            <w:r w:rsidRPr="001603AF">
              <w:t xml:space="preserve"> 2008</w:t>
            </w:r>
          </w:p>
        </w:tc>
        <w:tc>
          <w:tcPr>
            <w:tcW w:w="292" w:type="pct"/>
          </w:tcPr>
          <w:p w:rsidR="001603AF" w:rsidRPr="001603AF" w:rsidRDefault="001603AF" w:rsidP="00616585">
            <w:r w:rsidRPr="001603AF">
              <w:t>28</w:t>
            </w:r>
          </w:p>
        </w:tc>
        <w:tc>
          <w:tcPr>
            <w:tcW w:w="393" w:type="pct"/>
          </w:tcPr>
          <w:p w:rsidR="001603AF" w:rsidRPr="001603AF" w:rsidRDefault="001603AF" w:rsidP="00616585">
            <w:pPr>
              <w:ind w:left="0" w:right="0"/>
            </w:pPr>
            <w:r w:rsidRPr="001603AF">
              <w:t>54 %</w:t>
            </w:r>
          </w:p>
        </w:tc>
        <w:tc>
          <w:tcPr>
            <w:tcW w:w="378" w:type="pct"/>
          </w:tcPr>
          <w:p w:rsidR="001603AF" w:rsidRPr="001603AF" w:rsidRDefault="001603AF" w:rsidP="00616585">
            <w:pPr>
              <w:ind w:left="0" w:right="0"/>
            </w:pPr>
            <w:r w:rsidRPr="001603AF">
              <w:t xml:space="preserve"> -</w:t>
            </w:r>
          </w:p>
        </w:tc>
        <w:tc>
          <w:tcPr>
            <w:tcW w:w="450" w:type="pct"/>
          </w:tcPr>
          <w:p w:rsidR="001603AF" w:rsidRPr="001603AF" w:rsidRDefault="001603AF" w:rsidP="00616585">
            <w:pPr>
              <w:ind w:left="0" w:right="0"/>
            </w:pPr>
            <w:r w:rsidRPr="001603AF">
              <w:t xml:space="preserve">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 xml:space="preserve"> -</w:t>
            </w:r>
          </w:p>
        </w:tc>
        <w:tc>
          <w:tcPr>
            <w:tcW w:w="383" w:type="pct"/>
          </w:tcPr>
          <w:p w:rsidR="001603AF" w:rsidRPr="001603AF" w:rsidRDefault="001603AF" w:rsidP="00616585">
            <w:pPr>
              <w:ind w:left="0" w:right="0"/>
            </w:pPr>
            <w:r w:rsidRPr="001603AF">
              <w:t xml:space="preserve"> -</w:t>
            </w:r>
          </w:p>
        </w:tc>
        <w:tc>
          <w:tcPr>
            <w:tcW w:w="433" w:type="pct"/>
          </w:tcPr>
          <w:p w:rsidR="001603AF" w:rsidRPr="001603AF" w:rsidRDefault="001603AF" w:rsidP="00616585">
            <w:pPr>
              <w:ind w:left="0" w:right="0"/>
            </w:pPr>
            <w:r w:rsidRPr="001603AF">
              <w:t xml:space="preserve"> -</w:t>
            </w:r>
          </w:p>
        </w:tc>
        <w:tc>
          <w:tcPr>
            <w:tcW w:w="525" w:type="pct"/>
          </w:tcPr>
          <w:p w:rsidR="001603AF" w:rsidRPr="001603AF" w:rsidRDefault="001603AF" w:rsidP="00616585">
            <w:pPr>
              <w:ind w:left="0" w:right="0"/>
            </w:pPr>
            <w:r w:rsidRPr="001603AF">
              <w:t xml:space="preserve"> -</w:t>
            </w:r>
          </w:p>
        </w:tc>
      </w:tr>
      <w:tr w:rsidR="001603AF" w:rsidRPr="001603AF" w:rsidTr="00616585">
        <w:tc>
          <w:tcPr>
            <w:tcW w:w="359" w:type="pct"/>
          </w:tcPr>
          <w:p w:rsidR="001603AF" w:rsidRPr="001603AF" w:rsidRDefault="001603AF" w:rsidP="00616585">
            <w:pPr>
              <w:rPr>
                <w:b/>
              </w:rPr>
            </w:pPr>
            <w:r w:rsidRPr="001603AF">
              <w:rPr>
                <w:b/>
              </w:rPr>
              <w:t>7</w:t>
            </w:r>
          </w:p>
        </w:tc>
        <w:tc>
          <w:tcPr>
            <w:tcW w:w="794" w:type="pct"/>
          </w:tcPr>
          <w:p w:rsidR="001603AF" w:rsidRPr="001603AF" w:rsidRDefault="001603AF" w:rsidP="00616585">
            <w:pPr>
              <w:ind w:left="33" w:right="0"/>
            </w:pPr>
            <w:r w:rsidRPr="001603AF">
              <w:t>Kang 2008</w:t>
            </w:r>
          </w:p>
        </w:tc>
        <w:tc>
          <w:tcPr>
            <w:tcW w:w="292" w:type="pct"/>
          </w:tcPr>
          <w:p w:rsidR="001603AF" w:rsidRPr="001603AF" w:rsidRDefault="001603AF" w:rsidP="00616585">
            <w:r w:rsidRPr="001603AF">
              <w:t>9</w:t>
            </w:r>
          </w:p>
        </w:tc>
        <w:tc>
          <w:tcPr>
            <w:tcW w:w="393" w:type="pct"/>
          </w:tcPr>
          <w:p w:rsidR="001603AF" w:rsidRPr="001603AF" w:rsidRDefault="001603AF" w:rsidP="00616585">
            <w:pPr>
              <w:ind w:left="0" w:right="0"/>
            </w:pPr>
            <w:r w:rsidRPr="001603AF">
              <w:t xml:space="preserve"> -</w:t>
            </w:r>
          </w:p>
        </w:tc>
        <w:tc>
          <w:tcPr>
            <w:tcW w:w="378" w:type="pct"/>
          </w:tcPr>
          <w:p w:rsidR="001603AF" w:rsidRPr="001603AF" w:rsidRDefault="001603AF" w:rsidP="00616585">
            <w:pPr>
              <w:ind w:left="0" w:right="0"/>
            </w:pPr>
            <w:r w:rsidRPr="001603AF">
              <w:t>75 %</w:t>
            </w:r>
          </w:p>
        </w:tc>
        <w:tc>
          <w:tcPr>
            <w:tcW w:w="450" w:type="pct"/>
          </w:tcPr>
          <w:p w:rsidR="001603AF" w:rsidRPr="001603AF" w:rsidRDefault="001603AF" w:rsidP="00616585">
            <w:pPr>
              <w:ind w:left="0" w:right="0"/>
            </w:pPr>
            <w:r w:rsidRPr="001603AF">
              <w:t xml:space="preserve">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41 wks</w:t>
            </w:r>
          </w:p>
          <w:p w:rsidR="001603AF" w:rsidRPr="001603AF" w:rsidRDefault="001603AF" w:rsidP="00616585">
            <w:pPr>
              <w:ind w:left="0" w:right="0"/>
            </w:pPr>
            <w:r w:rsidRPr="001603AF">
              <w:t>(9.5 m)</w:t>
            </w:r>
          </w:p>
        </w:tc>
        <w:tc>
          <w:tcPr>
            <w:tcW w:w="383" w:type="pct"/>
          </w:tcPr>
          <w:p w:rsidR="001603AF" w:rsidRPr="001603AF" w:rsidRDefault="001603AF" w:rsidP="00616585">
            <w:pPr>
              <w:ind w:left="0" w:right="0"/>
            </w:pPr>
            <w:r w:rsidRPr="001603AF">
              <w:t>88 %</w:t>
            </w:r>
          </w:p>
        </w:tc>
        <w:tc>
          <w:tcPr>
            <w:tcW w:w="433" w:type="pct"/>
          </w:tcPr>
          <w:p w:rsidR="001603AF" w:rsidRPr="001603AF" w:rsidRDefault="001603AF" w:rsidP="00616585">
            <w:pPr>
              <w:ind w:left="0" w:right="0"/>
            </w:pPr>
            <w:r w:rsidRPr="001603AF">
              <w:t xml:space="preserve"> -</w:t>
            </w:r>
          </w:p>
        </w:tc>
        <w:tc>
          <w:tcPr>
            <w:tcW w:w="525" w:type="pct"/>
          </w:tcPr>
          <w:p w:rsidR="001603AF" w:rsidRPr="001603AF" w:rsidRDefault="001603AF" w:rsidP="00616585">
            <w:pPr>
              <w:ind w:left="0" w:right="0"/>
            </w:pPr>
            <w:r w:rsidRPr="001603AF">
              <w:t>55 wks</w:t>
            </w:r>
          </w:p>
          <w:p w:rsidR="001603AF" w:rsidRPr="001603AF" w:rsidRDefault="001603AF" w:rsidP="00616585">
            <w:pPr>
              <w:ind w:left="0" w:right="0"/>
            </w:pPr>
            <w:r w:rsidRPr="001603AF">
              <w:t>(12.6 m)</w:t>
            </w:r>
          </w:p>
        </w:tc>
      </w:tr>
      <w:tr w:rsidR="001603AF" w:rsidRPr="001603AF" w:rsidTr="00616585">
        <w:tc>
          <w:tcPr>
            <w:tcW w:w="5000" w:type="pct"/>
            <w:gridSpan w:val="11"/>
          </w:tcPr>
          <w:p w:rsidR="001603AF" w:rsidRPr="001603AF" w:rsidRDefault="001603AF" w:rsidP="00616585">
            <w:pPr>
              <w:ind w:left="0" w:right="0"/>
            </w:pPr>
            <w:r w:rsidRPr="001603AF">
              <w:rPr>
                <w:b/>
              </w:rPr>
              <w:t>BEVACIZUMAB MONOTHERAPY</w:t>
            </w:r>
          </w:p>
        </w:tc>
      </w:tr>
      <w:tr w:rsidR="001603AF" w:rsidRPr="001603AF" w:rsidTr="00616585">
        <w:tc>
          <w:tcPr>
            <w:tcW w:w="359" w:type="pct"/>
          </w:tcPr>
          <w:p w:rsidR="001603AF" w:rsidRPr="001603AF" w:rsidRDefault="001603AF" w:rsidP="00616585">
            <w:pPr>
              <w:rPr>
                <w:b/>
              </w:rPr>
            </w:pPr>
            <w:r w:rsidRPr="001603AF">
              <w:rPr>
                <w:b/>
              </w:rPr>
              <w:t>13</w:t>
            </w:r>
          </w:p>
        </w:tc>
        <w:tc>
          <w:tcPr>
            <w:tcW w:w="794" w:type="pct"/>
          </w:tcPr>
          <w:p w:rsidR="001603AF" w:rsidRPr="001603AF" w:rsidRDefault="001603AF" w:rsidP="00616585">
            <w:pPr>
              <w:ind w:left="33" w:right="0"/>
            </w:pPr>
            <w:r w:rsidRPr="001603AF">
              <w:t>Chamberlain 2009</w:t>
            </w:r>
          </w:p>
        </w:tc>
        <w:tc>
          <w:tcPr>
            <w:tcW w:w="292" w:type="pct"/>
          </w:tcPr>
          <w:p w:rsidR="001603AF" w:rsidRPr="001603AF" w:rsidRDefault="001603AF" w:rsidP="00616585">
            <w:r w:rsidRPr="001603AF">
              <w:t>25</w:t>
            </w:r>
          </w:p>
        </w:tc>
        <w:tc>
          <w:tcPr>
            <w:tcW w:w="393" w:type="pct"/>
          </w:tcPr>
          <w:p w:rsidR="001603AF" w:rsidRPr="001603AF" w:rsidRDefault="001603AF" w:rsidP="00616585">
            <w:pPr>
              <w:ind w:left="0" w:right="0"/>
            </w:pPr>
            <w:r w:rsidRPr="001603AF">
              <w:t>64%</w:t>
            </w:r>
          </w:p>
        </w:tc>
        <w:tc>
          <w:tcPr>
            <w:tcW w:w="378" w:type="pct"/>
          </w:tcPr>
          <w:p w:rsidR="001603AF" w:rsidRPr="001603AF" w:rsidRDefault="001603AF" w:rsidP="00616585">
            <w:pPr>
              <w:ind w:left="0" w:right="0"/>
            </w:pPr>
            <w:r w:rsidRPr="001603AF">
              <w:t>60 %</w:t>
            </w:r>
          </w:p>
        </w:tc>
        <w:tc>
          <w:tcPr>
            <w:tcW w:w="450" w:type="pct"/>
          </w:tcPr>
          <w:p w:rsidR="001603AF" w:rsidRPr="001603AF" w:rsidRDefault="001603AF" w:rsidP="00616585">
            <w:pPr>
              <w:ind w:left="0" w:right="0"/>
            </w:pPr>
            <w:r w:rsidRPr="001603AF">
              <w:t>20 %</w:t>
            </w:r>
          </w:p>
        </w:tc>
        <w:tc>
          <w:tcPr>
            <w:tcW w:w="459" w:type="pct"/>
          </w:tcPr>
          <w:p w:rsidR="001603AF" w:rsidRPr="001603AF" w:rsidRDefault="001603AF" w:rsidP="00616585">
            <w:pPr>
              <w:ind w:left="0" w:right="0"/>
            </w:pPr>
            <w:r w:rsidRPr="001603AF">
              <w:t xml:space="preserve"> -</w:t>
            </w:r>
          </w:p>
        </w:tc>
        <w:tc>
          <w:tcPr>
            <w:tcW w:w="534" w:type="pct"/>
          </w:tcPr>
          <w:p w:rsidR="001603AF" w:rsidRPr="001603AF" w:rsidRDefault="001603AF" w:rsidP="00616585">
            <w:pPr>
              <w:ind w:left="0" w:right="0"/>
            </w:pPr>
            <w:r w:rsidRPr="001603AF">
              <w:t>30 wks</w:t>
            </w:r>
          </w:p>
          <w:p w:rsidR="001603AF" w:rsidRPr="001603AF" w:rsidRDefault="001603AF" w:rsidP="00616585">
            <w:pPr>
              <w:ind w:left="0" w:right="0"/>
            </w:pPr>
            <w:r w:rsidRPr="001603AF">
              <w:t>(7 m)</w:t>
            </w:r>
          </w:p>
        </w:tc>
        <w:tc>
          <w:tcPr>
            <w:tcW w:w="383" w:type="pct"/>
          </w:tcPr>
          <w:p w:rsidR="001603AF" w:rsidRPr="001603AF" w:rsidRDefault="001603AF" w:rsidP="00616585">
            <w:pPr>
              <w:ind w:left="0" w:right="0"/>
            </w:pPr>
            <w:r w:rsidRPr="001603AF">
              <w:t>76 %</w:t>
            </w:r>
          </w:p>
        </w:tc>
        <w:tc>
          <w:tcPr>
            <w:tcW w:w="433" w:type="pct"/>
          </w:tcPr>
          <w:p w:rsidR="001603AF" w:rsidRPr="001603AF" w:rsidRDefault="001603AF" w:rsidP="00616585">
            <w:pPr>
              <w:ind w:left="0" w:right="0"/>
            </w:pPr>
            <w:r w:rsidRPr="001603AF">
              <w:t>36 %</w:t>
            </w:r>
          </w:p>
        </w:tc>
        <w:tc>
          <w:tcPr>
            <w:tcW w:w="525" w:type="pct"/>
          </w:tcPr>
          <w:p w:rsidR="001603AF" w:rsidRPr="001603AF" w:rsidRDefault="001603AF" w:rsidP="00616585">
            <w:pPr>
              <w:ind w:left="0" w:right="0"/>
            </w:pPr>
            <w:r w:rsidRPr="001603AF">
              <w:t>39 wks</w:t>
            </w:r>
          </w:p>
          <w:p w:rsidR="001603AF" w:rsidRPr="001603AF" w:rsidRDefault="001603AF" w:rsidP="00616585">
            <w:pPr>
              <w:ind w:left="0" w:right="0"/>
            </w:pPr>
            <w:r w:rsidRPr="001603AF">
              <w:t>(9 m)</w:t>
            </w:r>
          </w:p>
        </w:tc>
      </w:tr>
    </w:tbl>
    <w:p w:rsidR="001603AF" w:rsidRPr="001603AF" w:rsidRDefault="001603AF" w:rsidP="00616585">
      <w:pPr>
        <w:pStyle w:val="TableDescription"/>
      </w:pPr>
      <w:r w:rsidRPr="001603AF">
        <w:t>(1)</w:t>
      </w:r>
      <w:r w:rsidRPr="001603AF">
        <w:tab/>
        <w:t>Where result for median PFS or OS was reported in terms of months, this has been converted to weeks, with actual month value in brackets.</w:t>
      </w:r>
    </w:p>
    <w:p w:rsidR="001603AF" w:rsidRPr="001603AF" w:rsidRDefault="001603AF" w:rsidP="00616585">
      <w:pPr>
        <w:pStyle w:val="TableDescription"/>
      </w:pPr>
      <w:r w:rsidRPr="001603AF">
        <w:t>(2)</w:t>
      </w:r>
      <w:r w:rsidRPr="001603AF">
        <w:tab/>
      </w:r>
      <w:proofErr w:type="spellStart"/>
      <w:r w:rsidRPr="001603AF">
        <w:t>Temodal</w:t>
      </w:r>
      <w:proofErr w:type="spellEnd"/>
      <w:r w:rsidRPr="001603AF">
        <w:t xml:space="preserve"> PI</w:t>
      </w:r>
    </w:p>
    <w:p w:rsidR="001603AF" w:rsidRPr="001603AF" w:rsidRDefault="001603AF" w:rsidP="00CA0496">
      <w:r w:rsidRPr="001603AF">
        <w:t xml:space="preserve">The results of </w:t>
      </w:r>
      <w:proofErr w:type="spellStart"/>
      <w:r w:rsidRPr="001603AF">
        <w:t>bevacizumab</w:t>
      </w:r>
      <w:proofErr w:type="spellEnd"/>
      <w:r w:rsidRPr="001603AF">
        <w:t xml:space="preserve"> treatment were variable, with response rates varying from 15 – 79%, and 6-month PFS from 33 – 79%. Using cross-trial comparison, in most of the studies efficacy appeared to be superior to that documented in the Wong et al paper, or the study with </w:t>
      </w:r>
      <w:proofErr w:type="spellStart"/>
      <w:r w:rsidRPr="001603AF">
        <w:t>temozolomide</w:t>
      </w:r>
      <w:proofErr w:type="spellEnd"/>
      <w:r w:rsidRPr="001603AF">
        <w:t>. However, study 2 did not suggest any increased efficacy.</w:t>
      </w:r>
    </w:p>
    <w:p w:rsidR="001603AF" w:rsidRPr="001603AF" w:rsidRDefault="001603AF" w:rsidP="00CA0496">
      <w:r w:rsidRPr="001603AF">
        <w:t xml:space="preserve">Using  cross-trial comparison, there did not appear to be any marked advantage of the </w:t>
      </w:r>
      <w:proofErr w:type="spellStart"/>
      <w:r w:rsidRPr="001603AF">
        <w:t>bevacizumab</w:t>
      </w:r>
      <w:proofErr w:type="spellEnd"/>
      <w:r w:rsidRPr="001603AF">
        <w:t xml:space="preserve"> + </w:t>
      </w:r>
      <w:proofErr w:type="spellStart"/>
      <w:r w:rsidRPr="001603AF">
        <w:t>irinotecan</w:t>
      </w:r>
      <w:proofErr w:type="spellEnd"/>
      <w:r w:rsidRPr="001603AF">
        <w:t xml:space="preserve"> combination over </w:t>
      </w:r>
      <w:proofErr w:type="spellStart"/>
      <w:r w:rsidRPr="001603AF">
        <w:t>bevacizumab</w:t>
      </w:r>
      <w:proofErr w:type="spellEnd"/>
      <w:r w:rsidRPr="001603AF">
        <w:t xml:space="preserve"> </w:t>
      </w:r>
      <w:proofErr w:type="spellStart"/>
      <w:r w:rsidRPr="001603AF">
        <w:t>monotherapy</w:t>
      </w:r>
      <w:proofErr w:type="spellEnd"/>
      <w:r w:rsidRPr="001603AF">
        <w:t>.</w:t>
      </w:r>
    </w:p>
    <w:p w:rsidR="001603AF" w:rsidRPr="001603AF" w:rsidRDefault="001603AF" w:rsidP="00CA0496">
      <w:pPr>
        <w:pStyle w:val="Heading4"/>
      </w:pPr>
      <w:r w:rsidRPr="001603AF">
        <w:t>Safety</w:t>
      </w:r>
    </w:p>
    <w:p w:rsidR="001603AF" w:rsidRPr="001603AF" w:rsidRDefault="001603AF" w:rsidP="00CA0496">
      <w:r w:rsidRPr="001603AF">
        <w:t xml:space="preserve">Study AVF 3708g indicated that the </w:t>
      </w:r>
      <w:proofErr w:type="spellStart"/>
      <w:r w:rsidRPr="001603AF">
        <w:t>bevacizumab</w:t>
      </w:r>
      <w:proofErr w:type="spellEnd"/>
      <w:r w:rsidRPr="001603AF">
        <w:t xml:space="preserve"> + </w:t>
      </w:r>
      <w:proofErr w:type="spellStart"/>
      <w:r w:rsidRPr="001603AF">
        <w:t>irinotecan</w:t>
      </w:r>
      <w:proofErr w:type="spellEnd"/>
      <w:r w:rsidRPr="001603AF">
        <w:t xml:space="preserve"> combination was associated with an increased incidence of toxicity compared to </w:t>
      </w:r>
      <w:proofErr w:type="spellStart"/>
      <w:r w:rsidRPr="001603AF">
        <w:t>bevacizumab</w:t>
      </w:r>
      <w:proofErr w:type="spellEnd"/>
      <w:r w:rsidRPr="001603AF">
        <w:t xml:space="preserve"> </w:t>
      </w:r>
      <w:proofErr w:type="spellStart"/>
      <w:r w:rsidRPr="001603AF">
        <w:t>monotherapy</w:t>
      </w:r>
      <w:proofErr w:type="spellEnd"/>
      <w:r w:rsidRPr="001603AF">
        <w:t>, as illustrated by the table 20:</w:t>
      </w:r>
    </w:p>
    <w:p w:rsidR="001603AF" w:rsidRPr="001603AF" w:rsidRDefault="001603AF" w:rsidP="00CA0496">
      <w:pPr>
        <w:pStyle w:val="TableTitle"/>
      </w:pPr>
      <w:r w:rsidRPr="001603AF">
        <w:t>Table 20: Comparison of Selected Adverse Events</w:t>
      </w:r>
    </w:p>
    <w:tbl>
      <w:tblPr>
        <w:tblStyle w:val="TableTGAblue"/>
        <w:tblW w:w="0" w:type="auto"/>
        <w:tblLook w:val="04A0"/>
      </w:tblPr>
      <w:tblGrid>
        <w:gridCol w:w="4928"/>
        <w:gridCol w:w="1843"/>
        <w:gridCol w:w="1949"/>
      </w:tblGrid>
      <w:tr w:rsidR="001603AF" w:rsidRPr="001603AF" w:rsidTr="00F24D08">
        <w:trPr>
          <w:cnfStyle w:val="100000000000"/>
          <w:tblHeader/>
        </w:trPr>
        <w:tc>
          <w:tcPr>
            <w:tcW w:w="4928" w:type="dxa"/>
          </w:tcPr>
          <w:p w:rsidR="001603AF" w:rsidRPr="001603AF" w:rsidRDefault="001603AF" w:rsidP="00CA0496"/>
        </w:tc>
        <w:tc>
          <w:tcPr>
            <w:tcW w:w="1843" w:type="dxa"/>
          </w:tcPr>
          <w:p w:rsidR="001603AF" w:rsidRPr="001603AF" w:rsidRDefault="001603AF" w:rsidP="00CA0496">
            <w:r w:rsidRPr="001603AF">
              <w:t>BV + IRN</w:t>
            </w:r>
          </w:p>
        </w:tc>
        <w:tc>
          <w:tcPr>
            <w:tcW w:w="1949" w:type="dxa"/>
          </w:tcPr>
          <w:p w:rsidR="001603AF" w:rsidRPr="001603AF" w:rsidRDefault="001603AF" w:rsidP="00CA0496">
            <w:r w:rsidRPr="001603AF">
              <w:t>BV</w:t>
            </w:r>
          </w:p>
        </w:tc>
      </w:tr>
      <w:tr w:rsidR="001603AF" w:rsidRPr="001603AF" w:rsidTr="00CA0496">
        <w:tc>
          <w:tcPr>
            <w:tcW w:w="4928" w:type="dxa"/>
          </w:tcPr>
          <w:p w:rsidR="001603AF" w:rsidRPr="001603AF" w:rsidRDefault="001603AF" w:rsidP="00CA0496">
            <w:r w:rsidRPr="001603AF">
              <w:t>Grade III or higher adverse events</w:t>
            </w:r>
          </w:p>
        </w:tc>
        <w:tc>
          <w:tcPr>
            <w:tcW w:w="1843" w:type="dxa"/>
          </w:tcPr>
          <w:p w:rsidR="001603AF" w:rsidRPr="001603AF" w:rsidRDefault="001603AF" w:rsidP="00CA0496">
            <w:r w:rsidRPr="001603AF">
              <w:t>66 %</w:t>
            </w:r>
          </w:p>
        </w:tc>
        <w:tc>
          <w:tcPr>
            <w:tcW w:w="1949" w:type="dxa"/>
          </w:tcPr>
          <w:p w:rsidR="001603AF" w:rsidRPr="001603AF" w:rsidRDefault="001603AF" w:rsidP="00CA0496">
            <w:r w:rsidRPr="001603AF">
              <w:t>46%</w:t>
            </w:r>
          </w:p>
        </w:tc>
      </w:tr>
      <w:tr w:rsidR="001603AF" w:rsidRPr="001603AF" w:rsidTr="00CA0496">
        <w:tc>
          <w:tcPr>
            <w:tcW w:w="4928" w:type="dxa"/>
          </w:tcPr>
          <w:p w:rsidR="001603AF" w:rsidRPr="001603AF" w:rsidRDefault="001603AF" w:rsidP="00CA0496">
            <w:r w:rsidRPr="001603AF">
              <w:t>Serious adverse events</w:t>
            </w:r>
          </w:p>
        </w:tc>
        <w:tc>
          <w:tcPr>
            <w:tcW w:w="1843" w:type="dxa"/>
          </w:tcPr>
          <w:p w:rsidR="001603AF" w:rsidRPr="001603AF" w:rsidRDefault="001603AF" w:rsidP="00CA0496">
            <w:r w:rsidRPr="001603AF">
              <w:t>43 %</w:t>
            </w:r>
          </w:p>
        </w:tc>
        <w:tc>
          <w:tcPr>
            <w:tcW w:w="1949" w:type="dxa"/>
          </w:tcPr>
          <w:p w:rsidR="001603AF" w:rsidRPr="001603AF" w:rsidRDefault="001603AF" w:rsidP="00CA0496">
            <w:r w:rsidRPr="001603AF">
              <w:t>26 %</w:t>
            </w:r>
          </w:p>
        </w:tc>
      </w:tr>
      <w:tr w:rsidR="001603AF" w:rsidRPr="001603AF" w:rsidTr="00CA0496">
        <w:tc>
          <w:tcPr>
            <w:tcW w:w="4928" w:type="dxa"/>
          </w:tcPr>
          <w:p w:rsidR="001603AF" w:rsidRPr="001603AF" w:rsidRDefault="001603AF" w:rsidP="00CA0496">
            <w:r w:rsidRPr="001603AF">
              <w:t>Any haemorrhage</w:t>
            </w:r>
          </w:p>
        </w:tc>
        <w:tc>
          <w:tcPr>
            <w:tcW w:w="1843" w:type="dxa"/>
          </w:tcPr>
          <w:p w:rsidR="001603AF" w:rsidRPr="001603AF" w:rsidRDefault="001603AF" w:rsidP="00CA0496">
            <w:r w:rsidRPr="001603AF">
              <w:t>41 %</w:t>
            </w:r>
          </w:p>
        </w:tc>
        <w:tc>
          <w:tcPr>
            <w:tcW w:w="1949" w:type="dxa"/>
          </w:tcPr>
          <w:p w:rsidR="001603AF" w:rsidRPr="001603AF" w:rsidRDefault="001603AF" w:rsidP="00CA0496">
            <w:r w:rsidRPr="001603AF">
              <w:t>27 %</w:t>
            </w:r>
          </w:p>
        </w:tc>
      </w:tr>
      <w:tr w:rsidR="001603AF" w:rsidRPr="001603AF" w:rsidTr="00CA0496">
        <w:tc>
          <w:tcPr>
            <w:tcW w:w="4928" w:type="dxa"/>
          </w:tcPr>
          <w:p w:rsidR="001603AF" w:rsidRPr="001603AF" w:rsidRDefault="001603AF" w:rsidP="00CA0496">
            <w:r w:rsidRPr="001603AF">
              <w:lastRenderedPageBreak/>
              <w:t>Cerebral haemorrhage</w:t>
            </w:r>
          </w:p>
        </w:tc>
        <w:tc>
          <w:tcPr>
            <w:tcW w:w="1843" w:type="dxa"/>
          </w:tcPr>
          <w:p w:rsidR="001603AF" w:rsidRPr="001603AF" w:rsidRDefault="001603AF" w:rsidP="00CA0496">
            <w:r w:rsidRPr="001603AF">
              <w:t>4 %</w:t>
            </w:r>
          </w:p>
        </w:tc>
        <w:tc>
          <w:tcPr>
            <w:tcW w:w="1949" w:type="dxa"/>
          </w:tcPr>
          <w:p w:rsidR="001603AF" w:rsidRPr="001603AF" w:rsidRDefault="001603AF" w:rsidP="00CA0496">
            <w:r w:rsidRPr="001603AF">
              <w:t>1 %</w:t>
            </w:r>
          </w:p>
        </w:tc>
      </w:tr>
      <w:tr w:rsidR="001603AF" w:rsidRPr="001603AF" w:rsidTr="00CA0496">
        <w:tc>
          <w:tcPr>
            <w:tcW w:w="4928" w:type="dxa"/>
          </w:tcPr>
          <w:p w:rsidR="001603AF" w:rsidRPr="001603AF" w:rsidRDefault="001603AF" w:rsidP="00CA0496">
            <w:r w:rsidRPr="001603AF">
              <w:t>Venous thrombosis</w:t>
            </w:r>
          </w:p>
        </w:tc>
        <w:tc>
          <w:tcPr>
            <w:tcW w:w="1843" w:type="dxa"/>
          </w:tcPr>
          <w:p w:rsidR="001603AF" w:rsidRPr="001603AF" w:rsidRDefault="001603AF" w:rsidP="00CA0496">
            <w:r w:rsidRPr="001603AF">
              <w:t>10 %</w:t>
            </w:r>
          </w:p>
        </w:tc>
        <w:tc>
          <w:tcPr>
            <w:tcW w:w="1949" w:type="dxa"/>
          </w:tcPr>
          <w:p w:rsidR="001603AF" w:rsidRPr="001603AF" w:rsidRDefault="001603AF" w:rsidP="00CA0496">
            <w:r w:rsidRPr="001603AF">
              <w:t>4 %</w:t>
            </w:r>
          </w:p>
        </w:tc>
      </w:tr>
      <w:tr w:rsidR="001603AF" w:rsidRPr="001603AF" w:rsidTr="00CA0496">
        <w:tc>
          <w:tcPr>
            <w:tcW w:w="4928" w:type="dxa"/>
          </w:tcPr>
          <w:p w:rsidR="001603AF" w:rsidRPr="001603AF" w:rsidRDefault="001603AF" w:rsidP="00CA0496">
            <w:r w:rsidRPr="001603AF">
              <w:t>Any seizure</w:t>
            </w:r>
          </w:p>
        </w:tc>
        <w:tc>
          <w:tcPr>
            <w:tcW w:w="1843" w:type="dxa"/>
          </w:tcPr>
          <w:p w:rsidR="001603AF" w:rsidRPr="001603AF" w:rsidRDefault="001603AF" w:rsidP="00CA0496">
            <w:r w:rsidRPr="001603AF">
              <w:t>24 %</w:t>
            </w:r>
          </w:p>
        </w:tc>
        <w:tc>
          <w:tcPr>
            <w:tcW w:w="1949" w:type="dxa"/>
          </w:tcPr>
          <w:p w:rsidR="001603AF" w:rsidRPr="001603AF" w:rsidRDefault="001603AF" w:rsidP="00CA0496">
            <w:r w:rsidRPr="001603AF">
              <w:t>18 %</w:t>
            </w:r>
          </w:p>
        </w:tc>
      </w:tr>
      <w:tr w:rsidR="001603AF" w:rsidRPr="001603AF" w:rsidTr="00CA0496">
        <w:tc>
          <w:tcPr>
            <w:tcW w:w="4928" w:type="dxa"/>
          </w:tcPr>
          <w:p w:rsidR="001603AF" w:rsidRPr="001603AF" w:rsidRDefault="001603AF" w:rsidP="00CA0496">
            <w:proofErr w:type="spellStart"/>
            <w:r w:rsidRPr="001603AF">
              <w:t>Neutropenia</w:t>
            </w:r>
            <w:proofErr w:type="spellEnd"/>
          </w:p>
        </w:tc>
        <w:tc>
          <w:tcPr>
            <w:tcW w:w="1843" w:type="dxa"/>
          </w:tcPr>
          <w:p w:rsidR="001603AF" w:rsidRPr="001603AF" w:rsidRDefault="001603AF" w:rsidP="00CA0496">
            <w:r w:rsidRPr="001603AF">
              <w:t>34 %</w:t>
            </w:r>
          </w:p>
        </w:tc>
        <w:tc>
          <w:tcPr>
            <w:tcW w:w="1949" w:type="dxa"/>
          </w:tcPr>
          <w:p w:rsidR="001603AF" w:rsidRPr="001603AF" w:rsidRDefault="001603AF" w:rsidP="00CA0496">
            <w:r w:rsidRPr="001603AF">
              <w:t>8 %</w:t>
            </w:r>
          </w:p>
        </w:tc>
      </w:tr>
    </w:tbl>
    <w:p w:rsidR="001603AF" w:rsidRPr="001603AF" w:rsidRDefault="001603AF" w:rsidP="00CA0496">
      <w:r w:rsidRPr="001603AF">
        <w:t xml:space="preserve">The remainder of the studies submitted with the application were open uncontrolled studies, and only limited safety data were reported in the published trials. The evaluator considered that the adverse event profile observed in these studies was in keeping with the known adverse events of </w:t>
      </w:r>
      <w:proofErr w:type="spellStart"/>
      <w:r w:rsidRPr="001603AF">
        <w:t>bevacizumab</w:t>
      </w:r>
      <w:proofErr w:type="spellEnd"/>
      <w:r w:rsidRPr="001603AF">
        <w:t>.</w:t>
      </w:r>
    </w:p>
    <w:p w:rsidR="001603AF" w:rsidRPr="001603AF" w:rsidRDefault="001603AF" w:rsidP="00CA0496">
      <w:pPr>
        <w:pStyle w:val="Heading3"/>
      </w:pPr>
      <w:bookmarkStart w:id="105" w:name="_Toc247691531"/>
      <w:bookmarkStart w:id="106" w:name="_Toc314842515"/>
      <w:bookmarkStart w:id="107" w:name="_Toc332373876"/>
      <w:bookmarkStart w:id="108" w:name="_Toc196046505"/>
      <w:bookmarkStart w:id="109" w:name="_Toc196046949"/>
      <w:bookmarkStart w:id="110" w:name="_Toc377733574"/>
      <w:r w:rsidRPr="001603AF">
        <w:t>Risk-benefit analysis</w:t>
      </w:r>
      <w:bookmarkEnd w:id="105"/>
      <w:bookmarkEnd w:id="106"/>
      <w:bookmarkEnd w:id="107"/>
      <w:bookmarkEnd w:id="110"/>
    </w:p>
    <w:p w:rsidR="001603AF" w:rsidRPr="001603AF" w:rsidRDefault="001603AF" w:rsidP="00CA0496">
      <w:pPr>
        <w:pStyle w:val="Heading4"/>
      </w:pPr>
      <w:r w:rsidRPr="001603AF">
        <w:t xml:space="preserve">Grade IV </w:t>
      </w:r>
      <w:proofErr w:type="spellStart"/>
      <w:r w:rsidRPr="001603AF">
        <w:t>glioma</w:t>
      </w:r>
      <w:proofErr w:type="spellEnd"/>
    </w:p>
    <w:p w:rsidR="001603AF" w:rsidRPr="001603AF" w:rsidRDefault="001603AF" w:rsidP="00CA0496">
      <w:pPr>
        <w:pStyle w:val="Heading5"/>
      </w:pPr>
      <w:r w:rsidRPr="001603AF">
        <w:t>Lack of randomised controlled trial data</w:t>
      </w:r>
    </w:p>
    <w:p w:rsidR="001603AF" w:rsidRPr="001603AF" w:rsidRDefault="001603AF" w:rsidP="00CA0496">
      <w:r w:rsidRPr="001603AF">
        <w:t xml:space="preserve">The application is based on two Phase II trials with efficacy assessed using comparisons to historical data. The EMEA guideline on anticancer agents which has been adopted by the TGA generally requires provision of Phase III data (comparing the drug to an established comparator) to obtain marketing approval. The previously approved submissions for </w:t>
      </w:r>
      <w:proofErr w:type="spellStart"/>
      <w:r w:rsidRPr="001603AF">
        <w:t>temozolomide</w:t>
      </w:r>
      <w:proofErr w:type="spellEnd"/>
      <w:r w:rsidRPr="001603AF">
        <w:t xml:space="preserve"> and </w:t>
      </w:r>
      <w:proofErr w:type="spellStart"/>
      <w:r w:rsidRPr="001603AF">
        <w:t>carmustine</w:t>
      </w:r>
      <w:proofErr w:type="spellEnd"/>
      <w:r w:rsidRPr="001603AF">
        <w:t xml:space="preserve"> implants for relapsed Grade IV disease were based on randomised controlled trials.</w:t>
      </w:r>
    </w:p>
    <w:p w:rsidR="001603AF" w:rsidRPr="001603AF" w:rsidRDefault="001603AF" w:rsidP="00CA0496">
      <w:r w:rsidRPr="001603AF">
        <w:t xml:space="preserve">However, ADEC and the TGA have previously approved oncology applications based on Phase II data in situations where a) the condition is rare, or b) the condition is a life-threatening one for which no other therapy is available, and the evidence for efficacy is convincing. </w:t>
      </w:r>
      <w:proofErr w:type="spellStart"/>
      <w:r w:rsidRPr="001603AF">
        <w:t>Bevacizumab</w:t>
      </w:r>
      <w:proofErr w:type="spellEnd"/>
      <w:r w:rsidRPr="001603AF">
        <w:t xml:space="preserve"> has been designated as an Orphan Drug for treatment of malignant </w:t>
      </w:r>
      <w:proofErr w:type="spellStart"/>
      <w:r w:rsidRPr="001603AF">
        <w:t>glioma</w:t>
      </w:r>
      <w:proofErr w:type="spellEnd"/>
      <w:r w:rsidRPr="001603AF">
        <w:t xml:space="preserve"> due to the rarity of the condition. </w:t>
      </w:r>
      <w:proofErr w:type="spellStart"/>
      <w:r w:rsidRPr="001603AF">
        <w:t>Temozolomide</w:t>
      </w:r>
      <w:proofErr w:type="spellEnd"/>
      <w:r w:rsidRPr="001603AF">
        <w:t xml:space="preserve"> is approved for relapsed GBM. However, the drug is now used as part of standard first-line therapy in combination with surgery and radiotherapy, and therefore would not be used for relapsed disease. A trial comparing </w:t>
      </w:r>
      <w:proofErr w:type="spellStart"/>
      <w:r w:rsidRPr="001603AF">
        <w:t>bevacizumab</w:t>
      </w:r>
      <w:proofErr w:type="spellEnd"/>
      <w:r w:rsidRPr="001603AF">
        <w:t xml:space="preserve"> </w:t>
      </w:r>
      <w:proofErr w:type="spellStart"/>
      <w:r w:rsidRPr="001603AF">
        <w:t>vs</w:t>
      </w:r>
      <w:proofErr w:type="spellEnd"/>
      <w:r w:rsidRPr="001603AF">
        <w:t xml:space="preserve"> </w:t>
      </w:r>
      <w:proofErr w:type="spellStart"/>
      <w:r w:rsidRPr="001603AF">
        <w:t>temozolomide</w:t>
      </w:r>
      <w:proofErr w:type="spellEnd"/>
      <w:r w:rsidRPr="001603AF">
        <w:t xml:space="preserve"> in the relapsed disease setting is therefore unlikely to have been feasible. It could be argued that a trial comparing </w:t>
      </w:r>
      <w:proofErr w:type="spellStart"/>
      <w:r w:rsidRPr="001603AF">
        <w:t>bevacizumab</w:t>
      </w:r>
      <w:proofErr w:type="spellEnd"/>
      <w:r w:rsidRPr="001603AF">
        <w:t xml:space="preserve"> to </w:t>
      </w:r>
      <w:proofErr w:type="spellStart"/>
      <w:r w:rsidRPr="001603AF">
        <w:t>carmustine</w:t>
      </w:r>
      <w:proofErr w:type="spellEnd"/>
      <w:r w:rsidRPr="001603AF">
        <w:t xml:space="preserve"> implants could have been conducted, however, many patients would not be considered suitable for repeat surgery.</w:t>
      </w:r>
    </w:p>
    <w:p w:rsidR="001603AF" w:rsidRPr="001603AF" w:rsidRDefault="001603AF" w:rsidP="00CA0496">
      <w:r w:rsidRPr="001603AF">
        <w:t>On balance, due to the rarity of the condition and the lack of established comparators, the Delegate considered it would be reasonable to base an approval on Phase II data.</w:t>
      </w:r>
    </w:p>
    <w:p w:rsidR="001603AF" w:rsidRPr="001603AF" w:rsidRDefault="001603AF" w:rsidP="00CA0496">
      <w:pPr>
        <w:pStyle w:val="Heading5"/>
      </w:pPr>
      <w:r w:rsidRPr="001603AF">
        <w:t xml:space="preserve">Combination with </w:t>
      </w:r>
      <w:proofErr w:type="spellStart"/>
      <w:r w:rsidRPr="001603AF">
        <w:t>irinotecan</w:t>
      </w:r>
      <w:proofErr w:type="spellEnd"/>
    </w:p>
    <w:p w:rsidR="001603AF" w:rsidRPr="001603AF" w:rsidRDefault="001603AF" w:rsidP="00CA0496">
      <w:r w:rsidRPr="001603AF">
        <w:t xml:space="preserve">The safety data from study AVF 3708g demonstrate that the combination is associated with significantly increased toxicity compared with </w:t>
      </w:r>
      <w:proofErr w:type="spellStart"/>
      <w:r w:rsidRPr="001603AF">
        <w:t>bevacizumab</w:t>
      </w:r>
      <w:proofErr w:type="spellEnd"/>
      <w:r w:rsidRPr="001603AF">
        <w:t xml:space="preserve"> </w:t>
      </w:r>
      <w:proofErr w:type="spellStart"/>
      <w:r w:rsidRPr="001603AF">
        <w:t>monotherapy</w:t>
      </w:r>
      <w:proofErr w:type="spellEnd"/>
      <w:r w:rsidRPr="001603AF">
        <w:t xml:space="preserve">. For approval of the combination, convincing evidence of a significant efficacy benefit for the combination over </w:t>
      </w:r>
      <w:proofErr w:type="spellStart"/>
      <w:r w:rsidRPr="001603AF">
        <w:t>monotherapy</w:t>
      </w:r>
      <w:proofErr w:type="spellEnd"/>
      <w:r w:rsidRPr="001603AF">
        <w:t xml:space="preserve"> would be required. No such evidence is available and the Delegate therefore agreed with the clinical evaluator that any approval should be restricted to </w:t>
      </w:r>
      <w:proofErr w:type="spellStart"/>
      <w:r w:rsidRPr="001603AF">
        <w:t>monotherapy</w:t>
      </w:r>
      <w:proofErr w:type="spellEnd"/>
      <w:r w:rsidRPr="001603AF">
        <w:t>.</w:t>
      </w:r>
    </w:p>
    <w:p w:rsidR="001603AF" w:rsidRPr="001603AF" w:rsidRDefault="001603AF" w:rsidP="00CA0496">
      <w:pPr>
        <w:pStyle w:val="Heading5"/>
      </w:pPr>
      <w:r w:rsidRPr="001603AF">
        <w:t>Overall risk-benefit</w:t>
      </w:r>
    </w:p>
    <w:p w:rsidR="001603AF" w:rsidRPr="001603AF" w:rsidRDefault="001603AF" w:rsidP="00CA0496">
      <w:r w:rsidRPr="001603AF">
        <w:t xml:space="preserve">The pivotal study suggested greater efficacy for </w:t>
      </w:r>
      <w:proofErr w:type="spellStart"/>
      <w:r w:rsidRPr="001603AF">
        <w:t>bevacizumab</w:t>
      </w:r>
      <w:proofErr w:type="spellEnd"/>
      <w:r w:rsidRPr="001603AF">
        <w:t xml:space="preserve"> compared to historical data with chemotherapy. The safety profile of </w:t>
      </w:r>
      <w:proofErr w:type="spellStart"/>
      <w:r w:rsidRPr="001603AF">
        <w:t>monotherapy</w:t>
      </w:r>
      <w:proofErr w:type="spellEnd"/>
      <w:r w:rsidRPr="001603AF">
        <w:t xml:space="preserve"> was consistent with that previously observed with the drug. The incidence of cerebral haemorrhage was low with </w:t>
      </w:r>
      <w:proofErr w:type="spellStart"/>
      <w:r w:rsidRPr="001603AF">
        <w:lastRenderedPageBreak/>
        <w:t>monotherapy</w:t>
      </w:r>
      <w:proofErr w:type="spellEnd"/>
      <w:r w:rsidRPr="001603AF">
        <w:t xml:space="preserve">. Given the poor prognosis for patients with relapsed Grade IV tumours and the lack of alternative treatments, the Delegate considered that the submitted evidence is sufficient to establish a favourable risk-benefit ratio.  It was therefore proposed to approve the application for </w:t>
      </w:r>
      <w:proofErr w:type="spellStart"/>
      <w:r w:rsidRPr="001603AF">
        <w:t>monotherapy</w:t>
      </w:r>
      <w:proofErr w:type="spellEnd"/>
      <w:r w:rsidRPr="001603AF">
        <w:t xml:space="preserve"> in patients with Grade IV disease.</w:t>
      </w:r>
    </w:p>
    <w:p w:rsidR="001603AF" w:rsidRPr="001603AF" w:rsidRDefault="001603AF" w:rsidP="00CA0496">
      <w:pPr>
        <w:pStyle w:val="Heading4"/>
      </w:pPr>
      <w:r w:rsidRPr="001603AF">
        <w:t xml:space="preserve">Approval for </w:t>
      </w:r>
      <w:r w:rsidR="00CA0496">
        <w:t>g</w:t>
      </w:r>
      <w:r w:rsidRPr="001603AF">
        <w:t xml:space="preserve">rade III </w:t>
      </w:r>
      <w:proofErr w:type="spellStart"/>
      <w:r w:rsidRPr="001603AF">
        <w:t>glioma</w:t>
      </w:r>
      <w:proofErr w:type="spellEnd"/>
    </w:p>
    <w:p w:rsidR="001603AF" w:rsidRPr="001603AF" w:rsidRDefault="001603AF" w:rsidP="00CA0496">
      <w:pPr>
        <w:pStyle w:val="Heading5"/>
      </w:pPr>
      <w:r w:rsidRPr="001603AF">
        <w:t>Lack of randomised controlled trial data</w:t>
      </w:r>
    </w:p>
    <w:p w:rsidR="001603AF" w:rsidRPr="001603AF" w:rsidRDefault="001603AF" w:rsidP="00CA0496">
      <w:proofErr w:type="spellStart"/>
      <w:r w:rsidRPr="001603AF">
        <w:t>Temozolomide</w:t>
      </w:r>
      <w:proofErr w:type="spellEnd"/>
      <w:r w:rsidRPr="001603AF">
        <w:t xml:space="preserve"> is not approved as part of first-line therapy for Grade III disease. It is registered for relapsed Grade III disease (</w:t>
      </w:r>
      <w:proofErr w:type="spellStart"/>
      <w:r w:rsidRPr="001603AF">
        <w:t>anaplastic</w:t>
      </w:r>
      <w:proofErr w:type="spellEnd"/>
      <w:r w:rsidRPr="001603AF">
        <w:t xml:space="preserve"> </w:t>
      </w:r>
      <w:proofErr w:type="spellStart"/>
      <w:r w:rsidRPr="001603AF">
        <w:t>astrocytoma</w:t>
      </w:r>
      <w:proofErr w:type="spellEnd"/>
      <w:r w:rsidRPr="001603AF">
        <w:t xml:space="preserve">). A randomised controlled trial comparing </w:t>
      </w:r>
      <w:proofErr w:type="spellStart"/>
      <w:r w:rsidRPr="001603AF">
        <w:t>bevacizumab</w:t>
      </w:r>
      <w:proofErr w:type="spellEnd"/>
      <w:r w:rsidRPr="001603AF">
        <w:t xml:space="preserve"> with </w:t>
      </w:r>
      <w:proofErr w:type="spellStart"/>
      <w:r w:rsidRPr="001603AF">
        <w:t>temozolomide</w:t>
      </w:r>
      <w:proofErr w:type="spellEnd"/>
      <w:r w:rsidRPr="001603AF">
        <w:t xml:space="preserve"> in relapsed disease may therefore have been appropriate. However Grade III disease is even more rare than Grade IV disease and it may not therefore be reasonable to expect Phase III data for this subgroup. </w:t>
      </w:r>
      <w:proofErr w:type="spellStart"/>
      <w:r w:rsidRPr="001603AF">
        <w:t>Temozolomide</w:t>
      </w:r>
      <w:proofErr w:type="spellEnd"/>
      <w:r w:rsidRPr="001603AF">
        <w:t xml:space="preserve"> was approved for relapsed Grade III disease on the basis of an open uncontrolled trial.</w:t>
      </w:r>
    </w:p>
    <w:p w:rsidR="001603AF" w:rsidRPr="001603AF" w:rsidRDefault="001603AF" w:rsidP="00CA0496">
      <w:pPr>
        <w:pStyle w:val="Heading5"/>
      </w:pPr>
      <w:r w:rsidRPr="001603AF">
        <w:t xml:space="preserve">Combination with </w:t>
      </w:r>
      <w:proofErr w:type="spellStart"/>
      <w:r w:rsidRPr="001603AF">
        <w:t>irinotecan</w:t>
      </w:r>
      <w:proofErr w:type="spellEnd"/>
    </w:p>
    <w:p w:rsidR="001603AF" w:rsidRPr="001603AF" w:rsidRDefault="001603AF" w:rsidP="00CA0496">
      <w:r w:rsidRPr="001603AF">
        <w:t xml:space="preserve">For the same reasons given in above, the Delegate agreed with the clinical evaluator that any approval for Grade III disease should be restricted to </w:t>
      </w:r>
      <w:proofErr w:type="spellStart"/>
      <w:r w:rsidRPr="001603AF">
        <w:t>monotherapy</w:t>
      </w:r>
      <w:proofErr w:type="spellEnd"/>
      <w:r w:rsidRPr="001603AF">
        <w:t>.</w:t>
      </w:r>
    </w:p>
    <w:p w:rsidR="001603AF" w:rsidRPr="001603AF" w:rsidRDefault="001603AF" w:rsidP="00CA0496">
      <w:pPr>
        <w:pStyle w:val="Heading5"/>
      </w:pPr>
      <w:r w:rsidRPr="001603AF">
        <w:t>Overall risk-benefit</w:t>
      </w:r>
    </w:p>
    <w:p w:rsidR="001603AF" w:rsidRPr="001603AF" w:rsidRDefault="001603AF" w:rsidP="00CA0496">
      <w:r w:rsidRPr="001603AF">
        <w:t xml:space="preserve">If approval for Grade III disease was to be restricted to </w:t>
      </w:r>
      <w:proofErr w:type="spellStart"/>
      <w:r w:rsidRPr="001603AF">
        <w:t>monotherapy</w:t>
      </w:r>
      <w:proofErr w:type="spellEnd"/>
      <w:r w:rsidRPr="001603AF">
        <w:t>, the only evidence on which to base a risk-benefit assessment would be the study of Chamberlain et al.</w:t>
      </w:r>
      <w:r w:rsidRPr="001603AF">
        <w:rPr>
          <w:vertAlign w:val="superscript"/>
        </w:rPr>
        <w:footnoteReference w:id="5"/>
      </w:r>
      <w:r w:rsidRPr="001603AF">
        <w:t xml:space="preserve"> This was a retrospective analysis on only 25 patients. This would be an inadequate dataset on which to base an approval. The Delegate therefore proposed to reject that part of the application relating to Grade III </w:t>
      </w:r>
      <w:proofErr w:type="spellStart"/>
      <w:r w:rsidRPr="001603AF">
        <w:t>glioma</w:t>
      </w:r>
      <w:proofErr w:type="spellEnd"/>
      <w:r w:rsidRPr="001603AF">
        <w:t>.</w:t>
      </w:r>
    </w:p>
    <w:p w:rsidR="001603AF" w:rsidRPr="001603AF" w:rsidRDefault="001603AF" w:rsidP="00CA0496">
      <w:r w:rsidRPr="001603AF">
        <w:t xml:space="preserve">The Delegate proposed to approve the application, but restrict the approval to </w:t>
      </w:r>
      <w:proofErr w:type="spellStart"/>
      <w:r w:rsidRPr="001603AF">
        <w:t>monotherapy</w:t>
      </w:r>
      <w:proofErr w:type="spellEnd"/>
      <w:r w:rsidRPr="001603AF">
        <w:t xml:space="preserve"> for Grade IV </w:t>
      </w:r>
      <w:proofErr w:type="spellStart"/>
      <w:r w:rsidRPr="001603AF">
        <w:t>glioma</w:t>
      </w:r>
      <w:proofErr w:type="spellEnd"/>
      <w:r w:rsidRPr="001603AF">
        <w:t>.</w:t>
      </w:r>
    </w:p>
    <w:p w:rsidR="001603AF" w:rsidRPr="001603AF" w:rsidRDefault="001603AF" w:rsidP="00CA0496">
      <w:r w:rsidRPr="001603AF">
        <w:t>The Australian Drug Evaluation Committee (ADEC), having considered the evaluations, the Delegate’s overview and the sponsor’s responses to these documents, agreed with the Delegate’s proposal.</w:t>
      </w:r>
    </w:p>
    <w:p w:rsidR="001603AF" w:rsidRPr="001603AF" w:rsidRDefault="001603AF" w:rsidP="00CA0496">
      <w:r w:rsidRPr="001603AF">
        <w:t>ADEC recommended approval of the submission to include the recommended revised indication:</w:t>
      </w:r>
    </w:p>
    <w:p w:rsidR="001603AF" w:rsidRPr="00CA0496" w:rsidRDefault="001603AF" w:rsidP="00CA0496">
      <w:pPr>
        <w:ind w:left="720"/>
        <w:rPr>
          <w:i/>
        </w:rPr>
      </w:pPr>
      <w:proofErr w:type="spellStart"/>
      <w:r w:rsidRPr="00CA0496">
        <w:rPr>
          <w:i/>
        </w:rPr>
        <w:t>Avastin</w:t>
      </w:r>
      <w:proofErr w:type="spellEnd"/>
      <w:r w:rsidRPr="00CA0496">
        <w:rPr>
          <w:i/>
        </w:rPr>
        <w:t>(</w:t>
      </w:r>
      <w:proofErr w:type="spellStart"/>
      <w:r w:rsidRPr="00CA0496">
        <w:rPr>
          <w:i/>
        </w:rPr>
        <w:t>bevacizumab</w:t>
      </w:r>
      <w:proofErr w:type="spellEnd"/>
      <w:r w:rsidRPr="00CA0496">
        <w:rPr>
          <w:i/>
        </w:rPr>
        <w:t xml:space="preserve">) as a single agent, is indicated for the treatment of patients with Grade IV </w:t>
      </w:r>
      <w:proofErr w:type="spellStart"/>
      <w:r w:rsidRPr="00CA0496">
        <w:rPr>
          <w:i/>
        </w:rPr>
        <w:t>glioma</w:t>
      </w:r>
      <w:proofErr w:type="spellEnd"/>
      <w:r w:rsidRPr="00CA0496">
        <w:rPr>
          <w:i/>
        </w:rPr>
        <w:t xml:space="preserve"> with relapse or disease progression after standard therapy including chemotherapy</w:t>
      </w:r>
    </w:p>
    <w:p w:rsidR="001603AF" w:rsidRPr="001603AF" w:rsidRDefault="001603AF" w:rsidP="00CA0496">
      <w:r w:rsidRPr="001603AF">
        <w:t xml:space="preserve">In making this resolution, the Committee noted that </w:t>
      </w:r>
      <w:proofErr w:type="spellStart"/>
      <w:r w:rsidRPr="001603AF">
        <w:t>bevacizumab</w:t>
      </w:r>
      <w:proofErr w:type="spellEnd"/>
      <w:r w:rsidRPr="001603AF">
        <w:t xml:space="preserve"> has been designated an Orphan Drug for the indication of malignant </w:t>
      </w:r>
      <w:proofErr w:type="spellStart"/>
      <w:r w:rsidRPr="001603AF">
        <w:t>glioma</w:t>
      </w:r>
      <w:proofErr w:type="spellEnd"/>
      <w:r w:rsidRPr="001603AF">
        <w:t xml:space="preserve">. Although the application was based on two phase II trials with efficacy assessed using comparisons to historical data, the ADEC concurred with the Delegate that due to rarity of the condition and the lack of established comparators, it was reasonable to base approval on phase II data. Additionally, the pivotal study suggested greater efficacy for </w:t>
      </w:r>
      <w:proofErr w:type="spellStart"/>
      <w:r w:rsidRPr="001603AF">
        <w:t>bevacizumab</w:t>
      </w:r>
      <w:proofErr w:type="spellEnd"/>
      <w:r w:rsidRPr="001603AF">
        <w:t xml:space="preserve"> compared to historical data with chemotherapy and presented a favourable risk benefit ratio. The Committee noted the safety data from study AVF3708g which demonstrated that the combination with </w:t>
      </w:r>
      <w:proofErr w:type="spellStart"/>
      <w:r w:rsidRPr="001603AF">
        <w:t>irinotecan</w:t>
      </w:r>
      <w:proofErr w:type="spellEnd"/>
      <w:r w:rsidRPr="001603AF">
        <w:t xml:space="preserve"> was associated with significant toxicity compared with </w:t>
      </w:r>
      <w:proofErr w:type="spellStart"/>
      <w:r w:rsidRPr="001603AF">
        <w:t>bevacizumab</w:t>
      </w:r>
      <w:proofErr w:type="spellEnd"/>
      <w:r w:rsidRPr="001603AF">
        <w:t xml:space="preserve"> </w:t>
      </w:r>
      <w:proofErr w:type="spellStart"/>
      <w:r w:rsidRPr="001603AF">
        <w:t>monotherapy</w:t>
      </w:r>
      <w:proofErr w:type="spellEnd"/>
      <w:r w:rsidRPr="001603AF">
        <w:t xml:space="preserve">, and therefore agreed with the clinical evaluator and the Delegate that approval be restricted to </w:t>
      </w:r>
      <w:proofErr w:type="spellStart"/>
      <w:r w:rsidRPr="001603AF">
        <w:t>monotherapy</w:t>
      </w:r>
      <w:proofErr w:type="spellEnd"/>
      <w:r w:rsidRPr="001603AF">
        <w:t>.</w:t>
      </w:r>
    </w:p>
    <w:p w:rsidR="001603AF" w:rsidRPr="001603AF" w:rsidRDefault="001603AF" w:rsidP="00CA0496">
      <w:pPr>
        <w:pStyle w:val="Heading3"/>
      </w:pPr>
      <w:bookmarkStart w:id="111" w:name="_Toc247691532"/>
      <w:bookmarkStart w:id="112" w:name="_Toc314842516"/>
      <w:bookmarkStart w:id="113" w:name="_Toc332373877"/>
      <w:bookmarkStart w:id="114" w:name="_Toc377733575"/>
      <w:bookmarkEnd w:id="85"/>
      <w:bookmarkEnd w:id="108"/>
      <w:bookmarkEnd w:id="109"/>
      <w:r w:rsidRPr="001603AF">
        <w:lastRenderedPageBreak/>
        <w:t>Outcome</w:t>
      </w:r>
      <w:bookmarkEnd w:id="111"/>
      <w:bookmarkEnd w:id="112"/>
      <w:bookmarkEnd w:id="113"/>
      <w:bookmarkEnd w:id="114"/>
    </w:p>
    <w:p w:rsidR="001603AF" w:rsidRPr="001603AF" w:rsidRDefault="001603AF" w:rsidP="00CA0496">
      <w:r w:rsidRPr="001603AF">
        <w:t xml:space="preserve">Based on review of quality, safety and efficacy data, TGA approved the registration of </w:t>
      </w:r>
      <w:proofErr w:type="spellStart"/>
      <w:r w:rsidRPr="001603AF">
        <w:t>Avastin</w:t>
      </w:r>
      <w:proofErr w:type="spellEnd"/>
      <w:r w:rsidRPr="001603AF">
        <w:t xml:space="preserve"> containing </w:t>
      </w:r>
      <w:proofErr w:type="spellStart"/>
      <w:r w:rsidRPr="001603AF">
        <w:t>bevacizumab</w:t>
      </w:r>
      <w:proofErr w:type="spellEnd"/>
      <w:r w:rsidRPr="001603AF">
        <w:t xml:space="preserve"> 100mg/4mL and 400</w:t>
      </w:r>
      <w:r w:rsidR="00CA0496">
        <w:t>mg/16mL for the new indication:</w:t>
      </w:r>
    </w:p>
    <w:p w:rsidR="001603AF" w:rsidRPr="00CA0496" w:rsidRDefault="001603AF" w:rsidP="00CA0496">
      <w:pPr>
        <w:rPr>
          <w:i/>
        </w:rPr>
      </w:pPr>
      <w:r w:rsidRPr="00CA0496">
        <w:rPr>
          <w:i/>
        </w:rPr>
        <w:t xml:space="preserve">as a single agent, for the treatment of patients with Grade IV </w:t>
      </w:r>
      <w:proofErr w:type="spellStart"/>
      <w:r w:rsidRPr="00CA0496">
        <w:rPr>
          <w:i/>
        </w:rPr>
        <w:t>glioma</w:t>
      </w:r>
      <w:proofErr w:type="spellEnd"/>
      <w:r w:rsidRPr="00CA0496">
        <w:rPr>
          <w:i/>
        </w:rPr>
        <w:t xml:space="preserve"> after relapse or disease progression after standard therapy, including chemotherapy</w:t>
      </w:r>
    </w:p>
    <w:p w:rsidR="001603AF" w:rsidRPr="001603AF" w:rsidRDefault="001603AF" w:rsidP="00CA0496">
      <w:pPr>
        <w:pStyle w:val="Heading2"/>
      </w:pPr>
      <w:bookmarkStart w:id="115" w:name="_Toc247691533"/>
      <w:bookmarkStart w:id="116" w:name="_Toc314842517"/>
      <w:bookmarkStart w:id="117" w:name="_Toc332373878"/>
      <w:bookmarkStart w:id="118" w:name="_Toc377733576"/>
      <w:r w:rsidRPr="001603AF">
        <w:t>Attachment 1.</w:t>
      </w:r>
      <w:r w:rsidRPr="001603AF">
        <w:tab/>
        <w:t>Product Information</w:t>
      </w:r>
      <w:bookmarkEnd w:id="115"/>
      <w:bookmarkEnd w:id="116"/>
      <w:bookmarkEnd w:id="117"/>
      <w:bookmarkEnd w:id="118"/>
    </w:p>
    <w:p w:rsidR="00291957" w:rsidRDefault="001603AF" w:rsidP="00291957">
      <w:pPr>
        <w:rPr>
          <w:lang w:eastAsia="ja-JP"/>
        </w:rPr>
      </w:pPr>
      <w:r w:rsidRPr="001603AF">
        <w:t xml:space="preserve">The following Product Information was approved at the time this </w:t>
      </w:r>
      <w:proofErr w:type="spellStart"/>
      <w:r w:rsidRPr="001603AF">
        <w:t>AusPAR</w:t>
      </w:r>
      <w:proofErr w:type="spellEnd"/>
      <w:r w:rsidRPr="001603AF">
        <w:t xml:space="preserve"> was published. For the current Product Information please refer to the TGA website at</w:t>
      </w:r>
      <w:r w:rsidRPr="001603AF">
        <w:rPr>
          <w:color w:val="000000"/>
          <w:lang w:eastAsia="en-AU"/>
        </w:rPr>
        <w:t xml:space="preserve"> &lt;</w:t>
      </w:r>
      <w:hyperlink r:id="rId13" w:history="1">
        <w:r w:rsidRPr="001603AF">
          <w:rPr>
            <w:color w:val="0000FF"/>
            <w:u w:val="single"/>
            <w:lang w:eastAsia="en-AU"/>
          </w:rPr>
          <w:t>http://www.tga.gov.au/hp/information-medicines-pi.htm</w:t>
        </w:r>
      </w:hyperlink>
      <w:r w:rsidRPr="001603AF">
        <w:rPr>
          <w:color w:val="000000"/>
          <w:lang w:eastAsia="en-AU"/>
        </w:rPr>
        <w:t>&gt;</w:t>
      </w:r>
      <w:hyperlink w:history="1"/>
      <w:r w:rsidRPr="001603AF">
        <w:rPr>
          <w:color w:val="000000"/>
          <w:lang w:eastAsia="en-AU"/>
        </w:rPr>
        <w:t>.</w:t>
      </w:r>
    </w:p>
    <w:p w:rsidR="00C80137" w:rsidRPr="001D043B" w:rsidRDefault="00C80137" w:rsidP="003A7F6C">
      <w:pPr>
        <w:pStyle w:val="TableTitle"/>
        <w:sectPr w:rsidR="00C80137" w:rsidRPr="001D043B" w:rsidSect="00B452CE">
          <w:headerReference w:type="even" r:id="rId14"/>
          <w:headerReference w:type="default" r:id="rId15"/>
          <w:footerReference w:type="default" r:id="rId16"/>
          <w:headerReference w:type="first" r:id="rId17"/>
          <w:footerReference w:type="first" r:id="rId18"/>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19"/>
      <w:headerReference w:type="default" r:id="rId20"/>
      <w:footerReference w:type="default" r:id="rId21"/>
      <w:headerReference w:type="first" r:id="rId22"/>
      <w:footerReference w:type="first" r:id="rId23"/>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352" w:rsidRDefault="005D0352" w:rsidP="00C40A36">
      <w:pPr>
        <w:spacing w:after="0"/>
      </w:pPr>
      <w:r>
        <w:separator/>
      </w:r>
    </w:p>
  </w:endnote>
  <w:endnote w:type="continuationSeparator" w:id="0">
    <w:p w:rsidR="005D0352" w:rsidRDefault="005D0352"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5D0352" w:rsidRPr="00487162" w:rsidTr="0053625B">
      <w:trPr>
        <w:trHeight w:val="269"/>
      </w:trPr>
      <w:tc>
        <w:tcPr>
          <w:tcW w:w="7938" w:type="dxa"/>
          <w:tcMar>
            <w:top w:w="142" w:type="dxa"/>
            <w:bottom w:w="0" w:type="dxa"/>
          </w:tcMar>
        </w:tcPr>
        <w:p w:rsidR="005D0352" w:rsidRPr="00487162" w:rsidRDefault="005D0352" w:rsidP="00AD3D23">
          <w:pPr>
            <w:pStyle w:val="Footer"/>
          </w:pPr>
          <w:proofErr w:type="spellStart"/>
          <w:r>
            <w:t>AusPAR</w:t>
          </w:r>
          <w:proofErr w:type="spellEnd"/>
          <w:r>
            <w:t xml:space="preserve"> </w:t>
          </w:r>
          <w:proofErr w:type="spellStart"/>
          <w:r>
            <w:t>Avastin</w:t>
          </w:r>
          <w:proofErr w:type="spellEnd"/>
          <w:r>
            <w:t xml:space="preserve"> </w:t>
          </w:r>
          <w:proofErr w:type="spellStart"/>
          <w:r>
            <w:t>Bevacizumab</w:t>
          </w:r>
          <w:proofErr w:type="spellEnd"/>
          <w:r>
            <w:t xml:space="preserve"> Roche Products Pty Ltd PM-2009-00399-4-3</w:t>
          </w:r>
          <w:r>
            <w:br/>
            <w:t>Final 26 March 2010</w:t>
          </w:r>
        </w:p>
      </w:tc>
      <w:tc>
        <w:tcPr>
          <w:tcW w:w="923" w:type="dxa"/>
          <w:tcMar>
            <w:top w:w="142" w:type="dxa"/>
            <w:bottom w:w="0" w:type="dxa"/>
          </w:tcMar>
        </w:tcPr>
        <w:p w:rsidR="005D0352" w:rsidRPr="00487162" w:rsidRDefault="005D0352" w:rsidP="00D855D4">
          <w:pPr>
            <w:pStyle w:val="Footer"/>
            <w:jc w:val="right"/>
          </w:pPr>
          <w:r w:rsidRPr="00487162">
            <w:t xml:space="preserve">Page </w:t>
          </w:r>
          <w:r>
            <w:t>2</w:t>
          </w:r>
          <w:r w:rsidRPr="00487162">
            <w:t xml:space="preserve"> of </w:t>
          </w:r>
          <w:fldSimple w:instr=" NUMPAGES  \* Arabic ">
            <w:r w:rsidR="00AF02D3">
              <w:rPr>
                <w:noProof/>
              </w:rPr>
              <w:t>40</w:t>
            </w:r>
          </w:fldSimple>
        </w:p>
      </w:tc>
    </w:tr>
  </w:tbl>
  <w:p w:rsidR="005D0352" w:rsidRDefault="005D0352"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47" w:type="dxa"/>
      <w:tblBorders>
        <w:top w:val="single" w:sz="4" w:space="0" w:color="auto"/>
      </w:tblBorders>
      <w:tblLayout w:type="fixed"/>
      <w:tblCellMar>
        <w:top w:w="170" w:type="dxa"/>
        <w:left w:w="0" w:type="dxa"/>
        <w:bottom w:w="170" w:type="dxa"/>
        <w:right w:w="0" w:type="dxa"/>
      </w:tblCellMar>
      <w:tblLook w:val="04A0"/>
    </w:tblPr>
    <w:tblGrid>
      <w:gridCol w:w="7088"/>
      <w:gridCol w:w="1759"/>
    </w:tblGrid>
    <w:tr w:rsidR="005D0352" w:rsidRPr="00487162" w:rsidTr="00AD3D23">
      <w:trPr>
        <w:trHeight w:val="269"/>
      </w:trPr>
      <w:tc>
        <w:tcPr>
          <w:tcW w:w="7088" w:type="dxa"/>
          <w:tcMar>
            <w:top w:w="142" w:type="dxa"/>
            <w:bottom w:w="0" w:type="dxa"/>
          </w:tcMar>
        </w:tcPr>
        <w:p w:rsidR="005D0352" w:rsidRPr="00487162" w:rsidRDefault="005D0352" w:rsidP="00AD3D23">
          <w:pPr>
            <w:pStyle w:val="Footer"/>
          </w:pPr>
          <w:proofErr w:type="spellStart"/>
          <w:r>
            <w:t>AusPAR</w:t>
          </w:r>
          <w:proofErr w:type="spellEnd"/>
          <w:r>
            <w:t xml:space="preserve"> </w:t>
          </w:r>
          <w:proofErr w:type="spellStart"/>
          <w:r>
            <w:t>Avastin</w:t>
          </w:r>
          <w:proofErr w:type="spellEnd"/>
          <w:r>
            <w:t xml:space="preserve"> </w:t>
          </w:r>
          <w:proofErr w:type="spellStart"/>
          <w:r>
            <w:t>Bevacizumab</w:t>
          </w:r>
          <w:proofErr w:type="spellEnd"/>
          <w:r>
            <w:t xml:space="preserve"> Roche Products Pty Ltd PM-2009-00399-4-3</w:t>
          </w:r>
          <w:r>
            <w:br/>
            <w:t>Final 26 March 2010</w:t>
          </w:r>
        </w:p>
      </w:tc>
      <w:tc>
        <w:tcPr>
          <w:tcW w:w="1759" w:type="dxa"/>
          <w:tcMar>
            <w:top w:w="142" w:type="dxa"/>
            <w:bottom w:w="0" w:type="dxa"/>
          </w:tcMar>
        </w:tcPr>
        <w:p w:rsidR="005D0352" w:rsidRPr="00487162" w:rsidRDefault="005D0352" w:rsidP="00E45619">
          <w:pPr>
            <w:pStyle w:val="Footer"/>
            <w:jc w:val="right"/>
          </w:pPr>
          <w:r w:rsidRPr="00487162">
            <w:t xml:space="preserve">Page </w:t>
          </w:r>
          <w:fldSimple w:instr="PAGE">
            <w:r w:rsidR="00AF02D3">
              <w:rPr>
                <w:noProof/>
              </w:rPr>
              <w:t>3</w:t>
            </w:r>
          </w:fldSimple>
          <w:r w:rsidRPr="00487162">
            <w:t xml:space="preserve"> of </w:t>
          </w:r>
          <w:fldSimple w:instr=" NUMPAGES  \* Arabic ">
            <w:r w:rsidR="00AF02D3">
              <w:rPr>
                <w:noProof/>
              </w:rPr>
              <w:t>40</w:t>
            </w:r>
          </w:fldSimple>
        </w:p>
      </w:tc>
    </w:tr>
  </w:tbl>
  <w:p w:rsidR="005D0352" w:rsidRDefault="005D0352"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5D0352" w:rsidRPr="00487162" w:rsidTr="00E45619">
      <w:trPr>
        <w:trHeight w:val="269"/>
      </w:trPr>
      <w:tc>
        <w:tcPr>
          <w:tcW w:w="4519" w:type="dxa"/>
          <w:tcBorders>
            <w:top w:val="single" w:sz="4" w:space="0" w:color="auto"/>
          </w:tcBorders>
          <w:tcMar>
            <w:top w:w="142" w:type="dxa"/>
            <w:bottom w:w="0" w:type="dxa"/>
          </w:tcMar>
        </w:tcPr>
        <w:p w:rsidR="005D0352" w:rsidRPr="00487162" w:rsidRDefault="005D0352" w:rsidP="00FE1DEE">
          <w:pPr>
            <w:pStyle w:val="Footer"/>
          </w:pPr>
          <w:r w:rsidRPr="00487162">
            <w:t>Document title, Part #, Section # - Section title</w:t>
          </w:r>
        </w:p>
        <w:p w:rsidR="005D0352" w:rsidRPr="00487162" w:rsidRDefault="005D0352" w:rsidP="00FE1DEE">
          <w:pPr>
            <w:pStyle w:val="Footer"/>
          </w:pPr>
          <w:r w:rsidRPr="00487162">
            <w:t>V1.0 October 2010</w:t>
          </w:r>
        </w:p>
      </w:tc>
      <w:tc>
        <w:tcPr>
          <w:tcW w:w="4342" w:type="dxa"/>
          <w:tcBorders>
            <w:top w:val="single" w:sz="4" w:space="0" w:color="auto"/>
          </w:tcBorders>
          <w:tcMar>
            <w:top w:w="142" w:type="dxa"/>
            <w:bottom w:w="0" w:type="dxa"/>
          </w:tcMar>
        </w:tcPr>
        <w:p w:rsidR="005D0352" w:rsidRPr="00487162" w:rsidRDefault="005D0352"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6</w:t>
            </w:r>
          </w:fldSimple>
        </w:p>
      </w:tc>
    </w:tr>
  </w:tbl>
  <w:p w:rsidR="005D0352" w:rsidRDefault="005D03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5D0352" w:rsidRPr="00487162" w:rsidTr="00E45619">
              <w:trPr>
                <w:trHeight w:hRule="exact" w:val="704"/>
              </w:trPr>
              <w:tc>
                <w:tcPr>
                  <w:tcW w:w="9175" w:type="dxa"/>
                </w:tcPr>
                <w:p w:rsidR="005D0352" w:rsidRPr="00487162" w:rsidRDefault="005D0352" w:rsidP="008E7846">
                  <w:pPr>
                    <w:pStyle w:val="TGASignoff"/>
                  </w:pPr>
                  <w:r w:rsidRPr="00487162">
                    <w:t>Therapeutic Goods Administration</w:t>
                  </w:r>
                </w:p>
              </w:tc>
            </w:tr>
            <w:tr w:rsidR="005D0352" w:rsidRPr="00487162" w:rsidTr="00E45619">
              <w:trPr>
                <w:trHeight w:val="1221"/>
              </w:trPr>
              <w:tc>
                <w:tcPr>
                  <w:tcW w:w="9175" w:type="dxa"/>
                  <w:tcMar>
                    <w:top w:w="28" w:type="dxa"/>
                  </w:tcMar>
                </w:tcPr>
                <w:p w:rsidR="005D0352" w:rsidRPr="00487162" w:rsidRDefault="005D0352" w:rsidP="00E45619">
                  <w:pPr>
                    <w:pStyle w:val="Address"/>
                  </w:pPr>
                  <w:r w:rsidRPr="00487162">
                    <w:t>PO Box 100 Woden ACT 2606 Australia</w:t>
                  </w:r>
                </w:p>
                <w:p w:rsidR="005D0352" w:rsidRPr="00487162" w:rsidRDefault="005D0352"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5D0352" w:rsidRPr="004C239D" w:rsidRDefault="00544C68" w:rsidP="004C239D">
                  <w:pPr>
                    <w:pStyle w:val="Address"/>
                    <w:spacing w:line="260" w:lineRule="atLeast"/>
                    <w:rPr>
                      <w:b/>
                      <w:color w:val="0000FF"/>
                      <w:u w:val="single"/>
                    </w:rPr>
                  </w:pPr>
                  <w:hyperlink r:id="rId2" w:history="1">
                    <w:r w:rsidR="005D0352" w:rsidRPr="00607888">
                      <w:rPr>
                        <w:rStyle w:val="Hyperlink"/>
                        <w:b/>
                      </w:rPr>
                      <w:t>http://www.tga.gov.au</w:t>
                    </w:r>
                  </w:hyperlink>
                </w:p>
              </w:tc>
            </w:tr>
          </w:tbl>
          <w:p w:rsidR="005D0352" w:rsidRDefault="00544C68"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5D0352" w:rsidTr="0010601F">
      <w:trPr>
        <w:trHeight w:val="108"/>
      </w:trPr>
      <w:tc>
        <w:tcPr>
          <w:tcW w:w="8875" w:type="dxa"/>
          <w:gridSpan w:val="2"/>
          <w:tcBorders>
            <w:bottom w:val="single" w:sz="4" w:space="0" w:color="auto"/>
          </w:tcBorders>
          <w:tcMar>
            <w:right w:w="284" w:type="dxa"/>
          </w:tcMar>
        </w:tcPr>
        <w:p w:rsidR="005D0352" w:rsidRDefault="005D0352" w:rsidP="006E08B3">
          <w:pPr>
            <w:pStyle w:val="Heading3"/>
          </w:pPr>
          <w:r>
            <w:t>Copyright</w:t>
          </w:r>
        </w:p>
        <w:p w:rsidR="005D0352" w:rsidRDefault="005D0352" w:rsidP="006E08B3">
          <w:r>
            <w:rPr>
              <w:rFonts w:cs="Arial"/>
            </w:rPr>
            <w:t>©</w:t>
          </w:r>
          <w:r>
            <w:t xml:space="preserve"> Commonwealth of Australia [add year]</w:t>
          </w:r>
        </w:p>
        <w:p w:rsidR="005D0352" w:rsidRDefault="005D0352" w:rsidP="006E08B3"/>
        <w:p w:rsidR="005D0352" w:rsidRDefault="005D035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D0352" w:rsidRDefault="005D0352" w:rsidP="006E08B3"/>
        <w:p w:rsidR="005D0352" w:rsidRDefault="005D0352" w:rsidP="006E08B3">
          <w:pPr>
            <w:pStyle w:val="Heading3"/>
          </w:pPr>
          <w:r>
            <w:t>Confidentiality</w:t>
          </w:r>
        </w:p>
        <w:p w:rsidR="005D0352" w:rsidRDefault="005D035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D0352" w:rsidRDefault="005D0352" w:rsidP="006E08B3"/>
        <w:p w:rsidR="005D0352" w:rsidRDefault="005D0352" w:rsidP="006E08B3">
          <w:r>
            <w:t>For submission made by individuals, all personal details, other than your name, will be removed from your submission before it is published on the TGA’s Internet site.</w:t>
          </w:r>
        </w:p>
        <w:p w:rsidR="005D0352" w:rsidRDefault="005D0352" w:rsidP="006E08B3"/>
        <w:p w:rsidR="005D0352" w:rsidRDefault="005D035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D0352" w:rsidTr="0010601F">
      <w:trPr>
        <w:trHeight w:val="417"/>
      </w:trPr>
      <w:tc>
        <w:tcPr>
          <w:tcW w:w="4519" w:type="dxa"/>
          <w:tcBorders>
            <w:top w:val="single" w:sz="4" w:space="0" w:color="auto"/>
          </w:tcBorders>
          <w:tcMar>
            <w:top w:w="142" w:type="dxa"/>
            <w:bottom w:w="0" w:type="dxa"/>
          </w:tcMar>
        </w:tcPr>
        <w:p w:rsidR="005D0352" w:rsidRDefault="005D0352" w:rsidP="006E08B3">
          <w:r>
            <w:t>Document title, Part #, Section # - Section title</w:t>
          </w:r>
        </w:p>
        <w:p w:rsidR="005D0352" w:rsidRDefault="005D0352" w:rsidP="006E08B3">
          <w:r>
            <w:t>V1.0 October 2010</w:t>
          </w:r>
        </w:p>
      </w:tc>
      <w:tc>
        <w:tcPr>
          <w:tcW w:w="4356" w:type="dxa"/>
          <w:tcBorders>
            <w:top w:val="single" w:sz="4" w:space="0" w:color="auto"/>
          </w:tcBorders>
          <w:tcMar>
            <w:top w:w="142" w:type="dxa"/>
            <w:bottom w:w="0" w:type="dxa"/>
          </w:tcMar>
        </w:tcPr>
        <w:p w:rsidR="005D0352" w:rsidRDefault="005D0352" w:rsidP="006E08B3">
          <w:pPr>
            <w:jc w:val="right"/>
          </w:pPr>
          <w:r>
            <w:t xml:space="preserve">Page </w:t>
          </w:r>
          <w:fldSimple w:instr=" PAGE   \* MERGEFORMAT ">
            <w:r>
              <w:rPr>
                <w:noProof/>
              </w:rPr>
              <w:t>1</w:t>
            </w:r>
          </w:fldSimple>
          <w:r>
            <w:t xml:space="preserve"> of </w:t>
          </w:r>
          <w:fldSimple w:instr=" NUMPAGES  \* Arabic ">
            <w:r>
              <w:rPr>
                <w:noProof/>
              </w:rPr>
              <w:t>1</w:t>
            </w:r>
          </w:fldSimple>
          <w:r>
            <w:t xml:space="preserve">  </w:t>
          </w:r>
        </w:p>
      </w:tc>
    </w:tr>
  </w:tbl>
  <w:p w:rsidR="005D0352" w:rsidRDefault="005D03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352" w:rsidRDefault="005D0352" w:rsidP="00C40A36">
      <w:pPr>
        <w:spacing w:after="0"/>
      </w:pPr>
      <w:r>
        <w:separator/>
      </w:r>
    </w:p>
  </w:footnote>
  <w:footnote w:type="continuationSeparator" w:id="0">
    <w:p w:rsidR="005D0352" w:rsidRDefault="005D0352" w:rsidP="00C40A36">
      <w:pPr>
        <w:spacing w:after="0"/>
      </w:pPr>
      <w:r>
        <w:continuationSeparator/>
      </w:r>
    </w:p>
  </w:footnote>
  <w:footnote w:id="1">
    <w:p w:rsidR="005D0352" w:rsidRDefault="005D0352" w:rsidP="001603AF">
      <w:pPr>
        <w:pStyle w:val="FootnoteText"/>
      </w:pPr>
      <w:r>
        <w:rPr>
          <w:rStyle w:val="FootnoteReference"/>
        </w:rPr>
        <w:footnoteRef/>
      </w:r>
      <w:r>
        <w:t xml:space="preserve"> </w:t>
      </w:r>
      <w:proofErr w:type="spellStart"/>
      <w:r w:rsidRPr="00BD0634">
        <w:t>Stupp</w:t>
      </w:r>
      <w:proofErr w:type="spellEnd"/>
      <w:r w:rsidRPr="00BD0634">
        <w:t xml:space="preserve"> R, Mason WP, van den Bent MT et al. Radiotherapy plus concomitant and adjuvant </w:t>
      </w:r>
      <w:proofErr w:type="spellStart"/>
      <w:r w:rsidRPr="00BD0634">
        <w:t>temozolomide</w:t>
      </w:r>
      <w:proofErr w:type="spellEnd"/>
      <w:r w:rsidRPr="00BD0634">
        <w:t xml:space="preserve"> for </w:t>
      </w:r>
      <w:proofErr w:type="spellStart"/>
      <w:r w:rsidRPr="00BD0634">
        <w:t>glioblastoma</w:t>
      </w:r>
      <w:proofErr w:type="spellEnd"/>
      <w:r w:rsidRPr="00BD0634">
        <w:t xml:space="preserve">. N </w:t>
      </w:r>
      <w:proofErr w:type="spellStart"/>
      <w:r w:rsidRPr="00BD0634">
        <w:t>Engl</w:t>
      </w:r>
      <w:proofErr w:type="spellEnd"/>
      <w:r w:rsidRPr="00BD0634">
        <w:t xml:space="preserve"> J Med 2005; 352: 987-996.</w:t>
      </w:r>
    </w:p>
  </w:footnote>
  <w:footnote w:id="2">
    <w:p w:rsidR="005D0352" w:rsidRDefault="005D0352" w:rsidP="001603AF">
      <w:pPr>
        <w:pStyle w:val="FootnoteText"/>
      </w:pPr>
      <w:r>
        <w:rPr>
          <w:rStyle w:val="FootnoteReference"/>
        </w:rPr>
        <w:footnoteRef/>
      </w:r>
      <w:r>
        <w:t xml:space="preserve"> </w:t>
      </w:r>
      <w:r w:rsidRPr="00BD0634">
        <w:t xml:space="preserve">Wong ET, Hess KR, Gleason MJ et al. Outcomes and prognostic factors in recurrent </w:t>
      </w:r>
      <w:proofErr w:type="spellStart"/>
      <w:r w:rsidRPr="00BD0634">
        <w:t>glioma</w:t>
      </w:r>
      <w:proofErr w:type="spellEnd"/>
      <w:r w:rsidRPr="00BD0634">
        <w:t xml:space="preserve"> patients enrolled onto Phase II clinical trials. J </w:t>
      </w:r>
      <w:proofErr w:type="spellStart"/>
      <w:r w:rsidRPr="00BD0634">
        <w:t>Clin</w:t>
      </w:r>
      <w:proofErr w:type="spellEnd"/>
      <w:r w:rsidRPr="00BD0634">
        <w:t xml:space="preserve"> </w:t>
      </w:r>
      <w:proofErr w:type="spellStart"/>
      <w:r w:rsidRPr="00BD0634">
        <w:t>Oncol</w:t>
      </w:r>
      <w:proofErr w:type="spellEnd"/>
      <w:r w:rsidRPr="00BD0634">
        <w:t xml:space="preserve"> 1999; 17: 2572.</w:t>
      </w:r>
    </w:p>
  </w:footnote>
  <w:footnote w:id="3">
    <w:p w:rsidR="005D0352" w:rsidRDefault="005D0352" w:rsidP="001603AF">
      <w:pPr>
        <w:pStyle w:val="FootnoteText"/>
      </w:pPr>
      <w:r>
        <w:rPr>
          <w:rStyle w:val="FootnoteReference"/>
        </w:rPr>
        <w:footnoteRef/>
      </w:r>
      <w:r>
        <w:t xml:space="preserve"> </w:t>
      </w:r>
      <w:proofErr w:type="spellStart"/>
      <w:r w:rsidRPr="00BD0634">
        <w:t>Vredenburgh</w:t>
      </w:r>
      <w:proofErr w:type="spellEnd"/>
      <w:r w:rsidRPr="00BD0634">
        <w:t xml:space="preserve"> JJ, Desjardins A, Herndon JE et al. </w:t>
      </w:r>
      <w:proofErr w:type="spellStart"/>
      <w:r w:rsidRPr="00BD0634">
        <w:t>Bevacizumab</w:t>
      </w:r>
      <w:proofErr w:type="spellEnd"/>
      <w:r w:rsidRPr="00BD0634">
        <w:t xml:space="preserve"> plus </w:t>
      </w:r>
      <w:proofErr w:type="spellStart"/>
      <w:r w:rsidRPr="00BD0634">
        <w:t>irinotecan</w:t>
      </w:r>
      <w:proofErr w:type="spellEnd"/>
      <w:r w:rsidRPr="00BD0634">
        <w:t xml:space="preserve"> in recurrent </w:t>
      </w:r>
      <w:proofErr w:type="spellStart"/>
      <w:r w:rsidRPr="00BD0634">
        <w:t>glioblastoma</w:t>
      </w:r>
      <w:proofErr w:type="spellEnd"/>
      <w:r w:rsidRPr="00BD0634">
        <w:t xml:space="preserve"> </w:t>
      </w:r>
      <w:proofErr w:type="spellStart"/>
      <w:r w:rsidRPr="00BD0634">
        <w:t>multiforme</w:t>
      </w:r>
      <w:proofErr w:type="spellEnd"/>
      <w:r w:rsidRPr="00BD0634">
        <w:t xml:space="preserve">. J </w:t>
      </w:r>
      <w:proofErr w:type="spellStart"/>
      <w:r w:rsidRPr="00BD0634">
        <w:t>Clin</w:t>
      </w:r>
      <w:proofErr w:type="spellEnd"/>
      <w:r w:rsidRPr="00BD0634">
        <w:t xml:space="preserve"> </w:t>
      </w:r>
      <w:proofErr w:type="spellStart"/>
      <w:r w:rsidRPr="00BD0634">
        <w:t>Oncol</w:t>
      </w:r>
      <w:proofErr w:type="spellEnd"/>
      <w:r w:rsidRPr="00BD0634">
        <w:t xml:space="preserve"> 2007; 30: 722-4729.</w:t>
      </w:r>
    </w:p>
  </w:footnote>
  <w:footnote w:id="4">
    <w:p w:rsidR="005D0352" w:rsidRDefault="005D0352" w:rsidP="00490FB0">
      <w:pPr>
        <w:pStyle w:val="FootnoteText"/>
      </w:pPr>
      <w:r>
        <w:rPr>
          <w:rStyle w:val="FootnoteReference"/>
        </w:rPr>
        <w:footnoteRef/>
      </w:r>
      <w:r>
        <w:t xml:space="preserve"> </w:t>
      </w:r>
      <w:r w:rsidRPr="00BD0634">
        <w:t xml:space="preserve">IRF _ Independent Radiology Facility – facility for review of radiology studies and relevant clinical information by a team of expert </w:t>
      </w:r>
      <w:proofErr w:type="spellStart"/>
      <w:r w:rsidRPr="00BD0634">
        <w:t>neuroradiologists</w:t>
      </w:r>
      <w:proofErr w:type="spellEnd"/>
      <w:r w:rsidRPr="00BD0634">
        <w:t xml:space="preserve"> and oncologists.</w:t>
      </w:r>
    </w:p>
  </w:footnote>
  <w:footnote w:id="5">
    <w:p w:rsidR="005D0352" w:rsidRDefault="005D0352" w:rsidP="00CA0496">
      <w:pPr>
        <w:pStyle w:val="FootnoteText"/>
      </w:pPr>
      <w:r>
        <w:rPr>
          <w:rStyle w:val="FootnoteReference"/>
        </w:rPr>
        <w:footnoteRef/>
      </w:r>
      <w:r>
        <w:t xml:space="preserve"> </w:t>
      </w:r>
      <w:r w:rsidRPr="0087082F">
        <w:t xml:space="preserve">Chamberlain et al. MRI in patients with high-grade </w:t>
      </w:r>
      <w:proofErr w:type="spellStart"/>
      <w:r w:rsidRPr="0087082F">
        <w:t>gliomas</w:t>
      </w:r>
      <w:proofErr w:type="spellEnd"/>
      <w:r w:rsidRPr="0087082F">
        <w:t xml:space="preserve"> treated with </w:t>
      </w:r>
      <w:proofErr w:type="spellStart"/>
      <w:r w:rsidRPr="0087082F">
        <w:t>bevacizumab</w:t>
      </w:r>
      <w:proofErr w:type="spellEnd"/>
      <w:r w:rsidRPr="0087082F">
        <w:t xml:space="preserve"> and chemotherapy. Neurology 2006;67:2089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-1084939</wp:posOffset>
          </wp:positionH>
          <wp:positionV relativeFrom="paragraph">
            <wp:posOffset>-583896</wp:posOffset>
          </wp:positionV>
          <wp:extent cx="7574445" cy="10702455"/>
          <wp:effectExtent l="19050" t="0" r="745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4445" cy="10702455"/>
                  </a:xfrm>
                  <a:prstGeom prst="rect">
                    <a:avLst/>
                  </a:prstGeom>
                </pic:spPr>
              </pic:pic>
            </a:graphicData>
          </a:graphic>
        </wp:anchor>
      </w:drawing>
    </w:r>
  </w:p>
  <w:p w:rsidR="005D0352" w:rsidRDefault="00F24D08"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352" w:rsidRDefault="005D0352" w:rsidP="006E08B3">
    <w:r>
      <w:t>Therapeutic Goods Administration</w:t>
    </w:r>
  </w:p>
  <w:p w:rsidR="005D0352" w:rsidRDefault="005D0352"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BF24298"/>
    <w:lvl w:ilvl="0">
      <w:start w:val="1"/>
      <w:numFmt w:val="decimal"/>
      <w:lvlText w:val="%1."/>
      <w:lvlJc w:val="left"/>
      <w:pPr>
        <w:tabs>
          <w:tab w:val="num" w:pos="1492"/>
        </w:tabs>
        <w:ind w:left="1492" w:hanging="360"/>
      </w:pPr>
    </w:lvl>
  </w:abstractNum>
  <w:abstractNum w:abstractNumId="1">
    <w:nsid w:val="FFFFFF7D"/>
    <w:multiLevelType w:val="singleLevel"/>
    <w:tmpl w:val="6778BE42"/>
    <w:lvl w:ilvl="0">
      <w:start w:val="1"/>
      <w:numFmt w:val="decimal"/>
      <w:lvlText w:val="%1."/>
      <w:lvlJc w:val="left"/>
      <w:pPr>
        <w:tabs>
          <w:tab w:val="num" w:pos="1209"/>
        </w:tabs>
        <w:ind w:left="1209" w:hanging="360"/>
      </w:pPr>
    </w:lvl>
  </w:abstractNum>
  <w:abstractNum w:abstractNumId="2">
    <w:nsid w:val="FFFFFF7E"/>
    <w:multiLevelType w:val="singleLevel"/>
    <w:tmpl w:val="E7EE41D4"/>
    <w:lvl w:ilvl="0">
      <w:start w:val="1"/>
      <w:numFmt w:val="decimal"/>
      <w:lvlText w:val="%1."/>
      <w:lvlJc w:val="left"/>
      <w:pPr>
        <w:tabs>
          <w:tab w:val="num" w:pos="926"/>
        </w:tabs>
        <w:ind w:left="926" w:hanging="360"/>
      </w:pPr>
    </w:lvl>
  </w:abstractNum>
  <w:abstractNum w:abstractNumId="3">
    <w:nsid w:val="FFFFFF7F"/>
    <w:multiLevelType w:val="singleLevel"/>
    <w:tmpl w:val="A16C17EE"/>
    <w:lvl w:ilvl="0">
      <w:start w:val="1"/>
      <w:numFmt w:val="decimal"/>
      <w:lvlText w:val="%1."/>
      <w:lvlJc w:val="left"/>
      <w:pPr>
        <w:tabs>
          <w:tab w:val="num" w:pos="643"/>
        </w:tabs>
        <w:ind w:left="643" w:hanging="360"/>
      </w:pPr>
    </w:lvl>
  </w:abstractNum>
  <w:abstractNum w:abstractNumId="4">
    <w:nsid w:val="FFFFFF80"/>
    <w:multiLevelType w:val="singleLevel"/>
    <w:tmpl w:val="FBE06C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56E5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705CE6EC"/>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2"/>
  </w:num>
  <w:num w:numId="14">
    <w:abstractNumId w:val="12"/>
  </w:num>
  <w:num w:numId="15">
    <w:abstractNumId w:val="12"/>
  </w:num>
  <w:num w:numId="16">
    <w:abstractNumId w:val="11"/>
  </w:num>
  <w:num w:numId="17">
    <w:abstractNumId w:val="11"/>
  </w:num>
  <w:num w:numId="18">
    <w:abstractNumId w:val="11"/>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stylePaneFormatFilter w:val="1004"/>
  <w:stylePaneSortMethod w:val="0000"/>
  <w:defaultTabStop w:val="720"/>
  <w:defaultTableStyle w:val="TableTGAblack"/>
  <w:drawingGridHorizontalSpacing w:val="110"/>
  <w:displayHorizontalDrawingGridEvery w:val="2"/>
  <w:characterSpacingControl w:val="doNotCompress"/>
  <w:hdrShapeDefaults>
    <o:shapedefaults v:ext="edit" spidmax="57346">
      <o:colormenu v:ext="edit" fillcolor="none [3206]"/>
    </o:shapedefaults>
  </w:hdrShapeDefaults>
  <w:footnotePr>
    <w:footnote w:id="-1"/>
    <w:footnote w:id="0"/>
  </w:footnotePr>
  <w:endnotePr>
    <w:endnote w:id="-1"/>
    <w:endnote w:id="0"/>
  </w:endnotePr>
  <w:compat/>
  <w:rsids>
    <w:rsidRoot w:val="00C70D53"/>
    <w:rsid w:val="00001E7A"/>
    <w:rsid w:val="00002031"/>
    <w:rsid w:val="00004734"/>
    <w:rsid w:val="00006B22"/>
    <w:rsid w:val="0001276A"/>
    <w:rsid w:val="000246AE"/>
    <w:rsid w:val="00025C67"/>
    <w:rsid w:val="000470BB"/>
    <w:rsid w:val="0005559E"/>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0F3F"/>
    <w:rsid w:val="0014197B"/>
    <w:rsid w:val="001447CD"/>
    <w:rsid w:val="001516B1"/>
    <w:rsid w:val="00153276"/>
    <w:rsid w:val="00154EBB"/>
    <w:rsid w:val="00156316"/>
    <w:rsid w:val="001603AF"/>
    <w:rsid w:val="00162D14"/>
    <w:rsid w:val="00165389"/>
    <w:rsid w:val="0017693F"/>
    <w:rsid w:val="0018110E"/>
    <w:rsid w:val="00181684"/>
    <w:rsid w:val="00183382"/>
    <w:rsid w:val="001843C6"/>
    <w:rsid w:val="001850E0"/>
    <w:rsid w:val="001A2158"/>
    <w:rsid w:val="001A525F"/>
    <w:rsid w:val="001B09F9"/>
    <w:rsid w:val="001B6448"/>
    <w:rsid w:val="001E07CF"/>
    <w:rsid w:val="001E59F1"/>
    <w:rsid w:val="001F49EB"/>
    <w:rsid w:val="001F6CBA"/>
    <w:rsid w:val="00201D4E"/>
    <w:rsid w:val="002076C9"/>
    <w:rsid w:val="00220B8A"/>
    <w:rsid w:val="002257F3"/>
    <w:rsid w:val="00233456"/>
    <w:rsid w:val="002339A5"/>
    <w:rsid w:val="00257848"/>
    <w:rsid w:val="0027084A"/>
    <w:rsid w:val="00274A55"/>
    <w:rsid w:val="00286434"/>
    <w:rsid w:val="00286C59"/>
    <w:rsid w:val="00291957"/>
    <w:rsid w:val="002942D1"/>
    <w:rsid w:val="0029501A"/>
    <w:rsid w:val="002B1638"/>
    <w:rsid w:val="002E4C9A"/>
    <w:rsid w:val="002F11F8"/>
    <w:rsid w:val="002F3F56"/>
    <w:rsid w:val="002F44B5"/>
    <w:rsid w:val="00311AC0"/>
    <w:rsid w:val="0032583B"/>
    <w:rsid w:val="00327883"/>
    <w:rsid w:val="00335504"/>
    <w:rsid w:val="00346168"/>
    <w:rsid w:val="00347824"/>
    <w:rsid w:val="00350567"/>
    <w:rsid w:val="003521E8"/>
    <w:rsid w:val="00367841"/>
    <w:rsid w:val="003728F3"/>
    <w:rsid w:val="0037496E"/>
    <w:rsid w:val="00386150"/>
    <w:rsid w:val="003874CE"/>
    <w:rsid w:val="00390900"/>
    <w:rsid w:val="003A573A"/>
    <w:rsid w:val="003A7F6C"/>
    <w:rsid w:val="003B0A3F"/>
    <w:rsid w:val="003B4D60"/>
    <w:rsid w:val="003B7E39"/>
    <w:rsid w:val="003C58DC"/>
    <w:rsid w:val="003D1E62"/>
    <w:rsid w:val="003E2486"/>
    <w:rsid w:val="003E29E5"/>
    <w:rsid w:val="003E3208"/>
    <w:rsid w:val="003F0B04"/>
    <w:rsid w:val="0040134E"/>
    <w:rsid w:val="00440A2D"/>
    <w:rsid w:val="004564A7"/>
    <w:rsid w:val="004617BF"/>
    <w:rsid w:val="00463658"/>
    <w:rsid w:val="004722CC"/>
    <w:rsid w:val="00490FB0"/>
    <w:rsid w:val="004936E4"/>
    <w:rsid w:val="00494E60"/>
    <w:rsid w:val="00497487"/>
    <w:rsid w:val="004B7B76"/>
    <w:rsid w:val="004C239D"/>
    <w:rsid w:val="004C2DCA"/>
    <w:rsid w:val="004C3A56"/>
    <w:rsid w:val="004F0F38"/>
    <w:rsid w:val="00501921"/>
    <w:rsid w:val="00530354"/>
    <w:rsid w:val="0053625B"/>
    <w:rsid w:val="005434C6"/>
    <w:rsid w:val="00543B39"/>
    <w:rsid w:val="00544C68"/>
    <w:rsid w:val="00550096"/>
    <w:rsid w:val="00557FF9"/>
    <w:rsid w:val="00572D04"/>
    <w:rsid w:val="00576378"/>
    <w:rsid w:val="00577130"/>
    <w:rsid w:val="00577945"/>
    <w:rsid w:val="00577E38"/>
    <w:rsid w:val="00585322"/>
    <w:rsid w:val="005857C6"/>
    <w:rsid w:val="00592F6E"/>
    <w:rsid w:val="00593AD1"/>
    <w:rsid w:val="005A68B6"/>
    <w:rsid w:val="005A6C2C"/>
    <w:rsid w:val="005C5570"/>
    <w:rsid w:val="005C79A4"/>
    <w:rsid w:val="005D0352"/>
    <w:rsid w:val="005D5442"/>
    <w:rsid w:val="00603F32"/>
    <w:rsid w:val="00616585"/>
    <w:rsid w:val="00625A6E"/>
    <w:rsid w:val="00632398"/>
    <w:rsid w:val="00640FC3"/>
    <w:rsid w:val="00642020"/>
    <w:rsid w:val="0065337B"/>
    <w:rsid w:val="0065419D"/>
    <w:rsid w:val="006604D8"/>
    <w:rsid w:val="00664A5B"/>
    <w:rsid w:val="006763D2"/>
    <w:rsid w:val="00680C08"/>
    <w:rsid w:val="006931B1"/>
    <w:rsid w:val="006A15C0"/>
    <w:rsid w:val="006C3E2A"/>
    <w:rsid w:val="006C642F"/>
    <w:rsid w:val="006D03E5"/>
    <w:rsid w:val="006D5D3E"/>
    <w:rsid w:val="006E08B3"/>
    <w:rsid w:val="006F17AC"/>
    <w:rsid w:val="006F572E"/>
    <w:rsid w:val="007046D6"/>
    <w:rsid w:val="00705DB0"/>
    <w:rsid w:val="00722B57"/>
    <w:rsid w:val="0074253D"/>
    <w:rsid w:val="0074429B"/>
    <w:rsid w:val="00760302"/>
    <w:rsid w:val="007615BC"/>
    <w:rsid w:val="00762F05"/>
    <w:rsid w:val="007652FF"/>
    <w:rsid w:val="00770EF1"/>
    <w:rsid w:val="00773EF7"/>
    <w:rsid w:val="00774E1D"/>
    <w:rsid w:val="0077675A"/>
    <w:rsid w:val="00780355"/>
    <w:rsid w:val="00785721"/>
    <w:rsid w:val="00790D7F"/>
    <w:rsid w:val="00792085"/>
    <w:rsid w:val="00793A59"/>
    <w:rsid w:val="007B6E9F"/>
    <w:rsid w:val="007C1216"/>
    <w:rsid w:val="007C1AF7"/>
    <w:rsid w:val="007E4732"/>
    <w:rsid w:val="00805D27"/>
    <w:rsid w:val="00821776"/>
    <w:rsid w:val="008321F5"/>
    <w:rsid w:val="00832369"/>
    <w:rsid w:val="00834660"/>
    <w:rsid w:val="00836BC2"/>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30237"/>
    <w:rsid w:val="00946EA5"/>
    <w:rsid w:val="00947340"/>
    <w:rsid w:val="00963C08"/>
    <w:rsid w:val="0098585A"/>
    <w:rsid w:val="009A26E1"/>
    <w:rsid w:val="009A4CED"/>
    <w:rsid w:val="009A690D"/>
    <w:rsid w:val="009B1D12"/>
    <w:rsid w:val="009B416B"/>
    <w:rsid w:val="009C4BD5"/>
    <w:rsid w:val="009D7B77"/>
    <w:rsid w:val="009E0BB0"/>
    <w:rsid w:val="009E3FBB"/>
    <w:rsid w:val="00A00D87"/>
    <w:rsid w:val="00A069C4"/>
    <w:rsid w:val="00A102E4"/>
    <w:rsid w:val="00A12C42"/>
    <w:rsid w:val="00A14DF7"/>
    <w:rsid w:val="00A3246D"/>
    <w:rsid w:val="00A36FA7"/>
    <w:rsid w:val="00A475B7"/>
    <w:rsid w:val="00A47AF7"/>
    <w:rsid w:val="00A47C3E"/>
    <w:rsid w:val="00A50226"/>
    <w:rsid w:val="00A60BAD"/>
    <w:rsid w:val="00A84E36"/>
    <w:rsid w:val="00A964D1"/>
    <w:rsid w:val="00AA0ED0"/>
    <w:rsid w:val="00AC2B40"/>
    <w:rsid w:val="00AC2BB2"/>
    <w:rsid w:val="00AC2C3C"/>
    <w:rsid w:val="00AC512D"/>
    <w:rsid w:val="00AD0083"/>
    <w:rsid w:val="00AD3D23"/>
    <w:rsid w:val="00AE65EB"/>
    <w:rsid w:val="00AE67A7"/>
    <w:rsid w:val="00AF02D3"/>
    <w:rsid w:val="00AF1D94"/>
    <w:rsid w:val="00AF60C5"/>
    <w:rsid w:val="00B009C6"/>
    <w:rsid w:val="00B01548"/>
    <w:rsid w:val="00B21D29"/>
    <w:rsid w:val="00B25034"/>
    <w:rsid w:val="00B33588"/>
    <w:rsid w:val="00B33863"/>
    <w:rsid w:val="00B37D17"/>
    <w:rsid w:val="00B4175E"/>
    <w:rsid w:val="00B452CE"/>
    <w:rsid w:val="00B54C25"/>
    <w:rsid w:val="00B658ED"/>
    <w:rsid w:val="00B76B91"/>
    <w:rsid w:val="00B77EB1"/>
    <w:rsid w:val="00B811C6"/>
    <w:rsid w:val="00B855B0"/>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52CCD"/>
    <w:rsid w:val="00C6316B"/>
    <w:rsid w:val="00C634A9"/>
    <w:rsid w:val="00C64586"/>
    <w:rsid w:val="00C70D53"/>
    <w:rsid w:val="00C73D0B"/>
    <w:rsid w:val="00C772FF"/>
    <w:rsid w:val="00C80137"/>
    <w:rsid w:val="00C801AF"/>
    <w:rsid w:val="00C80256"/>
    <w:rsid w:val="00CA0496"/>
    <w:rsid w:val="00CB6BC0"/>
    <w:rsid w:val="00CC1B7C"/>
    <w:rsid w:val="00CC727F"/>
    <w:rsid w:val="00CF06F0"/>
    <w:rsid w:val="00CF15C3"/>
    <w:rsid w:val="00CF2B6F"/>
    <w:rsid w:val="00CF58B6"/>
    <w:rsid w:val="00D00250"/>
    <w:rsid w:val="00D017ED"/>
    <w:rsid w:val="00D040D3"/>
    <w:rsid w:val="00D04C65"/>
    <w:rsid w:val="00D224FE"/>
    <w:rsid w:val="00D56689"/>
    <w:rsid w:val="00D6493E"/>
    <w:rsid w:val="00D7301E"/>
    <w:rsid w:val="00D83AE1"/>
    <w:rsid w:val="00D855D4"/>
    <w:rsid w:val="00D93466"/>
    <w:rsid w:val="00DA1124"/>
    <w:rsid w:val="00DB6124"/>
    <w:rsid w:val="00DB75B7"/>
    <w:rsid w:val="00DC6E0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668D1"/>
    <w:rsid w:val="00E7344E"/>
    <w:rsid w:val="00EB0798"/>
    <w:rsid w:val="00EB40AD"/>
    <w:rsid w:val="00EB586E"/>
    <w:rsid w:val="00EB5FC8"/>
    <w:rsid w:val="00EC7A85"/>
    <w:rsid w:val="00ED3CAD"/>
    <w:rsid w:val="00ED5A41"/>
    <w:rsid w:val="00EE1DE8"/>
    <w:rsid w:val="00EF3034"/>
    <w:rsid w:val="00F033EC"/>
    <w:rsid w:val="00F04F68"/>
    <w:rsid w:val="00F12670"/>
    <w:rsid w:val="00F14B27"/>
    <w:rsid w:val="00F24D08"/>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6">
      <o:colormenu v:ext="edit" fillcolor="none [3206]"/>
    </o:shapedefaults>
    <o:shapelayout v:ext="edit">
      <o:idmap v:ext="edit" data="1"/>
      <o:rules v:ext="edit">
        <o:r id="V:Rule16" type="connector" idref="#_x0000_s1221">
          <o:proxy start="" idref="#_x0000_s1208" connectloc="2"/>
          <o:proxy end="" idref="#_x0000_s1209" connectloc="0"/>
        </o:r>
        <o:r id="V:Rule17" type="connector" idref="#_x0000_s1226">
          <o:proxy start="" idref="#_x0000_s1211" connectloc="2"/>
          <o:proxy end="" idref="#_x0000_s1214" connectloc="0"/>
        </o:r>
        <o:r id="V:Rule18" type="connector" idref="#_x0000_s1224">
          <o:proxy start="" idref="#_x0000_s1210" connectloc="2"/>
          <o:proxy end="" idref="#_x0000_s1212" connectloc="0"/>
        </o:r>
        <o:r id="V:Rule19" type="connector" idref="#_x0000_s1228">
          <o:proxy start="" idref="#_x0000_s1213" connectloc="2"/>
          <o:proxy end="" idref="#_x0000_s1219" connectloc="3"/>
        </o:r>
        <o:r id="V:Rule20" type="connector" idref="#_x0000_s1227">
          <o:proxy start="" idref="#_x0000_s1212" connectloc="2"/>
          <o:proxy end="" idref="#_x0000_s1215" connectloc="0"/>
        </o:r>
        <o:r id="V:Rule21" type="connector" idref="#_x0000_s1223">
          <o:proxy start="" idref="#_x0000_s1209" connectloc="2"/>
          <o:proxy end="" idref="#_x0000_s1211" connectloc="0"/>
        </o:r>
        <o:r id="V:Rule22" type="connector" idref="#_x0000_s1232">
          <o:proxy start="" idref="#_x0000_s1215" connectloc="2"/>
          <o:proxy end="" idref="#_x0000_s1217" connectloc="0"/>
        </o:r>
        <o:r id="V:Rule23" type="connector" idref="#_x0000_s1229">
          <o:proxy start="" idref="#_x0000_s1214" connectloc="2"/>
          <o:proxy end="" idref="#_x0000_s1216" connectloc="0"/>
        </o:r>
        <o:r id="V:Rule24" type="connector" idref="#_x0000_s1231">
          <o:proxy start="" idref="#_x0000_s1212" connectloc="2"/>
          <o:proxy end="" idref="#_x0000_s1215" connectloc="0"/>
        </o:r>
        <o:r id="V:Rule25" type="connector" idref="#_x0000_s1233">
          <o:proxy start="" idref="#_x0000_s1217" connectloc="2"/>
          <o:proxy end="" idref="#_x0000_s1219" connectloc="0"/>
        </o:r>
        <o:r id="V:Rule26" type="connector" idref="#_x0000_s1235">
          <o:proxy start="" idref="#_x0000_s1219" connectloc="2"/>
          <o:proxy end="" idref="#_x0000_s1220" connectloc="0"/>
        </o:r>
        <o:r id="V:Rule27" type="connector" idref="#_x0000_s1222">
          <o:proxy start="" idref="#_x0000_s1208" connectloc="2"/>
          <o:proxy end="" idref="#_x0000_s1210" connectloc="0"/>
        </o:r>
        <o:r id="V:Rule28" type="connector" idref="#_x0000_s1234">
          <o:proxy start="" idref="#_x0000_s1218" connectloc="2"/>
          <o:proxy end="" idref="#_x0000_s1220" connectloc="0"/>
        </o:r>
        <o:r id="V:Rule29" type="connector" idref="#_x0000_s1225">
          <o:proxy start="" idref="#_x0000_s1210" connectloc="2"/>
          <o:proxy end="" idref="#_x0000_s1213" connectloc="0"/>
        </o:r>
        <o:r id="V:Rule30" type="connector" idref="#_x0000_s1230">
          <o:proxy start="" idref="#_x0000_s1216" connectloc="2"/>
          <o:proxy end="" idref="#_x0000_s1218" connectloc="0"/>
        </o:r>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8338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24D08"/>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7E4732"/>
    <w:pPr>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7E4732"/>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qFormat/>
    <w:rsid w:val="00001E7A"/>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7E4732"/>
    <w:pPr>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7E4732"/>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83382"/>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83382"/>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83382"/>
    <w:rPr>
      <w:vertAlign w:val="superscript"/>
    </w:rPr>
  </w:style>
  <w:style w:type="table" w:customStyle="1" w:styleId="LightShading-Accent21">
    <w:name w:val="Light Shading - Accent 21"/>
    <w:basedOn w:val="TableNormal"/>
    <w:next w:val="LightShading-Accent2"/>
    <w:uiPriority w:val="60"/>
    <w:rsid w:val="001603AF"/>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ue1">
    <w:name w:val="Table TGA blue1"/>
    <w:basedOn w:val="TableNormal"/>
    <w:uiPriority w:val="99"/>
    <w:qFormat/>
    <w:rsid w:val="00160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160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tga.gov.au/hp/information-medicines-pi.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4063-9072-4C66-8E2A-0693D43B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40</Pages>
  <Words>12315</Words>
  <Characters>70200</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82351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Bevacizumab</dc:title>
  <dc:subject>prescription medicine regulation</dc:subject>
  <dc:creator>Therapeutic Goods Administration</dc:creator>
  <cp:keywords>auspar, prescription, medicine, assessment, regulation, australia, bevacizumab, avastin, roche, products</cp:keywords>
  <cp:lastModifiedBy>dixonj</cp:lastModifiedBy>
  <cp:revision>27</cp:revision>
  <cp:lastPrinted>2010-12-20T22:59:00Z</cp:lastPrinted>
  <dcterms:created xsi:type="dcterms:W3CDTF">2014-01-17T01:33:00Z</dcterms:created>
  <dcterms:modified xsi:type="dcterms:W3CDTF">2014-01-17T03:50:00Z</dcterms:modified>
  <cp:category>External publication</cp:category>
</cp:coreProperties>
</file>