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E5CD3" w:rsidP="00096AA7">
            <w:pPr>
              <w:rPr>
                <w:rFonts w:ascii="Arial" w:hAnsi="Arial" w:cs="Arial"/>
                <w:b/>
                <w:color w:val="002C47"/>
                <w:sz w:val="36"/>
                <w:szCs w:val="36"/>
              </w:rPr>
            </w:pPr>
            <w:r>
              <w:rPr>
                <w:rFonts w:ascii="Arial" w:hAnsi="Arial" w:cs="Arial"/>
                <w:b/>
                <w:color w:val="002C47"/>
                <w:sz w:val="36"/>
                <w:szCs w:val="36"/>
              </w:rPr>
              <w:t>February</w:t>
            </w:r>
            <w:r w:rsidR="009A35A2">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2E79F6">
              <w:rPr>
                <w:color w:val="FFFFFF"/>
              </w:rPr>
              <w:t>blic Assessment Report for b</w:t>
            </w:r>
            <w:r w:rsidR="002E79F6" w:rsidRPr="002E79F6">
              <w:rPr>
                <w:color w:val="FFFFFF"/>
              </w:rPr>
              <w:t>esifloxacin hydrochloride</w:t>
            </w:r>
          </w:p>
        </w:tc>
      </w:tr>
      <w:tr w:rsidR="0032583B" w:rsidRPr="00B64760" w:rsidTr="0032583B">
        <w:tc>
          <w:tcPr>
            <w:tcW w:w="9079" w:type="dxa"/>
          </w:tcPr>
          <w:p w:rsidR="0032583B" w:rsidRPr="008E7846" w:rsidRDefault="005A4852" w:rsidP="0032583B">
            <w:pPr>
              <w:pStyle w:val="Subtitle"/>
              <w:rPr>
                <w:color w:val="FFFFFF"/>
              </w:rPr>
            </w:pPr>
            <w:r>
              <w:rPr>
                <w:color w:val="FFFFFF"/>
              </w:rPr>
              <w:t>Proprietary Product Name: Besivance</w:t>
            </w:r>
          </w:p>
        </w:tc>
      </w:tr>
      <w:tr w:rsidR="0032583B" w:rsidRPr="00B64760" w:rsidTr="0032583B">
        <w:trPr>
          <w:trHeight w:val="486"/>
        </w:trPr>
        <w:tc>
          <w:tcPr>
            <w:tcW w:w="9079" w:type="dxa"/>
          </w:tcPr>
          <w:p w:rsidR="0032583B" w:rsidRPr="008E7846" w:rsidRDefault="009A35A2" w:rsidP="0032583B">
            <w:pPr>
              <w:pStyle w:val="Subtitle"/>
              <w:rPr>
                <w:color w:val="FFFFFF"/>
              </w:rPr>
            </w:pPr>
            <w:r>
              <w:rPr>
                <w:color w:val="FFFFFF"/>
              </w:rPr>
              <w:t xml:space="preserve">Sponsor: </w:t>
            </w:r>
            <w:r w:rsidRPr="009A35A2">
              <w:rPr>
                <w:color w:val="FFFFFF"/>
              </w:rPr>
              <w:t>Bausch &amp; Lomb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55114">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304948" w:rsidRDefault="00621C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3772751" w:history="1">
        <w:r w:rsidR="00304948" w:rsidRPr="001B56FF">
          <w:rPr>
            <w:rStyle w:val="Hyperlink"/>
            <w:noProof/>
          </w:rPr>
          <w:t>I. Introduction to product submission</w:t>
        </w:r>
        <w:r w:rsidR="00304948">
          <w:rPr>
            <w:noProof/>
            <w:webHidden/>
          </w:rPr>
          <w:tab/>
        </w:r>
        <w:r w:rsidR="00304948">
          <w:rPr>
            <w:noProof/>
            <w:webHidden/>
          </w:rPr>
          <w:fldChar w:fldCharType="begin"/>
        </w:r>
        <w:r w:rsidR="00304948">
          <w:rPr>
            <w:noProof/>
            <w:webHidden/>
          </w:rPr>
          <w:instrText xml:space="preserve"> PAGEREF _Toc383772751 \h </w:instrText>
        </w:r>
        <w:r w:rsidR="00304948">
          <w:rPr>
            <w:noProof/>
            <w:webHidden/>
          </w:rPr>
        </w:r>
        <w:r w:rsidR="00304948">
          <w:rPr>
            <w:noProof/>
            <w:webHidden/>
          </w:rPr>
          <w:fldChar w:fldCharType="separate"/>
        </w:r>
        <w:r w:rsidR="00304948">
          <w:rPr>
            <w:noProof/>
            <w:webHidden/>
          </w:rPr>
          <w:t>4</w:t>
        </w:r>
        <w:r w:rsidR="00304948">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52" w:history="1">
        <w:r w:rsidRPr="001B56FF">
          <w:rPr>
            <w:rStyle w:val="Hyperlink"/>
            <w:noProof/>
            <w:lang w:eastAsia="en-AU"/>
          </w:rPr>
          <w:t>Submission details</w:t>
        </w:r>
        <w:r>
          <w:rPr>
            <w:noProof/>
            <w:webHidden/>
          </w:rPr>
          <w:tab/>
        </w:r>
        <w:r>
          <w:rPr>
            <w:noProof/>
            <w:webHidden/>
          </w:rPr>
          <w:fldChar w:fldCharType="begin"/>
        </w:r>
        <w:r>
          <w:rPr>
            <w:noProof/>
            <w:webHidden/>
          </w:rPr>
          <w:instrText xml:space="preserve"> PAGEREF _Toc383772752 \h </w:instrText>
        </w:r>
        <w:r>
          <w:rPr>
            <w:noProof/>
            <w:webHidden/>
          </w:rPr>
        </w:r>
        <w:r>
          <w:rPr>
            <w:noProof/>
            <w:webHidden/>
          </w:rPr>
          <w:fldChar w:fldCharType="separate"/>
        </w:r>
        <w:r>
          <w:rPr>
            <w:noProof/>
            <w:webHidden/>
          </w:rPr>
          <w:t>4</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53" w:history="1">
        <w:r w:rsidRPr="001B56FF">
          <w:rPr>
            <w:rStyle w:val="Hyperlink"/>
            <w:noProof/>
          </w:rPr>
          <w:t>Product background</w:t>
        </w:r>
        <w:r>
          <w:rPr>
            <w:noProof/>
            <w:webHidden/>
          </w:rPr>
          <w:tab/>
        </w:r>
        <w:r>
          <w:rPr>
            <w:noProof/>
            <w:webHidden/>
          </w:rPr>
          <w:fldChar w:fldCharType="begin"/>
        </w:r>
        <w:r>
          <w:rPr>
            <w:noProof/>
            <w:webHidden/>
          </w:rPr>
          <w:instrText xml:space="preserve"> PAGEREF _Toc383772753 \h </w:instrText>
        </w:r>
        <w:r>
          <w:rPr>
            <w:noProof/>
            <w:webHidden/>
          </w:rPr>
        </w:r>
        <w:r>
          <w:rPr>
            <w:noProof/>
            <w:webHidden/>
          </w:rPr>
          <w:fldChar w:fldCharType="separate"/>
        </w:r>
        <w:r>
          <w:rPr>
            <w:noProof/>
            <w:webHidden/>
          </w:rPr>
          <w:t>4</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54" w:history="1">
        <w:r w:rsidRPr="001B56FF">
          <w:rPr>
            <w:rStyle w:val="Hyperlink"/>
            <w:noProof/>
          </w:rPr>
          <w:t>Regulatory status</w:t>
        </w:r>
        <w:r>
          <w:rPr>
            <w:noProof/>
            <w:webHidden/>
          </w:rPr>
          <w:tab/>
        </w:r>
        <w:r>
          <w:rPr>
            <w:noProof/>
            <w:webHidden/>
          </w:rPr>
          <w:fldChar w:fldCharType="begin"/>
        </w:r>
        <w:r>
          <w:rPr>
            <w:noProof/>
            <w:webHidden/>
          </w:rPr>
          <w:instrText xml:space="preserve"> PAGEREF _Toc383772754 \h </w:instrText>
        </w:r>
        <w:r>
          <w:rPr>
            <w:noProof/>
            <w:webHidden/>
          </w:rPr>
        </w:r>
        <w:r>
          <w:rPr>
            <w:noProof/>
            <w:webHidden/>
          </w:rPr>
          <w:fldChar w:fldCharType="separate"/>
        </w:r>
        <w:r>
          <w:rPr>
            <w:noProof/>
            <w:webHidden/>
          </w:rPr>
          <w:t>5</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55" w:history="1">
        <w:r w:rsidRPr="001B56FF">
          <w:rPr>
            <w:rStyle w:val="Hyperlink"/>
            <w:noProof/>
          </w:rPr>
          <w:t>Product Information</w:t>
        </w:r>
        <w:r>
          <w:rPr>
            <w:noProof/>
            <w:webHidden/>
          </w:rPr>
          <w:tab/>
        </w:r>
        <w:r>
          <w:rPr>
            <w:noProof/>
            <w:webHidden/>
          </w:rPr>
          <w:fldChar w:fldCharType="begin"/>
        </w:r>
        <w:r>
          <w:rPr>
            <w:noProof/>
            <w:webHidden/>
          </w:rPr>
          <w:instrText xml:space="preserve"> PAGEREF _Toc383772755 \h </w:instrText>
        </w:r>
        <w:r>
          <w:rPr>
            <w:noProof/>
            <w:webHidden/>
          </w:rPr>
        </w:r>
        <w:r>
          <w:rPr>
            <w:noProof/>
            <w:webHidden/>
          </w:rPr>
          <w:fldChar w:fldCharType="separate"/>
        </w:r>
        <w:r>
          <w:rPr>
            <w:noProof/>
            <w:webHidden/>
          </w:rPr>
          <w:t>5</w:t>
        </w:r>
        <w:r>
          <w:rPr>
            <w:noProof/>
            <w:webHidden/>
          </w:rPr>
          <w:fldChar w:fldCharType="end"/>
        </w:r>
      </w:hyperlink>
    </w:p>
    <w:p w:rsidR="00304948" w:rsidRDefault="00304948">
      <w:pPr>
        <w:pStyle w:val="TOC2"/>
        <w:rPr>
          <w:rFonts w:asciiTheme="minorHAnsi" w:eastAsiaTheme="minorEastAsia" w:hAnsiTheme="minorHAnsi" w:cstheme="minorBidi"/>
          <w:b w:val="0"/>
          <w:noProof/>
          <w:sz w:val="22"/>
          <w:lang w:eastAsia="en-AU"/>
        </w:rPr>
      </w:pPr>
      <w:hyperlink w:anchor="_Toc383772756" w:history="1">
        <w:r w:rsidRPr="001B56FF">
          <w:rPr>
            <w:rStyle w:val="Hyperlink"/>
            <w:noProof/>
          </w:rPr>
          <w:t>II. Quality findings</w:t>
        </w:r>
        <w:r>
          <w:rPr>
            <w:noProof/>
            <w:webHidden/>
          </w:rPr>
          <w:tab/>
        </w:r>
        <w:r>
          <w:rPr>
            <w:noProof/>
            <w:webHidden/>
          </w:rPr>
          <w:fldChar w:fldCharType="begin"/>
        </w:r>
        <w:r>
          <w:rPr>
            <w:noProof/>
            <w:webHidden/>
          </w:rPr>
          <w:instrText xml:space="preserve"> PAGEREF _Toc383772756 \h </w:instrText>
        </w:r>
        <w:r>
          <w:rPr>
            <w:noProof/>
            <w:webHidden/>
          </w:rPr>
        </w:r>
        <w:r>
          <w:rPr>
            <w:noProof/>
            <w:webHidden/>
          </w:rPr>
          <w:fldChar w:fldCharType="separate"/>
        </w:r>
        <w:r>
          <w:rPr>
            <w:noProof/>
            <w:webHidden/>
          </w:rPr>
          <w:t>5</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57" w:history="1">
        <w:r w:rsidRPr="001B56FF">
          <w:rPr>
            <w:rStyle w:val="Hyperlink"/>
            <w:noProof/>
          </w:rPr>
          <w:t>Drug substance (active ingredient)</w:t>
        </w:r>
        <w:r>
          <w:rPr>
            <w:noProof/>
            <w:webHidden/>
          </w:rPr>
          <w:tab/>
        </w:r>
        <w:r>
          <w:rPr>
            <w:noProof/>
            <w:webHidden/>
          </w:rPr>
          <w:fldChar w:fldCharType="begin"/>
        </w:r>
        <w:r>
          <w:rPr>
            <w:noProof/>
            <w:webHidden/>
          </w:rPr>
          <w:instrText xml:space="preserve"> PAGEREF _Toc383772757 \h </w:instrText>
        </w:r>
        <w:r>
          <w:rPr>
            <w:noProof/>
            <w:webHidden/>
          </w:rPr>
        </w:r>
        <w:r>
          <w:rPr>
            <w:noProof/>
            <w:webHidden/>
          </w:rPr>
          <w:fldChar w:fldCharType="separate"/>
        </w:r>
        <w:r>
          <w:rPr>
            <w:noProof/>
            <w:webHidden/>
          </w:rPr>
          <w:t>5</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58" w:history="1">
        <w:r w:rsidRPr="001B56FF">
          <w:rPr>
            <w:rStyle w:val="Hyperlink"/>
            <w:noProof/>
          </w:rPr>
          <w:t>Drug product</w:t>
        </w:r>
        <w:r>
          <w:rPr>
            <w:noProof/>
            <w:webHidden/>
          </w:rPr>
          <w:tab/>
        </w:r>
        <w:r>
          <w:rPr>
            <w:noProof/>
            <w:webHidden/>
          </w:rPr>
          <w:fldChar w:fldCharType="begin"/>
        </w:r>
        <w:r>
          <w:rPr>
            <w:noProof/>
            <w:webHidden/>
          </w:rPr>
          <w:instrText xml:space="preserve"> PAGEREF _Toc383772758 \h </w:instrText>
        </w:r>
        <w:r>
          <w:rPr>
            <w:noProof/>
            <w:webHidden/>
          </w:rPr>
        </w:r>
        <w:r>
          <w:rPr>
            <w:noProof/>
            <w:webHidden/>
          </w:rPr>
          <w:fldChar w:fldCharType="separate"/>
        </w:r>
        <w:r>
          <w:rPr>
            <w:noProof/>
            <w:webHidden/>
          </w:rPr>
          <w:t>6</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59" w:history="1">
        <w:r w:rsidRPr="001B56FF">
          <w:rPr>
            <w:rStyle w:val="Hyperlink"/>
            <w:noProof/>
          </w:rPr>
          <w:t>Biopharmaceutics</w:t>
        </w:r>
        <w:r>
          <w:rPr>
            <w:noProof/>
            <w:webHidden/>
          </w:rPr>
          <w:tab/>
        </w:r>
        <w:r>
          <w:rPr>
            <w:noProof/>
            <w:webHidden/>
          </w:rPr>
          <w:fldChar w:fldCharType="begin"/>
        </w:r>
        <w:r>
          <w:rPr>
            <w:noProof/>
            <w:webHidden/>
          </w:rPr>
          <w:instrText xml:space="preserve"> PAGEREF _Toc383772759 \h </w:instrText>
        </w:r>
        <w:r>
          <w:rPr>
            <w:noProof/>
            <w:webHidden/>
          </w:rPr>
        </w:r>
        <w:r>
          <w:rPr>
            <w:noProof/>
            <w:webHidden/>
          </w:rPr>
          <w:fldChar w:fldCharType="separate"/>
        </w:r>
        <w:r>
          <w:rPr>
            <w:noProof/>
            <w:webHidden/>
          </w:rPr>
          <w:t>7</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0" w:history="1">
        <w:r w:rsidRPr="001B56FF">
          <w:rPr>
            <w:rStyle w:val="Hyperlink"/>
            <w:noProof/>
          </w:rPr>
          <w:t>Quality summary and conclusions</w:t>
        </w:r>
        <w:r>
          <w:rPr>
            <w:noProof/>
            <w:webHidden/>
          </w:rPr>
          <w:tab/>
        </w:r>
        <w:r>
          <w:rPr>
            <w:noProof/>
            <w:webHidden/>
          </w:rPr>
          <w:fldChar w:fldCharType="begin"/>
        </w:r>
        <w:r>
          <w:rPr>
            <w:noProof/>
            <w:webHidden/>
          </w:rPr>
          <w:instrText xml:space="preserve"> PAGEREF _Toc383772760 \h </w:instrText>
        </w:r>
        <w:r>
          <w:rPr>
            <w:noProof/>
            <w:webHidden/>
          </w:rPr>
        </w:r>
        <w:r>
          <w:rPr>
            <w:noProof/>
            <w:webHidden/>
          </w:rPr>
          <w:fldChar w:fldCharType="separate"/>
        </w:r>
        <w:r>
          <w:rPr>
            <w:noProof/>
            <w:webHidden/>
          </w:rPr>
          <w:t>7</w:t>
        </w:r>
        <w:r>
          <w:rPr>
            <w:noProof/>
            <w:webHidden/>
          </w:rPr>
          <w:fldChar w:fldCharType="end"/>
        </w:r>
      </w:hyperlink>
    </w:p>
    <w:p w:rsidR="00304948" w:rsidRDefault="00304948">
      <w:pPr>
        <w:pStyle w:val="TOC2"/>
        <w:rPr>
          <w:rFonts w:asciiTheme="minorHAnsi" w:eastAsiaTheme="minorEastAsia" w:hAnsiTheme="minorHAnsi" w:cstheme="minorBidi"/>
          <w:b w:val="0"/>
          <w:noProof/>
          <w:sz w:val="22"/>
          <w:lang w:eastAsia="en-AU"/>
        </w:rPr>
      </w:pPr>
      <w:hyperlink w:anchor="_Toc383772761" w:history="1">
        <w:r w:rsidRPr="001B56FF">
          <w:rPr>
            <w:rStyle w:val="Hyperlink"/>
            <w:noProof/>
          </w:rPr>
          <w:t>III. Nonclinical findings</w:t>
        </w:r>
        <w:r>
          <w:rPr>
            <w:noProof/>
            <w:webHidden/>
          </w:rPr>
          <w:tab/>
        </w:r>
        <w:r>
          <w:rPr>
            <w:noProof/>
            <w:webHidden/>
          </w:rPr>
          <w:fldChar w:fldCharType="begin"/>
        </w:r>
        <w:r>
          <w:rPr>
            <w:noProof/>
            <w:webHidden/>
          </w:rPr>
          <w:instrText xml:space="preserve"> PAGEREF _Toc383772761 \h </w:instrText>
        </w:r>
        <w:r>
          <w:rPr>
            <w:noProof/>
            <w:webHidden/>
          </w:rPr>
        </w:r>
        <w:r>
          <w:rPr>
            <w:noProof/>
            <w:webHidden/>
          </w:rPr>
          <w:fldChar w:fldCharType="separate"/>
        </w:r>
        <w:r>
          <w:rPr>
            <w:noProof/>
            <w:webHidden/>
          </w:rPr>
          <w:t>7</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2" w:history="1">
        <w:r w:rsidRPr="001B56FF">
          <w:rPr>
            <w:rStyle w:val="Hyperlink"/>
            <w:noProof/>
          </w:rPr>
          <w:t>Introduction</w:t>
        </w:r>
        <w:r>
          <w:rPr>
            <w:noProof/>
            <w:webHidden/>
          </w:rPr>
          <w:tab/>
        </w:r>
        <w:r>
          <w:rPr>
            <w:noProof/>
            <w:webHidden/>
          </w:rPr>
          <w:fldChar w:fldCharType="begin"/>
        </w:r>
        <w:r>
          <w:rPr>
            <w:noProof/>
            <w:webHidden/>
          </w:rPr>
          <w:instrText xml:space="preserve"> PAGEREF _Toc383772762 \h </w:instrText>
        </w:r>
        <w:r>
          <w:rPr>
            <w:noProof/>
            <w:webHidden/>
          </w:rPr>
        </w:r>
        <w:r>
          <w:rPr>
            <w:noProof/>
            <w:webHidden/>
          </w:rPr>
          <w:fldChar w:fldCharType="separate"/>
        </w:r>
        <w:r>
          <w:rPr>
            <w:noProof/>
            <w:webHidden/>
          </w:rPr>
          <w:t>7</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3" w:history="1">
        <w:r w:rsidRPr="001B56FF">
          <w:rPr>
            <w:rStyle w:val="Hyperlink"/>
            <w:noProof/>
          </w:rPr>
          <w:t>Pharmacology</w:t>
        </w:r>
        <w:r>
          <w:rPr>
            <w:noProof/>
            <w:webHidden/>
          </w:rPr>
          <w:tab/>
        </w:r>
        <w:r>
          <w:rPr>
            <w:noProof/>
            <w:webHidden/>
          </w:rPr>
          <w:fldChar w:fldCharType="begin"/>
        </w:r>
        <w:r>
          <w:rPr>
            <w:noProof/>
            <w:webHidden/>
          </w:rPr>
          <w:instrText xml:space="preserve"> PAGEREF _Toc383772763 \h </w:instrText>
        </w:r>
        <w:r>
          <w:rPr>
            <w:noProof/>
            <w:webHidden/>
          </w:rPr>
        </w:r>
        <w:r>
          <w:rPr>
            <w:noProof/>
            <w:webHidden/>
          </w:rPr>
          <w:fldChar w:fldCharType="separate"/>
        </w:r>
        <w:r>
          <w:rPr>
            <w:noProof/>
            <w:webHidden/>
          </w:rPr>
          <w:t>8</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4" w:history="1">
        <w:r w:rsidRPr="001B56FF">
          <w:rPr>
            <w:rStyle w:val="Hyperlink"/>
            <w:noProof/>
          </w:rPr>
          <w:t>Pharmacokinetics</w:t>
        </w:r>
        <w:r>
          <w:rPr>
            <w:noProof/>
            <w:webHidden/>
          </w:rPr>
          <w:tab/>
        </w:r>
        <w:r>
          <w:rPr>
            <w:noProof/>
            <w:webHidden/>
          </w:rPr>
          <w:fldChar w:fldCharType="begin"/>
        </w:r>
        <w:r>
          <w:rPr>
            <w:noProof/>
            <w:webHidden/>
          </w:rPr>
          <w:instrText xml:space="preserve"> PAGEREF _Toc383772764 \h </w:instrText>
        </w:r>
        <w:r>
          <w:rPr>
            <w:noProof/>
            <w:webHidden/>
          </w:rPr>
        </w:r>
        <w:r>
          <w:rPr>
            <w:noProof/>
            <w:webHidden/>
          </w:rPr>
          <w:fldChar w:fldCharType="separate"/>
        </w:r>
        <w:r>
          <w:rPr>
            <w:noProof/>
            <w:webHidden/>
          </w:rPr>
          <w:t>11</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5" w:history="1">
        <w:r w:rsidRPr="001B56FF">
          <w:rPr>
            <w:rStyle w:val="Hyperlink"/>
            <w:noProof/>
          </w:rPr>
          <w:t>Toxicology</w:t>
        </w:r>
        <w:r>
          <w:rPr>
            <w:noProof/>
            <w:webHidden/>
          </w:rPr>
          <w:tab/>
        </w:r>
        <w:r>
          <w:rPr>
            <w:noProof/>
            <w:webHidden/>
          </w:rPr>
          <w:fldChar w:fldCharType="begin"/>
        </w:r>
        <w:r>
          <w:rPr>
            <w:noProof/>
            <w:webHidden/>
          </w:rPr>
          <w:instrText xml:space="preserve"> PAGEREF _Toc383772765 \h </w:instrText>
        </w:r>
        <w:r>
          <w:rPr>
            <w:noProof/>
            <w:webHidden/>
          </w:rPr>
        </w:r>
        <w:r>
          <w:rPr>
            <w:noProof/>
            <w:webHidden/>
          </w:rPr>
          <w:fldChar w:fldCharType="separate"/>
        </w:r>
        <w:r>
          <w:rPr>
            <w:noProof/>
            <w:webHidden/>
          </w:rPr>
          <w:t>12</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6" w:history="1">
        <w:r w:rsidRPr="001B56FF">
          <w:rPr>
            <w:rStyle w:val="Hyperlink"/>
            <w:noProof/>
          </w:rPr>
          <w:t>Nonclinical summary and conclusions</w:t>
        </w:r>
        <w:r>
          <w:rPr>
            <w:noProof/>
            <w:webHidden/>
          </w:rPr>
          <w:tab/>
        </w:r>
        <w:r>
          <w:rPr>
            <w:noProof/>
            <w:webHidden/>
          </w:rPr>
          <w:fldChar w:fldCharType="begin"/>
        </w:r>
        <w:r>
          <w:rPr>
            <w:noProof/>
            <w:webHidden/>
          </w:rPr>
          <w:instrText xml:space="preserve"> PAGEREF _Toc383772766 \h </w:instrText>
        </w:r>
        <w:r>
          <w:rPr>
            <w:noProof/>
            <w:webHidden/>
          </w:rPr>
        </w:r>
        <w:r>
          <w:rPr>
            <w:noProof/>
            <w:webHidden/>
          </w:rPr>
          <w:fldChar w:fldCharType="separate"/>
        </w:r>
        <w:r>
          <w:rPr>
            <w:noProof/>
            <w:webHidden/>
          </w:rPr>
          <w:t>16</w:t>
        </w:r>
        <w:r>
          <w:rPr>
            <w:noProof/>
            <w:webHidden/>
          </w:rPr>
          <w:fldChar w:fldCharType="end"/>
        </w:r>
      </w:hyperlink>
    </w:p>
    <w:p w:rsidR="00304948" w:rsidRDefault="00304948">
      <w:pPr>
        <w:pStyle w:val="TOC2"/>
        <w:rPr>
          <w:rFonts w:asciiTheme="minorHAnsi" w:eastAsiaTheme="minorEastAsia" w:hAnsiTheme="minorHAnsi" w:cstheme="minorBidi"/>
          <w:b w:val="0"/>
          <w:noProof/>
          <w:sz w:val="22"/>
          <w:lang w:eastAsia="en-AU"/>
        </w:rPr>
      </w:pPr>
      <w:hyperlink w:anchor="_Toc383772767" w:history="1">
        <w:r w:rsidRPr="001B56FF">
          <w:rPr>
            <w:rStyle w:val="Hyperlink"/>
            <w:noProof/>
          </w:rPr>
          <w:t>IV. Clinical findings</w:t>
        </w:r>
        <w:r>
          <w:rPr>
            <w:noProof/>
            <w:webHidden/>
          </w:rPr>
          <w:tab/>
        </w:r>
        <w:r>
          <w:rPr>
            <w:noProof/>
            <w:webHidden/>
          </w:rPr>
          <w:fldChar w:fldCharType="begin"/>
        </w:r>
        <w:r>
          <w:rPr>
            <w:noProof/>
            <w:webHidden/>
          </w:rPr>
          <w:instrText xml:space="preserve"> PAGEREF _Toc383772767 \h </w:instrText>
        </w:r>
        <w:r>
          <w:rPr>
            <w:noProof/>
            <w:webHidden/>
          </w:rPr>
        </w:r>
        <w:r>
          <w:rPr>
            <w:noProof/>
            <w:webHidden/>
          </w:rPr>
          <w:fldChar w:fldCharType="separate"/>
        </w:r>
        <w:r>
          <w:rPr>
            <w:noProof/>
            <w:webHidden/>
          </w:rPr>
          <w:t>18</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8" w:history="1">
        <w:r w:rsidRPr="001B56FF">
          <w:rPr>
            <w:rStyle w:val="Hyperlink"/>
            <w:noProof/>
          </w:rPr>
          <w:t>Introduction</w:t>
        </w:r>
        <w:r>
          <w:rPr>
            <w:noProof/>
            <w:webHidden/>
          </w:rPr>
          <w:tab/>
        </w:r>
        <w:r>
          <w:rPr>
            <w:noProof/>
            <w:webHidden/>
          </w:rPr>
          <w:fldChar w:fldCharType="begin"/>
        </w:r>
        <w:r>
          <w:rPr>
            <w:noProof/>
            <w:webHidden/>
          </w:rPr>
          <w:instrText xml:space="preserve"> PAGEREF _Toc383772768 \h </w:instrText>
        </w:r>
        <w:r>
          <w:rPr>
            <w:noProof/>
            <w:webHidden/>
          </w:rPr>
        </w:r>
        <w:r>
          <w:rPr>
            <w:noProof/>
            <w:webHidden/>
          </w:rPr>
          <w:fldChar w:fldCharType="separate"/>
        </w:r>
        <w:r>
          <w:rPr>
            <w:noProof/>
            <w:webHidden/>
          </w:rPr>
          <w:t>18</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69" w:history="1">
        <w:r w:rsidRPr="001B56FF">
          <w:rPr>
            <w:rStyle w:val="Hyperlink"/>
            <w:noProof/>
          </w:rPr>
          <w:t>Pharmacokinetics</w:t>
        </w:r>
        <w:r>
          <w:rPr>
            <w:noProof/>
            <w:webHidden/>
          </w:rPr>
          <w:tab/>
        </w:r>
        <w:r>
          <w:rPr>
            <w:noProof/>
            <w:webHidden/>
          </w:rPr>
          <w:fldChar w:fldCharType="begin"/>
        </w:r>
        <w:r>
          <w:rPr>
            <w:noProof/>
            <w:webHidden/>
          </w:rPr>
          <w:instrText xml:space="preserve"> PAGEREF _Toc383772769 \h </w:instrText>
        </w:r>
        <w:r>
          <w:rPr>
            <w:noProof/>
            <w:webHidden/>
          </w:rPr>
        </w:r>
        <w:r>
          <w:rPr>
            <w:noProof/>
            <w:webHidden/>
          </w:rPr>
          <w:fldChar w:fldCharType="separate"/>
        </w:r>
        <w:r>
          <w:rPr>
            <w:noProof/>
            <w:webHidden/>
          </w:rPr>
          <w:t>19</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0" w:history="1">
        <w:r w:rsidRPr="001B56FF">
          <w:rPr>
            <w:rStyle w:val="Hyperlink"/>
            <w:noProof/>
          </w:rPr>
          <w:t>Pharmacodynamics</w:t>
        </w:r>
        <w:r>
          <w:rPr>
            <w:noProof/>
            <w:webHidden/>
          </w:rPr>
          <w:tab/>
        </w:r>
        <w:r>
          <w:rPr>
            <w:noProof/>
            <w:webHidden/>
          </w:rPr>
          <w:fldChar w:fldCharType="begin"/>
        </w:r>
        <w:r>
          <w:rPr>
            <w:noProof/>
            <w:webHidden/>
          </w:rPr>
          <w:instrText xml:space="preserve"> PAGEREF _Toc383772770 \h </w:instrText>
        </w:r>
        <w:r>
          <w:rPr>
            <w:noProof/>
            <w:webHidden/>
          </w:rPr>
        </w:r>
        <w:r>
          <w:rPr>
            <w:noProof/>
            <w:webHidden/>
          </w:rPr>
          <w:fldChar w:fldCharType="separate"/>
        </w:r>
        <w:r>
          <w:rPr>
            <w:noProof/>
            <w:webHidden/>
          </w:rPr>
          <w:t>19</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1" w:history="1">
        <w:r w:rsidRPr="001B56FF">
          <w:rPr>
            <w:rStyle w:val="Hyperlink"/>
            <w:noProof/>
          </w:rPr>
          <w:t>Efficacy</w:t>
        </w:r>
        <w:r>
          <w:rPr>
            <w:noProof/>
            <w:webHidden/>
          </w:rPr>
          <w:tab/>
        </w:r>
        <w:r>
          <w:rPr>
            <w:noProof/>
            <w:webHidden/>
          </w:rPr>
          <w:fldChar w:fldCharType="begin"/>
        </w:r>
        <w:r>
          <w:rPr>
            <w:noProof/>
            <w:webHidden/>
          </w:rPr>
          <w:instrText xml:space="preserve"> PAGEREF _Toc383772771 \h </w:instrText>
        </w:r>
        <w:r>
          <w:rPr>
            <w:noProof/>
            <w:webHidden/>
          </w:rPr>
        </w:r>
        <w:r>
          <w:rPr>
            <w:noProof/>
            <w:webHidden/>
          </w:rPr>
          <w:fldChar w:fldCharType="separate"/>
        </w:r>
        <w:r>
          <w:rPr>
            <w:noProof/>
            <w:webHidden/>
          </w:rPr>
          <w:t>19</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2" w:history="1">
        <w:r w:rsidRPr="001B56FF">
          <w:rPr>
            <w:rStyle w:val="Hyperlink"/>
            <w:noProof/>
          </w:rPr>
          <w:t>Safety</w:t>
        </w:r>
        <w:r>
          <w:rPr>
            <w:noProof/>
            <w:webHidden/>
          </w:rPr>
          <w:tab/>
        </w:r>
        <w:r>
          <w:rPr>
            <w:noProof/>
            <w:webHidden/>
          </w:rPr>
          <w:fldChar w:fldCharType="begin"/>
        </w:r>
        <w:r>
          <w:rPr>
            <w:noProof/>
            <w:webHidden/>
          </w:rPr>
          <w:instrText xml:space="preserve"> PAGEREF _Toc383772772 \h </w:instrText>
        </w:r>
        <w:r>
          <w:rPr>
            <w:noProof/>
            <w:webHidden/>
          </w:rPr>
        </w:r>
        <w:r>
          <w:rPr>
            <w:noProof/>
            <w:webHidden/>
          </w:rPr>
          <w:fldChar w:fldCharType="separate"/>
        </w:r>
        <w:r>
          <w:rPr>
            <w:noProof/>
            <w:webHidden/>
          </w:rPr>
          <w:t>19</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3" w:history="1">
        <w:r w:rsidRPr="001B56FF">
          <w:rPr>
            <w:rStyle w:val="Hyperlink"/>
            <w:noProof/>
          </w:rPr>
          <w:t>Clinical summary and conclusions</w:t>
        </w:r>
        <w:r>
          <w:rPr>
            <w:noProof/>
            <w:webHidden/>
          </w:rPr>
          <w:tab/>
        </w:r>
        <w:r>
          <w:rPr>
            <w:noProof/>
            <w:webHidden/>
          </w:rPr>
          <w:fldChar w:fldCharType="begin"/>
        </w:r>
        <w:r>
          <w:rPr>
            <w:noProof/>
            <w:webHidden/>
          </w:rPr>
          <w:instrText xml:space="preserve"> PAGEREF _Toc383772773 \h </w:instrText>
        </w:r>
        <w:r>
          <w:rPr>
            <w:noProof/>
            <w:webHidden/>
          </w:rPr>
        </w:r>
        <w:r>
          <w:rPr>
            <w:noProof/>
            <w:webHidden/>
          </w:rPr>
          <w:fldChar w:fldCharType="separate"/>
        </w:r>
        <w:r>
          <w:rPr>
            <w:noProof/>
            <w:webHidden/>
          </w:rPr>
          <w:t>20</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4" w:history="1">
        <w:r w:rsidRPr="001B56FF">
          <w:rPr>
            <w:rStyle w:val="Hyperlink"/>
            <w:noProof/>
          </w:rPr>
          <w:t>List of questions</w:t>
        </w:r>
        <w:r>
          <w:rPr>
            <w:noProof/>
            <w:webHidden/>
          </w:rPr>
          <w:tab/>
        </w:r>
        <w:r>
          <w:rPr>
            <w:noProof/>
            <w:webHidden/>
          </w:rPr>
          <w:fldChar w:fldCharType="begin"/>
        </w:r>
        <w:r>
          <w:rPr>
            <w:noProof/>
            <w:webHidden/>
          </w:rPr>
          <w:instrText xml:space="preserve"> PAGEREF _Toc383772774 \h </w:instrText>
        </w:r>
        <w:r>
          <w:rPr>
            <w:noProof/>
            <w:webHidden/>
          </w:rPr>
        </w:r>
        <w:r>
          <w:rPr>
            <w:noProof/>
            <w:webHidden/>
          </w:rPr>
          <w:fldChar w:fldCharType="separate"/>
        </w:r>
        <w:r>
          <w:rPr>
            <w:noProof/>
            <w:webHidden/>
          </w:rPr>
          <w:t>21</w:t>
        </w:r>
        <w:r>
          <w:rPr>
            <w:noProof/>
            <w:webHidden/>
          </w:rPr>
          <w:fldChar w:fldCharType="end"/>
        </w:r>
      </w:hyperlink>
    </w:p>
    <w:p w:rsidR="00304948" w:rsidRDefault="00304948">
      <w:pPr>
        <w:pStyle w:val="TOC2"/>
        <w:rPr>
          <w:rFonts w:asciiTheme="minorHAnsi" w:eastAsiaTheme="minorEastAsia" w:hAnsiTheme="minorHAnsi" w:cstheme="minorBidi"/>
          <w:b w:val="0"/>
          <w:noProof/>
          <w:sz w:val="22"/>
          <w:lang w:eastAsia="en-AU"/>
        </w:rPr>
      </w:pPr>
      <w:hyperlink w:anchor="_Toc383772775" w:history="1">
        <w:r w:rsidRPr="001B56FF">
          <w:rPr>
            <w:rStyle w:val="Hyperlink"/>
            <w:noProof/>
          </w:rPr>
          <w:t>V. Pharmacovigilance findings</w:t>
        </w:r>
        <w:r>
          <w:rPr>
            <w:noProof/>
            <w:webHidden/>
          </w:rPr>
          <w:tab/>
        </w:r>
        <w:r>
          <w:rPr>
            <w:noProof/>
            <w:webHidden/>
          </w:rPr>
          <w:fldChar w:fldCharType="begin"/>
        </w:r>
        <w:r>
          <w:rPr>
            <w:noProof/>
            <w:webHidden/>
          </w:rPr>
          <w:instrText xml:space="preserve"> PAGEREF _Toc383772775 \h </w:instrText>
        </w:r>
        <w:r>
          <w:rPr>
            <w:noProof/>
            <w:webHidden/>
          </w:rPr>
        </w:r>
        <w:r>
          <w:rPr>
            <w:noProof/>
            <w:webHidden/>
          </w:rPr>
          <w:fldChar w:fldCharType="separate"/>
        </w:r>
        <w:r>
          <w:rPr>
            <w:noProof/>
            <w:webHidden/>
          </w:rPr>
          <w:t>21</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6" w:history="1">
        <w:r w:rsidRPr="001B56FF">
          <w:rPr>
            <w:rStyle w:val="Hyperlink"/>
            <w:noProof/>
            <w:lang w:eastAsia="en-AU"/>
          </w:rPr>
          <w:t xml:space="preserve">Risk </w:t>
        </w:r>
        <w:r w:rsidRPr="001B56FF">
          <w:rPr>
            <w:rStyle w:val="Hyperlink"/>
            <w:noProof/>
          </w:rPr>
          <w:t>management</w:t>
        </w:r>
        <w:r w:rsidRPr="001B56FF">
          <w:rPr>
            <w:rStyle w:val="Hyperlink"/>
            <w:noProof/>
            <w:lang w:eastAsia="en-AU"/>
          </w:rPr>
          <w:t xml:space="preserve"> plan</w:t>
        </w:r>
        <w:r>
          <w:rPr>
            <w:noProof/>
            <w:webHidden/>
          </w:rPr>
          <w:tab/>
        </w:r>
        <w:r>
          <w:rPr>
            <w:noProof/>
            <w:webHidden/>
          </w:rPr>
          <w:fldChar w:fldCharType="begin"/>
        </w:r>
        <w:r>
          <w:rPr>
            <w:noProof/>
            <w:webHidden/>
          </w:rPr>
          <w:instrText xml:space="preserve"> PAGEREF _Toc383772776 \h </w:instrText>
        </w:r>
        <w:r>
          <w:rPr>
            <w:noProof/>
            <w:webHidden/>
          </w:rPr>
        </w:r>
        <w:r>
          <w:rPr>
            <w:noProof/>
            <w:webHidden/>
          </w:rPr>
          <w:fldChar w:fldCharType="separate"/>
        </w:r>
        <w:r>
          <w:rPr>
            <w:noProof/>
            <w:webHidden/>
          </w:rPr>
          <w:t>21</w:t>
        </w:r>
        <w:r>
          <w:rPr>
            <w:noProof/>
            <w:webHidden/>
          </w:rPr>
          <w:fldChar w:fldCharType="end"/>
        </w:r>
      </w:hyperlink>
    </w:p>
    <w:p w:rsidR="00304948" w:rsidRDefault="00304948">
      <w:pPr>
        <w:pStyle w:val="TOC2"/>
        <w:rPr>
          <w:rFonts w:asciiTheme="minorHAnsi" w:eastAsiaTheme="minorEastAsia" w:hAnsiTheme="minorHAnsi" w:cstheme="minorBidi"/>
          <w:b w:val="0"/>
          <w:noProof/>
          <w:sz w:val="22"/>
          <w:lang w:eastAsia="en-AU"/>
        </w:rPr>
      </w:pPr>
      <w:hyperlink w:anchor="_Toc383772777" w:history="1">
        <w:r w:rsidRPr="001B56FF">
          <w:rPr>
            <w:rStyle w:val="Hyperlink"/>
            <w:noProof/>
          </w:rPr>
          <w:t>VI. Overall conclusion and risk/benefit assessment</w:t>
        </w:r>
        <w:r>
          <w:rPr>
            <w:noProof/>
            <w:webHidden/>
          </w:rPr>
          <w:tab/>
        </w:r>
        <w:r>
          <w:rPr>
            <w:noProof/>
            <w:webHidden/>
          </w:rPr>
          <w:fldChar w:fldCharType="begin"/>
        </w:r>
        <w:r>
          <w:rPr>
            <w:noProof/>
            <w:webHidden/>
          </w:rPr>
          <w:instrText xml:space="preserve"> PAGEREF _Toc383772777 \h </w:instrText>
        </w:r>
        <w:r>
          <w:rPr>
            <w:noProof/>
            <w:webHidden/>
          </w:rPr>
        </w:r>
        <w:r>
          <w:rPr>
            <w:noProof/>
            <w:webHidden/>
          </w:rPr>
          <w:fldChar w:fldCharType="separate"/>
        </w:r>
        <w:r>
          <w:rPr>
            <w:noProof/>
            <w:webHidden/>
          </w:rPr>
          <w:t>28</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8" w:history="1">
        <w:r w:rsidRPr="001B56FF">
          <w:rPr>
            <w:rStyle w:val="Hyperlink"/>
            <w:noProof/>
          </w:rPr>
          <w:t>Quality</w:t>
        </w:r>
        <w:r>
          <w:rPr>
            <w:noProof/>
            <w:webHidden/>
          </w:rPr>
          <w:tab/>
        </w:r>
        <w:r>
          <w:rPr>
            <w:noProof/>
            <w:webHidden/>
          </w:rPr>
          <w:fldChar w:fldCharType="begin"/>
        </w:r>
        <w:r>
          <w:rPr>
            <w:noProof/>
            <w:webHidden/>
          </w:rPr>
          <w:instrText xml:space="preserve"> PAGEREF _Toc383772778 \h </w:instrText>
        </w:r>
        <w:r>
          <w:rPr>
            <w:noProof/>
            <w:webHidden/>
          </w:rPr>
        </w:r>
        <w:r>
          <w:rPr>
            <w:noProof/>
            <w:webHidden/>
          </w:rPr>
          <w:fldChar w:fldCharType="separate"/>
        </w:r>
        <w:r>
          <w:rPr>
            <w:noProof/>
            <w:webHidden/>
          </w:rPr>
          <w:t>28</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79" w:history="1">
        <w:r w:rsidRPr="001B56FF">
          <w:rPr>
            <w:rStyle w:val="Hyperlink"/>
            <w:noProof/>
          </w:rPr>
          <w:t>Nonclinical</w:t>
        </w:r>
        <w:r>
          <w:rPr>
            <w:noProof/>
            <w:webHidden/>
          </w:rPr>
          <w:tab/>
        </w:r>
        <w:r>
          <w:rPr>
            <w:noProof/>
            <w:webHidden/>
          </w:rPr>
          <w:fldChar w:fldCharType="begin"/>
        </w:r>
        <w:r>
          <w:rPr>
            <w:noProof/>
            <w:webHidden/>
          </w:rPr>
          <w:instrText xml:space="preserve"> PAGEREF _Toc383772779 \h </w:instrText>
        </w:r>
        <w:r>
          <w:rPr>
            <w:noProof/>
            <w:webHidden/>
          </w:rPr>
        </w:r>
        <w:r>
          <w:rPr>
            <w:noProof/>
            <w:webHidden/>
          </w:rPr>
          <w:fldChar w:fldCharType="separate"/>
        </w:r>
        <w:r>
          <w:rPr>
            <w:noProof/>
            <w:webHidden/>
          </w:rPr>
          <w:t>28</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80" w:history="1">
        <w:r w:rsidRPr="001B56FF">
          <w:rPr>
            <w:rStyle w:val="Hyperlink"/>
            <w:noProof/>
          </w:rPr>
          <w:t>Clinical</w:t>
        </w:r>
        <w:r>
          <w:rPr>
            <w:noProof/>
            <w:webHidden/>
          </w:rPr>
          <w:tab/>
        </w:r>
        <w:r>
          <w:rPr>
            <w:noProof/>
            <w:webHidden/>
          </w:rPr>
          <w:fldChar w:fldCharType="begin"/>
        </w:r>
        <w:r>
          <w:rPr>
            <w:noProof/>
            <w:webHidden/>
          </w:rPr>
          <w:instrText xml:space="preserve"> PAGEREF _Toc383772780 \h </w:instrText>
        </w:r>
        <w:r>
          <w:rPr>
            <w:noProof/>
            <w:webHidden/>
          </w:rPr>
        </w:r>
        <w:r>
          <w:rPr>
            <w:noProof/>
            <w:webHidden/>
          </w:rPr>
          <w:fldChar w:fldCharType="separate"/>
        </w:r>
        <w:r>
          <w:rPr>
            <w:noProof/>
            <w:webHidden/>
          </w:rPr>
          <w:t>29</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81" w:history="1">
        <w:r w:rsidRPr="001B56FF">
          <w:rPr>
            <w:rStyle w:val="Hyperlink"/>
            <w:noProof/>
            <w:lang w:eastAsia="en-AU"/>
          </w:rPr>
          <w:t>Risk management plan</w:t>
        </w:r>
        <w:r>
          <w:rPr>
            <w:noProof/>
            <w:webHidden/>
          </w:rPr>
          <w:tab/>
        </w:r>
        <w:r>
          <w:rPr>
            <w:noProof/>
            <w:webHidden/>
          </w:rPr>
          <w:fldChar w:fldCharType="begin"/>
        </w:r>
        <w:r>
          <w:rPr>
            <w:noProof/>
            <w:webHidden/>
          </w:rPr>
          <w:instrText xml:space="preserve"> PAGEREF _Toc383772781 \h </w:instrText>
        </w:r>
        <w:r>
          <w:rPr>
            <w:noProof/>
            <w:webHidden/>
          </w:rPr>
        </w:r>
        <w:r>
          <w:rPr>
            <w:noProof/>
            <w:webHidden/>
          </w:rPr>
          <w:fldChar w:fldCharType="separate"/>
        </w:r>
        <w:r>
          <w:rPr>
            <w:noProof/>
            <w:webHidden/>
          </w:rPr>
          <w:t>33</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82" w:history="1">
        <w:r w:rsidRPr="001B56FF">
          <w:rPr>
            <w:rStyle w:val="Hyperlink"/>
            <w:noProof/>
          </w:rPr>
          <w:t>Risk-benefit analysis</w:t>
        </w:r>
        <w:r>
          <w:rPr>
            <w:noProof/>
            <w:webHidden/>
          </w:rPr>
          <w:tab/>
        </w:r>
        <w:r>
          <w:rPr>
            <w:noProof/>
            <w:webHidden/>
          </w:rPr>
          <w:fldChar w:fldCharType="begin"/>
        </w:r>
        <w:r>
          <w:rPr>
            <w:noProof/>
            <w:webHidden/>
          </w:rPr>
          <w:instrText xml:space="preserve"> PAGEREF _Toc383772782 \h </w:instrText>
        </w:r>
        <w:r>
          <w:rPr>
            <w:noProof/>
            <w:webHidden/>
          </w:rPr>
        </w:r>
        <w:r>
          <w:rPr>
            <w:noProof/>
            <w:webHidden/>
          </w:rPr>
          <w:fldChar w:fldCharType="separate"/>
        </w:r>
        <w:r>
          <w:rPr>
            <w:noProof/>
            <w:webHidden/>
          </w:rPr>
          <w:t>33</w:t>
        </w:r>
        <w:r>
          <w:rPr>
            <w:noProof/>
            <w:webHidden/>
          </w:rPr>
          <w:fldChar w:fldCharType="end"/>
        </w:r>
      </w:hyperlink>
    </w:p>
    <w:p w:rsidR="00304948" w:rsidRDefault="00304948">
      <w:pPr>
        <w:pStyle w:val="TOC3"/>
        <w:rPr>
          <w:rFonts w:asciiTheme="minorHAnsi" w:eastAsiaTheme="minorEastAsia" w:hAnsiTheme="minorHAnsi" w:cstheme="minorBidi"/>
          <w:noProof/>
          <w:lang w:eastAsia="en-AU"/>
        </w:rPr>
      </w:pPr>
      <w:hyperlink w:anchor="_Toc383772783" w:history="1">
        <w:r w:rsidRPr="001B56FF">
          <w:rPr>
            <w:rStyle w:val="Hyperlink"/>
            <w:noProof/>
          </w:rPr>
          <w:t>Outcome</w:t>
        </w:r>
        <w:r>
          <w:rPr>
            <w:noProof/>
            <w:webHidden/>
          </w:rPr>
          <w:tab/>
        </w:r>
        <w:r>
          <w:rPr>
            <w:noProof/>
            <w:webHidden/>
          </w:rPr>
          <w:fldChar w:fldCharType="begin"/>
        </w:r>
        <w:r>
          <w:rPr>
            <w:noProof/>
            <w:webHidden/>
          </w:rPr>
          <w:instrText xml:space="preserve"> PAGEREF _Toc383772783 \h </w:instrText>
        </w:r>
        <w:r>
          <w:rPr>
            <w:noProof/>
            <w:webHidden/>
          </w:rPr>
        </w:r>
        <w:r>
          <w:rPr>
            <w:noProof/>
            <w:webHidden/>
          </w:rPr>
          <w:fldChar w:fldCharType="separate"/>
        </w:r>
        <w:r>
          <w:rPr>
            <w:noProof/>
            <w:webHidden/>
          </w:rPr>
          <w:t>43</w:t>
        </w:r>
        <w:r>
          <w:rPr>
            <w:noProof/>
            <w:webHidden/>
          </w:rPr>
          <w:fldChar w:fldCharType="end"/>
        </w:r>
      </w:hyperlink>
    </w:p>
    <w:p w:rsidR="00304948" w:rsidRDefault="00304948">
      <w:pPr>
        <w:pStyle w:val="TOC2"/>
        <w:rPr>
          <w:rFonts w:asciiTheme="minorHAnsi" w:eastAsiaTheme="minorEastAsia" w:hAnsiTheme="minorHAnsi" w:cstheme="minorBidi"/>
          <w:b w:val="0"/>
          <w:noProof/>
          <w:sz w:val="22"/>
          <w:lang w:eastAsia="en-AU"/>
        </w:rPr>
      </w:pPr>
      <w:hyperlink w:anchor="_Toc383772784" w:history="1">
        <w:r w:rsidRPr="001B56FF">
          <w:rPr>
            <w:rStyle w:val="Hyperlink"/>
            <w:noProof/>
          </w:rPr>
          <w:t>Attachment 1. Product Information</w:t>
        </w:r>
        <w:r>
          <w:rPr>
            <w:noProof/>
            <w:webHidden/>
          </w:rPr>
          <w:tab/>
        </w:r>
        <w:r>
          <w:rPr>
            <w:noProof/>
            <w:webHidden/>
          </w:rPr>
          <w:fldChar w:fldCharType="begin"/>
        </w:r>
        <w:r>
          <w:rPr>
            <w:noProof/>
            <w:webHidden/>
          </w:rPr>
          <w:instrText xml:space="preserve"> PAGEREF _Toc383772784 \h </w:instrText>
        </w:r>
        <w:r>
          <w:rPr>
            <w:noProof/>
            <w:webHidden/>
          </w:rPr>
        </w:r>
        <w:r>
          <w:rPr>
            <w:noProof/>
            <w:webHidden/>
          </w:rPr>
          <w:fldChar w:fldCharType="separate"/>
        </w:r>
        <w:r>
          <w:rPr>
            <w:noProof/>
            <w:webHidden/>
          </w:rPr>
          <w:t>44</w:t>
        </w:r>
        <w:r>
          <w:rPr>
            <w:noProof/>
            <w:webHidden/>
          </w:rPr>
          <w:fldChar w:fldCharType="end"/>
        </w:r>
      </w:hyperlink>
    </w:p>
    <w:p w:rsidR="003A7F6C" w:rsidRPr="00B811C6" w:rsidRDefault="00304948" w:rsidP="00B811C6">
      <w:pPr>
        <w:pStyle w:val="TOC2"/>
      </w:pPr>
      <w:hyperlink w:anchor="_Toc383772785" w:history="1">
        <w:r w:rsidRPr="001B56FF">
          <w:rPr>
            <w:rStyle w:val="Hyperlink"/>
            <w:noProof/>
            <w:lang w:eastAsia="en-AU"/>
          </w:rPr>
          <w:t xml:space="preserve">Attachment 2. </w:t>
        </w:r>
        <w:r w:rsidRPr="001B56FF">
          <w:rPr>
            <w:rStyle w:val="Hyperlink"/>
            <w:noProof/>
          </w:rPr>
          <w:t>Extract</w:t>
        </w:r>
        <w:r w:rsidRPr="001B56FF">
          <w:rPr>
            <w:rStyle w:val="Hyperlink"/>
            <w:noProof/>
            <w:lang w:eastAsia="en-AU"/>
          </w:rPr>
          <w:t xml:space="preserve"> from the </w:t>
        </w:r>
        <w:r w:rsidRPr="001B56FF">
          <w:rPr>
            <w:rStyle w:val="Hyperlink"/>
            <w:noProof/>
          </w:rPr>
          <w:t>Clinical</w:t>
        </w:r>
        <w:r w:rsidRPr="001B56FF">
          <w:rPr>
            <w:rStyle w:val="Hyperlink"/>
            <w:noProof/>
            <w:lang w:eastAsia="en-AU"/>
          </w:rPr>
          <w:t xml:space="preserve"> Evaluation Report</w:t>
        </w:r>
        <w:r>
          <w:rPr>
            <w:noProof/>
            <w:webHidden/>
          </w:rPr>
          <w:tab/>
        </w:r>
        <w:r>
          <w:rPr>
            <w:noProof/>
            <w:webHidden/>
          </w:rPr>
          <w:fldChar w:fldCharType="begin"/>
        </w:r>
        <w:r>
          <w:rPr>
            <w:noProof/>
            <w:webHidden/>
          </w:rPr>
          <w:instrText xml:space="preserve"> PAGEREF _Toc383772785 \h </w:instrText>
        </w:r>
        <w:r>
          <w:rPr>
            <w:noProof/>
            <w:webHidden/>
          </w:rPr>
        </w:r>
        <w:r>
          <w:rPr>
            <w:noProof/>
            <w:webHidden/>
          </w:rPr>
          <w:fldChar w:fldCharType="separate"/>
        </w:r>
        <w:r>
          <w:rPr>
            <w:noProof/>
            <w:webHidden/>
          </w:rPr>
          <w:t>44</w:t>
        </w:r>
        <w:r>
          <w:rPr>
            <w:noProof/>
            <w:webHidden/>
          </w:rPr>
          <w:fldChar w:fldCharType="end"/>
        </w:r>
      </w:hyperlink>
      <w:r w:rsidR="00621C2E">
        <w:fldChar w:fldCharType="end"/>
      </w:r>
      <w:bookmarkStart w:id="2" w:name="_Toc314842482"/>
      <w:bookmarkStart w:id="3" w:name="_GoBack"/>
      <w:bookmarkEnd w:id="3"/>
    </w:p>
    <w:p w:rsidR="008E7846" w:rsidRDefault="00F53C07" w:rsidP="008E7846">
      <w:pPr>
        <w:pStyle w:val="Heading2"/>
      </w:pPr>
      <w:bookmarkStart w:id="4" w:name="_Toc383772751"/>
      <w:r>
        <w:lastRenderedPageBreak/>
        <w:t>I.</w:t>
      </w:r>
      <w:r w:rsidR="008E7846">
        <w:t xml:space="preserve"> Introduction to product submission</w:t>
      </w:r>
      <w:bookmarkEnd w:id="0"/>
      <w:bookmarkEnd w:id="2"/>
      <w:bookmarkEnd w:id="4"/>
    </w:p>
    <w:p w:rsidR="008E7846" w:rsidRDefault="008E7846" w:rsidP="008E7846">
      <w:pPr>
        <w:pStyle w:val="Heading3"/>
        <w:rPr>
          <w:lang w:eastAsia="en-AU"/>
        </w:rPr>
      </w:pPr>
      <w:bookmarkStart w:id="5" w:name="_Toc247691502"/>
      <w:bookmarkStart w:id="6" w:name="_Toc314842483"/>
      <w:bookmarkStart w:id="7" w:name="_Toc383772752"/>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3D1E62" w:rsidTr="00A75D2A">
        <w:trPr>
          <w:trHeight w:hRule="exact" w:val="454"/>
        </w:trPr>
        <w:tc>
          <w:tcPr>
            <w:tcW w:w="2907" w:type="dxa"/>
          </w:tcPr>
          <w:p w:rsidR="008E7846" w:rsidRPr="003D1E62" w:rsidRDefault="008E7846" w:rsidP="00A75D2A">
            <w:pPr>
              <w:rPr>
                <w:i/>
              </w:rPr>
            </w:pPr>
            <w:r w:rsidRPr="003D1E62">
              <w:rPr>
                <w:i/>
              </w:rPr>
              <w:t xml:space="preserve">Type of </w:t>
            </w:r>
            <w:r w:rsidR="00A75D2A">
              <w:rPr>
                <w:i/>
              </w:rPr>
              <w:t>s</w:t>
            </w:r>
            <w:r w:rsidRPr="003D1E62">
              <w:rPr>
                <w:i/>
              </w:rPr>
              <w:t>ubmission</w:t>
            </w:r>
            <w:r w:rsidR="00A75D2A">
              <w:rPr>
                <w:i/>
              </w:rPr>
              <w:t>:</w:t>
            </w:r>
          </w:p>
        </w:tc>
        <w:tc>
          <w:tcPr>
            <w:tcW w:w="6590" w:type="dxa"/>
            <w:gridSpan w:val="2"/>
          </w:tcPr>
          <w:p w:rsidR="008E7846" w:rsidRPr="003D1E62" w:rsidRDefault="008E7846" w:rsidP="002B741A">
            <w:r w:rsidRPr="003D1E62">
              <w:t>New Chemical Entity</w:t>
            </w:r>
          </w:p>
        </w:tc>
      </w:tr>
      <w:tr w:rsidR="008E7846" w:rsidRPr="003D1E62" w:rsidTr="00A75D2A">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2B741A">
            <w:r w:rsidRPr="003D1E62">
              <w:t>Approved</w:t>
            </w:r>
          </w:p>
        </w:tc>
      </w:tr>
      <w:tr w:rsidR="008E7846" w:rsidRPr="003D1E62" w:rsidTr="00A75D2A">
        <w:trPr>
          <w:trHeight w:hRule="exact" w:val="454"/>
        </w:trPr>
        <w:tc>
          <w:tcPr>
            <w:tcW w:w="2907" w:type="dxa"/>
          </w:tcPr>
          <w:p w:rsidR="008E7846" w:rsidRPr="003D1E62" w:rsidRDefault="008E7846" w:rsidP="00A75D2A">
            <w:pPr>
              <w:rPr>
                <w:i/>
              </w:rPr>
            </w:pPr>
            <w:r w:rsidRPr="003D1E62">
              <w:rPr>
                <w:i/>
              </w:rPr>
              <w:t xml:space="preserve">Date of </w:t>
            </w:r>
            <w:r w:rsidR="00A75D2A">
              <w:rPr>
                <w:i/>
              </w:rPr>
              <w:t>d</w:t>
            </w:r>
            <w:r w:rsidRPr="003D1E62">
              <w:rPr>
                <w:i/>
              </w:rPr>
              <w:t>ecision:</w:t>
            </w:r>
          </w:p>
        </w:tc>
        <w:tc>
          <w:tcPr>
            <w:tcW w:w="6590" w:type="dxa"/>
            <w:gridSpan w:val="2"/>
          </w:tcPr>
          <w:p w:rsidR="008E7846" w:rsidRPr="003D1E62" w:rsidRDefault="00C410FA" w:rsidP="003D1E62">
            <w:r>
              <w:t>29 October 2013</w:t>
            </w:r>
          </w:p>
        </w:tc>
      </w:tr>
      <w:tr w:rsidR="008E7846" w:rsidRPr="00487162" w:rsidTr="00A75D2A">
        <w:trPr>
          <w:gridAfter w:val="1"/>
          <w:wAfter w:w="283" w:type="dxa"/>
        </w:trPr>
        <w:tc>
          <w:tcPr>
            <w:tcW w:w="2907" w:type="dxa"/>
          </w:tcPr>
          <w:p w:rsidR="008E7846" w:rsidRPr="00487162" w:rsidRDefault="008E7846" w:rsidP="00A75D2A">
            <w:pPr>
              <w:rPr>
                <w:i/>
              </w:rPr>
            </w:pPr>
            <w:r w:rsidRPr="00487162">
              <w:rPr>
                <w:i/>
              </w:rPr>
              <w:t>Active ingredient:</w:t>
            </w:r>
          </w:p>
        </w:tc>
        <w:tc>
          <w:tcPr>
            <w:tcW w:w="6307" w:type="dxa"/>
          </w:tcPr>
          <w:p w:rsidR="008E7846" w:rsidRPr="00487162" w:rsidRDefault="002D241D" w:rsidP="00E45619">
            <w:r w:rsidRPr="002D241D">
              <w:t>Besifloxacin hydrochloride</w:t>
            </w:r>
          </w:p>
        </w:tc>
      </w:tr>
      <w:tr w:rsidR="008E7846" w:rsidRPr="00487162" w:rsidTr="00A75D2A">
        <w:trPr>
          <w:gridAfter w:val="1"/>
          <w:wAfter w:w="283" w:type="dxa"/>
        </w:trPr>
        <w:tc>
          <w:tcPr>
            <w:tcW w:w="2907" w:type="dxa"/>
          </w:tcPr>
          <w:p w:rsidR="008E7846" w:rsidRPr="00487162" w:rsidRDefault="00A75D2A" w:rsidP="00A75D2A">
            <w:pPr>
              <w:rPr>
                <w:i/>
              </w:rPr>
            </w:pPr>
            <w:r>
              <w:rPr>
                <w:i/>
              </w:rPr>
              <w:t>Product name:</w:t>
            </w:r>
          </w:p>
        </w:tc>
        <w:tc>
          <w:tcPr>
            <w:tcW w:w="6307" w:type="dxa"/>
          </w:tcPr>
          <w:p w:rsidR="008E7846" w:rsidRPr="00487162" w:rsidRDefault="002D241D" w:rsidP="00E45619">
            <w:r>
              <w:t>Besivance</w:t>
            </w:r>
          </w:p>
        </w:tc>
      </w:tr>
      <w:tr w:rsidR="008E7846" w:rsidRPr="00487162" w:rsidTr="00A75D2A">
        <w:trPr>
          <w:gridAfter w:val="1"/>
          <w:wAfter w:w="283" w:type="dxa"/>
        </w:trPr>
        <w:tc>
          <w:tcPr>
            <w:tcW w:w="2907" w:type="dxa"/>
          </w:tcPr>
          <w:p w:rsidR="008E7846" w:rsidRPr="00487162" w:rsidRDefault="008E7846" w:rsidP="00A75D2A">
            <w:pPr>
              <w:rPr>
                <w:i/>
              </w:rPr>
            </w:pPr>
            <w:r w:rsidRPr="00487162">
              <w:rPr>
                <w:i/>
              </w:rPr>
              <w:t xml:space="preserve">Sponsor’s </w:t>
            </w:r>
            <w:r w:rsidR="00A75D2A">
              <w:rPr>
                <w:i/>
              </w:rPr>
              <w:t>n</w:t>
            </w:r>
            <w:r w:rsidRPr="00487162">
              <w:rPr>
                <w:i/>
              </w:rPr>
              <w:t xml:space="preserve">ame and </w:t>
            </w:r>
            <w:r w:rsidR="00A75D2A">
              <w:rPr>
                <w:i/>
              </w:rPr>
              <w:t>a</w:t>
            </w:r>
            <w:r w:rsidRPr="00487162">
              <w:rPr>
                <w:i/>
              </w:rPr>
              <w:t>ddress:</w:t>
            </w:r>
          </w:p>
        </w:tc>
        <w:tc>
          <w:tcPr>
            <w:tcW w:w="6307" w:type="dxa"/>
          </w:tcPr>
          <w:p w:rsidR="0038516A" w:rsidRPr="00487162" w:rsidRDefault="0038516A" w:rsidP="00A75D2A">
            <w:r w:rsidRPr="0038516A">
              <w:t>Bausch &amp; Lomb (Australia) Pty Ltd</w:t>
            </w:r>
            <w:r w:rsidR="00A75D2A">
              <w:br/>
            </w:r>
            <w:r w:rsidR="00C7153E" w:rsidRPr="00C7153E">
              <w:t>16 Giffnock Avenue</w:t>
            </w:r>
            <w:r w:rsidR="00A75D2A">
              <w:br/>
            </w:r>
            <w:r w:rsidR="00C7153E" w:rsidRPr="00C7153E">
              <w:t>Macquarie Park NSW 2113</w:t>
            </w:r>
          </w:p>
        </w:tc>
      </w:tr>
      <w:tr w:rsidR="008E7846" w:rsidRPr="00487162" w:rsidTr="00A75D2A">
        <w:trPr>
          <w:gridAfter w:val="1"/>
          <w:wAfter w:w="283" w:type="dxa"/>
        </w:trPr>
        <w:tc>
          <w:tcPr>
            <w:tcW w:w="2907" w:type="dxa"/>
          </w:tcPr>
          <w:p w:rsidR="008E7846" w:rsidRPr="00487162" w:rsidRDefault="00A75D2A" w:rsidP="00E45619">
            <w:pPr>
              <w:rPr>
                <w:i/>
              </w:rPr>
            </w:pPr>
            <w:r>
              <w:rPr>
                <w:i/>
              </w:rPr>
              <w:t>Dose form:</w:t>
            </w:r>
          </w:p>
        </w:tc>
        <w:tc>
          <w:tcPr>
            <w:tcW w:w="6307" w:type="dxa"/>
          </w:tcPr>
          <w:p w:rsidR="008E7846" w:rsidRPr="00487162" w:rsidRDefault="00735B13" w:rsidP="00E45619">
            <w:r w:rsidRPr="00735B13">
              <w:t>Suspension eye drops</w:t>
            </w:r>
          </w:p>
        </w:tc>
      </w:tr>
      <w:tr w:rsidR="008E7846" w:rsidRPr="00487162" w:rsidTr="00A75D2A">
        <w:trPr>
          <w:gridAfter w:val="1"/>
          <w:wAfter w:w="283" w:type="dxa"/>
        </w:trPr>
        <w:tc>
          <w:tcPr>
            <w:tcW w:w="2907" w:type="dxa"/>
          </w:tcPr>
          <w:p w:rsidR="008E7846" w:rsidRPr="00487162" w:rsidRDefault="00A75D2A" w:rsidP="00A75D2A">
            <w:pPr>
              <w:rPr>
                <w:i/>
              </w:rPr>
            </w:pPr>
            <w:r>
              <w:rPr>
                <w:i/>
              </w:rPr>
              <w:t>Strength:</w:t>
            </w:r>
          </w:p>
        </w:tc>
        <w:tc>
          <w:tcPr>
            <w:tcW w:w="6307" w:type="dxa"/>
          </w:tcPr>
          <w:p w:rsidR="008E7846" w:rsidRPr="00487162" w:rsidRDefault="00735B13" w:rsidP="00E45619">
            <w:r w:rsidRPr="00735B13">
              <w:t>0.6% w/v</w:t>
            </w:r>
          </w:p>
        </w:tc>
      </w:tr>
      <w:tr w:rsidR="008E7846" w:rsidRPr="00487162" w:rsidTr="00A75D2A">
        <w:trPr>
          <w:gridAfter w:val="1"/>
          <w:wAfter w:w="283" w:type="dxa"/>
        </w:trPr>
        <w:tc>
          <w:tcPr>
            <w:tcW w:w="2907" w:type="dxa"/>
          </w:tcPr>
          <w:p w:rsidR="008E7846" w:rsidRPr="00487162" w:rsidRDefault="008E7846" w:rsidP="00A75D2A">
            <w:pPr>
              <w:rPr>
                <w:i/>
              </w:rPr>
            </w:pPr>
            <w:r w:rsidRPr="00487162">
              <w:rPr>
                <w:i/>
              </w:rPr>
              <w:t>Container:</w:t>
            </w:r>
          </w:p>
        </w:tc>
        <w:tc>
          <w:tcPr>
            <w:tcW w:w="6307" w:type="dxa"/>
          </w:tcPr>
          <w:p w:rsidR="008E7846" w:rsidRPr="00487162" w:rsidRDefault="00850CE7" w:rsidP="00E45619">
            <w:r w:rsidRPr="00850CE7">
              <w:t>Polyethylene bottle</w:t>
            </w:r>
          </w:p>
        </w:tc>
      </w:tr>
      <w:tr w:rsidR="008E7846" w:rsidRPr="00487162" w:rsidTr="00A75D2A">
        <w:trPr>
          <w:gridAfter w:val="1"/>
          <w:wAfter w:w="283" w:type="dxa"/>
        </w:trPr>
        <w:tc>
          <w:tcPr>
            <w:tcW w:w="2907" w:type="dxa"/>
          </w:tcPr>
          <w:p w:rsidR="008E7846" w:rsidRPr="00487162" w:rsidRDefault="008E7846" w:rsidP="00A75D2A">
            <w:pPr>
              <w:rPr>
                <w:i/>
              </w:rPr>
            </w:pPr>
            <w:r w:rsidRPr="00487162">
              <w:rPr>
                <w:i/>
              </w:rPr>
              <w:t>Pack sizes:</w:t>
            </w:r>
          </w:p>
        </w:tc>
        <w:tc>
          <w:tcPr>
            <w:tcW w:w="6307" w:type="dxa"/>
          </w:tcPr>
          <w:p w:rsidR="008E7846" w:rsidRPr="00487162" w:rsidRDefault="00850CE7" w:rsidP="00E45619">
            <w:r w:rsidRPr="00850CE7">
              <w:t>2 mL and 5 mL</w:t>
            </w:r>
          </w:p>
        </w:tc>
      </w:tr>
      <w:tr w:rsidR="008E7846" w:rsidRPr="00487162" w:rsidTr="00A75D2A">
        <w:trPr>
          <w:gridAfter w:val="1"/>
          <w:wAfter w:w="283" w:type="dxa"/>
        </w:trPr>
        <w:tc>
          <w:tcPr>
            <w:tcW w:w="2907" w:type="dxa"/>
          </w:tcPr>
          <w:p w:rsidR="008E7846" w:rsidRPr="00487162" w:rsidRDefault="008E7846" w:rsidP="00A75D2A">
            <w:pPr>
              <w:rPr>
                <w:i/>
              </w:rPr>
            </w:pPr>
            <w:r w:rsidRPr="00487162">
              <w:rPr>
                <w:i/>
              </w:rPr>
              <w:t xml:space="preserve">Approved </w:t>
            </w:r>
            <w:r w:rsidR="00A75D2A">
              <w:rPr>
                <w:i/>
              </w:rPr>
              <w:t>t</w:t>
            </w:r>
            <w:r w:rsidRPr="00487162">
              <w:rPr>
                <w:i/>
              </w:rPr>
              <w:t>herapeutic use:</w:t>
            </w:r>
          </w:p>
        </w:tc>
        <w:tc>
          <w:tcPr>
            <w:tcW w:w="6307" w:type="dxa"/>
          </w:tcPr>
          <w:p w:rsidR="00547DE0" w:rsidRPr="00547DE0" w:rsidRDefault="00547DE0" w:rsidP="00547DE0">
            <w:r w:rsidRPr="00547DE0">
              <w:t xml:space="preserve">Besivance is indicated for the treatment of severe, confirmed bacterial conjunctivitis caused by besifloxacin sensitive bacteria. </w:t>
            </w:r>
          </w:p>
          <w:p w:rsidR="00547DE0" w:rsidRPr="00487162" w:rsidRDefault="00547DE0" w:rsidP="00547DE0">
            <w:pPr>
              <w:rPr>
                <w:rFonts w:eastAsia="MS Mincho"/>
                <w:lang w:eastAsia="ja-JP"/>
              </w:rPr>
            </w:pPr>
            <w:r w:rsidRPr="00547DE0">
              <w:t>Besivance is indicated for adults and children 12 months and older.</w:t>
            </w:r>
          </w:p>
        </w:tc>
      </w:tr>
      <w:tr w:rsidR="008E7846" w:rsidRPr="00487162" w:rsidTr="00A75D2A">
        <w:trPr>
          <w:gridAfter w:val="1"/>
          <w:wAfter w:w="283" w:type="dxa"/>
        </w:trPr>
        <w:tc>
          <w:tcPr>
            <w:tcW w:w="2907" w:type="dxa"/>
          </w:tcPr>
          <w:p w:rsidR="008E7846" w:rsidRPr="00487162" w:rsidRDefault="00A75D2A" w:rsidP="00A75D2A">
            <w:pPr>
              <w:rPr>
                <w:i/>
              </w:rPr>
            </w:pPr>
            <w:r>
              <w:rPr>
                <w:i/>
              </w:rPr>
              <w:t>Route</w:t>
            </w:r>
            <w:r w:rsidR="008E7846" w:rsidRPr="00487162">
              <w:rPr>
                <w:i/>
              </w:rPr>
              <w:t xml:space="preserve"> of administration:</w:t>
            </w:r>
          </w:p>
        </w:tc>
        <w:tc>
          <w:tcPr>
            <w:tcW w:w="6307" w:type="dxa"/>
          </w:tcPr>
          <w:p w:rsidR="008E7846" w:rsidRPr="00487162" w:rsidRDefault="00A5212D" w:rsidP="00E45619">
            <w:r w:rsidRPr="00A5212D">
              <w:t>Ophthalmic</w:t>
            </w:r>
          </w:p>
        </w:tc>
      </w:tr>
      <w:tr w:rsidR="008E7846" w:rsidRPr="00487162" w:rsidTr="00A75D2A">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A5212D" w:rsidP="00E45619">
            <w:r w:rsidRPr="00A5212D">
              <w:t>One drop in the affected eye three times daily</w:t>
            </w:r>
          </w:p>
        </w:tc>
      </w:tr>
      <w:tr w:rsidR="008E7846" w:rsidRPr="00487162" w:rsidTr="00A75D2A">
        <w:trPr>
          <w:gridAfter w:val="1"/>
          <w:wAfter w:w="283" w:type="dxa"/>
        </w:trPr>
        <w:tc>
          <w:tcPr>
            <w:tcW w:w="2907" w:type="dxa"/>
          </w:tcPr>
          <w:p w:rsidR="008E7846" w:rsidRPr="00487162" w:rsidRDefault="008E7846" w:rsidP="00A75D2A">
            <w:pPr>
              <w:rPr>
                <w:i/>
              </w:rPr>
            </w:pPr>
            <w:r w:rsidRPr="00487162">
              <w:rPr>
                <w:i/>
              </w:rPr>
              <w:t xml:space="preserve">ARTG </w:t>
            </w:r>
            <w:r w:rsidR="00A75D2A">
              <w:rPr>
                <w:i/>
              </w:rPr>
              <w:t>number:</w:t>
            </w:r>
          </w:p>
        </w:tc>
        <w:tc>
          <w:tcPr>
            <w:tcW w:w="6307" w:type="dxa"/>
          </w:tcPr>
          <w:p w:rsidR="008E7846" w:rsidRPr="00487162" w:rsidRDefault="00E5267A" w:rsidP="00E45619">
            <w:r w:rsidRPr="00E5267A">
              <w:t>201509</w:t>
            </w:r>
          </w:p>
        </w:tc>
      </w:tr>
    </w:tbl>
    <w:p w:rsidR="008E7846" w:rsidRDefault="008E7846" w:rsidP="00580AE9">
      <w:pPr>
        <w:pStyle w:val="Heading3"/>
      </w:pPr>
      <w:bookmarkStart w:id="8" w:name="_Toc247691503"/>
      <w:bookmarkStart w:id="9" w:name="_Toc314842484"/>
      <w:bookmarkStart w:id="10" w:name="_Toc383772753"/>
      <w:r>
        <w:t xml:space="preserve">Product </w:t>
      </w:r>
      <w:r w:rsidRPr="00580AE9">
        <w:t>background</w:t>
      </w:r>
      <w:bookmarkEnd w:id="8"/>
      <w:bookmarkEnd w:id="9"/>
      <w:bookmarkEnd w:id="10"/>
    </w:p>
    <w:p w:rsidR="00694C67" w:rsidRDefault="005F6583" w:rsidP="00580AE9">
      <w:pPr>
        <w:rPr>
          <w:color w:val="000000"/>
        </w:rPr>
      </w:pPr>
      <w:r w:rsidRPr="00D0403E">
        <w:t xml:space="preserve">This AusPAR describes a submission by the sponsor, </w:t>
      </w:r>
      <w:r w:rsidRPr="0038516A">
        <w:t>Bausch &amp; Lomb (Australia) Pty Ltd</w:t>
      </w:r>
      <w:r w:rsidRPr="00D0403E">
        <w:t xml:space="preserve">, to </w:t>
      </w:r>
      <w:r>
        <w:t>register a new chemical entity,</w:t>
      </w:r>
      <w:r w:rsidRPr="00D0403E">
        <w:t xml:space="preserve"> </w:t>
      </w:r>
      <w:r w:rsidR="006860B4" w:rsidRPr="005C2B74">
        <w:rPr>
          <w:rFonts w:cs="Arial"/>
          <w:color w:val="000000"/>
        </w:rPr>
        <w:t>Besivance,</w:t>
      </w:r>
      <w:r w:rsidR="006860B4" w:rsidRPr="005C2B74">
        <w:rPr>
          <w:rFonts w:cs="Arial"/>
          <w:color w:val="000000"/>
          <w:vertAlign w:val="superscript"/>
        </w:rPr>
        <w:t xml:space="preserve"> </w:t>
      </w:r>
      <w:r w:rsidR="006860B4" w:rsidRPr="005C2B74">
        <w:rPr>
          <w:rFonts w:cs="Arial"/>
          <w:color w:val="000000"/>
        </w:rPr>
        <w:t>besifloxacin hydrochloride 0.6% ophthalmic suspension</w:t>
      </w:r>
      <w:r w:rsidR="006860B4">
        <w:rPr>
          <w:rFonts w:cs="Arial"/>
          <w:color w:val="000000"/>
        </w:rPr>
        <w:t>.</w:t>
      </w:r>
      <w:r w:rsidR="00BC3BA9" w:rsidRPr="005C2B74">
        <w:rPr>
          <w:rFonts w:cs="ArialMT"/>
          <w:color w:val="000000"/>
        </w:rPr>
        <w:t xml:space="preserve"> </w:t>
      </w:r>
      <w:r w:rsidR="00BC3BA9" w:rsidRPr="005C2B74">
        <w:rPr>
          <w:color w:val="000000"/>
        </w:rPr>
        <w:t>The proposed indication is</w:t>
      </w:r>
      <w:r w:rsidR="00694C67">
        <w:rPr>
          <w:color w:val="000000"/>
        </w:rPr>
        <w:t>:</w:t>
      </w:r>
    </w:p>
    <w:p w:rsidR="00BC3BA9" w:rsidRDefault="00BC3BA9" w:rsidP="00580AE9">
      <w:pPr>
        <w:ind w:left="720"/>
      </w:pPr>
      <w:proofErr w:type="gramStart"/>
      <w:r w:rsidRPr="00694C67">
        <w:rPr>
          <w:i/>
        </w:rPr>
        <w:t>for</w:t>
      </w:r>
      <w:proofErr w:type="gramEnd"/>
      <w:r w:rsidRPr="00694C67">
        <w:rPr>
          <w:i/>
        </w:rPr>
        <w:t xml:space="preserve"> the treatment of bacterial conjunctivitis caused by susceptible isolates of the following bacteria: </w:t>
      </w:r>
      <w:r w:rsidRPr="00694C67">
        <w:t>CDC Coryneform group G, Corynebacterium pseudodiphtheriticum</w:t>
      </w:r>
      <w:r w:rsidR="00AD59A6">
        <w:t>*</w:t>
      </w:r>
      <w:r w:rsidRPr="00694C67">
        <w:t>, Corynebacterium striatum</w:t>
      </w:r>
      <w:r w:rsidR="00AD59A6">
        <w:t>*</w:t>
      </w:r>
      <w:r w:rsidRPr="00694C67">
        <w:t>, Haemophilus influenzae, Moraxella lacunata</w:t>
      </w:r>
      <w:r w:rsidR="00AD59A6">
        <w:t>*</w:t>
      </w:r>
      <w:r w:rsidRPr="00694C67">
        <w:t>, Staphylococcus aureus, Staphylococcus epidermidis, Staphylococcus hominis</w:t>
      </w:r>
      <w:r w:rsidR="00AD59A6">
        <w:t>*</w:t>
      </w:r>
      <w:r w:rsidRPr="00694C67">
        <w:t>, Staphylococcus lugdunesis</w:t>
      </w:r>
      <w:r w:rsidR="00AD59A6">
        <w:t>*</w:t>
      </w:r>
      <w:r w:rsidRPr="00694C67">
        <w:t>, Streptococcus mitis group, Streptococcus oralis, Streptococcus pneumoniae, Streptococcus salivarius</w:t>
      </w:r>
      <w:r w:rsidR="00AD59A6">
        <w:t>*</w:t>
      </w:r>
      <w:r w:rsidRPr="00694C67">
        <w:t>.</w:t>
      </w:r>
    </w:p>
    <w:p w:rsidR="00AD59A6" w:rsidRPr="00580AE9" w:rsidRDefault="00AD59A6" w:rsidP="00580AE9">
      <w:pPr>
        <w:ind w:left="720"/>
        <w:rPr>
          <w:i/>
        </w:rPr>
      </w:pPr>
      <w:r w:rsidRPr="00580AE9">
        <w:rPr>
          <w:i/>
        </w:rPr>
        <w:t>*</w:t>
      </w:r>
      <w:r w:rsidR="00E417CD" w:rsidRPr="00580AE9">
        <w:rPr>
          <w:i/>
        </w:rPr>
        <w:t xml:space="preserve"> </w:t>
      </w:r>
      <w:r w:rsidRPr="00580AE9">
        <w:rPr>
          <w:i/>
        </w:rPr>
        <w:t>Efficacy for this organism was studied in fewer than 10 infections.</w:t>
      </w:r>
    </w:p>
    <w:p w:rsidR="00694C67" w:rsidRPr="00694C67" w:rsidRDefault="00694C67" w:rsidP="00580AE9">
      <w:r w:rsidRPr="00694C67">
        <w:t xml:space="preserve">Besifloxacin hydrochloride </w:t>
      </w:r>
      <w:r w:rsidR="009248A9" w:rsidRPr="005C2B74">
        <w:rPr>
          <w:color w:val="000000"/>
        </w:rPr>
        <w:t>is an 8-chloro-fluoroquinolone antibiotic suspension for topical ophthalmic use</w:t>
      </w:r>
      <w:r w:rsidRPr="00694C67">
        <w:t>.</w:t>
      </w:r>
      <w:r w:rsidR="002E751D">
        <w:t xml:space="preserve"> </w:t>
      </w:r>
      <w:r w:rsidRPr="00694C67">
        <w:t xml:space="preserve">Other fluoroquinolones </w:t>
      </w:r>
      <w:r w:rsidR="00207902">
        <w:t xml:space="preserve">(FQs) </w:t>
      </w:r>
      <w:r w:rsidRPr="00694C67">
        <w:t xml:space="preserve">registered in Australia include </w:t>
      </w:r>
      <w:r w:rsidRPr="00694C67">
        <w:lastRenderedPageBreak/>
        <w:t>ciprofloxacin, moxifloxacin, norfloxacin and ofloxacin, with ciprofloxacin and ofloxacin registered for topical treatment of bacterial conjunctivitis.</w:t>
      </w:r>
    </w:p>
    <w:p w:rsidR="00694C67" w:rsidRPr="00694C67" w:rsidRDefault="00694C67" w:rsidP="00580AE9">
      <w:r w:rsidRPr="00694C67">
        <w:t>Besifloxacin imparts its action by inhibiting bacterial DNA gyrase and topoisomerase IV.</w:t>
      </w:r>
      <w:r w:rsidR="005B4953">
        <w:t xml:space="preserve"> </w:t>
      </w:r>
      <w:r w:rsidRPr="00694C67">
        <w:t>DNA gyrase is an essential enzyme required for replication, transcriptio</w:t>
      </w:r>
      <w:r w:rsidR="00E061B9">
        <w:t xml:space="preserve">n and repair of bacterial DNA. </w:t>
      </w:r>
      <w:r w:rsidRPr="00694C67">
        <w:t>Topoisomerase IV is an essential enzyme required for portioning of chromosomal DNA during bacterial cell division. Besifloxacin has an N-1 cyclopropyl group, which provides broad spectrum activi</w:t>
      </w:r>
      <w:r w:rsidR="00E02BE9">
        <w:t xml:space="preserve">ty against common aerobic, Gram </w:t>
      </w:r>
      <w:r w:rsidRPr="00694C67">
        <w:t xml:space="preserve">positive </w:t>
      </w:r>
      <w:r w:rsidR="00E02BE9">
        <w:t xml:space="preserve">(+ve) and Gram </w:t>
      </w:r>
      <w:r w:rsidRPr="00694C67">
        <w:t xml:space="preserve">negative </w:t>
      </w:r>
      <w:r w:rsidR="00E02BE9">
        <w:t xml:space="preserve">(-ve) </w:t>
      </w:r>
      <w:r w:rsidRPr="00694C67">
        <w:t xml:space="preserve">bacteria causing </w:t>
      </w:r>
      <w:r w:rsidR="00E061B9">
        <w:t>conjunctivitis</w:t>
      </w:r>
      <w:r w:rsidRPr="00694C67">
        <w:t>.</w:t>
      </w:r>
      <w:r w:rsidR="00E061B9">
        <w:t xml:space="preserve"> The activity is </w:t>
      </w:r>
      <w:r w:rsidRPr="00694C67">
        <w:t>enhanced by a chloride substitution at the C-8 position.</w:t>
      </w:r>
    </w:p>
    <w:p w:rsidR="00694C67" w:rsidRPr="00694C67" w:rsidRDefault="00694C67" w:rsidP="00580AE9">
      <w:r>
        <w:t>Besivance</w:t>
      </w:r>
      <w:r w:rsidRPr="00694C67">
        <w:t xml:space="preserve"> has </w:t>
      </w:r>
      <w:r>
        <w:t>been developed with the Durasite</w:t>
      </w:r>
      <w:r w:rsidRPr="00694C67">
        <w:t xml:space="preserve"> delivery system which is intended to increase residence time of the active ingredient on the ocular surface, to allow less frequent dosing than other topical agents used for treatme</w:t>
      </w:r>
      <w:r w:rsidR="00580AE9">
        <w:t>nt of bacterial conjunctivitis.</w:t>
      </w:r>
    </w:p>
    <w:p w:rsidR="00694C67" w:rsidRPr="00694C67" w:rsidRDefault="00694C67" w:rsidP="00580AE9">
      <w:r w:rsidRPr="00694C67">
        <w:t>Besifloxacin hydrochloride is proposed for treatm</w:t>
      </w:r>
      <w:r w:rsidR="00E061B9">
        <w:t>ent of bacterial conjunctivitis</w:t>
      </w:r>
      <w:r w:rsidRPr="00694C67">
        <w:t xml:space="preserve">. Clinical resolution of bacterial conjunctivitis can occur without any treatment in 7 days. The rationale for antibacterial treatment is to shorten duration of disease and reduce this risk </w:t>
      </w:r>
      <w:r w:rsidR="00580AE9">
        <w:t>of contagious spread.</w:t>
      </w:r>
    </w:p>
    <w:p w:rsidR="008E7846" w:rsidRPr="00580AE9" w:rsidRDefault="00386150" w:rsidP="00580AE9">
      <w:pPr>
        <w:pStyle w:val="Heading3"/>
      </w:pPr>
      <w:bookmarkStart w:id="11" w:name="_Toc314842485"/>
      <w:bookmarkStart w:id="12" w:name="_Toc247691504"/>
      <w:bookmarkStart w:id="13" w:name="_Toc383772754"/>
      <w:r>
        <w:t>Regulatory s</w:t>
      </w:r>
      <w:r w:rsidR="008E7846">
        <w:t>tatus</w:t>
      </w:r>
      <w:bookmarkEnd w:id="11"/>
      <w:bookmarkEnd w:id="12"/>
      <w:bookmarkEnd w:id="13"/>
    </w:p>
    <w:p w:rsidR="00531EF9" w:rsidRDefault="00C71F39" w:rsidP="00580AE9">
      <w:bookmarkStart w:id="14" w:name="_Toc247691505"/>
      <w:bookmarkStart w:id="15" w:name="_Toc314842486"/>
      <w:r w:rsidRPr="00C71F39">
        <w:t>Besifloxacin HCl Ophthalmic Suspension 0.6%</w:t>
      </w:r>
      <w:r>
        <w:t xml:space="preserve"> is approved for use in </w:t>
      </w:r>
      <w:r w:rsidR="00342105">
        <w:t xml:space="preserve">the </w:t>
      </w:r>
      <w:r w:rsidR="00837014">
        <w:t xml:space="preserve">USA (28 May </w:t>
      </w:r>
      <w:r w:rsidR="00837014" w:rsidRPr="00E93B23">
        <w:t>2009</w:t>
      </w:r>
      <w:r w:rsidR="00837014">
        <w:t xml:space="preserve">), Canada (23 October </w:t>
      </w:r>
      <w:r w:rsidR="00837014" w:rsidRPr="00C71F39">
        <w:t>2009</w:t>
      </w:r>
      <w:r w:rsidR="00837014">
        <w:t xml:space="preserve">), </w:t>
      </w:r>
      <w:r>
        <w:t>Argentina (</w:t>
      </w:r>
      <w:r w:rsidR="00746B7F">
        <w:t xml:space="preserve">18 March </w:t>
      </w:r>
      <w:r w:rsidRPr="00C71F39">
        <w:t>2010</w:t>
      </w:r>
      <w:r>
        <w:t xml:space="preserve">), </w:t>
      </w:r>
      <w:r w:rsidR="00837014">
        <w:t xml:space="preserve">South Korea (31 May </w:t>
      </w:r>
      <w:r w:rsidR="00837014" w:rsidRPr="00C71F39">
        <w:t>2010</w:t>
      </w:r>
      <w:r w:rsidR="00837014">
        <w:t xml:space="preserve">), </w:t>
      </w:r>
      <w:r>
        <w:t>Brazil (</w:t>
      </w:r>
      <w:r w:rsidR="00746B7F">
        <w:t xml:space="preserve">27 January </w:t>
      </w:r>
      <w:r w:rsidRPr="00C71F39">
        <w:t>2011</w:t>
      </w:r>
      <w:r>
        <w:t>), Hong Kong (</w:t>
      </w:r>
      <w:r w:rsidR="00746B7F">
        <w:t xml:space="preserve">21 February </w:t>
      </w:r>
      <w:r w:rsidRPr="00C71F39">
        <w:t>2011</w:t>
      </w:r>
      <w:r>
        <w:t xml:space="preserve">), </w:t>
      </w:r>
      <w:r w:rsidR="00837014">
        <w:t xml:space="preserve">Taiwan (23 June </w:t>
      </w:r>
      <w:r w:rsidR="00837014" w:rsidRPr="00E93B23">
        <w:t>2011</w:t>
      </w:r>
      <w:r w:rsidR="00837014">
        <w:t xml:space="preserve">), Singapore (23 September </w:t>
      </w:r>
      <w:r w:rsidR="00837014" w:rsidRPr="00E93B23">
        <w:t>2011</w:t>
      </w:r>
      <w:r w:rsidR="00837014">
        <w:t xml:space="preserve">), Malaysia (19 January </w:t>
      </w:r>
      <w:r w:rsidR="00837014" w:rsidRPr="00E93B23">
        <w:t>2012</w:t>
      </w:r>
      <w:r w:rsidR="00837014">
        <w:t xml:space="preserve">), Thailand (10 May </w:t>
      </w:r>
      <w:r w:rsidR="00837014" w:rsidRPr="00E93B23">
        <w:t>2012</w:t>
      </w:r>
      <w:r w:rsidR="00837014">
        <w:t xml:space="preserve">), </w:t>
      </w:r>
      <w:r>
        <w:t>India (</w:t>
      </w:r>
      <w:r w:rsidR="00746B7F">
        <w:t xml:space="preserve">12 June </w:t>
      </w:r>
      <w:r w:rsidRPr="00C71F39">
        <w:t>2012</w:t>
      </w:r>
      <w:r>
        <w:t xml:space="preserve">), </w:t>
      </w:r>
      <w:r w:rsidR="00837014">
        <w:t xml:space="preserve">Vietnam (22 June </w:t>
      </w:r>
      <w:r w:rsidR="00837014" w:rsidRPr="00B315A6">
        <w:t>2012</w:t>
      </w:r>
      <w:r w:rsidR="00837014">
        <w:t xml:space="preserve">), and </w:t>
      </w:r>
      <w:r>
        <w:t>Mexico (</w:t>
      </w:r>
      <w:r w:rsidR="00746B7F">
        <w:t>8 January</w:t>
      </w:r>
      <w:r w:rsidR="00513AA2" w:rsidRPr="00513AA2">
        <w:t xml:space="preserve"> 2013</w:t>
      </w:r>
      <w:r>
        <w:t>)</w:t>
      </w:r>
      <w:r w:rsidR="00531EF9">
        <w:t>.</w:t>
      </w:r>
    </w:p>
    <w:p w:rsidR="00C71F39" w:rsidRDefault="001A2187" w:rsidP="00580AE9">
      <w:r>
        <w:t xml:space="preserve">The approved </w:t>
      </w:r>
      <w:r w:rsidR="006D3C77">
        <w:t>indications in the USA are:</w:t>
      </w:r>
    </w:p>
    <w:p w:rsidR="006D3C77" w:rsidRPr="00140AA6" w:rsidRDefault="006D3C77" w:rsidP="00580AE9">
      <w:pPr>
        <w:ind w:left="720"/>
      </w:pPr>
      <w:r w:rsidRPr="00580AE9">
        <w:rPr>
          <w:i/>
        </w:rPr>
        <w:t>Besivance (besifloxacin ophthalmic suspension) 0.6%, is a quinolone antimicrobial indicated for the treatment of bacterial conjunctivitis caused by susceptible isolates of the following bacteria:</w:t>
      </w:r>
      <w:r w:rsidRPr="00140AA6">
        <w:t xml:space="preserve"> Aerococcus viridans*, CDC coryneform group G, Corynebacterium pseudodiphtheriticum*, Corynebacterium striatum*, Haemophilus influenzae, Moraxella catarrhalis*, Moraxella lacunata*, Pseudomonas aeruginosa*, Staphylococcus aureus, Staphylococcus epidermidis, Staphylococcus hominis*, Staphylococcus lugdunensis*, Staphylococcus warneri*, Streptococcus mitis group, Streptococcus oralis, Streptococcus pneumoniae, Streptococcus salivarius*.</w:t>
      </w:r>
    </w:p>
    <w:p w:rsidR="006D3C77" w:rsidRPr="00580AE9" w:rsidRDefault="006D3C77" w:rsidP="00580AE9">
      <w:pPr>
        <w:ind w:left="720"/>
        <w:rPr>
          <w:i/>
        </w:rPr>
      </w:pPr>
      <w:r w:rsidRPr="00580AE9">
        <w:rPr>
          <w:i/>
        </w:rPr>
        <w:t>* Efficacy for this organism was studied in fewer than 10 infections</w:t>
      </w:r>
      <w:r w:rsidR="00D3068A" w:rsidRPr="00580AE9">
        <w:rPr>
          <w:i/>
        </w:rPr>
        <w:t>.</w:t>
      </w:r>
    </w:p>
    <w:p w:rsidR="008E7846" w:rsidRDefault="008E7846" w:rsidP="00580AE9">
      <w:pPr>
        <w:pStyle w:val="Heading3"/>
      </w:pPr>
      <w:bookmarkStart w:id="16" w:name="_Toc383772755"/>
      <w:r>
        <w:t xml:space="preserve">Product </w:t>
      </w:r>
      <w:r w:rsidRPr="00580AE9">
        <w:t>Information</w:t>
      </w:r>
      <w:bookmarkEnd w:id="14"/>
      <w:bookmarkEnd w:id="15"/>
      <w:bookmarkEnd w:id="16"/>
    </w:p>
    <w:p w:rsidR="008E7846" w:rsidRDefault="008E7846" w:rsidP="000F5CEC">
      <w:r>
        <w:t>The approved Product Information (PI) current at the time this AusPAR was prepared can be found as Attachment 1.</w:t>
      </w:r>
      <w:bookmarkStart w:id="17" w:name="_Toc247691506"/>
      <w:bookmarkStart w:id="18" w:name="_Toc314842487"/>
    </w:p>
    <w:p w:rsidR="008E7846" w:rsidRPr="003602A9" w:rsidRDefault="008E7846" w:rsidP="000F5CEC">
      <w:pPr>
        <w:pStyle w:val="Heading2"/>
      </w:pPr>
      <w:bookmarkStart w:id="19" w:name="_Toc383772756"/>
      <w:r>
        <w:t>II. Quality</w:t>
      </w:r>
      <w:bookmarkEnd w:id="1"/>
      <w:r>
        <w:t xml:space="preserve"> </w:t>
      </w:r>
      <w:r w:rsidRPr="000F5CEC">
        <w:t>findings</w:t>
      </w:r>
      <w:bookmarkEnd w:id="17"/>
      <w:bookmarkEnd w:id="18"/>
      <w:bookmarkEnd w:id="19"/>
    </w:p>
    <w:p w:rsidR="008E7846" w:rsidRDefault="008E7846" w:rsidP="000F5CEC">
      <w:pPr>
        <w:pStyle w:val="Heading3"/>
      </w:pPr>
      <w:bookmarkStart w:id="20" w:name="_Toc247691507"/>
      <w:bookmarkStart w:id="21" w:name="_Toc314842488"/>
      <w:bookmarkStart w:id="22" w:name="_Toc383772757"/>
      <w:r w:rsidRPr="008751DC">
        <w:t xml:space="preserve">Drug </w:t>
      </w:r>
      <w:r>
        <w:t>s</w:t>
      </w:r>
      <w:r w:rsidRPr="008751DC">
        <w:t>ubstance</w:t>
      </w:r>
      <w:r>
        <w:t xml:space="preserve"> (active </w:t>
      </w:r>
      <w:r w:rsidRPr="000F5CEC">
        <w:t>ingredient</w:t>
      </w:r>
      <w:r>
        <w:t>)</w:t>
      </w:r>
      <w:bookmarkEnd w:id="20"/>
      <w:bookmarkEnd w:id="21"/>
      <w:bookmarkEnd w:id="22"/>
    </w:p>
    <w:p w:rsidR="00D14C0F" w:rsidRDefault="000270E9" w:rsidP="000F5CEC">
      <w:r>
        <w:t>The chemical structure of t</w:t>
      </w:r>
      <w:r w:rsidR="00D14C0F" w:rsidRPr="00796121">
        <w:t xml:space="preserve">he drug substance, besifloxacin hydrochloride, </w:t>
      </w:r>
      <w:r>
        <w:t xml:space="preserve">is </w:t>
      </w:r>
      <w:r w:rsidR="00D14C0F">
        <w:t>shown in Figure 1.</w:t>
      </w:r>
    </w:p>
    <w:p w:rsidR="000270E9" w:rsidRDefault="000270E9" w:rsidP="000F5CEC">
      <w:pPr>
        <w:pStyle w:val="FigureTitle"/>
      </w:pPr>
      <w:r>
        <w:lastRenderedPageBreak/>
        <w:t>Figure 1:</w:t>
      </w:r>
      <w:r w:rsidRPr="004C5C28">
        <w:t xml:space="preserve"> </w:t>
      </w:r>
      <w:r>
        <w:t xml:space="preserve">Chemical </w:t>
      </w:r>
      <w:r w:rsidRPr="000F5CEC">
        <w:t>structure</w:t>
      </w:r>
      <w:r>
        <w:t xml:space="preserve"> of </w:t>
      </w:r>
      <w:r w:rsidRPr="00796121">
        <w:t>besifloxacin hydrochloride</w:t>
      </w:r>
      <w:r>
        <w:t>.</w:t>
      </w:r>
    </w:p>
    <w:p w:rsidR="00D14C0F" w:rsidRDefault="00FB0B81" w:rsidP="000F5CEC">
      <w:r>
        <w:rPr>
          <w:noProof/>
          <w:lang w:eastAsia="en-AU"/>
        </w:rPr>
        <w:drawing>
          <wp:inline distT="0" distB="0" distL="0" distR="0" wp14:anchorId="01CCF48C" wp14:editId="2ECE55EF">
            <wp:extent cx="2299970" cy="1357630"/>
            <wp:effectExtent l="0" t="0" r="5080" b="0"/>
            <wp:docPr id="22" name="Picture 1" descr="Figure 1: Chemical structure of besifloxacin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Chemical structure of besifloxacin hydrochlor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970" cy="1357630"/>
                    </a:xfrm>
                    <a:prstGeom prst="rect">
                      <a:avLst/>
                    </a:prstGeom>
                    <a:noFill/>
                    <a:ln>
                      <a:noFill/>
                    </a:ln>
                  </pic:spPr>
                </pic:pic>
              </a:graphicData>
            </a:graphic>
          </wp:inline>
        </w:drawing>
      </w:r>
    </w:p>
    <w:p w:rsidR="0077720B" w:rsidRPr="00796121" w:rsidRDefault="0077720B" w:rsidP="000F5CEC">
      <w:r w:rsidRPr="00796121">
        <w:t>B</w:t>
      </w:r>
      <w:r w:rsidR="00975A3D">
        <w:t>e</w:t>
      </w:r>
      <w:r w:rsidR="00884A81">
        <w:t>sifloxacin hyd</w:t>
      </w:r>
      <w:r w:rsidRPr="00796121">
        <w:t xml:space="preserve">rochloride is manufactured by a seven step chemical synthesis starting with </w:t>
      </w:r>
      <w:r w:rsidRPr="00796121">
        <w:rPr>
          <w:i/>
        </w:rPr>
        <w:t>D</w:t>
      </w:r>
      <w:r w:rsidRPr="00796121">
        <w:rPr>
          <w:i/>
        </w:rPr>
        <w:noBreakHyphen/>
      </w:r>
      <w:r w:rsidRPr="00796121">
        <w:t xml:space="preserve">amino caprolactam and ‘Q-acid’ containing the </w:t>
      </w:r>
      <w:r w:rsidR="00686F1B">
        <w:t>FQ</w:t>
      </w:r>
      <w:r w:rsidRPr="00796121">
        <w:t xml:space="preserve"> moiety.</w:t>
      </w:r>
    </w:p>
    <w:p w:rsidR="0077720B" w:rsidRPr="00796121" w:rsidRDefault="0077720B" w:rsidP="000F5CEC">
      <w:r w:rsidRPr="00796121">
        <w:t>Besifloxacin hydrochlori</w:t>
      </w:r>
      <w:r w:rsidR="003F5629">
        <w:t>de is a white to pale yellowish/</w:t>
      </w:r>
      <w:r w:rsidRPr="00796121">
        <w:t>white powder. No polymorphs of besifloxacin hydrochloride are known.</w:t>
      </w:r>
    </w:p>
    <w:p w:rsidR="0077720B" w:rsidRPr="00796121" w:rsidRDefault="0077720B" w:rsidP="000F5CEC">
      <w:r w:rsidRPr="00796121">
        <w:t xml:space="preserve">The drug substance has one chiral center at the C-3’ position and is the </w:t>
      </w:r>
      <w:r w:rsidRPr="00796121">
        <w:rPr>
          <w:i/>
        </w:rPr>
        <w:t>R</w:t>
      </w:r>
      <w:r w:rsidRPr="00796121">
        <w:t>-enantiomer.</w:t>
      </w:r>
      <w:r w:rsidR="004D5AF2">
        <w:t xml:space="preserve"> </w:t>
      </w:r>
      <w:r w:rsidRPr="00796121">
        <w:t>Interconversion between enantiomers has not been observed.</w:t>
      </w:r>
    </w:p>
    <w:p w:rsidR="0077720B" w:rsidRPr="00796121" w:rsidRDefault="0077720B" w:rsidP="000F5CEC">
      <w:r w:rsidRPr="00796121">
        <w:t>Besifloxacin hydrochloride is sparingly soluble in water.</w:t>
      </w:r>
      <w:r w:rsidR="004D5AF2">
        <w:t xml:space="preserve"> </w:t>
      </w:r>
      <w:r w:rsidRPr="00796121">
        <w:t xml:space="preserve">The solubility profile of the drug substance in solutions at various </w:t>
      </w:r>
      <w:proofErr w:type="gramStart"/>
      <w:r w:rsidRPr="00796121">
        <w:t>pHs</w:t>
      </w:r>
      <w:proofErr w:type="gramEnd"/>
      <w:r w:rsidRPr="00796121">
        <w:t xml:space="preserve"> is consistent with the pKas of 5.6 (carboxylic acid) and 9.91 (primary amine).</w:t>
      </w:r>
      <w:r w:rsidR="004D5AF2">
        <w:t xml:space="preserve"> </w:t>
      </w:r>
      <w:r w:rsidRPr="00796121">
        <w:t>The observed partition coefficients (in octanol</w:t>
      </w:r>
      <w:proofErr w:type="gramStart"/>
      <w:r w:rsidRPr="00796121">
        <w:t>:buffer</w:t>
      </w:r>
      <w:proofErr w:type="gramEnd"/>
      <w:r w:rsidRPr="00796121">
        <w:t xml:space="preserve"> pH 2.0 – 12.0 solutions) range from -0.47 to -1.84.</w:t>
      </w:r>
    </w:p>
    <w:p w:rsidR="0077720B" w:rsidRPr="00796121" w:rsidRDefault="0077720B" w:rsidP="000F5CEC">
      <w:r w:rsidRPr="00796121">
        <w:t xml:space="preserve">The drug substance is micronised and the particle size is controlled to: </w:t>
      </w:r>
      <w:proofErr w:type="gramStart"/>
      <w:r w:rsidRPr="00796121">
        <w:t>volume mean</w:t>
      </w:r>
      <w:proofErr w:type="gramEnd"/>
      <w:r w:rsidRPr="00796121">
        <w:t xml:space="preserve"> diameter </w:t>
      </w:r>
      <w:r w:rsidR="003F5629">
        <w:t>No More Than (</w:t>
      </w:r>
      <w:r w:rsidRPr="00796121">
        <w:t>NMT</w:t>
      </w:r>
      <w:r w:rsidR="003F5629">
        <w:t>)</w:t>
      </w:r>
      <w:r w:rsidR="000F5CEC">
        <w:t xml:space="preserve"> 6 µm and Dv90 NMT 9 µm.</w:t>
      </w:r>
    </w:p>
    <w:p w:rsidR="0077720B" w:rsidRPr="00796121" w:rsidRDefault="0077720B" w:rsidP="000F5CEC">
      <w:r w:rsidRPr="00796121">
        <w:t xml:space="preserve">The </w:t>
      </w:r>
      <w:r>
        <w:t xml:space="preserve">proposed </w:t>
      </w:r>
      <w:r w:rsidRPr="00796121">
        <w:t xml:space="preserve">limit for the </w:t>
      </w:r>
      <w:r w:rsidRPr="00796121">
        <w:rPr>
          <w:i/>
        </w:rPr>
        <w:t>S</w:t>
      </w:r>
      <w:r>
        <w:t>-enantiomer, NMT 0.5%, was considered adequately qualified by the non-clinical evaluation section</w:t>
      </w:r>
      <w:r w:rsidRPr="00796121">
        <w:t>.</w:t>
      </w:r>
      <w:r w:rsidRPr="009C3CFC">
        <w:t xml:space="preserve"> </w:t>
      </w:r>
      <w:r w:rsidRPr="00796121">
        <w:t xml:space="preserve">The proposed </w:t>
      </w:r>
      <w:r>
        <w:t xml:space="preserve">drug substance </w:t>
      </w:r>
      <w:r w:rsidRPr="00796121">
        <w:t>specifications</w:t>
      </w:r>
      <w:r>
        <w:t xml:space="preserve"> were </w:t>
      </w:r>
      <w:r w:rsidRPr="00796121">
        <w:t>acceptable.</w:t>
      </w:r>
    </w:p>
    <w:p w:rsidR="0077720B" w:rsidRPr="00796121" w:rsidRDefault="0077720B" w:rsidP="000F5CEC">
      <w:r w:rsidRPr="00796121">
        <w:t xml:space="preserve">The drug substance exhibits </w:t>
      </w:r>
      <w:r w:rsidR="00521627">
        <w:t xml:space="preserve">good stability when stored at </w:t>
      </w:r>
      <w:r w:rsidR="00521627" w:rsidRPr="00521627">
        <w:t>25°C</w:t>
      </w:r>
      <w:r w:rsidRPr="00796121">
        <w:t xml:space="preserve"> over 36 months.</w:t>
      </w:r>
    </w:p>
    <w:p w:rsidR="008E7846" w:rsidRDefault="008E7846" w:rsidP="000F5CEC">
      <w:pPr>
        <w:pStyle w:val="Heading3"/>
      </w:pPr>
      <w:bookmarkStart w:id="23" w:name="_Toc247691508"/>
      <w:bookmarkStart w:id="24" w:name="_Toc314842490"/>
      <w:bookmarkStart w:id="25" w:name="_Toc383772758"/>
      <w:r w:rsidRPr="008751DC">
        <w:t xml:space="preserve">Drug </w:t>
      </w:r>
      <w:r w:rsidRPr="000F5CEC">
        <w:t>product</w:t>
      </w:r>
      <w:bookmarkEnd w:id="23"/>
      <w:bookmarkEnd w:id="24"/>
      <w:bookmarkEnd w:id="25"/>
    </w:p>
    <w:p w:rsidR="006B50C8" w:rsidRPr="00796121" w:rsidRDefault="006B50C8" w:rsidP="000F5CEC">
      <w:r w:rsidRPr="00796121">
        <w:t xml:space="preserve">Besivance eye drop suspension is </w:t>
      </w:r>
      <w:r w:rsidR="004D5AF2">
        <w:t>a</w:t>
      </w:r>
      <w:r>
        <w:t xml:space="preserve"> </w:t>
      </w:r>
      <w:r w:rsidR="004D5AF2">
        <w:t>pale yellowish/</w:t>
      </w:r>
      <w:r w:rsidR="004D5AF2" w:rsidRPr="00796121">
        <w:t>white</w:t>
      </w:r>
      <w:r w:rsidRPr="00796121">
        <w:t>, opaque liquid containing 0.6% w/v of besifloxacin.</w:t>
      </w:r>
    </w:p>
    <w:p w:rsidR="006B50C8" w:rsidRPr="00796121" w:rsidRDefault="006B50C8" w:rsidP="000F5CEC">
      <w:r w:rsidRPr="00796121">
        <w:t>The eye drop suspension is sterile and contains an antimicrobial preservative.</w:t>
      </w:r>
      <w:r w:rsidR="004D5AF2">
        <w:t xml:space="preserve"> </w:t>
      </w:r>
      <w:r w:rsidRPr="00796121">
        <w:t>The liquid phase is a DuraSite delivery system containing polycarbophil, edetate disodium, sodium chloride, water and sodium hydroxide for pH adjustment together with benzalkonium chloride, mannitol and poloxamer. The evaluator calculated that approximately 1.5% of the drug substance is in solution in the drug product.</w:t>
      </w:r>
    </w:p>
    <w:p w:rsidR="006B50C8" w:rsidRPr="00796121" w:rsidRDefault="007710D2" w:rsidP="000F5CEC">
      <w:r>
        <w:t>The Phase III</w:t>
      </w:r>
      <w:r w:rsidR="006B50C8" w:rsidRPr="00796121">
        <w:t xml:space="preserve"> clinical trial batches were manufactured to the same formulation as proposed for the commercial product.</w:t>
      </w:r>
    </w:p>
    <w:p w:rsidR="006B50C8" w:rsidRPr="00796121" w:rsidRDefault="006B50C8" w:rsidP="000F5CEC">
      <w:r w:rsidRPr="00796121">
        <w:t>The eye drop suspension is packaged into polyethylene bottles containing 2 mL or 5 mL with a controlled drop delivery tip.</w:t>
      </w:r>
    </w:p>
    <w:p w:rsidR="006B50C8" w:rsidRPr="00796121" w:rsidRDefault="006B50C8" w:rsidP="000F5CEC">
      <w:r>
        <w:t>During the manufacture of the suspension eyedrops, t</w:t>
      </w:r>
      <w:r w:rsidRPr="00796121">
        <w:t>he drug substance is fully dissolved before precipitation at pH 6.5 to form the zwitterion active</w:t>
      </w:r>
      <w:r>
        <w:t>.</w:t>
      </w:r>
    </w:p>
    <w:p w:rsidR="006B50C8" w:rsidRPr="00796121" w:rsidRDefault="006B50C8" w:rsidP="000F5CEC">
      <w:r w:rsidRPr="00796121">
        <w:t>Data was provided to show that the particle size of the active does not increase over the shelf</w:t>
      </w:r>
      <w:r w:rsidR="00BC76FB">
        <w:t xml:space="preserve"> </w:t>
      </w:r>
      <w:r w:rsidRPr="00796121">
        <w:t xml:space="preserve">life of the product and only </w:t>
      </w:r>
      <w:r>
        <w:t>the zwitterion</w:t>
      </w:r>
      <w:r w:rsidRPr="00796121">
        <w:t xml:space="preserve"> besifloxacin (n</w:t>
      </w:r>
      <w:r>
        <w:t>ot besifloxacin hydrochloride) wa</w:t>
      </w:r>
      <w:r w:rsidRPr="00796121">
        <w:t xml:space="preserve">s observed in </w:t>
      </w:r>
      <w:r>
        <w:t xml:space="preserve">dried </w:t>
      </w:r>
      <w:r w:rsidRPr="00796121">
        <w:t>aged batches.</w:t>
      </w:r>
    </w:p>
    <w:p w:rsidR="006B50C8" w:rsidRPr="00796121" w:rsidRDefault="006B50C8" w:rsidP="000F5CEC">
      <w:r w:rsidRPr="00796121">
        <w:t>The proposed release and shelf</w:t>
      </w:r>
      <w:r w:rsidR="00BC76FB">
        <w:t xml:space="preserve"> </w:t>
      </w:r>
      <w:r w:rsidRPr="00796121">
        <w:t>life specifications were adequately justified.</w:t>
      </w:r>
      <w:r w:rsidR="004D5AF2">
        <w:t xml:space="preserve"> </w:t>
      </w:r>
      <w:r w:rsidRPr="00796121">
        <w:t>The specifications include adequate control of the particle size of</w:t>
      </w:r>
      <w:r>
        <w:t xml:space="preserve"> the</w:t>
      </w:r>
      <w:r w:rsidRPr="00796121">
        <w:t xml:space="preserve"> active.</w:t>
      </w:r>
    </w:p>
    <w:p w:rsidR="006B50C8" w:rsidRPr="00796121" w:rsidRDefault="006B50C8" w:rsidP="000F5CEC">
      <w:r w:rsidRPr="00796121">
        <w:lastRenderedPageBreak/>
        <w:t>Stability data was generated under</w:t>
      </w:r>
      <w:r w:rsidR="00BC76FB">
        <w:t xml:space="preserve"> stressed, accelerated and long </w:t>
      </w:r>
      <w:r w:rsidRPr="00796121">
        <w:t>term storage conditions.</w:t>
      </w:r>
      <w:r w:rsidR="004D5AF2">
        <w:t xml:space="preserve"> </w:t>
      </w:r>
      <w:r w:rsidRPr="00796121">
        <w:t>The d</w:t>
      </w:r>
      <w:r w:rsidR="00BC76FB">
        <w:t xml:space="preserve">ata supports the proposed shelf </w:t>
      </w:r>
      <w:r w:rsidRPr="00796121">
        <w:t xml:space="preserve">lives when </w:t>
      </w:r>
      <w:r w:rsidR="00BC76FB">
        <w:t xml:space="preserve">the bottles are stored below </w:t>
      </w:r>
      <w:r w:rsidR="001D1A69" w:rsidRPr="00521627">
        <w:t>25°C</w:t>
      </w:r>
      <w:r w:rsidR="000F5CEC">
        <w:t>.</w:t>
      </w:r>
    </w:p>
    <w:p w:rsidR="006B50C8" w:rsidRPr="00796121" w:rsidRDefault="006B50C8" w:rsidP="006B50C8">
      <w:r w:rsidRPr="00796121">
        <w:t>In</w:t>
      </w:r>
      <w:r w:rsidR="00BC76FB">
        <w:t xml:space="preserve"> </w:t>
      </w:r>
      <w:r w:rsidRPr="00796121">
        <w:t>use stability data was also provided to support the proposed statement “discard after 4 weeks of opening”.</w:t>
      </w:r>
    </w:p>
    <w:p w:rsidR="008E7846" w:rsidRPr="000F5CEC" w:rsidRDefault="008E7846" w:rsidP="000F5CEC">
      <w:pPr>
        <w:pStyle w:val="Heading3"/>
      </w:pPr>
      <w:bookmarkStart w:id="26" w:name="_Toc314842491"/>
      <w:bookmarkStart w:id="27" w:name="_Toc383772759"/>
      <w:r>
        <w:t>Biopharmaceutics</w:t>
      </w:r>
      <w:bookmarkEnd w:id="26"/>
      <w:bookmarkEnd w:id="27"/>
    </w:p>
    <w:p w:rsidR="006B50C8" w:rsidRPr="00796121" w:rsidRDefault="006B50C8" w:rsidP="000F5CEC">
      <w:r w:rsidRPr="00796121">
        <w:t>Bio</w:t>
      </w:r>
      <w:r>
        <w:t>availability</w:t>
      </w:r>
      <w:r w:rsidRPr="00796121">
        <w:t xml:space="preserve"> data are not required for this locally acting product. Data on the extent of systemic absorption of the drug will be evaluated by the clinical evaluator.</w:t>
      </w:r>
    </w:p>
    <w:p w:rsidR="008E7846" w:rsidRPr="008751DC" w:rsidRDefault="008E7846" w:rsidP="000F5CEC">
      <w:pPr>
        <w:pStyle w:val="Heading3"/>
      </w:pPr>
      <w:bookmarkStart w:id="28" w:name="_Toc247691509"/>
      <w:bookmarkStart w:id="29" w:name="_Toc314842493"/>
      <w:bookmarkStart w:id="30" w:name="_Toc383772760"/>
      <w:r>
        <w:t>Quality s</w:t>
      </w:r>
      <w:r w:rsidRPr="008751DC">
        <w:t>ummary</w:t>
      </w:r>
      <w:r>
        <w:t xml:space="preserve"> </w:t>
      </w:r>
      <w:r w:rsidRPr="000F5CEC">
        <w:t>and</w:t>
      </w:r>
      <w:r>
        <w:t xml:space="preserve"> conclusions</w:t>
      </w:r>
      <w:bookmarkEnd w:id="28"/>
      <w:bookmarkEnd w:id="29"/>
      <w:bookmarkEnd w:id="30"/>
    </w:p>
    <w:p w:rsidR="006B50C8" w:rsidRPr="00796121" w:rsidRDefault="006B50C8" w:rsidP="000F5CEC">
      <w:r w:rsidRPr="00796121">
        <w:t>The submission was</w:t>
      </w:r>
      <w:r>
        <w:t xml:space="preserve"> not</w:t>
      </w:r>
      <w:r w:rsidRPr="00796121">
        <w:t xml:space="preserve"> </w:t>
      </w:r>
      <w:r>
        <w:t xml:space="preserve">required to be considered by the Pharmaceutical Sub Committee (PSC) of the </w:t>
      </w:r>
      <w:r>
        <w:rPr>
          <w:bCs/>
        </w:rPr>
        <w:t>Advisory Committee on Prescription Medicines (ACPM)</w:t>
      </w:r>
      <w:r>
        <w:t>.</w:t>
      </w:r>
    </w:p>
    <w:p w:rsidR="006B50C8" w:rsidRDefault="006B50C8" w:rsidP="000F5CEC">
      <w:r w:rsidRPr="00796121">
        <w:t>All issues</w:t>
      </w:r>
      <w:r>
        <w:t xml:space="preserve"> raised by the pharmaceutical chemistry section</w:t>
      </w:r>
      <w:r w:rsidRPr="00796121">
        <w:t xml:space="preserve"> have </w:t>
      </w:r>
      <w:r>
        <w:t xml:space="preserve">been </w:t>
      </w:r>
      <w:r w:rsidRPr="00796121">
        <w:t>satisfa</w:t>
      </w:r>
      <w:r>
        <w:t>ctorily resolved by the company and approval can be recommended from a pharma</w:t>
      </w:r>
      <w:r w:rsidR="000F5CEC">
        <w:t>ceutical chemistry perspective.</w:t>
      </w:r>
    </w:p>
    <w:p w:rsidR="008E7846" w:rsidRDefault="008E7846" w:rsidP="000F5CEC">
      <w:pPr>
        <w:pStyle w:val="Heading2"/>
      </w:pPr>
      <w:bookmarkStart w:id="31" w:name="_Toc196046439"/>
      <w:bookmarkStart w:id="32" w:name="_Toc247691510"/>
      <w:bookmarkStart w:id="33" w:name="_Toc314842494"/>
      <w:bookmarkStart w:id="34" w:name="_Toc383772761"/>
      <w:r>
        <w:t xml:space="preserve">III. </w:t>
      </w:r>
      <w:r w:rsidRPr="000F5CEC">
        <w:t>Nonclinical</w:t>
      </w:r>
      <w:bookmarkEnd w:id="31"/>
      <w:r>
        <w:t xml:space="preserve"> findings</w:t>
      </w:r>
      <w:bookmarkEnd w:id="32"/>
      <w:bookmarkEnd w:id="33"/>
      <w:bookmarkEnd w:id="34"/>
    </w:p>
    <w:p w:rsidR="008E7846" w:rsidRDefault="008E7846" w:rsidP="000F5CEC">
      <w:pPr>
        <w:pStyle w:val="Heading3"/>
      </w:pPr>
      <w:bookmarkStart w:id="35" w:name="_Toc247691511"/>
      <w:bookmarkStart w:id="36" w:name="_Toc314842495"/>
      <w:bookmarkStart w:id="37" w:name="_Toc383772762"/>
      <w:r w:rsidRPr="000F5CEC">
        <w:t>Introduction</w:t>
      </w:r>
      <w:bookmarkEnd w:id="35"/>
      <w:bookmarkEnd w:id="36"/>
      <w:bookmarkEnd w:id="37"/>
    </w:p>
    <w:p w:rsidR="00CA240D" w:rsidRPr="00CA240D" w:rsidRDefault="00CA240D" w:rsidP="000F5CEC">
      <w:r w:rsidRPr="00CA240D">
        <w:t>Bausch &amp; Lomb (Australia) Pty Ltd has applied to register besifloxacin hydrochloride 0.6% ophthalmic solution (</w:t>
      </w:r>
      <w:r>
        <w:t>B</w:t>
      </w:r>
      <w:r w:rsidRPr="00CA240D">
        <w:t>esivance) a</w:t>
      </w:r>
      <w:r w:rsidR="00967E0D">
        <w:t>s a new prescription medicine. Besivance</w:t>
      </w:r>
      <w:r w:rsidRPr="00CA240D">
        <w:t xml:space="preserve"> is proposed for the treatment of bacterial conjunctivitis arising from the following strai</w:t>
      </w:r>
      <w:r>
        <w:t>ns of bacteria:</w:t>
      </w:r>
    </w:p>
    <w:p w:rsidR="00CA240D" w:rsidRPr="000F5CEC" w:rsidRDefault="00CA240D" w:rsidP="000F5CEC">
      <w:pPr>
        <w:pStyle w:val="ListBullet"/>
        <w:rPr>
          <w:i/>
        </w:rPr>
      </w:pPr>
      <w:r w:rsidRPr="000F5CEC">
        <w:rPr>
          <w:i/>
        </w:rPr>
        <w:t>CDC coryneform group G</w:t>
      </w:r>
    </w:p>
    <w:p w:rsidR="00CA240D" w:rsidRPr="000F5CEC" w:rsidRDefault="00CA240D" w:rsidP="000F5CEC">
      <w:pPr>
        <w:pStyle w:val="ListBullet"/>
        <w:rPr>
          <w:i/>
        </w:rPr>
      </w:pPr>
      <w:r w:rsidRPr="000F5CEC">
        <w:rPr>
          <w:i/>
        </w:rPr>
        <w:t>Coryn</w:t>
      </w:r>
      <w:r w:rsidR="00CE660B" w:rsidRPr="000F5CEC">
        <w:rPr>
          <w:i/>
        </w:rPr>
        <w:t>ebacterium pseudodiphtheriticum</w:t>
      </w:r>
    </w:p>
    <w:p w:rsidR="00CE660B" w:rsidRPr="000F5CEC" w:rsidRDefault="00CA240D" w:rsidP="000F5CEC">
      <w:pPr>
        <w:pStyle w:val="ListBullet"/>
        <w:rPr>
          <w:i/>
        </w:rPr>
      </w:pPr>
      <w:r w:rsidRPr="000F5CEC">
        <w:rPr>
          <w:i/>
        </w:rPr>
        <w:t xml:space="preserve">Corynebacterium </w:t>
      </w:r>
      <w:r w:rsidR="00CE660B" w:rsidRPr="000F5CEC">
        <w:rPr>
          <w:i/>
        </w:rPr>
        <w:t>striatum</w:t>
      </w:r>
    </w:p>
    <w:p w:rsidR="00CA240D" w:rsidRPr="000F5CEC" w:rsidRDefault="00CA240D" w:rsidP="000F5CEC">
      <w:pPr>
        <w:pStyle w:val="ListBullet"/>
        <w:rPr>
          <w:i/>
        </w:rPr>
      </w:pPr>
      <w:r w:rsidRPr="000F5CEC">
        <w:rPr>
          <w:i/>
        </w:rPr>
        <w:t>Haemophilus influenzae</w:t>
      </w:r>
    </w:p>
    <w:p w:rsidR="00CA240D" w:rsidRPr="000F5CEC" w:rsidRDefault="00CE660B" w:rsidP="000F5CEC">
      <w:pPr>
        <w:pStyle w:val="ListBullet"/>
        <w:rPr>
          <w:i/>
        </w:rPr>
      </w:pPr>
      <w:r w:rsidRPr="000F5CEC">
        <w:rPr>
          <w:i/>
        </w:rPr>
        <w:t>Moraxella lacunata</w:t>
      </w:r>
    </w:p>
    <w:p w:rsidR="00CA240D" w:rsidRPr="000F5CEC" w:rsidRDefault="00CA240D" w:rsidP="000F5CEC">
      <w:pPr>
        <w:pStyle w:val="ListBullet"/>
        <w:rPr>
          <w:i/>
        </w:rPr>
      </w:pPr>
      <w:r w:rsidRPr="000F5CEC">
        <w:rPr>
          <w:i/>
        </w:rPr>
        <w:t>Staphylococcus aureus</w:t>
      </w:r>
    </w:p>
    <w:p w:rsidR="00CA240D" w:rsidRPr="000F5CEC" w:rsidRDefault="00CA240D" w:rsidP="000F5CEC">
      <w:pPr>
        <w:pStyle w:val="ListBullet"/>
        <w:rPr>
          <w:i/>
        </w:rPr>
      </w:pPr>
      <w:r w:rsidRPr="000F5CEC">
        <w:rPr>
          <w:i/>
        </w:rPr>
        <w:t>Staphylococcus epidermidis</w:t>
      </w:r>
    </w:p>
    <w:p w:rsidR="00CA240D" w:rsidRPr="000F5CEC" w:rsidRDefault="00CE660B" w:rsidP="000F5CEC">
      <w:pPr>
        <w:pStyle w:val="ListBullet"/>
        <w:rPr>
          <w:i/>
        </w:rPr>
      </w:pPr>
      <w:r w:rsidRPr="000F5CEC">
        <w:rPr>
          <w:i/>
        </w:rPr>
        <w:t>Staphylococcus hominis</w:t>
      </w:r>
    </w:p>
    <w:p w:rsidR="00CA240D" w:rsidRPr="000F5CEC" w:rsidRDefault="00CE660B" w:rsidP="000F5CEC">
      <w:pPr>
        <w:pStyle w:val="ListBullet"/>
        <w:rPr>
          <w:i/>
        </w:rPr>
      </w:pPr>
      <w:r w:rsidRPr="000F5CEC">
        <w:rPr>
          <w:i/>
        </w:rPr>
        <w:t>Staphylococcus lugdunensis</w:t>
      </w:r>
    </w:p>
    <w:p w:rsidR="00CA240D" w:rsidRPr="000F5CEC" w:rsidRDefault="00CA240D" w:rsidP="000F5CEC">
      <w:pPr>
        <w:pStyle w:val="ListBullet"/>
        <w:rPr>
          <w:i/>
        </w:rPr>
      </w:pPr>
      <w:r w:rsidRPr="000F5CEC">
        <w:rPr>
          <w:i/>
        </w:rPr>
        <w:t>Streptococcus mitis group</w:t>
      </w:r>
    </w:p>
    <w:p w:rsidR="00CA240D" w:rsidRPr="000F5CEC" w:rsidRDefault="00CA240D" w:rsidP="000F5CEC">
      <w:pPr>
        <w:pStyle w:val="ListBullet"/>
        <w:rPr>
          <w:i/>
        </w:rPr>
      </w:pPr>
      <w:r w:rsidRPr="000F5CEC">
        <w:rPr>
          <w:i/>
        </w:rPr>
        <w:t>Streptococcus oralis</w:t>
      </w:r>
    </w:p>
    <w:p w:rsidR="00CA240D" w:rsidRPr="000F5CEC" w:rsidRDefault="00CA240D" w:rsidP="000F5CEC">
      <w:pPr>
        <w:pStyle w:val="ListBullet"/>
        <w:rPr>
          <w:i/>
        </w:rPr>
      </w:pPr>
      <w:r w:rsidRPr="000F5CEC">
        <w:rPr>
          <w:i/>
        </w:rPr>
        <w:t>Streptococcus pneumoniae</w:t>
      </w:r>
    </w:p>
    <w:p w:rsidR="00CA240D" w:rsidRPr="000F5CEC" w:rsidRDefault="00CE660B" w:rsidP="000F5CEC">
      <w:pPr>
        <w:pStyle w:val="ListBullet"/>
        <w:rPr>
          <w:i/>
        </w:rPr>
      </w:pPr>
      <w:r w:rsidRPr="000F5CEC">
        <w:rPr>
          <w:i/>
        </w:rPr>
        <w:t>Streptococcus salivarius</w:t>
      </w:r>
    </w:p>
    <w:p w:rsidR="00CA240D" w:rsidRPr="00CA240D" w:rsidRDefault="00CA240D" w:rsidP="000F5CEC">
      <w:r w:rsidRPr="00CA240D">
        <w:t xml:space="preserve">The </w:t>
      </w:r>
      <w:r>
        <w:t>B</w:t>
      </w:r>
      <w:r w:rsidRPr="00CA240D">
        <w:t>esivance dose regimen for patients over 1 year of age is 1 drop of a 0.6% besiflo</w:t>
      </w:r>
      <w:r w:rsidR="00594687">
        <w:t xml:space="preserve">xacin solution, 3 times a day (TID; </w:t>
      </w:r>
      <w:r w:rsidR="00594687" w:rsidRPr="00594687">
        <w:rPr>
          <w:i/>
        </w:rPr>
        <w:t>ter in die</w:t>
      </w:r>
      <w:r w:rsidR="00594687">
        <w:t>), 4</w:t>
      </w:r>
      <w:r w:rsidRPr="00CA240D">
        <w:t>-12</w:t>
      </w:r>
      <w:r w:rsidR="00594687">
        <w:t xml:space="preserve"> </w:t>
      </w:r>
      <w:r w:rsidRPr="00CA240D">
        <w:t>h apart, for 7 days to the affected eye.</w:t>
      </w:r>
    </w:p>
    <w:p w:rsidR="00CA240D" w:rsidRPr="00CA240D" w:rsidRDefault="00CA240D" w:rsidP="000F5CEC">
      <w:pPr>
        <w:pStyle w:val="Heading4"/>
      </w:pPr>
      <w:bookmarkStart w:id="38" w:name="_Toc294861722"/>
      <w:bookmarkStart w:id="39" w:name="_Toc295290864"/>
      <w:bookmarkStart w:id="40" w:name="_Toc363033563"/>
      <w:r w:rsidRPr="00CA240D">
        <w:lastRenderedPageBreak/>
        <w:t xml:space="preserve">General </w:t>
      </w:r>
      <w:r w:rsidRPr="000F5CEC">
        <w:t>comments</w:t>
      </w:r>
      <w:bookmarkEnd w:id="38"/>
      <w:bookmarkEnd w:id="39"/>
      <w:bookmarkEnd w:id="40"/>
    </w:p>
    <w:p w:rsidR="00CA240D" w:rsidRPr="00CA240D" w:rsidRDefault="00CA240D" w:rsidP="000F5CEC">
      <w:r w:rsidRPr="00CA240D">
        <w:t xml:space="preserve">Besifloxacin is a fifth generation </w:t>
      </w:r>
      <w:r w:rsidR="00686F1B">
        <w:t>FQ</w:t>
      </w:r>
      <w:r w:rsidRPr="00CA240D">
        <w:t>; a well</w:t>
      </w:r>
      <w:r w:rsidR="004D2809">
        <w:t xml:space="preserve"> </w:t>
      </w:r>
      <w:r w:rsidRPr="00CA240D">
        <w:t>established class of anti</w:t>
      </w:r>
      <w:r w:rsidR="004D2809">
        <w:t xml:space="preserve"> </w:t>
      </w:r>
      <w:r w:rsidRPr="00CA240D">
        <w:t>bacterial</w:t>
      </w:r>
      <w:r w:rsidR="004D2809">
        <w:t xml:space="preserve"> agent. The non</w:t>
      </w:r>
      <w:r w:rsidRPr="00CA240D">
        <w:t>clinical module of the dossier was composed of primary (microbiology), secondary and safety pharmacology, absorption and plasma pharmacokinetic, single and repeat dose toxicity, genotoxicity, reproductive and development, photoallergenic, phototoxicity and chronic ocular toxicity studies.</w:t>
      </w:r>
      <w:r w:rsidR="004D5AF2">
        <w:t xml:space="preserve"> </w:t>
      </w:r>
      <w:r w:rsidRPr="00CA240D">
        <w:t>An Australian Antibiotic Resistance Risk Assessment was provided. Pi</w:t>
      </w:r>
      <w:r w:rsidR="004D2809">
        <w:t>votal toxicity studies were G</w:t>
      </w:r>
      <w:r w:rsidR="00604755">
        <w:t>ood Laboratory Practice (G</w:t>
      </w:r>
      <w:r w:rsidR="004D2809">
        <w:t>LP</w:t>
      </w:r>
      <w:r w:rsidR="00604755">
        <w:t>)</w:t>
      </w:r>
      <w:r w:rsidR="004D2809">
        <w:t xml:space="preserve"> </w:t>
      </w:r>
      <w:r w:rsidRPr="00CA240D">
        <w:t>compliant and toxicokinetic data were provided for relevant studies.</w:t>
      </w:r>
    </w:p>
    <w:p w:rsidR="008E7846" w:rsidRPr="000F5CEC" w:rsidRDefault="008E7846" w:rsidP="000F5CEC">
      <w:pPr>
        <w:pStyle w:val="Heading3"/>
      </w:pPr>
      <w:bookmarkStart w:id="41" w:name="_Toc247691512"/>
      <w:bookmarkStart w:id="42" w:name="_Toc314842496"/>
      <w:bookmarkStart w:id="43" w:name="_Toc383772763"/>
      <w:r w:rsidRPr="00020030">
        <w:t>Pharmacology</w:t>
      </w:r>
      <w:bookmarkEnd w:id="41"/>
      <w:bookmarkEnd w:id="42"/>
      <w:bookmarkEnd w:id="43"/>
    </w:p>
    <w:p w:rsidR="008B41BC" w:rsidRPr="008B41BC" w:rsidRDefault="008B41BC" w:rsidP="000F5CEC">
      <w:r w:rsidRPr="008B41BC">
        <w:t>An Australian antibiotic risk assessment was submitted. The nonclinical microbiology studies are reported as summarised by the sponsor.</w:t>
      </w:r>
    </w:p>
    <w:p w:rsidR="008B41BC" w:rsidRPr="000F5CEC" w:rsidRDefault="008B41BC" w:rsidP="000F5CEC">
      <w:pPr>
        <w:pStyle w:val="Heading4"/>
      </w:pPr>
      <w:r w:rsidRPr="008B41BC">
        <w:t>In vitro studies</w:t>
      </w:r>
    </w:p>
    <w:p w:rsidR="008B41BC" w:rsidRPr="008B41BC" w:rsidRDefault="000F5CEC" w:rsidP="000F5CEC">
      <w:pPr>
        <w:pStyle w:val="Heading5"/>
      </w:pPr>
      <w:r>
        <w:t xml:space="preserve">Mechanism of </w:t>
      </w:r>
      <w:r w:rsidRPr="000F5CEC">
        <w:t>a</w:t>
      </w:r>
      <w:r w:rsidR="008B41BC" w:rsidRPr="000F5CEC">
        <w:t>ction</w:t>
      </w:r>
    </w:p>
    <w:p w:rsidR="008B41BC" w:rsidRPr="008B41BC" w:rsidRDefault="008B41BC" w:rsidP="000F5CEC">
      <w:r w:rsidRPr="008B41BC">
        <w:t xml:space="preserve">Based on studies examining catalytic inhibition and cleavable complex stimulation with DNA gyrase and topoisomerase IV (Study PHA-005), and DNA decatenation and relaxation by human topoisomerase IIα (Study PHA-006), it was proposed that besifloxacin inhibits DNA gyrase and topoisomerase IV. The inhibition hinders bacterial DNA replication and partitioning. The tests were performed using </w:t>
      </w:r>
      <w:r w:rsidRPr="000469BC">
        <w:rPr>
          <w:i/>
        </w:rPr>
        <w:t>Streptococcus pneumoniae</w:t>
      </w:r>
      <w:r w:rsidRPr="008B41BC">
        <w:t xml:space="preserve">, </w:t>
      </w:r>
      <w:r w:rsidRPr="000469BC">
        <w:rPr>
          <w:i/>
        </w:rPr>
        <w:t>S. aureus</w:t>
      </w:r>
      <w:r w:rsidRPr="008B41BC">
        <w:t xml:space="preserve">, and </w:t>
      </w:r>
      <w:r w:rsidRPr="000469BC">
        <w:rPr>
          <w:i/>
        </w:rPr>
        <w:t>Escherichia coli</w:t>
      </w:r>
      <w:r w:rsidRPr="008B41BC">
        <w:t xml:space="preserve"> (Study PHA-005). With the exception of </w:t>
      </w:r>
      <w:r w:rsidRPr="000469BC">
        <w:rPr>
          <w:i/>
        </w:rPr>
        <w:t>S. aureus</w:t>
      </w:r>
      <w:r w:rsidRPr="008B41BC">
        <w:t xml:space="preserve">, DNA gyrase and topoisomerase IV were noted as the primary and secondary targets, respectively. In </w:t>
      </w:r>
      <w:r w:rsidRPr="000469BC">
        <w:rPr>
          <w:i/>
        </w:rPr>
        <w:t>S. aureus</w:t>
      </w:r>
      <w:r w:rsidRPr="008B41BC">
        <w:t>, besifloxacin is likely to simultaneously target DNA gyrase and topoisomerase IV.</w:t>
      </w:r>
    </w:p>
    <w:p w:rsidR="008B41BC" w:rsidRPr="008B41BC" w:rsidRDefault="008B41BC" w:rsidP="000F5CEC">
      <w:r w:rsidRPr="008B41BC">
        <w:t xml:space="preserve">Besifloxacin inhibition of human topoisomerase IIα was several orders of magnitude higher than </w:t>
      </w:r>
      <w:r w:rsidRPr="003F59CB">
        <w:rPr>
          <w:i/>
        </w:rPr>
        <w:t>S. pneumonia</w:t>
      </w:r>
      <w:r w:rsidRPr="008B41BC">
        <w:t>, and thus, unlikely to affect hum</w:t>
      </w:r>
      <w:r w:rsidR="00354044">
        <w:t>an cells at clinical doses (compared to</w:t>
      </w:r>
      <w:r w:rsidRPr="008B41BC">
        <w:t xml:space="preserve"> IC</w:t>
      </w:r>
      <w:r w:rsidRPr="00E12A15">
        <w:rPr>
          <w:vertAlign w:val="subscript"/>
        </w:rPr>
        <w:t>50</w:t>
      </w:r>
      <w:r w:rsidR="00354044">
        <w:t xml:space="preserve"> [50% inhibitory concentration]</w:t>
      </w:r>
      <w:r w:rsidRPr="008B41BC">
        <w:t xml:space="preserve">; 1000 µM and 5 µM in human and bacteria, respectively (Study PHA-006)). The besifloxacin (+)enantiomer was found to be more active than the (-)enantiomer in </w:t>
      </w:r>
      <w:r w:rsidRPr="003F59CB">
        <w:rPr>
          <w:i/>
        </w:rPr>
        <w:t>S. aureus, Sarcina lutea, Enterococcus faecalis, E. faecalis, Micrococcus lysodeikticus</w:t>
      </w:r>
      <w:r w:rsidRPr="008B41BC">
        <w:t xml:space="preserve"> and </w:t>
      </w:r>
      <w:r w:rsidRPr="003F59CB">
        <w:rPr>
          <w:i/>
        </w:rPr>
        <w:t>Bacillus subtilise</w:t>
      </w:r>
      <w:r w:rsidRPr="008B41BC">
        <w:t xml:space="preserve"> (</w:t>
      </w:r>
      <w:r w:rsidR="00354044">
        <w:t>compared to</w:t>
      </w:r>
      <w:r w:rsidR="00354044" w:rsidRPr="008B41BC">
        <w:t xml:space="preserve"> </w:t>
      </w:r>
      <w:r w:rsidR="00201C1E">
        <w:t xml:space="preserve">the </w:t>
      </w:r>
      <w:r w:rsidR="00201C1E" w:rsidRPr="00201C1E">
        <w:t xml:space="preserve">minimal inhibitory concentration </w:t>
      </w:r>
      <w:r w:rsidR="00201C1E">
        <w:t>[</w:t>
      </w:r>
      <w:r w:rsidRPr="008B41BC">
        <w:t>MIC</w:t>
      </w:r>
      <w:r w:rsidR="00201C1E">
        <w:t>]</w:t>
      </w:r>
      <w:r w:rsidRPr="008B41BC">
        <w:t xml:space="preserve"> 0.012-0.2 µg/ml and 0.012-0.39 µg/ml for (+) and </w:t>
      </w:r>
      <w:r w:rsidR="0067081B">
        <w:t>(-) besifloxacin, respectively; S</w:t>
      </w:r>
      <w:r w:rsidRPr="008B41BC">
        <w:t>tudy SS734PRE-003)</w:t>
      </w:r>
      <w:r w:rsidR="004E0BF3">
        <w:t>.</w:t>
      </w:r>
    </w:p>
    <w:p w:rsidR="008B41BC" w:rsidRPr="000F5CEC" w:rsidRDefault="008B41BC" w:rsidP="000F5CEC">
      <w:pPr>
        <w:pStyle w:val="Heading5"/>
      </w:pPr>
      <w:r w:rsidRPr="008B41BC">
        <w:t>Resistance and cross</w:t>
      </w:r>
      <w:r w:rsidR="00E17D9B">
        <w:t xml:space="preserve"> </w:t>
      </w:r>
      <w:r w:rsidRPr="008B41BC">
        <w:t>resistance</w:t>
      </w:r>
    </w:p>
    <w:p w:rsidR="008B41BC" w:rsidRPr="003F59CB" w:rsidRDefault="008B41BC" w:rsidP="000F5CEC">
      <w:r w:rsidRPr="003F59CB">
        <w:rPr>
          <w:i/>
        </w:rPr>
        <w:t>In vitro</w:t>
      </w:r>
      <w:r w:rsidRPr="003F59CB">
        <w:t xml:space="preserve"> resistance to besifloxacin developed slowly at low frequencies in </w:t>
      </w:r>
      <w:r w:rsidRPr="009D1CDA">
        <w:rPr>
          <w:i/>
        </w:rPr>
        <w:t>S. aureus, S. pneumoniae</w:t>
      </w:r>
      <w:r w:rsidRPr="003F59CB">
        <w:t xml:space="preserve"> and </w:t>
      </w:r>
      <w:r w:rsidRPr="009D1CDA">
        <w:rPr>
          <w:i/>
        </w:rPr>
        <w:t>E. coli</w:t>
      </w:r>
      <w:r w:rsidRPr="003F59CB">
        <w:t xml:space="preserve">. The </w:t>
      </w:r>
      <w:r w:rsidR="00E17D9B" w:rsidRPr="00E17D9B">
        <w:t xml:space="preserve">mutant prevention concentration </w:t>
      </w:r>
      <w:r w:rsidR="00E17D9B">
        <w:t>(</w:t>
      </w:r>
      <w:r w:rsidRPr="003F59CB">
        <w:t>MPC</w:t>
      </w:r>
      <w:r w:rsidR="00E17D9B">
        <w:t>)</w:t>
      </w:r>
      <w:r w:rsidRPr="003F59CB">
        <w:t xml:space="preserve"> for the three strains was 0.12, 0.50 and 4 µg/ml</w:t>
      </w:r>
      <w:r w:rsidR="004E0BF3">
        <w:t>,</w:t>
      </w:r>
      <w:r w:rsidRPr="003F59CB">
        <w:t xml:space="preserve"> respectively. The relative proportions fo</w:t>
      </w:r>
      <w:r w:rsidR="00BD7D06">
        <w:t>r each strain at x4 MIC were</w:t>
      </w:r>
      <w:r w:rsidR="00201C1E">
        <w:t>;</w:t>
      </w:r>
      <w:r w:rsidRPr="003F59CB">
        <w:t xml:space="preserve"> &lt; 3.3 x 10</w:t>
      </w:r>
      <w:r w:rsidRPr="00E12A15">
        <w:rPr>
          <w:vertAlign w:val="superscript"/>
        </w:rPr>
        <w:t>-10</w:t>
      </w:r>
      <w:r w:rsidRPr="003F59CB">
        <w:t xml:space="preserve">: </w:t>
      </w:r>
      <w:r w:rsidRPr="009D1CDA">
        <w:rPr>
          <w:i/>
        </w:rPr>
        <w:t>S. aureus</w:t>
      </w:r>
      <w:r w:rsidRPr="003F59CB">
        <w:t xml:space="preserve"> &lt; 7 x 10</w:t>
      </w:r>
      <w:r w:rsidRPr="00E12A15">
        <w:rPr>
          <w:vertAlign w:val="superscript"/>
        </w:rPr>
        <w:t>-10</w:t>
      </w:r>
      <w:r w:rsidRPr="003F59CB">
        <w:t xml:space="preserve">: </w:t>
      </w:r>
      <w:r w:rsidRPr="009D1CDA">
        <w:rPr>
          <w:i/>
        </w:rPr>
        <w:t>S. Pneumoniae</w:t>
      </w:r>
      <w:r w:rsidRPr="003F59CB">
        <w:t xml:space="preserve"> &lt; 3.8 x 10</w:t>
      </w:r>
      <w:r w:rsidRPr="00E12A15">
        <w:rPr>
          <w:vertAlign w:val="superscript"/>
        </w:rPr>
        <w:t xml:space="preserve">-8 </w:t>
      </w:r>
      <w:r w:rsidRPr="009D1CDA">
        <w:rPr>
          <w:i/>
        </w:rPr>
        <w:t>E. coli</w:t>
      </w:r>
      <w:r w:rsidRPr="003F59CB">
        <w:t xml:space="preserve"> (Study PHA-005). The concentration of besifloxacin in tear fluid was calculated to exceed the MIC for </w:t>
      </w:r>
      <w:r w:rsidRPr="003F59CB">
        <w:rPr>
          <w:i/>
        </w:rPr>
        <w:t>S. aureus</w:t>
      </w:r>
      <w:r w:rsidRPr="003F59CB">
        <w:t xml:space="preserve"> and </w:t>
      </w:r>
      <w:r w:rsidRPr="009D1CDA">
        <w:rPr>
          <w:i/>
        </w:rPr>
        <w:t>S. pneumoniae</w:t>
      </w:r>
      <w:r w:rsidRPr="003F59CB">
        <w:t>. To this end, human toxicokinetic studies in tears revealed a Single instillation was sufficiently in excess of the MIC</w:t>
      </w:r>
      <w:r w:rsidRPr="00E12A15">
        <w:rPr>
          <w:vertAlign w:val="subscript"/>
        </w:rPr>
        <w:t>90</w:t>
      </w:r>
      <w:r w:rsidRPr="003F59CB">
        <w:t xml:space="preserve"> values of 1</w:t>
      </w:r>
      <w:r w:rsidR="005867D8">
        <w:t xml:space="preserve"> </w:t>
      </w:r>
      <w:r w:rsidRPr="003F59CB">
        <w:t xml:space="preserve">μg/mL for </w:t>
      </w:r>
      <w:r w:rsidRPr="009D1CDA">
        <w:rPr>
          <w:i/>
        </w:rPr>
        <w:t>Staphylococcus aureus</w:t>
      </w:r>
      <w:r w:rsidRPr="003F59CB">
        <w:t xml:space="preserve"> and ≤ 0.06μg/mL for </w:t>
      </w:r>
      <w:r w:rsidRPr="009D1CDA">
        <w:rPr>
          <w:i/>
        </w:rPr>
        <w:t>Haemophilus influenzae</w:t>
      </w:r>
      <w:r w:rsidRPr="003F59CB">
        <w:t>, suggesting therapeutic levels of the test article up to 24 h post</w:t>
      </w:r>
      <w:r w:rsidR="00244F1F">
        <w:t xml:space="preserve"> </w:t>
      </w:r>
      <w:r w:rsidRPr="003F59CB">
        <w:t xml:space="preserve">instillation. The dual sites of action are proposed to contribute to the low proportion of resistant </w:t>
      </w:r>
      <w:r w:rsidR="000F5CEC">
        <w:t>mutants.</w:t>
      </w:r>
    </w:p>
    <w:p w:rsidR="008B41BC" w:rsidRPr="008B41BC" w:rsidRDefault="008B41BC" w:rsidP="000F5CEC">
      <w:r w:rsidRPr="008B41BC">
        <w:t xml:space="preserve">Besifloxacin resistance was associated with mutations in </w:t>
      </w:r>
      <w:r w:rsidRPr="009D1CDA">
        <w:rPr>
          <w:i/>
        </w:rPr>
        <w:t>gyrA</w:t>
      </w:r>
      <w:r w:rsidRPr="008B41BC">
        <w:t xml:space="preserve"> or </w:t>
      </w:r>
      <w:r w:rsidRPr="009D1CDA">
        <w:rPr>
          <w:i/>
        </w:rPr>
        <w:t>gyrB</w:t>
      </w:r>
      <w:r w:rsidRPr="008B41BC">
        <w:t xml:space="preserve">. In </w:t>
      </w:r>
      <w:r w:rsidRPr="009D1CDA">
        <w:rPr>
          <w:i/>
        </w:rPr>
        <w:t>E. coli</w:t>
      </w:r>
      <w:r w:rsidRPr="008B41BC">
        <w:t>, areas other than quinolone resistance determining regions (QRDRs) appeared to be involved in resistance. Resistance mechanisms in this instance were speculative and</w:t>
      </w:r>
      <w:r w:rsidR="008471D6">
        <w:t xml:space="preserve"> included possibilities such as</w:t>
      </w:r>
      <w:r w:rsidRPr="008B41BC">
        <w:t xml:space="preserve"> decreased permeability, increased efflux</w:t>
      </w:r>
      <w:r w:rsidR="008471D6">
        <w:t>,</w:t>
      </w:r>
      <w:r w:rsidRPr="008B41BC">
        <w:t xml:space="preserve"> or mutations outside QRDRs. In addition to mutations in the gyrase gene, the relatively high MIC in </w:t>
      </w:r>
      <w:r w:rsidRPr="00EE6B08">
        <w:rPr>
          <w:i/>
        </w:rPr>
        <w:t>S. aureus</w:t>
      </w:r>
      <w:r w:rsidRPr="008B41BC">
        <w:t xml:space="preserve"> also suggested yet uncharacterised mechanisms of resistance. The observed results are consistent with other </w:t>
      </w:r>
      <w:r w:rsidR="00686F1B">
        <w:t>FQ</w:t>
      </w:r>
      <w:r w:rsidR="008471D6">
        <w:t xml:space="preserve"> inhibitors</w:t>
      </w:r>
      <w:r w:rsidRPr="008B41BC">
        <w:t xml:space="preserve"> ciprofloxacin, levofloxacin, gatifloxacin and </w:t>
      </w:r>
      <w:r w:rsidRPr="008B41BC">
        <w:lastRenderedPageBreak/>
        <w:t>moxifloxacin. Besifloxacin, ciprofloxacin, norfloxacin, ofloxacin and moxifloxacin also showed cross</w:t>
      </w:r>
      <w:r w:rsidR="008471D6">
        <w:t xml:space="preserve"> </w:t>
      </w:r>
      <w:r w:rsidRPr="008B41BC">
        <w:t>resistance; significant increases in MIC for one drug were correlated with remaining antibacterial agents (Study PHA-005 and MBC99K3020B). No cross</w:t>
      </w:r>
      <w:r w:rsidR="008471D6">
        <w:t xml:space="preserve"> </w:t>
      </w:r>
      <w:r w:rsidRPr="008B41BC">
        <w:t xml:space="preserve">resistance was noted in strains susceptible to azithromycin, tobramycin, oxacillin and penicillin. </w:t>
      </w:r>
      <w:r w:rsidRPr="00EE6B08">
        <w:rPr>
          <w:i/>
        </w:rPr>
        <w:t>S. aureus</w:t>
      </w:r>
      <w:r w:rsidRPr="008B41BC">
        <w:t xml:space="preserve"> and coagulase</w:t>
      </w:r>
      <w:r w:rsidR="008471D6">
        <w:t xml:space="preserve"> </w:t>
      </w:r>
      <w:r w:rsidRPr="008B41BC">
        <w:t xml:space="preserve">negative </w:t>
      </w:r>
      <w:r w:rsidRPr="00EE6B08">
        <w:rPr>
          <w:i/>
        </w:rPr>
        <w:t xml:space="preserve">staphylococci </w:t>
      </w:r>
      <w:r w:rsidRPr="008B41BC">
        <w:t>strains resistant to ciprofloxacin, norfloxacin and ofloxacin were also mildly resistant to besifloxacin (16</w:t>
      </w:r>
      <w:r w:rsidR="008471D6">
        <w:t xml:space="preserve"> </w:t>
      </w:r>
      <w:r w:rsidRPr="008B41BC">
        <w:t xml:space="preserve">fold less MIC). Strains resistant to ofloxacin and gentamicin also showed slightly elevated MIC for besifloxacin, though cross-resistance for gentamicin may have evolved independent of the </w:t>
      </w:r>
      <w:r w:rsidR="00686F1B">
        <w:t>FQ</w:t>
      </w:r>
      <w:r w:rsidRPr="008B41BC">
        <w:t xml:space="preserve"> resistance pathway.</w:t>
      </w:r>
    </w:p>
    <w:p w:rsidR="008B41BC" w:rsidRPr="008B41BC" w:rsidRDefault="008B41BC" w:rsidP="000F5CEC">
      <w:r w:rsidRPr="008B41BC">
        <w:t>The outcomes of three clinical studies (Study M373, M433, and M434) are in agreement with the general cross</w:t>
      </w:r>
      <w:r w:rsidR="00237C6E">
        <w:t xml:space="preserve"> </w:t>
      </w:r>
      <w:r w:rsidRPr="008B41BC">
        <w:t xml:space="preserve">reactivity findings of the </w:t>
      </w:r>
      <w:r w:rsidRPr="008E67EB">
        <w:rPr>
          <w:i/>
        </w:rPr>
        <w:t>in vitro</w:t>
      </w:r>
      <w:r w:rsidRPr="008B41BC">
        <w:t xml:space="preserve"> studies. No cross</w:t>
      </w:r>
      <w:r w:rsidR="00237C6E">
        <w:t xml:space="preserve"> </w:t>
      </w:r>
      <w:r w:rsidRPr="008B41BC">
        <w:t>reaction was noted with besifloxacin and other antibacterial clas</w:t>
      </w:r>
      <w:r w:rsidR="00237C6E">
        <w:t xml:space="preserve">ses, such as, macrolides, amino </w:t>
      </w:r>
      <w:r w:rsidRPr="008B41BC">
        <w:t>glycosides, tetracyclines, glycopeptides, or β-lactams. While some multi</w:t>
      </w:r>
      <w:r w:rsidR="00237C6E">
        <w:t xml:space="preserve"> </w:t>
      </w:r>
      <w:r w:rsidRPr="008B41BC">
        <w:t>drug resistant (different drug classes) strains were noted, the mechanism of resistance is proposed as independent evolution and not cross</w:t>
      </w:r>
      <w:r w:rsidR="00237C6E">
        <w:t xml:space="preserve"> </w:t>
      </w:r>
      <w:r w:rsidRPr="008B41BC">
        <w:t>resistance, which is acceptable (</w:t>
      </w:r>
      <w:r w:rsidR="00237C6E">
        <w:t>S</w:t>
      </w:r>
      <w:r w:rsidRPr="008B41BC">
        <w:t>tudy CMI06-15RB, CMI07-12R2B and 500421).</w:t>
      </w:r>
    </w:p>
    <w:p w:rsidR="008B41BC" w:rsidRPr="000F5CEC" w:rsidRDefault="000F5CEC" w:rsidP="000F5CEC">
      <w:pPr>
        <w:pStyle w:val="Heading5"/>
      </w:pPr>
      <w:r>
        <w:t>Antibacterial activity</w:t>
      </w:r>
    </w:p>
    <w:p w:rsidR="008B41BC" w:rsidRPr="008B41BC" w:rsidRDefault="008B41BC" w:rsidP="000F5CEC">
      <w:r w:rsidRPr="008B41BC">
        <w:t>The antimicrobial activity of besifloxacin was assessed against isolates of Gram</w:t>
      </w:r>
      <w:r w:rsidR="00AC39EB">
        <w:t xml:space="preserve"> +ve</w:t>
      </w:r>
      <w:r w:rsidRPr="008B41BC">
        <w:t xml:space="preserve">, Gram </w:t>
      </w:r>
      <w:r w:rsidR="00AC39EB">
        <w:t>-ve</w:t>
      </w:r>
      <w:r w:rsidRPr="008B41BC">
        <w:t xml:space="preserve">, aerobic and anaerobic bacteria from eight </w:t>
      </w:r>
      <w:r w:rsidRPr="00EE5055">
        <w:rPr>
          <w:i/>
        </w:rPr>
        <w:t>in vitro</w:t>
      </w:r>
      <w:r w:rsidRPr="008B41BC">
        <w:t xml:space="preserve"> studies and the MIC compared to that of ciprofloxacin, ofloxacin, levofloxacin, moxifloxacin, gatifloxacin and azithromycin, tobramycin, oxacillin and penicillin (Study BL-MIC-001B, BL-MIC-002B, CMI06-15RB, CMI07-12R2B, 500421and 500510). The MIC</w:t>
      </w:r>
      <w:r w:rsidRPr="00DB3787">
        <w:rPr>
          <w:vertAlign w:val="subscript"/>
        </w:rPr>
        <w:t>50</w:t>
      </w:r>
      <w:r w:rsidRPr="008B41BC">
        <w:t xml:space="preserve"> and MIC</w:t>
      </w:r>
      <w:r w:rsidRPr="00DB3787">
        <w:rPr>
          <w:vertAlign w:val="subscript"/>
        </w:rPr>
        <w:t>90</w:t>
      </w:r>
      <w:r w:rsidRPr="008B41BC">
        <w:t xml:space="preserve"> for besifloxacin ranged between 0.06-2.0 µg/ml for </w:t>
      </w:r>
      <w:r w:rsidRPr="00EE5055">
        <w:rPr>
          <w:i/>
        </w:rPr>
        <w:t>Staphylococcus pneumoniae, S. aureus, Corynebacterium</w:t>
      </w:r>
      <w:r w:rsidRPr="008B41BC">
        <w:t xml:space="preserve"> and </w:t>
      </w:r>
      <w:r w:rsidRPr="00EE5055">
        <w:rPr>
          <w:i/>
        </w:rPr>
        <w:t>Propionibacterium</w:t>
      </w:r>
      <w:r w:rsidRPr="008B41BC">
        <w:t xml:space="preserve"> (</w:t>
      </w:r>
      <w:r w:rsidR="00DB3787" w:rsidRPr="008B41BC">
        <w:t>Gram</w:t>
      </w:r>
      <w:r w:rsidR="00DB3787">
        <w:t xml:space="preserve"> +ve</w:t>
      </w:r>
      <w:r w:rsidRPr="008B41BC">
        <w:t xml:space="preserve">) strains and 0.06-4.0 µg/ml for </w:t>
      </w:r>
      <w:r w:rsidRPr="00987092">
        <w:rPr>
          <w:i/>
        </w:rPr>
        <w:t>H. influenzae, Moraxella, N. gonorrhoeae</w:t>
      </w:r>
      <w:r w:rsidRPr="008B41BC">
        <w:t xml:space="preserve"> and </w:t>
      </w:r>
      <w:r w:rsidRPr="00987092">
        <w:rPr>
          <w:i/>
        </w:rPr>
        <w:t>P. aeruginosa</w:t>
      </w:r>
      <w:r w:rsidRPr="008B41BC">
        <w:t xml:space="preserve"> (</w:t>
      </w:r>
      <w:r w:rsidR="008F5AAC" w:rsidRPr="008B41BC">
        <w:t>Gram</w:t>
      </w:r>
      <w:r w:rsidR="008F5AAC">
        <w:t xml:space="preserve"> -ve</w:t>
      </w:r>
      <w:r w:rsidRPr="008B41BC">
        <w:t>) strains (Study MBC99K3020B). Broadly comparable MIC</w:t>
      </w:r>
      <w:r w:rsidRPr="00801885">
        <w:rPr>
          <w:vertAlign w:val="subscript"/>
        </w:rPr>
        <w:t>50</w:t>
      </w:r>
      <w:r w:rsidRPr="008B41BC">
        <w:t xml:space="preserve"> and MIC</w:t>
      </w:r>
      <w:r w:rsidRPr="00801885">
        <w:rPr>
          <w:vertAlign w:val="subscript"/>
        </w:rPr>
        <w:t>90</w:t>
      </w:r>
      <w:r w:rsidRPr="008B41BC">
        <w:t xml:space="preserve"> ranges were also noted in other studies for different strains (Study 500421, 50010, and 07-MIC-392). Based on MIC</w:t>
      </w:r>
      <w:r w:rsidRPr="002D7BFC">
        <w:rPr>
          <w:vertAlign w:val="subscript"/>
        </w:rPr>
        <w:t>50</w:t>
      </w:r>
      <w:r w:rsidRPr="008B41BC">
        <w:t xml:space="preserve"> and MIC</w:t>
      </w:r>
      <w:r w:rsidRPr="002D7BFC">
        <w:rPr>
          <w:vertAlign w:val="subscript"/>
        </w:rPr>
        <w:t>90</w:t>
      </w:r>
      <w:r w:rsidRPr="008B41BC">
        <w:t xml:space="preserve"> values from these studies, the following hierarchy of </w:t>
      </w:r>
      <w:r w:rsidR="00686F1B">
        <w:t>FQ</w:t>
      </w:r>
      <w:r w:rsidRPr="008B41BC">
        <w:t xml:space="preserve"> activity was proposed for </w:t>
      </w:r>
      <w:r w:rsidR="002D7BFC" w:rsidRPr="008B41BC">
        <w:t>Gram</w:t>
      </w:r>
      <w:r w:rsidR="002D7BFC">
        <w:t xml:space="preserve"> +ve</w:t>
      </w:r>
      <w:r w:rsidR="002D7BFC" w:rsidRPr="009674E6">
        <w:rPr>
          <w:i/>
        </w:rPr>
        <w:t xml:space="preserve"> </w:t>
      </w:r>
      <w:r w:rsidRPr="009674E6">
        <w:rPr>
          <w:i/>
        </w:rPr>
        <w:t>cocci</w:t>
      </w:r>
      <w:r w:rsidRPr="008B41BC">
        <w:t xml:space="preserve"> strains: besifloxacin &gt; moxifloxacin &gt; gatifloxacin &gt; levofloxacin &gt; ciprofloxacin (Study 500421). Against </w:t>
      </w:r>
      <w:r w:rsidR="00B26B63" w:rsidRPr="008B41BC">
        <w:t>Gram</w:t>
      </w:r>
      <w:r w:rsidR="00B26B63">
        <w:t xml:space="preserve"> -ve</w:t>
      </w:r>
      <w:r w:rsidR="00B26B63" w:rsidRPr="008B41BC">
        <w:t xml:space="preserve"> </w:t>
      </w:r>
      <w:r w:rsidRPr="008B41BC">
        <w:t xml:space="preserve">isolates ciprofloxacin and levofloxacin were generally the most active (except against </w:t>
      </w:r>
      <w:r w:rsidRPr="009674E6">
        <w:rPr>
          <w:i/>
        </w:rPr>
        <w:t>M. morganii</w:t>
      </w:r>
      <w:r w:rsidRPr="008B41BC">
        <w:t xml:space="preserve"> and </w:t>
      </w:r>
      <w:r w:rsidRPr="009674E6">
        <w:rPr>
          <w:i/>
        </w:rPr>
        <w:t>L. pneumophilia</w:t>
      </w:r>
      <w:r w:rsidRPr="008B41BC">
        <w:t>). Similar hierarchical distribution was noted for the methicillin</w:t>
      </w:r>
      <w:r w:rsidR="00DD55C9">
        <w:t xml:space="preserve"> </w:t>
      </w:r>
      <w:r w:rsidRPr="008B41BC">
        <w:t>resistant and methicillin and tetracycline</w:t>
      </w:r>
      <w:r w:rsidR="00DD55C9">
        <w:t xml:space="preserve"> </w:t>
      </w:r>
      <w:r w:rsidRPr="008B41BC">
        <w:t xml:space="preserve">resistant </w:t>
      </w:r>
      <w:r w:rsidRPr="00C126D2">
        <w:rPr>
          <w:i/>
        </w:rPr>
        <w:t>S. aureus</w:t>
      </w:r>
      <w:r w:rsidRPr="008B41BC">
        <w:t xml:space="preserve"> strains (Study 07-MIC-392).</w:t>
      </w:r>
    </w:p>
    <w:p w:rsidR="008B41BC" w:rsidRPr="008B41BC" w:rsidRDefault="008B41BC" w:rsidP="000F5CEC">
      <w:r w:rsidRPr="008B41BC">
        <w:t>The besifloxacin antimicrobial activity was comparable to oflo</w:t>
      </w:r>
      <w:r w:rsidR="00362989">
        <w:t>xacin and moxifloxacin in Gram -ve</w:t>
      </w:r>
      <w:r w:rsidRPr="008B41BC">
        <w:t xml:space="preserve"> and anaerobic isolates (Study BL-MIC-001B, </w:t>
      </w:r>
      <w:r w:rsidR="00362989">
        <w:t>S</w:t>
      </w:r>
      <w:r w:rsidRPr="008B41BC">
        <w:t xml:space="preserve">tudy BL-MIC-002B and </w:t>
      </w:r>
      <w:r w:rsidR="00362989">
        <w:t>S</w:t>
      </w:r>
      <w:r w:rsidRPr="008B41BC">
        <w:t>tudy 500421).</w:t>
      </w:r>
      <w:r w:rsidR="004D5AF2">
        <w:t xml:space="preserve"> </w:t>
      </w:r>
      <w:r w:rsidRPr="008B41BC">
        <w:t xml:space="preserve">Comparable activity to gatifloxacin and moxifloxacin was noted in </w:t>
      </w:r>
      <w:r w:rsidRPr="00C126D2">
        <w:rPr>
          <w:i/>
        </w:rPr>
        <w:t>H. Influenza, N. gonorrhoeae</w:t>
      </w:r>
      <w:r w:rsidRPr="008B41BC">
        <w:t xml:space="preserve"> and </w:t>
      </w:r>
      <w:r w:rsidRPr="00C126D2">
        <w:rPr>
          <w:i/>
        </w:rPr>
        <w:t>Neisseria</w:t>
      </w:r>
      <w:r w:rsidRPr="008B41BC">
        <w:t xml:space="preserve"> strains. Besifloxacin was least effective against the </w:t>
      </w:r>
      <w:r w:rsidRPr="00B33364">
        <w:rPr>
          <w:i/>
        </w:rPr>
        <w:t>E. cloacae</w:t>
      </w:r>
      <w:r w:rsidRPr="008B41BC">
        <w:t xml:space="preserve"> strain compared to other </w:t>
      </w:r>
      <w:r w:rsidR="00686F1B">
        <w:t>FQ</w:t>
      </w:r>
      <w:r w:rsidRPr="008B41BC">
        <w:t>s (MIC</w:t>
      </w:r>
      <w:r w:rsidRPr="00DD3AA1">
        <w:rPr>
          <w:vertAlign w:val="subscript"/>
        </w:rPr>
        <w:t>50</w:t>
      </w:r>
      <w:r w:rsidRPr="008B41BC">
        <w:t>/MIC</w:t>
      </w:r>
      <w:r w:rsidRPr="00DD3AA1">
        <w:rPr>
          <w:vertAlign w:val="subscript"/>
        </w:rPr>
        <w:t>90</w:t>
      </w:r>
      <w:r w:rsidRPr="008B41BC">
        <w:t xml:space="preserve">; 0.25/4.0 µg/ml; Study CMI06-15RB and </w:t>
      </w:r>
      <w:r w:rsidR="00B426C1">
        <w:t>S</w:t>
      </w:r>
      <w:r w:rsidRPr="008B41BC">
        <w:t>tudy CMI07-12R2).</w:t>
      </w:r>
    </w:p>
    <w:p w:rsidR="008B41BC" w:rsidRPr="008B41BC" w:rsidRDefault="008B41BC" w:rsidP="000F5CEC">
      <w:r w:rsidRPr="008B41BC">
        <w:t xml:space="preserve">In </w:t>
      </w:r>
      <w:r w:rsidR="00CA6B94">
        <w:t>S</w:t>
      </w:r>
      <w:r w:rsidRPr="008B41BC">
        <w:t xml:space="preserve">tudy 500510, 100% of the </w:t>
      </w:r>
      <w:r w:rsidRPr="00B33364">
        <w:rPr>
          <w:i/>
        </w:rPr>
        <w:t>S. aureus</w:t>
      </w:r>
      <w:r w:rsidRPr="008B41BC">
        <w:t xml:space="preserve"> isolates had </w:t>
      </w:r>
      <w:r w:rsidR="0026057B" w:rsidRPr="0026057B">
        <w:t>min</w:t>
      </w:r>
      <w:r w:rsidR="0026057B">
        <w:t>imum bactericidal concentrations (</w:t>
      </w:r>
      <w:r w:rsidRPr="008B41BC">
        <w:t>MBCs</w:t>
      </w:r>
      <w:r w:rsidR="0026057B">
        <w:t>)</w:t>
      </w:r>
      <w:r w:rsidRPr="008B41BC">
        <w:t xml:space="preserve"> ≤ x8 the MIC of besifloxacin. The test article resulted in the greatest number of isolat</w:t>
      </w:r>
      <w:r w:rsidR="00321E8E">
        <w:t>es with MBC</w:t>
      </w:r>
      <w:proofErr w:type="gramStart"/>
      <w:r w:rsidR="00321E8E">
        <w:t>:MIC</w:t>
      </w:r>
      <w:proofErr w:type="gramEnd"/>
      <w:r w:rsidR="00321E8E">
        <w:t xml:space="preserve"> ratios ≤2 (compared to </w:t>
      </w:r>
      <w:r w:rsidRPr="008B41BC">
        <w:t xml:space="preserve">80%) compared to gatifloxacin (73%), moxifloxacin (67%) and ciprofloxacin (50%). In </w:t>
      </w:r>
      <w:r w:rsidRPr="00B33364">
        <w:rPr>
          <w:i/>
        </w:rPr>
        <w:t>S. epidermidis</w:t>
      </w:r>
      <w:r w:rsidRPr="008B41BC">
        <w:t xml:space="preserve"> 100% of the isolates had MBCs ≤ x4. Of the </w:t>
      </w:r>
      <w:r w:rsidRPr="00B33364">
        <w:rPr>
          <w:i/>
        </w:rPr>
        <w:t>S. epidermidis</w:t>
      </w:r>
      <w:r w:rsidRPr="008B41BC">
        <w:t xml:space="preserve"> isolates, 93% had MBC</w:t>
      </w:r>
      <w:proofErr w:type="gramStart"/>
      <w:r w:rsidRPr="008B41BC">
        <w:t>:MIC</w:t>
      </w:r>
      <w:proofErr w:type="gramEnd"/>
      <w:r w:rsidRPr="008B41BC">
        <w:t xml:space="preserve"> ratios ≤2 followed by 67% with gatifloxacin, 73% with moxifloxacin, and 60% with ciprofloxacin. In </w:t>
      </w:r>
      <w:r w:rsidRPr="00B33364">
        <w:rPr>
          <w:i/>
        </w:rPr>
        <w:t>S. pneumoniae</w:t>
      </w:r>
      <w:r w:rsidRPr="008B41BC">
        <w:t xml:space="preserve"> and </w:t>
      </w:r>
      <w:r w:rsidRPr="00F37509">
        <w:rPr>
          <w:i/>
        </w:rPr>
        <w:t>H. influenza</w:t>
      </w:r>
      <w:r w:rsidR="004640B4">
        <w:t xml:space="preserve"> &gt;</w:t>
      </w:r>
      <w:r w:rsidRPr="008B41BC">
        <w:t>90% of isolates had MBC</w:t>
      </w:r>
      <w:proofErr w:type="gramStart"/>
      <w:r w:rsidRPr="008B41BC">
        <w:t>:MIC</w:t>
      </w:r>
      <w:proofErr w:type="gramEnd"/>
      <w:r w:rsidRPr="008B41BC">
        <w:t xml:space="preserve"> ratios ≤2 in all </w:t>
      </w:r>
      <w:r w:rsidR="00686F1B">
        <w:t>FQ</w:t>
      </w:r>
      <w:r w:rsidRPr="008B41BC">
        <w:t>s tested.</w:t>
      </w:r>
    </w:p>
    <w:p w:rsidR="008B41BC" w:rsidRPr="000F5CEC" w:rsidRDefault="008B41BC" w:rsidP="000F5CEC">
      <w:pPr>
        <w:pStyle w:val="Heading4"/>
      </w:pPr>
      <w:r w:rsidRPr="00F24045">
        <w:rPr>
          <w:i/>
        </w:rPr>
        <w:t>In vivo</w:t>
      </w:r>
      <w:r w:rsidRPr="008B41BC">
        <w:t xml:space="preserve"> studies</w:t>
      </w:r>
    </w:p>
    <w:p w:rsidR="008B41BC" w:rsidRPr="008B41BC" w:rsidRDefault="008B41BC" w:rsidP="000F5CEC">
      <w:pPr>
        <w:pStyle w:val="Heading5"/>
      </w:pPr>
      <w:r w:rsidRPr="008B41BC">
        <w:t xml:space="preserve">Mouse </w:t>
      </w:r>
      <w:r w:rsidRPr="000F5CEC">
        <w:t>systemic</w:t>
      </w:r>
      <w:r w:rsidRPr="008B41BC">
        <w:t xml:space="preserve"> exposure studies</w:t>
      </w:r>
    </w:p>
    <w:p w:rsidR="008B41BC" w:rsidRPr="008B41BC" w:rsidRDefault="008B41BC" w:rsidP="000F5CEC">
      <w:r w:rsidRPr="008B41BC">
        <w:t xml:space="preserve">Mouse models using lethal systemic </w:t>
      </w:r>
      <w:r w:rsidRPr="00322801">
        <w:rPr>
          <w:i/>
        </w:rPr>
        <w:t>S. pneumoniae</w:t>
      </w:r>
      <w:r w:rsidRPr="008B41BC">
        <w:t xml:space="preserve"> infections demonstrated improved mean survival times when treated with a 12.5, 25 and 50 mg/kg oral doses of besifloxacin </w:t>
      </w:r>
      <w:r w:rsidRPr="008B41BC">
        <w:lastRenderedPageBreak/>
        <w:t>immediately after bacterial inoculation whe</w:t>
      </w:r>
      <w:r w:rsidR="00576841">
        <w:t>n compared to the placebo (compared to 1.6 days versus</w:t>
      </w:r>
      <w:r w:rsidRPr="008B41BC">
        <w:t xml:space="preserve"> &gt;6 days for control and besifloxacin respectively, Study SS734PRE-001).</w:t>
      </w:r>
      <w:r w:rsidR="004D5AF2">
        <w:t xml:space="preserve"> </w:t>
      </w:r>
      <w:r w:rsidRPr="008B41BC">
        <w:t>The increased survival time was comparable to that of tosufloxacin at 12.5g, 25 and 50 mg/kg.</w:t>
      </w:r>
    </w:p>
    <w:p w:rsidR="008B41BC" w:rsidRPr="000F5CEC" w:rsidRDefault="008B41BC" w:rsidP="000F5CEC">
      <w:pPr>
        <w:pStyle w:val="Heading5"/>
      </w:pPr>
      <w:r w:rsidRPr="008B41BC">
        <w:t>Rabbit ocular exposure studies</w:t>
      </w:r>
    </w:p>
    <w:p w:rsidR="008B41BC" w:rsidRPr="008B41BC" w:rsidRDefault="008B41BC" w:rsidP="000F5CEC">
      <w:r w:rsidRPr="008B41BC">
        <w:t xml:space="preserve">The </w:t>
      </w:r>
      <w:r w:rsidRPr="00322801">
        <w:rPr>
          <w:i/>
        </w:rPr>
        <w:t xml:space="preserve">in vivo </w:t>
      </w:r>
      <w:r w:rsidRPr="008B41BC">
        <w:t xml:space="preserve">efficacy of besifloxacin (0.6% suspension) against </w:t>
      </w:r>
      <w:r w:rsidRPr="00322801">
        <w:rPr>
          <w:i/>
        </w:rPr>
        <w:t>S. aureus</w:t>
      </w:r>
      <w:r w:rsidR="00923578">
        <w:t xml:space="preserve"> was benchmarked against three</w:t>
      </w:r>
      <w:r w:rsidRPr="008B41BC">
        <w:t xml:space="preserve"> other antibacterial agents (0.3% gatifloxacin, 0.5% levofloxacin and 0.5% moxifloxacin) in a rabbit model of endophthalamitis (Study BL07001, PH06164). The overall ophthalmic scores favoured besifloxacin over t</w:t>
      </w:r>
      <w:r w:rsidR="00004791">
        <w:t>he comparator agents as follows:</w:t>
      </w:r>
      <w:r w:rsidRPr="008B41BC">
        <w:t xml:space="preserve"> besifloxacin &gt; gatifloxacin ~ levofloxacin ~ moxifloxacin ~ Saline ~ untreated. No conjunctival discharge was reported in all eyes treated with besifloxacin; discharge was noted in all other groups. No viable bacteria were isolated from aqueous humor of besifloxacin, gatifloxacin or moxifloxacin</w:t>
      </w:r>
      <w:r w:rsidR="00004791">
        <w:t xml:space="preserve"> </w:t>
      </w:r>
      <w:r w:rsidRPr="008B41BC">
        <w:t xml:space="preserve">treated rabbits. Overall, outcomes from the </w:t>
      </w:r>
      <w:r w:rsidRPr="00660A20">
        <w:rPr>
          <w:i/>
        </w:rPr>
        <w:t>in vivo</w:t>
      </w:r>
      <w:r w:rsidRPr="008B41BC">
        <w:t xml:space="preserve"> studies appear to support findings of the </w:t>
      </w:r>
      <w:r w:rsidRPr="00660A20">
        <w:rPr>
          <w:i/>
        </w:rPr>
        <w:t>in vitro</w:t>
      </w:r>
      <w:r w:rsidR="000F5CEC">
        <w:t xml:space="preserve"> studies.</w:t>
      </w:r>
    </w:p>
    <w:p w:rsidR="008B41BC" w:rsidRPr="000F5CEC" w:rsidRDefault="008B41BC" w:rsidP="000F5CEC">
      <w:pPr>
        <w:pStyle w:val="Heading4"/>
      </w:pPr>
      <w:r w:rsidRPr="008B41BC">
        <w:t>Secondary pharmacodynamics and safety pharmacology</w:t>
      </w:r>
    </w:p>
    <w:p w:rsidR="008B41BC" w:rsidRPr="008B41BC" w:rsidRDefault="008B41BC" w:rsidP="000F5CEC">
      <w:pPr>
        <w:pStyle w:val="ListBullet"/>
      </w:pPr>
      <w:r w:rsidRPr="008B41BC">
        <w:t xml:space="preserve">Secondary pharmacodynamic pharmacology studies </w:t>
      </w:r>
      <w:r w:rsidRPr="000F5CEC">
        <w:t>revealed</w:t>
      </w:r>
      <w:r w:rsidRPr="008B41BC">
        <w:t xml:space="preserve"> besiflox</w:t>
      </w:r>
      <w:r w:rsidR="00BF6AD6">
        <w:t>acin mediated inhibition of</w:t>
      </w:r>
      <w:r w:rsidR="00882733" w:rsidRPr="00882733">
        <w:t xml:space="preserve"> </w:t>
      </w:r>
      <w:r w:rsidR="00882733">
        <w:t>l</w:t>
      </w:r>
      <w:r w:rsidR="00882733" w:rsidRPr="00882733">
        <w:t>ipopolysaccharide</w:t>
      </w:r>
      <w:r w:rsidR="00882733">
        <w:t xml:space="preserve"> (</w:t>
      </w:r>
      <w:r w:rsidR="00BF6AD6">
        <w:t>LPS</w:t>
      </w:r>
      <w:r w:rsidR="00882733">
        <w:t>)</w:t>
      </w:r>
      <w:r w:rsidRPr="008B41BC">
        <w:t xml:space="preserve"> and IL-1β</w:t>
      </w:r>
      <w:r w:rsidR="00BF6AD6">
        <w:t xml:space="preserve"> </w:t>
      </w:r>
      <w:r w:rsidRPr="008B41BC">
        <w:t xml:space="preserve">induced cytokine production </w:t>
      </w:r>
      <w:r w:rsidRPr="00257341">
        <w:rPr>
          <w:i/>
        </w:rPr>
        <w:t>in vitro</w:t>
      </w:r>
      <w:r w:rsidRPr="008B41BC">
        <w:t>.</w:t>
      </w:r>
    </w:p>
    <w:p w:rsidR="008B41BC" w:rsidRPr="008B41BC" w:rsidRDefault="008B41BC" w:rsidP="000F5CEC">
      <w:pPr>
        <w:pStyle w:val="ListBullet"/>
      </w:pPr>
      <w:r w:rsidRPr="008B41BC">
        <w:t>Specialised safety pharmacology studies covered the cardiovascular, respiratory and renal systems; besifloxacin</w:t>
      </w:r>
      <w:r w:rsidR="00BF6AD6">
        <w:t xml:space="preserve"> </w:t>
      </w:r>
      <w:r w:rsidRPr="008B41BC">
        <w:t>related effects were noted in the ca</w:t>
      </w:r>
      <w:r w:rsidR="000F5CEC">
        <w:t>rdiovascular and renal systems.</w:t>
      </w:r>
    </w:p>
    <w:p w:rsidR="00861A13" w:rsidRDefault="008B41BC" w:rsidP="000F5CEC">
      <w:pPr>
        <w:pStyle w:val="Heading5"/>
      </w:pPr>
      <w:r w:rsidRPr="008B41BC">
        <w:t xml:space="preserve">Secondary </w:t>
      </w:r>
      <w:r w:rsidRPr="000F5CEC">
        <w:t>pharmacodynamics</w:t>
      </w:r>
    </w:p>
    <w:p w:rsidR="008B41BC" w:rsidRPr="008B41BC" w:rsidRDefault="008B41BC" w:rsidP="000F5CEC">
      <w:r w:rsidRPr="008B41BC">
        <w:t>The anti</w:t>
      </w:r>
      <w:r w:rsidR="0032145A">
        <w:t xml:space="preserve"> </w:t>
      </w:r>
      <w:r w:rsidRPr="008B41BC">
        <w:t xml:space="preserve">inflammatory properties of besifloxacin were investigated and compared to the fourth generation </w:t>
      </w:r>
      <w:r w:rsidR="00686F1B">
        <w:t>FQ</w:t>
      </w:r>
      <w:r w:rsidRPr="008B41BC">
        <w:t>, moxifloxacin. In three separate studi</w:t>
      </w:r>
      <w:r w:rsidR="0032145A">
        <w:t xml:space="preserve">es, besifloxacin inhibited LPS </w:t>
      </w:r>
      <w:r w:rsidRPr="008B41BC">
        <w:t>and IL-1β-induced cytokine production in THP-1 monocyte and HCEpiC assays. The inhibitory potencies were comparable to or higher than that of moxifloxacin. Cytok</w:t>
      </w:r>
      <w:r w:rsidR="005C35AC">
        <w:t>ines, IL-1β, IL-8, IP-10 and MIP-</w:t>
      </w:r>
      <w:r w:rsidRPr="008B41BC">
        <w:t>1 were inhibited with comparable potency, and IL-6, GM-CSF, MCP-1, TGF-α and TNF-α were inhibited with comparable or higher potency to moxifloxacin at concentrations between 1.0-30 µg/ml.</w:t>
      </w:r>
    </w:p>
    <w:p w:rsidR="00861A13" w:rsidRDefault="00861A13" w:rsidP="000F5CEC">
      <w:pPr>
        <w:pStyle w:val="Heading5"/>
      </w:pPr>
      <w:r>
        <w:t xml:space="preserve">Safety </w:t>
      </w:r>
      <w:r w:rsidR="000F5CEC" w:rsidRPr="000F5CEC">
        <w:t>p</w:t>
      </w:r>
      <w:r w:rsidRPr="000F5CEC">
        <w:t>harmacology</w:t>
      </w:r>
    </w:p>
    <w:p w:rsidR="008B41BC" w:rsidRPr="008B41BC" w:rsidRDefault="008B41BC" w:rsidP="000F5CEC">
      <w:r w:rsidRPr="008B41BC">
        <w:t xml:space="preserve">No safety pharmacology studies were performed on the </w:t>
      </w:r>
      <w:r w:rsidR="00567291">
        <w:t>central nervous system (</w:t>
      </w:r>
      <w:r w:rsidRPr="008B41BC">
        <w:t>CNS</w:t>
      </w:r>
      <w:r w:rsidR="00567291">
        <w:t>)</w:t>
      </w:r>
      <w:r w:rsidRPr="008B41BC">
        <w:t>. While the test article was detected in the brain following ocular administration in rabbit studies (studies B16F0205 and B06U0106), the levels detected were minimal. Based on low systemic exposure and minimal effects observed in general toxicity studies the absence of CNS spe</w:t>
      </w:r>
      <w:r w:rsidR="000F5CEC">
        <w:t>cific studies is acceptable.</w:t>
      </w:r>
    </w:p>
    <w:p w:rsidR="008B41BC" w:rsidRPr="008B41BC" w:rsidRDefault="008B41BC" w:rsidP="000F5CEC">
      <w:r w:rsidRPr="008B41BC">
        <w:t>Three cardiovascular safety studies were performed using the beagle model.</w:t>
      </w:r>
      <w:r w:rsidR="004D5AF2">
        <w:t xml:space="preserve"> </w:t>
      </w:r>
      <w:r w:rsidRPr="008B41BC">
        <w:t xml:space="preserve">A dose dependent increase in </w:t>
      </w:r>
      <w:r w:rsidR="005A5393" w:rsidRPr="005A5393">
        <w:t xml:space="preserve">QT interval corrected for heart rate </w:t>
      </w:r>
      <w:r w:rsidR="005A5393">
        <w:t>(</w:t>
      </w:r>
      <w:r w:rsidRPr="008B41BC">
        <w:t>QTc</w:t>
      </w:r>
      <w:r w:rsidR="005A5393">
        <w:t>)</w:t>
      </w:r>
      <w:r w:rsidRPr="008B41BC">
        <w:t xml:space="preserve"> duration (ventricular repolarisation) was noted from doses over 30 mg/kg PO.</w:t>
      </w:r>
      <w:r w:rsidR="004D5AF2">
        <w:t xml:space="preserve"> </w:t>
      </w:r>
      <w:r w:rsidRPr="008B41BC">
        <w:t>At 100 mg/kg (high dose), animal</w:t>
      </w:r>
      <w:proofErr w:type="gramStart"/>
      <w:r w:rsidRPr="008B41BC">
        <w:t>:human</w:t>
      </w:r>
      <w:proofErr w:type="gramEnd"/>
      <w:r w:rsidRPr="008B41BC">
        <w:t xml:space="preserve"> exposure ratios exceeding 16800 were noted for both sexes. No toxicokinetic data was available for 10 and 30 mg/kg doses.</w:t>
      </w:r>
      <w:r w:rsidR="004D5AF2">
        <w:t xml:space="preserve"> </w:t>
      </w:r>
      <w:r w:rsidRPr="008B41BC">
        <w:t xml:space="preserve">Thus, exposure ratios at </w:t>
      </w:r>
      <w:r w:rsidR="00FB42C7">
        <w:t xml:space="preserve">the No Observed Effect Level </w:t>
      </w:r>
      <w:r w:rsidR="002D6942">
        <w:t>(</w:t>
      </w:r>
      <w:r w:rsidRPr="008B41BC">
        <w:t>NOEL</w:t>
      </w:r>
      <w:r w:rsidR="002D6942">
        <w:t>)</w:t>
      </w:r>
      <w:r w:rsidRPr="008B41BC">
        <w:t xml:space="preserve"> (30 mg/kg) were calculated based on </w:t>
      </w:r>
      <w:r w:rsidR="00F27D29">
        <w:t>body surface area (</w:t>
      </w:r>
      <w:r w:rsidRPr="008B41BC">
        <w:t>BSA</w:t>
      </w:r>
      <w:r w:rsidR="00F27D29">
        <w:t>)</w:t>
      </w:r>
      <w:r w:rsidRPr="008B41BC">
        <w:t xml:space="preserve"> (~180 at clinical exposure).</w:t>
      </w:r>
      <w:r>
        <w:rPr>
          <w:rStyle w:val="FootnoteReference"/>
        </w:rPr>
        <w:footnoteReference w:id="1"/>
      </w:r>
      <w:r w:rsidRPr="008B41BC">
        <w:t xml:space="preserve"> At 3.9 µg/ml concentrations (1 x 10</w:t>
      </w:r>
      <w:r w:rsidRPr="00E37A7C">
        <w:rPr>
          <w:vertAlign w:val="superscript"/>
        </w:rPr>
        <w:t>-5</w:t>
      </w:r>
      <w:r w:rsidRPr="008B41BC">
        <w:t xml:space="preserve"> M), non</w:t>
      </w:r>
      <w:r w:rsidR="0087661F">
        <w:t xml:space="preserve"> </w:t>
      </w:r>
      <w:r w:rsidRPr="008B41BC">
        <w:t>reverse</w:t>
      </w:r>
      <w:r w:rsidR="0087661F">
        <w:t xml:space="preserve"> </w:t>
      </w:r>
      <w:r w:rsidRPr="008B41BC">
        <w:t>use</w:t>
      </w:r>
      <w:r w:rsidR="0087661F">
        <w:t xml:space="preserve"> </w:t>
      </w:r>
      <w:r w:rsidRPr="008B41BC">
        <w:t xml:space="preserve">dependent increases in the </w:t>
      </w:r>
      <w:r w:rsidR="00892B26">
        <w:t xml:space="preserve">action potential duration (ADP) </w:t>
      </w:r>
      <w:r w:rsidRPr="008B41BC">
        <w:t>ADP</w:t>
      </w:r>
      <w:r w:rsidRPr="00784108">
        <w:rPr>
          <w:vertAlign w:val="subscript"/>
        </w:rPr>
        <w:t>50</w:t>
      </w:r>
      <w:r w:rsidRPr="008B41BC">
        <w:t>, ADP</w:t>
      </w:r>
      <w:r w:rsidRPr="00784108">
        <w:rPr>
          <w:vertAlign w:val="subscript"/>
        </w:rPr>
        <w:t>70</w:t>
      </w:r>
      <w:r w:rsidRPr="008B41BC">
        <w:t xml:space="preserve"> and ADP</w:t>
      </w:r>
      <w:r w:rsidRPr="00784108">
        <w:rPr>
          <w:vertAlign w:val="subscript"/>
        </w:rPr>
        <w:t>90</w:t>
      </w:r>
      <w:r w:rsidRPr="008B41BC">
        <w:t xml:space="preserve"> (the latter statistically significant) were noted using canine purkinje fibres.</w:t>
      </w:r>
      <w:r w:rsidR="004D5AF2">
        <w:t xml:space="preserve"> </w:t>
      </w:r>
      <w:r w:rsidRPr="008B41BC">
        <w:t>The test</w:t>
      </w:r>
      <w:r w:rsidR="007E452C">
        <w:t xml:space="preserve"> </w:t>
      </w:r>
      <w:r w:rsidRPr="008B41BC">
        <w:t>article also yielded a proarrhythmic score of 3%, resulting in a low torsado</w:t>
      </w:r>
      <w:r w:rsidR="007E452C">
        <w:t>genic risk category (TDPScreen</w:t>
      </w:r>
      <w:r w:rsidRPr="008B41BC">
        <w:t>).</w:t>
      </w:r>
      <w:r w:rsidR="004D5AF2">
        <w:t xml:space="preserve"> </w:t>
      </w:r>
      <w:r w:rsidRPr="008B41BC">
        <w:t>At 3.9 µg/ml (1 x 10</w:t>
      </w:r>
      <w:r w:rsidRPr="00E37A7C">
        <w:rPr>
          <w:vertAlign w:val="superscript"/>
        </w:rPr>
        <w:t>-5</w:t>
      </w:r>
      <w:r w:rsidRPr="008B41BC">
        <w:t xml:space="preserve"> M), an inhibitory effect of 13.1% was noted in the HERG tail current of stably transfected HEK-293 cells.</w:t>
      </w:r>
      <w:r w:rsidR="004D5AF2">
        <w:t xml:space="preserve"> </w:t>
      </w:r>
      <w:r w:rsidRPr="008B41BC">
        <w:t xml:space="preserve">The changes to QTc duration and HERG tail current inhibition are a known, documented effect of </w:t>
      </w:r>
      <w:r w:rsidR="00686F1B">
        <w:t>FQ</w:t>
      </w:r>
      <w:r w:rsidRPr="008B41BC">
        <w:t>s.</w:t>
      </w:r>
    </w:p>
    <w:p w:rsidR="008B41BC" w:rsidRPr="008B41BC" w:rsidRDefault="008B41BC" w:rsidP="00C40396">
      <w:r w:rsidRPr="008B41BC">
        <w:lastRenderedPageBreak/>
        <w:t>Renal function studies in rats revealed decreased initial and increased final urinary flow rates in 100 and 300 mg/kg doses, respectively. At 1000 mg/kg PO</w:t>
      </w:r>
      <w:r w:rsidR="00AE5BB4">
        <w:t xml:space="preserve"> (</w:t>
      </w:r>
      <w:r w:rsidR="007A577B">
        <w:t>per os; oral administration</w:t>
      </w:r>
      <w:r w:rsidR="00AE5BB4">
        <w:t>)</w:t>
      </w:r>
      <w:r w:rsidR="000B5EA0">
        <w:t>,</w:t>
      </w:r>
      <w:r w:rsidRPr="008B41BC">
        <w:t xml:space="preserve"> decreased initial and final flow rates and glomerular filtration rates were noted.</w:t>
      </w:r>
      <w:r w:rsidR="004D5AF2">
        <w:t xml:space="preserve"> </w:t>
      </w:r>
      <w:r w:rsidRPr="008B41BC">
        <w:t>Collectively, these observations indicate anti</w:t>
      </w:r>
      <w:r w:rsidR="00934EE9">
        <w:t xml:space="preserve"> </w:t>
      </w:r>
      <w:r w:rsidRPr="008B41BC">
        <w:t>diuretic and kaliuretic properties for besifloxacin.</w:t>
      </w:r>
    </w:p>
    <w:p w:rsidR="008B41BC" w:rsidRPr="008B41BC" w:rsidRDefault="008B41BC" w:rsidP="00C40396">
      <w:r w:rsidRPr="008B41BC">
        <w:t>No significant safety pharmacological observations were noted in the rat respiratory system at an oral dose up to 1000 mg/kg.</w:t>
      </w:r>
    </w:p>
    <w:p w:rsidR="008E7846" w:rsidRPr="00C40396" w:rsidRDefault="008E7846" w:rsidP="00C40396">
      <w:pPr>
        <w:pStyle w:val="Heading3"/>
      </w:pPr>
      <w:bookmarkStart w:id="44" w:name="_Toc247691513"/>
      <w:bookmarkStart w:id="45" w:name="_Toc314842497"/>
      <w:bookmarkStart w:id="46" w:name="_Toc383772764"/>
      <w:r>
        <w:t>Pharmacokinetics</w:t>
      </w:r>
      <w:bookmarkEnd w:id="44"/>
      <w:bookmarkEnd w:id="45"/>
      <w:bookmarkEnd w:id="46"/>
    </w:p>
    <w:p w:rsidR="00861A13" w:rsidRPr="00861A13" w:rsidRDefault="00861A13" w:rsidP="003F0DB6">
      <w:r w:rsidRPr="00861A13">
        <w:t>Absorption of besifloxacin in oral studies was generally rapid (</w:t>
      </w:r>
      <w:r w:rsidR="003F7DCF" w:rsidRPr="003F7DCF">
        <w:t xml:space="preserve">Time to reach </w:t>
      </w:r>
      <w:r w:rsidR="003F7DCF">
        <w:t>peak</w:t>
      </w:r>
      <w:r w:rsidR="003F7DCF" w:rsidRPr="003F7DCF">
        <w:t xml:space="preserve"> plasma concentration</w:t>
      </w:r>
      <w:r w:rsidR="003F7DCF">
        <w:t xml:space="preserve"> </w:t>
      </w:r>
      <w:r w:rsidR="003F7DCF" w:rsidRPr="003F7DCF">
        <w:t>following drug administration</w:t>
      </w:r>
      <w:r w:rsidR="00737BBA">
        <w:t xml:space="preserve"> [</w:t>
      </w:r>
      <w:r w:rsidRPr="00861A13">
        <w:t>T</w:t>
      </w:r>
      <w:r w:rsidRPr="00737BBA">
        <w:rPr>
          <w:vertAlign w:val="subscript"/>
        </w:rPr>
        <w:t>max</w:t>
      </w:r>
      <w:r w:rsidR="00737BBA">
        <w:t xml:space="preserve">] </w:t>
      </w:r>
      <w:r w:rsidRPr="00861A13">
        <w:t xml:space="preserve">≤ 1h). Overall, </w:t>
      </w:r>
      <w:r w:rsidR="001967FD">
        <w:t>peak</w:t>
      </w:r>
      <w:r w:rsidR="001967FD" w:rsidRPr="001967FD">
        <w:t xml:space="preserve"> plasma drug concentration </w:t>
      </w:r>
      <w:r w:rsidR="003F7DCF">
        <w:t>(</w:t>
      </w:r>
      <w:r w:rsidRPr="00861A13">
        <w:t>C</w:t>
      </w:r>
      <w:r w:rsidRPr="00737BBA">
        <w:rPr>
          <w:vertAlign w:val="subscript"/>
        </w:rPr>
        <w:t>max</w:t>
      </w:r>
      <w:r w:rsidR="003F7DCF">
        <w:t xml:space="preserve">) </w:t>
      </w:r>
      <w:r w:rsidRPr="00861A13">
        <w:t xml:space="preserve">and </w:t>
      </w:r>
      <w:r w:rsidR="001967FD">
        <w:t>a</w:t>
      </w:r>
      <w:r w:rsidR="001967FD" w:rsidRPr="001967FD">
        <w:t xml:space="preserve">rea under the plasma concentration-time curve </w:t>
      </w:r>
      <w:r w:rsidR="003F7DCF">
        <w:t xml:space="preserve">(AUC) </w:t>
      </w:r>
      <w:r w:rsidRPr="00861A13">
        <w:t>values were approximately dose proportional, particularly between low and mid</w:t>
      </w:r>
      <w:r w:rsidR="008A63CF">
        <w:t xml:space="preserve"> </w:t>
      </w:r>
      <w:r w:rsidRPr="00861A13">
        <w:t>doses. Dose proportionality was slightly variable between mid and high</w:t>
      </w:r>
      <w:r w:rsidR="008A63CF">
        <w:t xml:space="preserve"> </w:t>
      </w:r>
      <w:r w:rsidRPr="00861A13">
        <w:t>doses. The half</w:t>
      </w:r>
      <w:r w:rsidR="008A63CF">
        <w:t xml:space="preserve"> </w:t>
      </w:r>
      <w:r w:rsidRPr="00861A13">
        <w:t xml:space="preserve">life of besifloxacin was &lt; 12h </w:t>
      </w:r>
      <w:r w:rsidR="003F0DB6">
        <w:t>in all but one treatment group.</w:t>
      </w:r>
    </w:p>
    <w:p w:rsidR="00861A13" w:rsidRPr="00861A13" w:rsidRDefault="00861A13" w:rsidP="003F0DB6">
      <w:r w:rsidRPr="00861A13">
        <w:t>Plasma protein binding of besifloxacin was compara</w:t>
      </w:r>
      <w:r w:rsidR="00A17194">
        <w:t>ble between rat and human (compared to 30-34% and 39</w:t>
      </w:r>
      <w:r w:rsidRPr="00861A13">
        <w:t>-44%, respectively). When administered as an ocular instillation, besifloxacin was promptly absorbed in most ocular tissue (≤1</w:t>
      </w:r>
      <w:r w:rsidR="00A17194">
        <w:t xml:space="preserve"> </w:t>
      </w:r>
      <w:r w:rsidRPr="00861A13">
        <w:t>h). The C</w:t>
      </w:r>
      <w:r w:rsidRPr="00A17194">
        <w:rPr>
          <w:vertAlign w:val="subscript"/>
        </w:rPr>
        <w:t xml:space="preserve">max </w:t>
      </w:r>
      <w:r w:rsidRPr="00861A13">
        <w:t xml:space="preserve">and AUC for ocular tissue of the treated eyes broadly followed the hierarchy: tears &gt; conjunctiva &gt; cornea &gt; aqueous or vitreous humor ≥ retina &gt; plasma. The test article was also detected in urinary bladder, skin, large intestine, kidney, ileum, jejunum and duodenum. While besifloxacin was also detected in the brain, cerebellum, spinal cord, heart, lungs, liver, pancreas, mesenteric lymph node and spleen, the amounts were extremely low. A summary of exposure based on </w:t>
      </w:r>
      <w:r w:rsidRPr="00A17194">
        <w:rPr>
          <w:vertAlign w:val="superscript"/>
        </w:rPr>
        <w:t>14</w:t>
      </w:r>
      <w:r w:rsidRPr="00861A13">
        <w:t>C</w:t>
      </w:r>
      <w:r w:rsidR="00A17194">
        <w:t>-</w:t>
      </w:r>
      <w:r w:rsidRPr="00861A13">
        <w:t>besifloxacin distribution in tissues following one single or repeat dose study are provided in Table 1.</w:t>
      </w:r>
    </w:p>
    <w:p w:rsidR="0067236B" w:rsidRDefault="0067236B" w:rsidP="003F0DB6">
      <w:pPr>
        <w:pStyle w:val="TableTitle"/>
      </w:pPr>
      <w:proofErr w:type="gramStart"/>
      <w:r>
        <w:t>Table 1:</w:t>
      </w:r>
      <w:r w:rsidRPr="004C5C28">
        <w:t xml:space="preserve"> </w:t>
      </w:r>
      <w:r w:rsidR="00E4276E" w:rsidRPr="00E4276E">
        <w:t xml:space="preserve">Tissue distribution of </w:t>
      </w:r>
      <w:r w:rsidR="00E4276E" w:rsidRPr="00A17194">
        <w:rPr>
          <w:vertAlign w:val="superscript"/>
        </w:rPr>
        <w:t>14</w:t>
      </w:r>
      <w:r w:rsidR="00E4276E" w:rsidRPr="00E4276E">
        <w:t xml:space="preserve">C-besibloxacin </w:t>
      </w:r>
      <w:r w:rsidR="00E4276E" w:rsidRPr="003F0DB6">
        <w:t>following</w:t>
      </w:r>
      <w:r w:rsidR="00E4276E" w:rsidRPr="00E4276E">
        <w:t xml:space="preserve"> one single or repeat dose study</w:t>
      </w:r>
      <w:r>
        <w:t>.</w:t>
      </w:r>
      <w:proofErr w:type="gramEnd"/>
    </w:p>
    <w:p w:rsidR="008E7846" w:rsidRDefault="00FB0B81" w:rsidP="003F0DB6">
      <w:r>
        <w:rPr>
          <w:noProof/>
          <w:lang w:eastAsia="en-AU"/>
        </w:rPr>
        <w:drawing>
          <wp:inline distT="0" distB="0" distL="0" distR="0" wp14:anchorId="0E8D7D65" wp14:editId="65104BD4">
            <wp:extent cx="5015230" cy="2266315"/>
            <wp:effectExtent l="0" t="0" r="0" b="635"/>
            <wp:docPr id="1" name="Picture 2" descr="Table 1: Tissue distribution of 14C-besibloxacin following one single or repeat do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Tissue distribution of 14C-besibloxacin following one single or repeat dose stud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5230" cy="2266315"/>
                    </a:xfrm>
                    <a:prstGeom prst="rect">
                      <a:avLst/>
                    </a:prstGeom>
                    <a:noFill/>
                    <a:ln>
                      <a:noFill/>
                    </a:ln>
                  </pic:spPr>
                </pic:pic>
              </a:graphicData>
            </a:graphic>
          </wp:inline>
        </w:drawing>
      </w:r>
    </w:p>
    <w:p w:rsidR="00EB3B94" w:rsidRPr="00861A13" w:rsidRDefault="00EB3B94" w:rsidP="003F0DB6">
      <w:r w:rsidRPr="00861A13">
        <w:t>While C</w:t>
      </w:r>
      <w:r w:rsidRPr="009039AC">
        <w:rPr>
          <w:vertAlign w:val="subscript"/>
        </w:rPr>
        <w:t>max</w:t>
      </w:r>
      <w:r w:rsidRPr="00861A13">
        <w:t xml:space="preserve"> and AUC values were higher in repeat dose studies compared to single dose, the changes were within the 2-6</w:t>
      </w:r>
      <w:r w:rsidR="009039AC">
        <w:t xml:space="preserve"> </w:t>
      </w:r>
      <w:r w:rsidRPr="00861A13">
        <w:t>fold range. Collectively, the distribution studies suggested minimal accumulation.</w:t>
      </w:r>
    </w:p>
    <w:p w:rsidR="00EB3B94" w:rsidRPr="00861A13" w:rsidRDefault="00EB3B94" w:rsidP="003F0DB6">
      <w:r w:rsidRPr="00257341">
        <w:rPr>
          <w:i/>
        </w:rPr>
        <w:t>In vitro</w:t>
      </w:r>
      <w:r w:rsidRPr="00861A13">
        <w:t xml:space="preserve"> studies indicated eight metabolites, potentially generated though dechlorination, oxidative deamination, oxidation/hydroxylation and N-cyclopropyl elimination and ring opening. No definite structures were determined owing to low levels of metabolites. No metabolic or chiral inter</w:t>
      </w:r>
      <w:r w:rsidR="009039AC">
        <w:t xml:space="preserve"> </w:t>
      </w:r>
      <w:r w:rsidRPr="00861A13">
        <w:t xml:space="preserve">conversion was observed. In general, higher level of metabolism was noted in dog compared to mouse, rat and rabbit. The metabolites observed in human, were also detected in mouse, rat, rabbit and/or dog. </w:t>
      </w:r>
      <w:r w:rsidRPr="00397BDD">
        <w:rPr>
          <w:i/>
        </w:rPr>
        <w:t>In vivo</w:t>
      </w:r>
      <w:r w:rsidRPr="00861A13">
        <w:t xml:space="preserve"> oral studies (at 40 mg/kg) demonstrated less than 10% (unidentified) metabolites in urine, f</w:t>
      </w:r>
      <w:r>
        <w:t>a</w:t>
      </w:r>
      <w:r w:rsidRPr="00861A13">
        <w:t xml:space="preserve">eces and plasma of rats. </w:t>
      </w:r>
      <w:r w:rsidRPr="00861A13">
        <w:lastRenderedPageBreak/>
        <w:t>Overall, &gt;95% of besifloxacin excretions were noted in urine and f</w:t>
      </w:r>
      <w:r>
        <w:t>a</w:t>
      </w:r>
      <w:r w:rsidRPr="00861A13">
        <w:t>eces combined, which is consistent with findings of the non</w:t>
      </w:r>
      <w:r w:rsidR="00F65968">
        <w:t xml:space="preserve"> </w:t>
      </w:r>
      <w:r w:rsidRPr="00861A13">
        <w:t>ocular tissue distribution data.</w:t>
      </w:r>
    </w:p>
    <w:p w:rsidR="00861A13" w:rsidRPr="00861A13" w:rsidRDefault="00861A13" w:rsidP="003F0DB6">
      <w:r w:rsidRPr="00861A13">
        <w:t>Taken together, comparable protein binding profiles, metabolite profiles and pharmacokinetics of the animal models used was adequate to assess the potential toxicity of besifloxacin in humans.</w:t>
      </w:r>
    </w:p>
    <w:p w:rsidR="008E7846" w:rsidRPr="003F0DB6" w:rsidRDefault="008E7846" w:rsidP="003F0DB6">
      <w:pPr>
        <w:pStyle w:val="Heading3"/>
      </w:pPr>
      <w:bookmarkStart w:id="47" w:name="_Toc247691514"/>
      <w:bookmarkStart w:id="48" w:name="_Toc314842498"/>
      <w:bookmarkStart w:id="49" w:name="_Toc383772765"/>
      <w:r>
        <w:t>Toxicology</w:t>
      </w:r>
      <w:bookmarkEnd w:id="47"/>
      <w:bookmarkEnd w:id="48"/>
      <w:bookmarkEnd w:id="49"/>
    </w:p>
    <w:p w:rsidR="00210DEA" w:rsidRPr="003F0DB6" w:rsidRDefault="00210DEA" w:rsidP="003F0DB6">
      <w:pPr>
        <w:pStyle w:val="Heading4"/>
      </w:pPr>
      <w:bookmarkStart w:id="50" w:name="_Toc294861727"/>
      <w:r w:rsidRPr="005A76EA">
        <w:t>Acute toxicity</w:t>
      </w:r>
      <w:bookmarkEnd w:id="50"/>
    </w:p>
    <w:p w:rsidR="00210DEA" w:rsidRPr="005A76EA" w:rsidRDefault="00210DEA" w:rsidP="003F0DB6">
      <w:r w:rsidRPr="005A76EA">
        <w:t xml:space="preserve">A single </w:t>
      </w:r>
      <w:r w:rsidR="00777666">
        <w:t>intravenous</w:t>
      </w:r>
      <w:r w:rsidR="0058445A">
        <w:t xml:space="preserve"> </w:t>
      </w:r>
      <w:r w:rsidRPr="005A76EA">
        <w:t>and oral rat acute toxicity was submitted. Besifloxacin</w:t>
      </w:r>
      <w:r w:rsidR="00777666">
        <w:t xml:space="preserve"> </w:t>
      </w:r>
      <w:r w:rsidRPr="005A76EA">
        <w:t>related loss of body weight was noted at 2000 mg/kg. Depletion of femoral and humeral bone marrow and decreased lymphoid cells and increased granulocyte cells were noted at 1000 mg/kg PO BID</w:t>
      </w:r>
      <w:r w:rsidR="00477AA6">
        <w:t xml:space="preserve"> (</w:t>
      </w:r>
      <w:r w:rsidR="00477AA6" w:rsidRPr="00477AA6">
        <w:rPr>
          <w:i/>
        </w:rPr>
        <w:t>bis in die</w:t>
      </w:r>
      <w:r w:rsidR="00477AA6">
        <w:t>; 2 times daily)</w:t>
      </w:r>
      <w:r w:rsidR="003F0DB6">
        <w:t>.</w:t>
      </w:r>
    </w:p>
    <w:p w:rsidR="00210DEA" w:rsidRPr="003F0DB6" w:rsidRDefault="00210DEA" w:rsidP="003F0DB6">
      <w:pPr>
        <w:pStyle w:val="Heading4"/>
      </w:pPr>
      <w:bookmarkStart w:id="51" w:name="_Toc294861728"/>
      <w:r w:rsidRPr="005A76EA">
        <w:t>Repeat</w:t>
      </w:r>
      <w:r w:rsidR="00A369FB">
        <w:t xml:space="preserve"> </w:t>
      </w:r>
      <w:r w:rsidRPr="005A76EA">
        <w:t>dose toxicity</w:t>
      </w:r>
      <w:bookmarkEnd w:id="51"/>
    </w:p>
    <w:p w:rsidR="00210DEA" w:rsidRPr="005A76EA" w:rsidRDefault="00210DEA" w:rsidP="003F0DB6">
      <w:r w:rsidRPr="005A76EA">
        <w:t>Repeat dose toxicity studies included 1</w:t>
      </w:r>
      <w:r w:rsidR="0058445A">
        <w:t xml:space="preserve">4-28 </w:t>
      </w:r>
      <w:r w:rsidRPr="005A76EA">
        <w:t>day studies in rats, rabbits and dogs, which is acceptable for intended clinica</w:t>
      </w:r>
      <w:r w:rsidR="00AC2C52">
        <w:t>l dosing period for besifloxacin</w:t>
      </w:r>
      <w:r w:rsidRPr="005A76EA">
        <w:t>.</w:t>
      </w:r>
      <w:r w:rsidR="00AC2C52">
        <w:rPr>
          <w:rStyle w:val="FootnoteReference"/>
        </w:rPr>
        <w:footnoteReference w:id="2"/>
      </w:r>
      <w:r w:rsidRPr="005A76EA">
        <w:t xml:space="preserve"> The rat and dog studies used oral administration, where as rabbit and dog studies used ocular instillation at a slightly higher dose regimen compar</w:t>
      </w:r>
      <w:r w:rsidR="00777666">
        <w:t>ed to clinical application (compared to</w:t>
      </w:r>
      <w:r w:rsidRPr="005A76EA">
        <w:t xml:space="preserve"> x4/day compared to x3/day). Overall, the repeat</w:t>
      </w:r>
      <w:r w:rsidR="00777666">
        <w:t xml:space="preserve"> </w:t>
      </w:r>
      <w:r w:rsidRPr="005A76EA">
        <w:t xml:space="preserve">dose toxicity pivotal studies were conducted in accordance to the </w:t>
      </w:r>
      <w:r w:rsidR="00E512FA" w:rsidRPr="00E512FA">
        <w:t xml:space="preserve">International Conference on Harmonisation </w:t>
      </w:r>
      <w:r w:rsidR="00E512FA">
        <w:t>(</w:t>
      </w:r>
      <w:r w:rsidRPr="005A76EA">
        <w:t>ICH</w:t>
      </w:r>
      <w:r w:rsidR="00E512FA">
        <w:t>)</w:t>
      </w:r>
      <w:r w:rsidRPr="005A76EA">
        <w:t xml:space="preserve"> guidelines.</w:t>
      </w:r>
    </w:p>
    <w:p w:rsidR="00210DEA" w:rsidRPr="003F0DB6" w:rsidRDefault="00210DEA" w:rsidP="003F0DB6">
      <w:pPr>
        <w:pStyle w:val="Heading5"/>
      </w:pPr>
      <w:r w:rsidRPr="005A76EA">
        <w:t>Relative exposure</w:t>
      </w:r>
    </w:p>
    <w:p w:rsidR="003F0DB6" w:rsidRDefault="00210DEA" w:rsidP="003F0DB6">
      <w:r w:rsidRPr="005A76EA">
        <w:t>Exposure ratios were calculated ba</w:t>
      </w:r>
      <w:r w:rsidR="00445315">
        <w:t>sed on animal</w:t>
      </w:r>
      <w:proofErr w:type="gramStart"/>
      <w:r w:rsidR="00445315">
        <w:t>:human</w:t>
      </w:r>
      <w:proofErr w:type="gramEnd"/>
      <w:r w:rsidR="00445315">
        <w:t xml:space="preserve"> plasma AUC</w:t>
      </w:r>
      <w:r w:rsidR="00445315" w:rsidRPr="00445315">
        <w:rPr>
          <w:vertAlign w:val="subscript"/>
        </w:rPr>
        <w:t>0-</w:t>
      </w:r>
      <w:r w:rsidRPr="00445315">
        <w:rPr>
          <w:vertAlign w:val="subscript"/>
        </w:rPr>
        <w:t>24 h</w:t>
      </w:r>
      <w:r w:rsidR="00DE23A8">
        <w:t xml:space="preserve"> </w:t>
      </w:r>
      <w:r w:rsidR="0040561E">
        <w:t>(a</w:t>
      </w:r>
      <w:r w:rsidR="0040561E" w:rsidRPr="00DE23A8">
        <w:t>rea under the plasma concentration-time curve</w:t>
      </w:r>
      <w:r w:rsidR="0040561E">
        <w:t xml:space="preserve"> </w:t>
      </w:r>
      <w:r w:rsidR="0040561E" w:rsidRPr="00DE23A8">
        <w:t xml:space="preserve">within </w:t>
      </w:r>
      <w:r w:rsidR="0040561E">
        <w:t xml:space="preserve">the first 24 h following administration) </w:t>
      </w:r>
      <w:r w:rsidR="00DE23A8">
        <w:t>v</w:t>
      </w:r>
      <w:r w:rsidRPr="005A76EA">
        <w:t>alues on the last study day in repeat</w:t>
      </w:r>
      <w:r w:rsidR="005F1FE8">
        <w:t xml:space="preserve"> </w:t>
      </w:r>
      <w:r w:rsidRPr="005A76EA">
        <w:t>dose toxicity studies. Rat and dog studies performed with oral administration demonstrated very high relative</w:t>
      </w:r>
      <w:r w:rsidR="005F1FE8">
        <w:t xml:space="preserve"> systemic exposure margins (compared to</w:t>
      </w:r>
      <w:r w:rsidRPr="005A76EA">
        <w:t xml:space="preserve"> ≥2092 at </w:t>
      </w:r>
      <w:r w:rsidR="009D73D4">
        <w:t>N</w:t>
      </w:r>
      <w:r w:rsidR="009D73D4" w:rsidRPr="009D73D4">
        <w:t xml:space="preserve">o </w:t>
      </w:r>
      <w:r w:rsidR="009D73D4">
        <w:t>O</w:t>
      </w:r>
      <w:r w:rsidR="009D73D4" w:rsidRPr="009D73D4">
        <w:t xml:space="preserve">bserved </w:t>
      </w:r>
      <w:r w:rsidR="009D73D4">
        <w:t>A</w:t>
      </w:r>
      <w:r w:rsidR="009D73D4" w:rsidRPr="009D73D4">
        <w:t xml:space="preserve">dverse </w:t>
      </w:r>
      <w:r w:rsidR="009D73D4">
        <w:t>E</w:t>
      </w:r>
      <w:r w:rsidR="009D73D4" w:rsidRPr="009D73D4">
        <w:t xml:space="preserve">ffect </w:t>
      </w:r>
      <w:r w:rsidR="009D73D4">
        <w:t>L</w:t>
      </w:r>
      <w:r w:rsidR="009D73D4" w:rsidRPr="009D73D4">
        <w:t xml:space="preserve">evel </w:t>
      </w:r>
      <w:r w:rsidR="009D73D4">
        <w:t>[</w:t>
      </w:r>
      <w:r w:rsidRPr="005A76EA">
        <w:t>NOAEL</w:t>
      </w:r>
      <w:r w:rsidR="009D73D4">
        <w:t>]</w:t>
      </w:r>
      <w:r w:rsidRPr="005A76EA">
        <w:t>) with minimal clinical signs. A dog study using ocular instillation at the clinical dose demonstra</w:t>
      </w:r>
      <w:r w:rsidR="00094C57">
        <w:t xml:space="preserve">ted low relative exposure (compared to </w:t>
      </w:r>
      <w:r w:rsidRPr="005A76EA">
        <w:t>30 and 25 for male and female</w:t>
      </w:r>
      <w:r w:rsidR="00A369FB">
        <w:t>,</w:t>
      </w:r>
      <w:r w:rsidRPr="005A76EA">
        <w:t xml:space="preserve"> respectively); no significant clinical signs noted (Table 2).</w:t>
      </w:r>
    </w:p>
    <w:p w:rsidR="00147207" w:rsidRDefault="00147207" w:rsidP="003F0DB6">
      <w:pPr>
        <w:pStyle w:val="TableTitle"/>
      </w:pPr>
      <w:proofErr w:type="gramStart"/>
      <w:r>
        <w:lastRenderedPageBreak/>
        <w:t>Table 2:</w:t>
      </w:r>
      <w:r w:rsidRPr="004C5C28">
        <w:t xml:space="preserve"> </w:t>
      </w:r>
      <w:r w:rsidRPr="00147207">
        <w:t>Relative systemic exposure in repeat</w:t>
      </w:r>
      <w:r w:rsidR="002175D5">
        <w:t xml:space="preserve"> </w:t>
      </w:r>
      <w:r w:rsidRPr="00147207">
        <w:t>dose toxicity studies</w:t>
      </w:r>
      <w:r>
        <w:t>.</w:t>
      </w:r>
      <w:proofErr w:type="gramEnd"/>
    </w:p>
    <w:p w:rsidR="008E7846" w:rsidRDefault="00FB0B81" w:rsidP="00FA557B">
      <w:r>
        <w:rPr>
          <w:noProof/>
          <w:lang w:eastAsia="en-AU"/>
        </w:rPr>
        <w:drawing>
          <wp:inline distT="0" distB="0" distL="0" distR="0" wp14:anchorId="26E24172" wp14:editId="50F57314">
            <wp:extent cx="4549775" cy="5474970"/>
            <wp:effectExtent l="0" t="0" r="3175" b="0"/>
            <wp:docPr id="3" name="Picture 3" descr="Table 2: Relative systemic exposur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Relative systemic exposure in repeat dose toxicity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775" cy="5474970"/>
                    </a:xfrm>
                    <a:prstGeom prst="rect">
                      <a:avLst/>
                    </a:prstGeom>
                    <a:noFill/>
                    <a:ln>
                      <a:noFill/>
                    </a:ln>
                  </pic:spPr>
                </pic:pic>
              </a:graphicData>
            </a:graphic>
          </wp:inline>
        </w:drawing>
      </w:r>
    </w:p>
    <w:p w:rsidR="00761A31" w:rsidRPr="00761A31" w:rsidRDefault="00761A31" w:rsidP="00FA557B">
      <w:pPr>
        <w:pStyle w:val="Heading5"/>
      </w:pPr>
      <w:r w:rsidRPr="00761A31">
        <w:t xml:space="preserve">Major </w:t>
      </w:r>
      <w:r w:rsidRPr="00FA557B">
        <w:t>toxicities</w:t>
      </w:r>
    </w:p>
    <w:p w:rsidR="00761A31" w:rsidRPr="00761A31" w:rsidRDefault="00761A31" w:rsidP="00FA557B">
      <w:r w:rsidRPr="00761A31">
        <w:t>No major toxicities were noted when besifloxacin was administered via ocular instillation. When administered orally, slight but reversible weight loss and reductions in relative organ weights (such as liver) were noted in some studies. No corresponding histopathological findings were however noted.</w:t>
      </w:r>
    </w:p>
    <w:p w:rsidR="00761A31" w:rsidRPr="00FA557B" w:rsidRDefault="00761A31" w:rsidP="00FA557B">
      <w:pPr>
        <w:pStyle w:val="Heading4"/>
      </w:pPr>
      <w:bookmarkStart w:id="52" w:name="_Toc294861729"/>
      <w:r w:rsidRPr="00761A31">
        <w:t>Genotoxicity</w:t>
      </w:r>
      <w:bookmarkEnd w:id="52"/>
    </w:p>
    <w:p w:rsidR="00761A31" w:rsidRPr="00761A31" w:rsidRDefault="00761A31" w:rsidP="00FA557B">
      <w:r w:rsidRPr="00761A31">
        <w:t xml:space="preserve">The standard battery of bacterial reverse mutation, </w:t>
      </w:r>
      <w:r w:rsidRPr="0049251F">
        <w:rPr>
          <w:i/>
        </w:rPr>
        <w:t>in vivo</w:t>
      </w:r>
      <w:r w:rsidRPr="00761A31">
        <w:t xml:space="preserve"> and </w:t>
      </w:r>
      <w:r w:rsidRPr="0049251F">
        <w:rPr>
          <w:i/>
        </w:rPr>
        <w:t>in vitro</w:t>
      </w:r>
      <w:r w:rsidRPr="00761A31">
        <w:t xml:space="preserve"> chromosomal aberration and unscheduled DNA synthesis assays were performed. A photo</w:t>
      </w:r>
      <w:r w:rsidR="00B508E2">
        <w:t xml:space="preserve"> </w:t>
      </w:r>
      <w:r w:rsidRPr="00761A31">
        <w:t>sensitive reverse mutation assay was also performed to determine the effects of products generated through photo</w:t>
      </w:r>
      <w:r w:rsidR="00B508E2">
        <w:t xml:space="preserve"> </w:t>
      </w:r>
      <w:r w:rsidRPr="00761A31">
        <w:t xml:space="preserve">degradation. All studies were GLP compliant and utilised appropriate bacterial and mammalian cell lines and </w:t>
      </w:r>
      <w:r w:rsidRPr="005768D0">
        <w:rPr>
          <w:i/>
        </w:rPr>
        <w:t>in vivo</w:t>
      </w:r>
      <w:r w:rsidRPr="00761A31">
        <w:t xml:space="preserve"> animal models. The highest concentrations and doses utilised were in accordance with the ICH guidelines.</w:t>
      </w:r>
    </w:p>
    <w:p w:rsidR="00761A31" w:rsidRPr="00761A31" w:rsidRDefault="00761A31" w:rsidP="00FA557B">
      <w:r w:rsidRPr="00761A31">
        <w:t xml:space="preserve">The bacterial reverse mutation, </w:t>
      </w:r>
      <w:r w:rsidRPr="000761AF">
        <w:rPr>
          <w:i/>
        </w:rPr>
        <w:t>in vivo</w:t>
      </w:r>
      <w:r w:rsidRPr="00761A31">
        <w:t xml:space="preserve"> chromosomal aberration and unscheduled DNA synthesis did not demonstrate notable genotoxic effects. The solar simulated light mutagenesis assay did not indicate an increase in bacterial </w:t>
      </w:r>
      <w:r w:rsidR="00CF1F61">
        <w:t xml:space="preserve">revertants as a result of photo </w:t>
      </w:r>
      <w:r w:rsidRPr="00761A31">
        <w:t xml:space="preserve">degradation; however, higher numbers of TA102 and </w:t>
      </w:r>
      <w:proofErr w:type="gramStart"/>
      <w:r w:rsidRPr="00761A31">
        <w:t>WP2(</w:t>
      </w:r>
      <w:proofErr w:type="gramEnd"/>
      <w:r w:rsidRPr="00761A31">
        <w:t xml:space="preserve">pKM101) revertants were </w:t>
      </w:r>
      <w:r w:rsidRPr="00761A31">
        <w:lastRenderedPageBreak/>
        <w:t>noted at concentrations ≥0.333 µg/plate in the non</w:t>
      </w:r>
      <w:r w:rsidR="00CF1F61">
        <w:t xml:space="preserve"> </w:t>
      </w:r>
      <w:r w:rsidRPr="00761A31">
        <w:t xml:space="preserve">exposed controls. </w:t>
      </w:r>
      <w:bookmarkStart w:id="53" w:name="Genotox2"/>
      <w:bookmarkEnd w:id="53"/>
      <w:r w:rsidRPr="00761A31">
        <w:t xml:space="preserve">This observation is in contrast to the other </w:t>
      </w:r>
      <w:r w:rsidRPr="000761AF">
        <w:rPr>
          <w:i/>
        </w:rPr>
        <w:t>S. tymphimurium</w:t>
      </w:r>
      <w:r w:rsidRPr="00761A31">
        <w:t xml:space="preserve"> and </w:t>
      </w:r>
      <w:r w:rsidRPr="000761AF">
        <w:rPr>
          <w:i/>
        </w:rPr>
        <w:t>E. coli</w:t>
      </w:r>
      <w:r w:rsidRPr="00761A31">
        <w:t xml:space="preserve"> strains used in Study 7281-106, where no revertants were noted.</w:t>
      </w:r>
    </w:p>
    <w:p w:rsidR="00761A31" w:rsidRPr="00761A31" w:rsidRDefault="00761A31" w:rsidP="00FA557B">
      <w:r w:rsidRPr="00761A31">
        <w:t>In a range</w:t>
      </w:r>
      <w:r w:rsidR="00CE75F2">
        <w:t xml:space="preserve"> </w:t>
      </w:r>
      <w:r w:rsidRPr="00761A31">
        <w:t xml:space="preserve">finding oral study using the (-) enantiomer (99%) in CD-1 mice, at the highest dose (2000 mg/ml) clastogenicity was noted, accompanied by high cytotoxicity levels. The pivotal </w:t>
      </w:r>
      <w:r w:rsidRPr="000A33FF">
        <w:rPr>
          <w:i/>
        </w:rPr>
        <w:t>in vivo</w:t>
      </w:r>
      <w:r w:rsidRPr="00761A31">
        <w:t xml:space="preserve"> chromosomal aberration study in ICR mice showed no clastogenic p</w:t>
      </w:r>
      <w:r w:rsidR="00CE75F2">
        <w:t>otential up to 500 mg/kg with intraperitoneal</w:t>
      </w:r>
      <w:r w:rsidRPr="00761A31">
        <w:t xml:space="preserve"> administration of the race</w:t>
      </w:r>
      <w:r w:rsidR="00FA557B">
        <w:t>mate.</w:t>
      </w:r>
    </w:p>
    <w:p w:rsidR="00761A31" w:rsidRPr="00761A31" w:rsidRDefault="00761A31" w:rsidP="00FA557B">
      <w:r w:rsidRPr="00761A31">
        <w:t xml:space="preserve">While the positive results noted in the bacterial reverse mutation studies may be attributed to the mechanisms of action and enzymatic target of </w:t>
      </w:r>
      <w:r w:rsidR="00686F1B">
        <w:t>FQ</w:t>
      </w:r>
      <w:r w:rsidRPr="00761A31">
        <w:t>s, collectively, no significant genotoxicity risk is associated with besifloxacin.</w:t>
      </w:r>
    </w:p>
    <w:p w:rsidR="00761A31" w:rsidRPr="00FA557B" w:rsidRDefault="00761A31" w:rsidP="00FA557B">
      <w:pPr>
        <w:pStyle w:val="Heading4"/>
      </w:pPr>
      <w:bookmarkStart w:id="54" w:name="_Toc294861730"/>
      <w:r w:rsidRPr="00761A31">
        <w:t>Carcinogenicity</w:t>
      </w:r>
      <w:bookmarkEnd w:id="54"/>
    </w:p>
    <w:p w:rsidR="00761A31" w:rsidRPr="00761A31" w:rsidRDefault="00761A31" w:rsidP="00FA557B">
      <w:r w:rsidRPr="00761A31">
        <w:t>No carcinogenicity studies were performed based on low systemic exposure following ocular administration, low genotoxic risk, short time frame of clinical dose regimen and knowledge</w:t>
      </w:r>
      <w:r w:rsidR="00705ECF">
        <w:t xml:space="preserve"> </w:t>
      </w:r>
      <w:r w:rsidRPr="00761A31">
        <w:t xml:space="preserve">base of </w:t>
      </w:r>
      <w:r w:rsidR="00686F1B">
        <w:t>FQ</w:t>
      </w:r>
      <w:r w:rsidRPr="00761A31">
        <w:t>s class of antibacterial agents. This is c</w:t>
      </w:r>
      <w:r w:rsidR="00C86734">
        <w:t>ongruent with published guidelines.</w:t>
      </w:r>
      <w:r w:rsidR="001B7828">
        <w:rPr>
          <w:rStyle w:val="FootnoteReference"/>
        </w:rPr>
        <w:footnoteReference w:id="3"/>
      </w:r>
    </w:p>
    <w:p w:rsidR="00761A31" w:rsidRPr="00FA557B" w:rsidRDefault="00761A31" w:rsidP="00FA557B">
      <w:pPr>
        <w:pStyle w:val="Heading4"/>
      </w:pPr>
      <w:r w:rsidRPr="00761A31">
        <w:t>Reproductive toxicity</w:t>
      </w:r>
    </w:p>
    <w:p w:rsidR="00761A31" w:rsidRPr="00761A31" w:rsidRDefault="00761A31" w:rsidP="00FA557B">
      <w:r w:rsidRPr="00761A31">
        <w:t>Pivotal studies encompassing fertility, early embryonic development, embryof</w:t>
      </w:r>
      <w:r w:rsidR="008C6B8C">
        <w:t>o</w:t>
      </w:r>
      <w:r w:rsidRPr="00761A31">
        <w:t>etal development</w:t>
      </w:r>
      <w:r w:rsidR="00FA37F0">
        <w:t xml:space="preserve"> and pre</w:t>
      </w:r>
      <w:r w:rsidRPr="00761A31">
        <w:t xml:space="preserve"> and postnatal development were performed in rats and rabbits. All pivotal studies were GLP compliant, included appropriate numbers of animals administered within appropriate time periods. The reproductive studies used oral administration, which resulted in higher relative exposure values compared to clinical, ocular instillation. Toxicokinetic data was gathered from one rat and one rabbit embryof</w:t>
      </w:r>
      <w:r w:rsidR="004F54A9">
        <w:t>o</w:t>
      </w:r>
      <w:r w:rsidRPr="00761A31">
        <w:t>etal</w:t>
      </w:r>
      <w:r w:rsidR="004F54A9">
        <w:t xml:space="preserve"> study (Table 3</w:t>
      </w:r>
      <w:r w:rsidRPr="00761A31">
        <w:t>)</w:t>
      </w:r>
      <w:r w:rsidR="004F54A9">
        <w:t>.</w:t>
      </w:r>
    </w:p>
    <w:p w:rsidR="00761A31" w:rsidRDefault="00761A31" w:rsidP="00FA557B">
      <w:pPr>
        <w:pStyle w:val="TableTitle"/>
      </w:pPr>
      <w:r>
        <w:t>Table 3:</w:t>
      </w:r>
      <w:r w:rsidRPr="004C5C28">
        <w:t xml:space="preserve"> </w:t>
      </w:r>
      <w:r w:rsidRPr="00761A31">
        <w:t xml:space="preserve">Relative exposure </w:t>
      </w:r>
      <w:r w:rsidRPr="00FA557B">
        <w:t>calculated</w:t>
      </w:r>
      <w:r w:rsidRPr="00761A31">
        <w:t xml:space="preserve"> from toxicokinetic data from embryofetal studies in rat and rabbit</w:t>
      </w:r>
      <w:r>
        <w:t>.</w:t>
      </w:r>
    </w:p>
    <w:p w:rsidR="00147207" w:rsidRDefault="00FB0B81" w:rsidP="00FA557B">
      <w:r>
        <w:rPr>
          <w:noProof/>
          <w:lang w:eastAsia="en-AU"/>
        </w:rPr>
        <w:drawing>
          <wp:inline distT="0" distB="0" distL="0" distR="0" wp14:anchorId="7A60F5D4" wp14:editId="74C3B368">
            <wp:extent cx="4319270" cy="2260600"/>
            <wp:effectExtent l="0" t="0" r="5080" b="6350"/>
            <wp:docPr id="4" name="Picture 4" descr="Table 3: Relative exposure calculated from toxicokinetic data from embryofetal studies in rat and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Relative exposure calculated from toxicokinetic data from embryofetal studies in rat and rabb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270" cy="2260600"/>
                    </a:xfrm>
                    <a:prstGeom prst="rect">
                      <a:avLst/>
                    </a:prstGeom>
                    <a:noFill/>
                    <a:ln>
                      <a:noFill/>
                    </a:ln>
                  </pic:spPr>
                </pic:pic>
              </a:graphicData>
            </a:graphic>
          </wp:inline>
        </w:drawing>
      </w:r>
    </w:p>
    <w:p w:rsidR="004F54A9" w:rsidRPr="004F54A9" w:rsidRDefault="004F54A9" w:rsidP="00FA557B">
      <w:r w:rsidRPr="004F54A9">
        <w:t>Based on C</w:t>
      </w:r>
      <w:r w:rsidRPr="00683DC0">
        <w:rPr>
          <w:vertAlign w:val="subscript"/>
        </w:rPr>
        <w:t>max</w:t>
      </w:r>
      <w:r w:rsidRPr="004F54A9">
        <w:t xml:space="preserve"> and AUC values in the rabbit and rat embryof</w:t>
      </w:r>
      <w:r w:rsidR="00DB19EC">
        <w:t>o</w:t>
      </w:r>
      <w:r w:rsidRPr="004F54A9">
        <w:t>etal studies, satisfactory relative exposu</w:t>
      </w:r>
      <w:r w:rsidR="00FA557B">
        <w:t>re margins were achieved.</w:t>
      </w:r>
    </w:p>
    <w:p w:rsidR="004F54A9" w:rsidRPr="004F54A9" w:rsidRDefault="004F54A9" w:rsidP="00FA557B">
      <w:r w:rsidRPr="004F54A9">
        <w:t xml:space="preserve">The rat fertility study noted increase salivation in both males and females at 500 mg/kg/day. Weight loss was noted in both males and females in the 100 and 500 </w:t>
      </w:r>
      <w:r w:rsidRPr="004F54A9">
        <w:lastRenderedPageBreak/>
        <w:t>mg/kg/day dose groups. No besifloxacin</w:t>
      </w:r>
      <w:r w:rsidR="00B95830">
        <w:t xml:space="preserve"> </w:t>
      </w:r>
      <w:r w:rsidRPr="004F54A9">
        <w:t>related impairment of fertility was noted at the tested doses.</w:t>
      </w:r>
    </w:p>
    <w:p w:rsidR="004F54A9" w:rsidRPr="004F54A9" w:rsidRDefault="004F54A9" w:rsidP="0013200A">
      <w:r w:rsidRPr="004F54A9">
        <w:t>In the rat embryof</w:t>
      </w:r>
      <w:r w:rsidR="00B95830">
        <w:t>o</w:t>
      </w:r>
      <w:r w:rsidRPr="004F54A9">
        <w:t>etal development studies, reduced body weight (≥100 mg/kg/day), sparse hair (all dose groups), salivation and reduced gravid uterine weights (1000 mg/kg/day PO) were noted in pregnant dams. Increased post</w:t>
      </w:r>
      <w:r w:rsidR="00337D05">
        <w:t xml:space="preserve"> </w:t>
      </w:r>
      <w:r w:rsidRPr="004F54A9">
        <w:t>implantation loss was noted at 1000 mg/kg/day and reduced f</w:t>
      </w:r>
      <w:r w:rsidR="00337D05">
        <w:t>o</w:t>
      </w:r>
      <w:r w:rsidRPr="004F54A9">
        <w:t>etal body weights were noted across all dose groups. An increased number of f</w:t>
      </w:r>
      <w:r w:rsidR="00337D05">
        <w:t>o</w:t>
      </w:r>
      <w:r w:rsidRPr="004F54A9">
        <w:t>etal</w:t>
      </w:r>
      <w:r w:rsidR="00337D05">
        <w:t xml:space="preserve"> </w:t>
      </w:r>
      <w:r w:rsidRPr="004F54A9">
        <w:t>skeletal variations (decreased ossification</w:t>
      </w:r>
      <w:r w:rsidR="0013200A">
        <w:t>) were noted at 1000 mg/kg/day.</w:t>
      </w:r>
    </w:p>
    <w:p w:rsidR="004F54A9" w:rsidRPr="004F54A9" w:rsidRDefault="004F54A9" w:rsidP="0013200A">
      <w:r w:rsidRPr="004F54A9">
        <w:t>The rabbit embryof</w:t>
      </w:r>
      <w:r w:rsidR="00A85056">
        <w:t>o</w:t>
      </w:r>
      <w:r w:rsidRPr="004F54A9">
        <w:t>etal study demonstrated reduced gestation body weights, reduced gravid uterine weight and sparse hair and f</w:t>
      </w:r>
      <w:r w:rsidR="00A85056">
        <w:t>a</w:t>
      </w:r>
      <w:r w:rsidRPr="004F54A9">
        <w:t xml:space="preserve">eces at </w:t>
      </w:r>
      <w:r w:rsidR="008349F7">
        <w:t xml:space="preserve">20 mg/kg/day PO. Increased post </w:t>
      </w:r>
      <w:r w:rsidRPr="004F54A9">
        <w:t>implantation loss, increased early and late resorptions and reduced viable f</w:t>
      </w:r>
      <w:r w:rsidR="008349F7">
        <w:t>o</w:t>
      </w:r>
      <w:r w:rsidRPr="004F54A9">
        <w:t>etuses were noted at 20 mg/kg/day. The maternal observations were accompanied by besifloxacin-related reduced f</w:t>
      </w:r>
      <w:r w:rsidR="008349F7">
        <w:t>o</w:t>
      </w:r>
      <w:r w:rsidRPr="004F54A9">
        <w:t>etal weight in the high dose. No clear test</w:t>
      </w:r>
      <w:r w:rsidR="008349F7">
        <w:t xml:space="preserve"> </w:t>
      </w:r>
      <w:r w:rsidRPr="004F54A9">
        <w:t>article related visceral or skeletal malformations were noted in the rabbit study.</w:t>
      </w:r>
      <w:r w:rsidR="004D5AF2">
        <w:t xml:space="preserve"> </w:t>
      </w:r>
      <w:r w:rsidRPr="004F54A9">
        <w:t>However, delayed f</w:t>
      </w:r>
      <w:r w:rsidR="008349F7">
        <w:t>o</w:t>
      </w:r>
      <w:r w:rsidRPr="004F54A9">
        <w:t>etal development was noted owing to the poor maternal toxicity; a known response in rabbits to antibiotics. Thus, the findings of the embryof</w:t>
      </w:r>
      <w:r w:rsidR="008349F7">
        <w:t>o</w:t>
      </w:r>
      <w:r w:rsidRPr="004F54A9">
        <w:t>etal stu</w:t>
      </w:r>
      <w:r w:rsidR="0013200A">
        <w:t>dy were not included in the PI.</w:t>
      </w:r>
    </w:p>
    <w:p w:rsidR="004F54A9" w:rsidRPr="004F54A9" w:rsidRDefault="004F54A9" w:rsidP="0013200A">
      <w:r w:rsidRPr="004F54A9">
        <w:t>In the rat pre and postnatal development study maternal weight loss (all doses), salivation and sparse hair (at 1000 mg/kg/day) were noted. A statistically significant increase in still born pups was noted at the 1000 mg/kg/day dose. Test</w:t>
      </w:r>
      <w:r w:rsidR="008349F7">
        <w:t xml:space="preserve"> </w:t>
      </w:r>
      <w:r w:rsidRPr="004F54A9">
        <w:t>article related development deficits, such as weight loss, delayed pinna detachment, eyelid opening and delayed sexual maturation was observed at 1000 mg/kg/day. Taken together, these observations suggest strong likelihood of placental transfer and/or excretion via milk for besifloxacin.</w:t>
      </w:r>
    </w:p>
    <w:p w:rsidR="004F54A9" w:rsidRPr="0013200A" w:rsidRDefault="004F54A9" w:rsidP="0013200A">
      <w:pPr>
        <w:pStyle w:val="Heading4"/>
      </w:pPr>
      <w:r w:rsidRPr="004F54A9">
        <w:t>Pregnancy classification</w:t>
      </w:r>
    </w:p>
    <w:p w:rsidR="004F54A9" w:rsidRPr="004F54A9" w:rsidRDefault="004F54A9" w:rsidP="0013200A">
      <w:r w:rsidRPr="004F54A9">
        <w:t>The sponsor has proposed Pregnancy Ca</w:t>
      </w:r>
      <w:r w:rsidR="0013200A">
        <w:t>tegory B3, which is acceptable.</w:t>
      </w:r>
    </w:p>
    <w:p w:rsidR="004F54A9" w:rsidRPr="0013200A" w:rsidRDefault="004F54A9" w:rsidP="0013200A">
      <w:pPr>
        <w:pStyle w:val="Heading4"/>
      </w:pPr>
      <w:r w:rsidRPr="004F54A9">
        <w:t>Local tolerance</w:t>
      </w:r>
    </w:p>
    <w:p w:rsidR="004F54A9" w:rsidRPr="004F54A9" w:rsidRDefault="004F54A9" w:rsidP="0013200A">
      <w:r w:rsidRPr="004F54A9">
        <w:t>Multiple distribution studies longer than the clinical treatment regimen did not indicate any local irritation associated with ocula</w:t>
      </w:r>
      <w:r w:rsidR="0013200A">
        <w:t>r instillation of besifloxacin.</w:t>
      </w:r>
    </w:p>
    <w:p w:rsidR="004F54A9" w:rsidRPr="0013200A" w:rsidRDefault="004F54A9" w:rsidP="0013200A">
      <w:pPr>
        <w:pStyle w:val="Heading4"/>
      </w:pPr>
      <w:r w:rsidRPr="004F54A9">
        <w:t>Impurities</w:t>
      </w:r>
    </w:p>
    <w:p w:rsidR="004F54A9" w:rsidRPr="004F54A9" w:rsidRDefault="004F54A9" w:rsidP="0013200A">
      <w:r w:rsidRPr="004F54A9">
        <w:t>The proposed specifications for impurities/degradants in the drug substance/product have been adequately qualified.</w:t>
      </w:r>
    </w:p>
    <w:p w:rsidR="004F54A9" w:rsidRPr="0013200A" w:rsidRDefault="004F54A9" w:rsidP="0013200A">
      <w:pPr>
        <w:pStyle w:val="Heading4"/>
      </w:pPr>
      <w:r w:rsidRPr="004F54A9">
        <w:t>Paediatric use</w:t>
      </w:r>
    </w:p>
    <w:p w:rsidR="004F54A9" w:rsidRPr="004F54A9" w:rsidRDefault="004F54A9" w:rsidP="0013200A">
      <w:r w:rsidRPr="004F54A9">
        <w:t>Besifloxacin is not indicated for children under the age of 12 m</w:t>
      </w:r>
      <w:r w:rsidR="008349F7">
        <w:t>onths. No specific juvenile non</w:t>
      </w:r>
      <w:r w:rsidRPr="004F54A9">
        <w:t>clinical studie</w:t>
      </w:r>
      <w:r w:rsidR="008349F7">
        <w:t xml:space="preserve">s were performed. Previous peer </w:t>
      </w:r>
      <w:r w:rsidRPr="004F54A9">
        <w:t xml:space="preserve">reviewed studies have noted arthrotoxicity and reversible musculoskeletal events associated with systemic use of </w:t>
      </w:r>
      <w:r w:rsidR="00686F1B">
        <w:t>FQ</w:t>
      </w:r>
      <w:r w:rsidRPr="004F54A9">
        <w:t>s.</w:t>
      </w:r>
      <w:r w:rsidR="000F306B">
        <w:rPr>
          <w:rStyle w:val="FootnoteReference"/>
        </w:rPr>
        <w:footnoteReference w:id="4"/>
      </w:r>
      <w:r w:rsidRPr="004F54A9">
        <w:t xml:space="preserve"> Given the low systemic exposure associate with ocular instillations, the absence of developmental defects at NOAEL in pre and postnatal development studies, and the short treatment periods, the a</w:t>
      </w:r>
      <w:r w:rsidR="008349F7">
        <w:t>bsence of specific juvenile non</w:t>
      </w:r>
      <w:r w:rsidRPr="004F54A9">
        <w:t>clinical studies is acceptable.</w:t>
      </w:r>
    </w:p>
    <w:p w:rsidR="004F54A9" w:rsidRPr="0013200A" w:rsidRDefault="004F54A9" w:rsidP="0013200A">
      <w:pPr>
        <w:pStyle w:val="Heading4"/>
      </w:pPr>
      <w:r w:rsidRPr="004F54A9">
        <w:t>Other toxicity studies</w:t>
      </w:r>
    </w:p>
    <w:p w:rsidR="004F54A9" w:rsidRPr="00A726DF" w:rsidRDefault="004F54A9" w:rsidP="0013200A">
      <w:r w:rsidRPr="00A726DF">
        <w:t>One photoallergenicity (guinea pig) and two phototoxicity (guinea pig and mouse) studies revealed no photoallergenicity or phototoxicity effect for the test</w:t>
      </w:r>
      <w:r w:rsidR="00CB154D" w:rsidRPr="00A726DF">
        <w:t xml:space="preserve"> </w:t>
      </w:r>
      <w:r w:rsidRPr="00A726DF">
        <w:t>article. In addition, the effect of the delivery vehicle (DuraSite) with the novel excipient, poly</w:t>
      </w:r>
      <w:r w:rsidR="000761AF">
        <w:t xml:space="preserve">carbophil, was </w:t>
      </w:r>
      <w:r w:rsidR="000761AF">
        <w:lastRenderedPageBreak/>
        <w:t>investigated in two</w:t>
      </w:r>
      <w:r w:rsidRPr="00A726DF">
        <w:t xml:space="preserve"> rabbit studies of 52 and 2 weeks</w:t>
      </w:r>
      <w:r w:rsidR="00F57035">
        <w:t>,</w:t>
      </w:r>
      <w:r w:rsidRPr="00A726DF">
        <w:t xml:space="preserve"> respectively.</w:t>
      </w:r>
      <w:r w:rsidR="004D5AF2">
        <w:t xml:space="preserve"> </w:t>
      </w:r>
      <w:r w:rsidR="008349F7">
        <w:t xml:space="preserve">No long term excipient </w:t>
      </w:r>
      <w:r w:rsidRPr="00A726DF">
        <w:t>related effects were noted.</w:t>
      </w:r>
    </w:p>
    <w:p w:rsidR="004F54A9" w:rsidRPr="004F54A9" w:rsidRDefault="004F54A9" w:rsidP="0013200A">
      <w:pPr>
        <w:pStyle w:val="Heading4"/>
      </w:pPr>
      <w:bookmarkStart w:id="55" w:name="_Toc295290868"/>
      <w:bookmarkStart w:id="56" w:name="_Toc363033567"/>
      <w:r w:rsidRPr="004F54A9">
        <w:t xml:space="preserve">Comments on the </w:t>
      </w:r>
      <w:r w:rsidR="0013200A">
        <w:t>s</w:t>
      </w:r>
      <w:r w:rsidRPr="004F54A9">
        <w:t xml:space="preserve">afety </w:t>
      </w:r>
      <w:r w:rsidR="0013200A">
        <w:t>s</w:t>
      </w:r>
      <w:r w:rsidRPr="004F54A9">
        <w:t xml:space="preserve">pecification of the </w:t>
      </w:r>
      <w:r w:rsidR="0013200A">
        <w:t>r</w:t>
      </w:r>
      <w:r w:rsidRPr="004F54A9">
        <w:t xml:space="preserve">isk </w:t>
      </w:r>
      <w:r w:rsidR="0013200A">
        <w:t>m</w:t>
      </w:r>
      <w:r w:rsidRPr="004F54A9">
        <w:t xml:space="preserve">anagement </w:t>
      </w:r>
      <w:r w:rsidR="0013200A">
        <w:t>p</w:t>
      </w:r>
      <w:r w:rsidRPr="004F54A9">
        <w:t>lan</w:t>
      </w:r>
      <w:bookmarkEnd w:id="55"/>
      <w:bookmarkEnd w:id="56"/>
    </w:p>
    <w:p w:rsidR="004F54A9" w:rsidRPr="004F54A9" w:rsidRDefault="004F54A9" w:rsidP="0013200A">
      <w:r w:rsidRPr="004F54A9">
        <w:t>Results and conclusions drawn from the nonclinical program for besifloxacin detailed in the sponso</w:t>
      </w:r>
      <w:r w:rsidR="008349F7">
        <w:t xml:space="preserve">r’s draft Risk Management Plan (RMP) </w:t>
      </w:r>
      <w:r w:rsidRPr="004F54A9">
        <w:t xml:space="preserve">are in general concordance with those of the </w:t>
      </w:r>
      <w:r w:rsidR="00164076">
        <w:t>n</w:t>
      </w:r>
      <w:r w:rsidRPr="004F54A9">
        <w:t xml:space="preserve">onclinical </w:t>
      </w:r>
      <w:r w:rsidR="00164076">
        <w:t>e</w:t>
      </w:r>
      <w:r w:rsidRPr="004F54A9">
        <w:t>valuator.</w:t>
      </w:r>
    </w:p>
    <w:p w:rsidR="008E7846" w:rsidRDefault="008E7846" w:rsidP="0013200A">
      <w:pPr>
        <w:pStyle w:val="Heading3"/>
      </w:pPr>
      <w:bookmarkStart w:id="57" w:name="_Toc247691515"/>
      <w:bookmarkStart w:id="58" w:name="_Toc314842499"/>
      <w:bookmarkStart w:id="59" w:name="_Toc383772766"/>
      <w:r>
        <w:t xml:space="preserve">Nonclinical summary and </w:t>
      </w:r>
      <w:r w:rsidRPr="0013200A">
        <w:t>conclusions</w:t>
      </w:r>
      <w:bookmarkEnd w:id="57"/>
      <w:bookmarkEnd w:id="58"/>
      <w:bookmarkEnd w:id="59"/>
    </w:p>
    <w:p w:rsidR="003407CD" w:rsidRPr="0013200A" w:rsidRDefault="003407CD" w:rsidP="0013200A">
      <w:pPr>
        <w:pStyle w:val="Heading4"/>
      </w:pPr>
      <w:r>
        <w:t>Summary</w:t>
      </w:r>
    </w:p>
    <w:p w:rsidR="003407CD" w:rsidRPr="003407CD" w:rsidRDefault="003407CD" w:rsidP="0013200A">
      <w:pPr>
        <w:pStyle w:val="ListBullet"/>
      </w:pPr>
      <w:r w:rsidRPr="003407CD">
        <w:t>Bausch &amp; Lomb (Australia) Pty Ltd has applied to register besifloxacin hydrochloride 0.6%</w:t>
      </w:r>
      <w:r w:rsidR="00CA240D">
        <w:t xml:space="preserve"> ophthalmic solution (B</w:t>
      </w:r>
      <w:r w:rsidR="005A76EA">
        <w:t>esivance</w:t>
      </w:r>
      <w:r w:rsidRPr="003407CD">
        <w:t xml:space="preserve">) for treatment of bacterial conjunctivitis. </w:t>
      </w:r>
      <w:r w:rsidR="005A76EA">
        <w:t>Besivance</w:t>
      </w:r>
      <w:r w:rsidRPr="003407CD">
        <w:t xml:space="preserve"> is recommended for patients over one year of age and is applied as a single ocular instillation three times a day (4</w:t>
      </w:r>
      <w:r w:rsidR="004C11FE">
        <w:t>-</w:t>
      </w:r>
      <w:r w:rsidRPr="003407CD">
        <w:t>12</w:t>
      </w:r>
      <w:r w:rsidR="004C11FE">
        <w:t xml:space="preserve"> </w:t>
      </w:r>
      <w:r w:rsidRPr="003407CD">
        <w:t>h apart) for 7 days to the affected eye.</w:t>
      </w:r>
      <w:r w:rsidR="004D5AF2">
        <w:t xml:space="preserve"> </w:t>
      </w:r>
      <w:r w:rsidRPr="003407CD">
        <w:t xml:space="preserve">Besifloxacin is a fifth generation </w:t>
      </w:r>
      <w:r w:rsidR="00686F1B">
        <w:t>FQ</w:t>
      </w:r>
      <w:r w:rsidRPr="003407CD">
        <w:t>, a well documented class of antibacterial agent.</w:t>
      </w:r>
    </w:p>
    <w:p w:rsidR="003407CD" w:rsidRPr="003407CD" w:rsidRDefault="003407CD" w:rsidP="0013200A">
      <w:pPr>
        <w:pStyle w:val="ListBullet"/>
      </w:pPr>
      <w:r w:rsidRPr="003407CD">
        <w:t>The sponsor submitted studies on primary (microbiology), secondary and safety pharmacology, absorption and plasma pharmacokinetic, single and repeat dose toxicity, genotoxicity, reproductive and development, photoallergenic, phototoxicity and chronic ocular toxicity studies. Acute toxicity studies were performed using only one species, contrary to ICH guid</w:t>
      </w:r>
      <w:r w:rsidR="003A494F">
        <w:t xml:space="preserve">elines. However, as several ICH compliant repeat </w:t>
      </w:r>
      <w:r w:rsidRPr="003407CD">
        <w:t>dose toxicity studies with accompanying toxicokinetic data were provided, a satisfactory toxicity assessment was performed. The remaining pivotal toxicity studies were GLP compliant and met relevant ICH guidelines.</w:t>
      </w:r>
    </w:p>
    <w:p w:rsidR="003407CD" w:rsidRPr="003407CD" w:rsidRDefault="003407CD" w:rsidP="0013200A">
      <w:pPr>
        <w:pStyle w:val="ListBullet"/>
      </w:pPr>
      <w:r w:rsidRPr="003407CD">
        <w:t xml:space="preserve">Besifloxacin is proposed to be effective against conjunctivitis arising from: </w:t>
      </w:r>
      <w:r w:rsidRPr="0013200A">
        <w:rPr>
          <w:i/>
        </w:rPr>
        <w:t>CDC coryneform group G, Corynebacterium pseudodiphtheriticum, Corynebacterium striatum, Haemophilus influenza, Moraxella lacunata, Staphylococcus aureus, S. epidermidis, S. hominis, S. lugdunensis, Streptococcus mitis group, S. oralis, S. pneumoniae and S. salivarius</w:t>
      </w:r>
      <w:r w:rsidR="0013200A">
        <w:rPr>
          <w:i/>
        </w:rPr>
        <w:t>.</w:t>
      </w:r>
    </w:p>
    <w:p w:rsidR="003407CD" w:rsidRPr="003407CD" w:rsidRDefault="003407CD" w:rsidP="0013200A">
      <w:pPr>
        <w:pStyle w:val="ListBullet"/>
      </w:pPr>
      <w:r w:rsidRPr="0013200A">
        <w:t>Besifloxacin</w:t>
      </w:r>
      <w:r w:rsidRPr="003407CD">
        <w:t xml:space="preserve"> imparts antibacterial function by inhibiting DNA gyrase and topoisomerase IV activity. As besifloxacin mediated inhibition of human topoisomerase IIα is several orders of magnitude higher than bacterial enzymes, limited</w:t>
      </w:r>
      <w:r w:rsidR="00A17B4A">
        <w:t xml:space="preserve"> human risk is anticipated (compared with</w:t>
      </w:r>
      <w:r w:rsidRPr="003407CD">
        <w:t xml:space="preserve"> IC</w:t>
      </w:r>
      <w:r w:rsidRPr="00A17B4A">
        <w:rPr>
          <w:vertAlign w:val="subscript"/>
        </w:rPr>
        <w:t>50</w:t>
      </w:r>
      <w:r w:rsidR="00A17B4A">
        <w:t>:</w:t>
      </w:r>
      <w:r w:rsidRPr="003407CD">
        <w:t xml:space="preserve"> 1000 µM and 5 µM in human and </w:t>
      </w:r>
      <w:r w:rsidRPr="001F4FD2">
        <w:rPr>
          <w:i/>
        </w:rPr>
        <w:t>S. pneumonia</w:t>
      </w:r>
      <w:r w:rsidR="0013200A">
        <w:t>, respectively).</w:t>
      </w:r>
    </w:p>
    <w:p w:rsidR="003407CD" w:rsidRPr="003407CD" w:rsidRDefault="003407CD" w:rsidP="0013200A">
      <w:pPr>
        <w:pStyle w:val="ListBullet"/>
      </w:pPr>
      <w:r w:rsidRPr="003407CD">
        <w:t>The overall MIC</w:t>
      </w:r>
      <w:r w:rsidRPr="007A3D62">
        <w:rPr>
          <w:vertAlign w:val="subscript"/>
        </w:rPr>
        <w:t>50</w:t>
      </w:r>
      <w:r w:rsidRPr="003407CD">
        <w:t>/MIC</w:t>
      </w:r>
      <w:r w:rsidRPr="007A3D62">
        <w:rPr>
          <w:vertAlign w:val="subscript"/>
        </w:rPr>
        <w:t>90</w:t>
      </w:r>
      <w:r w:rsidRPr="003407CD">
        <w:t xml:space="preserve"> fo</w:t>
      </w:r>
      <w:r w:rsidR="007A3D62">
        <w:t xml:space="preserve">r </w:t>
      </w:r>
      <w:r w:rsidR="007A3D62" w:rsidRPr="0013200A">
        <w:t>besifloxacin</w:t>
      </w:r>
      <w:r w:rsidR="007A3D62">
        <w:t xml:space="preserve"> for Gram +ve and Gram -ve </w:t>
      </w:r>
      <w:r w:rsidRPr="003407CD">
        <w:t xml:space="preserve">bacterial strains were 0.06/0.25 and 0.03/0.5 µg/ml, respectively. Slow resistance to besifloxacin was noted for </w:t>
      </w:r>
      <w:r w:rsidRPr="001C2EF7">
        <w:rPr>
          <w:i/>
        </w:rPr>
        <w:t>S. aureus, S. pneumoniae</w:t>
      </w:r>
      <w:r w:rsidRPr="003407CD">
        <w:t xml:space="preserve"> and </w:t>
      </w:r>
      <w:r w:rsidRPr="001C2EF7">
        <w:rPr>
          <w:i/>
        </w:rPr>
        <w:t>E. coli</w:t>
      </w:r>
      <w:r w:rsidR="00156162">
        <w:t xml:space="preserve"> (compared to MPCs for the three</w:t>
      </w:r>
      <w:r w:rsidRPr="003407CD">
        <w:t xml:space="preserve"> strains were 0.12, 0.50 and 4 µg/ml, respectively). While cross</w:t>
      </w:r>
      <w:r w:rsidR="001E7A59">
        <w:t xml:space="preserve"> </w:t>
      </w:r>
      <w:r w:rsidRPr="003407CD">
        <w:t xml:space="preserve">reactivity was noted with other strains susceptible to </w:t>
      </w:r>
      <w:r w:rsidR="00686F1B">
        <w:t>FQ</w:t>
      </w:r>
      <w:r w:rsidRPr="003407CD">
        <w:t>s, no cross reactivity was observed with strains susceptible to azithromycin, tobramycin, oxacillin and penicillin.</w:t>
      </w:r>
    </w:p>
    <w:p w:rsidR="003407CD" w:rsidRPr="003407CD" w:rsidRDefault="003407CD" w:rsidP="0013200A">
      <w:pPr>
        <w:pStyle w:val="ListBullet"/>
      </w:pPr>
      <w:r w:rsidRPr="003407CD">
        <w:t>Secondary pharmacodynamics studies</w:t>
      </w:r>
      <w:r w:rsidR="00CC545B">
        <w:t xml:space="preserve"> </w:t>
      </w:r>
      <w:r w:rsidR="00CC545B" w:rsidRPr="0013200A">
        <w:t>demonstrated</w:t>
      </w:r>
      <w:r w:rsidR="00CC545B">
        <w:t xml:space="preserve"> inhibition of LPS</w:t>
      </w:r>
      <w:r w:rsidRPr="003407CD">
        <w:t xml:space="preserve"> </w:t>
      </w:r>
      <w:r w:rsidR="00CC545B">
        <w:t xml:space="preserve">and IL-1β </w:t>
      </w:r>
      <w:r w:rsidRPr="003407CD">
        <w:t xml:space="preserve">induced cytokine production by besifloxacin </w:t>
      </w:r>
      <w:r w:rsidRPr="00960365">
        <w:rPr>
          <w:i/>
        </w:rPr>
        <w:t>in vitro</w:t>
      </w:r>
      <w:r w:rsidRPr="003407CD">
        <w:t>. The extent of cytokine (IL-1β, IL-8, IP-10, MIP-1, IL-6, GM-CSF, MCP-1, TGF-</w:t>
      </w:r>
      <w:proofErr w:type="gramStart"/>
      <w:r w:rsidRPr="003407CD">
        <w:t>α and</w:t>
      </w:r>
      <w:proofErr w:type="gramEnd"/>
      <w:r w:rsidRPr="003407CD">
        <w:t xml:space="preserve"> TNF-α) inhibition was comparable or higher in potency than the fourth generation </w:t>
      </w:r>
      <w:r w:rsidR="00686F1B">
        <w:t>FQ</w:t>
      </w:r>
      <w:r w:rsidRPr="003407CD">
        <w:t>, moxifloxacin.</w:t>
      </w:r>
    </w:p>
    <w:p w:rsidR="003407CD" w:rsidRPr="003407CD" w:rsidRDefault="003407CD" w:rsidP="00F57A46">
      <w:pPr>
        <w:pStyle w:val="ListBullet"/>
      </w:pPr>
      <w:r w:rsidRPr="003407CD">
        <w:t>No CNS safety pharmacological studies were performed. No test</w:t>
      </w:r>
      <w:r w:rsidR="001E7A59">
        <w:t xml:space="preserve"> </w:t>
      </w:r>
      <w:r w:rsidRPr="003407CD">
        <w:t>article related effect was noted in the respiratory system. Safety pharmacology studies did however reveal a dose</w:t>
      </w:r>
      <w:r w:rsidR="001E7A59">
        <w:t xml:space="preserve"> </w:t>
      </w:r>
      <w:r w:rsidRPr="003407CD">
        <w:t xml:space="preserve">dependent increase in the HERG current inhibition </w:t>
      </w:r>
      <w:r w:rsidRPr="00960365">
        <w:rPr>
          <w:i/>
        </w:rPr>
        <w:t xml:space="preserve">in </w:t>
      </w:r>
      <w:proofErr w:type="gramStart"/>
      <w:r w:rsidRPr="00960365">
        <w:rPr>
          <w:i/>
        </w:rPr>
        <w:t>vitro</w:t>
      </w:r>
      <w:r w:rsidRPr="003407CD">
        <w:t>,</w:t>
      </w:r>
      <w:proofErr w:type="gramEnd"/>
      <w:r w:rsidRPr="003407CD">
        <w:t xml:space="preserve"> and </w:t>
      </w:r>
      <w:r w:rsidRPr="00960365">
        <w:rPr>
          <w:i/>
        </w:rPr>
        <w:t>in vivo</w:t>
      </w:r>
      <w:r w:rsidRPr="003407CD">
        <w:t xml:space="preserve"> an increase in QTc duration in the dog cardiovascular system. </w:t>
      </w:r>
      <w:r w:rsidRPr="0013200A">
        <w:t>While</w:t>
      </w:r>
      <w:r w:rsidRPr="003407CD">
        <w:t xml:space="preserve"> no toxicokinetic data was available at the NOA</w:t>
      </w:r>
      <w:r w:rsidR="0096576A">
        <w:t xml:space="preserve">EL for the cardiac safety (compared to </w:t>
      </w:r>
      <w:r w:rsidRPr="003407CD">
        <w:t xml:space="preserve">10 mg/kg), exposure </w:t>
      </w:r>
      <w:r w:rsidRPr="003407CD">
        <w:lastRenderedPageBreak/>
        <w:t>ratios calculated based on BSA for the study are high (</w:t>
      </w:r>
      <w:proofErr w:type="gramStart"/>
      <w:r w:rsidRPr="003407CD">
        <w:t>~180 clinical exposure</w:t>
      </w:r>
      <w:proofErr w:type="gramEnd"/>
      <w:r w:rsidRPr="003407CD">
        <w:t>).</w:t>
      </w:r>
      <w:r>
        <w:rPr>
          <w:rStyle w:val="FootnoteReference"/>
        </w:rPr>
        <w:footnoteReference w:id="5"/>
      </w:r>
      <w:r w:rsidRPr="003407CD">
        <w:t xml:space="preserve"> Given the high exposure and known cardiac effects of </w:t>
      </w:r>
      <w:r w:rsidR="00686F1B">
        <w:t>FQ</w:t>
      </w:r>
      <w:r w:rsidRPr="003407CD">
        <w:t>s, minimal risk to humans is anticipated at clinical doses. In rat safety studies, besifloxacin d</w:t>
      </w:r>
      <w:r w:rsidR="00C978C7">
        <w:t xml:space="preserve">emonstrated anti </w:t>
      </w:r>
      <w:r w:rsidR="002C0848">
        <w:t xml:space="preserve">diuretic, anti natriuretic and anti </w:t>
      </w:r>
      <w:r w:rsidRPr="003407CD">
        <w:t xml:space="preserve">kaliuretic effects at concentrations greater than 100 mg/kg. No NOAEL was established for renal </w:t>
      </w:r>
      <w:r w:rsidRPr="00F57A46">
        <w:t>studies</w:t>
      </w:r>
      <w:r w:rsidRPr="003407CD">
        <w:t>.</w:t>
      </w:r>
    </w:p>
    <w:p w:rsidR="003407CD" w:rsidRPr="003407CD" w:rsidRDefault="003407CD" w:rsidP="00F57A46">
      <w:pPr>
        <w:pStyle w:val="ListBullet"/>
      </w:pPr>
      <w:r w:rsidRPr="003407CD">
        <w:t xml:space="preserve">Besifloxacin demonstrated rapid absorption in </w:t>
      </w:r>
      <w:r w:rsidRPr="00F57A46">
        <w:t>all</w:t>
      </w:r>
      <w:r w:rsidRPr="003407CD">
        <w:t xml:space="preserve"> </w:t>
      </w:r>
      <w:r w:rsidRPr="0013200A">
        <w:t>studies</w:t>
      </w:r>
      <w:r w:rsidRPr="003407CD">
        <w:t xml:space="preserve"> (≤ 1h in oral studies and ~5m in ocular tissue following instillation). Besifloxacin binding to plasma protein was low and comparable between rat and human (</w:t>
      </w:r>
      <w:r w:rsidR="00C978C7">
        <w:t xml:space="preserve">compared to </w:t>
      </w:r>
      <w:r w:rsidRPr="003407CD">
        <w:t>30%-34% and 39%-44%, respectively).</w:t>
      </w:r>
      <w:r w:rsidR="004D5AF2">
        <w:t xml:space="preserve"> </w:t>
      </w:r>
      <w:r w:rsidRPr="003407CD">
        <w:t>Clearance was high and distribution studies demonstrated low or limited accumulation. The C</w:t>
      </w:r>
      <w:r w:rsidRPr="00530D5C">
        <w:rPr>
          <w:vertAlign w:val="subscript"/>
        </w:rPr>
        <w:t>max</w:t>
      </w:r>
      <w:r w:rsidRPr="003407CD">
        <w:t xml:space="preserve"> and AUC for treated ocular tissue broadly followed the hierarchy: Tears &gt; Conjunctiva &gt; Cornea &gt; Aqueous or Vitreous Humor ≥ Retina &gt; Plasma. With the exception of the bladder and gastro</w:t>
      </w:r>
      <w:r w:rsidR="00A4246B">
        <w:t xml:space="preserve"> </w:t>
      </w:r>
      <w:r w:rsidRPr="003407CD">
        <w:t>intestinal tract components, distribution to non</w:t>
      </w:r>
      <w:r w:rsidR="00A4246B">
        <w:t xml:space="preserve"> </w:t>
      </w:r>
      <w:r w:rsidRPr="003407CD">
        <w:t xml:space="preserve">ocular tissue was significantly </w:t>
      </w:r>
      <w:proofErr w:type="gramStart"/>
      <w:r w:rsidRPr="003407CD">
        <w:t>lower</w:t>
      </w:r>
      <w:proofErr w:type="gramEnd"/>
      <w:r w:rsidRPr="003407CD">
        <w:t xml:space="preserve"> (</w:t>
      </w:r>
      <w:r w:rsidR="00A4246B">
        <w:t>compared to Table 2</w:t>
      </w:r>
      <w:r w:rsidRPr="003407CD">
        <w:t>).</w:t>
      </w:r>
      <w:r w:rsidR="004D5AF2">
        <w:t xml:space="preserve"> </w:t>
      </w:r>
      <w:r w:rsidRPr="003407CD">
        <w:t>Consistent with this observation, &gt;95% of besifloxacin</w:t>
      </w:r>
      <w:r w:rsidR="00507B5A">
        <w:t xml:space="preserve"> </w:t>
      </w:r>
      <w:r w:rsidRPr="003407CD">
        <w:t>related excretions were noted in urine and f</w:t>
      </w:r>
      <w:r w:rsidR="00507B5A">
        <w:t>a</w:t>
      </w:r>
      <w:r w:rsidRPr="003407CD">
        <w:t>eces.</w:t>
      </w:r>
    </w:p>
    <w:p w:rsidR="003407CD" w:rsidRPr="003407CD" w:rsidRDefault="003407CD" w:rsidP="00F57A46">
      <w:pPr>
        <w:pStyle w:val="ListBullet"/>
      </w:pPr>
      <w:r w:rsidRPr="00BF4F74">
        <w:rPr>
          <w:i/>
        </w:rPr>
        <w:t>In vitro</w:t>
      </w:r>
      <w:r w:rsidRPr="003407CD">
        <w:t xml:space="preserve"> studies </w:t>
      </w:r>
      <w:r w:rsidRPr="0013200A">
        <w:t>indicated</w:t>
      </w:r>
      <w:r w:rsidRPr="003407CD">
        <w:t xml:space="preserve"> 8 metabolites, </w:t>
      </w:r>
      <w:r w:rsidRPr="00F57A46">
        <w:t>potentially</w:t>
      </w:r>
      <w:r w:rsidRPr="003407CD">
        <w:t xml:space="preserve"> generated though dechlorination, oxidative deamination, oxidation/hydroxylation and N-cyclopropyl elimination and ring opening. No definite structures were determined due to low levels of metabolites.</w:t>
      </w:r>
    </w:p>
    <w:p w:rsidR="003407CD" w:rsidRPr="003407CD" w:rsidRDefault="003407CD" w:rsidP="00F57A46">
      <w:pPr>
        <w:pStyle w:val="ListBullet"/>
      </w:pPr>
      <w:r w:rsidRPr="003407CD">
        <w:t xml:space="preserve">In the rat acute toxicity study, loss of body </w:t>
      </w:r>
      <w:r w:rsidRPr="00F57A46">
        <w:t>weight</w:t>
      </w:r>
      <w:r w:rsidRPr="003407CD">
        <w:t xml:space="preserve"> was noted at 2000 mg/kg. Depletion of femoral and humeral bone marrow and decreased lymphoid cells and increased granulocyte cells were noted at 1000 mg/kg.</w:t>
      </w:r>
    </w:p>
    <w:p w:rsidR="003407CD" w:rsidRPr="003407CD" w:rsidRDefault="003407CD" w:rsidP="00F57A46">
      <w:pPr>
        <w:pStyle w:val="ListBullet"/>
      </w:pPr>
      <w:r w:rsidRPr="003407CD">
        <w:t>Repeat dose toxicity studies of 14-28</w:t>
      </w:r>
      <w:r w:rsidR="00C51AD2">
        <w:t xml:space="preserve"> </w:t>
      </w:r>
      <w:r w:rsidRPr="003407CD">
        <w:t>days were performed in rats, rabbits and dogs using oral or ocular administration. High systemic exposure ratios were obtained at the NOAEL following oral administration (</w:t>
      </w:r>
      <w:r w:rsidR="00FD0179">
        <w:t xml:space="preserve">compared to </w:t>
      </w:r>
      <w:r w:rsidRPr="003407CD">
        <w:t>≥2092 based on C</w:t>
      </w:r>
      <w:r w:rsidRPr="00FD0179">
        <w:rPr>
          <w:vertAlign w:val="subscript"/>
        </w:rPr>
        <w:t>max</w:t>
      </w:r>
      <w:r w:rsidRPr="003407CD">
        <w:t xml:space="preserve">, Table </w:t>
      </w:r>
      <w:r w:rsidR="00FD0179">
        <w:t>3</w:t>
      </w:r>
      <w:r w:rsidRPr="003407CD">
        <w:t>). Systemic exposure ratios were lower for ocular instillation at x1.3 the clinical dose regimen (</w:t>
      </w:r>
      <w:r w:rsidR="00534370">
        <w:t xml:space="preserve">compared to </w:t>
      </w:r>
      <w:r w:rsidRPr="003407CD">
        <w:t xml:space="preserve">14-25, Table </w:t>
      </w:r>
      <w:r w:rsidR="00534370">
        <w:t>3</w:t>
      </w:r>
      <w:r w:rsidRPr="003407CD">
        <w:t>), but adequate nonetheless. No clinical signs were noted for ocular instillation.</w:t>
      </w:r>
    </w:p>
    <w:p w:rsidR="003407CD" w:rsidRPr="003407CD" w:rsidRDefault="003407CD" w:rsidP="00F57A46">
      <w:pPr>
        <w:pStyle w:val="ListBullet"/>
      </w:pPr>
      <w:r w:rsidRPr="003407CD">
        <w:t xml:space="preserve">Besifloxacin was negative for the standard </w:t>
      </w:r>
      <w:r w:rsidRPr="00F57A46">
        <w:t>battery</w:t>
      </w:r>
      <w:r w:rsidRPr="003407CD">
        <w:t xml:space="preserve"> of genotoxicity tests. In a solar light simulated bacterial mutagenesis assay, increased revertants were noted in </w:t>
      </w:r>
      <w:r w:rsidRPr="00E50237">
        <w:rPr>
          <w:i/>
        </w:rPr>
        <w:t>E. coli</w:t>
      </w:r>
      <w:r w:rsidR="00E50237">
        <w:t xml:space="preserve"> </w:t>
      </w:r>
      <w:r w:rsidRPr="003407CD">
        <w:t xml:space="preserve">and </w:t>
      </w:r>
      <w:r w:rsidRPr="00E50237">
        <w:rPr>
          <w:i/>
        </w:rPr>
        <w:t>S. tymphimurium</w:t>
      </w:r>
      <w:r w:rsidRPr="003407CD">
        <w:t xml:space="preserve"> strains (</w:t>
      </w:r>
      <w:proofErr w:type="gramStart"/>
      <w:r w:rsidRPr="003407CD">
        <w:t>WP2(</w:t>
      </w:r>
      <w:proofErr w:type="gramEnd"/>
      <w:r w:rsidRPr="003407CD">
        <w:t>pKM101) and TA102) of the control and treated groups; however, no difference was observed between the control and treatment group.</w:t>
      </w:r>
      <w:r w:rsidR="004D5AF2">
        <w:t xml:space="preserve"> </w:t>
      </w:r>
      <w:r w:rsidRPr="003407CD">
        <w:t>No carcinogenicity studies were performed based on low systemic exposure following ocular administration, low genotoxic risk, and short</w:t>
      </w:r>
      <w:r w:rsidR="001E164D">
        <w:t xml:space="preserve"> </w:t>
      </w:r>
      <w:r w:rsidRPr="003407CD">
        <w:t>time of clinical dose regimen; which is acceptable.</w:t>
      </w:r>
    </w:p>
    <w:p w:rsidR="003407CD" w:rsidRPr="003407CD" w:rsidRDefault="003407CD" w:rsidP="00F57A46">
      <w:pPr>
        <w:pStyle w:val="ListBullet"/>
      </w:pPr>
      <w:r w:rsidRPr="003407CD">
        <w:t>No impact on fertility was noted up to 500 mg/</w:t>
      </w:r>
      <w:r w:rsidRPr="00F57A46">
        <w:t>kg</w:t>
      </w:r>
      <w:r w:rsidRPr="003407CD">
        <w:t>/day PO (paternal and maternal toxicities were noted at 2 and 100 mg/kg/day) in rats. Delayed f</w:t>
      </w:r>
      <w:r w:rsidR="000B554B">
        <w:t>o</w:t>
      </w:r>
      <w:r w:rsidRPr="003407CD">
        <w:t>etal development highlighted by altered ossification events occurred at doses greater than or equal to maternotoxic doses (2 and 100 mg/kg/day in rabbit and rat, respectively) and exposure ratios greater than 275. Delayed f</w:t>
      </w:r>
      <w:r w:rsidR="000B554B">
        <w:t>o</w:t>
      </w:r>
      <w:r w:rsidRPr="003407CD">
        <w:t>etal development in rabbits was likely due to their heightened sensitivity to antibiotics, resulting in poor food consumption leading to maternal toxicity. Post</w:t>
      </w:r>
      <w:r w:rsidR="000B554B">
        <w:t xml:space="preserve"> </w:t>
      </w:r>
      <w:r w:rsidRPr="003407CD">
        <w:t>natal development studies in rats revealed delayed pinna detachment, eyelid opening and delayed sexual maturation at 1000 mg/kg/day doses indicating likely placental transfer and/or excretion via milk.</w:t>
      </w:r>
    </w:p>
    <w:p w:rsidR="003407CD" w:rsidRPr="003407CD" w:rsidRDefault="003407CD" w:rsidP="00F57A46">
      <w:pPr>
        <w:pStyle w:val="ListBullet"/>
      </w:pPr>
      <w:r w:rsidRPr="003407CD">
        <w:t xml:space="preserve">No photoallergenic or phototoxic effect for besifloxacin was noted. No effect of the delivery vehicle (DuraSite) excipient, polycarbophil, was </w:t>
      </w:r>
      <w:r w:rsidRPr="00F57A46">
        <w:t>noted</w:t>
      </w:r>
      <w:r w:rsidRPr="003407CD">
        <w:t xml:space="preserve"> in long and short term rabbit studies.</w:t>
      </w:r>
      <w:r w:rsidR="004D5AF2">
        <w:t xml:space="preserve"> </w:t>
      </w:r>
    </w:p>
    <w:p w:rsidR="003407CD" w:rsidRPr="0013200A" w:rsidRDefault="003407CD" w:rsidP="00F57A46">
      <w:pPr>
        <w:pStyle w:val="Heading4"/>
      </w:pPr>
      <w:r>
        <w:lastRenderedPageBreak/>
        <w:t xml:space="preserve">Conclusions and </w:t>
      </w:r>
      <w:r w:rsidRPr="00F57A46">
        <w:t>recommendation</w:t>
      </w:r>
    </w:p>
    <w:p w:rsidR="007B5349" w:rsidRPr="007B5349" w:rsidRDefault="007B5349" w:rsidP="00F57A46">
      <w:pPr>
        <w:pStyle w:val="ListBullet"/>
      </w:pPr>
      <w:r w:rsidRPr="007B5349">
        <w:t>No major deficiency was noted.</w:t>
      </w:r>
    </w:p>
    <w:p w:rsidR="007B5349" w:rsidRPr="007B5349" w:rsidRDefault="007B5349" w:rsidP="00F57A46">
      <w:pPr>
        <w:pStyle w:val="ListBullet"/>
      </w:pPr>
      <w:r w:rsidRPr="007B5349">
        <w:t>The overall MIC</w:t>
      </w:r>
      <w:r w:rsidRPr="007B7A3B">
        <w:rPr>
          <w:vertAlign w:val="subscript"/>
        </w:rPr>
        <w:t>50</w:t>
      </w:r>
      <w:r w:rsidRPr="007B5349">
        <w:t>/</w:t>
      </w:r>
      <w:r w:rsidRPr="00F57A46">
        <w:t>MIC90</w:t>
      </w:r>
      <w:r w:rsidRPr="007B5349">
        <w:t xml:space="preserve"> for besifloxacin with 1324 isolates of Gram</w:t>
      </w:r>
      <w:r w:rsidR="007B7A3B">
        <w:t xml:space="preserve"> +ve and Gram -ve </w:t>
      </w:r>
      <w:r w:rsidRPr="007B5349">
        <w:t>bacteria was 0.06/0.25 and 0.03/0.5 µg/ml, respectively. The C</w:t>
      </w:r>
      <w:r w:rsidRPr="007B7A3B">
        <w:rPr>
          <w:vertAlign w:val="subscript"/>
        </w:rPr>
        <w:t>max</w:t>
      </w:r>
      <w:r w:rsidRPr="007B5349">
        <w:t>/MIC</w:t>
      </w:r>
      <w:r w:rsidRPr="007B7A3B">
        <w:rPr>
          <w:vertAlign w:val="subscript"/>
        </w:rPr>
        <w:t>90</w:t>
      </w:r>
      <w:r w:rsidRPr="007B5349">
        <w:t xml:space="preserve"> and AUC/MIC</w:t>
      </w:r>
      <w:r w:rsidRPr="007B7A3B">
        <w:rPr>
          <w:vertAlign w:val="subscript"/>
        </w:rPr>
        <w:t>90</w:t>
      </w:r>
      <w:r w:rsidRPr="007B5349">
        <w:t xml:space="preserve"> ratios for besifloxacin were &gt;10 and &gt;125; above the target range recommended for </w:t>
      </w:r>
      <w:r w:rsidR="00686F1B">
        <w:t>FQ</w:t>
      </w:r>
      <w:r w:rsidRPr="007B5349">
        <w:t xml:space="preserve">s. At 0.6%, the ophthalmic suspension demonstrated besifloxacin levels &gt; MIC90 for a minimum of 24h post administration. Systemic and ocular exposure studies in mouse and rabbit, using </w:t>
      </w:r>
      <w:r w:rsidRPr="006E41A1">
        <w:rPr>
          <w:i/>
        </w:rPr>
        <w:t>S. pneumoniae</w:t>
      </w:r>
      <w:r w:rsidRPr="007B5349">
        <w:t xml:space="preserve"> and </w:t>
      </w:r>
      <w:r w:rsidRPr="006E41A1">
        <w:rPr>
          <w:i/>
        </w:rPr>
        <w:t>S. aureus</w:t>
      </w:r>
      <w:r w:rsidRPr="007B5349">
        <w:t xml:space="preserve"> strains revealed </w:t>
      </w:r>
      <w:r w:rsidRPr="00656810">
        <w:rPr>
          <w:i/>
        </w:rPr>
        <w:t>in vivo</w:t>
      </w:r>
      <w:r w:rsidRPr="007B5349">
        <w:t xml:space="preserve"> efficacy comparable to or better than other </w:t>
      </w:r>
      <w:r w:rsidR="00686F1B">
        <w:t>FQ</w:t>
      </w:r>
      <w:r w:rsidR="0013200A">
        <w:t>s.</w:t>
      </w:r>
    </w:p>
    <w:p w:rsidR="007B5349" w:rsidRPr="007B5349" w:rsidRDefault="007B5349" w:rsidP="00F57A46">
      <w:pPr>
        <w:pStyle w:val="ListBullet"/>
      </w:pPr>
      <w:r w:rsidRPr="007B5349">
        <w:t xml:space="preserve">Secondary </w:t>
      </w:r>
      <w:r w:rsidRPr="00F57A46">
        <w:t>pharmacodynamics</w:t>
      </w:r>
      <w:r w:rsidRPr="007B5349">
        <w:t xml:space="preserve"> studies </w:t>
      </w:r>
      <w:r w:rsidRPr="00647BD1">
        <w:t xml:space="preserve">revealed </w:t>
      </w:r>
      <w:r w:rsidRPr="00647BD1">
        <w:rPr>
          <w:i/>
        </w:rPr>
        <w:t>in vitro</w:t>
      </w:r>
      <w:r w:rsidR="007B7A3B">
        <w:t xml:space="preserve"> </w:t>
      </w:r>
      <w:r w:rsidR="007B7A3B" w:rsidRPr="0013200A">
        <w:t>inhibition</w:t>
      </w:r>
      <w:r w:rsidR="007B7A3B">
        <w:t xml:space="preserve"> of LPS- and IL-1β </w:t>
      </w:r>
      <w:r w:rsidRPr="007B5349">
        <w:t xml:space="preserve">induced IL-1β, IL-8, IP-10, MIP-1, IL-6, GM-CSF, MCP-1, TGF-α and TNF-α production at potencies comparable or higher than moxifloxacin. No </w:t>
      </w:r>
      <w:r w:rsidRPr="006E41A1">
        <w:rPr>
          <w:i/>
        </w:rPr>
        <w:t>in vivo</w:t>
      </w:r>
      <w:r w:rsidRPr="007B5349">
        <w:t xml:space="preserve"> secondary pharmacodynamics analyses were performed. Safety pharmacology studies demonstrated known </w:t>
      </w:r>
      <w:r w:rsidR="00686F1B">
        <w:t>FQ</w:t>
      </w:r>
      <w:r w:rsidRPr="007B5349">
        <w:t xml:space="preserve"> class effects, such as HERG current inhibition and QT prolongation at exposures &gt; ~180. In rat safety studies, besifloxacin demonstrated anti</w:t>
      </w:r>
      <w:r w:rsidR="00ED4CD1">
        <w:t xml:space="preserve"> </w:t>
      </w:r>
      <w:r w:rsidRPr="007B5349">
        <w:t>diuretic, anti</w:t>
      </w:r>
      <w:r w:rsidR="00ED4CD1">
        <w:t xml:space="preserve"> </w:t>
      </w:r>
      <w:r w:rsidRPr="007B5349">
        <w:t>natriuretic and anti</w:t>
      </w:r>
      <w:r w:rsidR="00ED4CD1">
        <w:t xml:space="preserve"> </w:t>
      </w:r>
      <w:r w:rsidRPr="007B5349">
        <w:t>kaliuretuc effects at concentrations also greater than the clinical administration.</w:t>
      </w:r>
    </w:p>
    <w:p w:rsidR="007B5349" w:rsidRPr="007B5349" w:rsidRDefault="007B5349" w:rsidP="00F57A46">
      <w:pPr>
        <w:pStyle w:val="ListBullet"/>
      </w:pPr>
      <w:r w:rsidRPr="007B5349">
        <w:t>Repeat dose toxicity studies of 14-28</w:t>
      </w:r>
      <w:r w:rsidR="001B498C">
        <w:t xml:space="preserve"> </w:t>
      </w:r>
      <w:r w:rsidRPr="007B5349">
        <w:t xml:space="preserve">days were performed in rats, rabbits and dogs following oral or </w:t>
      </w:r>
      <w:r w:rsidRPr="00F57A46">
        <w:t>ocular</w:t>
      </w:r>
      <w:r w:rsidRPr="007B5349">
        <w:t xml:space="preserve"> administration. Animal</w:t>
      </w:r>
      <w:proofErr w:type="gramStart"/>
      <w:r w:rsidRPr="007B5349">
        <w:t>:human</w:t>
      </w:r>
      <w:proofErr w:type="gramEnd"/>
      <w:r w:rsidRPr="007B5349">
        <w:t xml:space="preserve"> exposure ratios were low for ocular administration (</w:t>
      </w:r>
      <w:r w:rsidR="001B498C">
        <w:t xml:space="preserve">compared to </w:t>
      </w:r>
      <w:r w:rsidRPr="007B5349">
        <w:t>14-25). However, high systemic exposure ratios were obtained at NOAEL following oral administration (</w:t>
      </w:r>
      <w:r w:rsidR="00457C09">
        <w:t xml:space="preserve">compared to </w:t>
      </w:r>
      <w:r w:rsidRPr="007B5349">
        <w:t>≥2092 based on C</w:t>
      </w:r>
      <w:r w:rsidRPr="00457C09">
        <w:rPr>
          <w:vertAlign w:val="subscript"/>
        </w:rPr>
        <w:t>max</w:t>
      </w:r>
      <w:r w:rsidRPr="007B5349">
        <w:t>) with minimal clinical signs, such as reversible body and organ weight loss. Low risk of systemic toxicity is anticipated follo</w:t>
      </w:r>
      <w:r w:rsidR="0013200A">
        <w:t>wing human ocular instillation.</w:t>
      </w:r>
    </w:p>
    <w:p w:rsidR="007B5349" w:rsidRPr="007B5349" w:rsidRDefault="007B5349" w:rsidP="00F57A46">
      <w:pPr>
        <w:pStyle w:val="ListBullet"/>
      </w:pPr>
      <w:r w:rsidRPr="007B5349">
        <w:t xml:space="preserve">Reproductive toxicity studies conducted via oral administration </w:t>
      </w:r>
      <w:r w:rsidRPr="0013200A">
        <w:t>demonstrated</w:t>
      </w:r>
      <w:r w:rsidRPr="007B5349">
        <w:t xml:space="preserve"> adequate systemic exposure ratios. Notable observations arising from maternal toxicity, suggestive of delayed development included incidence of altered ossification events, delayed pinna detachment, eyelid opening and delayed sexual maturation.</w:t>
      </w:r>
      <w:r w:rsidR="004D5AF2">
        <w:t xml:space="preserve"> </w:t>
      </w:r>
      <w:r w:rsidRPr="007B5349">
        <w:t>The proposed Pregnancy Category of B3 is acceptable.</w:t>
      </w:r>
    </w:p>
    <w:p w:rsidR="007B5349" w:rsidRPr="007B5349" w:rsidRDefault="009D0886" w:rsidP="00F57A46">
      <w:pPr>
        <w:pStyle w:val="ListBullet"/>
      </w:pPr>
      <w:r>
        <w:t>There are no overall non</w:t>
      </w:r>
      <w:r w:rsidR="007B5349" w:rsidRPr="007B5349">
        <w:t xml:space="preserve">clinical objections to registration of </w:t>
      </w:r>
      <w:r w:rsidR="007B5349" w:rsidRPr="00F57A46">
        <w:t>besifloxacin</w:t>
      </w:r>
      <w:r w:rsidR="007B5349" w:rsidRPr="007B5349">
        <w:t xml:space="preserve"> hydrochloride 0.6%</w:t>
      </w:r>
      <w:r w:rsidR="002C00A0">
        <w:t xml:space="preserve"> ophthalmic solution (Besivance</w:t>
      </w:r>
      <w:r w:rsidR="007B5349" w:rsidRPr="007B5349">
        <w:t>) for treatment of bacterial conjunctivitis.</w:t>
      </w:r>
    </w:p>
    <w:p w:rsidR="007B5349" w:rsidRPr="007B5349" w:rsidRDefault="007B5349" w:rsidP="00F57A46">
      <w:pPr>
        <w:pStyle w:val="ListBullet"/>
      </w:pPr>
      <w:r w:rsidRPr="007B5349">
        <w:t xml:space="preserve">The draft </w:t>
      </w:r>
      <w:r w:rsidR="004100EF">
        <w:t>PI</w:t>
      </w:r>
      <w:r w:rsidRPr="007B5349">
        <w:t xml:space="preserve"> document</w:t>
      </w:r>
      <w:r w:rsidR="008D255F">
        <w:t xml:space="preserve"> should be amended as directed.</w:t>
      </w:r>
    </w:p>
    <w:p w:rsidR="008E7846" w:rsidRPr="00F57A46" w:rsidRDefault="008E7846" w:rsidP="00F57A46">
      <w:pPr>
        <w:pStyle w:val="Heading2"/>
      </w:pPr>
      <w:bookmarkStart w:id="60" w:name="_Toc196046462"/>
      <w:bookmarkStart w:id="61" w:name="_Toc247691516"/>
      <w:bookmarkStart w:id="62" w:name="_Toc314842500"/>
      <w:bookmarkStart w:id="63" w:name="_Toc163441353"/>
      <w:bookmarkStart w:id="64" w:name="_Toc163441348"/>
      <w:bookmarkStart w:id="65" w:name="_Toc383772767"/>
      <w:r>
        <w:t xml:space="preserve">IV. </w:t>
      </w:r>
      <w:r w:rsidRPr="00254787">
        <w:t>Clinical</w:t>
      </w:r>
      <w:bookmarkEnd w:id="60"/>
      <w:r>
        <w:t xml:space="preserve"> </w:t>
      </w:r>
      <w:r w:rsidR="003A7F6C">
        <w:t>f</w:t>
      </w:r>
      <w:r>
        <w:t>indings</w:t>
      </w:r>
      <w:bookmarkEnd w:id="61"/>
      <w:bookmarkEnd w:id="62"/>
      <w:bookmarkEnd w:id="65"/>
    </w:p>
    <w:p w:rsidR="00C80137" w:rsidRPr="003C4596" w:rsidRDefault="00C80137" w:rsidP="00F57A46">
      <w:bookmarkStart w:id="66" w:name="_Toc196046463"/>
      <w:r w:rsidRPr="003C4596">
        <w:t>A summary of the clinical findings is presented in this section. Further details of these clinical findings can be found in Attachment 2.</w:t>
      </w:r>
    </w:p>
    <w:p w:rsidR="008E7846" w:rsidRPr="00F57A46" w:rsidRDefault="008E7846" w:rsidP="00F57A46">
      <w:pPr>
        <w:pStyle w:val="Heading3"/>
      </w:pPr>
      <w:bookmarkStart w:id="67" w:name="_Toc247691517"/>
      <w:bookmarkStart w:id="68" w:name="_Toc314842501"/>
      <w:bookmarkStart w:id="69" w:name="_Toc383772768"/>
      <w:r w:rsidRPr="00254787">
        <w:t>Introduction</w:t>
      </w:r>
      <w:bookmarkEnd w:id="66"/>
      <w:bookmarkEnd w:id="67"/>
      <w:bookmarkEnd w:id="68"/>
      <w:bookmarkEnd w:id="69"/>
    </w:p>
    <w:p w:rsidR="009D0886" w:rsidRPr="009D0886" w:rsidRDefault="009D0886" w:rsidP="00F57A46">
      <w:r w:rsidRPr="009D0886">
        <w:t>The clinical dosser documented a full clinical development program of pharmacolog</w:t>
      </w:r>
      <w:r w:rsidR="008D255F">
        <w:t>y, efficacy and safety studies.</w:t>
      </w:r>
    </w:p>
    <w:p w:rsidR="009D0886" w:rsidRPr="009D0886" w:rsidRDefault="009D0886" w:rsidP="00F57A46">
      <w:r>
        <w:t>The clinical submission</w:t>
      </w:r>
      <w:r w:rsidRPr="009D0886">
        <w:t xml:space="preserve"> consisted of 67 double sided volumes, comprising 8 clinical pharmacology studies</w:t>
      </w:r>
      <w:r>
        <w:t xml:space="preserve"> </w:t>
      </w:r>
      <w:r w:rsidRPr="009D0886">
        <w:t>including 2 providing pharmacokinetic data (1 oc</w:t>
      </w:r>
      <w:r w:rsidR="00B6074A">
        <w:t xml:space="preserve">ular and 1 systemic PK studies), </w:t>
      </w:r>
      <w:r w:rsidRPr="009D0886">
        <w:t>3 p</w:t>
      </w:r>
      <w:r w:rsidR="00B6074A">
        <w:t xml:space="preserve">ivotal efficacy/safety studies, 3 other safety studies, </w:t>
      </w:r>
      <w:r w:rsidR="008D255F">
        <w:t>and relevant publications.</w:t>
      </w:r>
    </w:p>
    <w:p w:rsidR="008E7846" w:rsidRPr="00B352D0" w:rsidRDefault="008E7846" w:rsidP="00B352D0">
      <w:pPr>
        <w:pStyle w:val="Heading3"/>
      </w:pPr>
      <w:bookmarkStart w:id="70" w:name="_Toc196046464"/>
      <w:bookmarkStart w:id="71" w:name="_Toc247691518"/>
      <w:bookmarkStart w:id="72" w:name="_Toc314842502"/>
      <w:bookmarkStart w:id="73" w:name="_Toc383772769"/>
      <w:r w:rsidRPr="008D255F">
        <w:lastRenderedPageBreak/>
        <w:t>Pharmacokinetics</w:t>
      </w:r>
      <w:bookmarkEnd w:id="63"/>
      <w:bookmarkEnd w:id="70"/>
      <w:bookmarkEnd w:id="71"/>
      <w:bookmarkEnd w:id="72"/>
      <w:bookmarkEnd w:id="73"/>
    </w:p>
    <w:p w:rsidR="00030D83" w:rsidRPr="00030D83" w:rsidRDefault="00030D83" w:rsidP="00B352D0">
      <w:r w:rsidRPr="00030D83">
        <w:t xml:space="preserve">Clinical investigation of besifloxacin hydrochloride ophthalmic suspension </w:t>
      </w:r>
      <w:r w:rsidR="003A72B0">
        <w:t>pharmacokinetic</w:t>
      </w:r>
      <w:r w:rsidR="00513408">
        <w:t>s</w:t>
      </w:r>
      <w:r w:rsidR="00C13E8F">
        <w:t xml:space="preserve"> in humans has included two</w:t>
      </w:r>
      <w:r w:rsidR="003A72B0">
        <w:t xml:space="preserve"> pivotal pharmacokinetic</w:t>
      </w:r>
      <w:r w:rsidRPr="00030D83">
        <w:t xml:space="preserve"> studies. Both these studies explored besifloxacin hydrochloride ophthalmic suspension, 0.6% as base in the healthy and inflamed eyes, showing high besifloxacin levels with very low systemic exposure. These data coupled with the safety of the 0.6% suspension (Study C-02-403-001) resulted in the 0.6% formulation moving forward int</w:t>
      </w:r>
      <w:r w:rsidR="008D255F">
        <w:t>o further clinical development.</w:t>
      </w:r>
    </w:p>
    <w:p w:rsidR="00030D83" w:rsidRPr="00030D83" w:rsidRDefault="00030D83" w:rsidP="00B352D0">
      <w:r w:rsidRPr="00030D83">
        <w:t xml:space="preserve">No bioavailability study was included in the application. This product is for ocular use and is intended to act without systemic absorption. As both </w:t>
      </w:r>
      <w:r w:rsidR="00175EED">
        <w:t>pharmacokinetics</w:t>
      </w:r>
      <w:r w:rsidRPr="00030D83">
        <w:t xml:space="preserve"> studies included in thi</w:t>
      </w:r>
      <w:r w:rsidR="00175EED">
        <w:t>s application</w:t>
      </w:r>
      <w:r w:rsidRPr="00030D83">
        <w:t xml:space="preserve"> in the healthy eye and in the inflamed eye demonstrat</w:t>
      </w:r>
      <w:r>
        <w:t>e minimal systemic absorption, the clinical evaluator</w:t>
      </w:r>
      <w:r w:rsidRPr="00030D83">
        <w:t xml:space="preserve"> feel</w:t>
      </w:r>
      <w:r>
        <w:t>s</w:t>
      </w:r>
      <w:r w:rsidRPr="00030D83">
        <w:t xml:space="preserve"> the lack of specific bioavailability studies is justified.</w:t>
      </w:r>
    </w:p>
    <w:p w:rsidR="008E7846" w:rsidRDefault="008E7846" w:rsidP="00B352D0">
      <w:pPr>
        <w:pStyle w:val="Heading3"/>
      </w:pPr>
      <w:bookmarkStart w:id="74" w:name="_Toc196046481"/>
      <w:bookmarkStart w:id="75" w:name="_Toc247691520"/>
      <w:bookmarkStart w:id="76" w:name="_Toc314842503"/>
      <w:bookmarkStart w:id="77" w:name="_Toc383772770"/>
      <w:r w:rsidRPr="00B352D0">
        <w:t>Pharmacodynamics</w:t>
      </w:r>
      <w:bookmarkEnd w:id="64"/>
      <w:bookmarkEnd w:id="74"/>
      <w:bookmarkEnd w:id="75"/>
      <w:bookmarkEnd w:id="76"/>
      <w:bookmarkEnd w:id="77"/>
    </w:p>
    <w:p w:rsidR="00AA0159" w:rsidRPr="005C2B74" w:rsidRDefault="00AA0159" w:rsidP="00B352D0">
      <w:r>
        <w:t xml:space="preserve">The clinical evaluator </w:t>
      </w:r>
      <w:r w:rsidRPr="005C2B74">
        <w:t>think</w:t>
      </w:r>
      <w:r w:rsidR="00175EED">
        <w:t>s there is adequate pharmacodynamic</w:t>
      </w:r>
      <w:r w:rsidR="0083659D">
        <w:t>s</w:t>
      </w:r>
      <w:r>
        <w:t xml:space="preserve"> data and </w:t>
      </w:r>
      <w:r w:rsidRPr="005C2B74">
        <w:t>strongly support</w:t>
      </w:r>
      <w:r>
        <w:t>s</w:t>
      </w:r>
      <w:r w:rsidRPr="005C2B74">
        <w:t xml:space="preserve"> the ongoing systematic collection of isolates obtained from ophtha</w:t>
      </w:r>
      <w:r>
        <w:t>l</w:t>
      </w:r>
      <w:r w:rsidRPr="005C2B74">
        <w:t>mological infections in the US. The US results are likely applicable to Australia. Prospective surveillance (and preferably at the local level) of this nature is really the only means by which we can monitor patterns of micro</w:t>
      </w:r>
      <w:r w:rsidR="0007107D">
        <w:t xml:space="preserve"> </w:t>
      </w:r>
      <w:r w:rsidRPr="005C2B74">
        <w:t>organisms and their antibiotic resistance profiles under increasing selection pressure from the widespread use/misuse of antibiotics in clinica</w:t>
      </w:r>
      <w:r w:rsidR="008D255F">
        <w:t>l and vet practice.</w:t>
      </w:r>
    </w:p>
    <w:p w:rsidR="008E7846" w:rsidRPr="00B352D0" w:rsidRDefault="008E7846" w:rsidP="00B352D0">
      <w:pPr>
        <w:pStyle w:val="Heading3"/>
      </w:pPr>
      <w:bookmarkStart w:id="78" w:name="_Toc163441372"/>
      <w:bookmarkStart w:id="79" w:name="_Toc196046485"/>
      <w:bookmarkStart w:id="80" w:name="_Toc247691521"/>
      <w:bookmarkStart w:id="81" w:name="_Toc314842504"/>
      <w:bookmarkStart w:id="82" w:name="_Toc383772771"/>
      <w:r w:rsidRPr="00254787">
        <w:t>Efficacy</w:t>
      </w:r>
      <w:bookmarkEnd w:id="78"/>
      <w:bookmarkEnd w:id="79"/>
      <w:bookmarkEnd w:id="80"/>
      <w:bookmarkEnd w:id="81"/>
      <w:bookmarkEnd w:id="82"/>
    </w:p>
    <w:p w:rsidR="000F0559" w:rsidRPr="000F0559" w:rsidRDefault="000F0559" w:rsidP="00B352D0">
      <w:bookmarkStart w:id="83" w:name="_Toc184439992"/>
      <w:bookmarkStart w:id="84" w:name="_Toc184440279"/>
      <w:bookmarkStart w:id="85" w:name="_Toc184444657"/>
      <w:bookmarkStart w:id="86" w:name="_Toc196046487"/>
      <w:r w:rsidRPr="000F0559">
        <w:t xml:space="preserve">The 0.6% concentration of besifloxacin hydrochloride and TID dosing is supported by </w:t>
      </w:r>
      <w:r w:rsidR="005C733B">
        <w:t>pharmacokinetic</w:t>
      </w:r>
      <w:r w:rsidRPr="000F0559">
        <w:t>/</w:t>
      </w:r>
      <w:r w:rsidR="005C733B">
        <w:rPr>
          <w:color w:val="000000"/>
        </w:rPr>
        <w:t>pharmacodynamic</w:t>
      </w:r>
      <w:r w:rsidRPr="000F0559">
        <w:t xml:space="preserve"> relationship analysis and data from the submitted preclinical studies and clinical trials. The pivotal studies confirm the effi</w:t>
      </w:r>
      <w:r w:rsidR="005C733B">
        <w:t>cacy and safety of Besivance versus</w:t>
      </w:r>
      <w:r w:rsidRPr="000F0559">
        <w:t xml:space="preserve"> placebo (Vehicle) and in a head</w:t>
      </w:r>
      <w:r w:rsidR="009271FC">
        <w:t xml:space="preserve"> </w:t>
      </w:r>
      <w:r w:rsidRPr="000F0559">
        <w:t>to</w:t>
      </w:r>
      <w:r w:rsidR="009271FC">
        <w:t xml:space="preserve"> </w:t>
      </w:r>
      <w:r w:rsidRPr="000F0559">
        <w:t>head study wit</w:t>
      </w:r>
      <w:r w:rsidR="009271FC">
        <w:t>h an appropriate comparator, that is,</w:t>
      </w:r>
      <w:r w:rsidRPr="000F0559">
        <w:t xml:space="preserve"> the topical ophthalmic formulation of moxiflox</w:t>
      </w:r>
      <w:r w:rsidR="00283C87">
        <w:t>acin (same class of antibiotic and</w:t>
      </w:r>
      <w:r w:rsidRPr="000F0559">
        <w:t xml:space="preserve"> approved for this indication). It is important to note, however, that topical moxifloxacin for ophthalmological use is not approved in Australia. Other alternative topical antibimicrobial agents approved in Australia for </w:t>
      </w:r>
      <w:r w:rsidRPr="000F0559">
        <w:rPr>
          <w:b/>
          <w:i/>
        </w:rPr>
        <w:t>bacterial</w:t>
      </w:r>
      <w:r w:rsidRPr="000F0559">
        <w:rPr>
          <w:b/>
        </w:rPr>
        <w:t xml:space="preserve"> conjunctivitis include</w:t>
      </w:r>
      <w:r w:rsidRPr="000F0559">
        <w:t xml:space="preserve"> are: chloramphenicol, sulfacetamide sodium, tobramycin (aminoglycoside), gentamicin (aminoglycoside), framycetin sulphate (aminoglycoside), ciprofloxacin a</w:t>
      </w:r>
      <w:r w:rsidR="00B352D0">
        <w:t>nd ofloxacin (both quinolones).</w:t>
      </w:r>
    </w:p>
    <w:p w:rsidR="008E7846" w:rsidRPr="00B352D0" w:rsidRDefault="008E7846" w:rsidP="00B352D0">
      <w:pPr>
        <w:pStyle w:val="Heading3"/>
      </w:pPr>
      <w:bookmarkStart w:id="87" w:name="_Toc163441378"/>
      <w:bookmarkStart w:id="88" w:name="_Toc196046495"/>
      <w:bookmarkStart w:id="89" w:name="_Toc247691522"/>
      <w:bookmarkStart w:id="90" w:name="_Toc314842505"/>
      <w:bookmarkStart w:id="91" w:name="_Toc383772772"/>
      <w:bookmarkEnd w:id="83"/>
      <w:bookmarkEnd w:id="84"/>
      <w:bookmarkEnd w:id="85"/>
      <w:bookmarkEnd w:id="86"/>
      <w:r w:rsidRPr="002E238E">
        <w:t>Safety</w:t>
      </w:r>
      <w:bookmarkEnd w:id="87"/>
      <w:bookmarkEnd w:id="88"/>
      <w:bookmarkEnd w:id="89"/>
      <w:bookmarkEnd w:id="90"/>
      <w:bookmarkEnd w:id="91"/>
    </w:p>
    <w:p w:rsidR="006026CE" w:rsidRPr="006026CE" w:rsidRDefault="006026CE" w:rsidP="00B352D0">
      <w:bookmarkStart w:id="92" w:name="_Toc163441387"/>
      <w:r w:rsidRPr="006026CE">
        <w:t xml:space="preserve">Treatment with besifloxacin ophthalmic suspension resulted in no </w:t>
      </w:r>
      <w:r w:rsidR="009E568B">
        <w:t>serious adverse events (</w:t>
      </w:r>
      <w:r w:rsidRPr="006026CE">
        <w:t>SAEs</w:t>
      </w:r>
      <w:r w:rsidR="009E568B">
        <w:t>)</w:t>
      </w:r>
      <w:r w:rsidRPr="006026CE">
        <w:t xml:space="preserve"> related to study drug. Overall, rates of non</w:t>
      </w:r>
      <w:r w:rsidR="00F63140">
        <w:t xml:space="preserve"> </w:t>
      </w:r>
      <w:r w:rsidRPr="006026CE">
        <w:t xml:space="preserve">ocular and ocular </w:t>
      </w:r>
      <w:r w:rsidR="00D7249F">
        <w:t>adverse events (</w:t>
      </w:r>
      <w:r w:rsidRPr="006026CE">
        <w:t>AEs</w:t>
      </w:r>
      <w:r w:rsidR="00D7249F">
        <w:t>)</w:t>
      </w:r>
      <w:r w:rsidRPr="006026CE">
        <w:t xml:space="preserve"> were low. The majority of non</w:t>
      </w:r>
      <w:r w:rsidR="00D41C6A">
        <w:t xml:space="preserve"> </w:t>
      </w:r>
      <w:r w:rsidRPr="006026CE">
        <w:t>ocular AEs were unrelated to study drug; the most prevalent ocular AEs were consistent with study treatment and/or underlying ocular disease being studied. Importantly, the main tr</w:t>
      </w:r>
      <w:r w:rsidR="00B55A63">
        <w:t>eatment emergent ocular AEs, that is,</w:t>
      </w:r>
      <w:r w:rsidRPr="006026CE">
        <w:t xml:space="preserve"> conjunctivitis, vision blurred, eye irritation and eye pain can all be associated with the underlying disorder and all occurred with lower frequency than when bacterial conjunctivitis was treated with besifloxacin compared to treatment with vehicle alone. A potential risk with any anti</w:t>
      </w:r>
      <w:r w:rsidR="005A6797">
        <w:t xml:space="preserve"> </w:t>
      </w:r>
      <w:r w:rsidRPr="006026CE">
        <w:t>infective is the development of antibiotic resistance and this is discussed in detail</w:t>
      </w:r>
      <w:r>
        <w:t xml:space="preserve"> in the clinical evaluation report</w:t>
      </w:r>
      <w:r w:rsidR="00B352D0">
        <w:t>.</w:t>
      </w:r>
    </w:p>
    <w:p w:rsidR="008E7846" w:rsidRPr="006E137C" w:rsidRDefault="008E7846" w:rsidP="008603F2">
      <w:pPr>
        <w:pStyle w:val="Heading3"/>
      </w:pPr>
      <w:bookmarkStart w:id="93" w:name="_Toc247691523"/>
      <w:bookmarkStart w:id="94" w:name="_Toc314842507"/>
      <w:bookmarkStart w:id="95" w:name="_Toc184440295"/>
      <w:bookmarkStart w:id="96" w:name="_Toc184444673"/>
      <w:bookmarkStart w:id="97" w:name="_Toc196046503"/>
      <w:bookmarkStart w:id="98" w:name="_Toc383772773"/>
      <w:bookmarkEnd w:id="92"/>
      <w:r>
        <w:lastRenderedPageBreak/>
        <w:t xml:space="preserve">Clinical summary and </w:t>
      </w:r>
      <w:r w:rsidRPr="008603F2">
        <w:t>conclusions</w:t>
      </w:r>
      <w:bookmarkEnd w:id="93"/>
      <w:bookmarkEnd w:id="94"/>
      <w:bookmarkEnd w:id="98"/>
    </w:p>
    <w:p w:rsidR="00C9681F" w:rsidRDefault="00C9681F" w:rsidP="008603F2">
      <w:pPr>
        <w:pStyle w:val="Heading4"/>
      </w:pPr>
      <w:bookmarkStart w:id="99" w:name="_Toc236802592"/>
      <w:bookmarkStart w:id="100" w:name="_Toc241374331"/>
      <w:bookmarkStart w:id="101" w:name="_Ref272160836"/>
      <w:bookmarkStart w:id="102" w:name="_Toc272414693"/>
      <w:bookmarkStart w:id="103" w:name="_Toc290888557"/>
      <w:bookmarkStart w:id="104" w:name="_Toc353192521"/>
      <w:bookmarkStart w:id="105" w:name="_Toc196046504"/>
      <w:bookmarkStart w:id="106" w:name="_Toc163441390"/>
      <w:bookmarkEnd w:id="95"/>
      <w:bookmarkEnd w:id="96"/>
      <w:bookmarkEnd w:id="97"/>
      <w:r>
        <w:t xml:space="preserve">First round benefit-risk </w:t>
      </w:r>
      <w:r w:rsidRPr="008603F2">
        <w:t>assessment</w:t>
      </w:r>
    </w:p>
    <w:p w:rsidR="00BC036A" w:rsidRPr="00DD30C1" w:rsidRDefault="00BC036A" w:rsidP="008603F2">
      <w:r w:rsidRPr="00DD30C1">
        <w:t>Bacterial conjunctivitis is characteri</w:t>
      </w:r>
      <w:r>
        <w:t>s</w:t>
      </w:r>
      <w:r w:rsidRPr="00DD30C1">
        <w:t>ed by marked hyperaemia or redness of the eye and mild to moderate purulent conjunctival discharge. Symptoms often include watery eyes, itching, and vague ocular irritation. The disease is generally self</w:t>
      </w:r>
      <w:r>
        <w:t xml:space="preserve"> </w:t>
      </w:r>
      <w:r w:rsidRPr="00DD30C1">
        <w:t>limiting and usually does not cause permanent loss of vision or structural damage. Intervention with use of a top</w:t>
      </w:r>
      <w:r>
        <w:t xml:space="preserve">ical broad spectrum ocular anti </w:t>
      </w:r>
      <w:r w:rsidRPr="00DD30C1">
        <w:t xml:space="preserve">infective is the </w:t>
      </w:r>
      <w:r>
        <w:t xml:space="preserve">standard of </w:t>
      </w:r>
      <w:r w:rsidR="008603F2">
        <w:t>care in the management.</w:t>
      </w:r>
    </w:p>
    <w:p w:rsidR="00DD30C1" w:rsidRPr="005C2B74" w:rsidRDefault="00DD30C1" w:rsidP="008603F2">
      <w:pPr>
        <w:pStyle w:val="Heading5"/>
      </w:pPr>
      <w:r w:rsidRPr="005C2B74">
        <w:t xml:space="preserve">First round assessment of </w:t>
      </w:r>
      <w:r w:rsidRPr="008603F2">
        <w:t>benefits</w:t>
      </w:r>
      <w:bookmarkEnd w:id="99"/>
      <w:bookmarkEnd w:id="100"/>
      <w:bookmarkEnd w:id="101"/>
      <w:bookmarkEnd w:id="102"/>
      <w:bookmarkEnd w:id="103"/>
      <w:bookmarkEnd w:id="104"/>
    </w:p>
    <w:p w:rsidR="00DD30C1" w:rsidRPr="00DD30C1" w:rsidRDefault="00DD30C1" w:rsidP="008603F2">
      <w:r w:rsidRPr="00DD30C1">
        <w:t>The benefits of Besivance in the proposed usage are:</w:t>
      </w:r>
    </w:p>
    <w:p w:rsidR="00DD30C1" w:rsidRPr="00DD30C1" w:rsidRDefault="00DD30C1" w:rsidP="00722D84">
      <w:pPr>
        <w:pStyle w:val="ListBullet"/>
      </w:pPr>
      <w:r w:rsidRPr="00DD30C1">
        <w:t xml:space="preserve">Well tolerated topical agent of proven efficacy against the common forms of </w:t>
      </w:r>
      <w:r w:rsidR="00AC59EE">
        <w:t>bacterial conjunctivitis, that is,</w:t>
      </w:r>
      <w:r w:rsidRPr="00DD30C1">
        <w:t xml:space="preserve"> superior to placebo and equivalent to a comparator topical ocular quinolone agent;</w:t>
      </w:r>
    </w:p>
    <w:p w:rsidR="00DD30C1" w:rsidRPr="00DD30C1" w:rsidRDefault="00DD30C1" w:rsidP="00722D84">
      <w:pPr>
        <w:pStyle w:val="ListBullet"/>
      </w:pPr>
      <w:r w:rsidRPr="00DD30C1">
        <w:t>TID dosing means adherence to the s</w:t>
      </w:r>
      <w:r w:rsidR="00722D84">
        <w:t>cheduled dosing is more likely;</w:t>
      </w:r>
    </w:p>
    <w:p w:rsidR="00DD30C1" w:rsidRPr="00DD30C1" w:rsidRDefault="00DD30C1" w:rsidP="00722D84">
      <w:pPr>
        <w:pStyle w:val="ListBullet"/>
      </w:pPr>
      <w:r w:rsidRPr="00DD30C1">
        <w:t xml:space="preserve">High ocular levels well above the MIC for the common bacteria </w:t>
      </w:r>
      <w:r w:rsidRPr="00722D84">
        <w:t>causing</w:t>
      </w:r>
      <w:r w:rsidR="00722D84">
        <w:t xml:space="preserve"> conjunctivitis;</w:t>
      </w:r>
    </w:p>
    <w:p w:rsidR="00DD30C1" w:rsidRPr="00DD30C1" w:rsidRDefault="00DD30C1" w:rsidP="00722D84">
      <w:pPr>
        <w:pStyle w:val="ListBullet"/>
      </w:pPr>
      <w:r w:rsidRPr="00DD30C1">
        <w:t>Nil meaningful systemic absorption therefore the risk of inducing potential quinolone resistance is low, coupled with the fact that resistance to besifloxacin probably requires at least two</w:t>
      </w:r>
      <w:r w:rsidR="00FB25AD">
        <w:t xml:space="preserve"> </w:t>
      </w:r>
      <w:r w:rsidR="00722D84">
        <w:t>steps.</w:t>
      </w:r>
    </w:p>
    <w:p w:rsidR="00DD30C1" w:rsidRPr="005C2B74" w:rsidRDefault="00DD30C1" w:rsidP="006D6C65">
      <w:pPr>
        <w:pStyle w:val="Heading5"/>
      </w:pPr>
      <w:bookmarkStart w:id="107" w:name="_Toc236802596"/>
      <w:bookmarkStart w:id="108" w:name="_Toc241374334"/>
      <w:bookmarkStart w:id="109" w:name="_Ref272160964"/>
      <w:bookmarkStart w:id="110" w:name="_Toc272414694"/>
      <w:bookmarkStart w:id="111" w:name="_Toc290888558"/>
      <w:bookmarkStart w:id="112" w:name="_Toc353192522"/>
      <w:r w:rsidRPr="005C2B74">
        <w:t xml:space="preserve">First round assessment of </w:t>
      </w:r>
      <w:r w:rsidRPr="006D6C65">
        <w:t>risks</w:t>
      </w:r>
      <w:bookmarkEnd w:id="107"/>
      <w:bookmarkEnd w:id="108"/>
      <w:bookmarkEnd w:id="109"/>
      <w:bookmarkEnd w:id="110"/>
      <w:bookmarkEnd w:id="111"/>
      <w:bookmarkEnd w:id="112"/>
    </w:p>
    <w:p w:rsidR="00DD30C1" w:rsidRPr="00DD30C1" w:rsidRDefault="00DD30C1" w:rsidP="006D6C65">
      <w:r w:rsidRPr="00DD30C1">
        <w:t>The risks of Besiv</w:t>
      </w:r>
      <w:r w:rsidR="006D6C65">
        <w:t>ance in the proposed usage are:</w:t>
      </w:r>
    </w:p>
    <w:p w:rsidR="00DD30C1" w:rsidRPr="00DD30C1" w:rsidRDefault="00DD30C1" w:rsidP="006D6C65">
      <w:pPr>
        <w:pStyle w:val="ListBullet"/>
      </w:pPr>
      <w:r w:rsidRPr="00DD30C1">
        <w:t>Use for conjunctivitis that</w:t>
      </w:r>
      <w:r w:rsidR="006D6C65">
        <w:t xml:space="preserve"> is not bacterial in aetiology;</w:t>
      </w:r>
    </w:p>
    <w:p w:rsidR="00DD30C1" w:rsidRPr="00DD30C1" w:rsidRDefault="00DD30C1" w:rsidP="006D6C65">
      <w:pPr>
        <w:pStyle w:val="ListBullet"/>
      </w:pPr>
      <w:r w:rsidRPr="00DD30C1">
        <w:t>Inappropriate use for deeper (more than conjuctival) bacterial</w:t>
      </w:r>
      <w:r w:rsidR="004D5AF2">
        <w:t xml:space="preserve"> </w:t>
      </w:r>
      <w:r w:rsidRPr="00DD30C1">
        <w:t>infections of the eye;</w:t>
      </w:r>
    </w:p>
    <w:p w:rsidR="00DD30C1" w:rsidRPr="00DD30C1" w:rsidRDefault="00DD30C1" w:rsidP="006D6C65">
      <w:pPr>
        <w:pStyle w:val="ListBullet"/>
      </w:pPr>
      <w:r w:rsidRPr="00DD30C1">
        <w:t>Development of microbial resistance at the local level or treatment failure because patterns of global antibiotic resistance are changin</w:t>
      </w:r>
      <w:r w:rsidR="00D27F89">
        <w:t xml:space="preserve">g rapidly, such that organisms </w:t>
      </w:r>
      <w:r w:rsidRPr="00DD30C1">
        <w:t>currently sensitive t</w:t>
      </w:r>
      <w:r w:rsidR="00EC0EAF">
        <w:t xml:space="preserve">o this agent </w:t>
      </w:r>
      <w:r w:rsidR="00055604">
        <w:t xml:space="preserve">are no longer </w:t>
      </w:r>
      <w:r w:rsidR="00EC0EAF">
        <w:t>similarly sensitive</w:t>
      </w:r>
      <w:r w:rsidRPr="00DD30C1">
        <w:t xml:space="preserve"> in the future. Some of these issues may be compounded by the fact that a swab for bacterial and viral culture may not be r</w:t>
      </w:r>
      <w:r w:rsidR="00651468">
        <w:t>outine in clinical practice, that is,</w:t>
      </w:r>
      <w:r w:rsidRPr="00DD30C1">
        <w:t xml:space="preserve"> the diagnosis is made clinically and swabs are only performed if there is a clinical failure to empiric antimicrobial therapy.</w:t>
      </w:r>
    </w:p>
    <w:p w:rsidR="00DD30C1" w:rsidRPr="00DD30C1" w:rsidRDefault="00DD30C1" w:rsidP="006D6C65">
      <w:r w:rsidRPr="00DD30C1">
        <w:t xml:space="preserve">However, these risks are not unique to Besivance, they apply equally to this product and all currently approved topical antibiotics </w:t>
      </w:r>
      <w:r w:rsidR="006D6C65">
        <w:t>for ocular use in this setting.</w:t>
      </w:r>
    </w:p>
    <w:p w:rsidR="00DD30C1" w:rsidRPr="006D6C65" w:rsidRDefault="00DD30C1" w:rsidP="006D6C65">
      <w:pPr>
        <w:pStyle w:val="Heading5"/>
      </w:pPr>
      <w:bookmarkStart w:id="113" w:name="_Toc236802597"/>
      <w:bookmarkStart w:id="114" w:name="_Toc241374335"/>
      <w:bookmarkStart w:id="115" w:name="_Toc272414695"/>
      <w:bookmarkStart w:id="116" w:name="_Toc290888559"/>
      <w:bookmarkStart w:id="117" w:name="_Toc353192523"/>
      <w:r w:rsidRPr="005C2B74">
        <w:t>First round assessment of benefit-risk balance</w:t>
      </w:r>
      <w:bookmarkEnd w:id="113"/>
      <w:bookmarkEnd w:id="114"/>
      <w:bookmarkEnd w:id="115"/>
      <w:bookmarkEnd w:id="116"/>
      <w:bookmarkEnd w:id="117"/>
    </w:p>
    <w:p w:rsidR="00DD30C1" w:rsidRDefault="00DD30C1" w:rsidP="006D6C65">
      <w:r w:rsidRPr="00DD30C1">
        <w:t>The benefit-risk balance of 0.6% Besifloxacin hydro</w:t>
      </w:r>
      <w:r w:rsidR="001D4078">
        <w:t>chloride ophthalmic (Besivance</w:t>
      </w:r>
      <w:r w:rsidRPr="00DD30C1">
        <w:t>), given the proposed usage, is favourable for the following reasons</w:t>
      </w:r>
      <w:r w:rsidR="00D34784">
        <w:t xml:space="preserve">: </w:t>
      </w:r>
      <w:r w:rsidRPr="00DD30C1">
        <w:t xml:space="preserve">equivalent clinical and microbiological efficacy to a licensed topical antibiotic to all common bacterial </w:t>
      </w:r>
      <w:r w:rsidR="00D34784">
        <w:t>(</w:t>
      </w:r>
      <w:r w:rsidR="00FF50A7">
        <w:t>G</w:t>
      </w:r>
      <w:r w:rsidR="00D34784">
        <w:t xml:space="preserve">ram +ve and </w:t>
      </w:r>
      <w:r w:rsidR="00FF50A7">
        <w:t>G</w:t>
      </w:r>
      <w:r w:rsidR="00D34784">
        <w:t>ram -</w:t>
      </w:r>
      <w:r w:rsidRPr="00DD30C1">
        <w:t xml:space="preserve">ve) causes of conjunctivitis with minimal safety concerns revealed through the development programme. Potential for enhanced adherence as Besivance administered </w:t>
      </w:r>
      <w:r w:rsidRPr="00DD30C1">
        <w:rPr>
          <w:b/>
        </w:rPr>
        <w:t>TID</w:t>
      </w:r>
      <w:r w:rsidRPr="00DD30C1">
        <w:t xml:space="preserve"> (as o</w:t>
      </w:r>
      <w:r w:rsidR="005D05E1">
        <w:t>pposed to more frequently). The clinical evaluator</w:t>
      </w:r>
      <w:r w:rsidRPr="00DD30C1">
        <w:t xml:space="preserve"> agree</w:t>
      </w:r>
      <w:r w:rsidR="005D05E1">
        <w:t>s</w:t>
      </w:r>
      <w:r w:rsidRPr="00DD30C1">
        <w:t xml:space="preserve"> that the recommended course should be 7 days of treatment even though the clinical trials of this agent used 5 day dosing. The rationale is that the drug is clearly very safe and this additional two days of treatment will ensure the “later” responders are adequately treated. Moreover, microbial resistance did not emerge during the efficacy studies of besifloxacin or its comparator, moxifloxacin.</w:t>
      </w:r>
      <w:r w:rsidR="004D5AF2">
        <w:t xml:space="preserve"> </w:t>
      </w:r>
      <w:r w:rsidRPr="00DD30C1">
        <w:t xml:space="preserve">However, this will need to be </w:t>
      </w:r>
      <w:r w:rsidR="004C2AE0">
        <w:t>monitored as part of post marke</w:t>
      </w:r>
      <w:r w:rsidRPr="00DD30C1">
        <w:t>ting surveillance. A key strategy in minimising antibiotic resistance is to m</w:t>
      </w:r>
      <w:r w:rsidR="004C2AE0">
        <w:t xml:space="preserve">inimise inappropriate use (that is, </w:t>
      </w:r>
      <w:r w:rsidRPr="00DD30C1">
        <w:t xml:space="preserve">for viral conjunctivitis), perform </w:t>
      </w:r>
      <w:r w:rsidR="007E2024">
        <w:t>m</w:t>
      </w:r>
      <w:r w:rsidR="007E2024" w:rsidRPr="007E2024">
        <w:t xml:space="preserve">icroscopy, culture and sensitivity </w:t>
      </w:r>
      <w:r w:rsidR="007E2024">
        <w:t>(</w:t>
      </w:r>
      <w:r w:rsidRPr="00DD30C1">
        <w:t>M,</w:t>
      </w:r>
      <w:r w:rsidR="005809E3">
        <w:t xml:space="preserve"> </w:t>
      </w:r>
      <w:r w:rsidRPr="00DD30C1">
        <w:t>C</w:t>
      </w:r>
      <w:r w:rsidR="005809E3">
        <w:t xml:space="preserve"> </w:t>
      </w:r>
      <w:r w:rsidRPr="00DD30C1">
        <w:t>&amp;</w:t>
      </w:r>
      <w:r w:rsidR="005809E3">
        <w:t xml:space="preserve"> </w:t>
      </w:r>
      <w:r w:rsidRPr="00DD30C1">
        <w:t>S</w:t>
      </w:r>
      <w:r w:rsidR="007E2024">
        <w:t>)</w:t>
      </w:r>
      <w:r w:rsidRPr="00DD30C1">
        <w:t xml:space="preserve"> </w:t>
      </w:r>
      <w:r w:rsidR="00E82325">
        <w:t xml:space="preserve">test </w:t>
      </w:r>
      <w:r w:rsidRPr="00DD30C1">
        <w:t xml:space="preserve">of purulent material, switch rapidly to another antibiotic if resistance is detected, ensure patients understand exactly how to administer the agent </w:t>
      </w:r>
      <w:r w:rsidRPr="00DD30C1">
        <w:lastRenderedPageBreak/>
        <w:t>and adhere fully with the dosing schedule (TID for 7 days) and last, ensure exposure is not extended beyond 7 days.</w:t>
      </w:r>
    </w:p>
    <w:p w:rsidR="00C9681F" w:rsidRPr="00DD30C1" w:rsidRDefault="00C9681F" w:rsidP="006D6C65">
      <w:pPr>
        <w:pStyle w:val="Heading4"/>
      </w:pPr>
      <w:r>
        <w:t>First round recommendation regarding authorisation</w:t>
      </w:r>
    </w:p>
    <w:p w:rsidR="00DD30C1" w:rsidRPr="005C2B74" w:rsidRDefault="00DD30C1" w:rsidP="006D6C65">
      <w:r>
        <w:t xml:space="preserve">The clinical evaluator </w:t>
      </w:r>
      <w:r w:rsidRPr="005C2B74">
        <w:t>recommend</w:t>
      </w:r>
      <w:r>
        <w:t>s</w:t>
      </w:r>
      <w:r w:rsidRPr="005C2B74">
        <w:t xml:space="preserve"> approval of this drug for the indication</w:t>
      </w:r>
      <w:r w:rsidR="006D6C65">
        <w:t xml:space="preserve"> listed in the PI as it stands.</w:t>
      </w:r>
    </w:p>
    <w:p w:rsidR="00D86836" w:rsidRDefault="00D86836" w:rsidP="006D6C65">
      <w:pPr>
        <w:pStyle w:val="Heading3"/>
      </w:pPr>
      <w:bookmarkStart w:id="118" w:name="_Toc255919423"/>
      <w:bookmarkStart w:id="119" w:name="_Toc241374329"/>
      <w:bookmarkStart w:id="120" w:name="_Toc270320087"/>
      <w:bookmarkStart w:id="121" w:name="_Toc314842506"/>
      <w:bookmarkStart w:id="122" w:name="_Toc247691524"/>
      <w:bookmarkStart w:id="123" w:name="_Toc314842508"/>
      <w:bookmarkStart w:id="124" w:name="_Toc383772774"/>
      <w:r>
        <w:t xml:space="preserve">List of </w:t>
      </w:r>
      <w:r w:rsidRPr="006D6C65">
        <w:t>questions</w:t>
      </w:r>
      <w:bookmarkEnd w:id="118"/>
      <w:bookmarkEnd w:id="119"/>
      <w:bookmarkEnd w:id="120"/>
      <w:bookmarkEnd w:id="121"/>
      <w:bookmarkEnd w:id="124"/>
    </w:p>
    <w:p w:rsidR="00D86836" w:rsidRPr="005C2B74" w:rsidRDefault="00D86836" w:rsidP="006D6C65">
      <w:r>
        <w:t>None; the clinical evaluator is s</w:t>
      </w:r>
      <w:r w:rsidRPr="005C2B74">
        <w:t xml:space="preserve">atisfied with the scope </w:t>
      </w:r>
      <w:r w:rsidR="00E75E53">
        <w:t xml:space="preserve">of this clinical application as </w:t>
      </w:r>
      <w:r w:rsidRPr="005C2B74">
        <w:t>submitted.</w:t>
      </w:r>
    </w:p>
    <w:p w:rsidR="008E7846" w:rsidRPr="00E41208" w:rsidRDefault="008E7846" w:rsidP="006D6C65">
      <w:pPr>
        <w:pStyle w:val="Heading2"/>
      </w:pPr>
      <w:bookmarkStart w:id="125" w:name="_Toc383772775"/>
      <w:r w:rsidRPr="00E41208">
        <w:t xml:space="preserve">V. </w:t>
      </w:r>
      <w:r w:rsidRPr="006D6C65">
        <w:t>Pharmacovigilance</w:t>
      </w:r>
      <w:r w:rsidRPr="00E41208">
        <w:t xml:space="preserve"> </w:t>
      </w:r>
      <w:r>
        <w:t>f</w:t>
      </w:r>
      <w:r w:rsidRPr="00E41208">
        <w:t>indings</w:t>
      </w:r>
      <w:bookmarkEnd w:id="122"/>
      <w:bookmarkEnd w:id="123"/>
      <w:bookmarkEnd w:id="125"/>
    </w:p>
    <w:p w:rsidR="008E7846" w:rsidRDefault="00386150" w:rsidP="006D6C65">
      <w:pPr>
        <w:pStyle w:val="Heading3"/>
        <w:rPr>
          <w:lang w:eastAsia="en-AU"/>
        </w:rPr>
      </w:pPr>
      <w:bookmarkStart w:id="126" w:name="_Toc247691526"/>
      <w:bookmarkStart w:id="127" w:name="_Toc314842509"/>
      <w:bookmarkStart w:id="128" w:name="_Toc383772776"/>
      <w:r>
        <w:rPr>
          <w:lang w:eastAsia="en-AU"/>
        </w:rPr>
        <w:t xml:space="preserve">Risk </w:t>
      </w:r>
      <w:r w:rsidRPr="006D6C65">
        <w:t>m</w:t>
      </w:r>
      <w:r w:rsidR="008E7846" w:rsidRPr="006D6C65">
        <w:t>anagement</w:t>
      </w:r>
      <w:r w:rsidR="008E7846">
        <w:rPr>
          <w:lang w:eastAsia="en-AU"/>
        </w:rPr>
        <w:t xml:space="preserve"> </w:t>
      </w:r>
      <w:r>
        <w:rPr>
          <w:lang w:eastAsia="en-AU"/>
        </w:rPr>
        <w:t>p</w:t>
      </w:r>
      <w:r w:rsidR="008E7846">
        <w:rPr>
          <w:lang w:eastAsia="en-AU"/>
        </w:rPr>
        <w:t>lan</w:t>
      </w:r>
      <w:bookmarkEnd w:id="126"/>
      <w:bookmarkEnd w:id="127"/>
      <w:bookmarkEnd w:id="128"/>
    </w:p>
    <w:p w:rsidR="008E7846" w:rsidRDefault="008E7846" w:rsidP="006D6C65">
      <w:pPr>
        <w:rPr>
          <w:lang w:eastAsia="en-AU"/>
        </w:rPr>
      </w:pPr>
      <w:r>
        <w:rPr>
          <w:lang w:eastAsia="en-AU"/>
        </w:rPr>
        <w:t>The sponsor submitted a Risk Management Plan which was reviewed by the TGA’s Office of Product Review (OPR).</w:t>
      </w:r>
    </w:p>
    <w:p w:rsidR="008E7846" w:rsidRDefault="003A7F6C" w:rsidP="006D6C65">
      <w:pPr>
        <w:pStyle w:val="Heading4"/>
        <w:rPr>
          <w:lang w:eastAsia="en-AU"/>
        </w:rPr>
      </w:pPr>
      <w:r>
        <w:rPr>
          <w:lang w:eastAsia="en-AU"/>
        </w:rPr>
        <w:t xml:space="preserve">Safety </w:t>
      </w:r>
      <w:r w:rsidRPr="006D6C65">
        <w:t>s</w:t>
      </w:r>
      <w:r w:rsidR="008E7846" w:rsidRPr="006D6C65">
        <w:t>pecification</w:t>
      </w:r>
    </w:p>
    <w:p w:rsidR="008E7846" w:rsidRDefault="008E7846" w:rsidP="006D6C65">
      <w:pPr>
        <w:rPr>
          <w:lang w:eastAsia="en-AU"/>
        </w:rPr>
      </w:pPr>
      <w:r>
        <w:rPr>
          <w:lang w:eastAsia="en-AU"/>
        </w:rPr>
        <w:t xml:space="preserve">The sponsor provided a summary of Ongoing </w:t>
      </w:r>
      <w:r w:rsidR="009E3F36">
        <w:rPr>
          <w:lang w:eastAsia="en-AU"/>
        </w:rPr>
        <w:t>S</w:t>
      </w:r>
      <w:r w:rsidR="003E2F1C">
        <w:rPr>
          <w:lang w:eastAsia="en-AU"/>
        </w:rPr>
        <w:t xml:space="preserve">afety Concerns, </w:t>
      </w:r>
      <w:r>
        <w:rPr>
          <w:lang w:eastAsia="en-AU"/>
        </w:rPr>
        <w:t xml:space="preserve">which are shown at Table </w:t>
      </w:r>
      <w:r w:rsidR="00D34784">
        <w:rPr>
          <w:lang w:eastAsia="en-AU"/>
        </w:rPr>
        <w:t>4</w:t>
      </w:r>
      <w:r>
        <w:rPr>
          <w:lang w:eastAsia="en-AU"/>
        </w:rPr>
        <w:t>.</w:t>
      </w:r>
    </w:p>
    <w:p w:rsidR="00D34784" w:rsidRDefault="00D34784" w:rsidP="00A70A5D">
      <w:pPr>
        <w:pStyle w:val="TableTitle"/>
      </w:pPr>
      <w:r>
        <w:t xml:space="preserve">Table </w:t>
      </w:r>
      <w:r w:rsidR="002B776B">
        <w:t>4</w:t>
      </w:r>
      <w:r>
        <w:t>:</w:t>
      </w:r>
      <w:r w:rsidRPr="004C5C28">
        <w:t xml:space="preserve"> </w:t>
      </w:r>
      <w:r w:rsidRPr="00A70A5D">
        <w:t>Ongoing</w:t>
      </w:r>
      <w:r>
        <w:t xml:space="preserve"> Safety Concerns for Besivance.</w:t>
      </w:r>
    </w:p>
    <w:p w:rsidR="00D34784" w:rsidRDefault="00FB0B81" w:rsidP="00A70A5D">
      <w:pPr>
        <w:rPr>
          <w:lang w:eastAsia="en-AU"/>
        </w:rPr>
      </w:pPr>
      <w:r>
        <w:rPr>
          <w:noProof/>
          <w:lang w:eastAsia="en-AU"/>
        </w:rPr>
        <w:drawing>
          <wp:inline distT="0" distB="0" distL="0" distR="0" wp14:anchorId="4EA793A7" wp14:editId="0DD84E07">
            <wp:extent cx="5396865" cy="1840230"/>
            <wp:effectExtent l="0" t="0" r="0" b="7620"/>
            <wp:docPr id="5" name="Picture 5" descr="Table 4: Ongoing Safety Concerns for Besi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Ongoing Safety Concerns for Besiv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865" cy="1840230"/>
                    </a:xfrm>
                    <a:prstGeom prst="rect">
                      <a:avLst/>
                    </a:prstGeom>
                    <a:noFill/>
                    <a:ln>
                      <a:noFill/>
                    </a:ln>
                  </pic:spPr>
                </pic:pic>
              </a:graphicData>
            </a:graphic>
          </wp:inline>
        </w:drawing>
      </w:r>
    </w:p>
    <w:p w:rsidR="00193453" w:rsidRPr="00A70A5D" w:rsidRDefault="00193453" w:rsidP="00A70A5D">
      <w:pPr>
        <w:pStyle w:val="Heading5"/>
      </w:pPr>
      <w:r>
        <w:t>OPR reviewer comment</w:t>
      </w:r>
    </w:p>
    <w:p w:rsidR="00193453" w:rsidRDefault="00193453" w:rsidP="00A70A5D">
      <w:r w:rsidRPr="00F30EE0">
        <w:t>Notwithsta</w:t>
      </w:r>
      <w:r w:rsidR="00FD38B0">
        <w:t>nding the evalua</w:t>
      </w:r>
      <w:r>
        <w:t>tion of the non</w:t>
      </w:r>
      <w:r w:rsidRPr="00F30EE0">
        <w:t>clinical and clinical aspects of the S</w:t>
      </w:r>
      <w:r>
        <w:t>afety Specification</w:t>
      </w:r>
      <w:r w:rsidRPr="00F30EE0">
        <w:t xml:space="preserve">, </w:t>
      </w:r>
      <w:r>
        <w:t>this is considered acceptable.</w:t>
      </w:r>
    </w:p>
    <w:p w:rsidR="008E7846" w:rsidRDefault="008E7846" w:rsidP="00A70A5D">
      <w:pPr>
        <w:pStyle w:val="Heading4"/>
        <w:rPr>
          <w:lang w:eastAsia="en-AU"/>
        </w:rPr>
      </w:pPr>
      <w:r>
        <w:rPr>
          <w:lang w:eastAsia="en-AU"/>
        </w:rPr>
        <w:t xml:space="preserve">Pharmacovigilance </w:t>
      </w:r>
      <w:r w:rsidR="003A7F6C" w:rsidRPr="00A70A5D">
        <w:t>p</w:t>
      </w:r>
      <w:r w:rsidRPr="00A70A5D">
        <w:t>lan</w:t>
      </w:r>
    </w:p>
    <w:p w:rsidR="00262BCF" w:rsidRPr="00262BCF" w:rsidRDefault="00262BCF" w:rsidP="00A70A5D">
      <w:r w:rsidRPr="00262BCF">
        <w:t>The sponsor proposes routine pharmacovigilance activities for important identified and potential risks and missing information (as stated above). Furthermore, additional activities are planned for all of the risks. These acti</w:t>
      </w:r>
      <w:r>
        <w:t>vities are summarised in Table 5</w:t>
      </w:r>
      <w:r w:rsidRPr="00262BCF">
        <w:t>.</w:t>
      </w:r>
    </w:p>
    <w:p w:rsidR="00262BCF" w:rsidRDefault="00262BCF" w:rsidP="00A70A5D">
      <w:pPr>
        <w:pStyle w:val="TableTitle"/>
      </w:pPr>
      <w:proofErr w:type="gramStart"/>
      <w:r>
        <w:lastRenderedPageBreak/>
        <w:t>Table 5:</w:t>
      </w:r>
      <w:r w:rsidRPr="004C5C28">
        <w:t xml:space="preserve"> </w:t>
      </w:r>
      <w:r w:rsidR="007E04F6" w:rsidRPr="007E04F6">
        <w:t xml:space="preserve">Activities </w:t>
      </w:r>
      <w:r w:rsidR="007E04F6" w:rsidRPr="00A70A5D">
        <w:t>additional</w:t>
      </w:r>
      <w:r w:rsidR="007E04F6" w:rsidRPr="007E04F6">
        <w:t xml:space="preserve"> to routine planned by the sponsor regarding the identified safety concerns</w:t>
      </w:r>
      <w:r>
        <w:t>.</w:t>
      </w:r>
      <w:proofErr w:type="gramEnd"/>
    </w:p>
    <w:p w:rsidR="008757CA" w:rsidRDefault="00FB0B81" w:rsidP="00A70A5D">
      <w:pPr>
        <w:rPr>
          <w:lang w:eastAsia="en-AU"/>
        </w:rPr>
      </w:pPr>
      <w:r>
        <w:rPr>
          <w:noProof/>
          <w:lang w:eastAsia="en-AU"/>
        </w:rPr>
        <w:drawing>
          <wp:inline distT="0" distB="0" distL="0" distR="0" wp14:anchorId="3E362CA6" wp14:editId="3F5BA86F">
            <wp:extent cx="5396865" cy="403860"/>
            <wp:effectExtent l="0" t="0" r="0" b="0"/>
            <wp:docPr id="6" name="Picture 6" descr="Table 5: Activities additional to routine planned by the sponsor regarding the identified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Activities additional to routine planned by the sponsor regarding the identified safety concer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865" cy="403860"/>
                    </a:xfrm>
                    <a:prstGeom prst="rect">
                      <a:avLst/>
                    </a:prstGeom>
                    <a:noFill/>
                    <a:ln>
                      <a:noFill/>
                    </a:ln>
                  </pic:spPr>
                </pic:pic>
              </a:graphicData>
            </a:graphic>
          </wp:inline>
        </w:drawing>
      </w:r>
      <w:r>
        <w:rPr>
          <w:noProof/>
          <w:lang w:eastAsia="en-AU"/>
        </w:rPr>
        <w:drawing>
          <wp:inline distT="0" distB="0" distL="0" distR="0" wp14:anchorId="3A5972C8" wp14:editId="14952EF0">
            <wp:extent cx="5396865" cy="2446020"/>
            <wp:effectExtent l="0" t="0" r="0" b="0"/>
            <wp:docPr id="7" name="Picture 7" descr="Table 5: Activities additional to routine planned by the sponsor regarding the identified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Activities additional to routine planned by the sponsor regarding the identified safety concer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865" cy="2446020"/>
                    </a:xfrm>
                    <a:prstGeom prst="rect">
                      <a:avLst/>
                    </a:prstGeom>
                    <a:noFill/>
                    <a:ln>
                      <a:noFill/>
                    </a:ln>
                  </pic:spPr>
                </pic:pic>
              </a:graphicData>
            </a:graphic>
          </wp:inline>
        </w:drawing>
      </w:r>
      <w:r>
        <w:rPr>
          <w:noProof/>
          <w:lang w:eastAsia="en-AU"/>
        </w:rPr>
        <w:drawing>
          <wp:inline distT="0" distB="0" distL="0" distR="0" wp14:anchorId="3A365D38" wp14:editId="52A2F161">
            <wp:extent cx="5396865" cy="3601720"/>
            <wp:effectExtent l="0" t="0" r="0" b="0"/>
            <wp:docPr id="8" name="Picture 8" descr="Table 5: Activities additional to routine planned by the sponsor regarding the identified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5: Activities additional to routine planned by the sponsor regarding the identified safety concer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865" cy="3601720"/>
                    </a:xfrm>
                    <a:prstGeom prst="rect">
                      <a:avLst/>
                    </a:prstGeom>
                    <a:noFill/>
                    <a:ln>
                      <a:noFill/>
                    </a:ln>
                  </pic:spPr>
                </pic:pic>
              </a:graphicData>
            </a:graphic>
          </wp:inline>
        </w:drawing>
      </w:r>
    </w:p>
    <w:p w:rsidR="008757CA" w:rsidRDefault="008757CA" w:rsidP="00A70A5D">
      <w:pPr>
        <w:pStyle w:val="TableTitle"/>
      </w:pPr>
      <w:r>
        <w:lastRenderedPageBreak/>
        <w:t>Table 5 (continued):</w:t>
      </w:r>
      <w:r w:rsidRPr="004C5C28">
        <w:t xml:space="preserve"> </w:t>
      </w:r>
      <w:r w:rsidRPr="007E04F6">
        <w:t>Activities additional to routine planned by the sponsor regarding the identified safety concerns</w:t>
      </w:r>
      <w:r>
        <w:t>.</w:t>
      </w:r>
    </w:p>
    <w:p w:rsidR="008757CA" w:rsidRDefault="00FB0B81" w:rsidP="00A70A5D">
      <w:pPr>
        <w:rPr>
          <w:lang w:eastAsia="en-AU"/>
        </w:rPr>
      </w:pPr>
      <w:r>
        <w:rPr>
          <w:noProof/>
          <w:lang w:eastAsia="en-AU"/>
        </w:rPr>
        <w:drawing>
          <wp:inline distT="0" distB="0" distL="0" distR="0" wp14:anchorId="5012ED61" wp14:editId="01298599">
            <wp:extent cx="5396865" cy="403860"/>
            <wp:effectExtent l="0" t="0" r="0" b="0"/>
            <wp:docPr id="9" name="Picture 9" descr="Table 5 (continued): Activities additional to routine planned by the sponsor regarding the identified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5 (continued): Activities additional to routine planned by the sponsor regarding the identified safety concer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865" cy="403860"/>
                    </a:xfrm>
                    <a:prstGeom prst="rect">
                      <a:avLst/>
                    </a:prstGeom>
                    <a:noFill/>
                    <a:ln>
                      <a:noFill/>
                    </a:ln>
                  </pic:spPr>
                </pic:pic>
              </a:graphicData>
            </a:graphic>
          </wp:inline>
        </w:drawing>
      </w:r>
      <w:r>
        <w:rPr>
          <w:noProof/>
          <w:lang w:eastAsia="en-AU"/>
        </w:rPr>
        <w:drawing>
          <wp:inline distT="0" distB="0" distL="0" distR="0" wp14:anchorId="30F6EC84" wp14:editId="0BDC44B2">
            <wp:extent cx="5396865" cy="2451735"/>
            <wp:effectExtent l="0" t="0" r="0" b="5715"/>
            <wp:docPr id="10" name="Picture 10" descr="Table 5 (continued): Activities additional to routine planned by the sponsor regarding the identified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5 (continued): Activities additional to routine planned by the sponsor regarding the identified safety concer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865" cy="2451735"/>
                    </a:xfrm>
                    <a:prstGeom prst="rect">
                      <a:avLst/>
                    </a:prstGeom>
                    <a:noFill/>
                    <a:ln>
                      <a:noFill/>
                    </a:ln>
                  </pic:spPr>
                </pic:pic>
              </a:graphicData>
            </a:graphic>
          </wp:inline>
        </w:drawing>
      </w:r>
      <w:r>
        <w:rPr>
          <w:noProof/>
          <w:lang w:eastAsia="en-AU"/>
        </w:rPr>
        <w:drawing>
          <wp:inline distT="0" distB="0" distL="0" distR="0" wp14:anchorId="1C441D3F" wp14:editId="7C22BB09">
            <wp:extent cx="5396865" cy="2355850"/>
            <wp:effectExtent l="0" t="0" r="0" b="6350"/>
            <wp:docPr id="11" name="Picture 11" descr="Table 5 (continued): Activities additional to routine planned by the sponsor regarding the identified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5 (continued): Activities additional to routine planned by the sponsor regarding the identified safety concer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865" cy="2355850"/>
                    </a:xfrm>
                    <a:prstGeom prst="rect">
                      <a:avLst/>
                    </a:prstGeom>
                    <a:noFill/>
                    <a:ln>
                      <a:noFill/>
                    </a:ln>
                  </pic:spPr>
                </pic:pic>
              </a:graphicData>
            </a:graphic>
          </wp:inline>
        </w:drawing>
      </w:r>
      <w:r>
        <w:rPr>
          <w:noProof/>
          <w:lang w:eastAsia="en-AU"/>
        </w:rPr>
        <w:drawing>
          <wp:inline distT="0" distB="0" distL="0" distR="0" wp14:anchorId="5B6E32DB" wp14:editId="2DA1D0E7">
            <wp:extent cx="5396865" cy="1430655"/>
            <wp:effectExtent l="0" t="0" r="0" b="0"/>
            <wp:docPr id="12" name="Picture 12" descr="Table 5 (continued): Activities additional to routine planned by the sponsor regarding the identified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5 (continued): Activities additional to routine planned by the sponsor regarding the identified safety concer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865" cy="1430655"/>
                    </a:xfrm>
                    <a:prstGeom prst="rect">
                      <a:avLst/>
                    </a:prstGeom>
                    <a:noFill/>
                    <a:ln>
                      <a:noFill/>
                    </a:ln>
                  </pic:spPr>
                </pic:pic>
              </a:graphicData>
            </a:graphic>
          </wp:inline>
        </w:drawing>
      </w:r>
    </w:p>
    <w:p w:rsidR="008757CA" w:rsidRPr="006F765D" w:rsidRDefault="008757CA" w:rsidP="006F765D">
      <w:pPr>
        <w:pStyle w:val="Heading5"/>
      </w:pPr>
      <w:bookmarkStart w:id="129" w:name="_Toc353444996"/>
      <w:r w:rsidRPr="00F30EE0">
        <w:t>OPR reviewer’s comments in regard to the pharmacovigilance plan (PP) and the appropriateness of milestones</w:t>
      </w:r>
      <w:bookmarkEnd w:id="129"/>
    </w:p>
    <w:p w:rsidR="008757CA" w:rsidRPr="008757CA" w:rsidRDefault="008757CA" w:rsidP="006F765D">
      <w:r w:rsidRPr="008757CA">
        <w:t>The sponsor mainly plans routine and additional pharmacovigilance activities. All safety concerns have been assigned an additional activity.</w:t>
      </w:r>
    </w:p>
    <w:p w:rsidR="008757CA" w:rsidRPr="008757CA" w:rsidRDefault="008757CA" w:rsidP="006F765D">
      <w:r w:rsidRPr="008757CA">
        <w:t>The sponsor’s proposed pharmacovigilance activities and milestones are considered acceptable. The study protocols submitted are considered acceptable in regard to the assigned safety concerns for RMP purposes.</w:t>
      </w:r>
    </w:p>
    <w:p w:rsidR="008757CA" w:rsidRPr="008757CA" w:rsidRDefault="008757CA" w:rsidP="006F765D">
      <w:r w:rsidRPr="008757CA">
        <w:t xml:space="preserve">Considering that the sponsor proposed to have completed </w:t>
      </w:r>
      <w:r w:rsidR="006909E8">
        <w:t>S</w:t>
      </w:r>
      <w:r w:rsidRPr="008757CA">
        <w:t xml:space="preserve">tudies #676, #678, and #679 by December 2012, the sponsor should submit the study results and make relevant RMP </w:t>
      </w:r>
      <w:r w:rsidRPr="008757CA">
        <w:lastRenderedPageBreak/>
        <w:t xml:space="preserve">and </w:t>
      </w:r>
      <w:r w:rsidR="00512ECB">
        <w:t>Product Information/C</w:t>
      </w:r>
      <w:r w:rsidR="00512ECB" w:rsidRPr="00B711BE">
        <w:t xml:space="preserve">onsumer </w:t>
      </w:r>
      <w:r w:rsidR="00512ECB">
        <w:t>Medicine I</w:t>
      </w:r>
      <w:r w:rsidR="00512ECB" w:rsidRPr="00B711BE">
        <w:t xml:space="preserve">nformation </w:t>
      </w:r>
      <w:r w:rsidR="00512ECB">
        <w:t>(</w:t>
      </w:r>
      <w:r w:rsidRPr="008757CA">
        <w:t>PI/CMI</w:t>
      </w:r>
      <w:r w:rsidR="00512ECB">
        <w:t>)</w:t>
      </w:r>
      <w:r w:rsidRPr="008757CA">
        <w:t xml:space="preserve"> changes, where necessary.</w:t>
      </w:r>
    </w:p>
    <w:p w:rsidR="008E7846" w:rsidRPr="006F765D" w:rsidRDefault="008E7846" w:rsidP="006F765D">
      <w:pPr>
        <w:pStyle w:val="Heading4"/>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9710A" w:rsidRPr="00F30EE0" w:rsidRDefault="0009710A" w:rsidP="006F765D">
      <w:pPr>
        <w:pStyle w:val="Heading5"/>
      </w:pPr>
      <w:bookmarkStart w:id="130" w:name="_Toc353444998"/>
      <w:bookmarkStart w:id="131" w:name="_Toc247691527"/>
      <w:r w:rsidRPr="00F30EE0">
        <w:t xml:space="preserve">Sponsor’s conclusion in </w:t>
      </w:r>
      <w:r w:rsidRPr="006F765D">
        <w:t>regard</w:t>
      </w:r>
      <w:r w:rsidRPr="00F30EE0">
        <w:t xml:space="preserve"> to the need for risk minimisation activities</w:t>
      </w:r>
      <w:bookmarkEnd w:id="130"/>
    </w:p>
    <w:p w:rsidR="0009710A" w:rsidRPr="00D15173" w:rsidRDefault="0009710A" w:rsidP="006F765D">
      <w:r w:rsidRPr="00D15173">
        <w:t>The sponsor states that no additional risk minimisation activities are necessary.</w:t>
      </w:r>
    </w:p>
    <w:p w:rsidR="0009710A" w:rsidRPr="006F765D" w:rsidRDefault="00D15173" w:rsidP="006F765D">
      <w:pPr>
        <w:pStyle w:val="Heading5"/>
      </w:pPr>
      <w:r>
        <w:t>OPR reviewer comment</w:t>
      </w:r>
    </w:p>
    <w:p w:rsidR="0009710A" w:rsidRPr="00D15173" w:rsidRDefault="0009710A" w:rsidP="006F765D">
      <w:r w:rsidRPr="00D15173">
        <w:t>The spon</w:t>
      </w:r>
      <w:r w:rsidR="006F765D">
        <w:t>sor’s conclusion is acceptable.</w:t>
      </w:r>
    </w:p>
    <w:p w:rsidR="0009710A" w:rsidRPr="006F765D" w:rsidRDefault="0009710A" w:rsidP="006F765D">
      <w:pPr>
        <w:pStyle w:val="Heading5"/>
      </w:pPr>
      <w:bookmarkStart w:id="132" w:name="_Toc268857338"/>
      <w:bookmarkStart w:id="133" w:name="_Toc353444999"/>
      <w:r w:rsidRPr="00F30EE0">
        <w:t>Potential for medication errors</w:t>
      </w:r>
      <w:bookmarkEnd w:id="132"/>
      <w:bookmarkEnd w:id="133"/>
    </w:p>
    <w:p w:rsidR="00D15173" w:rsidRDefault="0009710A" w:rsidP="006F765D">
      <w:r w:rsidRPr="00D15173">
        <w:t>The sponsor states the following:</w:t>
      </w:r>
    </w:p>
    <w:p w:rsidR="0009710A" w:rsidRPr="006F765D" w:rsidRDefault="0009710A" w:rsidP="006F765D">
      <w:pPr>
        <w:ind w:left="720"/>
        <w:rPr>
          <w:i/>
        </w:rPr>
      </w:pPr>
      <w:r w:rsidRPr="006F765D">
        <w:rPr>
          <w:i/>
        </w:rPr>
        <w:t>The potential for medication errors is sufficiently cover</w:t>
      </w:r>
      <w:r w:rsidR="00D15173" w:rsidRPr="006F765D">
        <w:rPr>
          <w:i/>
        </w:rPr>
        <w:t>ed by the actions for off-label use.</w:t>
      </w:r>
    </w:p>
    <w:p w:rsidR="0009710A" w:rsidRPr="00F30EE0" w:rsidRDefault="00B711BE" w:rsidP="006F765D">
      <w:pPr>
        <w:pStyle w:val="Heading5"/>
      </w:pPr>
      <w:r>
        <w:t xml:space="preserve">OPR </w:t>
      </w:r>
      <w:r w:rsidRPr="006F765D">
        <w:t>reviewer</w:t>
      </w:r>
      <w:r>
        <w:t xml:space="preserve"> comment</w:t>
      </w:r>
    </w:p>
    <w:p w:rsidR="0009710A" w:rsidRPr="00B711BE" w:rsidRDefault="0009710A" w:rsidP="006F765D">
      <w:r w:rsidRPr="00B711BE">
        <w:t>For the purposes of this RMP evaluation different types of medication errors, as su</w:t>
      </w:r>
      <w:r w:rsidR="001E0A17">
        <w:t xml:space="preserve">ggested by Ferner </w:t>
      </w:r>
      <w:r w:rsidR="009126B6">
        <w:t>and</w:t>
      </w:r>
      <w:r w:rsidR="0018419D">
        <w:t xml:space="preserve"> Aronson</w:t>
      </w:r>
      <w:r w:rsidRPr="00B711BE">
        <w:t>,</w:t>
      </w:r>
      <w:r w:rsidR="0018419D">
        <w:rPr>
          <w:rStyle w:val="FootnoteReference"/>
        </w:rPr>
        <w:footnoteReference w:id="6"/>
      </w:r>
      <w:r w:rsidRPr="00B711BE">
        <w:t xml:space="preserve"> have been considered.</w:t>
      </w:r>
    </w:p>
    <w:p w:rsidR="0009710A" w:rsidRPr="00B711BE" w:rsidRDefault="0009710A" w:rsidP="006F765D">
      <w:r w:rsidRPr="00B711BE">
        <w:t xml:space="preserve">The sponsor’s statement that the </w:t>
      </w:r>
      <w:r w:rsidR="00B711BE">
        <w:t>“</w:t>
      </w:r>
      <w:r w:rsidRPr="00B711BE">
        <w:t>potential for medication errors is sufficiently covered by the actions for off-label use</w:t>
      </w:r>
      <w:r w:rsidR="00B711BE">
        <w:t>”</w:t>
      </w:r>
      <w:r w:rsidRPr="00B711BE">
        <w:t xml:space="preserve"> is not adequate. Off-label use is only one subset of medication errors.</w:t>
      </w:r>
    </w:p>
    <w:p w:rsidR="0009710A" w:rsidRPr="00B711BE" w:rsidRDefault="0009710A" w:rsidP="006F765D">
      <w:r w:rsidRPr="00B711BE">
        <w:t xml:space="preserve">The main type of medication errors in the use of this medicine would be knowledge based or rule based errors, where patients or their carers are unable to apply the eye drops correctly. Correct usage is an important aspect of minimising antibiotic resistance. As a result, the </w:t>
      </w:r>
      <w:r w:rsidR="0025384F">
        <w:t>CMI</w:t>
      </w:r>
      <w:r w:rsidRPr="00B711BE">
        <w:t xml:space="preserve"> that contains instructions with illustrations on how to administer the medicine should be included as a pack insert.</w:t>
      </w:r>
    </w:p>
    <w:p w:rsidR="0009710A" w:rsidRPr="006F765D" w:rsidRDefault="0009710A" w:rsidP="006F765D">
      <w:pPr>
        <w:pStyle w:val="Heading5"/>
      </w:pPr>
      <w:r w:rsidRPr="00C10548">
        <w:t>Antibiotic resistance</w:t>
      </w:r>
    </w:p>
    <w:p w:rsidR="0009710A" w:rsidRDefault="0009710A" w:rsidP="006F765D">
      <w:r>
        <w:t>In line with the first</w:t>
      </w:r>
      <w:r w:rsidR="00952656">
        <w:t xml:space="preserve"> </w:t>
      </w:r>
      <w:r>
        <w:t>round clinical report, the recommended course of treatment with besifloxacin is 7 days. This information is already contained in the PI and CMI. Furthermore, the PI and CMI need to state that besifloxacin in only indicated for s</w:t>
      </w:r>
      <w:r w:rsidR="0018419D">
        <w:t>hort-term use</w:t>
      </w:r>
      <w:r>
        <w:t>.</w:t>
      </w:r>
    </w:p>
    <w:p w:rsidR="0009710A" w:rsidRPr="002C6D4C" w:rsidRDefault="0009710A" w:rsidP="006F765D">
      <w:pPr>
        <w:pStyle w:val="Heading5"/>
      </w:pPr>
      <w:r w:rsidRPr="002C6D4C">
        <w:t xml:space="preserve">Potential for </w:t>
      </w:r>
      <w:r w:rsidRPr="006F765D">
        <w:t>overdose</w:t>
      </w:r>
    </w:p>
    <w:p w:rsidR="0009710A" w:rsidRDefault="0009710A" w:rsidP="006F765D">
      <w:r w:rsidRPr="002C6D4C">
        <w:t xml:space="preserve">The risk for </w:t>
      </w:r>
      <w:r>
        <w:t xml:space="preserve">topical </w:t>
      </w:r>
      <w:r w:rsidRPr="002C6D4C">
        <w:t xml:space="preserve">overdose is </w:t>
      </w:r>
      <w:r>
        <w:t>low</w:t>
      </w:r>
      <w:r w:rsidRPr="002C6D4C">
        <w:t xml:space="preserve">. </w:t>
      </w:r>
      <w:r>
        <w:t>The PI should be amended to include information about the management of top</w:t>
      </w:r>
      <w:r w:rsidR="00685136">
        <w:t>ical overdose</w:t>
      </w:r>
      <w:r>
        <w:t>. The ris</w:t>
      </w:r>
      <w:r w:rsidR="006F765D">
        <w:t>k for systemic overdose is low.</w:t>
      </w:r>
    </w:p>
    <w:p w:rsidR="0009710A" w:rsidRPr="006F765D" w:rsidRDefault="0009710A" w:rsidP="006F765D">
      <w:pPr>
        <w:pStyle w:val="Heading5"/>
      </w:pPr>
      <w:r w:rsidRPr="002C6D4C">
        <w:t xml:space="preserve">Potential for </w:t>
      </w:r>
      <w:r>
        <w:t>off-label use</w:t>
      </w:r>
    </w:p>
    <w:p w:rsidR="0009710A" w:rsidRPr="003B6060" w:rsidRDefault="0009710A" w:rsidP="006F765D">
      <w:r w:rsidRPr="003B6060">
        <w:t xml:space="preserve">In the proposed </w:t>
      </w:r>
      <w:r w:rsidR="00095E87">
        <w:t>PI</w:t>
      </w:r>
      <w:r w:rsidRPr="003B6060">
        <w:t>, the indication is clearly stated.</w:t>
      </w:r>
    </w:p>
    <w:p w:rsidR="0009710A" w:rsidRPr="003B6060" w:rsidRDefault="0009710A" w:rsidP="006F765D">
      <w:r w:rsidRPr="003B6060">
        <w:t>Off-label use may occur for bacterial keratitis</w:t>
      </w:r>
      <w:r w:rsidR="00140381">
        <w:t xml:space="preserve"> or antibiotic prophylaxis (pre or post </w:t>
      </w:r>
      <w:r w:rsidRPr="003B6060">
        <w:t>surgery or otherwise). It is noted that the sponsor is undertaking (</w:t>
      </w:r>
      <w:r w:rsidR="007A57AB">
        <w:t>S</w:t>
      </w:r>
      <w:r w:rsidRPr="003B6060">
        <w:t>tudies #676, #678 and # 679 for prophylaxis) or has undertaken (</w:t>
      </w:r>
      <w:r w:rsidR="007A57AB">
        <w:t>S</w:t>
      </w:r>
      <w:r w:rsidRPr="003B6060">
        <w:t>tudy #677 for keratitis) additional studies to investigate the use of Besivance in these scenarios.</w:t>
      </w:r>
    </w:p>
    <w:p w:rsidR="0009710A" w:rsidRPr="006F765D" w:rsidRDefault="0009710A" w:rsidP="006F765D">
      <w:pPr>
        <w:pStyle w:val="Heading5"/>
      </w:pPr>
      <w:r w:rsidRPr="002C6D4C">
        <w:t xml:space="preserve">Potential for </w:t>
      </w:r>
      <w:r>
        <w:t>paediatric off-label use (children up to 12 months of age)</w:t>
      </w:r>
    </w:p>
    <w:p w:rsidR="0009710A" w:rsidRPr="003B6060" w:rsidRDefault="0009710A" w:rsidP="006F765D">
      <w:r w:rsidRPr="003B6060">
        <w:t xml:space="preserve">There may be potential off-label use in neonates born to mothers with gonorrhoea. The sponsor recognises that Besivance is only indicated for patients above 12 months of age. This is reflected in the proposed PI. It is noted the sponsor is undertaking a study to </w:t>
      </w:r>
      <w:r w:rsidRPr="003B6060">
        <w:lastRenderedPageBreak/>
        <w:t>investigate the use of Besivance in patients under 12 months of age. This is considered acceptable.</w:t>
      </w:r>
    </w:p>
    <w:p w:rsidR="0009710A" w:rsidRPr="00F70855" w:rsidRDefault="0009710A" w:rsidP="006F765D">
      <w:pPr>
        <w:pStyle w:val="Heading5"/>
      </w:pPr>
      <w:r w:rsidRPr="00F70855">
        <w:t xml:space="preserve">Potential for </w:t>
      </w:r>
      <w:r w:rsidRPr="006F765D">
        <w:t>transmission</w:t>
      </w:r>
      <w:r w:rsidRPr="00F70855">
        <w:t xml:space="preserve"> of infectious disease</w:t>
      </w:r>
    </w:p>
    <w:p w:rsidR="0009710A" w:rsidRPr="003B6060" w:rsidRDefault="0009710A" w:rsidP="006F765D">
      <w:r w:rsidRPr="003B6060">
        <w:t>There is a potential for transmission of infectious disease. The applicator tip could be potentially contaminated when not used correctly. The correct use has been adequately described in the PI and CMI. The PI and CMI should state that the same bottle of eye drops is not to be shared with o</w:t>
      </w:r>
      <w:r w:rsidR="003B6060">
        <w:t>ther patients</w:t>
      </w:r>
      <w:r w:rsidRPr="003B6060">
        <w:t>.</w:t>
      </w:r>
    </w:p>
    <w:p w:rsidR="008E7846" w:rsidRDefault="008E7846" w:rsidP="006F765D">
      <w:pPr>
        <w:pStyle w:val="Heading4"/>
        <w:rPr>
          <w:lang w:eastAsia="en-AU"/>
        </w:rPr>
      </w:pPr>
      <w:r>
        <w:rPr>
          <w:lang w:eastAsia="en-AU"/>
        </w:rPr>
        <w:t xml:space="preserve">Summary of </w:t>
      </w:r>
      <w:r w:rsidR="003A7F6C" w:rsidRPr="006F765D">
        <w:t>r</w:t>
      </w:r>
      <w:r w:rsidRPr="006F765D">
        <w:t>ecommendations</w:t>
      </w:r>
    </w:p>
    <w:p w:rsidR="00896966" w:rsidRPr="00896966" w:rsidRDefault="00896966" w:rsidP="006F765D">
      <w:r w:rsidRPr="00896966">
        <w:t>The OPR provides these recommendations in the context that the submitted RMP (EU-RMP Version 1.0 (dated 02/10/2012, DLP 31/05/2012) with Australia specific annex</w:t>
      </w:r>
      <w:r w:rsidR="00D247A7">
        <w:t xml:space="preserve"> [attached to EU-RMP in Annex 9]</w:t>
      </w:r>
      <w:r w:rsidRPr="00896966">
        <w:t>)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w:t>
      </w:r>
      <w:r w:rsidR="00EC70EB">
        <w:t xml:space="preserve">ld </w:t>
      </w:r>
      <w:r w:rsidR="00EC70EB">
        <w:rPr>
          <w:b/>
        </w:rPr>
        <w:t>not</w:t>
      </w:r>
      <w:r w:rsidRPr="00896966">
        <w:t xml:space="preserve"> be revised until the Deleg</w:t>
      </w:r>
      <w:r w:rsidR="00EC70EB">
        <w:t>ate’s Overview has been received.</w:t>
      </w:r>
    </w:p>
    <w:p w:rsidR="00896966" w:rsidRPr="00896966" w:rsidRDefault="00896966" w:rsidP="006F765D">
      <w:pPr>
        <w:pStyle w:val="Heading5"/>
      </w:pPr>
      <w:r w:rsidRPr="00896966">
        <w:t xml:space="preserve">Further safety </w:t>
      </w:r>
      <w:r w:rsidRPr="006F765D">
        <w:t>considerations</w:t>
      </w:r>
    </w:p>
    <w:p w:rsidR="00896966" w:rsidRPr="00896966" w:rsidRDefault="00896966" w:rsidP="006F765D">
      <w:pPr>
        <w:pStyle w:val="ListBullet"/>
      </w:pPr>
      <w:r w:rsidRPr="00896966">
        <w:t xml:space="preserve">Safety considerations may be raised by the nonclinical and clinical evaluators through the consolidated section 31 request and/or the </w:t>
      </w:r>
      <w:r w:rsidR="002336A3">
        <w:t>n</w:t>
      </w:r>
      <w:r w:rsidRPr="00896966">
        <w:t xml:space="preserve">onclinical and </w:t>
      </w:r>
      <w:r w:rsidR="002336A3">
        <w:t>c</w:t>
      </w:r>
      <w:r w:rsidRPr="00896966">
        <w:t xml:space="preserve">linical </w:t>
      </w:r>
      <w:r w:rsidR="002336A3">
        <w:t>e</w:t>
      </w:r>
      <w:r w:rsidRPr="00896966">
        <w:t xml:space="preserve">valuation </w:t>
      </w:r>
      <w:r w:rsidR="002336A3">
        <w:t>r</w:t>
      </w:r>
      <w:r w:rsidRPr="00896966">
        <w:t>eports respectively.</w:t>
      </w:r>
      <w:r w:rsidR="004D5AF2">
        <w:t xml:space="preserve"> </w:t>
      </w:r>
      <w:r w:rsidRPr="00896966">
        <w:t xml:space="preserve">It is important to ensure that the information provided in response to these includes a consideration of the relevance for the </w:t>
      </w:r>
      <w:r w:rsidR="002336A3">
        <w:t>RMP</w:t>
      </w:r>
      <w:r w:rsidRPr="00896966">
        <w:t>, and any specific information needed to address this issue in the RMP.</w:t>
      </w:r>
      <w:r w:rsidR="004D5AF2">
        <w:t xml:space="preserve"> </w:t>
      </w:r>
      <w:r w:rsidRPr="00896966">
        <w:t>For any safety considerations so raised, please provide information that is relevant and necessary to address the issue in the RMP.</w:t>
      </w:r>
    </w:p>
    <w:p w:rsidR="00896966" w:rsidRPr="00896966" w:rsidRDefault="00896966" w:rsidP="006F765D">
      <w:r w:rsidRPr="00896966">
        <w:t>Unless the sponsor can provide compelling justification against any of the following recommendations, the following should be considered:</w:t>
      </w:r>
    </w:p>
    <w:p w:rsidR="00896966" w:rsidRPr="00896966" w:rsidRDefault="00896966" w:rsidP="006F765D">
      <w:pPr>
        <w:pStyle w:val="Heading5"/>
      </w:pPr>
      <w:r w:rsidRPr="00896966">
        <w:t xml:space="preserve">Recommendations </w:t>
      </w:r>
      <w:r w:rsidRPr="006F765D">
        <w:t>in</w:t>
      </w:r>
      <w:r w:rsidRPr="00896966">
        <w:t xml:space="preserve"> regard to pharmacovigilance</w:t>
      </w:r>
      <w:r w:rsidR="004A2702">
        <w:t xml:space="preserve"> activities</w:t>
      </w:r>
    </w:p>
    <w:p w:rsidR="00896966" w:rsidRPr="00896966" w:rsidRDefault="00896966" w:rsidP="006F765D">
      <w:pPr>
        <w:pStyle w:val="ListBullet"/>
      </w:pPr>
      <w:r w:rsidRPr="00896966">
        <w:t xml:space="preserve">Considering that the sponsor proposed to have completed </w:t>
      </w:r>
      <w:r w:rsidR="008E5CCE">
        <w:t>S</w:t>
      </w:r>
      <w:r w:rsidRPr="00896966">
        <w:t>tudies #676, #678, and #679 by December 2012, the sponsor should submit the study results and make relevant RMP and PI/CMI changes, where necessary.</w:t>
      </w:r>
    </w:p>
    <w:p w:rsidR="00896966" w:rsidRPr="006F765D" w:rsidRDefault="00896966" w:rsidP="006F765D">
      <w:pPr>
        <w:pStyle w:val="Heading5"/>
      </w:pPr>
      <w:r w:rsidRPr="00896966">
        <w:t xml:space="preserve">Recommendations in regard to </w:t>
      </w:r>
      <w:r w:rsidR="004A2702">
        <w:t>medication errors</w:t>
      </w:r>
    </w:p>
    <w:p w:rsidR="00896966" w:rsidRPr="00896966" w:rsidRDefault="00896966" w:rsidP="006F765D">
      <w:pPr>
        <w:pStyle w:val="ListBullet"/>
      </w:pPr>
      <w:r w:rsidRPr="00896966">
        <w:t>The</w:t>
      </w:r>
      <w:r w:rsidR="0011608D">
        <w:t xml:space="preserve"> CMI</w:t>
      </w:r>
      <w:r w:rsidRPr="00896966">
        <w:t xml:space="preserve"> that contains instructions with illustrations on how to administer the medicine should be included as a pack insert.</w:t>
      </w:r>
    </w:p>
    <w:p w:rsidR="00896966" w:rsidRPr="00896966" w:rsidRDefault="00896966" w:rsidP="006F765D">
      <w:pPr>
        <w:pStyle w:val="Heading5"/>
      </w:pPr>
      <w:r w:rsidRPr="00896966">
        <w:t>Recommendations in regard t</w:t>
      </w:r>
      <w:r w:rsidR="004A2702">
        <w:t xml:space="preserve">o risk minimisation </w:t>
      </w:r>
      <w:r w:rsidR="004A2702" w:rsidRPr="006F765D">
        <w:t>activities</w:t>
      </w:r>
    </w:p>
    <w:p w:rsidR="00896966" w:rsidRPr="00896966" w:rsidRDefault="00896966" w:rsidP="006F765D">
      <w:pPr>
        <w:pStyle w:val="ListBullet"/>
      </w:pPr>
      <w:r w:rsidRPr="00896966">
        <w:t xml:space="preserve">In regard to the proposed routine risk minimisation activities, it is recommended to the Delegate that the draft </w:t>
      </w:r>
      <w:r w:rsidR="00AD0DCB">
        <w:t>PI</w:t>
      </w:r>
      <w:r w:rsidRPr="00896966">
        <w:t xml:space="preserve"> document be revised as follows:</w:t>
      </w:r>
    </w:p>
    <w:p w:rsidR="00896966" w:rsidRPr="00896966" w:rsidRDefault="00896966" w:rsidP="006F765D">
      <w:pPr>
        <w:pStyle w:val="ListBullet2"/>
      </w:pPr>
      <w:r w:rsidRPr="00896966">
        <w:t xml:space="preserve">The results of the </w:t>
      </w:r>
      <w:r w:rsidR="005D6D73">
        <w:t>S</w:t>
      </w:r>
      <w:r w:rsidRPr="00896966">
        <w:t xml:space="preserve">tudies #676, #678, and #679 should be used to update the proposed Australian </w:t>
      </w:r>
      <w:r w:rsidR="007764A4">
        <w:t>PI</w:t>
      </w:r>
      <w:r w:rsidRPr="00896966">
        <w:t xml:space="preserve"> document where necessary.</w:t>
      </w:r>
    </w:p>
    <w:p w:rsidR="00896966" w:rsidRPr="00896966" w:rsidRDefault="00896966" w:rsidP="006F765D">
      <w:pPr>
        <w:pStyle w:val="ListBullet2"/>
      </w:pPr>
      <w:r w:rsidRPr="00896966">
        <w:t>In the ‘Precautions’ section, the PI should include a statement that Besivance is not indicated for long term</w:t>
      </w:r>
      <w:r w:rsidR="001F7A35">
        <w:t xml:space="preserve"> </w:t>
      </w:r>
      <w:r w:rsidRPr="00896966">
        <w:t>use and that administration of this drug should not exceed the recommended 7 day course (or a statement to that effect).</w:t>
      </w:r>
    </w:p>
    <w:p w:rsidR="00896966" w:rsidRPr="00896966" w:rsidRDefault="00896966" w:rsidP="006F765D">
      <w:pPr>
        <w:pStyle w:val="ListBullet2"/>
      </w:pPr>
      <w:r w:rsidRPr="00896966">
        <w:t>In the ‘Overdose’ section, the PI should include a statement in regard to a topical overdose of Bes</w:t>
      </w:r>
      <w:r w:rsidR="006E715E">
        <w:t xml:space="preserve">ivance and </w:t>
      </w:r>
      <w:r w:rsidR="0028069F">
        <w:t xml:space="preserve">management, that is, </w:t>
      </w:r>
      <w:r w:rsidRPr="006F765D">
        <w:t>flushing</w:t>
      </w:r>
      <w:r w:rsidRPr="00896966">
        <w:t xml:space="preserve"> with warm water (or a statement to that effect).</w:t>
      </w:r>
    </w:p>
    <w:p w:rsidR="00896966" w:rsidRPr="00896966" w:rsidRDefault="00896966" w:rsidP="006F765D">
      <w:pPr>
        <w:pStyle w:val="ListBullet2"/>
      </w:pPr>
      <w:r w:rsidRPr="00896966">
        <w:lastRenderedPageBreak/>
        <w:t>In the ‘Dosage and administration’ section, the sponsor should include a statement that Besivance eye drops are not to be shared between patients to ensure minimisation of possible cross</w:t>
      </w:r>
      <w:r w:rsidR="0078726F">
        <w:t xml:space="preserve"> </w:t>
      </w:r>
      <w:r w:rsidRPr="00896966">
        <w:t>contamination (or a statement to that effect).</w:t>
      </w:r>
    </w:p>
    <w:p w:rsidR="00896966" w:rsidRPr="00896966" w:rsidRDefault="00896966" w:rsidP="006F765D">
      <w:pPr>
        <w:pStyle w:val="ListBullet"/>
      </w:pPr>
      <w:r w:rsidRPr="00896966">
        <w:t xml:space="preserve">In regard to the proposed routine risk minimisation activities, it is </w:t>
      </w:r>
      <w:r w:rsidRPr="006F765D">
        <w:t>recommended</w:t>
      </w:r>
      <w:r w:rsidRPr="00896966">
        <w:t xml:space="preserve"> to the Delegate that the draft </w:t>
      </w:r>
      <w:r w:rsidR="00053854">
        <w:t>CMI</w:t>
      </w:r>
      <w:r w:rsidR="00D17D7E">
        <w:t xml:space="preserve"> </w:t>
      </w:r>
      <w:r w:rsidRPr="00896966">
        <w:t>document be revised as follows:</w:t>
      </w:r>
    </w:p>
    <w:p w:rsidR="00896966" w:rsidRPr="00896966" w:rsidRDefault="00896966" w:rsidP="006F765D">
      <w:pPr>
        <w:pStyle w:val="ListBullet2"/>
      </w:pPr>
      <w:r w:rsidRPr="00896966">
        <w:t>In the ‘While you are using Besivance’ section, the sponsor should include a statement that Besivance eye drops are not to be shared between patients additionally to the existing statement ‘</w:t>
      </w:r>
      <w:r>
        <w:t>Do not give Besivance</w:t>
      </w:r>
      <w:r w:rsidRPr="00896966">
        <w:t xml:space="preserve"> Eye Drops to anyone else, even if they have the same condition as you’ (or a statement to that effect).</w:t>
      </w:r>
    </w:p>
    <w:p w:rsidR="00515083" w:rsidRDefault="00515083" w:rsidP="006F765D">
      <w:pPr>
        <w:pStyle w:val="Heading4"/>
      </w:pPr>
      <w:bookmarkStart w:id="134" w:name="_Toc314842510"/>
      <w:r w:rsidRPr="00ED63DE">
        <w:t>Second round evaluation of the sponsor’s response to the RMP evaluation</w:t>
      </w:r>
    </w:p>
    <w:p w:rsidR="00D57B38" w:rsidRPr="00D57B38" w:rsidRDefault="00D57B38" w:rsidP="00D57B38">
      <w:r w:rsidRPr="00D57B38">
        <w:t>Reconciliation of issues outlined in the RMP report is as follows.</w:t>
      </w:r>
    </w:p>
    <w:p w:rsidR="00D57B38" w:rsidRPr="00D57B38" w:rsidRDefault="00D57B38" w:rsidP="00D57B38">
      <w:pPr>
        <w:pStyle w:val="Heading5"/>
        <w:rPr>
          <w:rFonts w:eastAsia="Cambria"/>
        </w:rPr>
      </w:pPr>
      <w:r w:rsidRPr="00D57B38">
        <w:rPr>
          <w:rFonts w:eastAsia="Cambria"/>
        </w:rPr>
        <w:t xml:space="preserve">Recommendation in RMP evaluation </w:t>
      </w:r>
      <w:r w:rsidRPr="00D57B38">
        <w:t>report</w:t>
      </w:r>
      <w:r w:rsidRPr="00D57B38">
        <w:rPr>
          <w:rFonts w:eastAsia="Cambria"/>
        </w:rPr>
        <w:t>:</w:t>
      </w:r>
    </w:p>
    <w:p w:rsidR="00D57B38" w:rsidRPr="00D57B38" w:rsidRDefault="00D57B38" w:rsidP="00D57B38">
      <w:pPr>
        <w:pStyle w:val="Numberbullet0"/>
      </w:pPr>
      <w:r w:rsidRPr="00D57B38">
        <w:t>Safety considerations may be raised by the nonclinical and clinical evaluators through the consolidated section 31 request and/or the nonclinical and clinical evaluation reports respectively. It is important to ensure that the information provided in response to these includes a consideration of the relevance for the RMP, and any specific information needed to address this issue in the RMP. For any safety considerations so raised, please provide information that is relevant and necessary to address the issue in the RMP.</w:t>
      </w:r>
    </w:p>
    <w:p w:rsidR="00D57B38" w:rsidRPr="00D57B38" w:rsidRDefault="00D57B38" w:rsidP="00D57B38">
      <w:pPr>
        <w:pStyle w:val="Heading5"/>
        <w:rPr>
          <w:rFonts w:eastAsia="Cambria"/>
        </w:rPr>
      </w:pPr>
      <w:r w:rsidRPr="00D57B38">
        <w:rPr>
          <w:rFonts w:eastAsia="Cambria"/>
        </w:rPr>
        <w:t xml:space="preserve">Sponsor’s response (or </w:t>
      </w:r>
      <w:r w:rsidRPr="00D57B38">
        <w:t>summary</w:t>
      </w:r>
      <w:r w:rsidRPr="00D57B38">
        <w:rPr>
          <w:rFonts w:eastAsia="Cambria"/>
        </w:rPr>
        <w:t xml:space="preserve"> of the response):</w:t>
      </w:r>
    </w:p>
    <w:p w:rsidR="00D57B38" w:rsidRPr="00D57B38" w:rsidRDefault="00D57B38" w:rsidP="00D57B38">
      <w:r w:rsidRPr="00D57B38">
        <w:t>There were no questions raised by nonclinical and clinical evaluators in the Consolidated Section 31 request.</w:t>
      </w:r>
    </w:p>
    <w:p w:rsidR="00D57B38" w:rsidRPr="00D57B38" w:rsidRDefault="00D57B38" w:rsidP="00D57B38">
      <w:pPr>
        <w:pStyle w:val="Heading5"/>
        <w:rPr>
          <w:rFonts w:eastAsia="Cambria"/>
        </w:rPr>
      </w:pPr>
      <w:r w:rsidRPr="00D57B38">
        <w:rPr>
          <w:rFonts w:eastAsia="Cambria"/>
        </w:rPr>
        <w:t xml:space="preserve">OPR evaluator’s </w:t>
      </w:r>
      <w:r w:rsidRPr="00D57B38">
        <w:t>comment</w:t>
      </w:r>
      <w:r w:rsidRPr="00D57B38">
        <w:rPr>
          <w:rFonts w:eastAsia="Cambria"/>
        </w:rPr>
        <w:t>:</w:t>
      </w:r>
    </w:p>
    <w:p w:rsidR="00D57B38" w:rsidRPr="00D57B38" w:rsidRDefault="00D57B38" w:rsidP="00D57B38">
      <w:proofErr w:type="gramStart"/>
      <w:r w:rsidRPr="00D57B38">
        <w:t>None.</w:t>
      </w:r>
      <w:proofErr w:type="gramEnd"/>
    </w:p>
    <w:p w:rsidR="00D57B38" w:rsidRPr="00D57B38" w:rsidRDefault="00D57B38" w:rsidP="00D57B38">
      <w:pPr>
        <w:pStyle w:val="Heading5"/>
        <w:rPr>
          <w:rFonts w:eastAsia="Cambria"/>
        </w:rPr>
      </w:pPr>
      <w:r w:rsidRPr="00D57B38">
        <w:t>Recommendation</w:t>
      </w:r>
      <w:r w:rsidRPr="00D57B38">
        <w:rPr>
          <w:rFonts w:eastAsia="Cambria"/>
        </w:rPr>
        <w:t xml:space="preserve"> in RMP evaluation report:</w:t>
      </w:r>
    </w:p>
    <w:p w:rsidR="00D57B38" w:rsidRPr="00D57B38" w:rsidRDefault="00D57B38" w:rsidP="00D57B38">
      <w:pPr>
        <w:pStyle w:val="Numberbullet0"/>
      </w:pPr>
      <w:r w:rsidRPr="00D57B38">
        <w:t>Considering that the sponsor proposed to have completed studies #676, #678, and #679 by December 2012, the sponsor should submit the study results and make relevant RMP and PI/CMI changes, where necessary.</w:t>
      </w:r>
    </w:p>
    <w:p w:rsidR="00D57B38" w:rsidRPr="00D57B38" w:rsidRDefault="00D57B38" w:rsidP="00D57B38">
      <w:pPr>
        <w:pStyle w:val="Heading5"/>
      </w:pPr>
      <w:r w:rsidRPr="00D57B38">
        <w:rPr>
          <w:rFonts w:eastAsia="Cambria"/>
        </w:rPr>
        <w:t>Sponsor’s response (or summary of the response):</w:t>
      </w:r>
    </w:p>
    <w:p w:rsidR="00D57B38" w:rsidRPr="00D57B38" w:rsidRDefault="00D57B38" w:rsidP="00D57B38">
      <w:pPr>
        <w:ind w:left="720"/>
        <w:rPr>
          <w:i/>
        </w:rPr>
      </w:pPr>
      <w:r w:rsidRPr="00D57B38">
        <w:rPr>
          <w:i/>
        </w:rPr>
        <w:t>Caused by a delay in the study procedures, only study #676 is available so far. In this retrospective safety study on the use of Besivance for laser-assisted in situ keratomileusis (LASIK) perioperative prophylaxis, no adverse drug reactions were reported. The rate of adverse drug reactions was the primary endpoint. The RMP will be updated accordingly.</w:t>
      </w:r>
    </w:p>
    <w:p w:rsidR="00D57B38" w:rsidRPr="00D57B38" w:rsidRDefault="00D57B38" w:rsidP="00D57B38">
      <w:r w:rsidRPr="00D57B38">
        <w:t>The sponsor has provided a summary of study #676.</w:t>
      </w:r>
    </w:p>
    <w:p w:rsidR="00D57B38" w:rsidRPr="00D57B38" w:rsidRDefault="00D57B38" w:rsidP="00D57B38">
      <w:pPr>
        <w:pStyle w:val="Heading5"/>
        <w:rPr>
          <w:rFonts w:eastAsia="Cambria"/>
        </w:rPr>
      </w:pPr>
      <w:r w:rsidRPr="00D57B38">
        <w:rPr>
          <w:rFonts w:eastAsia="Cambria"/>
        </w:rPr>
        <w:t xml:space="preserve">OPR </w:t>
      </w:r>
      <w:r w:rsidRPr="00D57B38">
        <w:t>evaluator’s</w:t>
      </w:r>
      <w:r w:rsidRPr="00D57B38">
        <w:rPr>
          <w:rFonts w:eastAsia="Cambria"/>
        </w:rPr>
        <w:t xml:space="preserve"> comment:</w:t>
      </w:r>
    </w:p>
    <w:p w:rsidR="00D57B38" w:rsidRPr="00D57B38" w:rsidRDefault="00D57B38" w:rsidP="00D57B38">
      <w:r w:rsidRPr="00D57B38">
        <w:t>The sponsor is advised to submit summaries of the results for studies #678, and #679, as part of their PSUR updates.</w:t>
      </w:r>
    </w:p>
    <w:p w:rsidR="00D57B38" w:rsidRPr="00D57B38" w:rsidRDefault="00D57B38" w:rsidP="00D57B38">
      <w:pPr>
        <w:pStyle w:val="Heading5"/>
        <w:rPr>
          <w:rFonts w:eastAsia="Cambria"/>
        </w:rPr>
      </w:pPr>
      <w:r w:rsidRPr="00D57B38">
        <w:t>Recommendation</w:t>
      </w:r>
      <w:r w:rsidRPr="00D57B38">
        <w:rPr>
          <w:rFonts w:eastAsia="Cambria"/>
        </w:rPr>
        <w:t xml:space="preserve"> in RMP evaluation report:</w:t>
      </w:r>
    </w:p>
    <w:p w:rsidR="00D57B38" w:rsidRPr="00D57B38" w:rsidRDefault="00D57B38" w:rsidP="00D57B38">
      <w:pPr>
        <w:pStyle w:val="Numberbullet0"/>
      </w:pPr>
      <w:r w:rsidRPr="00D57B38">
        <w:t>The Consumer Medicine Information (CMI) that contains instructions with illustrations on how to administer the medicine should be included as a pack insert.</w:t>
      </w:r>
    </w:p>
    <w:p w:rsidR="00D57B38" w:rsidRPr="00D57B38" w:rsidRDefault="00D57B38" w:rsidP="00D57B38">
      <w:pPr>
        <w:pStyle w:val="Heading5"/>
        <w:rPr>
          <w:rFonts w:eastAsia="Cambria"/>
        </w:rPr>
      </w:pPr>
      <w:r w:rsidRPr="00D57B38">
        <w:lastRenderedPageBreak/>
        <w:t>Sponsor’s</w:t>
      </w:r>
      <w:r w:rsidRPr="00D57B38">
        <w:rPr>
          <w:rFonts w:eastAsia="Cambria"/>
        </w:rPr>
        <w:t xml:space="preserve"> response (or summary of the response):</w:t>
      </w:r>
    </w:p>
    <w:p w:rsidR="00D57B38" w:rsidRPr="00D57B38" w:rsidRDefault="00D57B38" w:rsidP="00D57B38">
      <w:r w:rsidRPr="00D57B38">
        <w:t xml:space="preserve">The sponsor acknowledges the evaluator’s comment and understands the importance of providing the instructions with illustration. However, as it is not mandatory to include the CMI in the pack for prescription medicines, the sponsor proposes not to include the CMI in the pack. Upon approval, the CMI will be made available through electronic distribution, in accordance with the current practice in Australia. Instead, and for that reason, the sponsor proposes to add the following statement on the carton: </w:t>
      </w:r>
      <w:r w:rsidRPr="00D57B38">
        <w:rPr>
          <w:b/>
        </w:rPr>
        <w:t>For Consumer Medicine Information, speak to your doctor or pharmacist.</w:t>
      </w:r>
    </w:p>
    <w:p w:rsidR="00D57B38" w:rsidRPr="00D57B38" w:rsidRDefault="00D57B38" w:rsidP="00D57B38">
      <w:pPr>
        <w:pStyle w:val="Heading5"/>
      </w:pPr>
      <w:r w:rsidRPr="00D57B38">
        <w:rPr>
          <w:rFonts w:eastAsia="Cambria"/>
        </w:rPr>
        <w:t>OPR evaluator’s comment:</w:t>
      </w:r>
    </w:p>
    <w:p w:rsidR="00D57B38" w:rsidRDefault="00D57B38" w:rsidP="00D57B38">
      <w:pPr>
        <w:rPr>
          <w:b/>
          <w:bCs/>
          <w:i/>
        </w:rPr>
      </w:pPr>
      <w:r w:rsidRPr="00D57B38">
        <w:t>This is considered acceptable.</w:t>
      </w:r>
    </w:p>
    <w:p w:rsidR="00F90579" w:rsidRPr="003F64D6" w:rsidRDefault="00F90579" w:rsidP="00D57B38">
      <w:pPr>
        <w:pStyle w:val="Heading4"/>
      </w:pPr>
      <w:r w:rsidRPr="003F64D6">
        <w:t xml:space="preserve">Outstanding </w:t>
      </w:r>
      <w:r w:rsidRPr="00A730D0">
        <w:t>issues</w:t>
      </w:r>
    </w:p>
    <w:p w:rsidR="00F90579" w:rsidRPr="00A730D0" w:rsidRDefault="00A730D0" w:rsidP="00D57B38">
      <w:pPr>
        <w:pStyle w:val="Heading5"/>
      </w:pPr>
      <w:r>
        <w:t>Issues in relation to the RMP</w:t>
      </w:r>
    </w:p>
    <w:p w:rsidR="00FF4785" w:rsidRPr="00FF4785" w:rsidRDefault="00FF4785" w:rsidP="00A730D0">
      <w:r w:rsidRPr="00FF4785">
        <w:t xml:space="preserve">The sponsor is advised to submit summaries of the results for </w:t>
      </w:r>
      <w:r w:rsidR="00602885">
        <w:t>S</w:t>
      </w:r>
      <w:r w:rsidRPr="00FF4785">
        <w:t>tudies #678, and</w:t>
      </w:r>
      <w:r w:rsidR="002A3F8A">
        <w:t xml:space="preserve"> #679, as part of their Periodic Safety Update Reports (PSURs)</w:t>
      </w:r>
      <w:r w:rsidRPr="00FF4785">
        <w:t>.</w:t>
      </w:r>
    </w:p>
    <w:p w:rsidR="00FF4785" w:rsidRPr="00FF4785" w:rsidRDefault="00FF4785" w:rsidP="00D57B38">
      <w:pPr>
        <w:pStyle w:val="Heading5"/>
      </w:pPr>
      <w:r w:rsidRPr="00FF4785">
        <w:t xml:space="preserve">Advice from the Advisory </w:t>
      </w:r>
      <w:r w:rsidRPr="00A730D0">
        <w:t>Committee</w:t>
      </w:r>
      <w:r w:rsidRPr="00FF4785">
        <w:t xml:space="preserve"> on the Safety of Medicines (ACSOM)</w:t>
      </w:r>
    </w:p>
    <w:p w:rsidR="00FF4785" w:rsidRPr="00FF4785" w:rsidRDefault="00FF4785" w:rsidP="00A730D0">
      <w:r w:rsidRPr="00FF4785">
        <w:t>The advice receive</w:t>
      </w:r>
      <w:r>
        <w:t>d from ACSOM is summarised below</w:t>
      </w:r>
      <w:r w:rsidRPr="00FF4785">
        <w:t>:</w:t>
      </w:r>
    </w:p>
    <w:p w:rsidR="00FF4785" w:rsidRPr="00FF4785" w:rsidRDefault="00FF4785" w:rsidP="00A730D0">
      <w:pPr>
        <w:pStyle w:val="ListBullet"/>
      </w:pPr>
      <w:r w:rsidRPr="00FF4785">
        <w:t xml:space="preserve">Confirmation of </w:t>
      </w:r>
      <w:r w:rsidRPr="00A730D0">
        <w:t>bacteria</w:t>
      </w:r>
      <w:r w:rsidRPr="00FF4785">
        <w:t xml:space="preserve"> susceptibility would be impractical for bacterial conjunctivitis.</w:t>
      </w:r>
    </w:p>
    <w:p w:rsidR="00FF4785" w:rsidRPr="00FF4785" w:rsidRDefault="00FF4785" w:rsidP="00A730D0">
      <w:pPr>
        <w:pStyle w:val="ListBullet"/>
      </w:pPr>
      <w:r w:rsidRPr="00FF4785">
        <w:t xml:space="preserve">The </w:t>
      </w:r>
      <w:r w:rsidR="00167157" w:rsidRPr="00E230CF">
        <w:t xml:space="preserve">Antibiotic </w:t>
      </w:r>
      <w:r w:rsidR="00167157" w:rsidRPr="00A730D0">
        <w:t>Resistance</w:t>
      </w:r>
      <w:r w:rsidR="00167157" w:rsidRPr="00E230CF">
        <w:t xml:space="preserve"> Monitoring in Ocular micRoorganisms </w:t>
      </w:r>
      <w:r w:rsidR="00167157">
        <w:t>(</w:t>
      </w:r>
      <w:r w:rsidRPr="00FF4785">
        <w:t>ARMOR</w:t>
      </w:r>
      <w:r w:rsidR="00167157">
        <w:t>)</w:t>
      </w:r>
      <w:r w:rsidRPr="00FF4785">
        <w:t xml:space="preserve"> study is sufficient to monitor resistance internationally and already established local reporting and analysis will be adequate for Australian surveillance</w:t>
      </w:r>
      <w:r w:rsidR="00A730D0">
        <w:t>.</w:t>
      </w:r>
    </w:p>
    <w:p w:rsidR="00FF4785" w:rsidRPr="00FF4785" w:rsidRDefault="00FF4785" w:rsidP="00A730D0">
      <w:pPr>
        <w:pStyle w:val="ListBullet"/>
      </w:pPr>
      <w:r w:rsidRPr="00FF4785">
        <w:t xml:space="preserve">The planned routine risk minimisation activities are </w:t>
      </w:r>
      <w:r w:rsidRPr="00A730D0">
        <w:t>sufficient</w:t>
      </w:r>
      <w:r w:rsidRPr="00FF4785">
        <w:t xml:space="preserve"> for the proposed indication. However, ACSOM advised that antimicrobial stewardship (AMS) programs may not be available in private eye clinics and suggested seeking advice from the Antimicrobial Stewardship Advisory Committee.</w:t>
      </w:r>
    </w:p>
    <w:p w:rsidR="00FF4785" w:rsidRPr="00A730D0" w:rsidRDefault="00FF4785" w:rsidP="00D57B38">
      <w:pPr>
        <w:pStyle w:val="Heading5"/>
      </w:pPr>
      <w:r>
        <w:t>OPR reviewer comment</w:t>
      </w:r>
    </w:p>
    <w:p w:rsidR="00FF4785" w:rsidRPr="00FF4785" w:rsidRDefault="00FF4785" w:rsidP="00A730D0">
      <w:r w:rsidRPr="00FF4785">
        <w:t xml:space="preserve">The sponsor is advised that this product may be referred to the Antimicrobial Stewardship Advisory Committee after approval to seek advice regarding </w:t>
      </w:r>
      <w:r w:rsidR="0094433D">
        <w:t>AMS</w:t>
      </w:r>
      <w:r w:rsidRPr="00FF4785">
        <w:t xml:space="preserve"> programs in private eye clinics.</w:t>
      </w:r>
    </w:p>
    <w:p w:rsidR="003E1367" w:rsidRPr="00107999" w:rsidRDefault="003E1367" w:rsidP="00D57B38">
      <w:pPr>
        <w:pStyle w:val="Heading5"/>
      </w:pPr>
      <w:r w:rsidRPr="00107999">
        <w:t xml:space="preserve">Comments on the </w:t>
      </w:r>
      <w:r w:rsidRPr="00A730D0">
        <w:t>safety</w:t>
      </w:r>
      <w:r w:rsidRPr="00107999">
        <w:t xml:space="preserve"> specification of the RMP</w:t>
      </w:r>
    </w:p>
    <w:p w:rsidR="00C15D33" w:rsidRPr="00D57B38" w:rsidRDefault="00A730D0" w:rsidP="00D57B38">
      <w:pPr>
        <w:pStyle w:val="Heading6"/>
      </w:pPr>
      <w:r>
        <w:t>OMA clinical evaluation report</w:t>
      </w:r>
    </w:p>
    <w:p w:rsidR="00C15D33" w:rsidRPr="00C15D33" w:rsidRDefault="00C15D33" w:rsidP="00D57B38">
      <w:r w:rsidRPr="00C15D33">
        <w:t>The clinical evaluator made the following summary first round comment in regard to safety s</w:t>
      </w:r>
      <w:r w:rsidR="00A730D0">
        <w:t>pecifications in the draft RMP:</w:t>
      </w:r>
    </w:p>
    <w:p w:rsidR="00C15D33" w:rsidRPr="00D57B38" w:rsidRDefault="00C15D33" w:rsidP="00D57B38">
      <w:pPr>
        <w:ind w:left="720"/>
        <w:rPr>
          <w:i/>
        </w:rPr>
      </w:pPr>
      <w:r w:rsidRPr="00D57B38">
        <w:rPr>
          <w:i/>
        </w:rPr>
        <w:t>The Safety Specification in the draft Risk M</w:t>
      </w:r>
      <w:r w:rsidR="00CF70A0" w:rsidRPr="00D57B38">
        <w:rPr>
          <w:i/>
        </w:rPr>
        <w:t>anagement Plan is satisfactory.</w:t>
      </w:r>
    </w:p>
    <w:p w:rsidR="00C15D33" w:rsidRPr="00C15D33" w:rsidRDefault="00C15D33" w:rsidP="00D57B38">
      <w:r w:rsidRPr="00C15D33">
        <w:t>No second round comment was made.</w:t>
      </w:r>
    </w:p>
    <w:p w:rsidR="00C15D33" w:rsidRPr="00D57B38" w:rsidRDefault="00C15D33" w:rsidP="00D57B38">
      <w:pPr>
        <w:pStyle w:val="Heading6"/>
      </w:pPr>
      <w:r w:rsidRPr="00C15D33">
        <w:t>OSE</w:t>
      </w:r>
      <w:r w:rsidR="00FC080B">
        <w:t xml:space="preserve"> </w:t>
      </w:r>
      <w:r w:rsidR="00D57B38">
        <w:t>n</w:t>
      </w:r>
      <w:r w:rsidR="00FC080B">
        <w:t>on</w:t>
      </w:r>
      <w:r w:rsidR="00A730D0">
        <w:t xml:space="preserve">clinical evaluation </w:t>
      </w:r>
      <w:r w:rsidR="00D57B38">
        <w:t>r</w:t>
      </w:r>
      <w:r w:rsidR="00A730D0">
        <w:t>eport</w:t>
      </w:r>
    </w:p>
    <w:p w:rsidR="00C15D33" w:rsidRPr="00C15D33" w:rsidRDefault="00C15D33" w:rsidP="00D57B38">
      <w:r w:rsidRPr="00C15D33">
        <w:t>The non-clinical evaluator made the following summary comment in regard to safety s</w:t>
      </w:r>
      <w:r w:rsidR="00A730D0">
        <w:t>pecifications in the draft RMP:</w:t>
      </w:r>
    </w:p>
    <w:p w:rsidR="00C15D33" w:rsidRPr="004640B4" w:rsidRDefault="004640B4" w:rsidP="00D57B38">
      <w:pPr>
        <w:ind w:left="720"/>
      </w:pPr>
      <w:r>
        <w:t>“</w:t>
      </w:r>
      <w:r w:rsidR="00C15D33" w:rsidRPr="004640B4">
        <w:t>Results and conclusions drawn from the nonclinical program for besifloxacin detailed in the sponsor’s draft Ris</w:t>
      </w:r>
      <w:r w:rsidR="00263360" w:rsidRPr="004640B4">
        <w:t xml:space="preserve">k Management Plan </w:t>
      </w:r>
      <w:r w:rsidR="00C15D33" w:rsidRPr="004640B4">
        <w:t>are in general concordance with thos</w:t>
      </w:r>
      <w:r>
        <w:t>e of the Nonclinical Evaluator.”</w:t>
      </w:r>
    </w:p>
    <w:p w:rsidR="00C15D33" w:rsidRPr="00A730D0" w:rsidRDefault="00A730D0" w:rsidP="00D57B38">
      <w:pPr>
        <w:pStyle w:val="Heading5"/>
      </w:pPr>
      <w:r>
        <w:lastRenderedPageBreak/>
        <w:t xml:space="preserve">Key changes to the updated </w:t>
      </w:r>
      <w:r w:rsidRPr="00D57B38">
        <w:t>RMP</w:t>
      </w:r>
    </w:p>
    <w:p w:rsidR="00C15D33" w:rsidRPr="00C15D33" w:rsidRDefault="00C15D33" w:rsidP="00D57B38">
      <w:r w:rsidRPr="00C15D33">
        <w:t>Not applicable.</w:t>
      </w:r>
    </w:p>
    <w:p w:rsidR="00C15D33" w:rsidRPr="00C15D33" w:rsidRDefault="00C15D33" w:rsidP="00D57B38">
      <w:pPr>
        <w:pStyle w:val="Heading5"/>
      </w:pPr>
      <w:r w:rsidRPr="00C15D33">
        <w:t xml:space="preserve">Suggested wording for </w:t>
      </w:r>
      <w:r w:rsidRPr="00D57B38">
        <w:t>conditions</w:t>
      </w:r>
      <w:r w:rsidR="00A730D0">
        <w:t xml:space="preserve"> of registration</w:t>
      </w:r>
    </w:p>
    <w:p w:rsidR="00C15D33" w:rsidRPr="00D57B38" w:rsidRDefault="00C15D33" w:rsidP="00D57B38">
      <w:pPr>
        <w:pStyle w:val="Heading6"/>
      </w:pPr>
      <w:r w:rsidRPr="00C15D33">
        <w:t>RMP</w:t>
      </w:r>
    </w:p>
    <w:p w:rsidR="00C15D33" w:rsidRPr="00C15D33" w:rsidRDefault="00C15D33" w:rsidP="00D57B38">
      <w:r w:rsidRPr="00C15D33">
        <w:t>Implement EU-RMP Version 1.0 (dated 02/10/2012, DLP 31/05/2012) with Australia specific annex (attached to EU-RMP in Annex 9), and any future updates as a condition of registration.</w:t>
      </w:r>
    </w:p>
    <w:p w:rsidR="00C15D33" w:rsidRPr="00A730D0" w:rsidRDefault="00C15D33" w:rsidP="00D57B38">
      <w:pPr>
        <w:pStyle w:val="Heading6"/>
      </w:pPr>
      <w:r w:rsidRPr="00D57B38">
        <w:t>PSUR</w:t>
      </w:r>
    </w:p>
    <w:p w:rsidR="00234E56" w:rsidRPr="00C15D33" w:rsidRDefault="006A0F01" w:rsidP="00D57B38">
      <w:r w:rsidRPr="006A0F01">
        <w:t>OMA to provide new wording when finalised</w:t>
      </w:r>
      <w:r>
        <w:t>.</w:t>
      </w:r>
    </w:p>
    <w:p w:rsidR="008E7846" w:rsidRPr="00792A32" w:rsidRDefault="008E7846" w:rsidP="00FD5D18">
      <w:pPr>
        <w:pStyle w:val="Heading2"/>
      </w:pPr>
      <w:bookmarkStart w:id="135" w:name="_Toc383772777"/>
      <w:r>
        <w:t xml:space="preserve">VI. </w:t>
      </w:r>
      <w:r w:rsidRPr="00792A32">
        <w:t xml:space="preserve">Overall </w:t>
      </w:r>
      <w:r>
        <w:t>c</w:t>
      </w:r>
      <w:r w:rsidRPr="00792A32">
        <w:t xml:space="preserve">onclusion and </w:t>
      </w:r>
      <w:r>
        <w:t>r</w:t>
      </w:r>
      <w:r w:rsidRPr="00792A32">
        <w:t>isk/</w:t>
      </w:r>
      <w:r>
        <w:t>b</w:t>
      </w:r>
      <w:r w:rsidRPr="00792A32">
        <w:t xml:space="preserve">enefit </w:t>
      </w:r>
      <w:r w:rsidRPr="00FD5D18">
        <w:t>assessment</w:t>
      </w:r>
      <w:bookmarkEnd w:id="105"/>
      <w:bookmarkEnd w:id="131"/>
      <w:bookmarkEnd w:id="134"/>
      <w:bookmarkEnd w:id="135"/>
    </w:p>
    <w:p w:rsidR="008E7846" w:rsidRDefault="008E7846" w:rsidP="00FD5D18">
      <w:bookmarkStart w:id="136" w:name="_Toc247691528"/>
      <w:r>
        <w:t xml:space="preserve">The submission was summarised in the following </w:t>
      </w:r>
      <w:r w:rsidRPr="00EF5C48">
        <w:t xml:space="preserve">Delegate’s </w:t>
      </w:r>
      <w:r>
        <w:t>overview</w:t>
      </w:r>
      <w:r w:rsidRPr="00EF5C48">
        <w:t xml:space="preserve"> and recommendation</w:t>
      </w:r>
      <w:r>
        <w:t>s:</w:t>
      </w:r>
    </w:p>
    <w:p w:rsidR="008E7846" w:rsidRPr="00FD5D18" w:rsidRDefault="008E7846" w:rsidP="00FD5D18">
      <w:pPr>
        <w:pStyle w:val="Heading3"/>
      </w:pPr>
      <w:bookmarkStart w:id="137" w:name="_Toc314842511"/>
      <w:bookmarkStart w:id="138" w:name="_Toc383772778"/>
      <w:r>
        <w:t>Quality</w:t>
      </w:r>
      <w:bookmarkEnd w:id="136"/>
      <w:bookmarkEnd w:id="137"/>
      <w:bookmarkEnd w:id="138"/>
    </w:p>
    <w:p w:rsidR="00C538C9" w:rsidRPr="00C538C9" w:rsidRDefault="00C538C9" w:rsidP="00FD5D18">
      <w:r w:rsidRPr="00C538C9">
        <w:t xml:space="preserve">Besifloxacin hydrochloride is manufactured by chemical synthesis. All issues raised by the pharmaceutical chemistry section have been satisfactorily resolved. The submission was not required to be considered by the </w:t>
      </w:r>
      <w:r w:rsidR="00921735">
        <w:t>PSC</w:t>
      </w:r>
      <w:r w:rsidR="003D193F">
        <w:t xml:space="preserve"> </w:t>
      </w:r>
      <w:r w:rsidR="00767644">
        <w:t>of the ACPM.</w:t>
      </w:r>
    </w:p>
    <w:p w:rsidR="008E7846" w:rsidRPr="00767644" w:rsidRDefault="008E7846" w:rsidP="00FD5D18">
      <w:pPr>
        <w:pStyle w:val="Heading3"/>
      </w:pPr>
      <w:bookmarkStart w:id="139" w:name="_Toc314842512"/>
      <w:bookmarkStart w:id="140" w:name="_Toc383772779"/>
      <w:r w:rsidRPr="00FD5D18">
        <w:t>Nonclinical</w:t>
      </w:r>
      <w:bookmarkEnd w:id="139"/>
      <w:bookmarkEnd w:id="140"/>
    </w:p>
    <w:p w:rsidR="00DA355D" w:rsidRPr="00DA355D" w:rsidRDefault="00DA355D" w:rsidP="00FD5D18">
      <w:r>
        <w:t>The non</w:t>
      </w:r>
      <w:r w:rsidRPr="00DA355D">
        <w:t>clinical module of the dossier was composed of primary (microbiology), secondary and safety pharmacology, absorption and plasma pharmacokinetic, single and repeat dose toxicity, genotoxicity, reproductive and development, photoallergenic, phototoxicity and chronic ocular toxicity studies.</w:t>
      </w:r>
      <w:r w:rsidR="004D5AF2">
        <w:t xml:space="preserve"> </w:t>
      </w:r>
      <w:r w:rsidRPr="00DA355D">
        <w:t>An Australian Antibiotic Resistance Risk Assessment was provided. Pivotal toxicity studies were GLP</w:t>
      </w:r>
      <w:r w:rsidR="009E3130">
        <w:t xml:space="preserve"> </w:t>
      </w:r>
      <w:r w:rsidRPr="00DA355D">
        <w:t>compliant and toxicokinetic data were provided for relevant studies. There are no over</w:t>
      </w:r>
      <w:r w:rsidR="00343F4C">
        <w:t>all non</w:t>
      </w:r>
      <w:r w:rsidRPr="00DA355D">
        <w:t>clinical objections to registration of besifloxacin hydrochloride 0.6</w:t>
      </w:r>
      <w:r w:rsidR="00396257">
        <w:t>% ophthalmic solution (Besivance</w:t>
      </w:r>
      <w:r w:rsidRPr="00DA355D">
        <w:t>) for treatment of bacterial conjunctivitis.</w:t>
      </w:r>
      <w:r w:rsidR="004D5AF2">
        <w:t xml:space="preserve"> </w:t>
      </w:r>
      <w:r w:rsidRPr="00DA355D">
        <w:t>The main c</w:t>
      </w:r>
      <w:r w:rsidR="00AD3A19">
        <w:t>onclusions of the non</w:t>
      </w:r>
      <w:r w:rsidRPr="00DA355D">
        <w:t>clinical evaluations follow.</w:t>
      </w:r>
    </w:p>
    <w:p w:rsidR="00DA355D" w:rsidRPr="00DA355D" w:rsidRDefault="00DA355D" w:rsidP="00FD5D18">
      <w:r w:rsidRPr="00DA355D">
        <w:t>The overall MIC</w:t>
      </w:r>
      <w:r w:rsidRPr="00001E65">
        <w:rPr>
          <w:vertAlign w:val="subscript"/>
        </w:rPr>
        <w:t>50</w:t>
      </w:r>
      <w:r w:rsidRPr="00DA355D">
        <w:t>/MIC</w:t>
      </w:r>
      <w:r w:rsidRPr="00001E65">
        <w:rPr>
          <w:vertAlign w:val="subscript"/>
        </w:rPr>
        <w:t>90</w:t>
      </w:r>
      <w:r w:rsidRPr="00DA355D">
        <w:t xml:space="preserve"> for besifloxacin with 1324 isolates of Gram</w:t>
      </w:r>
      <w:r w:rsidR="00F052AE">
        <w:t xml:space="preserve"> +ve and -ve</w:t>
      </w:r>
      <w:r w:rsidRPr="00DA355D">
        <w:t xml:space="preserve"> bacteria was 0.06/0.25 and 0.03/0.5 µg/ml, respectively. The C</w:t>
      </w:r>
      <w:r w:rsidRPr="00485487">
        <w:rPr>
          <w:vertAlign w:val="subscript"/>
        </w:rPr>
        <w:t>max</w:t>
      </w:r>
      <w:r w:rsidRPr="00DA355D">
        <w:t>/MIC</w:t>
      </w:r>
      <w:r w:rsidRPr="00485487">
        <w:rPr>
          <w:vertAlign w:val="subscript"/>
        </w:rPr>
        <w:t>90</w:t>
      </w:r>
      <w:r w:rsidRPr="00DA355D">
        <w:t xml:space="preserve"> and AUC/MIC</w:t>
      </w:r>
      <w:r w:rsidRPr="00485487">
        <w:rPr>
          <w:vertAlign w:val="subscript"/>
        </w:rPr>
        <w:t>90</w:t>
      </w:r>
      <w:r w:rsidRPr="00DA355D">
        <w:t xml:space="preserve"> ratios for besifloxacin were &gt;10 and &gt;125; above the target range recommended for </w:t>
      </w:r>
      <w:r w:rsidR="00686F1B">
        <w:t>FQ</w:t>
      </w:r>
      <w:r w:rsidRPr="00DA355D">
        <w:t>s. At 0.6%, the ophthalmic suspension demonstrated besifloxacin levels &gt; MIC</w:t>
      </w:r>
      <w:r w:rsidRPr="00CC0E6B">
        <w:rPr>
          <w:vertAlign w:val="subscript"/>
        </w:rPr>
        <w:t>90</w:t>
      </w:r>
      <w:r w:rsidRPr="00DA355D">
        <w:t xml:space="preserve"> for a minimum of 24</w:t>
      </w:r>
      <w:r w:rsidR="00CC0E6B">
        <w:t xml:space="preserve"> </w:t>
      </w:r>
      <w:r w:rsidRPr="00DA355D">
        <w:t xml:space="preserve">h post administration. Systemic and ocular exposure studies in mouse and rabbit, using </w:t>
      </w:r>
      <w:r w:rsidRPr="00C17C7D">
        <w:rPr>
          <w:i/>
        </w:rPr>
        <w:t>S. pneumoniae</w:t>
      </w:r>
      <w:r w:rsidRPr="00DA355D">
        <w:t xml:space="preserve"> and </w:t>
      </w:r>
      <w:r w:rsidRPr="00C17C7D">
        <w:rPr>
          <w:i/>
        </w:rPr>
        <w:t>S. aureus</w:t>
      </w:r>
      <w:r w:rsidRPr="00DA355D">
        <w:t xml:space="preserve"> strains revealed </w:t>
      </w:r>
      <w:r w:rsidRPr="00DA355D">
        <w:rPr>
          <w:i/>
        </w:rPr>
        <w:t>in vivo</w:t>
      </w:r>
      <w:r w:rsidRPr="00DA355D">
        <w:t xml:space="preserve"> efficacy comparable to or better than other </w:t>
      </w:r>
      <w:r w:rsidR="00686F1B">
        <w:t>FQ</w:t>
      </w:r>
      <w:r w:rsidRPr="00DA355D">
        <w:t>s.</w:t>
      </w:r>
    </w:p>
    <w:p w:rsidR="00DA355D" w:rsidRPr="00DA355D" w:rsidRDefault="00DA355D" w:rsidP="00FD5D18">
      <w:r w:rsidRPr="00DA355D">
        <w:t xml:space="preserve">Secondary pharmacodynamics studies revealed </w:t>
      </w:r>
      <w:r w:rsidRPr="002A045A">
        <w:rPr>
          <w:i/>
        </w:rPr>
        <w:t>in vitro</w:t>
      </w:r>
      <w:r w:rsidR="0096439E">
        <w:t xml:space="preserve"> inhibition of LPS</w:t>
      </w:r>
      <w:r w:rsidRPr="00DA355D">
        <w:t xml:space="preserve"> and IL-1</w:t>
      </w:r>
      <w:r w:rsidR="0096439E">
        <w:t xml:space="preserve">β </w:t>
      </w:r>
      <w:r w:rsidRPr="00DA355D">
        <w:t>induced IL-1β, IL-8, IP-10, MIP-1, IL-6, GM-CSF, MCP-1, TGF-α and TNF-α production at potencies comparable or higher than moxifloxacin.</w:t>
      </w:r>
    </w:p>
    <w:p w:rsidR="00DA355D" w:rsidRPr="00DA355D" w:rsidRDefault="00DA355D" w:rsidP="00FD5D18">
      <w:r w:rsidRPr="00DA355D">
        <w:t>Repeat</w:t>
      </w:r>
      <w:r w:rsidR="00CE28E0">
        <w:t xml:space="preserve"> dose toxicity studies of 14-28 </w:t>
      </w:r>
      <w:r w:rsidRPr="00DA355D">
        <w:t>days were performed in rats, rabbits and dogs following oral or ocular administration. Low risk of systemic toxicity is anticipated follo</w:t>
      </w:r>
      <w:r w:rsidR="00767644">
        <w:t>wing human ocular instillation.</w:t>
      </w:r>
    </w:p>
    <w:p w:rsidR="00DA355D" w:rsidRPr="00DA355D" w:rsidRDefault="00DA355D" w:rsidP="00FD5D18">
      <w:r w:rsidRPr="00DA355D">
        <w:t xml:space="preserve">Reproductive toxicity studies conducted via oral administration demonstrated adequate systemic exposure ratios. Notable observations arising from maternal toxicity, suggestive of delayed development included incidence of altered ossification events, delayed pinna </w:t>
      </w:r>
      <w:r w:rsidRPr="00DA355D">
        <w:lastRenderedPageBreak/>
        <w:t xml:space="preserve">detachment, eyelid opening and delayed </w:t>
      </w:r>
      <w:r w:rsidR="00446DD0">
        <w:t xml:space="preserve">sexual maturation. </w:t>
      </w:r>
      <w:r w:rsidRPr="00DA355D">
        <w:t>The proposed Pregnancy Category of B3 is acceptable.</w:t>
      </w:r>
    </w:p>
    <w:p w:rsidR="00DA355D" w:rsidRPr="00DA355D" w:rsidRDefault="00DA355D" w:rsidP="00FD5D18">
      <w:r w:rsidRPr="00DA355D">
        <w:t xml:space="preserve">The </w:t>
      </w:r>
      <w:r w:rsidR="00AD79BD">
        <w:t>n</w:t>
      </w:r>
      <w:r w:rsidRPr="00DA355D">
        <w:t xml:space="preserve">onclinical </w:t>
      </w:r>
      <w:r w:rsidR="00AD79BD">
        <w:t>e</w:t>
      </w:r>
      <w:r w:rsidRPr="00DA355D">
        <w:t xml:space="preserve">valuation </w:t>
      </w:r>
      <w:r w:rsidR="00AD79BD">
        <w:t>r</w:t>
      </w:r>
      <w:r w:rsidRPr="00DA355D">
        <w:t>eport includes some discussion of the function of excipients and the drug delivery system.</w:t>
      </w:r>
    </w:p>
    <w:p w:rsidR="008E7846" w:rsidRPr="006B7F75" w:rsidRDefault="008E7846" w:rsidP="006B7F75">
      <w:pPr>
        <w:pStyle w:val="Heading3"/>
      </w:pPr>
      <w:bookmarkStart w:id="141" w:name="_Toc247691530"/>
      <w:bookmarkStart w:id="142" w:name="_Toc314842513"/>
      <w:bookmarkStart w:id="143" w:name="_Toc383772780"/>
      <w:r>
        <w:t>Clinical</w:t>
      </w:r>
      <w:bookmarkEnd w:id="141"/>
      <w:bookmarkEnd w:id="142"/>
      <w:bookmarkEnd w:id="143"/>
    </w:p>
    <w:p w:rsidR="00E230CF" w:rsidRPr="006B7F75" w:rsidRDefault="00E230CF" w:rsidP="006B7F75">
      <w:pPr>
        <w:pStyle w:val="Heading4"/>
      </w:pPr>
      <w:r w:rsidRPr="00E230CF">
        <w:t>Pharmacology</w:t>
      </w:r>
    </w:p>
    <w:p w:rsidR="00E230CF" w:rsidRPr="00E230CF" w:rsidRDefault="00E628F2" w:rsidP="006B7F75">
      <w:r>
        <w:t xml:space="preserve">A total of </w:t>
      </w:r>
      <w:r w:rsidR="00E230CF" w:rsidRPr="00E230CF">
        <w:t>8 clinical pharmacology studies were submitted</w:t>
      </w:r>
      <w:r w:rsidR="00360CC8">
        <w:t>,</w:t>
      </w:r>
      <w:r w:rsidR="00E230CF" w:rsidRPr="00E230CF">
        <w:t xml:space="preserve"> which included 1 ocular </w:t>
      </w:r>
      <w:r w:rsidR="004E5879">
        <w:t>pharmacokinetic</w:t>
      </w:r>
      <w:r w:rsidR="00E230CF" w:rsidRPr="00E230CF">
        <w:t xml:space="preserve"> study and 1 systemic </w:t>
      </w:r>
      <w:r w:rsidR="004E5879">
        <w:t>pharmacokinetic</w:t>
      </w:r>
      <w:r w:rsidR="00E230CF" w:rsidRPr="00E230CF">
        <w:t xml:space="preserve"> study in healthy volunteers.</w:t>
      </w:r>
      <w:r w:rsidR="004D5AF2">
        <w:t xml:space="preserve"> </w:t>
      </w:r>
      <w:r w:rsidR="00E230CF" w:rsidRPr="00E230CF">
        <w:t xml:space="preserve">The </w:t>
      </w:r>
      <w:r w:rsidR="00E230CF" w:rsidRPr="007D5D56">
        <w:rPr>
          <w:i/>
        </w:rPr>
        <w:t>in vitro</w:t>
      </w:r>
      <w:r w:rsidR="00E230CF" w:rsidRPr="00E230CF">
        <w:t xml:space="preserve"> antibacterial spectrum of besifloxacin was evaluated against a variety of clinical isolates in nine studies conducted in the USA and Japan.</w:t>
      </w:r>
      <w:r w:rsidR="004F0E35">
        <w:t xml:space="preserve"> </w:t>
      </w:r>
      <w:r w:rsidR="004E5879">
        <w:t>The pharmacokinetic</w:t>
      </w:r>
      <w:r w:rsidR="00E230CF" w:rsidRPr="00E230CF">
        <w:t>/</w:t>
      </w:r>
      <w:r w:rsidR="004E5879">
        <w:t>pharmacodynamic</w:t>
      </w:r>
      <w:r w:rsidR="00E230CF" w:rsidRPr="00E230CF">
        <w:t xml:space="preserve"> relationship was assessed using results from the ocular PK study and </w:t>
      </w:r>
      <w:r w:rsidR="00E230CF" w:rsidRPr="004E5879">
        <w:rPr>
          <w:i/>
        </w:rPr>
        <w:t>in vitro</w:t>
      </w:r>
      <w:r w:rsidR="00E230CF" w:rsidRPr="00E230CF">
        <w:t xml:space="preserve"> MIC</w:t>
      </w:r>
      <w:r w:rsidR="00E230CF" w:rsidRPr="004E5879">
        <w:rPr>
          <w:vertAlign w:val="subscript"/>
        </w:rPr>
        <w:t>90</w:t>
      </w:r>
      <w:r w:rsidR="00E230CF" w:rsidRPr="00E230CF">
        <w:t xml:space="preserve"> for bacterial pathogens from patients with bacterial conjunctivitis.</w:t>
      </w:r>
    </w:p>
    <w:p w:rsidR="00E230CF" w:rsidRPr="00E230CF" w:rsidRDefault="00543FA4" w:rsidP="006B7F75">
      <w:r>
        <w:t xml:space="preserve">Study 424 was </w:t>
      </w:r>
      <w:r w:rsidR="00E230CF" w:rsidRPr="00E230CF">
        <w:t xml:space="preserve">a </w:t>
      </w:r>
      <w:r>
        <w:t>P</w:t>
      </w:r>
      <w:r w:rsidR="00E230CF" w:rsidRPr="00E230CF">
        <w:t xml:space="preserve">hase </w:t>
      </w:r>
      <w:r>
        <w:t>I</w:t>
      </w:r>
      <w:r w:rsidR="00A221E1">
        <w:t xml:space="preserve"> ocular pharmacokinetic</w:t>
      </w:r>
      <w:r w:rsidR="00E230CF" w:rsidRPr="00E230CF">
        <w:t xml:space="preserve"> </w:t>
      </w:r>
      <w:r w:rsidR="001263DE">
        <w:t xml:space="preserve">study </w:t>
      </w:r>
      <w:r w:rsidR="00E230CF" w:rsidRPr="00E230CF">
        <w:t>in hea</w:t>
      </w:r>
      <w:r w:rsidR="001263DE">
        <w:t>lthy volunteers</w:t>
      </w:r>
      <w:r w:rsidR="00E230CF" w:rsidRPr="00E230CF">
        <w:t>. A single dose of besifloxacin 0.6% suspension resulted in mean C</w:t>
      </w:r>
      <w:r w:rsidR="00E230CF" w:rsidRPr="00CE6642">
        <w:rPr>
          <w:vertAlign w:val="subscript"/>
        </w:rPr>
        <w:t>max</w:t>
      </w:r>
      <w:r w:rsidR="006508CA">
        <w:t xml:space="preserve"> of 610 ± 540 μg/g in tears. The c</w:t>
      </w:r>
      <w:r w:rsidR="00E230CF" w:rsidRPr="00E230CF">
        <w:t>o</w:t>
      </w:r>
      <w:r w:rsidR="006508CA">
        <w:t>ncentration</w:t>
      </w:r>
      <w:r w:rsidR="00926E7C">
        <w:t xml:space="preserve"> in tears at 24 h</w:t>
      </w:r>
      <w:r w:rsidR="00E230CF" w:rsidRPr="00E230CF">
        <w:t xml:space="preserve"> was </w:t>
      </w:r>
      <w:r w:rsidR="00976CC0" w:rsidRPr="00E230CF">
        <w:t xml:space="preserve">on average </w:t>
      </w:r>
      <w:r w:rsidR="00E230CF" w:rsidRPr="00E230CF">
        <w:t>1.6</w:t>
      </w:r>
      <w:r w:rsidR="00926E7C">
        <w:t xml:space="preserve"> </w:t>
      </w:r>
      <w:r w:rsidR="00E230CF" w:rsidRPr="00E230CF">
        <w:t xml:space="preserve">± </w:t>
      </w:r>
      <w:proofErr w:type="gramStart"/>
      <w:r w:rsidR="00926E7C">
        <w:t>2.28 µ</w:t>
      </w:r>
      <w:r w:rsidR="00E230CF" w:rsidRPr="00E230CF">
        <w:t>g/g</w:t>
      </w:r>
      <w:proofErr w:type="gramEnd"/>
      <w:r w:rsidR="00AF0F96">
        <w:t>. The e</w:t>
      </w:r>
      <w:r w:rsidR="00E230CF" w:rsidRPr="00E230CF">
        <w:t>xposure in tears was</w:t>
      </w:r>
      <w:r w:rsidR="004D5AF2">
        <w:t xml:space="preserve"> </w:t>
      </w:r>
      <w:r w:rsidR="00E230CF" w:rsidRPr="00E230CF">
        <w:t>AUC</w:t>
      </w:r>
      <w:r w:rsidR="00E230CF" w:rsidRPr="00A221E1">
        <w:rPr>
          <w:vertAlign w:val="subscript"/>
        </w:rPr>
        <w:t xml:space="preserve">0-24h </w:t>
      </w:r>
      <w:r w:rsidR="00E230CF" w:rsidRPr="00E230CF">
        <w:t>of 1232 μg*h/g. Based on the observed elimination ra</w:t>
      </w:r>
      <w:r w:rsidR="009F0A74">
        <w:t>te from tears besifloxacin conc</w:t>
      </w:r>
      <w:r w:rsidR="00E230CF" w:rsidRPr="00E230CF">
        <w:t xml:space="preserve">entrations in tears were predicted to decrease below </w:t>
      </w:r>
      <w:r w:rsidR="004F6C38">
        <w:t xml:space="preserve">the </w:t>
      </w:r>
      <w:r w:rsidR="004F6C38" w:rsidRPr="004F6C38">
        <w:t xml:space="preserve">Lower Limit of Quantification </w:t>
      </w:r>
      <w:r w:rsidR="004F6C38">
        <w:t>(</w:t>
      </w:r>
      <w:r w:rsidR="00E230CF" w:rsidRPr="00E230CF">
        <w:t>LLOQ</w:t>
      </w:r>
      <w:r w:rsidR="004F6C38">
        <w:t>)</w:t>
      </w:r>
      <w:r w:rsidR="00E230CF" w:rsidRPr="00E230CF">
        <w:t xml:space="preserve"> (0.2 </w:t>
      </w:r>
      <w:r w:rsidR="00E80F3B">
        <w:t>µ</w:t>
      </w:r>
      <w:r w:rsidR="0083441F">
        <w:t xml:space="preserve">g/g) </w:t>
      </w:r>
      <w:r w:rsidR="004F6C38">
        <w:t>~</w:t>
      </w:r>
      <w:r w:rsidR="0083441F">
        <w:t>34 h</w:t>
      </w:r>
      <w:r w:rsidR="00904D16">
        <w:t xml:space="preserve"> after the dose.</w:t>
      </w:r>
    </w:p>
    <w:p w:rsidR="00E230CF" w:rsidRPr="00E230CF" w:rsidRDefault="00E230CF" w:rsidP="006B7F75">
      <w:r w:rsidRPr="00E230CF">
        <w:t>Study C-02</w:t>
      </w:r>
      <w:r w:rsidR="00991A6A">
        <w:t>-403-001</w:t>
      </w:r>
      <w:r w:rsidRPr="00E230CF">
        <w:t xml:space="preserve"> assessed systemic </w:t>
      </w:r>
      <w:r w:rsidR="00626C10">
        <w:t>pharmacokinetics</w:t>
      </w:r>
      <w:r w:rsidRPr="00E230CF">
        <w:t xml:space="preserve"> in healthy volunteers who received bilateral ocular besifloxacin suspension (0.3% or 0.6%) </w:t>
      </w:r>
      <w:proofErr w:type="gramStart"/>
      <w:r w:rsidRPr="00E230CF">
        <w:t xml:space="preserve">QID </w:t>
      </w:r>
      <w:r w:rsidR="0007753F">
        <w:t>(</w:t>
      </w:r>
      <w:r w:rsidR="0007753F" w:rsidRPr="0007753F">
        <w:rPr>
          <w:i/>
        </w:rPr>
        <w:t>quater in die</w:t>
      </w:r>
      <w:r w:rsidR="0007753F">
        <w:t xml:space="preserve">; 4 times daily) </w:t>
      </w:r>
      <w:r w:rsidRPr="00E230CF">
        <w:t>for 7 days.</w:t>
      </w:r>
      <w:proofErr w:type="gramEnd"/>
      <w:r w:rsidRPr="00E230CF">
        <w:t xml:space="preserve"> Plasma besifloxacin levels observed were on average &lt;0.35 ng/mL and C</w:t>
      </w:r>
      <w:r w:rsidRPr="00694D0C">
        <w:rPr>
          <w:vertAlign w:val="subscript"/>
        </w:rPr>
        <w:t>max</w:t>
      </w:r>
      <w:r w:rsidRPr="00E230CF">
        <w:t xml:space="preserve"> &lt;0.5 ng/mL.</w:t>
      </w:r>
      <w:r w:rsidR="004D5AF2">
        <w:t xml:space="preserve"> </w:t>
      </w:r>
      <w:r w:rsidRPr="00E230CF">
        <w:t>Distribution (other than to tear fluid and plasma protein binding), metabolism and excretion were not assessed in this or other clinical studies. In animal models after oral administration, besifloxacin is largely excreted</w:t>
      </w:r>
      <w:r w:rsidR="00904D16">
        <w:t xml:space="preserve"> unchanged in urine and faeces.</w:t>
      </w:r>
    </w:p>
    <w:p w:rsidR="00E230CF" w:rsidRPr="00E230CF" w:rsidRDefault="00991A6A" w:rsidP="006B7F75">
      <w:r>
        <w:t xml:space="preserve">Study 478 </w:t>
      </w:r>
      <w:r w:rsidR="00E230CF" w:rsidRPr="00E230CF">
        <w:t>measured plasma besifloxacin concentrations in adults with suspected bacterial conjunctivitis who received 0.6% suspension bilaterally TID for 5 days. Plasma besifloxacin concentrations measured after first and last dose showed</w:t>
      </w:r>
      <w:r w:rsidR="004D5AF2">
        <w:t xml:space="preserve"> </w:t>
      </w:r>
      <w:r w:rsidR="00E230CF" w:rsidRPr="00E230CF">
        <w:t>high variability. Maximum plasma besifloxacin concentration in each patient was &lt;1.3 ng/mL.</w:t>
      </w:r>
    </w:p>
    <w:p w:rsidR="00E230CF" w:rsidRPr="00E230CF" w:rsidRDefault="001E170F" w:rsidP="006B7F75">
      <w:r>
        <w:t xml:space="preserve">The </w:t>
      </w:r>
      <w:r w:rsidR="00E230CF" w:rsidRPr="00E230CF">
        <w:t>mean C</w:t>
      </w:r>
      <w:r w:rsidR="00E230CF" w:rsidRPr="00226302">
        <w:rPr>
          <w:vertAlign w:val="subscript"/>
        </w:rPr>
        <w:t>max</w:t>
      </w:r>
      <w:r w:rsidR="00E230CF" w:rsidRPr="00E230CF">
        <w:t xml:space="preserve"> of besifloxacin was </w:t>
      </w:r>
      <w:proofErr w:type="gramStart"/>
      <w:r w:rsidR="00E230CF" w:rsidRPr="00E230CF">
        <w:t>0.37 ng/mL on Day 1</w:t>
      </w:r>
      <w:proofErr w:type="gramEnd"/>
      <w:r w:rsidR="00E230CF" w:rsidRPr="00E230CF">
        <w:t xml:space="preserve"> and 0.43 ng/mL on Day 6</w:t>
      </w:r>
      <w:r w:rsidR="009F3F79">
        <w:t>,</w:t>
      </w:r>
      <w:r w:rsidR="00E230CF" w:rsidRPr="00E230CF">
        <w:t xml:space="preserve"> indicating only a sligh</w:t>
      </w:r>
      <w:r w:rsidR="00B23769">
        <w:t>t accumulation of besifloxacin.</w:t>
      </w:r>
    </w:p>
    <w:p w:rsidR="00E230CF" w:rsidRPr="00E230CF" w:rsidRDefault="00A80980" w:rsidP="006B7F75">
      <w:r>
        <w:t>Pharmacokinetic</w:t>
      </w:r>
      <w:r w:rsidRPr="00E230CF">
        <w:t>/</w:t>
      </w:r>
      <w:r>
        <w:t>pharmacodynamic</w:t>
      </w:r>
      <w:r w:rsidRPr="00E230CF">
        <w:t xml:space="preserve"> </w:t>
      </w:r>
      <w:r w:rsidR="00E230CF" w:rsidRPr="00E230CF">
        <w:t>ratios have been modelled for</w:t>
      </w:r>
      <w:r w:rsidR="004D5AF2">
        <w:t xml:space="preserve"> </w:t>
      </w:r>
      <w:r w:rsidR="00E230CF" w:rsidRPr="00E230CF">
        <w:t>C</w:t>
      </w:r>
      <w:r w:rsidR="00E230CF" w:rsidRPr="0022001F">
        <w:rPr>
          <w:vertAlign w:val="subscript"/>
        </w:rPr>
        <w:t>max</w:t>
      </w:r>
      <w:r w:rsidR="00E230CF" w:rsidRPr="00E230CF">
        <w:t>/MIC</w:t>
      </w:r>
      <w:r w:rsidR="00E230CF" w:rsidRPr="0022001F">
        <w:rPr>
          <w:vertAlign w:val="subscript"/>
        </w:rPr>
        <w:t>90</w:t>
      </w:r>
      <w:r w:rsidR="00E230CF" w:rsidRPr="00E230CF">
        <w:t xml:space="preserve"> and AUC</w:t>
      </w:r>
      <w:r w:rsidR="00E230CF" w:rsidRPr="00390CB7">
        <w:rPr>
          <w:vertAlign w:val="subscript"/>
        </w:rPr>
        <w:t>24</w:t>
      </w:r>
      <w:r w:rsidR="009F3F79">
        <w:rPr>
          <w:vertAlign w:val="subscript"/>
        </w:rPr>
        <w:t>h</w:t>
      </w:r>
      <w:r w:rsidR="00E230CF" w:rsidRPr="00E230CF">
        <w:t>/MIC</w:t>
      </w:r>
      <w:r w:rsidR="00E230CF" w:rsidRPr="00390CB7">
        <w:rPr>
          <w:vertAlign w:val="subscript"/>
        </w:rPr>
        <w:t>90</w:t>
      </w:r>
      <w:r w:rsidR="00E230CF" w:rsidRPr="00E230CF">
        <w:t xml:space="preserve"> bas</w:t>
      </w:r>
      <w:r w:rsidR="00F23EDD">
        <w:t xml:space="preserve">ed on single dose human tear pharmacokinetic </w:t>
      </w:r>
      <w:r w:rsidR="00E230CF" w:rsidRPr="00E230CF">
        <w:t>results and simulated besifloxacin AUC</w:t>
      </w:r>
      <w:r w:rsidR="00E230CF" w:rsidRPr="00390CB7">
        <w:rPr>
          <w:vertAlign w:val="subscript"/>
        </w:rPr>
        <w:t>24</w:t>
      </w:r>
      <w:r w:rsidR="00E230CF" w:rsidRPr="00E230CF">
        <w:t xml:space="preserve"> with TID dosing and MIC</w:t>
      </w:r>
      <w:r w:rsidR="00E230CF" w:rsidRPr="00F753BF">
        <w:rPr>
          <w:vertAlign w:val="subscript"/>
        </w:rPr>
        <w:t>90</w:t>
      </w:r>
      <w:r w:rsidR="00E230CF" w:rsidRPr="00E230CF">
        <w:t xml:space="preserve"> values for prevalent bacterial pathogens from patients with bacterial conjunctivitis</w:t>
      </w:r>
      <w:r w:rsidR="005B4953">
        <w:t xml:space="preserve"> </w:t>
      </w:r>
      <w:r w:rsidR="00E230CF" w:rsidRPr="00E230CF">
        <w:t>(</w:t>
      </w:r>
      <w:r w:rsidR="00E230CF" w:rsidRPr="006E5276">
        <w:rPr>
          <w:i/>
        </w:rPr>
        <w:t>S. aureus,</w:t>
      </w:r>
      <w:r w:rsidR="004D5AF2" w:rsidRPr="006E5276">
        <w:rPr>
          <w:i/>
        </w:rPr>
        <w:t xml:space="preserve"> </w:t>
      </w:r>
      <w:r w:rsidR="00E230CF" w:rsidRPr="006E5276">
        <w:rPr>
          <w:i/>
        </w:rPr>
        <w:t>S. pneumoniae, S. epidermis</w:t>
      </w:r>
      <w:r w:rsidR="00E230CF" w:rsidRPr="00E230CF">
        <w:t xml:space="preserve"> and </w:t>
      </w:r>
      <w:r w:rsidR="00E230CF" w:rsidRPr="006E5276">
        <w:rPr>
          <w:i/>
        </w:rPr>
        <w:t>H. influenzae</w:t>
      </w:r>
      <w:r w:rsidR="00E230CF" w:rsidRPr="00E230CF">
        <w:t>).</w:t>
      </w:r>
      <w:r w:rsidR="004D5AF2">
        <w:t xml:space="preserve"> </w:t>
      </w:r>
      <w:r w:rsidR="00E230CF" w:rsidRPr="00E230CF">
        <w:t>C</w:t>
      </w:r>
      <w:r w:rsidR="00E230CF" w:rsidRPr="006E5276">
        <w:rPr>
          <w:vertAlign w:val="subscript"/>
        </w:rPr>
        <w:t>max</w:t>
      </w:r>
      <w:r w:rsidR="00E230CF" w:rsidRPr="00E230CF">
        <w:t>/MIC</w:t>
      </w:r>
      <w:r w:rsidR="00E230CF" w:rsidRPr="006E5276">
        <w:rPr>
          <w:vertAlign w:val="subscript"/>
        </w:rPr>
        <w:t>90</w:t>
      </w:r>
      <w:r w:rsidR="00E230CF" w:rsidRPr="00E230CF">
        <w:t xml:space="preserve"> ratios of 732 to </w:t>
      </w:r>
      <w:proofErr w:type="gramStart"/>
      <w:r w:rsidR="00E230CF" w:rsidRPr="00E230CF">
        <w:t>10167,</w:t>
      </w:r>
      <w:proofErr w:type="gramEnd"/>
      <w:r w:rsidR="00E230CF" w:rsidRPr="00E230CF">
        <w:t xml:space="preserve"> and AUC</w:t>
      </w:r>
      <w:r w:rsidR="00E230CF" w:rsidRPr="009F3F79">
        <w:rPr>
          <w:vertAlign w:val="subscript"/>
        </w:rPr>
        <w:t>24</w:t>
      </w:r>
      <w:r w:rsidR="009F3F79">
        <w:rPr>
          <w:vertAlign w:val="subscript"/>
        </w:rPr>
        <w:t>h</w:t>
      </w:r>
      <w:r w:rsidR="00E230CF" w:rsidRPr="00E230CF">
        <w:t>/MIC</w:t>
      </w:r>
      <w:r w:rsidR="00E230CF" w:rsidRPr="009F3F79">
        <w:rPr>
          <w:vertAlign w:val="subscript"/>
        </w:rPr>
        <w:t>90</w:t>
      </w:r>
      <w:r w:rsidR="00E230CF" w:rsidRPr="00E230CF">
        <w:t xml:space="preserve"> ratios of 4561 to 63350 were obtained. These </w:t>
      </w:r>
      <w:r w:rsidR="009F3F79">
        <w:t>pharmacokinetic</w:t>
      </w:r>
      <w:r w:rsidR="009F3F79" w:rsidRPr="00E230CF">
        <w:t>/</w:t>
      </w:r>
      <w:r w:rsidR="009F3F79">
        <w:t>pharmacodynamic</w:t>
      </w:r>
      <w:r w:rsidR="009F3F79" w:rsidRPr="00E230CF">
        <w:t xml:space="preserve"> </w:t>
      </w:r>
      <w:r w:rsidR="00E230CF" w:rsidRPr="00E230CF">
        <w:t xml:space="preserve">ratios are higher than the published target values associated with bacterial eradication in plasma for </w:t>
      </w:r>
      <w:r w:rsidR="00686F1B">
        <w:t>FQ</w:t>
      </w:r>
      <w:r w:rsidR="00AF6508">
        <w:t>s (that is</w:t>
      </w:r>
      <w:r w:rsidR="00E230CF" w:rsidRPr="00E230CF">
        <w:t>, C</w:t>
      </w:r>
      <w:r w:rsidR="00E230CF" w:rsidRPr="00AF6508">
        <w:rPr>
          <w:vertAlign w:val="subscript"/>
        </w:rPr>
        <w:t>max</w:t>
      </w:r>
      <w:r w:rsidR="00E230CF" w:rsidRPr="00E230CF">
        <w:t>/MIC</w:t>
      </w:r>
      <w:r w:rsidR="00E230CF" w:rsidRPr="00AF6508">
        <w:rPr>
          <w:vertAlign w:val="subscript"/>
        </w:rPr>
        <w:t>90</w:t>
      </w:r>
      <w:r w:rsidR="00E230CF" w:rsidRPr="00E230CF">
        <w:t xml:space="preserve"> ratio of &gt;10 and AUC/MIC</w:t>
      </w:r>
      <w:r w:rsidR="00E230CF" w:rsidRPr="007F779D">
        <w:rPr>
          <w:vertAlign w:val="subscript"/>
        </w:rPr>
        <w:t>90</w:t>
      </w:r>
      <w:r w:rsidR="00E230CF" w:rsidRPr="00E230CF">
        <w:t xml:space="preserve"> ratio of &gt;100-125)</w:t>
      </w:r>
      <w:r w:rsidR="00676FE8">
        <w:t xml:space="preserve">, </w:t>
      </w:r>
      <w:r w:rsidR="00E230CF" w:rsidRPr="00E230CF">
        <w:t>regardless whether total of or unbound to protein concentrations are co</w:t>
      </w:r>
      <w:r w:rsidR="00B23769">
        <w:t>nsidered.</w:t>
      </w:r>
    </w:p>
    <w:p w:rsidR="00E230CF" w:rsidRPr="00E230CF" w:rsidRDefault="00E230CF" w:rsidP="006B7F75">
      <w:r w:rsidRPr="00E230CF">
        <w:t xml:space="preserve">The </w:t>
      </w:r>
      <w:r w:rsidR="00B10F0F">
        <w:t>pharmacokinetic</w:t>
      </w:r>
      <w:r w:rsidR="00B10F0F" w:rsidRPr="00E230CF">
        <w:t>/</w:t>
      </w:r>
      <w:r w:rsidR="00B10F0F">
        <w:t>pharmacodynamic</w:t>
      </w:r>
      <w:r w:rsidR="00B10F0F" w:rsidRPr="00E230CF">
        <w:t xml:space="preserve"> </w:t>
      </w:r>
      <w:r w:rsidRPr="00E230CF">
        <w:t xml:space="preserve">ratio is accepted in the </w:t>
      </w:r>
      <w:r w:rsidR="00243510">
        <w:t>clinical evaluation report</w:t>
      </w:r>
      <w:r w:rsidRPr="00E230CF">
        <w:t xml:space="preserve"> as adequate support for the 0.6% formulation and TID dosing used in pivotal clinical studies.</w:t>
      </w:r>
    </w:p>
    <w:p w:rsidR="00E230CF" w:rsidRPr="00E230CF" w:rsidRDefault="00C3057F" w:rsidP="006B7F75">
      <w:r>
        <w:t>The</w:t>
      </w:r>
      <w:r w:rsidRPr="00606670">
        <w:t xml:space="preserve"> </w:t>
      </w:r>
      <w:r>
        <w:t>clinical evaluation report</w:t>
      </w:r>
      <w:r w:rsidRPr="00E230CF">
        <w:t xml:space="preserve"> </w:t>
      </w:r>
      <w:r w:rsidR="00E230CF" w:rsidRPr="00E230CF">
        <w:t>summarises MIC</w:t>
      </w:r>
      <w:r w:rsidR="00E230CF" w:rsidRPr="007971EE">
        <w:rPr>
          <w:vertAlign w:val="subscript"/>
        </w:rPr>
        <w:t>50</w:t>
      </w:r>
      <w:r w:rsidR="00E230CF" w:rsidRPr="00E230CF">
        <w:t xml:space="preserve"> values for isolates from patients with bacterial conjunctivitis in Studies 373, 433 and 434 against besifloxacin and other agents. Antimicrobial activity is discussed</w:t>
      </w:r>
      <w:r w:rsidR="004D5AF2">
        <w:t xml:space="preserve"> </w:t>
      </w:r>
      <w:r w:rsidR="00E230CF" w:rsidRPr="00E230CF">
        <w:t xml:space="preserve">further </w:t>
      </w:r>
      <w:r w:rsidR="00D82AEF">
        <w:t>in the</w:t>
      </w:r>
      <w:r w:rsidR="00606670" w:rsidRPr="00606670">
        <w:t xml:space="preserve"> </w:t>
      </w:r>
      <w:r w:rsidR="00606670">
        <w:t>clinical evaluation</w:t>
      </w:r>
      <w:r w:rsidR="00D82AEF">
        <w:t xml:space="preserve"> report</w:t>
      </w:r>
      <w:r w:rsidR="00E230CF" w:rsidRPr="00E230CF">
        <w:t>.</w:t>
      </w:r>
      <w:r w:rsidR="004D5AF2">
        <w:t xml:space="preserve"> </w:t>
      </w:r>
      <w:r w:rsidR="00E230CF" w:rsidRPr="00E230CF">
        <w:t xml:space="preserve">A total of 1324 </w:t>
      </w:r>
      <w:r w:rsidR="00E230CF" w:rsidRPr="00E230CF">
        <w:lastRenderedPageBreak/>
        <w:t xml:space="preserve">isolates were recovered from subjects at baseline (Visit 1) in the </w:t>
      </w:r>
      <w:r w:rsidR="007971EE">
        <w:t>modified intention</w:t>
      </w:r>
      <w:r w:rsidR="003E3757">
        <w:t xml:space="preserve"> to </w:t>
      </w:r>
      <w:r w:rsidR="007971EE">
        <w:t xml:space="preserve">treat </w:t>
      </w:r>
      <w:r w:rsidR="00E230CF" w:rsidRPr="00E230CF">
        <w:t xml:space="preserve">mITT </w:t>
      </w:r>
      <w:r w:rsidR="007971EE">
        <w:t xml:space="preserve">population </w:t>
      </w:r>
      <w:r w:rsidR="00E230CF" w:rsidRPr="00E230CF">
        <w:t>as treated population species specific study eye across all treatment groups. Overall</w:t>
      </w:r>
      <w:r w:rsidR="00AC24EE">
        <w:t>,</w:t>
      </w:r>
      <w:r w:rsidR="00E230CF" w:rsidRPr="00E230CF">
        <w:t xml:space="preserve"> MIC</w:t>
      </w:r>
      <w:r w:rsidR="00E230CF" w:rsidRPr="00951AA5">
        <w:rPr>
          <w:vertAlign w:val="subscript"/>
        </w:rPr>
        <w:t>50</w:t>
      </w:r>
      <w:r w:rsidR="00E230CF" w:rsidRPr="00E230CF">
        <w:t>/MIC</w:t>
      </w:r>
      <w:r w:rsidR="00E230CF" w:rsidRPr="00951AA5">
        <w:rPr>
          <w:vertAlign w:val="subscript"/>
        </w:rPr>
        <w:t>90</w:t>
      </w:r>
      <w:r w:rsidR="00E230CF" w:rsidRPr="00E230CF">
        <w:t xml:space="preserve"> values for the 1324 isolates of all species were 0.06/0.25 μg/mL for besifloxacin. Of the 1324 bacterial isolates, 886 (66.9%) were Gram </w:t>
      </w:r>
      <w:r w:rsidR="007C3342">
        <w:t>+ve</w:t>
      </w:r>
      <w:r w:rsidR="00E230CF" w:rsidRPr="00E230CF">
        <w:t>, while the remainin</w:t>
      </w:r>
      <w:r w:rsidR="007C3342">
        <w:t>g 438 (33.1%) were Gram -ve</w:t>
      </w:r>
      <w:r w:rsidR="00E230CF" w:rsidRPr="00E230CF">
        <w:t>. The besifloxacin MIC</w:t>
      </w:r>
      <w:r w:rsidR="00E230CF" w:rsidRPr="00AC24EE">
        <w:rPr>
          <w:vertAlign w:val="subscript"/>
        </w:rPr>
        <w:t>50</w:t>
      </w:r>
      <w:r w:rsidR="00E230CF" w:rsidRPr="00E230CF">
        <w:t>/MIC</w:t>
      </w:r>
      <w:r w:rsidR="00E230CF" w:rsidRPr="00AC24EE">
        <w:rPr>
          <w:vertAlign w:val="subscript"/>
        </w:rPr>
        <w:t>90</w:t>
      </w:r>
      <w:r w:rsidR="00E230CF" w:rsidRPr="00E230CF">
        <w:t xml:space="preserve"> values were 0</w:t>
      </w:r>
      <w:r w:rsidR="007C3342">
        <w:t>.06/0.25 μg/mL for Gram +ve</w:t>
      </w:r>
      <w:r w:rsidR="00E230CF" w:rsidRPr="00E230CF">
        <w:t xml:space="preserve"> bacteria and 0.03/0.5 μg/mL for Gram</w:t>
      </w:r>
      <w:r w:rsidR="00EB312C">
        <w:t xml:space="preserve"> -ve</w:t>
      </w:r>
      <w:r w:rsidR="00EB312C" w:rsidRPr="00E230CF">
        <w:t xml:space="preserve"> </w:t>
      </w:r>
      <w:r w:rsidR="00E230CF" w:rsidRPr="00E230CF">
        <w:t>bacteria.</w:t>
      </w:r>
    </w:p>
    <w:p w:rsidR="00E230CF" w:rsidRPr="00E230CF" w:rsidRDefault="00E230CF" w:rsidP="006B7F75">
      <w:r w:rsidRPr="00E230CF">
        <w:t xml:space="preserve">Mutations in the genes that encode DNA gyrase and topoisomerase IV is the primary cause of development of clinically relevant levels of resistance to </w:t>
      </w:r>
      <w:r w:rsidR="00686F1B">
        <w:t>FQ</w:t>
      </w:r>
      <w:r w:rsidRPr="00E230CF">
        <w:t xml:space="preserve">s. High level </w:t>
      </w:r>
      <w:r w:rsidR="00AC24EE">
        <w:t>resistance occurs through multi</w:t>
      </w:r>
      <w:r w:rsidRPr="00E230CF">
        <w:t>step mutations, where organisms acquire mutations in genes encoding both principal target enzymes. Multistep mutations are more likely when bacteria are repeatedly exposed to low levels of antibiotic or with intermittent or ta</w:t>
      </w:r>
      <w:r w:rsidR="00B23769">
        <w:t>pered dosing over long periods.</w:t>
      </w:r>
    </w:p>
    <w:p w:rsidR="00E230CF" w:rsidRPr="00E230CF" w:rsidRDefault="00E230CF" w:rsidP="006B7F75">
      <w:r w:rsidRPr="00E230CF">
        <w:t xml:space="preserve">The </w:t>
      </w:r>
      <w:r w:rsidR="00AC24EE">
        <w:t>clinical evaluation report</w:t>
      </w:r>
      <w:r w:rsidRPr="00E230CF">
        <w:t xml:space="preserve"> has considered the sponsor’</w:t>
      </w:r>
      <w:r w:rsidR="003D02E4">
        <w:t>s</w:t>
      </w:r>
      <w:r w:rsidRPr="00E230CF">
        <w:t xml:space="preserve"> Risk Assessment of Microbial Resistance. Besifloxacin ophthalmic suspension is considered unlikely to contribute to </w:t>
      </w:r>
      <w:r w:rsidR="00686F1B">
        <w:t>FQ</w:t>
      </w:r>
      <w:r w:rsidRPr="00E230CF">
        <w:t xml:space="preserve"> resistance development for the following reason:</w:t>
      </w:r>
    </w:p>
    <w:p w:rsidR="00E230CF" w:rsidRPr="00E230CF" w:rsidRDefault="00E230CF" w:rsidP="006B7F75">
      <w:pPr>
        <w:pStyle w:val="ListBullet"/>
      </w:pPr>
      <w:r w:rsidRPr="00E230CF">
        <w:t xml:space="preserve">High ocular </w:t>
      </w:r>
      <w:r w:rsidRPr="00B23769">
        <w:t>besifloxacin</w:t>
      </w:r>
      <w:r w:rsidRPr="00E230CF">
        <w:t xml:space="preserve"> concentrations with high bacterial eradication, </w:t>
      </w:r>
      <w:r w:rsidRPr="006B7F75">
        <w:t>even</w:t>
      </w:r>
      <w:r w:rsidRPr="00E230CF">
        <w:t xml:space="preserve"> among bacteria considered resistant by </w:t>
      </w:r>
      <w:r w:rsidRPr="00FB482B">
        <w:rPr>
          <w:i/>
        </w:rPr>
        <w:t>in vitro</w:t>
      </w:r>
      <w:r w:rsidRPr="00E230CF">
        <w:t xml:space="preserve"> assessments;</w:t>
      </w:r>
    </w:p>
    <w:p w:rsidR="00E230CF" w:rsidRPr="00E230CF" w:rsidRDefault="00E230CF" w:rsidP="006B7F75">
      <w:pPr>
        <w:pStyle w:val="ListBullet"/>
      </w:pPr>
      <w:r w:rsidRPr="00E230CF">
        <w:t xml:space="preserve">Systemic exposure </w:t>
      </w:r>
      <w:r w:rsidRPr="00B23769">
        <w:t>very</w:t>
      </w:r>
      <w:r w:rsidRPr="00E230CF">
        <w:t xml:space="preserve"> low compared to orally administered quinolones;</w:t>
      </w:r>
    </w:p>
    <w:p w:rsidR="00E230CF" w:rsidRPr="00E230CF" w:rsidRDefault="00E230CF" w:rsidP="006B7F75">
      <w:pPr>
        <w:pStyle w:val="ListBullet"/>
      </w:pPr>
      <w:r w:rsidRPr="00E230CF">
        <w:t>Risk of overgrowth of non</w:t>
      </w:r>
      <w:r w:rsidR="002E3F46">
        <w:t xml:space="preserve"> </w:t>
      </w:r>
      <w:r w:rsidRPr="00E230CF">
        <w:t>susceptible organisms resulting from prolonged use unlikely with restriction of the labelled use to 7 days;</w:t>
      </w:r>
    </w:p>
    <w:p w:rsidR="00E230CF" w:rsidRPr="00E230CF" w:rsidRDefault="00E230CF" w:rsidP="006B7F75">
      <w:pPr>
        <w:pStyle w:val="ListBullet"/>
      </w:pPr>
      <w:r w:rsidRPr="00E230CF">
        <w:t xml:space="preserve">No systemic </w:t>
      </w:r>
      <w:r w:rsidRPr="00B23769">
        <w:t>counterparts</w:t>
      </w:r>
      <w:r w:rsidRPr="00E230CF">
        <w:t xml:space="preserve">, theoretically eliminating the contribution of </w:t>
      </w:r>
      <w:r w:rsidRPr="006B7F75">
        <w:t>systemic</w:t>
      </w:r>
      <w:r w:rsidRPr="00E230CF">
        <w:t xml:space="preserve"> use to the emergence of resistance although cross</w:t>
      </w:r>
      <w:r w:rsidR="002E3F46">
        <w:t xml:space="preserve"> </w:t>
      </w:r>
      <w:r w:rsidRPr="00E230CF">
        <w:t>resistance amongst</w:t>
      </w:r>
      <w:r w:rsidR="00B23769">
        <w:t xml:space="preserve"> quinolones is well recognised.</w:t>
      </w:r>
    </w:p>
    <w:p w:rsidR="00E230CF" w:rsidRPr="00E230CF" w:rsidRDefault="00E230CF" w:rsidP="006B7F75">
      <w:r w:rsidRPr="00E230CF">
        <w:t xml:space="preserve">The </w:t>
      </w:r>
      <w:r>
        <w:t>s</w:t>
      </w:r>
      <w:r w:rsidRPr="00E230CF">
        <w:t>ponsor of this drug has undertaken, since 2009, annual prospective surveillance of antibiotic re</w:t>
      </w:r>
      <w:r w:rsidR="00167157">
        <w:t>sistance of ocular isolates, that is,</w:t>
      </w:r>
      <w:r w:rsidRPr="00E230CF">
        <w:t xml:space="preserve"> </w:t>
      </w:r>
      <w:r w:rsidR="00167157">
        <w:t>A</w:t>
      </w:r>
      <w:r w:rsidRPr="00E230CF">
        <w:t xml:space="preserve">RMOR in the USA. MIC values of besifloxacin during ARMOR 2009 and ARMOR 2010 remained stable. The only organism with significant resistance was </w:t>
      </w:r>
      <w:r w:rsidRPr="00167157">
        <w:rPr>
          <w:i/>
        </w:rPr>
        <w:t>Pseudomonas aeruginosa</w:t>
      </w:r>
      <w:r w:rsidRPr="00E230CF">
        <w:t xml:space="preserve"> (PA).</w:t>
      </w:r>
      <w:r w:rsidR="004D5AF2">
        <w:t xml:space="preserve"> </w:t>
      </w:r>
      <w:r w:rsidRPr="00E230CF">
        <w:t xml:space="preserve">This application </w:t>
      </w:r>
      <w:r w:rsidR="00167157">
        <w:t>does not seek to use Besivance</w:t>
      </w:r>
      <w:r w:rsidRPr="00E230CF">
        <w:t xml:space="preserve"> for this organism.</w:t>
      </w:r>
    </w:p>
    <w:p w:rsidR="00E230CF" w:rsidRPr="006B7F75" w:rsidRDefault="00E230CF" w:rsidP="006B7F75">
      <w:pPr>
        <w:pStyle w:val="Heading4"/>
      </w:pPr>
      <w:r w:rsidRPr="00E230CF">
        <w:t>Efficacy</w:t>
      </w:r>
    </w:p>
    <w:p w:rsidR="00E230CF" w:rsidRPr="00E230CF" w:rsidRDefault="00E230CF" w:rsidP="00F240B7">
      <w:r w:rsidRPr="00E230CF">
        <w:t xml:space="preserve">There are </w:t>
      </w:r>
      <w:r w:rsidR="00940BA7">
        <w:t>three</w:t>
      </w:r>
      <w:r w:rsidRPr="00E230CF">
        <w:t xml:space="preserve"> pivotal efficacy studies:</w:t>
      </w:r>
      <w:r w:rsidR="004D5AF2">
        <w:t xml:space="preserve"> </w:t>
      </w:r>
      <w:r w:rsidRPr="00E230CF">
        <w:t>373 (Phase II)</w:t>
      </w:r>
      <w:r w:rsidR="00940BA7">
        <w:t>,</w:t>
      </w:r>
      <w:r w:rsidRPr="00E230CF">
        <w:t xml:space="preserve"> 433 (Phase III) and 434 (Phase III).</w:t>
      </w:r>
    </w:p>
    <w:p w:rsidR="00E230CF" w:rsidRPr="00E230CF" w:rsidRDefault="00E230CF" w:rsidP="00F240B7">
      <w:r w:rsidRPr="00E230CF">
        <w:t>The studies all had a multicentre, randomised, double masked, parallel group design. In Study 373 and 433 besifloxacin was compared to its vehicle with a superiority analysis.</w:t>
      </w:r>
      <w:r w:rsidR="005B4953">
        <w:t xml:space="preserve"> </w:t>
      </w:r>
      <w:r w:rsidRPr="00E230CF">
        <w:t>In Study 434 besifloxacin was compared to moxifloxacin ophthalmic solution with a</w:t>
      </w:r>
      <w:r w:rsidR="005B4953">
        <w:t xml:space="preserve"> </w:t>
      </w:r>
      <w:r w:rsidR="00940BA7">
        <w:t xml:space="preserve">non </w:t>
      </w:r>
      <w:r w:rsidRPr="00E230CF">
        <w:t>inferiority analysis. The primary objectives of these studies were to assess clinical resolution and microbiological eradication of baseline bacterial infection, in adults and children one year of age and older with clinical evidence of bacterial co</w:t>
      </w:r>
      <w:r w:rsidR="00784911">
        <w:t>njunctivitis in at least 1 eye.</w:t>
      </w:r>
    </w:p>
    <w:p w:rsidR="00E230CF" w:rsidRPr="00E230CF" w:rsidRDefault="00E230CF" w:rsidP="00F240B7">
      <w:r w:rsidRPr="00E230CF">
        <w:t>The primary efficacy analyses were undertaken in patients who were randomised to treatment, received at least 1 drop of study drug and had culture confirmed bacterial conjunctivitis.</w:t>
      </w:r>
    </w:p>
    <w:p w:rsidR="00E230CF" w:rsidRPr="00E230CF" w:rsidRDefault="00E230CF" w:rsidP="00F240B7">
      <w:r w:rsidRPr="00E230CF">
        <w:t>In Study 373, a total of 270 subjects were randomised and a total of 118 were included in the ITT population. Baseline demographics, ocular history and medical history were similar between treatment groups. 82.5% were Caucasian and 60.2% female and mean age 34.2 years.</w:t>
      </w:r>
      <w:r w:rsidR="004D5AF2">
        <w:t xml:space="preserve"> </w:t>
      </w:r>
      <w:r w:rsidR="00A46546">
        <w:t>The clinical evaluation report</w:t>
      </w:r>
      <w:r w:rsidRPr="00E230CF">
        <w:t xml:space="preserve"> states that </w:t>
      </w:r>
      <w:r w:rsidR="00812305">
        <w:t>b</w:t>
      </w:r>
      <w:r w:rsidRPr="00E230CF">
        <w:t>acterial eradication occurred in 88.3% (53/60) of patie</w:t>
      </w:r>
      <w:r w:rsidR="00DA37F9">
        <w:t>nts in the besifloxacin group versus</w:t>
      </w:r>
      <w:r w:rsidR="003D30E3">
        <w:t xml:space="preserve"> 60.3% (35/58) of vehicle </w:t>
      </w:r>
      <w:r w:rsidRPr="00E230CF">
        <w:t xml:space="preserve">treated subjects (p&lt;0.001)(at </w:t>
      </w:r>
      <w:r w:rsidR="003D30E3">
        <w:t>V</w:t>
      </w:r>
      <w:r w:rsidRPr="00E230CF">
        <w:t xml:space="preserve">isit 3 </w:t>
      </w:r>
      <w:r w:rsidR="003D30E3">
        <w:t>on D</w:t>
      </w:r>
      <w:r w:rsidRPr="00E230CF">
        <w:t xml:space="preserve">ay 8). Clinical resolution at </w:t>
      </w:r>
      <w:r w:rsidR="00F641E7">
        <w:t>V</w:t>
      </w:r>
      <w:r w:rsidRPr="00E230CF">
        <w:t>isit 3 (</w:t>
      </w:r>
      <w:r w:rsidR="00F641E7">
        <w:t>D</w:t>
      </w:r>
      <w:r w:rsidRPr="00E230CF">
        <w:t>ay 8) was reported in 73.3% (44/60) of besifloxacin</w:t>
      </w:r>
      <w:r w:rsidR="00F641E7">
        <w:t xml:space="preserve"> </w:t>
      </w:r>
      <w:r w:rsidRPr="00E230CF">
        <w:t>treated subjects with culture</w:t>
      </w:r>
      <w:r w:rsidR="00F641E7">
        <w:t xml:space="preserve"> confirmed conjunctivitis versus</w:t>
      </w:r>
      <w:r w:rsidRPr="00E230CF">
        <w:t xml:space="preserve"> 43.1 % (25/58) of vehicle subjects (p</w:t>
      </w:r>
      <w:r w:rsidR="00DD5000">
        <w:t xml:space="preserve"> </w:t>
      </w:r>
      <w:r w:rsidRPr="00E230CF">
        <w:t>&lt;</w:t>
      </w:r>
      <w:r w:rsidR="00DD5000">
        <w:t xml:space="preserve"> </w:t>
      </w:r>
      <w:r w:rsidRPr="00E230CF">
        <w:t xml:space="preserve">0.001). At </w:t>
      </w:r>
      <w:r w:rsidR="00885A1A">
        <w:t>V</w:t>
      </w:r>
      <w:r w:rsidRPr="00E230CF">
        <w:t>isit 2 (Day 4</w:t>
      </w:r>
      <w:r w:rsidR="00885A1A">
        <w:t xml:space="preserve"> </w:t>
      </w:r>
      <w:r w:rsidRPr="00E230CF">
        <w:t>±</w:t>
      </w:r>
      <w:r w:rsidR="00885A1A">
        <w:t xml:space="preserve"> </w:t>
      </w:r>
      <w:r w:rsidRPr="00E230CF">
        <w:t xml:space="preserve">1 </w:t>
      </w:r>
      <w:r w:rsidRPr="00E230CF">
        <w:lastRenderedPageBreak/>
        <w:t>day), rates of clinical resolution between besifloxacin and vehicle groups were not statistically significant, with some differences in timing and criteria for clinical resolution compared to the other two studies.</w:t>
      </w:r>
    </w:p>
    <w:p w:rsidR="00E230CF" w:rsidRPr="00E230CF" w:rsidRDefault="00E230CF" w:rsidP="00F240B7">
      <w:r w:rsidRPr="00E230CF">
        <w:t>In Study 433, a total of 957 subjects were randomised. The mITT population was all subjects in ITT population who culture confirmed bacterial conjunctivitis which included</w:t>
      </w:r>
      <w:r w:rsidR="004D5AF2">
        <w:t xml:space="preserve"> </w:t>
      </w:r>
      <w:r w:rsidRPr="00E230CF">
        <w:t>199 subjects who received besifloxacin and 191 who received vehicle.</w:t>
      </w:r>
      <w:r w:rsidR="005B4953">
        <w:t xml:space="preserve"> </w:t>
      </w:r>
      <w:r w:rsidRPr="00E230CF">
        <w:t>Demographics were generally similar between treatment groups. The majority of the ITT population were white (65.7%) and females (63.6%) with a mean age of 27.3 years. Children less than 2 yea</w:t>
      </w:r>
      <w:r w:rsidR="005A4E24">
        <w:t>rs of age comprised 4.3% (n = 20)</w:t>
      </w:r>
      <w:r w:rsidRPr="00E230CF">
        <w:t xml:space="preserve">. </w:t>
      </w:r>
      <w:r w:rsidR="005A4E24">
        <w:t>The clinical evaluation report</w:t>
      </w:r>
      <w:r w:rsidRPr="00E230CF">
        <w:t xml:space="preserve"> states bacterial eradication occurred in 91.5% (182/199) of patients in the besifloxacin group versus 59.7% (114/191) of vehicle</w:t>
      </w:r>
      <w:r w:rsidR="00127854">
        <w:t xml:space="preserve"> </w:t>
      </w:r>
      <w:r w:rsidRPr="00E230CF">
        <w:t>treated patients (p &lt; 0.0001) (at Visit 2, Day 5) . Clinical resolution occurred in 45.2% (90/199) of besifloxacin</w:t>
      </w:r>
      <w:r w:rsidR="00127854">
        <w:t xml:space="preserve"> </w:t>
      </w:r>
      <w:r w:rsidRPr="00E230CF">
        <w:t>treated patients with cult</w:t>
      </w:r>
      <w:r w:rsidR="00127854">
        <w:t>ure confirmed conjunctivitis versus</w:t>
      </w:r>
      <w:r w:rsidRPr="00E230CF">
        <w:t xml:space="preserve"> 33.0% (63/191) of patients receiving vehicle (p = 0.0084) at Visit 3 Day 8. Results for secondary clinical and microbi</w:t>
      </w:r>
      <w:r w:rsidR="009F6E34">
        <w:t>al endpoints are included in the clinical evaluation report.</w:t>
      </w:r>
    </w:p>
    <w:p w:rsidR="00E230CF" w:rsidRPr="00E230CF" w:rsidRDefault="00E230CF" w:rsidP="00F240B7">
      <w:r w:rsidRPr="00E230CF">
        <w:t>In Study 434, a total of 1161 subjects were randomised. The mITT population included all subjects in ITT population who culture confirmed bacterial conjunctivitis which</w:t>
      </w:r>
      <w:r w:rsidR="004D5AF2">
        <w:t xml:space="preserve"> </w:t>
      </w:r>
      <w:r w:rsidRPr="00E230CF">
        <w:t>included</w:t>
      </w:r>
      <w:r w:rsidR="004D5AF2">
        <w:t xml:space="preserve"> </w:t>
      </w:r>
      <w:r w:rsidRPr="00E230CF">
        <w:t>255 subjects who received besifloxacin and 278 who received moxifloxacin. Demographics were generally similar between treatment groups. The majority of the ITT population were white (67%) and females (57%) with a mean age of 35.1 years. Children less than 2 years of age comprised 3.2% (n</w:t>
      </w:r>
      <w:r w:rsidR="00DD5000">
        <w:t xml:space="preserve"> </w:t>
      </w:r>
      <w:r w:rsidRPr="00E230CF">
        <w:t>=</w:t>
      </w:r>
      <w:r w:rsidR="00DD5000">
        <w:t xml:space="preserve"> </w:t>
      </w:r>
      <w:r w:rsidRPr="00E230CF">
        <w:t>37).</w:t>
      </w:r>
      <w:r w:rsidR="004D5AF2">
        <w:t xml:space="preserve"> </w:t>
      </w:r>
      <w:r w:rsidRPr="00E230CF">
        <w:t>Children aged 2 to 9 years comprised 15.6% (n</w:t>
      </w:r>
      <w:r w:rsidR="00DD5000">
        <w:t xml:space="preserve"> </w:t>
      </w:r>
      <w:r w:rsidRPr="00E230CF">
        <w:t>=</w:t>
      </w:r>
      <w:r w:rsidR="00DD5000">
        <w:t xml:space="preserve"> </w:t>
      </w:r>
      <w:r w:rsidRPr="00E230CF">
        <w:t>181) and the 10 to 19 year comprised 13.4% (n</w:t>
      </w:r>
      <w:r w:rsidR="00DD5000">
        <w:t xml:space="preserve"> </w:t>
      </w:r>
      <w:r w:rsidRPr="00E230CF">
        <w:t>=</w:t>
      </w:r>
      <w:r w:rsidR="00DD5000">
        <w:t xml:space="preserve"> </w:t>
      </w:r>
      <w:r w:rsidRPr="00E230CF">
        <w:t xml:space="preserve">156). </w:t>
      </w:r>
      <w:r w:rsidR="00F1665A">
        <w:t>The clinical evaluation report</w:t>
      </w:r>
      <w:r w:rsidRPr="00E230CF">
        <w:t xml:space="preserve"> states clinical resolution at the primary analysis visit (Day 5) occurred in 58.3% and 59.4% of patients (besifloxacin and moxifloxacin, respectively; p = 0.652; 95% CI, -9.48% to 7.29%), and bacterial eradication occurred in 93.3% and 91.1% (besifloxacin and moxifloxacin, respectively; p = 0.1238;</w:t>
      </w:r>
      <w:r w:rsidR="004D5AF2">
        <w:t xml:space="preserve"> </w:t>
      </w:r>
      <w:r w:rsidRPr="00E230CF">
        <w:t>95% CI, - 2.44% to 6.74%). The non</w:t>
      </w:r>
      <w:r w:rsidR="00EC2BBE">
        <w:t xml:space="preserve"> </w:t>
      </w:r>
      <w:r w:rsidRPr="00E230CF">
        <w:t>inferiority margin was 15% and</w:t>
      </w:r>
      <w:r w:rsidR="004D5AF2">
        <w:t xml:space="preserve"> </w:t>
      </w:r>
      <w:r w:rsidRPr="00E230CF">
        <w:t>non</w:t>
      </w:r>
      <w:r w:rsidR="00EC2BBE">
        <w:t xml:space="preserve"> </w:t>
      </w:r>
      <w:r w:rsidRPr="00E230CF">
        <w:t>inferiority of besifloxacin to moxifloxacin for bacterial conjunctivitis was confirmed for both the clinical and bacterial eradication endpoints.</w:t>
      </w:r>
      <w:r w:rsidR="004D5AF2">
        <w:t xml:space="preserve"> </w:t>
      </w:r>
      <w:r w:rsidRPr="00E230CF">
        <w:t>Results for secondary clinical</w:t>
      </w:r>
      <w:r w:rsidR="004D5AF2">
        <w:t xml:space="preserve"> </w:t>
      </w:r>
      <w:r w:rsidRPr="00E230CF">
        <w:t xml:space="preserve">endpoints are included in </w:t>
      </w:r>
      <w:r w:rsidR="00153B45">
        <w:t>the clinical evaluation report.</w:t>
      </w:r>
    </w:p>
    <w:p w:rsidR="00E230CF" w:rsidRPr="00E230CF" w:rsidRDefault="00E230CF" w:rsidP="00F240B7">
      <w:r w:rsidRPr="00E230CF">
        <w:t>There were 699 isolates from species</w:t>
      </w:r>
      <w:r w:rsidR="00D4024E">
        <w:t xml:space="preserve"> </w:t>
      </w:r>
      <w:r w:rsidRPr="00E230CF">
        <w:t>specific study eyes from the 533 culture</w:t>
      </w:r>
      <w:r w:rsidR="00D4024E">
        <w:t xml:space="preserve"> </w:t>
      </w:r>
      <w:r w:rsidRPr="00E230CF">
        <w:t xml:space="preserve">confirmed subjects. Of these 699 isolates, 86.4% were from U.S. subjects and 13.6% from Asian subjects. Most frequent organisms were: </w:t>
      </w:r>
      <w:r w:rsidRPr="00D4024E">
        <w:rPr>
          <w:i/>
        </w:rPr>
        <w:t>Haemophilus influenzae</w:t>
      </w:r>
      <w:r w:rsidRPr="00E230CF">
        <w:t xml:space="preserve"> seen in 169 isolates (24.2%), </w:t>
      </w:r>
      <w:r w:rsidRPr="00D4024E">
        <w:rPr>
          <w:i/>
        </w:rPr>
        <w:t>Streptococcus pneumoniae</w:t>
      </w:r>
      <w:r w:rsidRPr="00E230CF">
        <w:t xml:space="preserve"> (122, 17.5%), </w:t>
      </w:r>
      <w:r w:rsidRPr="00D4024E">
        <w:rPr>
          <w:i/>
        </w:rPr>
        <w:t>Staphylococcus aureus</w:t>
      </w:r>
      <w:r w:rsidRPr="00E230CF">
        <w:t xml:space="preserve"> (115, 16.5%), </w:t>
      </w:r>
      <w:r w:rsidRPr="00D4024E">
        <w:rPr>
          <w:i/>
        </w:rPr>
        <w:t>Staphylococcus epidermidis</w:t>
      </w:r>
      <w:r w:rsidRPr="00E230CF">
        <w:t xml:space="preserve"> (70, 10.0%) and </w:t>
      </w:r>
      <w:r w:rsidRPr="00D4024E">
        <w:rPr>
          <w:i/>
        </w:rPr>
        <w:t>Streptococcus mitis</w:t>
      </w:r>
      <w:r w:rsidRPr="00E230CF">
        <w:t xml:space="preserve"> group (25, 3.6%). Overall, the sensitivity of the pathogens obtained from subjects in the besifloxacin treatment group was similar to those obtained from subject in the moxifloxacin treatment group. In analysis of microbiological failures</w:t>
      </w:r>
      <w:r w:rsidR="00186A74">
        <w:t>,</w:t>
      </w:r>
      <w:r w:rsidRPr="00E230CF">
        <w:t xml:space="preserve"> none of the concordant isolate pairs showed an increase in MIC for besifloxacin or</w:t>
      </w:r>
      <w:r w:rsidR="00D4024E">
        <w:t xml:space="preserve"> moxifloxacin greater than one 2 </w:t>
      </w:r>
      <w:r w:rsidRPr="00E230CF">
        <w:t xml:space="preserve">fold dilution. </w:t>
      </w:r>
      <w:r w:rsidR="007C7C78">
        <w:t>An attachment</w:t>
      </w:r>
      <w:r>
        <w:t xml:space="preserve"> “</w:t>
      </w:r>
      <w:r w:rsidRPr="00E230CF">
        <w:t>M434 Summary of Outcomes and MICs for Key Organisms in Besifloxacin and Moxifloxacin Treatment Groups” has been added as it is relevant to cons</w:t>
      </w:r>
      <w:r w:rsidR="00D4024E">
        <w:t>i</w:t>
      </w:r>
      <w:r w:rsidRPr="00E230CF">
        <w:t xml:space="preserve">deration of the bacterial species proposed for inclusion in </w:t>
      </w:r>
      <w:r w:rsidR="00A526A0">
        <w:t>‘</w:t>
      </w:r>
      <w:r w:rsidRPr="00E230CF">
        <w:t>Indications</w:t>
      </w:r>
      <w:r w:rsidR="00A526A0">
        <w:t>’</w:t>
      </w:r>
      <w:r w:rsidR="00784911">
        <w:t>.</w:t>
      </w:r>
    </w:p>
    <w:p w:rsidR="00E230CF" w:rsidRPr="00E230CF" w:rsidRDefault="00E230CF" w:rsidP="00F240B7">
      <w:r w:rsidRPr="00E230CF">
        <w:t xml:space="preserve">Efficacy in subpopulations is discussed </w:t>
      </w:r>
      <w:r w:rsidR="00186A74">
        <w:t>in the clinical evaluation report</w:t>
      </w:r>
      <w:r w:rsidRPr="00E230CF">
        <w:t>. Clinical resolution rates in males tende</w:t>
      </w:r>
      <w:r w:rsidR="00784911">
        <w:t>d to be lower than for females.</w:t>
      </w:r>
    </w:p>
    <w:p w:rsidR="00F765EE" w:rsidRPr="00F240B7" w:rsidRDefault="00E230CF" w:rsidP="00F240B7">
      <w:pPr>
        <w:pStyle w:val="Heading4"/>
      </w:pPr>
      <w:r w:rsidRPr="00F240B7">
        <w:t>Sa</w:t>
      </w:r>
      <w:r w:rsidR="00F765EE" w:rsidRPr="00F240B7">
        <w:t>fety</w:t>
      </w:r>
    </w:p>
    <w:p w:rsidR="00E230CF" w:rsidRPr="00E230CF" w:rsidRDefault="00E230CF" w:rsidP="00F240B7">
      <w:r w:rsidRPr="00E230CF">
        <w:t>Study</w:t>
      </w:r>
      <w:r w:rsidR="004D5AF2">
        <w:t xml:space="preserve"> </w:t>
      </w:r>
      <w:r w:rsidRPr="00E230CF">
        <w:t>C-02-403-001, 507, ROC2-05-070, 373, 433 and 434 provided evaluable safety data. C-02-403-001, 507 and ROC2-05-070 assessed safety as a primary outcome.</w:t>
      </w:r>
    </w:p>
    <w:p w:rsidR="00E230CF" w:rsidRPr="00E230CF" w:rsidRDefault="00E230CF" w:rsidP="00F240B7">
      <w:r w:rsidRPr="00E230CF">
        <w:t xml:space="preserve">Overall, 1445 subjects received besifloxacin (0.3% or 0.6%), 644 subjects received Vehicle, and 598 subjects received the comparator drug moxifloxacin. Of the 1445 subjects receiving besifloxacin ophthalmic suspension, 1433 received the 0.6% concentration. </w:t>
      </w:r>
      <w:r w:rsidRPr="00E230CF">
        <w:lastRenderedPageBreak/>
        <w:t>Duration of dosing for those receiving the proposed concentration ranged from one day (one drop) to 7 days.</w:t>
      </w:r>
    </w:p>
    <w:p w:rsidR="00E230CF" w:rsidRPr="00E230CF" w:rsidRDefault="00E230CF" w:rsidP="00F240B7">
      <w:r w:rsidRPr="00E230CF">
        <w:t>An integrated analysis of safety was presented for Studies 373, 433 and 434.</w:t>
      </w:r>
      <w:r w:rsidR="005B4953">
        <w:t xml:space="preserve"> </w:t>
      </w:r>
      <w:r w:rsidRPr="00E230CF">
        <w:t>For Treatment</w:t>
      </w:r>
      <w:r w:rsidR="00F40BEF">
        <w:t xml:space="preserve"> e</w:t>
      </w:r>
      <w:r w:rsidRPr="00E230CF">
        <w:t xml:space="preserve">mergent, </w:t>
      </w:r>
      <w:r w:rsidR="00F40BEF">
        <w:t>non o</w:t>
      </w:r>
      <w:r w:rsidRPr="00E230CF">
        <w:t xml:space="preserve">cular </w:t>
      </w:r>
      <w:r w:rsidR="00F40BEF">
        <w:t>AEs</w:t>
      </w:r>
      <w:r w:rsidRPr="00E230CF">
        <w:t>, headache was the most common AE in all treatment groups.</w:t>
      </w:r>
      <w:r w:rsidR="004D5AF2">
        <w:t xml:space="preserve"> </w:t>
      </w:r>
      <w:r w:rsidR="00236628">
        <w:t xml:space="preserve">There were </w:t>
      </w:r>
      <w:r w:rsidRPr="00E230CF">
        <w:t xml:space="preserve">21/1192 (1.8%) subjects treated with besifloxacin ophthalmic suspension </w:t>
      </w:r>
      <w:r w:rsidR="002976D2">
        <w:t xml:space="preserve">that </w:t>
      </w:r>
      <w:r w:rsidRPr="00E230CF">
        <w:t>reported headaches. A total of 11 of the 616 (1.8%) subjects treated with vehicle reported headaches. A total of 9 of the 579 (1.6%) subjects in the moxifloxacin treatment group reported headaches. The majority of headaches were mild and assessed as unrelated or unlikely related to study drug.</w:t>
      </w:r>
    </w:p>
    <w:p w:rsidR="00E230CF" w:rsidRPr="00E230CF" w:rsidRDefault="00E230CF" w:rsidP="00F240B7">
      <w:r w:rsidRPr="00E230CF">
        <w:t>Treatment</w:t>
      </w:r>
      <w:r w:rsidR="00E84FC7">
        <w:t xml:space="preserve"> emergent, o</w:t>
      </w:r>
      <w:r w:rsidRPr="00E230CF">
        <w:t xml:space="preserve">cular </w:t>
      </w:r>
      <w:r w:rsidR="00A526A0">
        <w:t>AEs</w:t>
      </w:r>
      <w:r w:rsidRPr="00E230CF">
        <w:t xml:space="preserve"> are summarised in </w:t>
      </w:r>
      <w:r w:rsidR="00775D26">
        <w:t>the clinical evaluation report</w:t>
      </w:r>
      <w:r w:rsidRPr="00E230CF">
        <w:t>.</w:t>
      </w:r>
      <w:r w:rsidR="005B4953">
        <w:t xml:space="preserve"> </w:t>
      </w:r>
      <w:r w:rsidRPr="00E230CF">
        <w:t>A total of 13.8 % (249/1810) of eyes in the besifloxacin group had at least 1 ocular AE, 19.8% (190/961) of eyes in the vehicle treatment group and, 14.0% (120/855) of eyes in the moxifloxacin treatment group each experienced at least 1 ocular AE.</w:t>
      </w:r>
    </w:p>
    <w:p w:rsidR="00E230CF" w:rsidRPr="00E230CF" w:rsidRDefault="00E230CF" w:rsidP="00F240B7">
      <w:r w:rsidRPr="00E230CF">
        <w:t>The most prevalent ocular AEs were consistent with the underlying oc</w:t>
      </w:r>
      <w:r w:rsidR="00E24F3B">
        <w:t xml:space="preserve">ular disease being studied, that is, </w:t>
      </w:r>
      <w:r w:rsidRPr="00E230CF">
        <w:t xml:space="preserve">bacterial conjuctivitis. Five ocular </w:t>
      </w:r>
      <w:proofErr w:type="gramStart"/>
      <w:r w:rsidRPr="00E230CF">
        <w:t>AEs,</w:t>
      </w:r>
      <w:proofErr w:type="gramEnd"/>
      <w:r w:rsidRPr="00E230CF">
        <w:t xml:space="preserve"> were reported at statistically different rates between the besifloxacin an</w:t>
      </w:r>
      <w:r w:rsidR="00BD683D">
        <w:t>d vehicle treatment groups:</w:t>
      </w:r>
    </w:p>
    <w:p w:rsidR="00E230CF" w:rsidRPr="00E230CF" w:rsidRDefault="00E230CF" w:rsidP="00F240B7">
      <w:pPr>
        <w:pStyle w:val="ListBullet"/>
      </w:pPr>
      <w:r w:rsidRPr="00784911">
        <w:t>Conjunctivitis</w:t>
      </w:r>
      <w:r w:rsidRPr="00E230CF">
        <w:t xml:space="preserve"> and </w:t>
      </w:r>
      <w:r w:rsidRPr="00F240B7">
        <w:t>blurred</w:t>
      </w:r>
      <w:r w:rsidRPr="00E230CF">
        <w:t xml:space="preserve"> vision were reported at lower rates in the e</w:t>
      </w:r>
      <w:r w:rsidR="00613F28">
        <w:t>yes treated with besifloxacin versus</w:t>
      </w:r>
      <w:r w:rsidRPr="00E230CF">
        <w:t xml:space="preserve"> vehicle, p</w:t>
      </w:r>
      <w:r w:rsidR="00613F28">
        <w:t xml:space="preserve"> </w:t>
      </w:r>
      <w:r w:rsidRPr="00E230CF">
        <w:t>=</w:t>
      </w:r>
      <w:r w:rsidR="00613F28">
        <w:t xml:space="preserve"> </w:t>
      </w:r>
      <w:r w:rsidRPr="00E230CF">
        <w:t>0.0223 and p</w:t>
      </w:r>
      <w:r w:rsidR="00613F28">
        <w:t xml:space="preserve"> </w:t>
      </w:r>
      <w:r w:rsidRPr="00E230CF">
        <w:t>=</w:t>
      </w:r>
      <w:r w:rsidR="00613F28">
        <w:t xml:space="preserve"> </w:t>
      </w:r>
      <w:r w:rsidRPr="00E230CF">
        <w:t>0.0035, respectively;</w:t>
      </w:r>
    </w:p>
    <w:p w:rsidR="00E230CF" w:rsidRPr="00E230CF" w:rsidRDefault="00E230CF" w:rsidP="00F240B7">
      <w:pPr>
        <w:pStyle w:val="ListBullet"/>
      </w:pPr>
      <w:r w:rsidRPr="00784911">
        <w:t>Eye</w:t>
      </w:r>
      <w:r w:rsidRPr="00E230CF">
        <w:t xml:space="preserve"> irritation and </w:t>
      </w:r>
      <w:r w:rsidRPr="00F240B7">
        <w:t>increased</w:t>
      </w:r>
      <w:r w:rsidRPr="00E230CF">
        <w:t xml:space="preserve"> lacrimation were reported at lower rates in eyes treated with besifloxacin </w:t>
      </w:r>
      <w:r w:rsidR="008E3B26">
        <w:t>versus</w:t>
      </w:r>
      <w:r w:rsidR="008E3B26" w:rsidRPr="00E230CF">
        <w:t xml:space="preserve"> </w:t>
      </w:r>
      <w:r w:rsidRPr="00E230CF">
        <w:t>vehicle, p</w:t>
      </w:r>
      <w:r w:rsidR="00613F28">
        <w:t xml:space="preserve"> </w:t>
      </w:r>
      <w:r w:rsidRPr="00E230CF">
        <w:t>=</w:t>
      </w:r>
      <w:r w:rsidR="00613F28">
        <w:t xml:space="preserve"> </w:t>
      </w:r>
      <w:r w:rsidRPr="00E230CF">
        <w:t>0.0187 and p</w:t>
      </w:r>
      <w:r w:rsidR="00613F28">
        <w:t xml:space="preserve"> </w:t>
      </w:r>
      <w:r w:rsidRPr="00E230CF">
        <w:t>=</w:t>
      </w:r>
      <w:r w:rsidR="00613F28">
        <w:t xml:space="preserve"> </w:t>
      </w:r>
      <w:r w:rsidRPr="00E230CF">
        <w:t>0.0085</w:t>
      </w:r>
      <w:r w:rsidR="00E60129">
        <w:t>,</w:t>
      </w:r>
      <w:r w:rsidRPr="00E230CF">
        <w:t xml:space="preserve"> respectively;</w:t>
      </w:r>
    </w:p>
    <w:p w:rsidR="00E230CF" w:rsidRPr="00E230CF" w:rsidRDefault="00E230CF" w:rsidP="00F240B7">
      <w:pPr>
        <w:pStyle w:val="ListBullet"/>
      </w:pPr>
      <w:r w:rsidRPr="00784911">
        <w:t>Viral</w:t>
      </w:r>
      <w:r w:rsidRPr="00E230CF">
        <w:t xml:space="preserve"> conjunctivitis was reported in eyes treated with besifloxacin ophthalmic suspension whereas it was not reported for vehicle treated eyes (p</w:t>
      </w:r>
      <w:r w:rsidR="00E60129">
        <w:t xml:space="preserve"> </w:t>
      </w:r>
      <w:r w:rsidRPr="00E230CF">
        <w:t>=</w:t>
      </w:r>
      <w:r w:rsidR="00E60129">
        <w:t xml:space="preserve"> </w:t>
      </w:r>
      <w:r w:rsidRPr="00E230CF">
        <w:t>0.0185).</w:t>
      </w:r>
    </w:p>
    <w:p w:rsidR="00E230CF" w:rsidRPr="00E230CF" w:rsidRDefault="00E230CF" w:rsidP="00F240B7">
      <w:r w:rsidRPr="00E230CF">
        <w:t xml:space="preserve">In Study ROC2-05-070 (besifloxacin ophthalmic suspension </w:t>
      </w:r>
      <w:r w:rsidR="0047126F">
        <w:t>versus</w:t>
      </w:r>
      <w:r w:rsidR="0047126F" w:rsidRPr="00E230CF">
        <w:t xml:space="preserve"> </w:t>
      </w:r>
      <w:r w:rsidRPr="00E230CF">
        <w:t>moxifloxacin), besifloxacin ophthalmic suspension drop resulted in statistically significant worse high contrast/high illumination visual acuity immediately after drop instillation and a longer recovery time to baseline visual acuity (58 seconds) compared to ey</w:t>
      </w:r>
      <w:r w:rsidR="00035813">
        <w:t xml:space="preserve">es that received </w:t>
      </w:r>
      <w:proofErr w:type="gramStart"/>
      <w:r w:rsidR="00035813">
        <w:t>moxifloxacin</w:t>
      </w:r>
      <w:proofErr w:type="gramEnd"/>
      <w:r w:rsidR="00035813">
        <w:t xml:space="preserve"> (</w:t>
      </w:r>
      <w:r w:rsidRPr="00E230CF">
        <w:t>21 seconds). In the larger safety and efficacy studies, blurred vision was reported at a rate of 2.1% for subjects in the besifloxacin group</w:t>
      </w:r>
      <w:r w:rsidR="00035813">
        <w:t>,</w:t>
      </w:r>
      <w:r w:rsidRPr="00E230CF">
        <w:t xml:space="preserve"> and the ma</w:t>
      </w:r>
      <w:r w:rsidR="00784911">
        <w:t>jority of the events were mild.</w:t>
      </w:r>
    </w:p>
    <w:p w:rsidR="00E230CF" w:rsidRPr="00E230CF" w:rsidRDefault="00E230CF" w:rsidP="00F240B7">
      <w:r w:rsidRPr="00E230CF">
        <w:t>In the Phase I study, Study C-02-403-001, no AEs were reported in the 0.3% besifloxacin group, 6 subjects in the vehicle gr</w:t>
      </w:r>
      <w:r w:rsidR="00881A46">
        <w:t xml:space="preserve">oup reported a total of 10 AEs. A total of </w:t>
      </w:r>
      <w:r w:rsidRPr="00E230CF">
        <w:t>2 subjects in the 0.6% besifloxacin group each reported a single AE.</w:t>
      </w:r>
    </w:p>
    <w:p w:rsidR="00E230CF" w:rsidRPr="00E230CF" w:rsidRDefault="007639BD" w:rsidP="00F240B7">
      <w:r>
        <w:t>The clinical evaluation report</w:t>
      </w:r>
      <w:r w:rsidR="00E230CF" w:rsidRPr="00E230CF">
        <w:t xml:space="preserve"> </w:t>
      </w:r>
      <w:r w:rsidR="0079304C">
        <w:t xml:space="preserve">discusses </w:t>
      </w:r>
      <w:r w:rsidR="00E230CF" w:rsidRPr="00E230CF">
        <w:t xml:space="preserve">discontinuations due to </w:t>
      </w:r>
      <w:r w:rsidR="0017319F">
        <w:t>AEs</w:t>
      </w:r>
      <w:r w:rsidR="00E230CF" w:rsidRPr="00E230CF">
        <w:t xml:space="preserve"> in pivotal studies.</w:t>
      </w:r>
      <w:r w:rsidR="00567F26">
        <w:t xml:space="preserve"> </w:t>
      </w:r>
      <w:r w:rsidR="00E230CF" w:rsidRPr="00E230CF">
        <w:t>In Study 373</w:t>
      </w:r>
      <w:r w:rsidR="00C121F7">
        <w:t>,</w:t>
      </w:r>
      <w:r w:rsidR="00E230CF" w:rsidRPr="00E230CF">
        <w:t xml:space="preserve"> </w:t>
      </w:r>
      <w:r w:rsidR="00C121F7">
        <w:t>1</w:t>
      </w:r>
      <w:r w:rsidR="00E230CF" w:rsidRPr="00E230CF">
        <w:t xml:space="preserve"> discontinuation in vehicle group was considered unrelated to study drug. In Study 433</w:t>
      </w:r>
      <w:r w:rsidR="00C121F7">
        <w:t>,</w:t>
      </w:r>
      <w:r w:rsidR="00E230CF" w:rsidRPr="00E230CF">
        <w:t xml:space="preserve"> 4 subjects in besifloxacin and 5 </w:t>
      </w:r>
      <w:proofErr w:type="gramStart"/>
      <w:r w:rsidR="00E230CF" w:rsidRPr="00E230CF">
        <w:t>subject</w:t>
      </w:r>
      <w:proofErr w:type="gramEnd"/>
      <w:r w:rsidR="00E230CF" w:rsidRPr="00E230CF">
        <w:t xml:space="preserve"> in vehicle group discontinued due to </w:t>
      </w:r>
      <w:r w:rsidR="006322BC">
        <w:t>AEs</w:t>
      </w:r>
      <w:r w:rsidR="00E230CF" w:rsidRPr="00E230CF">
        <w:t>.</w:t>
      </w:r>
      <w:r w:rsidR="006322BC">
        <w:t xml:space="preserve"> </w:t>
      </w:r>
      <w:r w:rsidR="00E230CF" w:rsidRPr="00E230CF">
        <w:t>In the besifloxacin group these were</w:t>
      </w:r>
      <w:r w:rsidR="005B4953">
        <w:t xml:space="preserve"> </w:t>
      </w:r>
      <w:r w:rsidR="006C52C5">
        <w:t>worsening conjunctivitis</w:t>
      </w:r>
      <w:r w:rsidR="00E230CF" w:rsidRPr="00E230CF">
        <w:t xml:space="preserve">, </w:t>
      </w:r>
      <w:r w:rsidR="00AF2ABD">
        <w:t>u</w:t>
      </w:r>
      <w:r w:rsidR="00AF2ABD" w:rsidRPr="00AF2ABD">
        <w:t>pp</w:t>
      </w:r>
      <w:r w:rsidR="00AF2ABD">
        <w:t>er respiratory tract infection (</w:t>
      </w:r>
      <w:r w:rsidR="00E230CF" w:rsidRPr="00E230CF">
        <w:t>URTI</w:t>
      </w:r>
      <w:r w:rsidR="00AF2ABD">
        <w:t>)</w:t>
      </w:r>
      <w:r w:rsidR="00E230CF" w:rsidRPr="00E230CF">
        <w:t>, skin rash</w:t>
      </w:r>
      <w:r w:rsidR="006C52C5">
        <w:t>,</w:t>
      </w:r>
      <w:r w:rsidR="00E230CF" w:rsidRPr="00E230CF">
        <w:t xml:space="preserve"> and fellow eye conjunctivitis. In </w:t>
      </w:r>
      <w:r w:rsidR="006C52C5">
        <w:t>S</w:t>
      </w:r>
      <w:r w:rsidR="00E230CF" w:rsidRPr="00E230CF">
        <w:t>tudy 434</w:t>
      </w:r>
      <w:r w:rsidR="00B30095">
        <w:t>,</w:t>
      </w:r>
      <w:r w:rsidR="00E230CF" w:rsidRPr="00E230CF">
        <w:t xml:space="preserve"> 11 (1.9%)</w:t>
      </w:r>
      <w:r w:rsidR="00A14299">
        <w:t xml:space="preserve"> subjects</w:t>
      </w:r>
      <w:r w:rsidR="00E230CF" w:rsidRPr="00E230CF">
        <w:t xml:space="preserve"> in besifloxacin group and 5 (0.9%)</w:t>
      </w:r>
      <w:r w:rsidR="004D5AF2">
        <w:t xml:space="preserve"> </w:t>
      </w:r>
      <w:r w:rsidR="00A14299">
        <w:t xml:space="preserve">subjects </w:t>
      </w:r>
      <w:r w:rsidR="00E230CF" w:rsidRPr="00E230CF">
        <w:t>in moxifloxaci</w:t>
      </w:r>
      <w:r w:rsidR="00784911">
        <w:t>n group discontinued due to AE.</w:t>
      </w:r>
    </w:p>
    <w:p w:rsidR="00E230CF" w:rsidRPr="00E230CF" w:rsidRDefault="00E230CF" w:rsidP="00F240B7">
      <w:r w:rsidRPr="00E230CF">
        <w:t xml:space="preserve">No deaths were reported in pivotal studies. </w:t>
      </w:r>
      <w:r w:rsidR="006E556B">
        <w:t xml:space="preserve">There were </w:t>
      </w:r>
      <w:r w:rsidRPr="00E230CF">
        <w:t>4 SAE</w:t>
      </w:r>
      <w:r w:rsidR="006E556B">
        <w:t>s</w:t>
      </w:r>
      <w:r w:rsidRPr="00E230CF">
        <w:t xml:space="preserve"> </w:t>
      </w:r>
      <w:r w:rsidR="006E556B">
        <w:t>reported</w:t>
      </w:r>
      <w:r w:rsidRPr="00E230CF">
        <w:t>. All</w:t>
      </w:r>
      <w:r w:rsidR="004D5AF2">
        <w:t xml:space="preserve"> </w:t>
      </w:r>
      <w:r w:rsidRPr="00E230CF">
        <w:t>SAE were cons</w:t>
      </w:r>
      <w:r w:rsidR="00784911">
        <w:t>idered unrelated to study drug.</w:t>
      </w:r>
    </w:p>
    <w:p w:rsidR="00E230CF" w:rsidRPr="00E230CF" w:rsidRDefault="00E230CF" w:rsidP="00F240B7">
      <w:r w:rsidRPr="00E230CF">
        <w:t>Laboratory parameters (haematolo</w:t>
      </w:r>
      <w:r w:rsidR="00B02561">
        <w:t xml:space="preserve">gy, blood chemistry, urinalysis, </w:t>
      </w:r>
      <w:proofErr w:type="gramStart"/>
      <w:r w:rsidR="00B02561">
        <w:t>e</w:t>
      </w:r>
      <w:r w:rsidR="00B02561" w:rsidRPr="00B02561">
        <w:t>lectrocardiogram</w:t>
      </w:r>
      <w:proofErr w:type="gramEnd"/>
      <w:r w:rsidRPr="00E230CF">
        <w:t xml:space="preserve">) were only measured in Phase </w:t>
      </w:r>
      <w:r w:rsidR="00D62409">
        <w:t>I</w:t>
      </w:r>
      <w:r w:rsidRPr="00E230CF">
        <w:t xml:space="preserve"> Study C-0204030001 with </w:t>
      </w:r>
      <w:r w:rsidR="00784911">
        <w:t>no treatment emergent findings.</w:t>
      </w:r>
    </w:p>
    <w:p w:rsidR="00E230CF" w:rsidRPr="00E230CF" w:rsidRDefault="00E230CF" w:rsidP="00F240B7">
      <w:r w:rsidRPr="00E230CF">
        <w:t>Post</w:t>
      </w:r>
      <w:r w:rsidR="00BF2990">
        <w:t xml:space="preserve"> </w:t>
      </w:r>
      <w:r w:rsidRPr="00E230CF">
        <w:t xml:space="preserve">marketing experience was not discussed in the </w:t>
      </w:r>
      <w:r w:rsidR="00EC44A5">
        <w:t>clinical evaluation report</w:t>
      </w:r>
      <w:r w:rsidRPr="00E230CF">
        <w:t>.</w:t>
      </w:r>
    </w:p>
    <w:p w:rsidR="00E230CF" w:rsidRPr="00E230CF" w:rsidRDefault="00E230CF" w:rsidP="00F240B7">
      <w:r w:rsidRPr="00E230CF">
        <w:t>The clinical evaluator’s concluded that the pivotal studies confirm the effi</w:t>
      </w:r>
      <w:r w:rsidR="0016553C">
        <w:t>cacy and safety of Besivance versus v</w:t>
      </w:r>
      <w:r w:rsidRPr="00E230CF">
        <w:t>ehicle</w:t>
      </w:r>
      <w:r w:rsidR="004D5AF2">
        <w:t xml:space="preserve"> </w:t>
      </w:r>
      <w:r w:rsidRPr="00E230CF">
        <w:t>and in a head</w:t>
      </w:r>
      <w:r w:rsidR="0016553C">
        <w:t xml:space="preserve"> </w:t>
      </w:r>
      <w:r w:rsidRPr="00E230CF">
        <w:t>to</w:t>
      </w:r>
      <w:r w:rsidR="0016553C">
        <w:t xml:space="preserve"> </w:t>
      </w:r>
      <w:r w:rsidRPr="00E230CF">
        <w:t>head study</w:t>
      </w:r>
      <w:r w:rsidR="0016553C">
        <w:t xml:space="preserve"> with an appropriate comparator, that is, </w:t>
      </w:r>
      <w:r w:rsidRPr="00E230CF">
        <w:t>the topical ophthalmic formulation of moxiflox</w:t>
      </w:r>
      <w:r w:rsidR="0016553C">
        <w:t>acin (same class of antibiotic and</w:t>
      </w:r>
      <w:r w:rsidRPr="00E230CF">
        <w:t xml:space="preserve"> approved for this indication). It is important to note, however, that topical moxifloxacin for ophthalmological use is not approved in Australia.</w:t>
      </w:r>
    </w:p>
    <w:p w:rsidR="00E230CF" w:rsidRPr="00E230CF" w:rsidRDefault="00E230CF" w:rsidP="00F240B7">
      <w:r w:rsidRPr="00E230CF">
        <w:lastRenderedPageBreak/>
        <w:t>Treatment with besifloxacin ophthalmic suspension resulted in no SAEs related to study drug. Overall, rates of non</w:t>
      </w:r>
      <w:r w:rsidR="0016553C">
        <w:t xml:space="preserve"> </w:t>
      </w:r>
      <w:r w:rsidRPr="00E230CF">
        <w:t>ocular and ocular AEs were low. The majority of non</w:t>
      </w:r>
      <w:r w:rsidR="0016553C">
        <w:t xml:space="preserve"> </w:t>
      </w:r>
      <w:r w:rsidRPr="00E230CF">
        <w:t>ocular AEs were unrelated to study drug; the most prevalent ocular AEs were consistent with study treatment and/or underlying ocular disease being studied. Importantly, the main treatment emergent ocular AEs</w:t>
      </w:r>
      <w:r w:rsidR="0016553C">
        <w:t>, that is,</w:t>
      </w:r>
      <w:r w:rsidRPr="00E230CF">
        <w:t xml:space="preserve"> conjunctivitis, vision blurred, eye irritation and eye pain can all be associated with the underlying disorder and all occurred with lower frequency than when bacterial conjunctivitis was treated with besifloxacin compared to treatment with vehicle alone.</w:t>
      </w:r>
    </w:p>
    <w:p w:rsidR="008E7846" w:rsidRPr="00F240B7" w:rsidRDefault="00386150" w:rsidP="00F240B7">
      <w:pPr>
        <w:pStyle w:val="Heading3"/>
      </w:pPr>
      <w:bookmarkStart w:id="144" w:name="_Toc314842514"/>
      <w:bookmarkStart w:id="145" w:name="_Toc383772781"/>
      <w:r>
        <w:rPr>
          <w:lang w:eastAsia="en-AU"/>
        </w:rPr>
        <w:t>Risk m</w:t>
      </w:r>
      <w:r w:rsidR="008E7846">
        <w:rPr>
          <w:lang w:eastAsia="en-AU"/>
        </w:rPr>
        <w:t xml:space="preserve">anagement </w:t>
      </w:r>
      <w:r>
        <w:rPr>
          <w:lang w:eastAsia="en-AU"/>
        </w:rPr>
        <w:t>p</w:t>
      </w:r>
      <w:r w:rsidR="008E7846">
        <w:rPr>
          <w:lang w:eastAsia="en-AU"/>
        </w:rPr>
        <w:t>lan</w:t>
      </w:r>
      <w:bookmarkEnd w:id="144"/>
      <w:bookmarkEnd w:id="145"/>
    </w:p>
    <w:p w:rsidR="00EA3D49" w:rsidRPr="00EA3D49" w:rsidRDefault="00EA3D49" w:rsidP="00F240B7">
      <w:r w:rsidRPr="00EA3D49">
        <w:t xml:space="preserve">The RMP has been referred to ACSOM. The following issues are outstanding. The sponsor is advised to submit summaries of the results for </w:t>
      </w:r>
      <w:r w:rsidR="00BE6FA1">
        <w:t>S</w:t>
      </w:r>
      <w:r w:rsidRPr="00EA3D49">
        <w:t>tudies #678, and #679, as part of their PSUR updates.</w:t>
      </w:r>
    </w:p>
    <w:p w:rsidR="00EA3D49" w:rsidRPr="00EA3D49" w:rsidRDefault="00EA3D49" w:rsidP="00F240B7">
      <w:r w:rsidRPr="00EA3D49">
        <w:t xml:space="preserve">The advice received </w:t>
      </w:r>
      <w:r w:rsidR="00784911">
        <w:t>from ACSOM is summarised below:</w:t>
      </w:r>
    </w:p>
    <w:p w:rsidR="00EA3D49" w:rsidRPr="00EA3D49" w:rsidRDefault="00EA3D49" w:rsidP="00F240B7">
      <w:pPr>
        <w:pStyle w:val="ListBullet"/>
      </w:pPr>
      <w:r w:rsidRPr="00EA3D49">
        <w:t xml:space="preserve">Confirmation of </w:t>
      </w:r>
      <w:r w:rsidRPr="00F240B7">
        <w:t>bacteria</w:t>
      </w:r>
      <w:r w:rsidRPr="00EA3D49">
        <w:t xml:space="preserve"> susceptibility would be </w:t>
      </w:r>
      <w:r w:rsidRPr="00784911">
        <w:t>impractical</w:t>
      </w:r>
      <w:r w:rsidRPr="00EA3D49">
        <w:t xml:space="preserve"> for bacterial conjunctivitis.</w:t>
      </w:r>
    </w:p>
    <w:p w:rsidR="00EA3D49" w:rsidRPr="00EA3D49" w:rsidRDefault="00EA3D49" w:rsidP="00F240B7">
      <w:pPr>
        <w:pStyle w:val="ListBullet"/>
      </w:pPr>
      <w:r w:rsidRPr="00EA3D49">
        <w:t xml:space="preserve">The ARMOR study is </w:t>
      </w:r>
      <w:r w:rsidRPr="00F240B7">
        <w:t>sufficient</w:t>
      </w:r>
      <w:r w:rsidRPr="00EA3D49">
        <w:t xml:space="preserve"> to monitor resistance internationally and already</w:t>
      </w:r>
      <w:r w:rsidR="004D5AF2">
        <w:t xml:space="preserve"> </w:t>
      </w:r>
      <w:r w:rsidRPr="00EA3D49">
        <w:t>established local reporting and analysis will be adequate for Australian surveillance.</w:t>
      </w:r>
    </w:p>
    <w:p w:rsidR="00EA3D49" w:rsidRPr="00EA3D49" w:rsidRDefault="00EA3D49" w:rsidP="00F240B7">
      <w:pPr>
        <w:pStyle w:val="ListBullet"/>
      </w:pPr>
      <w:r w:rsidRPr="00EA3D49">
        <w:t xml:space="preserve">The planned routine </w:t>
      </w:r>
      <w:r w:rsidRPr="00F240B7">
        <w:t>risk</w:t>
      </w:r>
      <w:r w:rsidRPr="00EA3D49">
        <w:t xml:space="preserve"> minimisation activities are sufficient for the proposed indication. However, ACSOM advised that antimicrobial stewardship (AMS) programs may not be available in private eye clinics and suggested seeking advice from the Antimicrobial Stewardship Advisory Committee.</w:t>
      </w:r>
    </w:p>
    <w:p w:rsidR="008E7846" w:rsidRPr="00F240B7" w:rsidRDefault="00AA0ED0" w:rsidP="00F240B7">
      <w:pPr>
        <w:pStyle w:val="Heading3"/>
      </w:pPr>
      <w:bookmarkStart w:id="146" w:name="_Toc247691531"/>
      <w:bookmarkStart w:id="147" w:name="_Toc314842515"/>
      <w:bookmarkStart w:id="148" w:name="_Toc196046505"/>
      <w:bookmarkStart w:id="149" w:name="_Toc196046949"/>
      <w:bookmarkStart w:id="150" w:name="_Toc383772782"/>
      <w:r>
        <w:t>Risk-benefit a</w:t>
      </w:r>
      <w:r w:rsidR="008E7846">
        <w:t>nalysis</w:t>
      </w:r>
      <w:bookmarkEnd w:id="146"/>
      <w:bookmarkEnd w:id="147"/>
      <w:bookmarkEnd w:id="150"/>
    </w:p>
    <w:p w:rsidR="008E7846" w:rsidRDefault="008E7846" w:rsidP="00F240B7">
      <w:pPr>
        <w:pStyle w:val="Heading4"/>
      </w:pPr>
      <w:r>
        <w:t xml:space="preserve">Delegate </w:t>
      </w:r>
      <w:r w:rsidR="00ED3CAD" w:rsidRPr="00F240B7">
        <w:t>c</w:t>
      </w:r>
      <w:r w:rsidRPr="00F240B7">
        <w:t>onsiderations</w:t>
      </w:r>
    </w:p>
    <w:p w:rsidR="00BD6A74" w:rsidRPr="002943DC" w:rsidRDefault="00BD6A74" w:rsidP="00F240B7">
      <w:pPr>
        <w:pStyle w:val="Heading5"/>
      </w:pPr>
      <w:r w:rsidRPr="002943DC">
        <w:t>Clinical</w:t>
      </w:r>
      <w:r w:rsidR="004D5AF2">
        <w:t xml:space="preserve"> </w:t>
      </w:r>
      <w:r w:rsidRPr="002943DC">
        <w:t xml:space="preserve">evaluator’s </w:t>
      </w:r>
      <w:r w:rsidRPr="00F240B7">
        <w:t>benefit</w:t>
      </w:r>
      <w:r>
        <w:t>-</w:t>
      </w:r>
      <w:r w:rsidR="00F240B7">
        <w:t>risk assessment</w:t>
      </w:r>
    </w:p>
    <w:p w:rsidR="00BD6A74" w:rsidRPr="00BD6A74" w:rsidRDefault="00BD6A74" w:rsidP="00F240B7">
      <w:r w:rsidRPr="00BD6A74">
        <w:t>The benefits of Besivance in the proposed usage are:</w:t>
      </w:r>
    </w:p>
    <w:p w:rsidR="00BD6A74" w:rsidRPr="00BD6A74" w:rsidRDefault="00BD6A74" w:rsidP="00F240B7">
      <w:pPr>
        <w:pStyle w:val="ListBullet"/>
      </w:pPr>
      <w:r w:rsidRPr="00BD6A74">
        <w:t xml:space="preserve">Well tolerated </w:t>
      </w:r>
      <w:r w:rsidRPr="00784911">
        <w:t>topical</w:t>
      </w:r>
      <w:r w:rsidRPr="00BD6A74">
        <w:t xml:space="preserve"> agent of proven </w:t>
      </w:r>
      <w:r w:rsidRPr="00F240B7">
        <w:t>efficacy</w:t>
      </w:r>
      <w:r w:rsidRPr="00BD6A74">
        <w:t xml:space="preserve"> against the common forms o</w:t>
      </w:r>
      <w:r w:rsidR="003915D5">
        <w:t xml:space="preserve">f bacterial conjunctivitis, that is, </w:t>
      </w:r>
      <w:r w:rsidRPr="00BD6A74">
        <w:t>superior to placebo and equivalent to a comparator topical ocular quinolone agent;</w:t>
      </w:r>
    </w:p>
    <w:p w:rsidR="00BD6A74" w:rsidRPr="00BD6A74" w:rsidRDefault="00BD6A74" w:rsidP="00F240B7">
      <w:pPr>
        <w:pStyle w:val="ListBullet"/>
      </w:pPr>
      <w:r w:rsidRPr="00BD6A74">
        <w:t xml:space="preserve">TID dosing means </w:t>
      </w:r>
      <w:r w:rsidRPr="00784911">
        <w:t>adherence</w:t>
      </w:r>
      <w:r w:rsidRPr="00BD6A74">
        <w:t xml:space="preserve"> to the </w:t>
      </w:r>
      <w:r w:rsidRPr="00F240B7">
        <w:t>sc</w:t>
      </w:r>
      <w:r w:rsidR="00784911" w:rsidRPr="00F240B7">
        <w:t>heduled</w:t>
      </w:r>
      <w:r w:rsidR="00784911">
        <w:t xml:space="preserve"> dosing is more likely;</w:t>
      </w:r>
    </w:p>
    <w:p w:rsidR="00BD6A74" w:rsidRPr="00BD6A74" w:rsidRDefault="00BD6A74" w:rsidP="00784911">
      <w:pPr>
        <w:pStyle w:val="ListBullet"/>
      </w:pPr>
      <w:r w:rsidRPr="00BD6A74">
        <w:t xml:space="preserve">High ocular levels well above the MIC for the common bacteria </w:t>
      </w:r>
      <w:r w:rsidRPr="00784911">
        <w:t>causing</w:t>
      </w:r>
      <w:r w:rsidR="00784911">
        <w:t xml:space="preserve"> conjunctivitis;</w:t>
      </w:r>
    </w:p>
    <w:p w:rsidR="00BD6A74" w:rsidRPr="00BD6A74" w:rsidRDefault="00BD6A74" w:rsidP="00F240B7">
      <w:pPr>
        <w:pStyle w:val="ListBullet"/>
      </w:pPr>
      <w:r w:rsidRPr="00BD6A74">
        <w:t xml:space="preserve">Nil meaningful systemic absorption </w:t>
      </w:r>
      <w:r w:rsidRPr="00F240B7">
        <w:t>therefore</w:t>
      </w:r>
      <w:r w:rsidRPr="00BD6A74">
        <w:t xml:space="preserve"> the risk of inducing potential quinolone resistance is low, coupled with the fact that resistance to besifloxacin probably requires at least two</w:t>
      </w:r>
      <w:r w:rsidR="009B695D">
        <w:t xml:space="preserve"> </w:t>
      </w:r>
      <w:r w:rsidR="00784911">
        <w:t>steps.</w:t>
      </w:r>
    </w:p>
    <w:p w:rsidR="00BD6A74" w:rsidRPr="005C2B74" w:rsidRDefault="00BD6A74" w:rsidP="00F240B7">
      <w:r w:rsidRPr="005C2B74">
        <w:t>The risks of Besiv</w:t>
      </w:r>
      <w:r w:rsidR="00784911">
        <w:t>ance in the proposed usage are:</w:t>
      </w:r>
    </w:p>
    <w:p w:rsidR="00BD6A74" w:rsidRPr="00BD6A74" w:rsidRDefault="00BD6A74" w:rsidP="00F240B7">
      <w:pPr>
        <w:pStyle w:val="ListBullet"/>
      </w:pPr>
      <w:r w:rsidRPr="00BD6A74">
        <w:t xml:space="preserve">Use for conjunctivitis that is not bacterial in </w:t>
      </w:r>
      <w:r w:rsidRPr="00784911">
        <w:t>aetiology</w:t>
      </w:r>
      <w:r w:rsidR="00784911">
        <w:t>;</w:t>
      </w:r>
    </w:p>
    <w:p w:rsidR="00BD6A74" w:rsidRPr="00BD6A74" w:rsidRDefault="00BD6A74" w:rsidP="00F240B7">
      <w:pPr>
        <w:pStyle w:val="ListBullet"/>
      </w:pPr>
      <w:r w:rsidRPr="00BD6A74">
        <w:t>Inappropriate use for deeper (more than conjuctival) bacterial</w:t>
      </w:r>
      <w:r w:rsidR="004D5AF2">
        <w:t xml:space="preserve"> </w:t>
      </w:r>
      <w:r w:rsidRPr="00BD6A74">
        <w:t>infections of the eye;</w:t>
      </w:r>
    </w:p>
    <w:p w:rsidR="00BD6A74" w:rsidRPr="00BD6A74" w:rsidRDefault="009B695D" w:rsidP="00F240B7">
      <w:pPr>
        <w:pStyle w:val="ListBullet"/>
      </w:pPr>
      <w:r w:rsidRPr="00DD30C1">
        <w:t xml:space="preserve">Development of microbial resistance at </w:t>
      </w:r>
      <w:r w:rsidRPr="00F240B7">
        <w:t>the</w:t>
      </w:r>
      <w:r w:rsidRPr="00DD30C1">
        <w:t xml:space="preserve"> local level or treatment failure because patterns of global antibiotic resistance are changin</w:t>
      </w:r>
      <w:r>
        <w:t xml:space="preserve">g rapidly, such that organisms </w:t>
      </w:r>
      <w:r w:rsidRPr="00DD30C1">
        <w:t>currently sensitive t</w:t>
      </w:r>
      <w:r>
        <w:t>o this agent are no longer similarly sensitive</w:t>
      </w:r>
      <w:r w:rsidRPr="00DD30C1">
        <w:t xml:space="preserve"> in the future</w:t>
      </w:r>
      <w:r w:rsidR="00BD6A74" w:rsidRPr="00BD6A74">
        <w:t>. Some of these issues may be compounded by the fact that a swab for bacterial and viral culture may not be ro</w:t>
      </w:r>
      <w:r w:rsidR="00DB19EC">
        <w:t xml:space="preserve">utine in clinical practice, that is, </w:t>
      </w:r>
      <w:r w:rsidR="00BD6A74" w:rsidRPr="00BD6A74">
        <w:t>the diagnosis is made clinically and swabs are only performed if there is a clinical failure to empiric antimicrobial therapy.</w:t>
      </w:r>
    </w:p>
    <w:p w:rsidR="00BD6A74" w:rsidRPr="00BD6A74" w:rsidRDefault="00BD6A74" w:rsidP="00F240B7">
      <w:r w:rsidRPr="00BD6A74">
        <w:lastRenderedPageBreak/>
        <w:t>However, these ris</w:t>
      </w:r>
      <w:r w:rsidR="009430B6">
        <w:t>ks are not unique to Besivance</w:t>
      </w:r>
      <w:r w:rsidRPr="00BD6A74">
        <w:t xml:space="preserve">, they apply equally to this product and all currently approved topical antibiotics </w:t>
      </w:r>
      <w:r w:rsidR="00784911">
        <w:t>for ocular use in this setting.</w:t>
      </w:r>
    </w:p>
    <w:p w:rsidR="00BD6A74" w:rsidRDefault="00BD6A74" w:rsidP="00784911">
      <w:r w:rsidRPr="00BD6A74">
        <w:t>The clinical evaluator considered the benefit-risk balance of 0.6% Besifloxacin hydro</w:t>
      </w:r>
      <w:r w:rsidR="006952AD">
        <w:t>chloride ophthalmic (Besivance</w:t>
      </w:r>
      <w:r w:rsidRPr="00BD6A74">
        <w:t xml:space="preserve">), given the proposed usage, </w:t>
      </w:r>
      <w:r w:rsidR="00A30958">
        <w:t xml:space="preserve">is favourable. </w:t>
      </w:r>
      <w:r w:rsidR="00AE37B2">
        <w:t xml:space="preserve">As </w:t>
      </w:r>
      <w:r w:rsidR="00AE37B2" w:rsidRPr="00BD6A74">
        <w:t>revealed through the development programme</w:t>
      </w:r>
      <w:r w:rsidR="00AE37B2">
        <w:t>, e</w:t>
      </w:r>
      <w:r w:rsidRPr="00BD6A74">
        <w:t>quivalent clinical and microbiological efficacy to a licensed topical antibiotic to all commo</w:t>
      </w:r>
      <w:r w:rsidR="006952AD">
        <w:t>n bacterial (</w:t>
      </w:r>
      <w:r w:rsidR="00E76BAD">
        <w:t>G</w:t>
      </w:r>
      <w:r w:rsidR="006952AD">
        <w:t xml:space="preserve">ram +ve and </w:t>
      </w:r>
      <w:r w:rsidR="00E76BAD">
        <w:t>G</w:t>
      </w:r>
      <w:r w:rsidR="006952AD">
        <w:t>ram -</w:t>
      </w:r>
      <w:r w:rsidRPr="00BD6A74">
        <w:t>ve) causes of conjunctivit</w:t>
      </w:r>
      <w:r w:rsidR="006F7332">
        <w:t>is with minimal safety concerns</w:t>
      </w:r>
      <w:r w:rsidR="004B25F3">
        <w:t>. There is also p</w:t>
      </w:r>
      <w:r w:rsidRPr="00BD6A74">
        <w:t>otential for enhanced adherence as Besivance administered TID (as opposed to more frequently). The clinical evaluator agreed that the recommended course should be 7 days of treatment even though the clinical trials of this agent used 5 day dosing. The rationale is that the drug is clearly very safe and this additional two days of treatment will ensure the “later” responders are adequately treated. Moreover, microbial resistance did not emerge during the efficacy studies of besifloxacin or its comparator, moxifloxacin.</w:t>
      </w:r>
      <w:r w:rsidR="004D5AF2">
        <w:t xml:space="preserve"> </w:t>
      </w:r>
      <w:r w:rsidRPr="00BD6A74">
        <w:t>However, this will need to be monitored as part of post-marketing surveillance. A key strategy in minimising antibiotic resistance is to m</w:t>
      </w:r>
      <w:r w:rsidR="00323CC6">
        <w:t xml:space="preserve">inimise inappropriate use (that is, </w:t>
      </w:r>
      <w:r w:rsidRPr="00BD6A74">
        <w:t>for viral conjunctivitis), perform M,</w:t>
      </w:r>
      <w:r w:rsidR="00323CC6">
        <w:t xml:space="preserve"> </w:t>
      </w:r>
      <w:r w:rsidRPr="00BD6A74">
        <w:t>C</w:t>
      </w:r>
      <w:r w:rsidR="00323CC6">
        <w:t xml:space="preserve"> </w:t>
      </w:r>
      <w:r w:rsidRPr="00BD6A74">
        <w:t>&amp;</w:t>
      </w:r>
      <w:r w:rsidR="00323CC6">
        <w:t xml:space="preserve"> </w:t>
      </w:r>
      <w:r w:rsidRPr="00BD6A74">
        <w:t>S of purulent material, switch rapidly to another antibiotic if resistance is detected, ensure patients understand exactly how to administer the agent and adhere fully with the dosing schedule (TID for 7 days) and last, ensure exposure is not extended beyond 7 days.</w:t>
      </w:r>
    </w:p>
    <w:p w:rsidR="00F424C7" w:rsidRPr="00F240B7" w:rsidRDefault="00F424C7" w:rsidP="00F240B7">
      <w:pPr>
        <w:pStyle w:val="Heading5"/>
      </w:pPr>
      <w:r>
        <w:t>Discussion</w:t>
      </w:r>
    </w:p>
    <w:p w:rsidR="00F424C7" w:rsidRPr="00F424C7" w:rsidRDefault="00F424C7" w:rsidP="00F240B7">
      <w:r w:rsidRPr="00F424C7">
        <w:t>The JETACAR Report and Commonwealth Government Response to JETACAR recommend</w:t>
      </w:r>
      <w:r w:rsidR="004D5AF2">
        <w:t xml:space="preserve"> </w:t>
      </w:r>
      <w:r w:rsidRPr="00F424C7">
        <w:t>that the TGA implement the inclusion of microbial resistance safety data, including the propensity for promoting resistance and cross</w:t>
      </w:r>
      <w:r w:rsidR="00B411E4">
        <w:t xml:space="preserve"> </w:t>
      </w:r>
      <w:r w:rsidRPr="00F424C7">
        <w:t xml:space="preserve">resistance, as a basic requirement for assessment of all new antibiotics by the TGA, with adoption of similar data requirements to those required in the registration of veterinary medicines. The </w:t>
      </w:r>
      <w:r w:rsidR="00421713">
        <w:t>s</w:t>
      </w:r>
      <w:r w:rsidRPr="00F424C7">
        <w:t xml:space="preserve">ponsor has submitted a Resistance Assessment of Microbial Resistance for besifloxacin eye drops which has been </w:t>
      </w:r>
      <w:r w:rsidR="00521873">
        <w:t>taken into account in the n</w:t>
      </w:r>
      <w:r w:rsidRPr="00F424C7">
        <w:t xml:space="preserve">onclinical and </w:t>
      </w:r>
      <w:r w:rsidR="00521873">
        <w:t>c</w:t>
      </w:r>
      <w:r w:rsidRPr="00F424C7">
        <w:t xml:space="preserve">linical </w:t>
      </w:r>
      <w:r w:rsidR="00521873">
        <w:t>e</w:t>
      </w:r>
      <w:r w:rsidRPr="00F424C7">
        <w:t>valuations. High ocular levels well above the MIC are associated with high bacterial eradication rates for the common bacteria causing conjunctivitis.</w:t>
      </w:r>
    </w:p>
    <w:p w:rsidR="00F424C7" w:rsidRPr="00F424C7" w:rsidRDefault="00F424C7" w:rsidP="00F240B7">
      <w:r w:rsidRPr="00F424C7">
        <w:t>Besifloxacin will pass in tears through the nasolacrimal duct to nasopharynx and subsequently to gastrointestinal tract.</w:t>
      </w:r>
      <w:r w:rsidR="004D5AF2">
        <w:t xml:space="preserve"> </w:t>
      </w:r>
      <w:r w:rsidR="000E6FF6">
        <w:t xml:space="preserve">The Delegate </w:t>
      </w:r>
      <w:r w:rsidRPr="00F424C7">
        <w:t>consider</w:t>
      </w:r>
      <w:r w:rsidR="000E6FF6">
        <w:t>s</w:t>
      </w:r>
      <w:r w:rsidRPr="00F424C7">
        <w:t xml:space="preserve"> the low level exposure of bacteria in nasopharynx and gastrointestinal tract is the setting for which risk of emergence</w:t>
      </w:r>
      <w:r w:rsidR="004D5AF2">
        <w:t xml:space="preserve"> </w:t>
      </w:r>
      <w:r w:rsidRPr="00F424C7">
        <w:t xml:space="preserve">of resistance to besifloxacin and related </w:t>
      </w:r>
      <w:r w:rsidR="00686F1B">
        <w:t>FQ</w:t>
      </w:r>
      <w:r w:rsidRPr="00F424C7">
        <w:t xml:space="preserve">s is highest. Structural modifications of newer </w:t>
      </w:r>
      <w:r w:rsidR="00686F1B">
        <w:t>FQ</w:t>
      </w:r>
      <w:r w:rsidRPr="00F424C7">
        <w:t xml:space="preserve">s including besifloxacin, results in targetting of both DNA gyrase and Topoisomerase IV enzymes with resultant greater activity against </w:t>
      </w:r>
      <w:r w:rsidR="007E02B4">
        <w:t>G</w:t>
      </w:r>
      <w:r w:rsidRPr="00F424C7">
        <w:t>ram</w:t>
      </w:r>
      <w:r w:rsidR="007E02B4">
        <w:t xml:space="preserve"> +ve</w:t>
      </w:r>
      <w:r w:rsidRPr="00F424C7">
        <w:t xml:space="preserve"> bacteria and reduced risk of</w:t>
      </w:r>
      <w:r w:rsidR="004D5AF2">
        <w:t xml:space="preserve"> </w:t>
      </w:r>
      <w:r w:rsidRPr="00F424C7">
        <w:t xml:space="preserve">resistance. If high levels of resistance were to emerge to besifloxacin these would be expected to result in cross resistance to the structurally similar agent, </w:t>
      </w:r>
      <w:r w:rsidR="00521873">
        <w:t xml:space="preserve">moxifloxacin. </w:t>
      </w:r>
      <w:r w:rsidRPr="00F424C7">
        <w:t xml:space="preserve">Moxifloxacin and other newer </w:t>
      </w:r>
      <w:r w:rsidR="00686F1B">
        <w:t>FQ</w:t>
      </w:r>
      <w:r w:rsidRPr="00F424C7">
        <w:t>s</w:t>
      </w:r>
      <w:r w:rsidR="004D5AF2">
        <w:t xml:space="preserve"> </w:t>
      </w:r>
      <w:r w:rsidRPr="00F424C7">
        <w:t xml:space="preserve">are used in the treatment of systemic infections. Moxifloxacin and other </w:t>
      </w:r>
      <w:r w:rsidR="00686F1B">
        <w:t>FQ</w:t>
      </w:r>
      <w:r w:rsidRPr="00F424C7">
        <w:t xml:space="preserve">s are classified by </w:t>
      </w:r>
      <w:r w:rsidR="00C475E9">
        <w:t>the World Health Organisation</w:t>
      </w:r>
      <w:r w:rsidRPr="00F424C7">
        <w:t xml:space="preserve"> as critically important antimicrobials for human medicine (therapy for </w:t>
      </w:r>
      <w:r w:rsidRPr="001A758C">
        <w:rPr>
          <w:i/>
        </w:rPr>
        <w:t>Campylobacter spp.</w:t>
      </w:r>
      <w:r w:rsidRPr="001A758C">
        <w:t xml:space="preserve">, </w:t>
      </w:r>
      <w:r w:rsidRPr="00F424C7">
        <w:t xml:space="preserve">invasive disease due to </w:t>
      </w:r>
      <w:r w:rsidRPr="001A758C">
        <w:rPr>
          <w:i/>
        </w:rPr>
        <w:t>Salmonella</w:t>
      </w:r>
      <w:r w:rsidR="00431869" w:rsidRPr="001A758C">
        <w:rPr>
          <w:i/>
        </w:rPr>
        <w:t xml:space="preserve"> spp.</w:t>
      </w:r>
      <w:r w:rsidR="00431869">
        <w:t xml:space="preserve"> </w:t>
      </w:r>
      <w:r w:rsidRPr="00F424C7">
        <w:t xml:space="preserve">and </w:t>
      </w:r>
      <w:r w:rsidR="00FD0CEF" w:rsidRPr="001A758C">
        <w:rPr>
          <w:i/>
        </w:rPr>
        <w:t>MDR Shigella spp.</w:t>
      </w:r>
      <w:r w:rsidR="00FD0CEF">
        <w:t xml:space="preserve"> infections). The Delegate </w:t>
      </w:r>
      <w:r w:rsidRPr="00F424C7">
        <w:t>accept</w:t>
      </w:r>
      <w:r w:rsidR="00FD0CEF">
        <w:t>s</w:t>
      </w:r>
      <w:r w:rsidR="006D3AA1">
        <w:t xml:space="preserve"> the sponsor’s risk category </w:t>
      </w:r>
      <w:r w:rsidR="00325A90">
        <w:t xml:space="preserve">for exposure is low. The Delegate </w:t>
      </w:r>
      <w:r w:rsidRPr="00F424C7">
        <w:t>consider</w:t>
      </w:r>
      <w:r w:rsidR="00325A90">
        <w:t>s</w:t>
      </w:r>
      <w:r w:rsidRPr="00F424C7">
        <w:t xml:space="preserve"> the Risk Category for impact is high, for besifloxacin and for other </w:t>
      </w:r>
      <w:r w:rsidR="00686F1B">
        <w:t>FQ</w:t>
      </w:r>
      <w:r w:rsidRPr="00F424C7">
        <w:t>s which are used in treatment of systemic bacterial infections.</w:t>
      </w:r>
      <w:r w:rsidR="004D5AF2">
        <w:t xml:space="preserve"> </w:t>
      </w:r>
      <w:r w:rsidRPr="00F424C7">
        <w:t>The reference in JETACAR recommendation to requirements in the registration of veterinary medicines supports the approach of the precautionary principle in the context of uncertainty in the risk for resistance and cross</w:t>
      </w:r>
      <w:r w:rsidR="001469E6">
        <w:t xml:space="preserve"> </w:t>
      </w:r>
      <w:r w:rsidRPr="00F424C7">
        <w:t xml:space="preserve">resistance to result from registration of besifloxacin eye drops. </w:t>
      </w:r>
      <w:r w:rsidR="00C95EDD">
        <w:t xml:space="preserve">The Delegate considers </w:t>
      </w:r>
      <w:r w:rsidRPr="00F424C7">
        <w:t>registration of besifloxacin eye drops for treatment of bacterial conjunctivitis is associated with potential for development of resistance to besifloxacin and cross resistance to moxifloxacin which has high impact.</w:t>
      </w:r>
      <w:r w:rsidR="004D5AF2">
        <w:t xml:space="preserve"> </w:t>
      </w:r>
      <w:r w:rsidRPr="00F424C7">
        <w:t>Bacterial conjunctivitis can resolve without treatment.</w:t>
      </w:r>
      <w:r w:rsidR="004D5AF2">
        <w:t xml:space="preserve"> </w:t>
      </w:r>
      <w:r w:rsidRPr="00F424C7">
        <w:t>The benefits to patients treated with topical antibiotics are shortened duration of disease and benefit specific to besif</w:t>
      </w:r>
      <w:r w:rsidR="00B263DF">
        <w:t>loxacin is TID dosing schedule.</w:t>
      </w:r>
    </w:p>
    <w:p w:rsidR="00F424C7" w:rsidRPr="00F424C7" w:rsidRDefault="00F424C7" w:rsidP="00F240B7">
      <w:r w:rsidRPr="00F424C7">
        <w:lastRenderedPageBreak/>
        <w:t>If the ACPM supports registration of besifloxacin eye drops despite this Delegate’s concerns about resistance and cross resistance risk</w:t>
      </w:r>
      <w:r w:rsidR="00B00C8F">
        <w:t>,</w:t>
      </w:r>
      <w:r w:rsidRPr="00F424C7">
        <w:t xml:space="preserve"> the following issues remain</w:t>
      </w:r>
      <w:r w:rsidR="00B00C8F">
        <w:t>.</w:t>
      </w:r>
    </w:p>
    <w:p w:rsidR="00F424C7" w:rsidRPr="00F424C7" w:rsidRDefault="00F424C7" w:rsidP="00B263DF">
      <w:r w:rsidRPr="00F424C7">
        <w:t>Moxifloxicin eye drops are the active comparator for with non</w:t>
      </w:r>
      <w:r w:rsidR="00BB1612">
        <w:t xml:space="preserve"> </w:t>
      </w:r>
      <w:r w:rsidRPr="00F424C7">
        <w:t>inferiority was demonstrated in a pivotal clinical study. Moxifoxacin eye drops are not registered in Australia.</w:t>
      </w:r>
      <w:r w:rsidR="004D5AF2">
        <w:t xml:space="preserve"> </w:t>
      </w:r>
      <w:r w:rsidR="00686F1B">
        <w:t>FQ</w:t>
      </w:r>
      <w:r w:rsidRPr="00F424C7">
        <w:t xml:space="preserve"> eye drops are not recommended for treatment of bacterial conjunctivitis</w:t>
      </w:r>
      <w:r w:rsidR="004D5AF2">
        <w:t xml:space="preserve"> </w:t>
      </w:r>
      <w:r w:rsidRPr="00F424C7">
        <w:t>in Australian Therapeutic Guidelines for Antibiotics.</w:t>
      </w:r>
      <w:r w:rsidR="004D5AF2">
        <w:t xml:space="preserve"> </w:t>
      </w:r>
      <w:r w:rsidRPr="00F424C7">
        <w:t>Risk and benefit has not</w:t>
      </w:r>
      <w:r w:rsidR="004D5AF2">
        <w:t xml:space="preserve"> </w:t>
      </w:r>
      <w:r w:rsidRPr="00F424C7">
        <w:t>been demonstrated for besifloxacin as compared with appropriate recognised therapies for bacteri</w:t>
      </w:r>
      <w:r w:rsidR="00B263DF">
        <w:t>al conjunctivitis in Australia.</w:t>
      </w:r>
    </w:p>
    <w:p w:rsidR="009D64E3" w:rsidRDefault="00F424C7" w:rsidP="00F240B7">
      <w:r w:rsidRPr="00F424C7">
        <w:t>Cur</w:t>
      </w:r>
      <w:r w:rsidR="009D64E3">
        <w:t>rently proposed indications are</w:t>
      </w:r>
      <w:r w:rsidR="00396757">
        <w:t>:</w:t>
      </w:r>
    </w:p>
    <w:p w:rsidR="00F424C7" w:rsidRPr="00525146" w:rsidRDefault="00F424C7" w:rsidP="00F240B7">
      <w:pPr>
        <w:ind w:left="720"/>
      </w:pPr>
      <w:proofErr w:type="gramStart"/>
      <w:r w:rsidRPr="00525146">
        <w:rPr>
          <w:i/>
        </w:rPr>
        <w:t>for</w:t>
      </w:r>
      <w:proofErr w:type="gramEnd"/>
      <w:r w:rsidRPr="00525146">
        <w:rPr>
          <w:i/>
        </w:rPr>
        <w:t xml:space="preserve"> the treatment of bacterial conjunctivitis caused by susceptible isolates of the following bacteria:</w:t>
      </w:r>
      <w:r w:rsidRPr="009364F9">
        <w:t xml:space="preserve"> </w:t>
      </w:r>
      <w:r w:rsidRPr="00525146">
        <w:t>CDC Coryneform group G, Coryne</w:t>
      </w:r>
      <w:r w:rsidR="000D65DC" w:rsidRPr="00525146">
        <w:t>bacterium pseudodiphtheriticum*, Corynebacterium striatum*</w:t>
      </w:r>
      <w:r w:rsidRPr="00525146">
        <w:t xml:space="preserve">, Haemophilus </w:t>
      </w:r>
      <w:r w:rsidR="000D65DC" w:rsidRPr="00525146">
        <w:t>influenzae, Moraxella lacunata*</w:t>
      </w:r>
      <w:r w:rsidRPr="00525146">
        <w:t>, Staphylococcus aureus, Staphylococcus epidermidis, Staphylococcus homini</w:t>
      </w:r>
      <w:r w:rsidR="000D65DC" w:rsidRPr="00525146">
        <w:t>s*, Staphylococcus lugdunesis*</w:t>
      </w:r>
      <w:r w:rsidRPr="00525146">
        <w:t>, Streptococcus mitis group, Streptococcus oralis, Streptococcus pneumon</w:t>
      </w:r>
      <w:r w:rsidR="00B263DF">
        <w:t>iae, Streptococcus salivarius*.</w:t>
      </w:r>
    </w:p>
    <w:p w:rsidR="00F424C7" w:rsidRPr="00F240B7" w:rsidRDefault="00F424C7" w:rsidP="00F240B7">
      <w:pPr>
        <w:ind w:left="720"/>
        <w:rPr>
          <w:i/>
        </w:rPr>
      </w:pPr>
      <w:r w:rsidRPr="00F240B7">
        <w:rPr>
          <w:i/>
        </w:rPr>
        <w:t>* Efficacy for this organism was studi</w:t>
      </w:r>
      <w:r w:rsidR="00525146" w:rsidRPr="00F240B7">
        <w:rPr>
          <w:i/>
        </w:rPr>
        <w:t>ed in fewer than 10 infections.</w:t>
      </w:r>
    </w:p>
    <w:p w:rsidR="00F424C7" w:rsidRPr="00F424C7" w:rsidRDefault="00F424C7" w:rsidP="00F240B7">
      <w:r w:rsidRPr="00F424C7">
        <w:t>The proposed indication infers susceptibility testing should be undertaken before antibacterial the</w:t>
      </w:r>
      <w:r w:rsidR="007F4E1E">
        <w:t>rapy is commenced. The clinical evaluation report</w:t>
      </w:r>
      <w:r w:rsidRPr="00F424C7">
        <w:t xml:space="preserve"> notes that susceptibility testing may not be routine in treatment of bacterial conjunctivitis.</w:t>
      </w:r>
      <w:r w:rsidR="004D5AF2">
        <w:t xml:space="preserve"> </w:t>
      </w:r>
      <w:r w:rsidRPr="00F424C7">
        <w:t>The ACSOM committee has</w:t>
      </w:r>
      <w:r w:rsidR="004D5AF2">
        <w:t xml:space="preserve"> </w:t>
      </w:r>
      <w:r w:rsidRPr="00F424C7">
        <w:t>advised that it would be impractical in the case of bacterial conjunctivitis to require confirmation of bacter</w:t>
      </w:r>
      <w:r w:rsidR="000C1606">
        <w:t>ia susceptibility. The Delegate</w:t>
      </w:r>
      <w:r w:rsidRPr="00F424C7">
        <w:t xml:space="preserve"> consider</w:t>
      </w:r>
      <w:r w:rsidR="000C1606">
        <w:t>s</w:t>
      </w:r>
      <w:r w:rsidRPr="00F424C7">
        <w:t xml:space="preserve"> that the listing of the specific organisms may be inappropriate given the ACSOM advice. If specific</w:t>
      </w:r>
      <w:r w:rsidR="006B783C">
        <w:t xml:space="preserve"> organisms are to be listed in ‘</w:t>
      </w:r>
      <w:r w:rsidRPr="00F424C7">
        <w:t>Indications</w:t>
      </w:r>
      <w:r w:rsidR="006B783C">
        <w:t>’,</w:t>
      </w:r>
      <w:r w:rsidRPr="00F424C7">
        <w:t xml:space="preserve"> it is appropriate to further consider the organisms with marked with an asterix. Description of microbiological eradication and clinical outcomes for key organisms are provided </w:t>
      </w:r>
      <w:r w:rsidR="009722D0">
        <w:t>an attachment</w:t>
      </w:r>
      <w:r w:rsidRPr="00F424C7">
        <w:t>. Although microbiological eradications rates were high for the organisms studied in fewer than 10 infections,</w:t>
      </w:r>
      <w:r w:rsidR="004D5AF2">
        <w:t xml:space="preserve"> </w:t>
      </w:r>
      <w:r w:rsidRPr="00F424C7">
        <w:t>clinical resolution rates</w:t>
      </w:r>
      <w:r w:rsidR="004D5AF2">
        <w:t xml:space="preserve"> </w:t>
      </w:r>
      <w:r w:rsidRPr="00F424C7">
        <w:t>much lowe</w:t>
      </w:r>
      <w:r w:rsidR="00120267">
        <w:t xml:space="preserve">r (for example, </w:t>
      </w:r>
      <w:r w:rsidRPr="00F424C7">
        <w:t xml:space="preserve">for </w:t>
      </w:r>
      <w:r w:rsidRPr="008E7855">
        <w:rPr>
          <w:i/>
        </w:rPr>
        <w:t>Moraxella lacunata</w:t>
      </w:r>
      <w:r w:rsidR="004D5AF2">
        <w:t xml:space="preserve"> </w:t>
      </w:r>
      <w:r w:rsidRPr="00F424C7">
        <w:t>1 in 4 isolates had clinical resolution) raising doubt as to whether the organism is pathogenic.</w:t>
      </w:r>
      <w:r w:rsidR="004D5AF2">
        <w:t xml:space="preserve"> </w:t>
      </w:r>
      <w:r w:rsidRPr="00F424C7">
        <w:t>The ACPM is requested to comment on whether the listed organism</w:t>
      </w:r>
      <w:r w:rsidR="00243789">
        <w:t>s</w:t>
      </w:r>
      <w:r w:rsidR="00B263DF">
        <w:t xml:space="preserve"> are appropriate.</w:t>
      </w:r>
    </w:p>
    <w:p w:rsidR="00F424C7" w:rsidRDefault="00F424C7" w:rsidP="00F240B7">
      <w:r w:rsidRPr="00F424C7">
        <w:t>The proposed indication is for use in adults and children 12 months. The pivotal clinical studies enrolled children to one year of age, but numbers of children less than 2 years were small (n</w:t>
      </w:r>
      <w:r w:rsidR="007D7FCA">
        <w:t xml:space="preserve"> </w:t>
      </w:r>
      <w:r w:rsidRPr="00F424C7">
        <w:t>=</w:t>
      </w:r>
      <w:r w:rsidR="007D7FCA">
        <w:t xml:space="preserve"> </w:t>
      </w:r>
      <w:r w:rsidRPr="00F424C7">
        <w:t>20 in Study 433 and n</w:t>
      </w:r>
      <w:r w:rsidR="007D7FCA">
        <w:t xml:space="preserve"> </w:t>
      </w:r>
      <w:r w:rsidRPr="00F424C7">
        <w:t>=</w:t>
      </w:r>
      <w:r w:rsidR="007D7FCA">
        <w:t xml:space="preserve"> </w:t>
      </w:r>
      <w:r w:rsidRPr="00F424C7">
        <w:t>37 in Study 434). Considerably higher numbers children 2 to 9 years and adolescents were</w:t>
      </w:r>
      <w:r w:rsidR="00367400">
        <w:t xml:space="preserve"> included in Study 434. The clinical evaluation report</w:t>
      </w:r>
      <w:r w:rsidRPr="00F424C7">
        <w:t xml:space="preserve"> has not included any subgroup analyses of efficacy and safety by age. Does the ACPM consider study results provide adequate support for</w:t>
      </w:r>
      <w:r w:rsidR="00B263DF">
        <w:t xml:space="preserve"> across the proposed age range?</w:t>
      </w:r>
    </w:p>
    <w:p w:rsidR="00EA40B1" w:rsidRPr="00F240B7" w:rsidRDefault="00EA40B1" w:rsidP="00F240B7">
      <w:pPr>
        <w:pStyle w:val="Heading5"/>
      </w:pPr>
      <w:r>
        <w:t>Summary of issues</w:t>
      </w:r>
    </w:p>
    <w:p w:rsidR="00EA40B1" w:rsidRPr="00EA40B1" w:rsidRDefault="00EA40B1" w:rsidP="00F240B7">
      <w:r w:rsidRPr="00EA40B1">
        <w:t>The TGA is required to assess the propensity for</w:t>
      </w:r>
      <w:r w:rsidR="00794B6F">
        <w:t xml:space="preserve"> promoting resistance and cross </w:t>
      </w:r>
      <w:r w:rsidRPr="00EA40B1">
        <w:t>resistance in the evalu</w:t>
      </w:r>
      <w:r w:rsidR="00794B6F">
        <w:t xml:space="preserve">ation of all new antibiotics. The Delegate </w:t>
      </w:r>
      <w:r w:rsidRPr="00EA40B1">
        <w:t>consider</w:t>
      </w:r>
      <w:r w:rsidR="00794B6F">
        <w:t>s</w:t>
      </w:r>
      <w:r w:rsidRPr="00EA40B1">
        <w:t xml:space="preserve"> the resistance risk assessment submitted by the sponsor has not taken account of exposure of bacteria in the</w:t>
      </w:r>
      <w:r w:rsidR="004D5AF2">
        <w:t xml:space="preserve"> </w:t>
      </w:r>
      <w:r w:rsidRPr="00EA40B1">
        <w:t>nasopharynx and gastrointestinal tract to low concentrations of besifloxacin after administration of the eye drops.</w:t>
      </w:r>
      <w:r w:rsidR="004D5AF2">
        <w:t xml:space="preserve"> </w:t>
      </w:r>
      <w:r w:rsidRPr="00EA40B1">
        <w:t>If high levels of resistance were to emerge to besifloxacin these would be expected to result in cross resistance to the structurally similar agent, moxifloxacin.</w:t>
      </w:r>
      <w:r w:rsidR="004D5AF2">
        <w:t xml:space="preserve"> </w:t>
      </w:r>
      <w:r w:rsidRPr="00EA40B1">
        <w:t xml:space="preserve">Moxifloxacin and other newer </w:t>
      </w:r>
      <w:r w:rsidR="00686F1B">
        <w:t>FQ</w:t>
      </w:r>
      <w:r w:rsidRPr="00EA40B1">
        <w:t>s</w:t>
      </w:r>
      <w:r w:rsidR="004D5AF2">
        <w:t xml:space="preserve"> </w:t>
      </w:r>
      <w:r w:rsidRPr="00EA40B1">
        <w:t>are used in the treatment of systemic infections and have critical importance for human medicine in a WHO classification.</w:t>
      </w:r>
    </w:p>
    <w:p w:rsidR="00EA40B1" w:rsidRPr="00EA40B1" w:rsidRDefault="00C935CB" w:rsidP="00F240B7">
      <w:r>
        <w:t>The Delegate</w:t>
      </w:r>
      <w:r w:rsidR="00EA40B1" w:rsidRPr="00EA40B1">
        <w:t xml:space="preserve"> consider</w:t>
      </w:r>
      <w:r>
        <w:t>s</w:t>
      </w:r>
      <w:r w:rsidR="00EA40B1" w:rsidRPr="00EA40B1">
        <w:t xml:space="preserve"> registration of besifloxacin eye drops for treatment of bacterial conjunctivitis is associated with potential for development of resistance to besifloxacin and cross resistance to moxifloxacin which has high impact.</w:t>
      </w:r>
      <w:r w:rsidR="004D5AF2">
        <w:t xml:space="preserve"> </w:t>
      </w:r>
      <w:r w:rsidR="00EA40B1" w:rsidRPr="00EA40B1">
        <w:t>Bacterial conjunctivitis can resolve without treatment.</w:t>
      </w:r>
      <w:r w:rsidR="004D5AF2">
        <w:t xml:space="preserve"> </w:t>
      </w:r>
      <w:r w:rsidR="00EA40B1" w:rsidRPr="00EA40B1">
        <w:t>The benefits to patients treated with topical antibiotics are shortened duration of disease and benefit specific to besifloxacin is the TID dosing schedule.</w:t>
      </w:r>
    </w:p>
    <w:p w:rsidR="00EA40B1" w:rsidRPr="00EA40B1" w:rsidRDefault="00EA40B1" w:rsidP="00F240B7">
      <w:r w:rsidRPr="00EA40B1">
        <w:lastRenderedPageBreak/>
        <w:t>Moxifloxicin eye drops are the active comparator for with non</w:t>
      </w:r>
      <w:r w:rsidR="00C042F0">
        <w:t xml:space="preserve"> </w:t>
      </w:r>
      <w:r w:rsidRPr="00EA40B1">
        <w:t>inferiority was demonstrated in a pivotal clinical study. Moxifoxacin eye drops are not registered in Australia.</w:t>
      </w:r>
      <w:r w:rsidR="004D5AF2">
        <w:t xml:space="preserve"> </w:t>
      </w:r>
      <w:r w:rsidR="00686F1B">
        <w:t>FQ</w:t>
      </w:r>
      <w:r w:rsidRPr="00EA40B1">
        <w:t xml:space="preserve"> eye drops are not recommended for treatment of bacterial conjunctivitis in Australian Therapeutic Guidelines for Antibiotics.</w:t>
      </w:r>
      <w:r w:rsidR="004D5AF2">
        <w:t xml:space="preserve"> </w:t>
      </w:r>
      <w:r w:rsidRPr="00EA40B1">
        <w:t>Risks and benefits have</w:t>
      </w:r>
      <w:r w:rsidR="004D5AF2">
        <w:t xml:space="preserve"> </w:t>
      </w:r>
      <w:r w:rsidRPr="00EA40B1">
        <w:t>not</w:t>
      </w:r>
      <w:r w:rsidR="004D5AF2">
        <w:t xml:space="preserve"> </w:t>
      </w:r>
      <w:r w:rsidRPr="00EA40B1">
        <w:t>been demonstrated for besifloxacin as compared with appropriate recognised therapies for bacterial conjunctivitis in Australia.</w:t>
      </w:r>
    </w:p>
    <w:p w:rsidR="00EA40B1" w:rsidRPr="00EA40B1" w:rsidRDefault="00EA40B1" w:rsidP="00F240B7">
      <w:r w:rsidRPr="00EA40B1">
        <w:t>The proposed indication infers susceptibility testing should be undertaken before antibacteri</w:t>
      </w:r>
      <w:r w:rsidR="0082795A">
        <w:t>al therapy is commenced. The clinical evaluation report</w:t>
      </w:r>
      <w:r w:rsidRPr="00EA40B1">
        <w:t xml:space="preserve"> notes that susceptibility testing may not be routine in treatment of bacterial conjunctivitis.</w:t>
      </w:r>
      <w:r w:rsidR="004D5AF2">
        <w:t xml:space="preserve"> </w:t>
      </w:r>
      <w:r w:rsidRPr="00EA40B1">
        <w:t>The ACSOM committee has</w:t>
      </w:r>
      <w:r w:rsidR="004D5AF2">
        <w:t xml:space="preserve"> </w:t>
      </w:r>
      <w:r w:rsidRPr="00EA40B1">
        <w:t>advised that it would be impractical in the case of bacterial conjunctivitis to require confirmation of bacteria susceptibility.</w:t>
      </w:r>
      <w:r w:rsidR="00B42FE3">
        <w:t xml:space="preserve"> The Delegate </w:t>
      </w:r>
      <w:r w:rsidRPr="00EA40B1">
        <w:t>consider</w:t>
      </w:r>
      <w:r w:rsidR="00B42FE3">
        <w:t>s</w:t>
      </w:r>
      <w:r w:rsidRPr="00EA40B1">
        <w:t xml:space="preserve"> that the listing of the specific organisms may be inappropriate given the ACSOM advice.</w:t>
      </w:r>
    </w:p>
    <w:p w:rsidR="00EA40B1" w:rsidRPr="00EA40B1" w:rsidRDefault="00EA40B1" w:rsidP="00F240B7">
      <w:r w:rsidRPr="00EA40B1">
        <w:t xml:space="preserve">The clinical studies submitted included low numbers of children between 12 and 24 months of age. The </w:t>
      </w:r>
      <w:r w:rsidR="00CD1340">
        <w:t>clinical evaluation report</w:t>
      </w:r>
      <w:r w:rsidRPr="00EA40B1">
        <w:t xml:space="preserve"> has not presented any sub</w:t>
      </w:r>
      <w:r w:rsidR="00CD1340">
        <w:t xml:space="preserve"> </w:t>
      </w:r>
      <w:r w:rsidRPr="00EA40B1">
        <w:t>analyses of efficacy and safety by age.</w:t>
      </w:r>
    </w:p>
    <w:p w:rsidR="00F424C7" w:rsidRPr="00F240B7" w:rsidRDefault="00F424C7" w:rsidP="00F240B7">
      <w:pPr>
        <w:pStyle w:val="Heading5"/>
      </w:pPr>
      <w:r>
        <w:t>Request to ACPM</w:t>
      </w:r>
    </w:p>
    <w:p w:rsidR="00F424C7" w:rsidRPr="00F424C7" w:rsidRDefault="00544645" w:rsidP="00F240B7">
      <w:r>
        <w:t>The Delegate</w:t>
      </w:r>
      <w:r w:rsidR="00F424C7" w:rsidRPr="00F424C7">
        <w:t xml:space="preserve"> thank</w:t>
      </w:r>
      <w:r>
        <w:t>s</w:t>
      </w:r>
      <w:r w:rsidR="00F424C7" w:rsidRPr="00F424C7">
        <w:t xml:space="preserve"> the ACPM for discussing and providing </w:t>
      </w:r>
      <w:r w:rsidR="00B263DF">
        <w:t>advice on the following issues:</w:t>
      </w:r>
    </w:p>
    <w:p w:rsidR="00F424C7" w:rsidRPr="00F424C7" w:rsidRDefault="00F424C7" w:rsidP="00F240B7">
      <w:pPr>
        <w:pStyle w:val="ListBullet"/>
      </w:pPr>
      <w:r w:rsidRPr="00F424C7">
        <w:t xml:space="preserve">Whether registration of besifloxacin eye </w:t>
      </w:r>
      <w:r w:rsidRPr="00F240B7">
        <w:t>drops</w:t>
      </w:r>
      <w:r w:rsidRPr="00F424C7">
        <w:t xml:space="preserve"> for treatment of bacterial conjunctivitis is associated with potential for development of resistance to besifloxacin and cross resistance to moxifloxacin which has high impact and is </w:t>
      </w:r>
      <w:r w:rsidR="00371C31">
        <w:t xml:space="preserve">a </w:t>
      </w:r>
      <w:r w:rsidRPr="00F424C7">
        <w:t>reason for rejection of this application?</w:t>
      </w:r>
    </w:p>
    <w:p w:rsidR="00F424C7" w:rsidRPr="00F424C7" w:rsidRDefault="00F424C7" w:rsidP="00F240B7">
      <w:pPr>
        <w:pStyle w:val="ListBullet"/>
      </w:pPr>
      <w:r w:rsidRPr="00F424C7">
        <w:t xml:space="preserve">Have risks and benefits been adequately </w:t>
      </w:r>
      <w:r w:rsidRPr="00F240B7">
        <w:t>supported</w:t>
      </w:r>
      <w:r w:rsidRPr="00F424C7">
        <w:t xml:space="preserve"> compared with appropriate recognised therapies for bacterial conjunctivitis?</w:t>
      </w:r>
    </w:p>
    <w:p w:rsidR="00F424C7" w:rsidRPr="00F424C7" w:rsidRDefault="00F424C7" w:rsidP="00F240B7">
      <w:r w:rsidRPr="00F424C7">
        <w:t>If the ACPM supports registration of besifloxacin eye drops despite this Delegate’s concerns about resistance and cross resistance risk, provide advice on the issues:</w:t>
      </w:r>
    </w:p>
    <w:p w:rsidR="00F424C7" w:rsidRPr="00F424C7" w:rsidRDefault="00F424C7" w:rsidP="00F240B7">
      <w:pPr>
        <w:pStyle w:val="ListBullet"/>
      </w:pPr>
      <w:r w:rsidRPr="00F424C7">
        <w:t xml:space="preserve">Is the proposed listing of specific organisms </w:t>
      </w:r>
      <w:r w:rsidRPr="00F240B7">
        <w:t>in</w:t>
      </w:r>
      <w:r w:rsidRPr="00F424C7">
        <w:t xml:space="preserve"> </w:t>
      </w:r>
      <w:r w:rsidR="00332407">
        <w:t>‘</w:t>
      </w:r>
      <w:r w:rsidRPr="00F424C7">
        <w:t>Indications</w:t>
      </w:r>
      <w:r w:rsidR="00332407">
        <w:t>’</w:t>
      </w:r>
      <w:r w:rsidRPr="00F424C7">
        <w:t xml:space="preserve"> is appropriate?</w:t>
      </w:r>
    </w:p>
    <w:p w:rsidR="00F424C7" w:rsidRPr="00F424C7" w:rsidRDefault="00F424C7" w:rsidP="00F240B7">
      <w:pPr>
        <w:pStyle w:val="ListBullet"/>
      </w:pPr>
      <w:r w:rsidRPr="00F424C7">
        <w:t xml:space="preserve">Is the proposed listing of organisms studied </w:t>
      </w:r>
      <w:r w:rsidRPr="00F240B7">
        <w:t>in</w:t>
      </w:r>
      <w:r w:rsidRPr="00F424C7">
        <w:t xml:space="preserve"> fewer than 10 infections in </w:t>
      </w:r>
      <w:r w:rsidR="00332407">
        <w:t>‘</w:t>
      </w:r>
      <w:r w:rsidRPr="00B263DF">
        <w:t>Indications</w:t>
      </w:r>
      <w:r w:rsidR="00332407" w:rsidRPr="00B263DF">
        <w:t>’</w:t>
      </w:r>
      <w:r w:rsidRPr="00F424C7">
        <w:t xml:space="preserve"> appropriate?</w:t>
      </w:r>
    </w:p>
    <w:p w:rsidR="00F424C7" w:rsidRPr="00F424C7" w:rsidRDefault="00F424C7" w:rsidP="00F240B7">
      <w:pPr>
        <w:pStyle w:val="ListBullet"/>
      </w:pPr>
      <w:r w:rsidRPr="00F424C7">
        <w:t xml:space="preserve">Is there adequate support for efficacy and </w:t>
      </w:r>
      <w:r w:rsidRPr="00F240B7">
        <w:t>safety</w:t>
      </w:r>
      <w:r w:rsidRPr="00F424C7">
        <w:t xml:space="preserve"> in children from 12 </w:t>
      </w:r>
      <w:r w:rsidRPr="00B263DF">
        <w:t>months</w:t>
      </w:r>
      <w:r w:rsidR="00B263DF">
        <w:t xml:space="preserve"> of age?</w:t>
      </w:r>
    </w:p>
    <w:p w:rsidR="00F424C7" w:rsidRDefault="00F424C7" w:rsidP="00F240B7">
      <w:r w:rsidRPr="00F424C7">
        <w:t>The committee is (also) requested to provide advice on any other issues that it thinks may be relevant to a decision on whether or not to approve this application.</w:t>
      </w:r>
    </w:p>
    <w:p w:rsidR="00D80718" w:rsidRPr="00F240B7" w:rsidRDefault="00D80718" w:rsidP="00F240B7">
      <w:pPr>
        <w:pStyle w:val="Heading5"/>
      </w:pPr>
      <w:r w:rsidRPr="00D80718">
        <w:t>Pre ACPM preliminary assessment</w:t>
      </w:r>
    </w:p>
    <w:p w:rsidR="00D80718" w:rsidRPr="00D80718" w:rsidRDefault="00D80718" w:rsidP="00F240B7">
      <w:r w:rsidRPr="00D80718">
        <w:t>The Delegate is not in a position to say, at this time, that the application for Besivance</w:t>
      </w:r>
      <w:r w:rsidR="00537154">
        <w:t xml:space="preserve"> </w:t>
      </w:r>
      <w:r w:rsidRPr="00D80718">
        <w:t>should be approved for registration.</w:t>
      </w:r>
    </w:p>
    <w:p w:rsidR="008E7846" w:rsidRPr="00F240B7" w:rsidRDefault="008E7846" w:rsidP="00F240B7">
      <w:pPr>
        <w:pStyle w:val="Heading4"/>
      </w:pPr>
      <w:r>
        <w:t xml:space="preserve">Response from </w:t>
      </w:r>
      <w:r w:rsidR="00D82B23">
        <w:t>s</w:t>
      </w:r>
      <w:r>
        <w:t>ponsor</w:t>
      </w:r>
    </w:p>
    <w:p w:rsidR="00106ACA" w:rsidRPr="00F240B7" w:rsidRDefault="00106ACA" w:rsidP="00F240B7">
      <w:pPr>
        <w:pStyle w:val="Heading5"/>
      </w:pPr>
      <w:r>
        <w:rPr>
          <w:lang w:eastAsia="en-AU"/>
        </w:rPr>
        <w:t>Evaluation reports</w:t>
      </w:r>
    </w:p>
    <w:p w:rsidR="00106ACA" w:rsidRPr="00106ACA" w:rsidRDefault="00B97874" w:rsidP="00F240B7">
      <w:r>
        <w:t>The sponsor</w:t>
      </w:r>
      <w:r w:rsidR="00106ACA" w:rsidRPr="00106ACA">
        <w:t xml:space="preserve"> agrees with all comments and recommendations provided in evaluation reports.</w:t>
      </w:r>
    </w:p>
    <w:p w:rsidR="00106ACA" w:rsidRPr="00F240B7" w:rsidRDefault="00106ACA" w:rsidP="00F240B7">
      <w:pPr>
        <w:pStyle w:val="Heading5"/>
      </w:pPr>
      <w:r>
        <w:rPr>
          <w:lang w:eastAsia="en-AU"/>
        </w:rPr>
        <w:t>Request for ACPM’s advice</w:t>
      </w:r>
    </w:p>
    <w:p w:rsidR="00106ACA" w:rsidRPr="00106ACA" w:rsidRDefault="002C2E89" w:rsidP="00F240B7">
      <w:r>
        <w:t>The sponsor</w:t>
      </w:r>
      <w:r w:rsidRPr="00106ACA">
        <w:t xml:space="preserve"> </w:t>
      </w:r>
      <w:r w:rsidR="00106ACA" w:rsidRPr="00106ACA">
        <w:t>would like to address the followin</w:t>
      </w:r>
      <w:r w:rsidR="00AA6A43">
        <w:t>g issues raised by the Delegate.</w:t>
      </w:r>
    </w:p>
    <w:p w:rsidR="00106ACA" w:rsidRPr="00B263DF" w:rsidRDefault="00106ACA" w:rsidP="00F240B7">
      <w:pPr>
        <w:pStyle w:val="Heading5"/>
      </w:pPr>
      <w:r w:rsidRPr="00106ACA">
        <w:lastRenderedPageBreak/>
        <w:t xml:space="preserve">1. Development of resistance to besifloxacin </w:t>
      </w:r>
      <w:r w:rsidRPr="00F240B7">
        <w:t>and</w:t>
      </w:r>
      <w:r w:rsidRPr="00106ACA">
        <w:t xml:space="preserve"> cross resistance to moxifloxacin</w:t>
      </w:r>
    </w:p>
    <w:p w:rsidR="00106ACA" w:rsidRPr="00F240B7" w:rsidRDefault="00106ACA" w:rsidP="00F240B7">
      <w:pPr>
        <w:pStyle w:val="Heading6"/>
      </w:pPr>
      <w:r w:rsidRPr="00106ACA">
        <w:t xml:space="preserve">Mechanisms of </w:t>
      </w:r>
      <w:r w:rsidR="00B263DF">
        <w:t>r</w:t>
      </w:r>
      <w:r w:rsidRPr="00106ACA">
        <w:t>esistance</w:t>
      </w:r>
    </w:p>
    <w:p w:rsidR="00106ACA" w:rsidRPr="006E2119" w:rsidRDefault="00106ACA" w:rsidP="00F240B7">
      <w:r w:rsidRPr="006E2119">
        <w:t xml:space="preserve">Development of </w:t>
      </w:r>
      <w:r w:rsidR="00686F1B">
        <w:t>resistance to FQs</w:t>
      </w:r>
      <w:r w:rsidRPr="006E2119">
        <w:t xml:space="preserve"> can be the result of single</w:t>
      </w:r>
      <w:r w:rsidR="00E01667">
        <w:t xml:space="preserve"> </w:t>
      </w:r>
      <w:r w:rsidRPr="006E2119">
        <w:t xml:space="preserve">step or multistep </w:t>
      </w:r>
      <w:r w:rsidR="003F2CA0">
        <w:t xml:space="preserve">mutations. Single </w:t>
      </w:r>
      <w:r w:rsidRPr="006E2119">
        <w:t xml:space="preserve">step mutations mainly occur within </w:t>
      </w:r>
      <w:r w:rsidR="00C26E9A">
        <w:t>genes that encode for one</w:t>
      </w:r>
      <w:r w:rsidR="003A52EF">
        <w:t xml:space="preserve"> of the two</w:t>
      </w:r>
      <w:r w:rsidRPr="006E2119">
        <w:t xml:space="preserve"> principal target enzymes or in the genes involved in efflux pumps or membrane permeability proteins. These mutations, in most cases, produce low</w:t>
      </w:r>
      <w:r w:rsidR="0036604F">
        <w:t xml:space="preserve"> </w:t>
      </w:r>
      <w:r w:rsidRPr="006E2119">
        <w:t xml:space="preserve">level </w:t>
      </w:r>
      <w:r w:rsidR="00FF5957">
        <w:t>antibiotic resistance. Multi</w:t>
      </w:r>
      <w:r w:rsidRPr="006E2119">
        <w:t>step mutations, where organisms acquire mutations in genes encoding both principal target enzymes, are more likely to occur when bacteria are repeatedly exposed to low levels of antibiotic or with use of intermittent or tapered dosing o</w:t>
      </w:r>
      <w:r w:rsidR="00037BD2">
        <w:t>ver long periods</w:t>
      </w:r>
      <w:r w:rsidRPr="006E2119">
        <w:t>.</w:t>
      </w:r>
      <w:r w:rsidR="00037BD2">
        <w:rPr>
          <w:rStyle w:val="FootnoteReference"/>
        </w:rPr>
        <w:footnoteReference w:id="7"/>
      </w:r>
      <w:r w:rsidRPr="006E2119">
        <w:t xml:space="preserve"> Acquisition of such high</w:t>
      </w:r>
      <w:r w:rsidR="0057697F">
        <w:t xml:space="preserve"> </w:t>
      </w:r>
      <w:r w:rsidRPr="006E2119">
        <w:t xml:space="preserve">level </w:t>
      </w:r>
      <w:r w:rsidR="00686F1B">
        <w:t>FQ</w:t>
      </w:r>
      <w:r w:rsidRPr="006E2119">
        <w:t xml:space="preserve"> resistance is likely a serial process of</w:t>
      </w:r>
      <w:r w:rsidR="009907C9" w:rsidRPr="006E2119">
        <w:t xml:space="preserve"> </w:t>
      </w:r>
      <w:r w:rsidRPr="006E2119">
        <w:t>chromosomal mutations and not related to gene transfer.</w:t>
      </w:r>
    </w:p>
    <w:p w:rsidR="00106ACA" w:rsidRPr="00F240B7" w:rsidRDefault="00106ACA" w:rsidP="00F240B7">
      <w:pPr>
        <w:pStyle w:val="Heading6"/>
      </w:pPr>
      <w:r>
        <w:rPr>
          <w:rFonts w:cs="Cambria"/>
          <w:lang w:eastAsia="en-AU"/>
        </w:rPr>
        <w:t>R</w:t>
      </w:r>
      <w:r>
        <w:rPr>
          <w:lang w:eastAsia="en-AU"/>
        </w:rPr>
        <w:t>isk of developing resistance to besifloxacin</w:t>
      </w:r>
    </w:p>
    <w:p w:rsidR="00106ACA" w:rsidRPr="006E2119" w:rsidRDefault="00106ACA" w:rsidP="00F240B7">
      <w:r w:rsidRPr="006E2119">
        <w:t>Development of resistance to FQs is related to their mechanism of action. The primary targets</w:t>
      </w:r>
      <w:r w:rsidR="00F039C5">
        <w:t xml:space="preserve"> </w:t>
      </w:r>
      <w:r w:rsidRPr="006E2119">
        <w:t>of this class of antibiotics in susceptible species a</w:t>
      </w:r>
      <w:r w:rsidR="00F039C5">
        <w:t xml:space="preserve">re the bacterial DNA gyrase and </w:t>
      </w:r>
      <w:r w:rsidRPr="006E2119">
        <w:t>topoisomerase IV. Ciprofloxacin and ofloxacin preferentiall</w:t>
      </w:r>
      <w:r w:rsidR="00F039C5">
        <w:t xml:space="preserve">y target one replication enzyme </w:t>
      </w:r>
      <w:r w:rsidRPr="006E2119">
        <w:t xml:space="preserve">over the other. Structural modifications of the newer </w:t>
      </w:r>
      <w:r w:rsidR="00686F1B">
        <w:t>FQ</w:t>
      </w:r>
      <w:r w:rsidR="00F039C5">
        <w:t xml:space="preserve">s help provide more </w:t>
      </w:r>
      <w:r w:rsidRPr="006E2119">
        <w:t>balanced binding to both enzymes. As a result, newer FQ</w:t>
      </w:r>
      <w:r w:rsidR="00F039C5">
        <w:t xml:space="preserve">s such as besifloxacin are more </w:t>
      </w:r>
      <w:r w:rsidRPr="006E2119">
        <w:t xml:space="preserve">active than older ones against </w:t>
      </w:r>
      <w:r w:rsidR="000D65DC">
        <w:t>Gram +ve</w:t>
      </w:r>
      <w:r w:rsidRPr="006E2119">
        <w:t xml:space="preserve"> bac</w:t>
      </w:r>
      <w:r w:rsidR="00F039C5">
        <w:t xml:space="preserve">teria associated with bacterial </w:t>
      </w:r>
      <w:r w:rsidRPr="006E2119">
        <w:t>conjunctivitis,</w:t>
      </w:r>
      <w:r w:rsidR="00F039C5">
        <w:t xml:space="preserve"> </w:t>
      </w:r>
      <w:r w:rsidRPr="006E2119">
        <w:t>including staphylococci and streptococci strains that are not susceptible to other antibiotics.</w:t>
      </w:r>
      <w:r w:rsidR="009D4A9F">
        <w:rPr>
          <w:rStyle w:val="FootnoteReference"/>
        </w:rPr>
        <w:footnoteReference w:id="8"/>
      </w:r>
    </w:p>
    <w:p w:rsidR="00106ACA" w:rsidRPr="006E2119" w:rsidRDefault="00106ACA" w:rsidP="00F240B7">
      <w:r w:rsidRPr="006E2119">
        <w:t xml:space="preserve">Since besifloxacin is a relatively new </w:t>
      </w:r>
      <w:r w:rsidR="00686F1B">
        <w:t>FQ</w:t>
      </w:r>
      <w:r w:rsidRPr="006E2119">
        <w:t xml:space="preserve"> with the first marketing authorisation</w:t>
      </w:r>
      <w:r w:rsidR="00F039C5">
        <w:t xml:space="preserve"> </w:t>
      </w:r>
      <w:r w:rsidRPr="006E2119">
        <w:t>granted in May 2009 in the USA, the data on development of resistance are not as extensive</w:t>
      </w:r>
      <w:r w:rsidR="00F039C5">
        <w:t xml:space="preserve"> </w:t>
      </w:r>
      <w:r w:rsidRPr="006E2119">
        <w:t xml:space="preserve">as those for other </w:t>
      </w:r>
      <w:r w:rsidR="00686F1B">
        <w:t>FQ</w:t>
      </w:r>
      <w:r w:rsidRPr="006E2119">
        <w:t>s. However, the combination of the balanced dual targeting</w:t>
      </w:r>
      <w:r w:rsidR="00F039C5">
        <w:t xml:space="preserve"> </w:t>
      </w:r>
      <w:r w:rsidRPr="006E2119">
        <w:t>mechanism of action and the high potency of besifloxacin suggest that the development of</w:t>
      </w:r>
      <w:r w:rsidR="00F039C5">
        <w:t xml:space="preserve"> </w:t>
      </w:r>
      <w:r w:rsidRPr="006E2119">
        <w:t>drug resistance due to besifloxacin treatment will be of a lesser concern than it is for</w:t>
      </w:r>
      <w:r w:rsidR="00F039C5">
        <w:t xml:space="preserve"> </w:t>
      </w:r>
      <w:r w:rsidRPr="006E2119">
        <w:t>comparator antimicrobial agents.</w:t>
      </w:r>
    </w:p>
    <w:p w:rsidR="00106ACA" w:rsidRPr="006E2119" w:rsidRDefault="00106ACA" w:rsidP="00F240B7">
      <w:r w:rsidRPr="00DB073F">
        <w:rPr>
          <w:i/>
        </w:rPr>
        <w:t>In vitro</w:t>
      </w:r>
      <w:r w:rsidRPr="006E2119">
        <w:t xml:space="preserve"> studies have shown that resistance to besifloxacin develops via multiple</w:t>
      </w:r>
      <w:r w:rsidR="001E41E2">
        <w:t xml:space="preserve"> </w:t>
      </w:r>
      <w:r w:rsidRPr="006E2119">
        <w:t>step</w:t>
      </w:r>
      <w:r w:rsidR="00F039C5">
        <w:t xml:space="preserve"> </w:t>
      </w:r>
      <w:r w:rsidR="009D5B4A">
        <w:t>mutations</w:t>
      </w:r>
      <w:r w:rsidRPr="006E2119">
        <w:t>,</w:t>
      </w:r>
      <w:r w:rsidR="009D5B4A">
        <w:rPr>
          <w:rStyle w:val="FootnoteReference"/>
        </w:rPr>
        <w:footnoteReference w:id="9"/>
      </w:r>
      <w:r w:rsidRPr="006E2119">
        <w:t xml:space="preserve"> which is likely to occur when </w:t>
      </w:r>
      <w:r w:rsidR="00F039C5">
        <w:t xml:space="preserve">bacteria are repeatedly exposed </w:t>
      </w:r>
      <w:r w:rsidRPr="006E2119">
        <w:t>to</w:t>
      </w:r>
      <w:r w:rsidR="00F039C5">
        <w:t xml:space="preserve"> </w:t>
      </w:r>
      <w:r w:rsidRPr="006E2119">
        <w:t>low levels of antibiotic or with use of intermittent or tapered dosing over long periods.</w:t>
      </w:r>
      <w:r w:rsidR="00F039C5">
        <w:t xml:space="preserve"> </w:t>
      </w:r>
      <w:r w:rsidRPr="006E2119">
        <w:t>However, neither is likely to occur with the proposed use of Besivance.</w:t>
      </w:r>
    </w:p>
    <w:p w:rsidR="00106ACA" w:rsidRDefault="00106ACA" w:rsidP="00F240B7">
      <w:r w:rsidRPr="006E2119">
        <w:t>Analyses of the antibacterial susceptibility data from the th</w:t>
      </w:r>
      <w:r w:rsidR="00F039C5">
        <w:t xml:space="preserve">ree pivotal safety and efficacy </w:t>
      </w:r>
      <w:r w:rsidRPr="006E2119">
        <w:t>besifloxacin clinical trials showed that in no case did baselin</w:t>
      </w:r>
      <w:r w:rsidR="00F039C5">
        <w:t xml:space="preserve">e strains develop resistance to </w:t>
      </w:r>
      <w:r w:rsidRPr="006E2119">
        <w:t>besifloxacin during the treatment period.</w:t>
      </w:r>
    </w:p>
    <w:p w:rsidR="003A52EF" w:rsidRPr="003A52EF" w:rsidRDefault="009B3211" w:rsidP="00F240B7">
      <w:r w:rsidRPr="003A52EF">
        <w:t>The risk of overgrowth of non-susceptible organisms that may result from prolonged use is sufficiently addressed with the restriction of labelled use to 7 days. Additionally, besifloxacin</w:t>
      </w:r>
      <w:r w:rsidR="003A52EF" w:rsidRPr="003A52EF">
        <w:t xml:space="preserve"> does not have systemic counterparts, theoretically eliminating the contribution of systemic use to the emergence of resistance.</w:t>
      </w:r>
    </w:p>
    <w:p w:rsidR="003A52EF" w:rsidRPr="00272072" w:rsidRDefault="003A52EF" w:rsidP="00F240B7">
      <w:pPr>
        <w:pStyle w:val="Heading6"/>
      </w:pPr>
      <w:r>
        <w:rPr>
          <w:rFonts w:cs="Cambria"/>
          <w:lang w:eastAsia="en-AU"/>
        </w:rPr>
        <w:t>R</w:t>
      </w:r>
      <w:r>
        <w:rPr>
          <w:lang w:eastAsia="en-AU"/>
        </w:rPr>
        <w:t xml:space="preserve">isk of developing cross resistance to </w:t>
      </w:r>
      <w:r w:rsidRPr="00F240B7">
        <w:t>moxifloxacin</w:t>
      </w:r>
    </w:p>
    <w:p w:rsidR="003A52EF" w:rsidRPr="00F952D1" w:rsidRDefault="003A52EF" w:rsidP="00F240B7">
      <w:r w:rsidRPr="00F952D1">
        <w:t xml:space="preserve">Cross resistance is common among all </w:t>
      </w:r>
      <w:r w:rsidR="00686F1B">
        <w:t>FQ</w:t>
      </w:r>
      <w:r w:rsidRPr="00F952D1">
        <w:t>s. The risk of developing moxifloxacin</w:t>
      </w:r>
      <w:r w:rsidR="00853E1A" w:rsidRPr="00F952D1">
        <w:t xml:space="preserve"> </w:t>
      </w:r>
      <w:r w:rsidRPr="00F952D1">
        <w:t>resistance due to ophthalmic use of besifloxacin should be no different or lower than the risk</w:t>
      </w:r>
      <w:r w:rsidR="00853E1A" w:rsidRPr="00F952D1">
        <w:t xml:space="preserve"> </w:t>
      </w:r>
      <w:r w:rsidRPr="00F952D1">
        <w:t>of developing moxifloxacin resistance resulting from ophthalmic use of the currently</w:t>
      </w:r>
      <w:r w:rsidR="00853E1A" w:rsidRPr="00F952D1">
        <w:t xml:space="preserve"> </w:t>
      </w:r>
      <w:r w:rsidRPr="00F952D1">
        <w:t>approved ciprofloxacin and ofloxacin eye drops.The dose of besifloxacin delivered</w:t>
      </w:r>
      <w:r w:rsidR="00853E1A" w:rsidRPr="00F952D1">
        <w:t xml:space="preserve"> </w:t>
      </w:r>
      <w:r w:rsidRPr="00F952D1">
        <w:t>(</w:t>
      </w:r>
      <w:r w:rsidR="00D10EEB">
        <w:t>~</w:t>
      </w:r>
      <w:r w:rsidR="00DD2B35">
        <w:t>0.6-</w:t>
      </w:r>
      <w:r w:rsidRPr="00F952D1">
        <w:t>1.3 mg/day) is small in comparison with the systemic doses for other</w:t>
      </w:r>
      <w:r w:rsidR="00853E1A" w:rsidRPr="00F952D1">
        <w:t xml:space="preserve"> </w:t>
      </w:r>
      <w:r w:rsidR="00686F1B">
        <w:t>FQ</w:t>
      </w:r>
      <w:r w:rsidRPr="00F952D1">
        <w:t>s (</w:t>
      </w:r>
      <w:r w:rsidR="00DD2B35">
        <w:t>~400-</w:t>
      </w:r>
      <w:r w:rsidRPr="00F952D1">
        <w:t xml:space="preserve">500 </w:t>
      </w:r>
      <w:r w:rsidRPr="00F952D1">
        <w:lastRenderedPageBreak/>
        <w:t>mg/day). Besifloxacin also has less selective</w:t>
      </w:r>
      <w:r w:rsidR="00853E1A" w:rsidRPr="00F952D1">
        <w:t xml:space="preserve"> </w:t>
      </w:r>
      <w:r w:rsidRPr="00F952D1">
        <w:t>pressure for resistance development because of the lack of a systemic counterpart, and as</w:t>
      </w:r>
      <w:r w:rsidR="00853E1A" w:rsidRPr="00F952D1">
        <w:t xml:space="preserve"> </w:t>
      </w:r>
      <w:r w:rsidRPr="00F952D1">
        <w:t>stated previously, the balanced dual targeting mechanism of action and the high potency of</w:t>
      </w:r>
      <w:r w:rsidR="00853E1A" w:rsidRPr="00F952D1">
        <w:t xml:space="preserve"> </w:t>
      </w:r>
      <w:r w:rsidRPr="00F952D1">
        <w:t>besifloxacin suggest that the development of drug resistance due to besifloxacin treatment</w:t>
      </w:r>
      <w:r w:rsidR="00853E1A" w:rsidRPr="00F952D1">
        <w:t xml:space="preserve"> </w:t>
      </w:r>
      <w:r w:rsidRPr="00F952D1">
        <w:t>will be of a lesser concern than it is for comparator antimicrobial agents.</w:t>
      </w:r>
    </w:p>
    <w:p w:rsidR="003A52EF" w:rsidRPr="00F240B7" w:rsidRDefault="003A52EF" w:rsidP="00F240B7">
      <w:pPr>
        <w:pStyle w:val="Heading6"/>
      </w:pPr>
      <w:r>
        <w:rPr>
          <w:lang w:eastAsia="en-AU"/>
        </w:rPr>
        <w:t>Risk mitigation and monitoring</w:t>
      </w:r>
    </w:p>
    <w:p w:rsidR="003A52EF" w:rsidRPr="00F952D1" w:rsidRDefault="003A52EF" w:rsidP="00F240B7">
      <w:r w:rsidRPr="00F952D1">
        <w:t>The antibiotic resistance has been monitored with the following studies:</w:t>
      </w:r>
    </w:p>
    <w:p w:rsidR="003A52EF" w:rsidRPr="00F952D1" w:rsidRDefault="003A52EF" w:rsidP="00F240B7">
      <w:pPr>
        <w:pStyle w:val="ListBullet"/>
      </w:pPr>
      <w:r w:rsidRPr="00F952D1">
        <w:t xml:space="preserve">The </w:t>
      </w:r>
      <w:r w:rsidR="001E41E2">
        <w:t>ARMOR</w:t>
      </w:r>
      <w:r w:rsidR="00F952D1">
        <w:t xml:space="preserve"> </w:t>
      </w:r>
      <w:r w:rsidRPr="00F952D1">
        <w:t xml:space="preserve">surveillance </w:t>
      </w:r>
      <w:r w:rsidRPr="00F240B7">
        <w:t>study</w:t>
      </w:r>
      <w:r w:rsidRPr="00F952D1">
        <w:t xml:space="preserve"> is an annual, prospective surveillance initiative that </w:t>
      </w:r>
      <w:r w:rsidR="001E41E2">
        <w:t>the sponsor</w:t>
      </w:r>
      <w:r w:rsidR="001E41E2" w:rsidRPr="00106ACA">
        <w:t xml:space="preserve"> </w:t>
      </w:r>
      <w:r w:rsidRPr="00F952D1">
        <w:t>began in 2009. The purpose of the ARMOR study is to establish the activity</w:t>
      </w:r>
      <w:r w:rsidR="00F952D1">
        <w:t xml:space="preserve"> </w:t>
      </w:r>
      <w:r w:rsidRPr="00F952D1">
        <w:t>profile of besifloxacin and comparator compounds against ocular clinical isolates</w:t>
      </w:r>
      <w:r w:rsidR="00F952D1">
        <w:t xml:space="preserve"> </w:t>
      </w:r>
      <w:r w:rsidRPr="00F952D1">
        <w:t>collected across the USA and to monitor changes in activity of these agents going</w:t>
      </w:r>
      <w:r w:rsidR="00F952D1">
        <w:t xml:space="preserve"> </w:t>
      </w:r>
      <w:r w:rsidRPr="00F952D1">
        <w:t>forward.</w:t>
      </w:r>
    </w:p>
    <w:p w:rsidR="00D11A54" w:rsidRDefault="003A52EF" w:rsidP="00272072">
      <w:pPr>
        <w:pStyle w:val="ListBullet"/>
      </w:pPr>
      <w:r w:rsidRPr="00F952D1">
        <w:t xml:space="preserve">An ocular surveillance </w:t>
      </w:r>
      <w:r w:rsidRPr="00272072">
        <w:t>study</w:t>
      </w:r>
      <w:r w:rsidRPr="00F952D1">
        <w:t xml:space="preserve"> was also performed in Europe (France, Germany, Italy</w:t>
      </w:r>
      <w:r w:rsidR="00F952D1">
        <w:t xml:space="preserve">, </w:t>
      </w:r>
      <w:r w:rsidRPr="00F952D1">
        <w:t>Poland, Spain, Slovak Republic, and UK) in 2010/201</w:t>
      </w:r>
      <w:r w:rsidR="00F952D1">
        <w:t xml:space="preserve">1 and showed results similar to </w:t>
      </w:r>
      <w:r w:rsidRPr="00F952D1">
        <w:t>the A</w:t>
      </w:r>
      <w:r w:rsidR="00D11A54">
        <w:t xml:space="preserve">RMOR study in the </w:t>
      </w:r>
      <w:r w:rsidR="00723E02">
        <w:t>USA</w:t>
      </w:r>
      <w:r w:rsidR="00D11A54">
        <w:t>.</w:t>
      </w:r>
    </w:p>
    <w:p w:rsidR="003A52EF" w:rsidRPr="00F952D1" w:rsidRDefault="00686F1B" w:rsidP="00F240B7">
      <w:r>
        <w:t>FQ</w:t>
      </w:r>
      <w:r w:rsidR="003A52EF" w:rsidRPr="00F952D1">
        <w:t>s are not expected to be the first line treatme</w:t>
      </w:r>
      <w:r w:rsidR="00C40031">
        <w:t xml:space="preserve">nt for bacterial conjunctivitis; </w:t>
      </w:r>
      <w:r w:rsidR="003A52EF" w:rsidRPr="00F952D1">
        <w:t>however, we believe that effective therapy such as besifloxacin should be available as a</w:t>
      </w:r>
      <w:r w:rsidR="00F952D1">
        <w:t xml:space="preserve"> </w:t>
      </w:r>
      <w:r w:rsidR="003A52EF" w:rsidRPr="00F952D1">
        <w:t>treatment option to the prescribers.</w:t>
      </w:r>
    </w:p>
    <w:p w:rsidR="003A52EF" w:rsidRDefault="003A52EF" w:rsidP="00F240B7">
      <w:pPr>
        <w:pStyle w:val="Heading5"/>
        <w:rPr>
          <w:lang w:eastAsia="en-AU"/>
        </w:rPr>
      </w:pPr>
      <w:r>
        <w:rPr>
          <w:lang w:eastAsia="en-AU"/>
        </w:rPr>
        <w:t xml:space="preserve">2. Have risks and benefits </w:t>
      </w:r>
      <w:r w:rsidRPr="00F240B7">
        <w:t>been</w:t>
      </w:r>
      <w:r>
        <w:rPr>
          <w:lang w:eastAsia="en-AU"/>
        </w:rPr>
        <w:t xml:space="preserve"> adequately supported as compared with appropriate</w:t>
      </w:r>
      <w:r w:rsidR="00DD2B35">
        <w:rPr>
          <w:lang w:eastAsia="en-AU"/>
        </w:rPr>
        <w:t xml:space="preserve"> </w:t>
      </w:r>
      <w:r>
        <w:rPr>
          <w:lang w:eastAsia="en-AU"/>
        </w:rPr>
        <w:t>recognised therapi</w:t>
      </w:r>
      <w:r w:rsidR="007B66C5">
        <w:rPr>
          <w:lang w:eastAsia="en-AU"/>
        </w:rPr>
        <w:t>es for bacterial conjunctivitis</w:t>
      </w:r>
      <w:r>
        <w:rPr>
          <w:lang w:eastAsia="en-AU"/>
        </w:rPr>
        <w:t>?</w:t>
      </w:r>
    </w:p>
    <w:p w:rsidR="003A52EF" w:rsidRPr="00DD2B35" w:rsidRDefault="001E359A" w:rsidP="00F240B7">
      <w:r>
        <w:t xml:space="preserve">The appropriate </w:t>
      </w:r>
      <w:r w:rsidR="004B0304">
        <w:t>therapies</w:t>
      </w:r>
      <w:r w:rsidR="003A52EF" w:rsidRPr="00DD2B35">
        <w:t xml:space="preserve"> for bacterial conjuctivitis recommended by Australian</w:t>
      </w:r>
      <w:r w:rsidR="00DD2B35">
        <w:t xml:space="preserve"> Therapeutic Guidelines are</w:t>
      </w:r>
      <w:r w:rsidR="003A52EF" w:rsidRPr="00DD2B35">
        <w:t>:</w:t>
      </w:r>
    </w:p>
    <w:p w:rsidR="003A52EF" w:rsidRPr="00E73082" w:rsidRDefault="003A52EF" w:rsidP="00F240B7">
      <w:pPr>
        <w:pStyle w:val="ListBullet"/>
      </w:pPr>
      <w:r w:rsidRPr="00E73082">
        <w:t>Propamidine isethionate</w:t>
      </w:r>
      <w:r w:rsidR="00A27E1C">
        <w:t>;</w:t>
      </w:r>
    </w:p>
    <w:p w:rsidR="003A52EF" w:rsidRPr="00E73082" w:rsidRDefault="003A52EF" w:rsidP="00272072">
      <w:pPr>
        <w:pStyle w:val="ListBullet"/>
      </w:pPr>
      <w:r w:rsidRPr="00E73082">
        <w:t>Chloramphenicol</w:t>
      </w:r>
      <w:r w:rsidR="00A27E1C">
        <w:t>;</w:t>
      </w:r>
      <w:r w:rsidRPr="00E73082">
        <w:t xml:space="preserve"> and</w:t>
      </w:r>
    </w:p>
    <w:p w:rsidR="003A52EF" w:rsidRPr="00E73082" w:rsidRDefault="003A52EF" w:rsidP="00F240B7">
      <w:pPr>
        <w:pStyle w:val="ListBullet"/>
      </w:pPr>
      <w:r w:rsidRPr="00E73082">
        <w:t>Framycetin sulfate</w:t>
      </w:r>
      <w:r w:rsidR="00A27E1C">
        <w:t>.</w:t>
      </w:r>
    </w:p>
    <w:p w:rsidR="003A52EF" w:rsidRPr="00DD2B35" w:rsidRDefault="003A52EF" w:rsidP="00F240B7">
      <w:r w:rsidRPr="00DD2B35">
        <w:t>Other approved anti</w:t>
      </w:r>
      <w:r w:rsidR="00E73082">
        <w:t xml:space="preserve"> </w:t>
      </w:r>
      <w:r w:rsidRPr="00DD2B35">
        <w:t>infective eye drops are:</w:t>
      </w:r>
    </w:p>
    <w:p w:rsidR="003A52EF" w:rsidRPr="00E73082" w:rsidRDefault="003A52EF" w:rsidP="00F240B7">
      <w:pPr>
        <w:pStyle w:val="ListBullet"/>
      </w:pPr>
      <w:r w:rsidRPr="00E73082">
        <w:t xml:space="preserve">Sulfacetamide </w:t>
      </w:r>
      <w:r w:rsidRPr="00272072">
        <w:t>sodium</w:t>
      </w:r>
      <w:r w:rsidR="00A27E1C">
        <w:t>;</w:t>
      </w:r>
    </w:p>
    <w:p w:rsidR="003A52EF" w:rsidRPr="00E73082" w:rsidRDefault="003A52EF" w:rsidP="00F240B7">
      <w:pPr>
        <w:pStyle w:val="ListBullet"/>
      </w:pPr>
      <w:r w:rsidRPr="00E73082">
        <w:t>Aminosides (</w:t>
      </w:r>
      <w:r w:rsidRPr="00272072">
        <w:t>tobramycin</w:t>
      </w:r>
      <w:r w:rsidRPr="00E73082">
        <w:t xml:space="preserve">, </w:t>
      </w:r>
      <w:r w:rsidRPr="00F240B7">
        <w:t>gentamicin</w:t>
      </w:r>
      <w:r w:rsidRPr="00E73082">
        <w:t>, tetracycline hydrochloride)</w:t>
      </w:r>
      <w:r w:rsidR="00A27E1C">
        <w:t>; and</w:t>
      </w:r>
    </w:p>
    <w:p w:rsidR="003A52EF" w:rsidRPr="00E73082" w:rsidRDefault="003A52EF" w:rsidP="00272072">
      <w:pPr>
        <w:pStyle w:val="ListBullet"/>
      </w:pPr>
      <w:r w:rsidRPr="00E73082">
        <w:t>Quinolones (</w:t>
      </w:r>
      <w:r w:rsidRPr="00272072">
        <w:t>ciprofloxacin</w:t>
      </w:r>
      <w:r w:rsidRPr="00E73082">
        <w:t>, ofloxacin)</w:t>
      </w:r>
      <w:r w:rsidR="00A27E1C">
        <w:t>.</w:t>
      </w:r>
    </w:p>
    <w:p w:rsidR="004069D6" w:rsidRPr="004069D6" w:rsidRDefault="007400B5" w:rsidP="00F240B7">
      <w:r w:rsidRPr="007400B5">
        <w:t xml:space="preserve">Besifloxacin is a new </w:t>
      </w:r>
      <w:r w:rsidR="00686F1B">
        <w:t>FQ</w:t>
      </w:r>
      <w:r w:rsidRPr="007400B5">
        <w:t>, specifically</w:t>
      </w:r>
      <w:r w:rsidR="00594E28">
        <w:t xml:space="preserve"> a chloro-fluoroquinolone develo</w:t>
      </w:r>
      <w:r w:rsidRPr="007400B5">
        <w:t>ped</w:t>
      </w:r>
      <w:r>
        <w:t xml:space="preserve"> </w:t>
      </w:r>
      <w:r w:rsidRPr="007400B5">
        <w:t>exclusively for topical ophthalmic use. Comparion of besi</w:t>
      </w:r>
      <w:r>
        <w:t>floxacin to other non</w:t>
      </w:r>
      <w:r w:rsidR="00162427">
        <w:t xml:space="preserve"> </w:t>
      </w:r>
      <w:r>
        <w:t xml:space="preserve">quinolone </w:t>
      </w:r>
      <w:r w:rsidRPr="007400B5">
        <w:t>groups of available medicines in clinical trials is not appropriate as it belongs to a different</w:t>
      </w:r>
      <w:r w:rsidR="004069D6">
        <w:t xml:space="preserve"> </w:t>
      </w:r>
      <w:r w:rsidR="004069D6" w:rsidRPr="004069D6">
        <w:t>class of antibiotics and has different mode of action. Non</w:t>
      </w:r>
      <w:r w:rsidR="0091425A">
        <w:t xml:space="preserve"> </w:t>
      </w:r>
      <w:r w:rsidR="004069D6" w:rsidRPr="004069D6">
        <w:t>quinolone antibiotics have</w:t>
      </w:r>
      <w:r w:rsidR="004069D6">
        <w:t xml:space="preserve"> </w:t>
      </w:r>
      <w:r w:rsidR="004069D6" w:rsidRPr="004069D6">
        <w:t>limitations, mainly because of lower efficacy, increased bacterial resistances</w:t>
      </w:r>
      <w:r w:rsidR="004069D6">
        <w:t xml:space="preserve"> and/or safety </w:t>
      </w:r>
      <w:r w:rsidR="00371426">
        <w:t>concerns</w:t>
      </w:r>
      <w:r w:rsidR="004069D6" w:rsidRPr="004069D6">
        <w:t>:</w:t>
      </w:r>
      <w:r w:rsidR="00371426">
        <w:rPr>
          <w:rStyle w:val="FootnoteReference"/>
        </w:rPr>
        <w:footnoteReference w:id="10"/>
      </w:r>
      <w:r w:rsidR="004069D6" w:rsidRPr="004069D6">
        <w:t xml:space="preserve"> sulfacetamide has diminished e</w:t>
      </w:r>
      <w:r w:rsidR="007F213C">
        <w:t xml:space="preserve">fficacy, with high resistances. </w:t>
      </w:r>
      <w:r w:rsidR="004069D6" w:rsidRPr="004069D6">
        <w:t xml:space="preserve">Aminoglycosides are less active against Streptococci and </w:t>
      </w:r>
      <w:r w:rsidR="007F213C">
        <w:t xml:space="preserve">require frequent instillations. </w:t>
      </w:r>
      <w:r w:rsidR="004069D6" w:rsidRPr="004069D6">
        <w:t>Chloramphenicol is limited by its potential hematologic to</w:t>
      </w:r>
      <w:r w:rsidR="007F213C">
        <w:t xml:space="preserve">xicity and increasing bacterial </w:t>
      </w:r>
      <w:r w:rsidR="004069D6" w:rsidRPr="004069D6">
        <w:t>resistance rates. Furthermore, Chlorsig (chloramphenicol) i</w:t>
      </w:r>
      <w:r w:rsidR="007F213C">
        <w:t>s dosed as frequently as 8 time</w:t>
      </w:r>
      <w:r w:rsidR="004F0703">
        <w:t>s</w:t>
      </w:r>
      <w:r w:rsidR="007F213C">
        <w:t xml:space="preserve"> </w:t>
      </w:r>
      <w:r w:rsidR="004069D6" w:rsidRPr="004069D6">
        <w:t>per</w:t>
      </w:r>
      <w:r w:rsidR="007F213C">
        <w:t xml:space="preserve"> </w:t>
      </w:r>
      <w:r w:rsidR="004069D6" w:rsidRPr="004069D6">
        <w:t>day initially and then tapered to 4 times daily for the remainder of the treatment period.</w:t>
      </w:r>
    </w:p>
    <w:p w:rsidR="004069D6" w:rsidRPr="004069D6" w:rsidRDefault="004069D6" w:rsidP="00F240B7">
      <w:r w:rsidRPr="004069D6">
        <w:t>The quinolones ciprofloxacin and ofloxacin are currently approved in Australia for</w:t>
      </w:r>
      <w:r w:rsidR="007F213C">
        <w:t xml:space="preserve"> </w:t>
      </w:r>
      <w:r w:rsidR="00371426">
        <w:t>ophthalmic use. Both are seco</w:t>
      </w:r>
      <w:r w:rsidRPr="004069D6">
        <w:t xml:space="preserve">nd generation </w:t>
      </w:r>
      <w:r w:rsidR="00686F1B">
        <w:t>FQ</w:t>
      </w:r>
      <w:r w:rsidR="00675B18">
        <w:t>s. The four</w:t>
      </w:r>
      <w:r w:rsidR="007F213C">
        <w:t xml:space="preserve">th and </w:t>
      </w:r>
      <w:r w:rsidR="00675B18">
        <w:t>fif</w:t>
      </w:r>
      <w:r w:rsidR="007F213C">
        <w:t xml:space="preserve">th generation </w:t>
      </w:r>
      <w:r w:rsidR="00686F1B">
        <w:t>FQ</w:t>
      </w:r>
      <w:r w:rsidRPr="004069D6">
        <w:t>s such as moxifloxacin and besifloxacin have low pote</w:t>
      </w:r>
      <w:r w:rsidR="007F213C">
        <w:t xml:space="preserve">ntial for resistances </w:t>
      </w:r>
      <w:r w:rsidRPr="004069D6">
        <w:t xml:space="preserve">development and </w:t>
      </w:r>
      <w:r w:rsidRPr="004069D6">
        <w:lastRenderedPageBreak/>
        <w:t>exhibit greater activity than the older q</w:t>
      </w:r>
      <w:r w:rsidR="00B42ABE">
        <w:t>uinolones against Gram +ve</w:t>
      </w:r>
      <w:r w:rsidR="007F213C">
        <w:t xml:space="preserve"> </w:t>
      </w:r>
      <w:r w:rsidRPr="004069D6">
        <w:t>bacteria while retaining potent activity against Gram</w:t>
      </w:r>
      <w:r w:rsidR="00D23764">
        <w:t xml:space="preserve"> -</w:t>
      </w:r>
      <w:r w:rsidR="00D7501F">
        <w:t>ve bacteria.</w:t>
      </w:r>
      <w:r w:rsidR="00D7501F">
        <w:rPr>
          <w:rStyle w:val="FootnoteReference"/>
        </w:rPr>
        <w:footnoteReference w:id="11"/>
      </w:r>
    </w:p>
    <w:p w:rsidR="004069D6" w:rsidRPr="004069D6" w:rsidRDefault="004069D6" w:rsidP="00F240B7">
      <w:r w:rsidRPr="004069D6">
        <w:t>In the current application, besifloxacin was not compared to ciprofloxacin or ofloxacin.</w:t>
      </w:r>
      <w:r w:rsidR="007F213C">
        <w:t xml:space="preserve"> </w:t>
      </w:r>
      <w:r w:rsidRPr="004069D6">
        <w:t>However, the pivotal safety and efficacy study showed th</w:t>
      </w:r>
      <w:r w:rsidR="007F213C">
        <w:t xml:space="preserve">at besifloxacin is not inferior </w:t>
      </w:r>
      <w:r w:rsidRPr="004069D6">
        <w:t>when</w:t>
      </w:r>
      <w:r w:rsidR="007F213C">
        <w:t xml:space="preserve"> </w:t>
      </w:r>
      <w:r w:rsidRPr="004069D6">
        <w:t>compared to moxifloxacin. In turn, moxifloxacin ophthalmic solution has been successfully</w:t>
      </w:r>
      <w:r w:rsidR="007F213C">
        <w:t xml:space="preserve"> </w:t>
      </w:r>
      <w:r w:rsidRPr="004069D6">
        <w:t>assessed in several independent, randomized, double-masked, parallel clinical studies in</w:t>
      </w:r>
      <w:r w:rsidR="007F213C">
        <w:t xml:space="preserve"> </w:t>
      </w:r>
      <w:r w:rsidR="001A473E">
        <w:t>adults and children</w:t>
      </w:r>
      <w:r w:rsidRPr="004069D6">
        <w:t>: either versus vehicle, or versus another antibiotic such as ofloxacin</w:t>
      </w:r>
      <w:r w:rsidR="007F213C">
        <w:t xml:space="preserve"> </w:t>
      </w:r>
      <w:r w:rsidRPr="004069D6">
        <w:t>which is an approved quinolone in Australia in the</w:t>
      </w:r>
      <w:r w:rsidR="007F213C">
        <w:t xml:space="preserve"> indication of severe bacterial </w:t>
      </w:r>
      <w:r w:rsidRPr="004069D6">
        <w:t>conjunctivitis. In comparison to ofloxacin, patients treate</w:t>
      </w:r>
      <w:r w:rsidR="007F213C">
        <w:t xml:space="preserve">d with moxifloxacin dropped out </w:t>
      </w:r>
      <w:r w:rsidRPr="004069D6">
        <w:t>less frequently (OR</w:t>
      </w:r>
      <w:r w:rsidR="00CF39CE">
        <w:t xml:space="preserve"> </w:t>
      </w:r>
      <w:r w:rsidRPr="004069D6">
        <w:t>=</w:t>
      </w:r>
      <w:r w:rsidR="00CF39CE">
        <w:t xml:space="preserve"> 1.92 [1.28-2.89</w:t>
      </w:r>
      <w:r w:rsidRPr="004069D6">
        <w:t>; p</w:t>
      </w:r>
      <w:r w:rsidR="00CF39CE">
        <w:t xml:space="preserve"> </w:t>
      </w:r>
      <w:r w:rsidRPr="004069D6">
        <w:t>=</w:t>
      </w:r>
      <w:r w:rsidR="00CF39CE">
        <w:t xml:space="preserve"> </w:t>
      </w:r>
      <w:r w:rsidRPr="004069D6">
        <w:t>0.02]) and had l</w:t>
      </w:r>
      <w:r w:rsidR="007F213C">
        <w:t>ess treatment failures (OR</w:t>
      </w:r>
      <w:r w:rsidR="00CF39CE">
        <w:t xml:space="preserve"> </w:t>
      </w:r>
      <w:r w:rsidR="007F213C">
        <w:t>=</w:t>
      </w:r>
      <w:r w:rsidR="00CF39CE">
        <w:t xml:space="preserve"> </w:t>
      </w:r>
      <w:r w:rsidR="007F213C">
        <w:t xml:space="preserve">2.53 </w:t>
      </w:r>
      <w:r w:rsidRPr="004069D6">
        <w:t>[1.41-</w:t>
      </w:r>
      <w:proofErr w:type="gramStart"/>
      <w:r w:rsidRPr="004069D6">
        <w:t>4.56 ;</w:t>
      </w:r>
      <w:proofErr w:type="gramEnd"/>
      <w:r w:rsidRPr="004069D6">
        <w:t xml:space="preserve"> p</w:t>
      </w:r>
      <w:r w:rsidR="00CF39CE">
        <w:t xml:space="preserve"> </w:t>
      </w:r>
      <w:r w:rsidRPr="004069D6">
        <w:t>=</w:t>
      </w:r>
      <w:r w:rsidR="00CF39CE">
        <w:t xml:space="preserve"> </w:t>
      </w:r>
      <w:r w:rsidRPr="004069D6">
        <w:t>0.002])</w:t>
      </w:r>
      <w:r w:rsidR="00F6235C">
        <w:t>.</w:t>
      </w:r>
      <w:r w:rsidR="00F6235C">
        <w:rPr>
          <w:rStyle w:val="FootnoteReference"/>
        </w:rPr>
        <w:footnoteReference w:id="12"/>
      </w:r>
      <w:r w:rsidR="002D64E4">
        <w:t xml:space="preserve"> </w:t>
      </w:r>
      <w:r w:rsidRPr="004069D6">
        <w:t>Moxifloxacin saf</w:t>
      </w:r>
      <w:r w:rsidR="000C26EE">
        <w:t>ety profile is satisfactory</w:t>
      </w:r>
      <w:r w:rsidR="007F213C">
        <w:t xml:space="preserve">: a </w:t>
      </w:r>
      <w:proofErr w:type="gramStart"/>
      <w:r w:rsidRPr="004069D6">
        <w:t>meta</w:t>
      </w:r>
      <w:proofErr w:type="gramEnd"/>
      <w:r w:rsidR="0073066C">
        <w:t xml:space="preserve"> </w:t>
      </w:r>
      <w:r w:rsidRPr="004069D6">
        <w:t>analysis</w:t>
      </w:r>
      <w:r w:rsidR="007F213C">
        <w:t xml:space="preserve"> </w:t>
      </w:r>
      <w:r w:rsidRPr="004069D6">
        <w:t>evaluated 1978 p</w:t>
      </w:r>
      <w:r w:rsidR="007E17C7">
        <w:t>a</w:t>
      </w:r>
      <w:r w:rsidRPr="004069D6">
        <w:t>ediatric (3 days</w:t>
      </w:r>
      <w:r w:rsidR="007552C0">
        <w:t xml:space="preserve"> - </w:t>
      </w:r>
      <w:r w:rsidRPr="004069D6">
        <w:t>17 years of age) and non p</w:t>
      </w:r>
      <w:r w:rsidR="0000042B">
        <w:t>a</w:t>
      </w:r>
      <w:r w:rsidRPr="004069D6">
        <w:t>ediatric patients (18-93</w:t>
      </w:r>
      <w:r w:rsidR="007F213C">
        <w:t xml:space="preserve"> </w:t>
      </w:r>
      <w:r w:rsidRPr="004069D6">
        <w:t xml:space="preserve">years) from the </w:t>
      </w:r>
      <w:r w:rsidR="00CC79DD">
        <w:t>P</w:t>
      </w:r>
      <w:r w:rsidRPr="004069D6">
        <w:t xml:space="preserve">hase </w:t>
      </w:r>
      <w:r w:rsidR="00CC79DD">
        <w:t>II</w:t>
      </w:r>
      <w:r w:rsidRPr="004069D6">
        <w:t xml:space="preserve"> and </w:t>
      </w:r>
      <w:r w:rsidR="00CC79DD">
        <w:t>III</w:t>
      </w:r>
      <w:r w:rsidRPr="004069D6">
        <w:t xml:space="preserve"> studies using vehicle or ofloxacin and ciprofloxacin eye drops</w:t>
      </w:r>
      <w:r w:rsidR="007F213C">
        <w:t xml:space="preserve"> </w:t>
      </w:r>
      <w:r w:rsidRPr="004069D6">
        <w:t>as a comparator. Moxifloxacin ophthalmic solution was safe and well tolerated in the overall</w:t>
      </w:r>
      <w:r w:rsidR="007F213C">
        <w:t xml:space="preserve"> </w:t>
      </w:r>
      <w:r w:rsidR="00594CC6">
        <w:t>population</w:t>
      </w:r>
      <w:r w:rsidRPr="004069D6">
        <w:t>.</w:t>
      </w:r>
      <w:r w:rsidR="00594CC6">
        <w:rPr>
          <w:rStyle w:val="FootnoteReference"/>
        </w:rPr>
        <w:footnoteReference w:id="13"/>
      </w:r>
    </w:p>
    <w:p w:rsidR="007F213C" w:rsidRPr="00F240B7" w:rsidRDefault="007F213C" w:rsidP="00F240B7">
      <w:pPr>
        <w:pStyle w:val="Heading6"/>
      </w:pPr>
      <w:r>
        <w:t>Comparison with no treatment</w:t>
      </w:r>
    </w:p>
    <w:p w:rsidR="004069D6" w:rsidRPr="004069D6" w:rsidRDefault="004069D6" w:rsidP="00F240B7">
      <w:r w:rsidRPr="004069D6">
        <w:t>Although bacterial conjunctivitis generally resolves without</w:t>
      </w:r>
      <w:r w:rsidR="007F213C">
        <w:t xml:space="preserve"> </w:t>
      </w:r>
      <w:r w:rsidRPr="004069D6">
        <w:t>treatment in approximately 7 days, treatment with topical antibiotics results in more rapid</w:t>
      </w:r>
      <w:r w:rsidR="007F213C">
        <w:t xml:space="preserve"> </w:t>
      </w:r>
      <w:r w:rsidRPr="004069D6">
        <w:t>resolution of symptoms and microb</w:t>
      </w:r>
      <w:r w:rsidR="00527496">
        <w:t>ial eradication</w:t>
      </w:r>
      <w:r w:rsidRPr="004069D6">
        <w:t>,</w:t>
      </w:r>
      <w:r w:rsidR="00527496">
        <w:rPr>
          <w:rStyle w:val="FootnoteReference"/>
        </w:rPr>
        <w:footnoteReference w:id="14"/>
      </w:r>
      <w:r w:rsidRPr="004069D6">
        <w:t xml:space="preserve"> reduced risk of serious,</w:t>
      </w:r>
      <w:r w:rsidR="007F213C">
        <w:t xml:space="preserve"> </w:t>
      </w:r>
      <w:r w:rsidRPr="004069D6">
        <w:t>vision</w:t>
      </w:r>
      <w:r w:rsidR="0073066C">
        <w:t xml:space="preserve"> </w:t>
      </w:r>
      <w:r w:rsidRPr="004069D6">
        <w:t>threatening complications, and decreased likelihood of contagion spread.</w:t>
      </w:r>
      <w:r w:rsidR="007F213C">
        <w:t xml:space="preserve"> </w:t>
      </w:r>
      <w:r w:rsidRPr="004069D6">
        <w:t>Besifloxacin’s broad spectrum, rapid bactericidal activity and</w:t>
      </w:r>
      <w:r w:rsidR="00787CB2">
        <w:t xml:space="preserve"> potency against organisms that </w:t>
      </w:r>
      <w:r w:rsidRPr="004069D6">
        <w:t>are resistant to other agents make it a good candidate for empiric treatment when required.</w:t>
      </w:r>
      <w:r w:rsidR="00787CB2">
        <w:t xml:space="preserve"> </w:t>
      </w:r>
      <w:r w:rsidRPr="004069D6">
        <w:t>In cases where antibiotic treatment is required, besifloxac</w:t>
      </w:r>
      <w:r w:rsidR="00787CB2">
        <w:t xml:space="preserve">in is a superior alternative to </w:t>
      </w:r>
      <w:r w:rsidRPr="004069D6">
        <w:t>ciprofloxacin and ofloxacin eye drops considering its pot</w:t>
      </w:r>
      <w:r w:rsidR="00787CB2">
        <w:t xml:space="preserve">ency against staphylococci that </w:t>
      </w:r>
      <w:r w:rsidRPr="004069D6">
        <w:t>are</w:t>
      </w:r>
      <w:r w:rsidR="00787CB2">
        <w:t xml:space="preserve"> </w:t>
      </w:r>
      <w:r w:rsidR="0073066C">
        <w:t>resistant to seco</w:t>
      </w:r>
      <w:r w:rsidRPr="004069D6">
        <w:t>nd gener</w:t>
      </w:r>
      <w:r w:rsidR="006F1DE9">
        <w:t>ation quinolones</w:t>
      </w:r>
      <w:r w:rsidRPr="004069D6">
        <w:t>.</w:t>
      </w:r>
      <w:r w:rsidR="006F1DE9">
        <w:rPr>
          <w:rStyle w:val="FootnoteReference"/>
        </w:rPr>
        <w:footnoteReference w:id="15"/>
      </w:r>
      <w:r w:rsidRPr="004069D6">
        <w:t xml:space="preserve"> Furthermore, Besivance TID</w:t>
      </w:r>
      <w:r w:rsidR="00787CB2">
        <w:t xml:space="preserve"> </w:t>
      </w:r>
      <w:r w:rsidRPr="004069D6">
        <w:t>dosing for seven days can potentially improve patient’s compliance with treatment when</w:t>
      </w:r>
      <w:r w:rsidR="00787CB2">
        <w:t xml:space="preserve"> </w:t>
      </w:r>
      <w:r w:rsidRPr="004069D6">
        <w:t>compared to other antibiotic eye drops.</w:t>
      </w:r>
    </w:p>
    <w:p w:rsidR="004069D6" w:rsidRDefault="004069D6" w:rsidP="00F240B7">
      <w:r w:rsidRPr="004069D6">
        <w:t>For all these reaso</w:t>
      </w:r>
      <w:r w:rsidR="0073066C">
        <w:t>ns, we believe that the benefit-</w:t>
      </w:r>
      <w:r w:rsidRPr="004069D6">
        <w:t>risk r</w:t>
      </w:r>
      <w:r w:rsidR="00787CB2">
        <w:t xml:space="preserve">atio of Besivance is adequately </w:t>
      </w:r>
      <w:r w:rsidRPr="004069D6">
        <w:t>supported.</w:t>
      </w:r>
    </w:p>
    <w:p w:rsidR="000A3F8C" w:rsidRDefault="000A3F8C" w:rsidP="00F240B7">
      <w:pPr>
        <w:pStyle w:val="Heading5"/>
        <w:rPr>
          <w:lang w:eastAsia="en-AU"/>
        </w:rPr>
      </w:pPr>
      <w:r>
        <w:rPr>
          <w:lang w:eastAsia="en-AU"/>
        </w:rPr>
        <w:t xml:space="preserve">3. Is there </w:t>
      </w:r>
      <w:r w:rsidRPr="00F240B7">
        <w:t>adequate</w:t>
      </w:r>
      <w:r>
        <w:rPr>
          <w:lang w:eastAsia="en-AU"/>
        </w:rPr>
        <w:t xml:space="preserve"> support for efficacy and safety in children from 12 months of age?</w:t>
      </w:r>
    </w:p>
    <w:p w:rsidR="00787CB2" w:rsidRDefault="000A3F8C" w:rsidP="00F240B7">
      <w:r w:rsidRPr="007447B4">
        <w:t>Bacterial conjunctivitis is a common external ocular infection that is frequently observed among infants, schoolchildren, and the elderly. Conjunctivitis is contagious and can readily spread within a family, childcare centre, or eldercare facility. Children with conjunctivitis may be required to stay home from school or day</w:t>
      </w:r>
      <w:r w:rsidR="00394F69">
        <w:t xml:space="preserve"> </w:t>
      </w:r>
      <w:r w:rsidRPr="007447B4">
        <w:t>care to prevent contagious spread or until they receive treatment for the disease, thus placing a socioeconomic burden on families.</w:t>
      </w:r>
    </w:p>
    <w:p w:rsidR="005A0770" w:rsidRPr="005A0770" w:rsidRDefault="005A0770" w:rsidP="00F240B7">
      <w:r w:rsidRPr="005A0770">
        <w:t>Generally, the disease is self</w:t>
      </w:r>
      <w:r w:rsidR="00394F69">
        <w:t xml:space="preserve"> </w:t>
      </w:r>
      <w:r w:rsidRPr="005A0770">
        <w:t>limiting and does not cause permanent loss of vision or structural damage; however, treatment with topical ocular anti</w:t>
      </w:r>
      <w:r w:rsidR="00394F69">
        <w:t xml:space="preserve"> </w:t>
      </w:r>
      <w:r w:rsidRPr="005A0770">
        <w:t xml:space="preserve">infective agents is standard of care for providing rapid symptomatic relief, reducing the rate of re-infection, </w:t>
      </w:r>
      <w:r w:rsidRPr="005A0770">
        <w:lastRenderedPageBreak/>
        <w:t>possibly preventing the spread of the infection to others, and most importantly, improving the rate of early clinical remission and overall microbial eradication.</w:t>
      </w:r>
    </w:p>
    <w:p w:rsidR="005A0770" w:rsidRPr="006476DB" w:rsidRDefault="005A0770" w:rsidP="006476DB">
      <w:pPr>
        <w:pStyle w:val="Heading6"/>
      </w:pPr>
      <w:r>
        <w:rPr>
          <w:lang w:eastAsia="en-AU"/>
        </w:rPr>
        <w:t xml:space="preserve">Efficacy </w:t>
      </w:r>
      <w:r w:rsidRPr="00252CE1">
        <w:t>data</w:t>
      </w:r>
      <w:r>
        <w:rPr>
          <w:lang w:eastAsia="en-AU"/>
        </w:rPr>
        <w:t xml:space="preserve"> in children one year of age and older</w:t>
      </w:r>
    </w:p>
    <w:p w:rsidR="005A0770" w:rsidRPr="005A0770" w:rsidRDefault="005A0770" w:rsidP="006476DB">
      <w:r w:rsidRPr="005A0770">
        <w:t>Two vehicle</w:t>
      </w:r>
      <w:r w:rsidR="00394F69">
        <w:t xml:space="preserve"> controlled trials (P</w:t>
      </w:r>
      <w:r w:rsidRPr="005A0770">
        <w:t xml:space="preserve">hase II Study 373 and </w:t>
      </w:r>
      <w:r w:rsidR="00394F69">
        <w:t>P</w:t>
      </w:r>
      <w:r w:rsidRPr="005A0770">
        <w:t>hase III Study 433) and a single</w:t>
      </w:r>
      <w:r>
        <w:t xml:space="preserve"> </w:t>
      </w:r>
      <w:r w:rsidRPr="005A0770">
        <w:t>reference</w:t>
      </w:r>
      <w:r w:rsidR="00394F69">
        <w:t xml:space="preserve"> therapy controlled P</w:t>
      </w:r>
      <w:r w:rsidRPr="005A0770">
        <w:t>hase III trial (Study 434</w:t>
      </w:r>
      <w:r>
        <w:t xml:space="preserve">) demonstrated the efficacy and </w:t>
      </w:r>
      <w:r w:rsidRPr="005A0770">
        <w:t>safety</w:t>
      </w:r>
      <w:r>
        <w:t xml:space="preserve"> </w:t>
      </w:r>
      <w:r w:rsidRPr="005A0770">
        <w:t xml:space="preserve">of Besivance 0.6% w/v </w:t>
      </w:r>
      <w:r w:rsidR="003513EA">
        <w:t>E</w:t>
      </w:r>
      <w:r w:rsidRPr="005A0770">
        <w:t xml:space="preserve">ye drops, </w:t>
      </w:r>
      <w:r w:rsidR="003513EA">
        <w:t>S</w:t>
      </w:r>
      <w:r w:rsidRPr="005A0770">
        <w:t>uspension in the treatment of bacterial conjunctivitis in</w:t>
      </w:r>
      <w:r>
        <w:t xml:space="preserve"> </w:t>
      </w:r>
      <w:r w:rsidRPr="005A0770">
        <w:t>children one year of age and older as well as in adults. Treatment regimen was one drop TID</w:t>
      </w:r>
      <w:r>
        <w:t xml:space="preserve"> </w:t>
      </w:r>
      <w:r w:rsidRPr="005A0770">
        <w:t>for 5 days.</w:t>
      </w:r>
    </w:p>
    <w:p w:rsidR="007447B4" w:rsidRDefault="005A0770" w:rsidP="006476DB">
      <w:r w:rsidRPr="005A0770">
        <w:t>Paediatric results from combined analysis of the vehicle</w:t>
      </w:r>
      <w:r w:rsidR="003513EA">
        <w:t xml:space="preserve"> </w:t>
      </w:r>
      <w:r w:rsidRPr="005A0770">
        <w:t xml:space="preserve">controlled </w:t>
      </w:r>
      <w:r w:rsidR="0044150E">
        <w:t>S</w:t>
      </w:r>
      <w:r w:rsidRPr="005A0770">
        <w:t>tudies 373 and 433 are</w:t>
      </w:r>
      <w:r>
        <w:t xml:space="preserve"> </w:t>
      </w:r>
      <w:r w:rsidRPr="005A0770">
        <w:t xml:space="preserve">presented in </w:t>
      </w:r>
      <w:r w:rsidR="00B93AF2">
        <w:t>Tables 7 and 8</w:t>
      </w:r>
      <w:r w:rsidRPr="005A0770">
        <w:t>. Patients with positive bacterial cultures at baseline are included</w:t>
      </w:r>
      <w:r>
        <w:t xml:space="preserve"> </w:t>
      </w:r>
      <w:r w:rsidRPr="005A0770">
        <w:t>into this analysis (Subjects with Non</w:t>
      </w:r>
      <w:r w:rsidR="0044150E">
        <w:t xml:space="preserve"> </w:t>
      </w:r>
      <w:r w:rsidRPr="005A0770">
        <w:t>Missing Data).</w:t>
      </w:r>
    </w:p>
    <w:p w:rsidR="006877D0" w:rsidRDefault="006877D0" w:rsidP="006476DB">
      <w:pPr>
        <w:pStyle w:val="TableTitle"/>
      </w:pPr>
      <w:r>
        <w:t>Table 7:</w:t>
      </w:r>
      <w:r w:rsidRPr="004C5C28">
        <w:t xml:space="preserve"> </w:t>
      </w:r>
      <w:r w:rsidR="00593B5D" w:rsidRPr="00593B5D">
        <w:t>Clinical resolution: Besivance 0.6</w:t>
      </w:r>
      <w:r w:rsidR="00985792">
        <w:t xml:space="preserve">% w/v </w:t>
      </w:r>
      <w:r w:rsidR="00985792" w:rsidRPr="006476DB">
        <w:t>Eye</w:t>
      </w:r>
      <w:r w:rsidR="00985792">
        <w:t xml:space="preserve"> drops, </w:t>
      </w:r>
      <w:r w:rsidR="00985792" w:rsidRPr="00252CE1">
        <w:t>Suspension</w:t>
      </w:r>
      <w:r w:rsidR="00985792">
        <w:t xml:space="preserve"> versus </w:t>
      </w:r>
      <w:r w:rsidR="00593B5D" w:rsidRPr="00593B5D">
        <w:t>vehicle stratified according to</w:t>
      </w:r>
      <w:r w:rsidR="00593B5D">
        <w:t xml:space="preserve"> </w:t>
      </w:r>
      <w:r w:rsidR="00593B5D" w:rsidRPr="00593B5D">
        <w:t>ICH age groups (evaluated on baseline designated study eye).</w:t>
      </w:r>
    </w:p>
    <w:p w:rsidR="003A7EA4" w:rsidRDefault="00FB0B81" w:rsidP="006476DB">
      <w:r>
        <w:rPr>
          <w:noProof/>
          <w:lang w:eastAsia="en-AU"/>
        </w:rPr>
        <w:drawing>
          <wp:inline distT="0" distB="0" distL="0" distR="0" wp14:anchorId="33D8037D" wp14:editId="010A9686">
            <wp:extent cx="5396865" cy="2036445"/>
            <wp:effectExtent l="0" t="0" r="0" b="1905"/>
            <wp:docPr id="17" name="Picture 17" descr="Table 7: Clinical resolution: Besivance 0.6% w/v Eye drops, Suspension versus vehicle stratified according to ICH age groups (evaluated on baseline designated study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7: Clinical resolution: Besivance 0.6% w/v Eye drops, Suspension versus vehicle stratified according to ICH age groups (evaluated on baseline designated study ey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865" cy="2036445"/>
                    </a:xfrm>
                    <a:prstGeom prst="rect">
                      <a:avLst/>
                    </a:prstGeom>
                    <a:noFill/>
                    <a:ln>
                      <a:noFill/>
                    </a:ln>
                  </pic:spPr>
                </pic:pic>
              </a:graphicData>
            </a:graphic>
          </wp:inline>
        </w:drawing>
      </w:r>
    </w:p>
    <w:p w:rsidR="00B93AF2" w:rsidRPr="00252CE1" w:rsidRDefault="00B93AF2" w:rsidP="006476DB">
      <w:pPr>
        <w:pStyle w:val="TableTitle"/>
      </w:pPr>
      <w:r>
        <w:t>Table 8:</w:t>
      </w:r>
      <w:r w:rsidRPr="004C5C28">
        <w:t xml:space="preserve"> </w:t>
      </w:r>
      <w:r w:rsidR="00862001" w:rsidRPr="00862001">
        <w:t xml:space="preserve">Microbial eradication: Besivance 0.6% w/v Eye </w:t>
      </w:r>
      <w:r w:rsidR="00862001" w:rsidRPr="006476DB">
        <w:t>drops</w:t>
      </w:r>
      <w:r w:rsidR="00862001" w:rsidRPr="00862001">
        <w:t>, Suspension v</w:t>
      </w:r>
      <w:r w:rsidR="003F061E">
        <w:t>ersus</w:t>
      </w:r>
      <w:r w:rsidR="00862001" w:rsidRPr="00862001">
        <w:t xml:space="preserve"> vehicle stratified according</w:t>
      </w:r>
      <w:r w:rsidR="00862001">
        <w:t xml:space="preserve"> </w:t>
      </w:r>
      <w:r w:rsidR="00862001" w:rsidRPr="00862001">
        <w:t>to ICH age groups (evaluated on baseline designated study eye).</w:t>
      </w:r>
    </w:p>
    <w:p w:rsidR="00B93AF2" w:rsidRDefault="00FB0B81" w:rsidP="006476DB">
      <w:r>
        <w:rPr>
          <w:noProof/>
          <w:lang w:eastAsia="en-AU"/>
        </w:rPr>
        <w:drawing>
          <wp:inline distT="0" distB="0" distL="0" distR="0" wp14:anchorId="0E3D4A6E" wp14:editId="605D16D5">
            <wp:extent cx="5396865" cy="2165350"/>
            <wp:effectExtent l="0" t="0" r="0" b="6350"/>
            <wp:docPr id="18" name="Picture 18" descr="Table 8: Microbial eradication: Besivance 0.6% w/v Eye drops, Suspension versus vehicle stratified according to ICH age groups (evaluated on baseline designated study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8: Microbial eradication: Besivance 0.6% w/v Eye drops, Suspension versus vehicle stratified according to ICH age groups (evaluated on baseline designated study ey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865" cy="2165350"/>
                    </a:xfrm>
                    <a:prstGeom prst="rect">
                      <a:avLst/>
                    </a:prstGeom>
                    <a:noFill/>
                    <a:ln>
                      <a:noFill/>
                    </a:ln>
                  </pic:spPr>
                </pic:pic>
              </a:graphicData>
            </a:graphic>
          </wp:inline>
        </w:drawing>
      </w:r>
    </w:p>
    <w:p w:rsidR="003A7EA4" w:rsidRDefault="003A7EA4" w:rsidP="006476DB">
      <w:r w:rsidRPr="003A7EA4">
        <w:t>Both data sets (clinical resolution and microbial eradication), clearly show that Besivance</w:t>
      </w:r>
      <w:r>
        <w:t xml:space="preserve"> </w:t>
      </w:r>
      <w:r w:rsidRPr="003A7EA4">
        <w:t xml:space="preserve">0.6% w/v Eye </w:t>
      </w:r>
      <w:proofErr w:type="gramStart"/>
      <w:r w:rsidRPr="003A7EA4">
        <w:t>drops,</w:t>
      </w:r>
      <w:proofErr w:type="gramEnd"/>
      <w:r w:rsidRPr="003A7EA4">
        <w:t xml:space="preserve"> Suspension is superior to vehicle </w:t>
      </w:r>
      <w:r>
        <w:t xml:space="preserve">in the different paediatric age </w:t>
      </w:r>
      <w:r w:rsidRPr="003A7EA4">
        <w:t>groups.</w:t>
      </w:r>
      <w:r>
        <w:t xml:space="preserve"> </w:t>
      </w:r>
      <w:r w:rsidRPr="003A7EA4">
        <w:t>In particular significant microbial eradication was achieved as early as Visit 2.</w:t>
      </w:r>
      <w:r w:rsidR="00265020">
        <w:t xml:space="preserve"> </w:t>
      </w:r>
      <w:r w:rsidRPr="003A7EA4">
        <w:t>In addition, data from active comparator</w:t>
      </w:r>
      <w:r w:rsidR="00EA1EE2">
        <w:t xml:space="preserve"> </w:t>
      </w:r>
      <w:r w:rsidRPr="003A7EA4">
        <w:t xml:space="preserve">controlled </w:t>
      </w:r>
      <w:r w:rsidR="00EA1EE2">
        <w:t>S</w:t>
      </w:r>
      <w:r w:rsidRPr="003A7EA4">
        <w:t xml:space="preserve">tudy 434 is presented in </w:t>
      </w:r>
      <w:r w:rsidR="00CA1FF8">
        <w:t>Tables 9 and 10</w:t>
      </w:r>
      <w:r w:rsidRPr="003A7EA4">
        <w:t>.</w:t>
      </w:r>
      <w:r>
        <w:t xml:space="preserve"> </w:t>
      </w:r>
      <w:r w:rsidRPr="003A7EA4">
        <w:t>Patients with positive bacterial cultures at baseline are included into this analysis (Subjects</w:t>
      </w:r>
      <w:r>
        <w:t xml:space="preserve"> </w:t>
      </w:r>
      <w:r w:rsidRPr="003A7EA4">
        <w:t>with Non</w:t>
      </w:r>
      <w:r w:rsidR="00135700">
        <w:t xml:space="preserve"> </w:t>
      </w:r>
      <w:r w:rsidRPr="003A7EA4">
        <w:t>Missing Data). The study was a non</w:t>
      </w:r>
      <w:r w:rsidR="00B240A1">
        <w:t xml:space="preserve"> </w:t>
      </w:r>
      <w:r w:rsidRPr="003A7EA4">
        <w:t>inferiority trial using Vigamox (0.5%</w:t>
      </w:r>
      <w:r>
        <w:t xml:space="preserve"> </w:t>
      </w:r>
      <w:r w:rsidRPr="003A7EA4">
        <w:t>moxifloxacin eye drops) as comparator</w:t>
      </w:r>
      <w:r>
        <w:t>.</w:t>
      </w:r>
    </w:p>
    <w:p w:rsidR="005371E8" w:rsidRPr="006476DB" w:rsidRDefault="005371E8" w:rsidP="006476DB">
      <w:pPr>
        <w:pStyle w:val="TableTitle"/>
      </w:pPr>
      <w:r>
        <w:lastRenderedPageBreak/>
        <w:t>Table 9:</w:t>
      </w:r>
      <w:r w:rsidRPr="004C5C28">
        <w:t xml:space="preserve"> </w:t>
      </w:r>
      <w:r w:rsidR="00832619" w:rsidRPr="00832619">
        <w:t>Clinical resolution: Besivance 0</w:t>
      </w:r>
      <w:r w:rsidR="00832619">
        <w:t xml:space="preserve">.6% w/v Eye drops, </w:t>
      </w:r>
      <w:r w:rsidR="00832619" w:rsidRPr="00037DF0">
        <w:t>Suspension</w:t>
      </w:r>
      <w:r w:rsidR="00832619">
        <w:t xml:space="preserve"> versus</w:t>
      </w:r>
      <w:r w:rsidR="00832619" w:rsidRPr="00832619">
        <w:t xml:space="preserve"> Vigamox (moxifloxacin)</w:t>
      </w:r>
      <w:r w:rsidR="00832619">
        <w:t xml:space="preserve"> </w:t>
      </w:r>
      <w:r w:rsidR="00832619" w:rsidRPr="00832619">
        <w:t>stratified according to ICH age groups (evaluated on</w:t>
      </w:r>
      <w:r w:rsidR="00832619">
        <w:t xml:space="preserve"> baseline designated study eye)</w:t>
      </w:r>
      <w:r>
        <w:t>.</w:t>
      </w:r>
    </w:p>
    <w:p w:rsidR="007F087B" w:rsidRDefault="00FB0B81" w:rsidP="006476DB">
      <w:r>
        <w:rPr>
          <w:noProof/>
          <w:lang w:eastAsia="en-AU"/>
        </w:rPr>
        <w:drawing>
          <wp:inline distT="0" distB="0" distL="0" distR="0" wp14:anchorId="6E41C98C" wp14:editId="6CDDF21F">
            <wp:extent cx="5396865" cy="2171065"/>
            <wp:effectExtent l="0" t="0" r="0" b="635"/>
            <wp:docPr id="19" name="Picture 19" descr="Table 9: Clinical resolution: Besivance 0.6% w/v Eye drops, Suspension versus Vigamox (moxifloxacin) stratified according to ICH age groups (evaluated on baseline designated study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9: Clinical resolution: Besivance 0.6% w/v Eye drops, Suspension versus Vigamox (moxifloxacin) stratified according to ICH age groups (evaluated on baseline designated study ey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865" cy="2171065"/>
                    </a:xfrm>
                    <a:prstGeom prst="rect">
                      <a:avLst/>
                    </a:prstGeom>
                    <a:noFill/>
                    <a:ln>
                      <a:noFill/>
                    </a:ln>
                  </pic:spPr>
                </pic:pic>
              </a:graphicData>
            </a:graphic>
          </wp:inline>
        </w:drawing>
      </w:r>
    </w:p>
    <w:p w:rsidR="005371E8" w:rsidRDefault="005371E8" w:rsidP="006476DB">
      <w:pPr>
        <w:pStyle w:val="TableTitle"/>
      </w:pPr>
      <w:r>
        <w:t>Table 10:</w:t>
      </w:r>
      <w:r w:rsidRPr="004C5C28">
        <w:t xml:space="preserve"> </w:t>
      </w:r>
      <w:r w:rsidR="00A24217" w:rsidRPr="00A24217">
        <w:t xml:space="preserve">Microbial eradication: Besivance 0.6% w/v Eye drops, </w:t>
      </w:r>
      <w:r w:rsidR="00A24217" w:rsidRPr="006476DB">
        <w:t>Suspension</w:t>
      </w:r>
      <w:r w:rsidR="00A24217" w:rsidRPr="00A24217">
        <w:t xml:space="preserve"> vs Vigamox (moxifloxacin)</w:t>
      </w:r>
      <w:r w:rsidR="00A24217">
        <w:t xml:space="preserve"> </w:t>
      </w:r>
      <w:r w:rsidR="00A24217" w:rsidRPr="00A24217">
        <w:t xml:space="preserve">stratified </w:t>
      </w:r>
      <w:r w:rsidR="00A24217" w:rsidRPr="00037DF0">
        <w:t>according</w:t>
      </w:r>
      <w:r w:rsidR="00A24217" w:rsidRPr="00A24217">
        <w:t xml:space="preserve"> to ICH age groups (evaluated on</w:t>
      </w:r>
      <w:r w:rsidR="00A24217">
        <w:t xml:space="preserve"> baseline designated study eye)</w:t>
      </w:r>
      <w:r>
        <w:t>.</w:t>
      </w:r>
    </w:p>
    <w:p w:rsidR="005371E8" w:rsidRDefault="00FB0B81" w:rsidP="006476DB">
      <w:r>
        <w:rPr>
          <w:noProof/>
          <w:lang w:eastAsia="en-AU"/>
        </w:rPr>
        <w:drawing>
          <wp:inline distT="0" distB="0" distL="0" distR="0" wp14:anchorId="199E8F9E" wp14:editId="72F859B7">
            <wp:extent cx="5396865" cy="2277745"/>
            <wp:effectExtent l="0" t="0" r="0" b="8255"/>
            <wp:docPr id="20" name="Picture 20" descr="Table 10: Microbial eradication: Besivance 0.6% w/v Eye drops, Suspension vs Vigamox (moxifloxacin) stratified according to ICH age groups (evaluated on baseline designated study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0: Microbial eradication: Besivance 0.6% w/v Eye drops, Suspension vs Vigamox (moxifloxacin) stratified according to ICH age groups (evaluated on baseline designated study ey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865" cy="2277745"/>
                    </a:xfrm>
                    <a:prstGeom prst="rect">
                      <a:avLst/>
                    </a:prstGeom>
                    <a:noFill/>
                    <a:ln>
                      <a:noFill/>
                    </a:ln>
                  </pic:spPr>
                </pic:pic>
              </a:graphicData>
            </a:graphic>
          </wp:inline>
        </w:drawing>
      </w:r>
    </w:p>
    <w:p w:rsidR="005B52E9" w:rsidRDefault="00EE7652" w:rsidP="006476DB">
      <w:r w:rsidRPr="00EE7652">
        <w:t xml:space="preserve">As it is obvious from the data presented in </w:t>
      </w:r>
      <w:r w:rsidR="00756A5A">
        <w:t xml:space="preserve">Tables 9 and 10 </w:t>
      </w:r>
      <w:r w:rsidRPr="00EE7652">
        <w:t>there is no indication that</w:t>
      </w:r>
      <w:r>
        <w:t xml:space="preserve"> </w:t>
      </w:r>
      <w:r w:rsidRPr="00EE7652">
        <w:t>Besivance 0.6% w/v Eye drops, Suspension might be inferio</w:t>
      </w:r>
      <w:r>
        <w:t xml:space="preserve">r to moxifloxacin eye drops for </w:t>
      </w:r>
      <w:r w:rsidRPr="00EE7652">
        <w:t>any paediatric subgroup if used in the treatment of bacterial c</w:t>
      </w:r>
      <w:r>
        <w:t xml:space="preserve">onjunctivitis. This is true for </w:t>
      </w:r>
      <w:r w:rsidRPr="00EE7652">
        <w:t>both clinical resolution and microbial eradication. Simila</w:t>
      </w:r>
      <w:r>
        <w:t xml:space="preserve">r results were obtained for the </w:t>
      </w:r>
      <w:r w:rsidRPr="00EE7652">
        <w:t>total</w:t>
      </w:r>
      <w:r>
        <w:t xml:space="preserve"> </w:t>
      </w:r>
      <w:r w:rsidRPr="00EE7652">
        <w:t>population.</w:t>
      </w:r>
    </w:p>
    <w:p w:rsidR="00A03DBF" w:rsidRDefault="00A03DBF" w:rsidP="006476DB">
      <w:pPr>
        <w:pStyle w:val="Heading6"/>
        <w:rPr>
          <w:lang w:eastAsia="en-AU"/>
        </w:rPr>
      </w:pPr>
      <w:r>
        <w:rPr>
          <w:lang w:eastAsia="en-AU"/>
        </w:rPr>
        <w:t xml:space="preserve">Safety data in </w:t>
      </w:r>
      <w:r w:rsidRPr="006476DB">
        <w:t>children</w:t>
      </w:r>
      <w:r>
        <w:rPr>
          <w:lang w:eastAsia="en-AU"/>
        </w:rPr>
        <w:t xml:space="preserve"> one year </w:t>
      </w:r>
      <w:r w:rsidR="00CA7201">
        <w:rPr>
          <w:lang w:eastAsia="en-AU"/>
        </w:rPr>
        <w:t>of age and older</w:t>
      </w:r>
      <w:r w:rsidR="00CA7201">
        <w:rPr>
          <w:rStyle w:val="FootnoteReference"/>
          <w:lang w:eastAsia="en-AU"/>
        </w:rPr>
        <w:footnoteReference w:id="16"/>
      </w:r>
    </w:p>
    <w:p w:rsidR="00A03DBF" w:rsidRPr="00A03DBF" w:rsidRDefault="00A03DBF" w:rsidP="006476DB">
      <w:r w:rsidRPr="00A03DBF">
        <w:t>When considering the whole p</w:t>
      </w:r>
      <w:r w:rsidR="004B3843">
        <w:t>a</w:t>
      </w:r>
      <w:r w:rsidRPr="00A03DBF">
        <w:t xml:space="preserve">ediatric population aged 1-17 from </w:t>
      </w:r>
      <w:r w:rsidR="00175D3A">
        <w:t>S</w:t>
      </w:r>
      <w:r w:rsidRPr="00A03DBF">
        <w:t>tudies 373, 433 and 434,</w:t>
      </w:r>
      <w:r>
        <w:t xml:space="preserve"> </w:t>
      </w:r>
      <w:r w:rsidRPr="00A03DBF">
        <w:t>815 subjects were included (447 with culture</w:t>
      </w:r>
      <w:r w:rsidR="00175D3A">
        <w:t xml:space="preserve"> </w:t>
      </w:r>
      <w:r w:rsidRPr="00A03DBF">
        <w:t>confi</w:t>
      </w:r>
      <w:r>
        <w:t xml:space="preserve">rmed bacterial conjunctivitis). </w:t>
      </w:r>
      <w:r w:rsidRPr="00A03DBF">
        <w:t>Besifloxacin was well tolerated, with similar inci</w:t>
      </w:r>
      <w:r>
        <w:t xml:space="preserve">dences of </w:t>
      </w:r>
      <w:r w:rsidR="009933C5">
        <w:t>AEs</w:t>
      </w:r>
      <w:r>
        <w:t xml:space="preserve"> in the </w:t>
      </w:r>
      <w:r w:rsidRPr="00A03DBF">
        <w:t>besifloxacin,</w:t>
      </w:r>
      <w:r>
        <w:t xml:space="preserve"> </w:t>
      </w:r>
      <w:r w:rsidRPr="00A03DBF">
        <w:t>vehicle and moxifloxacin groups.</w:t>
      </w:r>
      <w:r w:rsidR="00AD1CD0">
        <w:t xml:space="preserve"> </w:t>
      </w:r>
      <w:r w:rsidRPr="00A03DBF">
        <w:t>The nature and incidence of ocular treatment emergent</w:t>
      </w:r>
      <w:r>
        <w:t xml:space="preserve"> </w:t>
      </w:r>
      <w:r w:rsidR="005F22E9">
        <w:t>AEs</w:t>
      </w:r>
      <w:r w:rsidRPr="00A03DBF">
        <w:t xml:space="preserve"> in patients less than 18 years old in the pooled analysis of Studies 373, 433,</w:t>
      </w:r>
      <w:r>
        <w:t xml:space="preserve"> </w:t>
      </w:r>
      <w:r w:rsidRPr="00A03DBF">
        <w:t>and 434 were consistent with those of the overall populatio</w:t>
      </w:r>
      <w:r>
        <w:t>n. One or more ocular treatment e</w:t>
      </w:r>
      <w:r w:rsidRPr="00A03DBF">
        <w:t>mergent adverse events were reported for 11.0% of eyes tr</w:t>
      </w:r>
      <w:r>
        <w:t xml:space="preserve">eated in the besifloxacin group </w:t>
      </w:r>
      <w:r w:rsidR="00D70CEB">
        <w:t xml:space="preserve">(n </w:t>
      </w:r>
      <w:r w:rsidRPr="00A03DBF">
        <w:t>=</w:t>
      </w:r>
      <w:r w:rsidR="00D70CEB">
        <w:t xml:space="preserve"> </w:t>
      </w:r>
      <w:r w:rsidRPr="00A03DBF">
        <w:t>662), 14.2% in the vehicle group (</w:t>
      </w:r>
      <w:r w:rsidR="00D70CEB">
        <w:t xml:space="preserve">n </w:t>
      </w:r>
      <w:r w:rsidR="00D70CEB" w:rsidRPr="00A03DBF">
        <w:t>=</w:t>
      </w:r>
      <w:r w:rsidR="00D70CEB">
        <w:t xml:space="preserve"> </w:t>
      </w:r>
      <w:r w:rsidRPr="00A03DBF">
        <w:t>401) and 10.6</w:t>
      </w:r>
      <w:r>
        <w:t>% in the Vigamox group (</w:t>
      </w:r>
      <w:r w:rsidR="00D70CEB">
        <w:t xml:space="preserve">n </w:t>
      </w:r>
      <w:r w:rsidR="00D70CEB" w:rsidRPr="00A03DBF">
        <w:t>=</w:t>
      </w:r>
      <w:r w:rsidR="00D70CEB">
        <w:t xml:space="preserve"> </w:t>
      </w:r>
      <w:r>
        <w:t xml:space="preserve">246). </w:t>
      </w:r>
      <w:r w:rsidRPr="00A03DBF">
        <w:t>The most frequently reported ocular treatment emergent adverse events (</w:t>
      </w:r>
      <w:r w:rsidR="00C42E28">
        <w:t>≥</w:t>
      </w:r>
      <w:r>
        <w:t xml:space="preserve">1%) in this patient </w:t>
      </w:r>
      <w:r w:rsidRPr="00A03DBF">
        <w:lastRenderedPageBreak/>
        <w:t xml:space="preserve">set were conjunctivitis (2.9% for Besivance 0.6% w/v </w:t>
      </w:r>
      <w:r w:rsidR="009E4D8C">
        <w:t>Eye drops, 5.4% for vehicle, versus</w:t>
      </w:r>
      <w:r w:rsidRPr="00A03DBF">
        <w:t xml:space="preserve"> 5.7%</w:t>
      </w:r>
      <w:r>
        <w:t xml:space="preserve"> </w:t>
      </w:r>
      <w:r w:rsidRPr="00A03DBF">
        <w:t>for Vigamox); conjunctivitis bacterial (2.1%, 2.5% and 2.4%, respectively</w:t>
      </w:r>
      <w:r>
        <w:t xml:space="preserve">); and eye pain </w:t>
      </w:r>
      <w:r w:rsidRPr="00A03DBF">
        <w:t>(1.8%, 0.5% and 0%, respectively).</w:t>
      </w:r>
    </w:p>
    <w:p w:rsidR="00A03DBF" w:rsidRPr="00A03DBF" w:rsidRDefault="00A03DBF" w:rsidP="006476DB">
      <w:r w:rsidRPr="00A03DBF">
        <w:t>There were no deaths reported for any of the studie</w:t>
      </w:r>
      <w:r>
        <w:t xml:space="preserve">s conducted during the clinical </w:t>
      </w:r>
      <w:r w:rsidRPr="00A03DBF">
        <w:t xml:space="preserve">development program and no </w:t>
      </w:r>
      <w:r w:rsidR="00A611E9">
        <w:t>SAEs</w:t>
      </w:r>
      <w:r>
        <w:t xml:space="preserve"> occurred in the paediatric </w:t>
      </w:r>
      <w:r w:rsidRPr="00A03DBF">
        <w:t>population.</w:t>
      </w:r>
    </w:p>
    <w:p w:rsidR="008E7846" w:rsidRPr="006476DB" w:rsidRDefault="008E7846" w:rsidP="006476DB">
      <w:pPr>
        <w:pStyle w:val="Heading4"/>
      </w:pPr>
      <w:r w:rsidRPr="00F04A46">
        <w:t xml:space="preserve">Advisory </w:t>
      </w:r>
      <w:r w:rsidR="00037DF0">
        <w:t>c</w:t>
      </w:r>
      <w:r w:rsidRPr="00F04A46">
        <w:t xml:space="preserve">ommittee </w:t>
      </w:r>
      <w:r w:rsidR="00037DF0">
        <w:t>c</w:t>
      </w:r>
      <w:r w:rsidRPr="00F04A46">
        <w:t>onsiderations</w:t>
      </w:r>
    </w:p>
    <w:p w:rsidR="00034BD2" w:rsidRPr="00034BD2" w:rsidRDefault="00034BD2" w:rsidP="006476DB">
      <w:r w:rsidRPr="00034BD2">
        <w:t>The ACPM, taking into account the submitted evidence of efficacy, safety and quality, considered B</w:t>
      </w:r>
      <w:r>
        <w:t>esivance</w:t>
      </w:r>
      <w:r w:rsidRPr="00034BD2">
        <w:t xml:space="preserve"> suspension for eye drops containing 0.6% w/v of besifloxacin to h</w:t>
      </w:r>
      <w:r w:rsidR="00CB3E86">
        <w:t>ave an overall positive benefit-</w:t>
      </w:r>
      <w:r w:rsidRPr="00034BD2">
        <w:t>risk profile for the amended indication</w:t>
      </w:r>
      <w:r w:rsidR="00CB3E86">
        <w:t>:</w:t>
      </w:r>
    </w:p>
    <w:p w:rsidR="00034BD2" w:rsidRPr="006476DB" w:rsidRDefault="00034BD2" w:rsidP="006476DB">
      <w:pPr>
        <w:ind w:left="720"/>
        <w:rPr>
          <w:i/>
        </w:rPr>
      </w:pPr>
      <w:r w:rsidRPr="006476DB">
        <w:rPr>
          <w:i/>
        </w:rPr>
        <w:t>Besivance is indicated for the treatment of severe, confirmed bacterial conjunctivitis caused by besiflo</w:t>
      </w:r>
      <w:r w:rsidR="00037DF0" w:rsidRPr="006476DB">
        <w:rPr>
          <w:i/>
        </w:rPr>
        <w:t>xacin sensitive bacteria.</w:t>
      </w:r>
    </w:p>
    <w:p w:rsidR="00034BD2" w:rsidRPr="006476DB" w:rsidRDefault="00034BD2" w:rsidP="006476DB">
      <w:pPr>
        <w:ind w:left="720"/>
        <w:rPr>
          <w:i/>
        </w:rPr>
      </w:pPr>
      <w:r w:rsidRPr="006476DB">
        <w:rPr>
          <w:i/>
        </w:rPr>
        <w:t>Besivance is indicated for adults and children 12 months and older.</w:t>
      </w:r>
    </w:p>
    <w:p w:rsidR="00034BD2" w:rsidRPr="00034BD2" w:rsidRDefault="00034BD2" w:rsidP="006476DB">
      <w:r w:rsidRPr="00034BD2">
        <w:t>In making this recommendation the ACPM</w:t>
      </w:r>
      <w:r w:rsidR="00A24389">
        <w:t>:</w:t>
      </w:r>
    </w:p>
    <w:p w:rsidR="00034BD2" w:rsidRPr="00034BD2" w:rsidRDefault="00034BD2" w:rsidP="006476DB">
      <w:pPr>
        <w:pStyle w:val="ListBullet"/>
      </w:pPr>
      <w:r w:rsidRPr="00034BD2">
        <w:t>Noted the difficulty in distinguishing virally caused conjunctivitis (</w:t>
      </w:r>
      <w:r w:rsidRPr="006476DB">
        <w:t>initially</w:t>
      </w:r>
      <w:r w:rsidRPr="00034BD2">
        <w:t xml:space="preserve"> unilateral, watery discharge) compared to bacterially caused conjunctivitis (usually unilaterial, purulent discharge) compared to allergic (itchy, bilateral) reactions,</w:t>
      </w:r>
    </w:p>
    <w:p w:rsidR="00034BD2" w:rsidRPr="00034BD2" w:rsidRDefault="00034BD2" w:rsidP="006476DB">
      <w:pPr>
        <w:pStyle w:val="ListBullet"/>
      </w:pPr>
      <w:r w:rsidRPr="00034BD2">
        <w:t xml:space="preserve">Expressed concern that there seemed to be a significant amount of </w:t>
      </w:r>
      <w:r w:rsidRPr="006476DB">
        <w:t>data</w:t>
      </w:r>
      <w:r w:rsidRPr="00034BD2">
        <w:t xml:space="preserve"> that have not been evaluated, including placebo controlled trials #60</w:t>
      </w:r>
      <w:r w:rsidR="00A416DC">
        <w:t xml:space="preserve">3 (completed October </w:t>
      </w:r>
      <w:r w:rsidRPr="00034BD2">
        <w:t>2010) and #631 (completed Dec</w:t>
      </w:r>
      <w:r w:rsidR="00A416DC">
        <w:t>ember</w:t>
      </w:r>
      <w:r w:rsidRPr="00034BD2">
        <w:t xml:space="preserve"> 2011),</w:t>
      </w:r>
    </w:p>
    <w:p w:rsidR="00034BD2" w:rsidRPr="00034BD2" w:rsidRDefault="00034BD2" w:rsidP="006476DB">
      <w:pPr>
        <w:pStyle w:val="ListBullet"/>
      </w:pPr>
      <w:r w:rsidRPr="00034BD2">
        <w:t xml:space="preserve">Was of the view that evaluated trials demonstrate efficacy against </w:t>
      </w:r>
      <w:r w:rsidRPr="006476DB">
        <w:t>placebo</w:t>
      </w:r>
      <w:r w:rsidRPr="00034BD2">
        <w:t>, albeit for a self limiting condition,</w:t>
      </w:r>
    </w:p>
    <w:p w:rsidR="00034BD2" w:rsidRPr="00034BD2" w:rsidRDefault="00034BD2" w:rsidP="006476DB">
      <w:pPr>
        <w:pStyle w:val="ListBullet"/>
      </w:pPr>
      <w:r w:rsidRPr="00034BD2">
        <w:t xml:space="preserve">Noted Therapeutic Guidelines recommend a delayed prescription </w:t>
      </w:r>
      <w:r w:rsidRPr="006476DB">
        <w:t>policy</w:t>
      </w:r>
      <w:r w:rsidRPr="00034BD2">
        <w:t xml:space="preserve"> given spontaneous recovery with treatment recommendations, and</w:t>
      </w:r>
    </w:p>
    <w:p w:rsidR="00034BD2" w:rsidRPr="00034BD2" w:rsidRDefault="00034BD2" w:rsidP="006476DB">
      <w:pPr>
        <w:pStyle w:val="ListBullet"/>
      </w:pPr>
      <w:r w:rsidRPr="00034BD2">
        <w:t xml:space="preserve">Noted the possibility of improved compliance due to three </w:t>
      </w:r>
      <w:proofErr w:type="gramStart"/>
      <w:r w:rsidRPr="00034BD2">
        <w:t>times</w:t>
      </w:r>
      <w:proofErr w:type="gramEnd"/>
      <w:r w:rsidRPr="00034BD2">
        <w:t xml:space="preserve"> </w:t>
      </w:r>
      <w:r w:rsidRPr="00037DF0">
        <w:t>daily</w:t>
      </w:r>
      <w:r w:rsidRPr="00034BD2">
        <w:t xml:space="preserve"> regimen compared to every </w:t>
      </w:r>
      <w:r w:rsidR="00C25EF3">
        <w:t>2 h</w:t>
      </w:r>
      <w:r w:rsidRPr="00034BD2">
        <w:t xml:space="preserve"> for alternatives.</w:t>
      </w:r>
    </w:p>
    <w:p w:rsidR="00034BD2" w:rsidRPr="00034BD2" w:rsidRDefault="00034BD2" w:rsidP="006476DB">
      <w:r w:rsidRPr="00034BD2">
        <w:t>The committee was requested to provide advice on the following specific issues:</w:t>
      </w:r>
    </w:p>
    <w:p w:rsidR="00034BD2" w:rsidRPr="00034BD2" w:rsidRDefault="00034BD2" w:rsidP="006476DB">
      <w:pPr>
        <w:pStyle w:val="ListBullet"/>
      </w:pPr>
      <w:r w:rsidRPr="00034BD2">
        <w:t xml:space="preserve">Whether registration of besifloxacin eye drops for treatment of </w:t>
      </w:r>
      <w:r w:rsidRPr="006476DB">
        <w:t>bacterial</w:t>
      </w:r>
      <w:r w:rsidRPr="00034BD2">
        <w:t xml:space="preserve"> conjunctivitis is associated with potential for development of resistance to besifloxacin and cross resistance to moxifloxacin which has high impact and whether this is a reason for rejection of this application?</w:t>
      </w:r>
    </w:p>
    <w:p w:rsidR="00034BD2" w:rsidRPr="00034BD2" w:rsidRDefault="00034BD2" w:rsidP="006476DB">
      <w:pPr>
        <w:pStyle w:val="ListBullet2"/>
      </w:pPr>
      <w:r w:rsidRPr="00034BD2">
        <w:t xml:space="preserve">The committee considered there is a concern that gram positive </w:t>
      </w:r>
      <w:r w:rsidRPr="006476DB">
        <w:t>organisms</w:t>
      </w:r>
      <w:r w:rsidRPr="00034BD2">
        <w:t xml:space="preserve"> may become </w:t>
      </w:r>
      <w:r w:rsidR="00686F1B">
        <w:t>resistant. FQ</w:t>
      </w:r>
      <w:r w:rsidRPr="00034BD2">
        <w:t xml:space="preserve"> resistance in staphylococcus is clinically significant. However, adults rarely carry </w:t>
      </w:r>
      <w:r w:rsidRPr="00A20701">
        <w:rPr>
          <w:i/>
        </w:rPr>
        <w:t xml:space="preserve">pneumococci </w:t>
      </w:r>
      <w:r w:rsidRPr="00034BD2">
        <w:t>compared with children. One proposed reason for the relatively low rate of FQ resistance is the relatively low use in children. The population use of this product is unlikely to sufficient to impact on resistance in the community, but acquired resistance may be a significant issue for individual patients using this product. FQ are rated as of importance to human health and there are deliberate policies in humans and animals to control use.</w:t>
      </w:r>
    </w:p>
    <w:p w:rsidR="00034BD2" w:rsidRPr="00034BD2" w:rsidRDefault="00037DF0" w:rsidP="006476DB">
      <w:pPr>
        <w:pStyle w:val="ListBullet2"/>
      </w:pPr>
      <w:r>
        <w:t>The ACPM noted:</w:t>
      </w:r>
    </w:p>
    <w:p w:rsidR="00034BD2" w:rsidRPr="00034BD2" w:rsidRDefault="009074DA" w:rsidP="006476DB">
      <w:pPr>
        <w:pStyle w:val="ListBullet3"/>
      </w:pPr>
      <w:r>
        <w:t>T</w:t>
      </w:r>
      <w:r w:rsidR="00034BD2" w:rsidRPr="00034BD2">
        <w:t xml:space="preserve">he </w:t>
      </w:r>
      <w:r w:rsidR="00034BD2" w:rsidRPr="006476DB">
        <w:t>very</w:t>
      </w:r>
      <w:r w:rsidR="00034BD2" w:rsidRPr="00034BD2">
        <w:t xml:space="preserve"> low systemic exposure levels com</w:t>
      </w:r>
      <w:r>
        <w:t>pared to orally administered FQ</w:t>
      </w:r>
      <w:r w:rsidR="00C41C99">
        <w:t>; and</w:t>
      </w:r>
    </w:p>
    <w:p w:rsidR="00034BD2" w:rsidRPr="00034BD2" w:rsidRDefault="00034BD2" w:rsidP="006476DB">
      <w:pPr>
        <w:pStyle w:val="ListBullet3"/>
      </w:pPr>
      <w:r w:rsidRPr="00034BD2">
        <w:t xml:space="preserve">The </w:t>
      </w:r>
      <w:r w:rsidRPr="006476DB">
        <w:t>sponsor’s</w:t>
      </w:r>
      <w:r w:rsidRPr="00034BD2">
        <w:t xml:space="preserve"> argument that the risk of overgrowth of non</w:t>
      </w:r>
      <w:r w:rsidR="009074DA">
        <w:t xml:space="preserve"> </w:t>
      </w:r>
      <w:r w:rsidRPr="00034BD2">
        <w:t>susceptible organisms resulting from prolonged use is unlikely with restriction of the labelled use to 7 days.</w:t>
      </w:r>
    </w:p>
    <w:p w:rsidR="00034BD2" w:rsidRPr="00034BD2" w:rsidRDefault="00034BD2" w:rsidP="006476DB">
      <w:pPr>
        <w:pStyle w:val="ListBullet"/>
      </w:pPr>
      <w:r w:rsidRPr="00034BD2">
        <w:lastRenderedPageBreak/>
        <w:t xml:space="preserve">Have risks and </w:t>
      </w:r>
      <w:r w:rsidRPr="00037DF0">
        <w:t>benefits</w:t>
      </w:r>
      <w:r w:rsidRPr="00034BD2">
        <w:t xml:space="preserve"> been adequately supported compared with existing recognised therapies for bacterial </w:t>
      </w:r>
      <w:r w:rsidRPr="006476DB">
        <w:t>conjunctivitis</w:t>
      </w:r>
      <w:r w:rsidRPr="00034BD2">
        <w:t>?</w:t>
      </w:r>
    </w:p>
    <w:p w:rsidR="00034BD2" w:rsidRPr="00034BD2" w:rsidRDefault="00034BD2" w:rsidP="006476DB">
      <w:pPr>
        <w:pStyle w:val="ListBullet2"/>
      </w:pPr>
      <w:r w:rsidRPr="00034BD2">
        <w:t xml:space="preserve">Besifloxacin has </w:t>
      </w:r>
      <w:r w:rsidRPr="00037DF0">
        <w:t>been</w:t>
      </w:r>
      <w:r w:rsidRPr="00034BD2">
        <w:t xml:space="preserve"> </w:t>
      </w:r>
      <w:r w:rsidRPr="006476DB">
        <w:t>shown</w:t>
      </w:r>
      <w:r w:rsidRPr="00034BD2">
        <w:t xml:space="preserve"> to have greater efficacy compared to placebo in the trials evaluated (albeit with high placebo response rates) but similar efficacy when compared to moxifloxacin. Based on the mechanism of action, it would be expected to have similar efficacy to currently available FQ.</w:t>
      </w:r>
    </w:p>
    <w:p w:rsidR="00034BD2" w:rsidRPr="00034BD2" w:rsidRDefault="00034BD2" w:rsidP="006476DB">
      <w:pPr>
        <w:pStyle w:val="ListBullet"/>
      </w:pPr>
      <w:r w:rsidRPr="00034BD2">
        <w:t xml:space="preserve">If the ACPM supports </w:t>
      </w:r>
      <w:r w:rsidRPr="006476DB">
        <w:t>registration</w:t>
      </w:r>
      <w:r w:rsidRPr="00034BD2">
        <w:t xml:space="preserve"> of besifloxacin eye drops despite the </w:t>
      </w:r>
      <w:r w:rsidR="00120C4A">
        <w:t>D</w:t>
      </w:r>
      <w:r w:rsidRPr="00034BD2">
        <w:t>elegate’s concerns about resistance and cross resistance risk, provide advice on the issues:</w:t>
      </w:r>
    </w:p>
    <w:p w:rsidR="00034BD2" w:rsidRPr="00034BD2" w:rsidRDefault="00034BD2" w:rsidP="006476DB">
      <w:pPr>
        <w:pStyle w:val="ListBullet2"/>
      </w:pPr>
      <w:r w:rsidRPr="00034BD2">
        <w:t xml:space="preserve">Is the proposed listing of specific organisms in the </w:t>
      </w:r>
      <w:r w:rsidR="00120C4A">
        <w:t>‘</w:t>
      </w:r>
      <w:r w:rsidRPr="00034BD2">
        <w:t>Indications</w:t>
      </w:r>
      <w:r w:rsidR="00120C4A">
        <w:t>’</w:t>
      </w:r>
      <w:r w:rsidRPr="00034BD2">
        <w:t xml:space="preserve"> appropriate?</w:t>
      </w:r>
    </w:p>
    <w:p w:rsidR="00034BD2" w:rsidRPr="00034BD2" w:rsidRDefault="00034BD2" w:rsidP="006476DB">
      <w:pPr>
        <w:pStyle w:val="ListBullet3"/>
      </w:pPr>
      <w:r w:rsidRPr="00034BD2">
        <w:t xml:space="preserve">No. Conjunctivitis </w:t>
      </w:r>
      <w:r w:rsidRPr="006476DB">
        <w:t>is</w:t>
      </w:r>
      <w:r w:rsidRPr="00034BD2">
        <w:t xml:space="preserve"> generally treated syndromically. Many of the listed bacteria probably are not pathogens.</w:t>
      </w:r>
    </w:p>
    <w:p w:rsidR="00034BD2" w:rsidRPr="00034BD2" w:rsidRDefault="00034BD2" w:rsidP="006476DB">
      <w:pPr>
        <w:pStyle w:val="ListBullet2"/>
      </w:pPr>
      <w:r w:rsidRPr="00034BD2">
        <w:t xml:space="preserve">Is the proposed listing of organisms studied in fewer than 10 infections in </w:t>
      </w:r>
      <w:r w:rsidRPr="00037DF0">
        <w:t>the</w:t>
      </w:r>
      <w:r w:rsidRPr="00034BD2">
        <w:t xml:space="preserve"> </w:t>
      </w:r>
      <w:r w:rsidR="0060755B">
        <w:t>‘</w:t>
      </w:r>
      <w:r w:rsidRPr="00034BD2">
        <w:t>Indications</w:t>
      </w:r>
      <w:r w:rsidR="0060755B">
        <w:t>’</w:t>
      </w:r>
      <w:r w:rsidRPr="00034BD2">
        <w:t xml:space="preserve"> appropriate?</w:t>
      </w:r>
    </w:p>
    <w:p w:rsidR="00034BD2" w:rsidRPr="00034BD2" w:rsidRDefault="00034BD2" w:rsidP="006476DB">
      <w:pPr>
        <w:pStyle w:val="ListBullet3"/>
      </w:pPr>
      <w:r w:rsidRPr="00034BD2">
        <w:t xml:space="preserve">No. It strongly </w:t>
      </w:r>
      <w:r w:rsidRPr="006476DB">
        <w:t>suggests</w:t>
      </w:r>
      <w:r w:rsidRPr="00034BD2">
        <w:t xml:space="preserve"> that there may be insufficient data to support its use for infections with those organisms specifically.</w:t>
      </w:r>
    </w:p>
    <w:p w:rsidR="00034BD2" w:rsidRPr="00034BD2" w:rsidRDefault="00034BD2" w:rsidP="006476DB">
      <w:pPr>
        <w:pStyle w:val="ListBullet2"/>
      </w:pPr>
      <w:r w:rsidRPr="00034BD2">
        <w:t xml:space="preserve">Is there adequate </w:t>
      </w:r>
      <w:r w:rsidRPr="006476DB">
        <w:t>support</w:t>
      </w:r>
      <w:r w:rsidRPr="00034BD2">
        <w:t xml:space="preserve"> for efficacy and safety in </w:t>
      </w:r>
      <w:r w:rsidR="00037DF0">
        <w:t>children from 12 months of age?</w:t>
      </w:r>
    </w:p>
    <w:p w:rsidR="00034BD2" w:rsidRPr="009A17F8" w:rsidRDefault="00034BD2" w:rsidP="006476DB">
      <w:pPr>
        <w:pStyle w:val="ListBullet2"/>
      </w:pPr>
      <w:r w:rsidRPr="009A17F8">
        <w:t xml:space="preserve">Evidence suggests that conjunctivitis is more often viral in children. The submitted </w:t>
      </w:r>
      <w:r w:rsidRPr="00037DF0">
        <w:t>studies</w:t>
      </w:r>
      <w:r w:rsidRPr="009A17F8">
        <w:t xml:space="preserve"> suggest borderline effectiveness. There were 236 children in besifloxacin arm in the studies. However, resistance may be more likely in this population due to behavioural factors.</w:t>
      </w:r>
    </w:p>
    <w:p w:rsidR="00034BD2" w:rsidRPr="00034BD2" w:rsidRDefault="00034BD2" w:rsidP="006476DB">
      <w:pPr>
        <w:pStyle w:val="Heading5"/>
      </w:pPr>
      <w:r w:rsidRPr="00034BD2">
        <w:t xml:space="preserve">Proposed </w:t>
      </w:r>
      <w:r w:rsidRPr="00037DF0">
        <w:t>conditions</w:t>
      </w:r>
      <w:r w:rsidRPr="00034BD2">
        <w:t xml:space="preserve"> of </w:t>
      </w:r>
      <w:r w:rsidRPr="006476DB">
        <w:t>registration</w:t>
      </w:r>
      <w:r w:rsidRPr="00034BD2">
        <w:t>:</w:t>
      </w:r>
    </w:p>
    <w:p w:rsidR="00034BD2" w:rsidRPr="00034BD2" w:rsidRDefault="00034BD2" w:rsidP="006476DB">
      <w:pPr>
        <w:rPr>
          <w:highlight w:val="yellow"/>
        </w:rPr>
      </w:pPr>
      <w:r w:rsidRPr="00034BD2">
        <w:t>The ACPM specifically advised the inclusion of the following in the conditions of registration:</w:t>
      </w:r>
    </w:p>
    <w:p w:rsidR="00034BD2" w:rsidRPr="00034BD2" w:rsidRDefault="00034BD2" w:rsidP="006476DB">
      <w:pPr>
        <w:pStyle w:val="ListBullet"/>
      </w:pPr>
      <w:r w:rsidRPr="00034BD2">
        <w:t xml:space="preserve">Subject to satisfactory </w:t>
      </w:r>
      <w:r w:rsidRPr="006476DB">
        <w:t>negotiation</w:t>
      </w:r>
      <w:r w:rsidRPr="00034BD2">
        <w:t xml:space="preserve"> of the </w:t>
      </w:r>
      <w:r w:rsidR="00EC259D">
        <w:t>RMP</w:t>
      </w:r>
      <w:r w:rsidRPr="00034BD2">
        <w:t xml:space="preserve"> mos</w:t>
      </w:r>
      <w:r w:rsidR="00037DF0">
        <w:t>t recently approved by the TGA,</w:t>
      </w:r>
    </w:p>
    <w:p w:rsidR="00034BD2" w:rsidRPr="00034BD2" w:rsidRDefault="00034BD2" w:rsidP="006476DB">
      <w:pPr>
        <w:pStyle w:val="ListBullet"/>
      </w:pPr>
      <w:r w:rsidRPr="00034BD2">
        <w:t xml:space="preserve">Negotiation of </w:t>
      </w:r>
      <w:r w:rsidR="00DF1EA8">
        <w:t>PI and CMI</w:t>
      </w:r>
      <w:r w:rsidRPr="00034BD2">
        <w:t xml:space="preserve"> </w:t>
      </w:r>
      <w:r w:rsidR="00037DF0" w:rsidRPr="006476DB">
        <w:t>to</w:t>
      </w:r>
      <w:r w:rsidR="00037DF0">
        <w:t xml:space="preserve"> the satisfaction of the TGA.</w:t>
      </w:r>
    </w:p>
    <w:p w:rsidR="00034BD2" w:rsidRPr="00034BD2" w:rsidRDefault="00034BD2" w:rsidP="006476DB">
      <w:r w:rsidRPr="00034BD2">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6476DB" w:rsidRDefault="008E7846" w:rsidP="006476DB">
      <w:pPr>
        <w:pStyle w:val="Heading3"/>
      </w:pPr>
      <w:bookmarkStart w:id="151" w:name="_Toc247691532"/>
      <w:bookmarkStart w:id="152" w:name="_Toc314842516"/>
      <w:bookmarkStart w:id="153" w:name="_Toc383772783"/>
      <w:bookmarkEnd w:id="106"/>
      <w:bookmarkEnd w:id="148"/>
      <w:bookmarkEnd w:id="149"/>
      <w:r>
        <w:t>Outcome</w:t>
      </w:r>
      <w:bookmarkEnd w:id="151"/>
      <w:bookmarkEnd w:id="152"/>
      <w:bookmarkEnd w:id="153"/>
    </w:p>
    <w:p w:rsidR="008E7846" w:rsidRDefault="008E7846" w:rsidP="006476DB">
      <w:r>
        <w:t xml:space="preserve">Based on a review of quality, safety and efficacy, TGA approved the registration of </w:t>
      </w:r>
      <w:r w:rsidR="00F943F6">
        <w:t>Besivance</w:t>
      </w:r>
      <w:r w:rsidR="00F943F6" w:rsidRPr="00F943F6">
        <w:t xml:space="preserve"> eye drops containing besifloxacin 0.6% w/v suspension</w:t>
      </w:r>
      <w:r>
        <w:t>, indicated for:</w:t>
      </w:r>
    </w:p>
    <w:p w:rsidR="0029799D" w:rsidRPr="006476DB" w:rsidRDefault="0029799D" w:rsidP="006476DB">
      <w:pPr>
        <w:ind w:left="720"/>
        <w:rPr>
          <w:i/>
        </w:rPr>
      </w:pPr>
      <w:r w:rsidRPr="006476DB">
        <w:rPr>
          <w:i/>
        </w:rPr>
        <w:t>Besivance is indicated for the treatment of severe, confirmed bacterial conjunctivitis caused by b</w:t>
      </w:r>
      <w:r w:rsidR="00037DF0" w:rsidRPr="006476DB">
        <w:rPr>
          <w:i/>
        </w:rPr>
        <w:t>esifloxacin sensitive bacteria.</w:t>
      </w:r>
    </w:p>
    <w:p w:rsidR="0029799D" w:rsidRPr="006476DB" w:rsidRDefault="0029799D" w:rsidP="006476DB">
      <w:pPr>
        <w:ind w:left="720"/>
        <w:rPr>
          <w:i/>
        </w:rPr>
      </w:pPr>
      <w:r w:rsidRPr="006476DB">
        <w:rPr>
          <w:i/>
        </w:rPr>
        <w:t>Besivance is indicated for adults and children 12 months and older.</w:t>
      </w:r>
    </w:p>
    <w:p w:rsidR="005F129B" w:rsidRPr="0090249C" w:rsidRDefault="005F129B" w:rsidP="006476DB">
      <w:pPr>
        <w:pStyle w:val="Heading4"/>
      </w:pPr>
      <w:r w:rsidRPr="0090249C">
        <w:t>Specific conditions of registration appl</w:t>
      </w:r>
      <w:r>
        <w:t xml:space="preserve">ying to these therapeutic </w:t>
      </w:r>
      <w:r w:rsidRPr="006476DB">
        <w:t>goods</w:t>
      </w:r>
    </w:p>
    <w:p w:rsidR="0029799D" w:rsidRPr="00B74D7C" w:rsidRDefault="00B74D7C" w:rsidP="006476DB">
      <w:pPr>
        <w:pStyle w:val="ListBullet"/>
      </w:pPr>
      <w:r w:rsidRPr="00B74D7C">
        <w:t>The B</w:t>
      </w:r>
      <w:r w:rsidR="003F4F23">
        <w:t>esivance</w:t>
      </w:r>
      <w:r w:rsidRPr="00B74D7C">
        <w:t xml:space="preserve"> besifloxacin 0.6% w/v suspension eye drops</w:t>
      </w:r>
      <w:r w:rsidR="00E2287F">
        <w:t xml:space="preserve"> RMP</w:t>
      </w:r>
      <w:r w:rsidRPr="00B74D7C">
        <w:t>, EU-</w:t>
      </w:r>
      <w:r w:rsidRPr="006476DB">
        <w:t>RMP</w:t>
      </w:r>
      <w:r w:rsidRPr="00B74D7C">
        <w:t xml:space="preserve"> Version 1.0 (dated 02/10/2012, DLP 31/05/2012) with Australia specific annex (attached to EU-RMP in Annex 9), included with </w:t>
      </w:r>
      <w:r w:rsidR="00E2287F">
        <w:t xml:space="preserve">the </w:t>
      </w:r>
      <w:r w:rsidRPr="00B74D7C">
        <w:t>submission and any subsequent revisions, as agreed with the TGA will be implemented in Australia</w:t>
      </w:r>
      <w:r w:rsidR="002C30A1">
        <w:t>.</w:t>
      </w:r>
    </w:p>
    <w:p w:rsidR="008E7846" w:rsidRDefault="008E7846" w:rsidP="006476DB">
      <w:pPr>
        <w:pStyle w:val="Heading2"/>
      </w:pPr>
      <w:bookmarkStart w:id="154" w:name="_Toc247691533"/>
      <w:bookmarkStart w:id="155" w:name="_Toc314842517"/>
      <w:bookmarkStart w:id="156" w:name="_Toc383772784"/>
      <w:proofErr w:type="gramStart"/>
      <w:r>
        <w:lastRenderedPageBreak/>
        <w:t>Attachment 1.</w:t>
      </w:r>
      <w:proofErr w:type="gramEnd"/>
      <w:r w:rsidR="00037DF0">
        <w:t xml:space="preserve"> </w:t>
      </w:r>
      <w:r>
        <w:t xml:space="preserve">Product </w:t>
      </w:r>
      <w:r w:rsidR="00AA0ED0" w:rsidRPr="006476DB">
        <w:t>I</w:t>
      </w:r>
      <w:r w:rsidRPr="006476DB">
        <w:t>nformation</w:t>
      </w:r>
      <w:bookmarkEnd w:id="154"/>
      <w:bookmarkEnd w:id="155"/>
      <w:bookmarkEnd w:id="156"/>
    </w:p>
    <w:p w:rsidR="00C80137" w:rsidRDefault="00C80137" w:rsidP="006476DB">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9"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6476DB">
      <w:pPr>
        <w:pStyle w:val="Heading2"/>
        <w:rPr>
          <w:lang w:eastAsia="ja-JP"/>
        </w:rPr>
      </w:pPr>
      <w:bookmarkStart w:id="157" w:name="_Toc383772785"/>
      <w:proofErr w:type="gramStart"/>
      <w:r>
        <w:rPr>
          <w:lang w:eastAsia="en-AU"/>
        </w:rPr>
        <w:t>Attachment 2.</w:t>
      </w:r>
      <w:proofErr w:type="gramEnd"/>
      <w:r>
        <w:rPr>
          <w:lang w:eastAsia="en-AU"/>
        </w:rPr>
        <w:t xml:space="preserve"> </w:t>
      </w:r>
      <w:r w:rsidRPr="00037DF0">
        <w:t>Extract</w:t>
      </w:r>
      <w:r>
        <w:rPr>
          <w:lang w:eastAsia="en-AU"/>
        </w:rPr>
        <w:t xml:space="preserve"> from the </w:t>
      </w:r>
      <w:r w:rsidRPr="006476DB">
        <w:t>Clinical</w:t>
      </w:r>
      <w:r>
        <w:rPr>
          <w:lang w:eastAsia="en-AU"/>
        </w:rPr>
        <w:t xml:space="preserve"> Evaluation Report</w:t>
      </w:r>
      <w:bookmarkEnd w:id="157"/>
    </w:p>
    <w:p w:rsidR="00C80137" w:rsidRPr="001D043B" w:rsidRDefault="00C80137" w:rsidP="003A7F6C">
      <w:pPr>
        <w:pStyle w:val="TableTitle"/>
        <w:sectPr w:rsidR="00C80137" w:rsidRPr="001D043B" w:rsidSect="00B452CE">
          <w:headerReference w:type="even" r:id="rId30"/>
          <w:headerReference w:type="default" r:id="rId31"/>
          <w:footerReference w:type="default" r:id="rId32"/>
          <w:headerReference w:type="first" r:id="rId33"/>
          <w:footerReference w:type="first" r:id="rId34"/>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5"/>
      <w:headerReference w:type="default" r:id="rId36"/>
      <w:footerReference w:type="default" r:id="rId37"/>
      <w:headerReference w:type="first" r:id="rId38"/>
      <w:footerReference w:type="first" r:id="rId39"/>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CEC" w:rsidRDefault="000F5CEC" w:rsidP="00C40A36">
      <w:pPr>
        <w:spacing w:after="0"/>
      </w:pPr>
      <w:r>
        <w:separator/>
      </w:r>
    </w:p>
  </w:endnote>
  <w:endnote w:type="continuationSeparator" w:id="0">
    <w:p w:rsidR="000F5CEC" w:rsidRDefault="000F5CE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0F5CEC" w:rsidRPr="00487162" w:rsidTr="0053625B">
      <w:trPr>
        <w:trHeight w:val="269"/>
      </w:trPr>
      <w:tc>
        <w:tcPr>
          <w:tcW w:w="7938" w:type="dxa"/>
          <w:tcMar>
            <w:top w:w="142" w:type="dxa"/>
            <w:bottom w:w="0" w:type="dxa"/>
          </w:tcMar>
        </w:tcPr>
        <w:p w:rsidR="000F5CEC" w:rsidRPr="00487162" w:rsidRDefault="000F5CEC" w:rsidP="00FE5CD3">
          <w:pPr>
            <w:pStyle w:val="Footer"/>
          </w:pPr>
          <w:r w:rsidRPr="00487162">
            <w:t xml:space="preserve">AusPAR </w:t>
          </w:r>
          <w:r>
            <w:t>Besivance</w:t>
          </w:r>
          <w:r w:rsidRPr="00487162">
            <w:t xml:space="preserve"> </w:t>
          </w:r>
          <w:r w:rsidRPr="009A35A2">
            <w:t>Bausch &amp; Lomb (Australia) Pty Ltd</w:t>
          </w:r>
          <w:r>
            <w:t xml:space="preserve"> </w:t>
          </w:r>
          <w:r w:rsidRPr="009A35A2">
            <w:t>PM-2012-02740-3-2</w:t>
          </w:r>
          <w:r>
            <w:br/>
            <w:t>Final 3 February 2014</w:t>
          </w:r>
        </w:p>
      </w:tc>
      <w:tc>
        <w:tcPr>
          <w:tcW w:w="923" w:type="dxa"/>
          <w:tcMar>
            <w:top w:w="142" w:type="dxa"/>
            <w:bottom w:w="0" w:type="dxa"/>
          </w:tcMar>
        </w:tcPr>
        <w:p w:rsidR="000F5CEC" w:rsidRPr="00487162" w:rsidRDefault="000F5CEC"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304948">
            <w:rPr>
              <w:noProof/>
            </w:rPr>
            <w:t>45</w:t>
          </w:r>
          <w:r>
            <w:fldChar w:fldCharType="end"/>
          </w:r>
        </w:p>
      </w:tc>
    </w:tr>
  </w:tbl>
  <w:p w:rsidR="000F5CEC" w:rsidRDefault="000F5CE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6804"/>
      <w:gridCol w:w="2127"/>
    </w:tblGrid>
    <w:tr w:rsidR="000F5CEC" w:rsidRPr="00487162" w:rsidTr="00DA7A4B">
      <w:trPr>
        <w:trHeight w:val="269"/>
      </w:trPr>
      <w:tc>
        <w:tcPr>
          <w:tcW w:w="6804" w:type="dxa"/>
          <w:tcMar>
            <w:top w:w="142" w:type="dxa"/>
            <w:bottom w:w="0" w:type="dxa"/>
          </w:tcMar>
        </w:tcPr>
        <w:p w:rsidR="000F5CEC" w:rsidRPr="00487162" w:rsidRDefault="000F5CEC" w:rsidP="00C27673">
          <w:pPr>
            <w:pStyle w:val="Footer"/>
          </w:pPr>
          <w:r w:rsidRPr="00487162">
            <w:t>Au</w:t>
          </w:r>
          <w:r w:rsidRPr="003B4D60">
            <w:t xml:space="preserve">sPAR </w:t>
          </w:r>
          <w:r>
            <w:t>Besivance</w:t>
          </w:r>
          <w:r w:rsidRPr="003B4D60">
            <w:t xml:space="preserve"> </w:t>
          </w:r>
          <w:r w:rsidRPr="009A35A2">
            <w:t>Bausch &amp; Lomb (Australia) Pty Ltd</w:t>
          </w:r>
          <w:r>
            <w:t xml:space="preserve"> </w:t>
          </w:r>
          <w:r w:rsidRPr="009A35A2">
            <w:t>PM-2012-02740-3-2</w:t>
          </w:r>
          <w:r>
            <w:br/>
            <w:t>Final 3 February 2014</w:t>
          </w:r>
        </w:p>
      </w:tc>
      <w:tc>
        <w:tcPr>
          <w:tcW w:w="2127" w:type="dxa"/>
          <w:tcMar>
            <w:top w:w="142" w:type="dxa"/>
            <w:bottom w:w="0" w:type="dxa"/>
          </w:tcMar>
        </w:tcPr>
        <w:p w:rsidR="000F5CEC" w:rsidRPr="00487162" w:rsidRDefault="000F5CEC" w:rsidP="00E45619">
          <w:pPr>
            <w:pStyle w:val="Footer"/>
            <w:jc w:val="right"/>
          </w:pPr>
          <w:r w:rsidRPr="00487162">
            <w:t xml:space="preserve">Page </w:t>
          </w:r>
          <w:r>
            <w:fldChar w:fldCharType="begin"/>
          </w:r>
          <w:r>
            <w:instrText>PAGE</w:instrText>
          </w:r>
          <w:r>
            <w:fldChar w:fldCharType="separate"/>
          </w:r>
          <w:r w:rsidR="00304948">
            <w:rPr>
              <w:noProof/>
            </w:rPr>
            <w:t>3</w:t>
          </w:r>
          <w:r>
            <w:fldChar w:fldCharType="end"/>
          </w:r>
          <w:r w:rsidRPr="00487162">
            <w:t xml:space="preserve"> of </w:t>
          </w:r>
          <w:r>
            <w:fldChar w:fldCharType="begin"/>
          </w:r>
          <w:r>
            <w:instrText xml:space="preserve"> NUMPAGES  \* Arabic </w:instrText>
          </w:r>
          <w:r>
            <w:fldChar w:fldCharType="separate"/>
          </w:r>
          <w:r w:rsidR="00304948">
            <w:rPr>
              <w:noProof/>
            </w:rPr>
            <w:t>45</w:t>
          </w:r>
          <w:r>
            <w:fldChar w:fldCharType="end"/>
          </w:r>
        </w:p>
      </w:tc>
    </w:tr>
  </w:tbl>
  <w:p w:rsidR="000F5CEC" w:rsidRDefault="000F5CEC"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F5CEC" w:rsidRPr="00487162" w:rsidTr="00E45619">
      <w:trPr>
        <w:trHeight w:val="269"/>
      </w:trPr>
      <w:tc>
        <w:tcPr>
          <w:tcW w:w="4519" w:type="dxa"/>
          <w:tcBorders>
            <w:top w:val="single" w:sz="4" w:space="0" w:color="auto"/>
          </w:tcBorders>
          <w:tcMar>
            <w:top w:w="142" w:type="dxa"/>
            <w:bottom w:w="0" w:type="dxa"/>
          </w:tcMar>
        </w:tcPr>
        <w:p w:rsidR="000F5CEC" w:rsidRPr="00487162" w:rsidRDefault="000F5CEC" w:rsidP="00FE1DEE">
          <w:pPr>
            <w:pStyle w:val="Footer"/>
          </w:pPr>
          <w:r w:rsidRPr="00487162">
            <w:t>Document title, Part #, Section # - Section title</w:t>
          </w:r>
        </w:p>
        <w:p w:rsidR="000F5CEC" w:rsidRPr="00487162" w:rsidRDefault="000F5CEC" w:rsidP="00FE1DEE">
          <w:pPr>
            <w:pStyle w:val="Footer"/>
          </w:pPr>
          <w:r w:rsidRPr="00487162">
            <w:t>V1.0 October 2010</w:t>
          </w:r>
        </w:p>
      </w:tc>
      <w:tc>
        <w:tcPr>
          <w:tcW w:w="4342" w:type="dxa"/>
          <w:tcBorders>
            <w:top w:val="single" w:sz="4" w:space="0" w:color="auto"/>
          </w:tcBorders>
          <w:tcMar>
            <w:top w:w="142" w:type="dxa"/>
            <w:bottom w:w="0" w:type="dxa"/>
          </w:tcMar>
        </w:tcPr>
        <w:p w:rsidR="000F5CEC" w:rsidRPr="00487162" w:rsidRDefault="000F5CE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fldChar w:fldCharType="begin"/>
          </w:r>
          <w:r>
            <w:instrText xml:space="preserve"> NUMPAGES  </w:instrText>
          </w:r>
          <w:r>
            <w:fldChar w:fldCharType="separate"/>
          </w:r>
          <w:r>
            <w:rPr>
              <w:noProof/>
            </w:rPr>
            <w:t>4</w:t>
          </w:r>
          <w:r>
            <w:fldChar w:fldCharType="end"/>
          </w:r>
        </w:p>
      </w:tc>
    </w:tr>
  </w:tbl>
  <w:p w:rsidR="000F5CEC" w:rsidRDefault="000F5C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0F5CEC" w:rsidRPr="00487162" w:rsidTr="00E45619">
      <w:trPr>
        <w:trHeight w:hRule="exact" w:val="704"/>
      </w:trPr>
      <w:tc>
        <w:tcPr>
          <w:tcW w:w="9175" w:type="dxa"/>
        </w:tcPr>
        <w:p w:rsidR="000F5CEC" w:rsidRPr="00487162" w:rsidRDefault="000F5CEC" w:rsidP="008E7846">
          <w:pPr>
            <w:pStyle w:val="TGASignoff"/>
          </w:pPr>
          <w:r w:rsidRPr="00487162">
            <w:t>Therapeutic Goods Administration</w:t>
          </w:r>
        </w:p>
      </w:tc>
    </w:tr>
    <w:tr w:rsidR="000F5CEC" w:rsidRPr="00487162" w:rsidTr="00E45619">
      <w:trPr>
        <w:trHeight w:val="1221"/>
      </w:trPr>
      <w:tc>
        <w:tcPr>
          <w:tcW w:w="9175" w:type="dxa"/>
          <w:tcMar>
            <w:top w:w="28" w:type="dxa"/>
          </w:tcMar>
        </w:tcPr>
        <w:p w:rsidR="000F5CEC" w:rsidRPr="00487162" w:rsidRDefault="000F5CEC" w:rsidP="00E45619">
          <w:pPr>
            <w:pStyle w:val="Address"/>
          </w:pPr>
          <w:r w:rsidRPr="00487162">
            <w:t>PO Box 100 Woden ACT 2606 Australia</w:t>
          </w:r>
        </w:p>
        <w:p w:rsidR="000F5CEC" w:rsidRPr="00487162" w:rsidRDefault="000F5CEC"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0F5CEC" w:rsidRPr="004C239D" w:rsidRDefault="00304948" w:rsidP="004C239D">
          <w:pPr>
            <w:pStyle w:val="Address"/>
            <w:spacing w:line="260" w:lineRule="atLeast"/>
            <w:rPr>
              <w:b/>
              <w:color w:val="0000FF"/>
              <w:u w:val="single"/>
            </w:rPr>
          </w:pPr>
          <w:hyperlink r:id="rId2" w:history="1">
            <w:r w:rsidR="000F5CEC" w:rsidRPr="00607888">
              <w:rPr>
                <w:rStyle w:val="Hyperlink"/>
                <w:b/>
              </w:rPr>
              <w:t>http://www.tga.gov.au</w:t>
            </w:r>
          </w:hyperlink>
        </w:p>
      </w:tc>
    </w:tr>
  </w:tbl>
  <w:p w:rsidR="000F5CEC" w:rsidRDefault="000F5CEC"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F5CEC" w:rsidTr="0010601F">
      <w:trPr>
        <w:trHeight w:val="108"/>
      </w:trPr>
      <w:tc>
        <w:tcPr>
          <w:tcW w:w="8875" w:type="dxa"/>
          <w:gridSpan w:val="2"/>
          <w:tcBorders>
            <w:bottom w:val="single" w:sz="4" w:space="0" w:color="auto"/>
          </w:tcBorders>
          <w:tcMar>
            <w:right w:w="284" w:type="dxa"/>
          </w:tcMar>
        </w:tcPr>
        <w:p w:rsidR="000F5CEC" w:rsidRDefault="000F5CEC" w:rsidP="006E08B3">
          <w:pPr>
            <w:pStyle w:val="Heading3"/>
          </w:pPr>
          <w:r>
            <w:t>Copyright</w:t>
          </w:r>
        </w:p>
        <w:p w:rsidR="000F5CEC" w:rsidRDefault="000F5CEC" w:rsidP="006E08B3">
          <w:r>
            <w:rPr>
              <w:rFonts w:cs="Arial"/>
            </w:rPr>
            <w:t>©</w:t>
          </w:r>
          <w:r>
            <w:t xml:space="preserve"> Commonwealth of Australia [add year]</w:t>
          </w:r>
        </w:p>
        <w:p w:rsidR="000F5CEC" w:rsidRDefault="000F5CEC" w:rsidP="006E08B3"/>
        <w:p w:rsidR="000F5CEC" w:rsidRDefault="000F5CE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F5CEC" w:rsidRDefault="000F5CEC" w:rsidP="006E08B3"/>
        <w:p w:rsidR="000F5CEC" w:rsidRDefault="000F5CEC" w:rsidP="006E08B3">
          <w:pPr>
            <w:pStyle w:val="Heading3"/>
          </w:pPr>
          <w:r>
            <w:t>Confidentiality</w:t>
          </w:r>
        </w:p>
        <w:p w:rsidR="000F5CEC" w:rsidRDefault="000F5CE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F5CEC" w:rsidRDefault="000F5CEC" w:rsidP="006E08B3"/>
        <w:p w:rsidR="000F5CEC" w:rsidRDefault="000F5CEC" w:rsidP="006E08B3">
          <w:r>
            <w:t>For submission made by individuals, all personal details, other than your name, will be removed from your submission before it is published on the TGA’s Internet site.</w:t>
          </w:r>
        </w:p>
        <w:p w:rsidR="000F5CEC" w:rsidRDefault="000F5CEC" w:rsidP="006E08B3"/>
        <w:p w:rsidR="000F5CEC" w:rsidRDefault="000F5CEC" w:rsidP="006E08B3">
          <w:r>
            <w:t>In addition, a list of parties making submissions will be published. If you do not wish to be identified with your submission you must specifically request this in the space provided ib the submission coversheet.</w:t>
          </w:r>
        </w:p>
      </w:tc>
    </w:tr>
    <w:tr w:rsidR="000F5CEC" w:rsidTr="0010601F">
      <w:trPr>
        <w:trHeight w:val="417"/>
      </w:trPr>
      <w:tc>
        <w:tcPr>
          <w:tcW w:w="4519" w:type="dxa"/>
          <w:tcBorders>
            <w:top w:val="single" w:sz="4" w:space="0" w:color="auto"/>
          </w:tcBorders>
          <w:tcMar>
            <w:top w:w="142" w:type="dxa"/>
            <w:bottom w:w="0" w:type="dxa"/>
          </w:tcMar>
        </w:tcPr>
        <w:p w:rsidR="000F5CEC" w:rsidRDefault="000F5CEC" w:rsidP="006E08B3">
          <w:r>
            <w:t>Document title, Part #, Section # - Section title</w:t>
          </w:r>
        </w:p>
        <w:p w:rsidR="000F5CEC" w:rsidRDefault="000F5CEC" w:rsidP="006E08B3">
          <w:r>
            <w:t>V1.0 October 2010</w:t>
          </w:r>
        </w:p>
      </w:tc>
      <w:tc>
        <w:tcPr>
          <w:tcW w:w="4356" w:type="dxa"/>
          <w:tcBorders>
            <w:top w:val="single" w:sz="4" w:space="0" w:color="auto"/>
          </w:tcBorders>
          <w:tcMar>
            <w:top w:w="142" w:type="dxa"/>
            <w:bottom w:w="0" w:type="dxa"/>
          </w:tcMar>
        </w:tcPr>
        <w:p w:rsidR="000F5CEC" w:rsidRDefault="000F5CEC"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fldChar w:fldCharType="begin"/>
          </w:r>
          <w:r>
            <w:instrText xml:space="preserve"> NUMPAGES  \* Arabic </w:instrText>
          </w:r>
          <w:r>
            <w:fldChar w:fldCharType="separate"/>
          </w:r>
          <w:r>
            <w:rPr>
              <w:noProof/>
            </w:rPr>
            <w:t>4</w:t>
          </w:r>
          <w:r>
            <w:fldChar w:fldCharType="end"/>
          </w:r>
          <w:r>
            <w:t xml:space="preserve"> </w:t>
          </w:r>
        </w:p>
      </w:tc>
    </w:tr>
  </w:tbl>
  <w:p w:rsidR="000F5CEC" w:rsidRDefault="000F5C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CEC" w:rsidRDefault="000F5CEC" w:rsidP="00C40A36">
      <w:pPr>
        <w:spacing w:after="0"/>
      </w:pPr>
      <w:r>
        <w:separator/>
      </w:r>
    </w:p>
  </w:footnote>
  <w:footnote w:type="continuationSeparator" w:id="0">
    <w:p w:rsidR="000F5CEC" w:rsidRDefault="000F5CEC" w:rsidP="00C40A36">
      <w:pPr>
        <w:spacing w:after="0"/>
      </w:pPr>
      <w:r>
        <w:continuationSeparator/>
      </w:r>
    </w:p>
  </w:footnote>
  <w:footnote w:id="1">
    <w:p w:rsidR="000F5CEC" w:rsidRPr="008B41BC" w:rsidRDefault="000F5CEC" w:rsidP="00C40396">
      <w:pPr>
        <w:pStyle w:val="FootnoteText"/>
        <w:rPr>
          <w:lang w:val="en-AU"/>
        </w:rPr>
      </w:pPr>
      <w:r>
        <w:rPr>
          <w:rStyle w:val="FootnoteReference"/>
        </w:rPr>
        <w:footnoteRef/>
      </w:r>
      <w:r>
        <w:t xml:space="preserve"> </w:t>
      </w:r>
      <w:proofErr w:type="gramStart"/>
      <w:r w:rsidRPr="008B41BC">
        <w:t xml:space="preserve">Assumes </w:t>
      </w:r>
      <w:r>
        <w:t xml:space="preserve">a </w:t>
      </w:r>
      <w:r w:rsidRPr="008B41BC">
        <w:t>70</w:t>
      </w:r>
      <w:r>
        <w:t xml:space="preserve"> </w:t>
      </w:r>
      <w:r w:rsidRPr="008B41BC">
        <w:t xml:space="preserve">kg individual </w:t>
      </w:r>
      <w:r w:rsidRPr="00C40396">
        <w:t>receiving</w:t>
      </w:r>
      <w:r w:rsidRPr="008B41BC">
        <w:t xml:space="preserve"> 30 µg/kg/day.</w:t>
      </w:r>
      <w:proofErr w:type="gramEnd"/>
    </w:p>
  </w:footnote>
  <w:footnote w:id="2">
    <w:p w:rsidR="000F5CEC" w:rsidRPr="00DD3B22" w:rsidRDefault="000F5CEC" w:rsidP="003F0DB6">
      <w:pPr>
        <w:pStyle w:val="FootnoteText"/>
        <w:rPr>
          <w:lang w:val="en-AU"/>
        </w:rPr>
      </w:pPr>
      <w:r>
        <w:rPr>
          <w:rStyle w:val="FootnoteReference"/>
        </w:rPr>
        <w:footnoteRef/>
      </w:r>
      <w:r>
        <w:t xml:space="preserve"> </w:t>
      </w:r>
      <w:r w:rsidRPr="00DD3B22">
        <w:t xml:space="preserve">European </w:t>
      </w:r>
      <w:r w:rsidRPr="003F0DB6">
        <w:t>Medicines</w:t>
      </w:r>
      <w:r w:rsidRPr="00DD3B22">
        <w:t xml:space="preserve"> Agency, “</w:t>
      </w:r>
      <w:r w:rsidRPr="00E32D08">
        <w:t xml:space="preserve">ICH guideline </w:t>
      </w:r>
      <w:proofErr w:type="gramStart"/>
      <w:r w:rsidRPr="00E32D08">
        <w:t>M3(</w:t>
      </w:r>
      <w:proofErr w:type="gramEnd"/>
      <w:r w:rsidRPr="00E32D08">
        <w:t>R2) on non-clinical safety studies for the</w:t>
      </w:r>
      <w:r>
        <w:t xml:space="preserve"> </w:t>
      </w:r>
      <w:r w:rsidRPr="00E32D08">
        <w:t>conduct of human clinical trials and marketing authorisation for pharmaceuticals</w:t>
      </w:r>
      <w:r>
        <w:t xml:space="preserve"> </w:t>
      </w:r>
      <w:r w:rsidRPr="00DD3B22">
        <w:t>(</w:t>
      </w:r>
      <w:r w:rsidRPr="00E32D08">
        <w:t>EMA/CPMP/ICH/286/1995</w:t>
      </w:r>
      <w:r w:rsidRPr="00DD3B22">
        <w:t>)”, Dece</w:t>
      </w:r>
      <w:r>
        <w:t>mber 2009</w:t>
      </w:r>
      <w:r w:rsidRPr="00DD3B22">
        <w:t xml:space="preserve">, Web, accessed </w:t>
      </w:r>
      <w:r>
        <w:t>14</w:t>
      </w:r>
      <w:r w:rsidRPr="00DD3B22">
        <w:t xml:space="preserve"> January 2014 &lt;</w:t>
      </w:r>
      <w:r w:rsidRPr="00E32D08">
        <w:t>www.ema.europa.eu/docs/en_GB/document_library/Scientific_guideline/2009/09/WC500002720.pdf</w:t>
      </w:r>
      <w:r w:rsidRPr="00DD3B22">
        <w:t>&gt;</w:t>
      </w:r>
      <w:r>
        <w:t>.</w:t>
      </w:r>
    </w:p>
  </w:footnote>
  <w:footnote w:id="3">
    <w:p w:rsidR="000F5CEC" w:rsidRPr="001B7828" w:rsidRDefault="000F5CEC" w:rsidP="00FA557B">
      <w:pPr>
        <w:pStyle w:val="FootnoteText"/>
        <w:rPr>
          <w:lang w:val="en-AU"/>
        </w:rPr>
      </w:pPr>
      <w:r>
        <w:rPr>
          <w:rStyle w:val="FootnoteReference"/>
        </w:rPr>
        <w:footnoteRef/>
      </w:r>
      <w:r>
        <w:t xml:space="preserve"> </w:t>
      </w:r>
      <w:r w:rsidRPr="00DD3B22">
        <w:t>European Medicines Agency, “</w:t>
      </w:r>
      <w:r w:rsidRPr="00B242FF">
        <w:t>ICH Topic S1B</w:t>
      </w:r>
      <w:r>
        <w:t xml:space="preserve"> </w:t>
      </w:r>
      <w:r w:rsidRPr="00FA557B">
        <w:t>Carcinogenicity</w:t>
      </w:r>
      <w:r w:rsidRPr="00B242FF">
        <w:t>: Testing for Carcinogenicity of Pharmaceuticals</w:t>
      </w:r>
      <w:r>
        <w:t xml:space="preserve"> Step 5: Note for Guidance on Carcinogenicity: Testing for Carcinogenicity of Pharmaceuticals </w:t>
      </w:r>
      <w:r w:rsidRPr="00DD3B22">
        <w:t>(</w:t>
      </w:r>
      <w:r w:rsidRPr="0076113D">
        <w:t>CPMP/ICH/299/95</w:t>
      </w:r>
      <w:r w:rsidRPr="00DD3B22">
        <w:t xml:space="preserve">)”, </w:t>
      </w:r>
      <w:r>
        <w:t>March 1998</w:t>
      </w:r>
      <w:r w:rsidRPr="00DD3B22">
        <w:t xml:space="preserve">, Web, accessed </w:t>
      </w:r>
      <w:r>
        <w:t>14</w:t>
      </w:r>
      <w:r w:rsidRPr="00DD3B22">
        <w:t xml:space="preserve"> January 2014 &lt;</w:t>
      </w:r>
      <w:r w:rsidRPr="00903337">
        <w:t>www.ema.europa.eu/docs/en_GB/document_library/Scientific_guideline/2009/09/WC500002735.pdf</w:t>
      </w:r>
      <w:r w:rsidRPr="00DD3B22">
        <w:t>&gt;</w:t>
      </w:r>
      <w:r>
        <w:t>.</w:t>
      </w:r>
    </w:p>
  </w:footnote>
  <w:footnote w:id="4">
    <w:p w:rsidR="000F5CEC" w:rsidRPr="000F306B" w:rsidRDefault="000F5CEC" w:rsidP="0013200A">
      <w:pPr>
        <w:pStyle w:val="FootnoteText"/>
        <w:rPr>
          <w:lang w:val="en-AU"/>
        </w:rPr>
      </w:pPr>
      <w:r>
        <w:rPr>
          <w:rStyle w:val="FootnoteReference"/>
        </w:rPr>
        <w:footnoteRef/>
      </w:r>
      <w:r>
        <w:t xml:space="preserve"> </w:t>
      </w:r>
      <w:r w:rsidRPr="000F306B">
        <w:t xml:space="preserve">Committee on Infectious Diseases (2006) </w:t>
      </w:r>
      <w:proofErr w:type="gramStart"/>
      <w:r w:rsidRPr="000F306B">
        <w:t>The</w:t>
      </w:r>
      <w:proofErr w:type="gramEnd"/>
      <w:r w:rsidRPr="000F306B">
        <w:t xml:space="preserve"> use of systemic </w:t>
      </w:r>
      <w:r w:rsidRPr="0013200A">
        <w:t>fluoroquinolones</w:t>
      </w:r>
      <w:r w:rsidRPr="000F306B">
        <w:t xml:space="preserve">. </w:t>
      </w:r>
      <w:r w:rsidRPr="000F306B">
        <w:rPr>
          <w:i/>
        </w:rPr>
        <w:t>Pediatrics</w:t>
      </w:r>
      <w:r w:rsidRPr="000F306B">
        <w:t xml:space="preserve"> 118: 1287-1192.</w:t>
      </w:r>
    </w:p>
  </w:footnote>
  <w:footnote w:id="5">
    <w:p w:rsidR="000F5CEC" w:rsidRPr="003407CD" w:rsidRDefault="000F5CEC" w:rsidP="00F57A46">
      <w:pPr>
        <w:pStyle w:val="FootnoteText"/>
        <w:rPr>
          <w:lang w:val="en-AU"/>
        </w:rPr>
      </w:pPr>
      <w:r>
        <w:rPr>
          <w:rStyle w:val="FootnoteReference"/>
        </w:rPr>
        <w:footnoteRef/>
      </w:r>
      <w:r>
        <w:t xml:space="preserve"> </w:t>
      </w:r>
      <w:proofErr w:type="gramStart"/>
      <w:r w:rsidRPr="003407CD">
        <w:t xml:space="preserve">Assumes </w:t>
      </w:r>
      <w:r>
        <w:t xml:space="preserve">a </w:t>
      </w:r>
      <w:r w:rsidRPr="003407CD">
        <w:t>70</w:t>
      </w:r>
      <w:r>
        <w:t xml:space="preserve"> </w:t>
      </w:r>
      <w:r w:rsidRPr="003407CD">
        <w:t xml:space="preserve">kg individual </w:t>
      </w:r>
      <w:r w:rsidRPr="0013200A">
        <w:t>receiving</w:t>
      </w:r>
      <w:r w:rsidRPr="003407CD">
        <w:t xml:space="preserve"> </w:t>
      </w:r>
      <w:r w:rsidRPr="00F57A46">
        <w:t>30</w:t>
      </w:r>
      <w:r w:rsidRPr="003407CD">
        <w:t xml:space="preserve"> µg/kg/day.</w:t>
      </w:r>
      <w:proofErr w:type="gramEnd"/>
    </w:p>
  </w:footnote>
  <w:footnote w:id="6">
    <w:p w:rsidR="000F5CEC" w:rsidRPr="0018419D" w:rsidRDefault="000F5CEC" w:rsidP="006F765D">
      <w:pPr>
        <w:pStyle w:val="FootnoteText"/>
        <w:rPr>
          <w:lang w:val="en-AU"/>
        </w:rPr>
      </w:pPr>
      <w:r>
        <w:rPr>
          <w:rStyle w:val="FootnoteReference"/>
        </w:rPr>
        <w:footnoteRef/>
      </w:r>
      <w:r>
        <w:t xml:space="preserve"> </w:t>
      </w:r>
      <w:r w:rsidRPr="00896966">
        <w:t xml:space="preserve">Ferner RE, </w:t>
      </w:r>
      <w:r w:rsidRPr="006F765D">
        <w:t>Aronson</w:t>
      </w:r>
      <w:r w:rsidRPr="00896966">
        <w:t xml:space="preserve"> JK (2006) Clarification of terminology in medication errors: definitions and classification. </w:t>
      </w:r>
      <w:r w:rsidRPr="00896966">
        <w:rPr>
          <w:i/>
        </w:rPr>
        <w:t>Drug Saf</w:t>
      </w:r>
      <w:r w:rsidRPr="00896966">
        <w:t xml:space="preserve"> 29: 1011-1022.</w:t>
      </w:r>
    </w:p>
  </w:footnote>
  <w:footnote w:id="7">
    <w:p w:rsidR="000F5CEC" w:rsidRPr="00037BD2" w:rsidRDefault="000F5CEC" w:rsidP="00F240B7">
      <w:pPr>
        <w:pStyle w:val="FootnoteText"/>
        <w:rPr>
          <w:lang w:val="en-AU"/>
        </w:rPr>
      </w:pPr>
      <w:r>
        <w:rPr>
          <w:rStyle w:val="FootnoteReference"/>
        </w:rPr>
        <w:footnoteRef/>
      </w:r>
      <w:r>
        <w:t xml:space="preserve"> </w:t>
      </w:r>
      <w:r w:rsidRPr="00037BD2">
        <w:t xml:space="preserve">Karpecki P, Paterno MR, Comstock TL. </w:t>
      </w:r>
      <w:proofErr w:type="gramStart"/>
      <w:r w:rsidRPr="00037BD2">
        <w:t>(2010) Limitations of current antibiotics for the treatment of bacterial conjunctivitis.</w:t>
      </w:r>
      <w:proofErr w:type="gramEnd"/>
      <w:r w:rsidRPr="00037BD2">
        <w:t xml:space="preserve"> </w:t>
      </w:r>
      <w:r w:rsidRPr="00037BD2">
        <w:rPr>
          <w:i/>
        </w:rPr>
        <w:t>Optom Vis Sci.</w:t>
      </w:r>
      <w:r w:rsidRPr="00037BD2">
        <w:t xml:space="preserve"> 87: 908-919.</w:t>
      </w:r>
    </w:p>
  </w:footnote>
  <w:footnote w:id="8">
    <w:p w:rsidR="000F5CEC" w:rsidRPr="009D4A9F" w:rsidRDefault="000F5CEC" w:rsidP="00F240B7">
      <w:pPr>
        <w:pStyle w:val="FootnoteText"/>
        <w:rPr>
          <w:lang w:val="en-AU"/>
        </w:rPr>
      </w:pPr>
      <w:r>
        <w:rPr>
          <w:rStyle w:val="FootnoteReference"/>
        </w:rPr>
        <w:footnoteRef/>
      </w:r>
      <w:r>
        <w:t xml:space="preserve"> </w:t>
      </w:r>
      <w:r w:rsidRPr="009D4A9F">
        <w:t xml:space="preserve">Sanfilippo CM, Hesje CK, Haas W, </w:t>
      </w:r>
      <w:r>
        <w:t>et al</w:t>
      </w:r>
      <w:r w:rsidRPr="009D4A9F">
        <w:t xml:space="preserve">. (2011) Toposomerase Mutations that are associated with high-level resistance to earlier fluoroquinolones in Staphylococcus aureus have less effect on the antibacterial activity of Besifloxacin. </w:t>
      </w:r>
      <w:r w:rsidRPr="009D4A9F">
        <w:rPr>
          <w:i/>
        </w:rPr>
        <w:t xml:space="preserve">Chemotherapy </w:t>
      </w:r>
      <w:r w:rsidRPr="009D4A9F">
        <w:t>57: 363-371.</w:t>
      </w:r>
    </w:p>
  </w:footnote>
  <w:footnote w:id="9">
    <w:p w:rsidR="000F5CEC" w:rsidRPr="009D5B4A" w:rsidRDefault="000F5CEC" w:rsidP="00F240B7">
      <w:pPr>
        <w:pStyle w:val="FootnoteText"/>
        <w:rPr>
          <w:lang w:val="en-AU"/>
        </w:rPr>
      </w:pPr>
      <w:r>
        <w:rPr>
          <w:rStyle w:val="FootnoteReference"/>
        </w:rPr>
        <w:footnoteRef/>
      </w:r>
      <w:r>
        <w:t xml:space="preserve"> </w:t>
      </w:r>
      <w:r w:rsidRPr="009D5B4A">
        <w:t xml:space="preserve">Cambau E, Matrat S, Pan XS, et al. (2009) Target specificity of the new </w:t>
      </w:r>
      <w:r w:rsidRPr="00272072">
        <w:t>fluoroquinolone</w:t>
      </w:r>
      <w:r w:rsidRPr="009D5B4A">
        <w:t xml:space="preserve"> besifloxacin in Streptococcus pneumoniae, Staphylococcus aureus and Escherichia coli. </w:t>
      </w:r>
      <w:proofErr w:type="gramStart"/>
      <w:r w:rsidRPr="009D5B4A">
        <w:rPr>
          <w:i/>
        </w:rPr>
        <w:t>J Antimicrob Chemother.</w:t>
      </w:r>
      <w:proofErr w:type="gramEnd"/>
      <w:r w:rsidRPr="009D5B4A">
        <w:t xml:space="preserve"> 63: 443-450.</w:t>
      </w:r>
    </w:p>
  </w:footnote>
  <w:footnote w:id="10">
    <w:p w:rsidR="000F5CEC" w:rsidRPr="00371426" w:rsidRDefault="000F5CEC" w:rsidP="00F240B7">
      <w:pPr>
        <w:pStyle w:val="FootnoteText"/>
        <w:rPr>
          <w:lang w:val="en-AU"/>
        </w:rPr>
      </w:pPr>
      <w:r>
        <w:rPr>
          <w:rStyle w:val="FootnoteReference"/>
        </w:rPr>
        <w:footnoteRef/>
      </w:r>
      <w:r>
        <w:t xml:space="preserve"> </w:t>
      </w:r>
      <w:r w:rsidRPr="00037BD2">
        <w:t xml:space="preserve">Karpecki P, Paterno MR, Comstock TL. </w:t>
      </w:r>
      <w:proofErr w:type="gramStart"/>
      <w:r w:rsidRPr="00037BD2">
        <w:t xml:space="preserve">(2010) </w:t>
      </w:r>
      <w:r w:rsidRPr="00272072">
        <w:t>Limitations</w:t>
      </w:r>
      <w:r w:rsidRPr="00037BD2">
        <w:t xml:space="preserve"> of current </w:t>
      </w:r>
      <w:r w:rsidRPr="00F240B7">
        <w:t>antibiotics</w:t>
      </w:r>
      <w:r w:rsidRPr="00037BD2">
        <w:t xml:space="preserve"> for the treatment of bacterial conjunctivitis.</w:t>
      </w:r>
      <w:proofErr w:type="gramEnd"/>
      <w:r w:rsidRPr="00037BD2">
        <w:t xml:space="preserve"> </w:t>
      </w:r>
      <w:r w:rsidRPr="00037BD2">
        <w:rPr>
          <w:i/>
        </w:rPr>
        <w:t>Optom Vis Sci.</w:t>
      </w:r>
      <w:r w:rsidRPr="00037BD2">
        <w:t xml:space="preserve"> 87: 908-919</w:t>
      </w:r>
      <w:r>
        <w:t>.</w:t>
      </w:r>
    </w:p>
  </w:footnote>
  <w:footnote w:id="11">
    <w:p w:rsidR="000F5CEC" w:rsidRPr="00D7501F" w:rsidRDefault="000F5CEC" w:rsidP="006476DB">
      <w:pPr>
        <w:pStyle w:val="FootnoteText"/>
        <w:rPr>
          <w:lang w:val="en-AU"/>
        </w:rPr>
      </w:pPr>
      <w:r>
        <w:rPr>
          <w:rStyle w:val="FootnoteReference"/>
        </w:rPr>
        <w:footnoteRef/>
      </w:r>
      <w:r>
        <w:t xml:space="preserve"> </w:t>
      </w:r>
      <w:r w:rsidRPr="00EE639C">
        <w:t xml:space="preserve">Alfonso E, Crider J. (2005) </w:t>
      </w:r>
      <w:proofErr w:type="gramStart"/>
      <w:r w:rsidRPr="00EE639C">
        <w:t>Ophthalmic</w:t>
      </w:r>
      <w:proofErr w:type="gramEnd"/>
      <w:r w:rsidRPr="00EE639C">
        <w:t xml:space="preserve"> </w:t>
      </w:r>
      <w:r w:rsidRPr="006476DB">
        <w:t>infections</w:t>
      </w:r>
      <w:r w:rsidRPr="00EE639C">
        <w:t xml:space="preserve"> and their anti-infective challenges. </w:t>
      </w:r>
      <w:r w:rsidRPr="00EE639C">
        <w:rPr>
          <w:i/>
        </w:rPr>
        <w:t xml:space="preserve">Surv Ophthalmol. </w:t>
      </w:r>
      <w:r w:rsidRPr="00EE639C">
        <w:t xml:space="preserve">50 Suppl 1: S1-6; McDonald M, Blondeau JM. </w:t>
      </w:r>
      <w:proofErr w:type="gramStart"/>
      <w:r w:rsidRPr="00EE639C">
        <w:t>(2010) Emerging antibiotic resistance in ocular infections and the role of fluoroquinolones.</w:t>
      </w:r>
      <w:proofErr w:type="gramEnd"/>
      <w:r w:rsidRPr="00EE639C">
        <w:t xml:space="preserve"> </w:t>
      </w:r>
      <w:r w:rsidRPr="00EE639C">
        <w:rPr>
          <w:i/>
        </w:rPr>
        <w:t>J Cataract Refract Surg.</w:t>
      </w:r>
      <w:r w:rsidRPr="00EE639C">
        <w:t xml:space="preserve"> 36: 1588-1598.</w:t>
      </w:r>
    </w:p>
  </w:footnote>
  <w:footnote w:id="12">
    <w:p w:rsidR="000F5CEC" w:rsidRPr="00F6235C" w:rsidRDefault="000F5CEC" w:rsidP="006476DB">
      <w:pPr>
        <w:pStyle w:val="FootnoteText"/>
        <w:rPr>
          <w:lang w:val="en-AU"/>
        </w:rPr>
      </w:pPr>
      <w:r>
        <w:rPr>
          <w:rStyle w:val="FootnoteReference"/>
        </w:rPr>
        <w:footnoteRef/>
      </w:r>
      <w:r>
        <w:t xml:space="preserve"> </w:t>
      </w:r>
      <w:r w:rsidRPr="002D64E4">
        <w:t xml:space="preserve">Kodjikian L, Lafuma A, Khoshnood B et al. </w:t>
      </w:r>
      <w:r>
        <w:t>(</w:t>
      </w:r>
      <w:r w:rsidRPr="00272072">
        <w:t>2010</w:t>
      </w:r>
      <w:r>
        <w:t xml:space="preserve">) </w:t>
      </w:r>
      <w:r w:rsidRPr="002D64E4">
        <w:t xml:space="preserve">Efficacy of </w:t>
      </w:r>
      <w:r w:rsidRPr="006476DB">
        <w:t>moxifloxacin</w:t>
      </w:r>
      <w:r w:rsidRPr="002D64E4">
        <w:t xml:space="preserve"> in treating bacterial conjunc</w:t>
      </w:r>
      <w:r>
        <w:t xml:space="preserve">tivitis. </w:t>
      </w:r>
      <w:proofErr w:type="gramStart"/>
      <w:r w:rsidRPr="00886D41">
        <w:rPr>
          <w:i/>
        </w:rPr>
        <w:t>J F Ophtalmol.</w:t>
      </w:r>
      <w:proofErr w:type="gramEnd"/>
      <w:r>
        <w:t xml:space="preserve"> </w:t>
      </w:r>
      <w:r w:rsidRPr="002D64E4">
        <w:t>33: 227-233</w:t>
      </w:r>
      <w:r>
        <w:t>.</w:t>
      </w:r>
    </w:p>
  </w:footnote>
  <w:footnote w:id="13">
    <w:p w:rsidR="000F5CEC" w:rsidRPr="00594CC6" w:rsidRDefault="000F5CEC" w:rsidP="006476DB">
      <w:pPr>
        <w:pStyle w:val="FootnoteText"/>
        <w:rPr>
          <w:lang w:val="en-AU"/>
        </w:rPr>
      </w:pPr>
      <w:r>
        <w:rPr>
          <w:rStyle w:val="FootnoteReference"/>
        </w:rPr>
        <w:footnoteRef/>
      </w:r>
      <w:r>
        <w:t xml:space="preserve"> </w:t>
      </w:r>
      <w:r w:rsidRPr="00306AB4">
        <w:t xml:space="preserve">Silver LH, Woodside AM, Montgomery DB. </w:t>
      </w:r>
      <w:proofErr w:type="gramStart"/>
      <w:r w:rsidRPr="00306AB4">
        <w:t>(</w:t>
      </w:r>
      <w:r w:rsidRPr="00272072">
        <w:t>2005</w:t>
      </w:r>
      <w:r w:rsidRPr="00306AB4">
        <w:t xml:space="preserve">) Clinical </w:t>
      </w:r>
      <w:r w:rsidRPr="006476DB">
        <w:t>safety</w:t>
      </w:r>
      <w:r w:rsidRPr="00306AB4">
        <w:t xml:space="preserve"> of moxifloxacin ophthalmic solution 0.5% (VIGAMOX) in pediatric and nonpediatric patients with bacterial conjunctivitis.</w:t>
      </w:r>
      <w:proofErr w:type="gramEnd"/>
      <w:r w:rsidRPr="00306AB4">
        <w:t xml:space="preserve"> </w:t>
      </w:r>
      <w:r w:rsidRPr="00306AB4">
        <w:rPr>
          <w:i/>
        </w:rPr>
        <w:t>Surv Ophthalmol.</w:t>
      </w:r>
      <w:r w:rsidRPr="00306AB4">
        <w:t xml:space="preserve"> 50 Suppl 1: S55-S63.</w:t>
      </w:r>
    </w:p>
  </w:footnote>
  <w:footnote w:id="14">
    <w:p w:rsidR="000F5CEC" w:rsidRPr="00527496" w:rsidRDefault="000F5CEC" w:rsidP="006476DB">
      <w:pPr>
        <w:pStyle w:val="FootnoteText"/>
        <w:rPr>
          <w:lang w:val="en-AU"/>
        </w:rPr>
      </w:pPr>
      <w:r>
        <w:rPr>
          <w:rStyle w:val="FootnoteReference"/>
        </w:rPr>
        <w:footnoteRef/>
      </w:r>
      <w:r>
        <w:t xml:space="preserve"> </w:t>
      </w:r>
      <w:proofErr w:type="gramStart"/>
      <w:r w:rsidRPr="00527496">
        <w:t>Sheikh A, Hurwitz B, van Schayck CP, et al. (</w:t>
      </w:r>
      <w:r w:rsidRPr="00272072">
        <w:t>2012</w:t>
      </w:r>
      <w:r w:rsidRPr="00527496">
        <w:t>) Antibiotics versus placebo for acute bacterial conjunctivitis.</w:t>
      </w:r>
      <w:proofErr w:type="gramEnd"/>
      <w:r w:rsidRPr="00527496">
        <w:t xml:space="preserve"> </w:t>
      </w:r>
      <w:r w:rsidRPr="00527496">
        <w:rPr>
          <w:i/>
        </w:rPr>
        <w:t>Cochrane Database Syst Rev.</w:t>
      </w:r>
      <w:r w:rsidRPr="00527496">
        <w:t xml:space="preserve"> 9: CD001211.</w:t>
      </w:r>
    </w:p>
  </w:footnote>
  <w:footnote w:id="15">
    <w:p w:rsidR="000F5CEC" w:rsidRPr="006F1DE9" w:rsidRDefault="000F5CEC" w:rsidP="006476DB">
      <w:pPr>
        <w:pStyle w:val="FootnoteText"/>
        <w:rPr>
          <w:lang w:val="en-AU"/>
        </w:rPr>
      </w:pPr>
      <w:r>
        <w:rPr>
          <w:rStyle w:val="FootnoteReference"/>
        </w:rPr>
        <w:footnoteRef/>
      </w:r>
      <w:r>
        <w:t xml:space="preserve"> </w:t>
      </w:r>
      <w:r w:rsidRPr="00037BD2">
        <w:t xml:space="preserve">Karpecki P, Paterno MR, Comstock TL. </w:t>
      </w:r>
      <w:proofErr w:type="gramStart"/>
      <w:r w:rsidRPr="00037BD2">
        <w:t xml:space="preserve">(2010) </w:t>
      </w:r>
      <w:r w:rsidRPr="00252CE1">
        <w:t>Limitations</w:t>
      </w:r>
      <w:r w:rsidRPr="00037BD2">
        <w:t xml:space="preserve"> of </w:t>
      </w:r>
      <w:r w:rsidRPr="006476DB">
        <w:t>current</w:t>
      </w:r>
      <w:r w:rsidRPr="00037BD2">
        <w:t xml:space="preserve"> antibiotics for the treatment of bacterial conjunctivitis.</w:t>
      </w:r>
      <w:proofErr w:type="gramEnd"/>
      <w:r w:rsidRPr="00037BD2">
        <w:t xml:space="preserve"> </w:t>
      </w:r>
      <w:r w:rsidRPr="00037BD2">
        <w:rPr>
          <w:i/>
        </w:rPr>
        <w:t>Optom Vis Sci.</w:t>
      </w:r>
      <w:r w:rsidRPr="00037BD2">
        <w:t xml:space="preserve"> 87: 908-919</w:t>
      </w:r>
      <w:r>
        <w:t>.</w:t>
      </w:r>
    </w:p>
  </w:footnote>
  <w:footnote w:id="16">
    <w:p w:rsidR="000F5CEC" w:rsidRPr="00CA7201" w:rsidRDefault="000F5CEC" w:rsidP="006476DB">
      <w:pPr>
        <w:pStyle w:val="FootnoteText"/>
        <w:rPr>
          <w:lang w:val="en-AU"/>
        </w:rPr>
      </w:pPr>
      <w:r>
        <w:rPr>
          <w:rStyle w:val="FootnoteReference"/>
        </w:rPr>
        <w:footnoteRef/>
      </w:r>
      <w:r>
        <w:t xml:space="preserve"> </w:t>
      </w:r>
      <w:r w:rsidRPr="004752A5">
        <w:t xml:space="preserve">Comstock TL, Paterno MR, Usner DW, et al. (2010) Efficacy and safety of besifloxacin ophthalmic suspension 0.6% in children and adolescents with bacterial conjunctivitis: a post hoc, subgroup analysis of three randomized, double-masked, parallel-group, multicenter clinical trials. </w:t>
      </w:r>
      <w:r w:rsidRPr="004752A5">
        <w:rPr>
          <w:i/>
        </w:rPr>
        <w:t>Paediatr Drugs</w:t>
      </w:r>
      <w:r w:rsidRPr="004752A5">
        <w:t xml:space="preserve"> 12: 105-112.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CEC" w:rsidRDefault="000F5CEC" w:rsidP="00593AD1">
    <w:pPr>
      <w:pStyle w:val="HeaderNoLine"/>
    </w:pPr>
    <w:r>
      <w:rPr>
        <w:noProof/>
        <w:lang w:eastAsia="en-AU"/>
      </w:rPr>
      <w:drawing>
        <wp:inline distT="0" distB="0" distL="0" distR="0">
          <wp:extent cx="5396865" cy="7635240"/>
          <wp:effectExtent l="0" t="0" r="0" b="3810"/>
          <wp:docPr id="21" name="Picture 2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EC" w:rsidRDefault="000F5CEC" w:rsidP="006E08B3">
    <w:r>
      <w:t>Therapeutic Goods Administration</w:t>
    </w:r>
  </w:p>
  <w:p w:rsidR="000F5CEC" w:rsidRDefault="000F5CE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78AFB8"/>
    <w:lvl w:ilvl="0">
      <w:start w:val="1"/>
      <w:numFmt w:val="decimal"/>
      <w:lvlText w:val="%1."/>
      <w:lvlJc w:val="left"/>
      <w:pPr>
        <w:tabs>
          <w:tab w:val="num" w:pos="1492"/>
        </w:tabs>
        <w:ind w:left="1492" w:hanging="360"/>
      </w:pPr>
    </w:lvl>
  </w:abstractNum>
  <w:abstractNum w:abstractNumId="1">
    <w:nsid w:val="FFFFFF7D"/>
    <w:multiLevelType w:val="singleLevel"/>
    <w:tmpl w:val="7DB61D54"/>
    <w:lvl w:ilvl="0">
      <w:start w:val="1"/>
      <w:numFmt w:val="decimal"/>
      <w:lvlText w:val="%1."/>
      <w:lvlJc w:val="left"/>
      <w:pPr>
        <w:tabs>
          <w:tab w:val="num" w:pos="1209"/>
        </w:tabs>
        <w:ind w:left="1209" w:hanging="360"/>
      </w:pPr>
    </w:lvl>
  </w:abstractNum>
  <w:abstractNum w:abstractNumId="2">
    <w:nsid w:val="FFFFFF7E"/>
    <w:multiLevelType w:val="singleLevel"/>
    <w:tmpl w:val="4168B788"/>
    <w:lvl w:ilvl="0">
      <w:start w:val="1"/>
      <w:numFmt w:val="decimal"/>
      <w:lvlText w:val="%1."/>
      <w:lvlJc w:val="left"/>
      <w:pPr>
        <w:tabs>
          <w:tab w:val="num" w:pos="926"/>
        </w:tabs>
        <w:ind w:left="926" w:hanging="360"/>
      </w:pPr>
    </w:lvl>
  </w:abstractNum>
  <w:abstractNum w:abstractNumId="3">
    <w:nsid w:val="FFFFFF7F"/>
    <w:multiLevelType w:val="singleLevel"/>
    <w:tmpl w:val="C1DE0700"/>
    <w:lvl w:ilvl="0">
      <w:start w:val="1"/>
      <w:numFmt w:val="decimal"/>
      <w:lvlText w:val="%1."/>
      <w:lvlJc w:val="left"/>
      <w:pPr>
        <w:tabs>
          <w:tab w:val="num" w:pos="643"/>
        </w:tabs>
        <w:ind w:left="643" w:hanging="360"/>
      </w:pPr>
    </w:lvl>
  </w:abstractNum>
  <w:abstractNum w:abstractNumId="4">
    <w:nsid w:val="FFFFFF80"/>
    <w:multiLevelType w:val="singleLevel"/>
    <w:tmpl w:val="8D4649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B864B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7FC0669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1750FAB"/>
    <w:multiLevelType w:val="hybridMultilevel"/>
    <w:tmpl w:val="9570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6B54B8C"/>
    <w:multiLevelType w:val="hybridMultilevel"/>
    <w:tmpl w:val="C032DB2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nsid w:val="196901EB"/>
    <w:multiLevelType w:val="hybridMultilevel"/>
    <w:tmpl w:val="68E0EF88"/>
    <w:lvl w:ilvl="0" w:tplc="0C090001">
      <w:start w:val="1"/>
      <w:numFmt w:val="bullet"/>
      <w:lvlText w:val=""/>
      <w:lvlJc w:val="left"/>
      <w:pPr>
        <w:ind w:left="720" w:hanging="360"/>
      </w:pPr>
      <w:rPr>
        <w:rFonts w:ascii="Symbol" w:hAnsi="Symbol" w:hint="default"/>
      </w:rPr>
    </w:lvl>
    <w:lvl w:ilvl="1" w:tplc="A88A2650">
      <w:numFmt w:val="bullet"/>
      <w:lvlText w:val="-"/>
      <w:lvlJc w:val="left"/>
      <w:pPr>
        <w:ind w:left="1440" w:hanging="360"/>
      </w:pPr>
      <w:rPr>
        <w:rFonts w:ascii="Cambria" w:eastAsia="Times New Roman" w:hAnsi="Cambria"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BCF57AC"/>
    <w:multiLevelType w:val="hybridMultilevel"/>
    <w:tmpl w:val="009A7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D27B3F"/>
    <w:multiLevelType w:val="hybridMultilevel"/>
    <w:tmpl w:val="D2220CA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3AC02909"/>
    <w:multiLevelType w:val="hybridMultilevel"/>
    <w:tmpl w:val="CD1E8250"/>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
    <w:nsid w:val="440233ED"/>
    <w:multiLevelType w:val="hybridMultilevel"/>
    <w:tmpl w:val="B778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1706F0A"/>
    <w:multiLevelType w:val="hybridMultilevel"/>
    <w:tmpl w:val="5DF28738"/>
    <w:lvl w:ilvl="0" w:tplc="0C090001">
      <w:start w:val="1"/>
      <w:numFmt w:val="bullet"/>
      <w:lvlText w:val=""/>
      <w:lvlJc w:val="left"/>
      <w:pPr>
        <w:ind w:left="720" w:hanging="360"/>
      </w:pPr>
      <w:rPr>
        <w:rFonts w:ascii="Symbol" w:hAnsi="Symbol" w:hint="default"/>
      </w:rPr>
    </w:lvl>
    <w:lvl w:ilvl="1" w:tplc="19C29B80">
      <w:numFmt w:val="bullet"/>
      <w:lvlText w:val="•"/>
      <w:lvlJc w:val="left"/>
      <w:pPr>
        <w:ind w:left="1440" w:hanging="360"/>
      </w:pPr>
      <w:rPr>
        <w:rFonts w:ascii="Cambria" w:eastAsia="MS Mincho"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D06B09"/>
    <w:multiLevelType w:val="hybridMultilevel"/>
    <w:tmpl w:val="14A2C80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5">
    <w:nsid w:val="63771C10"/>
    <w:multiLevelType w:val="hybridMultilevel"/>
    <w:tmpl w:val="80801202"/>
    <w:lvl w:ilvl="0" w:tplc="A88A2650">
      <w:numFmt w:val="bullet"/>
      <w:lvlText w:val="-"/>
      <w:lvlJc w:val="left"/>
      <w:pPr>
        <w:ind w:left="1571" w:hanging="360"/>
      </w:pPr>
      <w:rPr>
        <w:rFonts w:ascii="Cambria" w:eastAsia="Times New Roman" w:hAnsi="Cambria" w:cs="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2"/>
  </w:num>
  <w:num w:numId="28">
    <w:abstractNumId w:val="18"/>
  </w:num>
  <w:num w:numId="29">
    <w:abstractNumId w:val="11"/>
  </w:num>
  <w:num w:numId="30">
    <w:abstractNumId w:val="20"/>
  </w:num>
  <w:num w:numId="31">
    <w:abstractNumId w:val="19"/>
  </w:num>
  <w:num w:numId="32">
    <w:abstractNumId w:val="15"/>
  </w:num>
  <w:num w:numId="33">
    <w:abstractNumId w:val="17"/>
  </w:num>
  <w:num w:numId="34">
    <w:abstractNumId w:val="21"/>
  </w:num>
  <w:num w:numId="35">
    <w:abstractNumId w:val="13"/>
  </w:num>
  <w:num w:numId="36">
    <w:abstractNumId w:val="23"/>
  </w:num>
  <w:num w:numId="37">
    <w:abstractNumId w:val="24"/>
  </w:num>
  <w:num w:numId="38">
    <w:abstractNumId w:val="25"/>
  </w:num>
  <w:num w:numId="39">
    <w:abstractNumId w:val="1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6321">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38"/>
    <w:rsid w:val="0000042B"/>
    <w:rsid w:val="00001E65"/>
    <w:rsid w:val="00002031"/>
    <w:rsid w:val="00002E03"/>
    <w:rsid w:val="00004734"/>
    <w:rsid w:val="00004791"/>
    <w:rsid w:val="00006B22"/>
    <w:rsid w:val="0001276A"/>
    <w:rsid w:val="000246AE"/>
    <w:rsid w:val="00025C67"/>
    <w:rsid w:val="000270E9"/>
    <w:rsid w:val="00030D83"/>
    <w:rsid w:val="00034BD2"/>
    <w:rsid w:val="00035813"/>
    <w:rsid w:val="00037BD2"/>
    <w:rsid w:val="00037DF0"/>
    <w:rsid w:val="000469BC"/>
    <w:rsid w:val="00053854"/>
    <w:rsid w:val="0005559E"/>
    <w:rsid w:val="00055604"/>
    <w:rsid w:val="0007107D"/>
    <w:rsid w:val="000761AF"/>
    <w:rsid w:val="0007753F"/>
    <w:rsid w:val="00077775"/>
    <w:rsid w:val="00090471"/>
    <w:rsid w:val="00094C57"/>
    <w:rsid w:val="00095E87"/>
    <w:rsid w:val="00096AA7"/>
    <w:rsid w:val="0009710A"/>
    <w:rsid w:val="000A33FF"/>
    <w:rsid w:val="000A3AED"/>
    <w:rsid w:val="000A3F8C"/>
    <w:rsid w:val="000B3532"/>
    <w:rsid w:val="000B3A75"/>
    <w:rsid w:val="000B554B"/>
    <w:rsid w:val="000B5EA0"/>
    <w:rsid w:val="000B7CDE"/>
    <w:rsid w:val="000C1606"/>
    <w:rsid w:val="000C26EE"/>
    <w:rsid w:val="000C690F"/>
    <w:rsid w:val="000D1295"/>
    <w:rsid w:val="000D391B"/>
    <w:rsid w:val="000D3D6D"/>
    <w:rsid w:val="000D4FC7"/>
    <w:rsid w:val="000D65DC"/>
    <w:rsid w:val="000E179C"/>
    <w:rsid w:val="000E1BE7"/>
    <w:rsid w:val="000E6FF6"/>
    <w:rsid w:val="000F0559"/>
    <w:rsid w:val="000F180B"/>
    <w:rsid w:val="000F306B"/>
    <w:rsid w:val="000F4869"/>
    <w:rsid w:val="000F5B42"/>
    <w:rsid w:val="000F5CEC"/>
    <w:rsid w:val="000F6E6F"/>
    <w:rsid w:val="001009CE"/>
    <w:rsid w:val="00101A37"/>
    <w:rsid w:val="0010601F"/>
    <w:rsid w:val="00106ACA"/>
    <w:rsid w:val="0010788A"/>
    <w:rsid w:val="00107A31"/>
    <w:rsid w:val="00110EA5"/>
    <w:rsid w:val="00112F56"/>
    <w:rsid w:val="0011608D"/>
    <w:rsid w:val="00120267"/>
    <w:rsid w:val="00120C4A"/>
    <w:rsid w:val="001235E9"/>
    <w:rsid w:val="00125318"/>
    <w:rsid w:val="001263DE"/>
    <w:rsid w:val="00127854"/>
    <w:rsid w:val="001305A2"/>
    <w:rsid w:val="00131958"/>
    <w:rsid w:val="0013200A"/>
    <w:rsid w:val="00133238"/>
    <w:rsid w:val="00135700"/>
    <w:rsid w:val="00140381"/>
    <w:rsid w:val="00140AA6"/>
    <w:rsid w:val="0014197B"/>
    <w:rsid w:val="001447CD"/>
    <w:rsid w:val="0014645A"/>
    <w:rsid w:val="001469E6"/>
    <w:rsid w:val="00147207"/>
    <w:rsid w:val="0014733A"/>
    <w:rsid w:val="001516B1"/>
    <w:rsid w:val="00153B45"/>
    <w:rsid w:val="00154EBB"/>
    <w:rsid w:val="00156162"/>
    <w:rsid w:val="00156316"/>
    <w:rsid w:val="00162427"/>
    <w:rsid w:val="00162D14"/>
    <w:rsid w:val="00164076"/>
    <w:rsid w:val="00165389"/>
    <w:rsid w:val="0016553C"/>
    <w:rsid w:val="00167157"/>
    <w:rsid w:val="0017319F"/>
    <w:rsid w:val="00175D3A"/>
    <w:rsid w:val="00175EED"/>
    <w:rsid w:val="001761FD"/>
    <w:rsid w:val="0017693F"/>
    <w:rsid w:val="0018110E"/>
    <w:rsid w:val="00181684"/>
    <w:rsid w:val="0018419D"/>
    <w:rsid w:val="001843C6"/>
    <w:rsid w:val="001850E0"/>
    <w:rsid w:val="00186A74"/>
    <w:rsid w:val="00190609"/>
    <w:rsid w:val="00193453"/>
    <w:rsid w:val="001967FD"/>
    <w:rsid w:val="00197679"/>
    <w:rsid w:val="001A2158"/>
    <w:rsid w:val="001A2187"/>
    <w:rsid w:val="001A473E"/>
    <w:rsid w:val="001A525F"/>
    <w:rsid w:val="001A5CD0"/>
    <w:rsid w:val="001A758C"/>
    <w:rsid w:val="001A7E37"/>
    <w:rsid w:val="001B09F9"/>
    <w:rsid w:val="001B498C"/>
    <w:rsid w:val="001B6448"/>
    <w:rsid w:val="001B7828"/>
    <w:rsid w:val="001C1F72"/>
    <w:rsid w:val="001C2EF7"/>
    <w:rsid w:val="001C310A"/>
    <w:rsid w:val="001D1A69"/>
    <w:rsid w:val="001D4078"/>
    <w:rsid w:val="001E058C"/>
    <w:rsid w:val="001E07CF"/>
    <w:rsid w:val="001E0A17"/>
    <w:rsid w:val="001E164D"/>
    <w:rsid w:val="001E170F"/>
    <w:rsid w:val="001E359A"/>
    <w:rsid w:val="001E3C3D"/>
    <w:rsid w:val="001E41E2"/>
    <w:rsid w:val="001E59F1"/>
    <w:rsid w:val="001E7A59"/>
    <w:rsid w:val="001F49EB"/>
    <w:rsid w:val="001F4FD2"/>
    <w:rsid w:val="001F6CBA"/>
    <w:rsid w:val="001F7A35"/>
    <w:rsid w:val="00201C1E"/>
    <w:rsid w:val="00201D4E"/>
    <w:rsid w:val="002049AD"/>
    <w:rsid w:val="002076C9"/>
    <w:rsid w:val="00207902"/>
    <w:rsid w:val="00210DEA"/>
    <w:rsid w:val="00211D25"/>
    <w:rsid w:val="002175D5"/>
    <w:rsid w:val="0022001F"/>
    <w:rsid w:val="00220B8A"/>
    <w:rsid w:val="002257F3"/>
    <w:rsid w:val="00226302"/>
    <w:rsid w:val="00233456"/>
    <w:rsid w:val="002336A3"/>
    <w:rsid w:val="002339A5"/>
    <w:rsid w:val="00234E56"/>
    <w:rsid w:val="00236628"/>
    <w:rsid w:val="00237C6E"/>
    <w:rsid w:val="00243510"/>
    <w:rsid w:val="00243789"/>
    <w:rsid w:val="00244F1F"/>
    <w:rsid w:val="0024775F"/>
    <w:rsid w:val="00252CE1"/>
    <w:rsid w:val="0025384F"/>
    <w:rsid w:val="002546FE"/>
    <w:rsid w:val="00257341"/>
    <w:rsid w:val="00257848"/>
    <w:rsid w:val="0026057B"/>
    <w:rsid w:val="00262BCF"/>
    <w:rsid w:val="00263360"/>
    <w:rsid w:val="00265020"/>
    <w:rsid w:val="00270023"/>
    <w:rsid w:val="0027084A"/>
    <w:rsid w:val="00272072"/>
    <w:rsid w:val="0028069F"/>
    <w:rsid w:val="00283C87"/>
    <w:rsid w:val="00286434"/>
    <w:rsid w:val="002868B0"/>
    <w:rsid w:val="00286C59"/>
    <w:rsid w:val="00291752"/>
    <w:rsid w:val="00291957"/>
    <w:rsid w:val="00293E25"/>
    <w:rsid w:val="002942D1"/>
    <w:rsid w:val="0029501A"/>
    <w:rsid w:val="002976D2"/>
    <w:rsid w:val="0029799D"/>
    <w:rsid w:val="002A045A"/>
    <w:rsid w:val="002A3F8A"/>
    <w:rsid w:val="002A672D"/>
    <w:rsid w:val="002B1638"/>
    <w:rsid w:val="002B741A"/>
    <w:rsid w:val="002B776B"/>
    <w:rsid w:val="002C00A0"/>
    <w:rsid w:val="002C051E"/>
    <w:rsid w:val="002C0848"/>
    <w:rsid w:val="002C2E89"/>
    <w:rsid w:val="002C30A1"/>
    <w:rsid w:val="002D241D"/>
    <w:rsid w:val="002D48A2"/>
    <w:rsid w:val="002D64E4"/>
    <w:rsid w:val="002D6942"/>
    <w:rsid w:val="002D7BFC"/>
    <w:rsid w:val="002E3F46"/>
    <w:rsid w:val="002E4C9A"/>
    <w:rsid w:val="002E6429"/>
    <w:rsid w:val="002E751D"/>
    <w:rsid w:val="002E79F6"/>
    <w:rsid w:val="002F11F8"/>
    <w:rsid w:val="002F3F56"/>
    <w:rsid w:val="002F44B5"/>
    <w:rsid w:val="00303479"/>
    <w:rsid w:val="00304948"/>
    <w:rsid w:val="00306AB4"/>
    <w:rsid w:val="00311AC0"/>
    <w:rsid w:val="0032145A"/>
    <w:rsid w:val="00321E8E"/>
    <w:rsid w:val="00322801"/>
    <w:rsid w:val="00323CC6"/>
    <w:rsid w:val="0032583B"/>
    <w:rsid w:val="00325A90"/>
    <w:rsid w:val="00327883"/>
    <w:rsid w:val="00332407"/>
    <w:rsid w:val="00335504"/>
    <w:rsid w:val="00337D05"/>
    <w:rsid w:val="003407CD"/>
    <w:rsid w:val="00342105"/>
    <w:rsid w:val="00343F4C"/>
    <w:rsid w:val="00347824"/>
    <w:rsid w:val="00350567"/>
    <w:rsid w:val="003513EA"/>
    <w:rsid w:val="003521E8"/>
    <w:rsid w:val="00354044"/>
    <w:rsid w:val="00360CC8"/>
    <w:rsid w:val="00362989"/>
    <w:rsid w:val="0036604F"/>
    <w:rsid w:val="00367400"/>
    <w:rsid w:val="00371426"/>
    <w:rsid w:val="00371C31"/>
    <w:rsid w:val="003728F3"/>
    <w:rsid w:val="0037496E"/>
    <w:rsid w:val="0038516A"/>
    <w:rsid w:val="00386150"/>
    <w:rsid w:val="003874CE"/>
    <w:rsid w:val="00390900"/>
    <w:rsid w:val="00390CB7"/>
    <w:rsid w:val="003915D5"/>
    <w:rsid w:val="00394F69"/>
    <w:rsid w:val="00396257"/>
    <w:rsid w:val="00396757"/>
    <w:rsid w:val="00397BDD"/>
    <w:rsid w:val="003A494F"/>
    <w:rsid w:val="003A52EF"/>
    <w:rsid w:val="003A72B0"/>
    <w:rsid w:val="003A7EA4"/>
    <w:rsid w:val="003A7F6C"/>
    <w:rsid w:val="003B4D60"/>
    <w:rsid w:val="003B6060"/>
    <w:rsid w:val="003B7E39"/>
    <w:rsid w:val="003C4596"/>
    <w:rsid w:val="003C58DC"/>
    <w:rsid w:val="003D02E4"/>
    <w:rsid w:val="003D193F"/>
    <w:rsid w:val="003D1E62"/>
    <w:rsid w:val="003D2645"/>
    <w:rsid w:val="003D30E3"/>
    <w:rsid w:val="003E1367"/>
    <w:rsid w:val="003E2486"/>
    <w:rsid w:val="003E2F1C"/>
    <w:rsid w:val="003E3208"/>
    <w:rsid w:val="003E3757"/>
    <w:rsid w:val="003F061E"/>
    <w:rsid w:val="003F0B04"/>
    <w:rsid w:val="003F0DB6"/>
    <w:rsid w:val="003F2CA0"/>
    <w:rsid w:val="003F4F23"/>
    <w:rsid w:val="003F5629"/>
    <w:rsid w:val="003F59CB"/>
    <w:rsid w:val="003F7DCF"/>
    <w:rsid w:val="0040134E"/>
    <w:rsid w:val="00401AD3"/>
    <w:rsid w:val="0040561E"/>
    <w:rsid w:val="004069D6"/>
    <w:rsid w:val="004100EF"/>
    <w:rsid w:val="00421713"/>
    <w:rsid w:val="00430B42"/>
    <w:rsid w:val="00431869"/>
    <w:rsid w:val="00435860"/>
    <w:rsid w:val="00440A2D"/>
    <w:rsid w:val="0044150E"/>
    <w:rsid w:val="00445315"/>
    <w:rsid w:val="00446DD0"/>
    <w:rsid w:val="004564A7"/>
    <w:rsid w:val="00457C09"/>
    <w:rsid w:val="004617BF"/>
    <w:rsid w:val="00463658"/>
    <w:rsid w:val="004640B4"/>
    <w:rsid w:val="0047126F"/>
    <w:rsid w:val="004722CC"/>
    <w:rsid w:val="0047361E"/>
    <w:rsid w:val="004752A5"/>
    <w:rsid w:val="004760FB"/>
    <w:rsid w:val="00477AA6"/>
    <w:rsid w:val="00480EB2"/>
    <w:rsid w:val="00485487"/>
    <w:rsid w:val="0049251F"/>
    <w:rsid w:val="004936E4"/>
    <w:rsid w:val="00494E60"/>
    <w:rsid w:val="00497487"/>
    <w:rsid w:val="004A2702"/>
    <w:rsid w:val="004A27BE"/>
    <w:rsid w:val="004B0304"/>
    <w:rsid w:val="004B25F3"/>
    <w:rsid w:val="004B3843"/>
    <w:rsid w:val="004B7B76"/>
    <w:rsid w:val="004C11FE"/>
    <w:rsid w:val="004C239D"/>
    <w:rsid w:val="004C2AE0"/>
    <w:rsid w:val="004C2DCA"/>
    <w:rsid w:val="004C6328"/>
    <w:rsid w:val="004C6FB8"/>
    <w:rsid w:val="004D2809"/>
    <w:rsid w:val="004D5AF2"/>
    <w:rsid w:val="004E0BF3"/>
    <w:rsid w:val="004E5879"/>
    <w:rsid w:val="004F0703"/>
    <w:rsid w:val="004F0E35"/>
    <w:rsid w:val="004F0F38"/>
    <w:rsid w:val="004F54A9"/>
    <w:rsid w:val="004F6C38"/>
    <w:rsid w:val="00501921"/>
    <w:rsid w:val="00507B5A"/>
    <w:rsid w:val="00512ECB"/>
    <w:rsid w:val="00513408"/>
    <w:rsid w:val="00513AA2"/>
    <w:rsid w:val="00514687"/>
    <w:rsid w:val="00515083"/>
    <w:rsid w:val="00521627"/>
    <w:rsid w:val="00521873"/>
    <w:rsid w:val="00524737"/>
    <w:rsid w:val="00525146"/>
    <w:rsid w:val="00525F3E"/>
    <w:rsid w:val="00527496"/>
    <w:rsid w:val="00530354"/>
    <w:rsid w:val="00530D5C"/>
    <w:rsid w:val="00531EF9"/>
    <w:rsid w:val="00534370"/>
    <w:rsid w:val="0053625B"/>
    <w:rsid w:val="00537154"/>
    <w:rsid w:val="005371E8"/>
    <w:rsid w:val="005434C6"/>
    <w:rsid w:val="00543B39"/>
    <w:rsid w:val="00543FA4"/>
    <w:rsid w:val="00544645"/>
    <w:rsid w:val="00545552"/>
    <w:rsid w:val="00547DE0"/>
    <w:rsid w:val="00550096"/>
    <w:rsid w:val="005502E3"/>
    <w:rsid w:val="00557FF9"/>
    <w:rsid w:val="00567291"/>
    <w:rsid w:val="00567F26"/>
    <w:rsid w:val="00576378"/>
    <w:rsid w:val="00576841"/>
    <w:rsid w:val="005768D0"/>
    <w:rsid w:val="0057697F"/>
    <w:rsid w:val="00577130"/>
    <w:rsid w:val="00577945"/>
    <w:rsid w:val="00577E38"/>
    <w:rsid w:val="005809E3"/>
    <w:rsid w:val="00580AE9"/>
    <w:rsid w:val="0058445A"/>
    <w:rsid w:val="00585322"/>
    <w:rsid w:val="005857C6"/>
    <w:rsid w:val="005867D8"/>
    <w:rsid w:val="00587D38"/>
    <w:rsid w:val="00592F6E"/>
    <w:rsid w:val="00593AD1"/>
    <w:rsid w:val="00593B5D"/>
    <w:rsid w:val="00594687"/>
    <w:rsid w:val="00594CC6"/>
    <w:rsid w:val="00594E28"/>
    <w:rsid w:val="005A0770"/>
    <w:rsid w:val="005A4852"/>
    <w:rsid w:val="005A4E24"/>
    <w:rsid w:val="005A5393"/>
    <w:rsid w:val="005A6797"/>
    <w:rsid w:val="005A68B6"/>
    <w:rsid w:val="005A76EA"/>
    <w:rsid w:val="005B4953"/>
    <w:rsid w:val="005B52E9"/>
    <w:rsid w:val="005C35AC"/>
    <w:rsid w:val="005C5570"/>
    <w:rsid w:val="005C733B"/>
    <w:rsid w:val="005C79A4"/>
    <w:rsid w:val="005D05E1"/>
    <w:rsid w:val="005D5442"/>
    <w:rsid w:val="005D6D73"/>
    <w:rsid w:val="005F129B"/>
    <w:rsid w:val="005F1FE8"/>
    <w:rsid w:val="005F22E9"/>
    <w:rsid w:val="005F6583"/>
    <w:rsid w:val="006026CE"/>
    <w:rsid w:val="00602885"/>
    <w:rsid w:val="00603F32"/>
    <w:rsid w:val="00604755"/>
    <w:rsid w:val="00604AEC"/>
    <w:rsid w:val="0060598C"/>
    <w:rsid w:val="00606670"/>
    <w:rsid w:val="0060755B"/>
    <w:rsid w:val="00613F28"/>
    <w:rsid w:val="00617E5C"/>
    <w:rsid w:val="00621C2E"/>
    <w:rsid w:val="00625A6E"/>
    <w:rsid w:val="00626C10"/>
    <w:rsid w:val="006322BC"/>
    <w:rsid w:val="00632398"/>
    <w:rsid w:val="00634109"/>
    <w:rsid w:val="00640FC3"/>
    <w:rsid w:val="00642020"/>
    <w:rsid w:val="006476DB"/>
    <w:rsid w:val="00647BD1"/>
    <w:rsid w:val="006508CA"/>
    <w:rsid w:val="00651468"/>
    <w:rsid w:val="0065337B"/>
    <w:rsid w:val="0065419D"/>
    <w:rsid w:val="00656810"/>
    <w:rsid w:val="006604D8"/>
    <w:rsid w:val="00660A20"/>
    <w:rsid w:val="00664A5B"/>
    <w:rsid w:val="0067081B"/>
    <w:rsid w:val="0067236B"/>
    <w:rsid w:val="00675B18"/>
    <w:rsid w:val="006763D2"/>
    <w:rsid w:val="00676FE8"/>
    <w:rsid w:val="006808E1"/>
    <w:rsid w:val="00680C08"/>
    <w:rsid w:val="00683DC0"/>
    <w:rsid w:val="00685136"/>
    <w:rsid w:val="006860B4"/>
    <w:rsid w:val="00686171"/>
    <w:rsid w:val="00686F1B"/>
    <w:rsid w:val="006877D0"/>
    <w:rsid w:val="006901DD"/>
    <w:rsid w:val="006909E8"/>
    <w:rsid w:val="006931B1"/>
    <w:rsid w:val="00694C67"/>
    <w:rsid w:val="00694D0C"/>
    <w:rsid w:val="006952AD"/>
    <w:rsid w:val="00695FF1"/>
    <w:rsid w:val="006A0F01"/>
    <w:rsid w:val="006A15C0"/>
    <w:rsid w:val="006B50C8"/>
    <w:rsid w:val="006B783C"/>
    <w:rsid w:val="006B7F75"/>
    <w:rsid w:val="006C3E2A"/>
    <w:rsid w:val="006C52C5"/>
    <w:rsid w:val="006C642F"/>
    <w:rsid w:val="006C7BE1"/>
    <w:rsid w:val="006D03E5"/>
    <w:rsid w:val="006D1B0B"/>
    <w:rsid w:val="006D3AA1"/>
    <w:rsid w:val="006D3C77"/>
    <w:rsid w:val="006D5D3E"/>
    <w:rsid w:val="006D6C65"/>
    <w:rsid w:val="006E08B3"/>
    <w:rsid w:val="006E2119"/>
    <w:rsid w:val="006E41A1"/>
    <w:rsid w:val="006E5276"/>
    <w:rsid w:val="006E556B"/>
    <w:rsid w:val="006E715E"/>
    <w:rsid w:val="006F17AC"/>
    <w:rsid w:val="006F1DE9"/>
    <w:rsid w:val="006F572E"/>
    <w:rsid w:val="006F7332"/>
    <w:rsid w:val="006F765D"/>
    <w:rsid w:val="007024CD"/>
    <w:rsid w:val="007046D6"/>
    <w:rsid w:val="00705DB0"/>
    <w:rsid w:val="00705ECF"/>
    <w:rsid w:val="00722B57"/>
    <w:rsid w:val="00722D84"/>
    <w:rsid w:val="00723E02"/>
    <w:rsid w:val="0073066C"/>
    <w:rsid w:val="00732C97"/>
    <w:rsid w:val="00735B13"/>
    <w:rsid w:val="00737BBA"/>
    <w:rsid w:val="007400B5"/>
    <w:rsid w:val="0074253D"/>
    <w:rsid w:val="0074429B"/>
    <w:rsid w:val="007447B4"/>
    <w:rsid w:val="00746B7F"/>
    <w:rsid w:val="007552C0"/>
    <w:rsid w:val="00756A5A"/>
    <w:rsid w:val="0076113D"/>
    <w:rsid w:val="007615BC"/>
    <w:rsid w:val="00761A31"/>
    <w:rsid w:val="00762F05"/>
    <w:rsid w:val="007639BD"/>
    <w:rsid w:val="007652FF"/>
    <w:rsid w:val="00767644"/>
    <w:rsid w:val="00770EF1"/>
    <w:rsid w:val="007710A2"/>
    <w:rsid w:val="007710D2"/>
    <w:rsid w:val="00773EF7"/>
    <w:rsid w:val="00774E1D"/>
    <w:rsid w:val="00775D26"/>
    <w:rsid w:val="007764A4"/>
    <w:rsid w:val="0077675A"/>
    <w:rsid w:val="0077720B"/>
    <w:rsid w:val="00777666"/>
    <w:rsid w:val="00780355"/>
    <w:rsid w:val="00784108"/>
    <w:rsid w:val="00784911"/>
    <w:rsid w:val="00785721"/>
    <w:rsid w:val="0078726F"/>
    <w:rsid w:val="00787CB2"/>
    <w:rsid w:val="0079304C"/>
    <w:rsid w:val="00793A59"/>
    <w:rsid w:val="00794B6F"/>
    <w:rsid w:val="007971EE"/>
    <w:rsid w:val="007A3D62"/>
    <w:rsid w:val="007A577B"/>
    <w:rsid w:val="007A57AB"/>
    <w:rsid w:val="007B5349"/>
    <w:rsid w:val="007B66C5"/>
    <w:rsid w:val="007B6E9F"/>
    <w:rsid w:val="007B7A3B"/>
    <w:rsid w:val="007B7C1E"/>
    <w:rsid w:val="007C1216"/>
    <w:rsid w:val="007C1AF7"/>
    <w:rsid w:val="007C3342"/>
    <w:rsid w:val="007C5532"/>
    <w:rsid w:val="007C57F1"/>
    <w:rsid w:val="007C7C78"/>
    <w:rsid w:val="007D194C"/>
    <w:rsid w:val="007D5D56"/>
    <w:rsid w:val="007D7FCA"/>
    <w:rsid w:val="007E02B4"/>
    <w:rsid w:val="007E04F6"/>
    <w:rsid w:val="007E17C7"/>
    <w:rsid w:val="007E2024"/>
    <w:rsid w:val="007E2BCD"/>
    <w:rsid w:val="007E452C"/>
    <w:rsid w:val="007F087B"/>
    <w:rsid w:val="007F13B2"/>
    <w:rsid w:val="007F213C"/>
    <w:rsid w:val="007F4E1E"/>
    <w:rsid w:val="007F779D"/>
    <w:rsid w:val="00801446"/>
    <w:rsid w:val="00801885"/>
    <w:rsid w:val="00803575"/>
    <w:rsid w:val="00804414"/>
    <w:rsid w:val="00805D27"/>
    <w:rsid w:val="00812305"/>
    <w:rsid w:val="00821776"/>
    <w:rsid w:val="00823FA8"/>
    <w:rsid w:val="0082795A"/>
    <w:rsid w:val="008321F5"/>
    <w:rsid w:val="00832369"/>
    <w:rsid w:val="00832619"/>
    <w:rsid w:val="0083441F"/>
    <w:rsid w:val="00834660"/>
    <w:rsid w:val="008349F7"/>
    <w:rsid w:val="0083659D"/>
    <w:rsid w:val="00836BC2"/>
    <w:rsid w:val="00837014"/>
    <w:rsid w:val="008471D6"/>
    <w:rsid w:val="00850CE7"/>
    <w:rsid w:val="00853E1A"/>
    <w:rsid w:val="008549C4"/>
    <w:rsid w:val="008562DA"/>
    <w:rsid w:val="0085641B"/>
    <w:rsid w:val="00857136"/>
    <w:rsid w:val="008603F2"/>
    <w:rsid w:val="00861A13"/>
    <w:rsid w:val="00862001"/>
    <w:rsid w:val="0087198E"/>
    <w:rsid w:val="008745DB"/>
    <w:rsid w:val="008757CA"/>
    <w:rsid w:val="0087661F"/>
    <w:rsid w:val="008775E0"/>
    <w:rsid w:val="00881A46"/>
    <w:rsid w:val="00882642"/>
    <w:rsid w:val="00882733"/>
    <w:rsid w:val="00884A81"/>
    <w:rsid w:val="00885A1A"/>
    <w:rsid w:val="00885B11"/>
    <w:rsid w:val="00886D15"/>
    <w:rsid w:val="00886D41"/>
    <w:rsid w:val="00887DD8"/>
    <w:rsid w:val="00892B26"/>
    <w:rsid w:val="00896018"/>
    <w:rsid w:val="008960DD"/>
    <w:rsid w:val="0089635C"/>
    <w:rsid w:val="00896966"/>
    <w:rsid w:val="008A02D5"/>
    <w:rsid w:val="008A2B9D"/>
    <w:rsid w:val="008A5E0B"/>
    <w:rsid w:val="008A63CF"/>
    <w:rsid w:val="008A6D59"/>
    <w:rsid w:val="008B03EF"/>
    <w:rsid w:val="008B41BC"/>
    <w:rsid w:val="008B4B03"/>
    <w:rsid w:val="008B596F"/>
    <w:rsid w:val="008B74F6"/>
    <w:rsid w:val="008C159F"/>
    <w:rsid w:val="008C1623"/>
    <w:rsid w:val="008C1850"/>
    <w:rsid w:val="008C51A9"/>
    <w:rsid w:val="008C6B8C"/>
    <w:rsid w:val="008D255F"/>
    <w:rsid w:val="008E3B26"/>
    <w:rsid w:val="008E5CCE"/>
    <w:rsid w:val="008E67EB"/>
    <w:rsid w:val="008E7846"/>
    <w:rsid w:val="008E7855"/>
    <w:rsid w:val="008F1CCC"/>
    <w:rsid w:val="008F2967"/>
    <w:rsid w:val="008F5AAC"/>
    <w:rsid w:val="008F6943"/>
    <w:rsid w:val="009006AE"/>
    <w:rsid w:val="00901BC1"/>
    <w:rsid w:val="00902A21"/>
    <w:rsid w:val="00903337"/>
    <w:rsid w:val="009039AC"/>
    <w:rsid w:val="00904D16"/>
    <w:rsid w:val="009074DA"/>
    <w:rsid w:val="009126B6"/>
    <w:rsid w:val="0091425A"/>
    <w:rsid w:val="00920330"/>
    <w:rsid w:val="00921735"/>
    <w:rsid w:val="009219D7"/>
    <w:rsid w:val="00922D53"/>
    <w:rsid w:val="00923578"/>
    <w:rsid w:val="00923B70"/>
    <w:rsid w:val="00924482"/>
    <w:rsid w:val="009248A9"/>
    <w:rsid w:val="00926E7C"/>
    <w:rsid w:val="009271FC"/>
    <w:rsid w:val="00930237"/>
    <w:rsid w:val="009346AE"/>
    <w:rsid w:val="00934EE9"/>
    <w:rsid w:val="009364F9"/>
    <w:rsid w:val="00937FB2"/>
    <w:rsid w:val="00940BA7"/>
    <w:rsid w:val="009430B6"/>
    <w:rsid w:val="0094433D"/>
    <w:rsid w:val="00946EA5"/>
    <w:rsid w:val="00951AA5"/>
    <w:rsid w:val="009521D2"/>
    <w:rsid w:val="00952656"/>
    <w:rsid w:val="00960365"/>
    <w:rsid w:val="00963C08"/>
    <w:rsid w:val="0096439E"/>
    <w:rsid w:val="0096576A"/>
    <w:rsid w:val="009674E6"/>
    <w:rsid w:val="00967E0D"/>
    <w:rsid w:val="009722D0"/>
    <w:rsid w:val="009747B6"/>
    <w:rsid w:val="00975A3D"/>
    <w:rsid w:val="00976CC0"/>
    <w:rsid w:val="00980496"/>
    <w:rsid w:val="00985792"/>
    <w:rsid w:val="0098585A"/>
    <w:rsid w:val="00987092"/>
    <w:rsid w:val="009907C9"/>
    <w:rsid w:val="00991A6A"/>
    <w:rsid w:val="00991C8F"/>
    <w:rsid w:val="009933C5"/>
    <w:rsid w:val="009A17F8"/>
    <w:rsid w:val="009A35A2"/>
    <w:rsid w:val="009A4CED"/>
    <w:rsid w:val="009A690D"/>
    <w:rsid w:val="009B1D12"/>
    <w:rsid w:val="009B2C60"/>
    <w:rsid w:val="009B3211"/>
    <w:rsid w:val="009B3869"/>
    <w:rsid w:val="009B416B"/>
    <w:rsid w:val="009B695D"/>
    <w:rsid w:val="009C4BD5"/>
    <w:rsid w:val="009D0886"/>
    <w:rsid w:val="009D1CDA"/>
    <w:rsid w:val="009D4A9F"/>
    <w:rsid w:val="009D5B4A"/>
    <w:rsid w:val="009D64E3"/>
    <w:rsid w:val="009D6765"/>
    <w:rsid w:val="009D73D4"/>
    <w:rsid w:val="009D7B77"/>
    <w:rsid w:val="009E0BB0"/>
    <w:rsid w:val="009E3130"/>
    <w:rsid w:val="009E3F36"/>
    <w:rsid w:val="009E3FBB"/>
    <w:rsid w:val="009E4D8C"/>
    <w:rsid w:val="009E568B"/>
    <w:rsid w:val="009F0A74"/>
    <w:rsid w:val="009F1D81"/>
    <w:rsid w:val="009F3F79"/>
    <w:rsid w:val="009F6E34"/>
    <w:rsid w:val="00A03DBF"/>
    <w:rsid w:val="00A03FD5"/>
    <w:rsid w:val="00A102E4"/>
    <w:rsid w:val="00A12C42"/>
    <w:rsid w:val="00A14299"/>
    <w:rsid w:val="00A14DF7"/>
    <w:rsid w:val="00A17194"/>
    <w:rsid w:val="00A177B0"/>
    <w:rsid w:val="00A17B4A"/>
    <w:rsid w:val="00A20701"/>
    <w:rsid w:val="00A21E39"/>
    <w:rsid w:val="00A221E1"/>
    <w:rsid w:val="00A24217"/>
    <w:rsid w:val="00A24389"/>
    <w:rsid w:val="00A27E1C"/>
    <w:rsid w:val="00A30958"/>
    <w:rsid w:val="00A323C5"/>
    <w:rsid w:val="00A3246D"/>
    <w:rsid w:val="00A369FB"/>
    <w:rsid w:val="00A36C4A"/>
    <w:rsid w:val="00A36FA7"/>
    <w:rsid w:val="00A416DC"/>
    <w:rsid w:val="00A4246B"/>
    <w:rsid w:val="00A46546"/>
    <w:rsid w:val="00A475B7"/>
    <w:rsid w:val="00A47AF7"/>
    <w:rsid w:val="00A47C3E"/>
    <w:rsid w:val="00A50226"/>
    <w:rsid w:val="00A5212D"/>
    <w:rsid w:val="00A526A0"/>
    <w:rsid w:val="00A54847"/>
    <w:rsid w:val="00A60BAD"/>
    <w:rsid w:val="00A611E9"/>
    <w:rsid w:val="00A70A5D"/>
    <w:rsid w:val="00A726DF"/>
    <w:rsid w:val="00A730D0"/>
    <w:rsid w:val="00A75D2A"/>
    <w:rsid w:val="00A80980"/>
    <w:rsid w:val="00A84E36"/>
    <w:rsid w:val="00A85056"/>
    <w:rsid w:val="00A964D1"/>
    <w:rsid w:val="00AA0159"/>
    <w:rsid w:val="00AA0ED0"/>
    <w:rsid w:val="00AA6A43"/>
    <w:rsid w:val="00AB1736"/>
    <w:rsid w:val="00AB77F5"/>
    <w:rsid w:val="00AC24EE"/>
    <w:rsid w:val="00AC2B40"/>
    <w:rsid w:val="00AC2BB2"/>
    <w:rsid w:val="00AC2C3C"/>
    <w:rsid w:val="00AC2C52"/>
    <w:rsid w:val="00AC39EB"/>
    <w:rsid w:val="00AC512D"/>
    <w:rsid w:val="00AC59EE"/>
    <w:rsid w:val="00AD0083"/>
    <w:rsid w:val="00AD0DCB"/>
    <w:rsid w:val="00AD1CD0"/>
    <w:rsid w:val="00AD3A19"/>
    <w:rsid w:val="00AD59A6"/>
    <w:rsid w:val="00AD79BD"/>
    <w:rsid w:val="00AE37B2"/>
    <w:rsid w:val="00AE5BB4"/>
    <w:rsid w:val="00AE65EB"/>
    <w:rsid w:val="00AE67A7"/>
    <w:rsid w:val="00AF0F96"/>
    <w:rsid w:val="00AF1D94"/>
    <w:rsid w:val="00AF2ABD"/>
    <w:rsid w:val="00AF60C5"/>
    <w:rsid w:val="00AF6508"/>
    <w:rsid w:val="00B009C6"/>
    <w:rsid w:val="00B00C8F"/>
    <w:rsid w:val="00B01548"/>
    <w:rsid w:val="00B02561"/>
    <w:rsid w:val="00B0767A"/>
    <w:rsid w:val="00B076EE"/>
    <w:rsid w:val="00B10F0F"/>
    <w:rsid w:val="00B21D29"/>
    <w:rsid w:val="00B23769"/>
    <w:rsid w:val="00B240A1"/>
    <w:rsid w:val="00B242FF"/>
    <w:rsid w:val="00B25034"/>
    <w:rsid w:val="00B263DF"/>
    <w:rsid w:val="00B26B63"/>
    <w:rsid w:val="00B30095"/>
    <w:rsid w:val="00B315A6"/>
    <w:rsid w:val="00B33364"/>
    <w:rsid w:val="00B33588"/>
    <w:rsid w:val="00B33863"/>
    <w:rsid w:val="00B33A34"/>
    <w:rsid w:val="00B352D0"/>
    <w:rsid w:val="00B37D17"/>
    <w:rsid w:val="00B411E4"/>
    <w:rsid w:val="00B4175E"/>
    <w:rsid w:val="00B426C1"/>
    <w:rsid w:val="00B42ABE"/>
    <w:rsid w:val="00B42FE3"/>
    <w:rsid w:val="00B452CE"/>
    <w:rsid w:val="00B508E2"/>
    <w:rsid w:val="00B54C25"/>
    <w:rsid w:val="00B55114"/>
    <w:rsid w:val="00B55A63"/>
    <w:rsid w:val="00B605D3"/>
    <w:rsid w:val="00B6074A"/>
    <w:rsid w:val="00B711BE"/>
    <w:rsid w:val="00B72E53"/>
    <w:rsid w:val="00B74D7C"/>
    <w:rsid w:val="00B76B91"/>
    <w:rsid w:val="00B77EB1"/>
    <w:rsid w:val="00B811C6"/>
    <w:rsid w:val="00B855B0"/>
    <w:rsid w:val="00B857DE"/>
    <w:rsid w:val="00B92E08"/>
    <w:rsid w:val="00B93AF2"/>
    <w:rsid w:val="00B95830"/>
    <w:rsid w:val="00B97874"/>
    <w:rsid w:val="00BA4B55"/>
    <w:rsid w:val="00BA710F"/>
    <w:rsid w:val="00BB1612"/>
    <w:rsid w:val="00BC036A"/>
    <w:rsid w:val="00BC3BA9"/>
    <w:rsid w:val="00BC622A"/>
    <w:rsid w:val="00BC653E"/>
    <w:rsid w:val="00BC76FB"/>
    <w:rsid w:val="00BD683D"/>
    <w:rsid w:val="00BD6A74"/>
    <w:rsid w:val="00BD7D06"/>
    <w:rsid w:val="00BE0A78"/>
    <w:rsid w:val="00BE3D9D"/>
    <w:rsid w:val="00BE6FA1"/>
    <w:rsid w:val="00BE79F0"/>
    <w:rsid w:val="00BF046D"/>
    <w:rsid w:val="00BF1190"/>
    <w:rsid w:val="00BF2990"/>
    <w:rsid w:val="00BF4F74"/>
    <w:rsid w:val="00BF5D04"/>
    <w:rsid w:val="00BF6AD6"/>
    <w:rsid w:val="00C00A27"/>
    <w:rsid w:val="00C02225"/>
    <w:rsid w:val="00C042F0"/>
    <w:rsid w:val="00C1164D"/>
    <w:rsid w:val="00C121F7"/>
    <w:rsid w:val="00C126D2"/>
    <w:rsid w:val="00C13E8F"/>
    <w:rsid w:val="00C15D33"/>
    <w:rsid w:val="00C16861"/>
    <w:rsid w:val="00C17C7D"/>
    <w:rsid w:val="00C21D81"/>
    <w:rsid w:val="00C25EF3"/>
    <w:rsid w:val="00C26E9A"/>
    <w:rsid w:val="00C27673"/>
    <w:rsid w:val="00C3057F"/>
    <w:rsid w:val="00C318E5"/>
    <w:rsid w:val="00C40031"/>
    <w:rsid w:val="00C40396"/>
    <w:rsid w:val="00C404A6"/>
    <w:rsid w:val="00C40A36"/>
    <w:rsid w:val="00C410FA"/>
    <w:rsid w:val="00C41C99"/>
    <w:rsid w:val="00C42E28"/>
    <w:rsid w:val="00C44419"/>
    <w:rsid w:val="00C45E7B"/>
    <w:rsid w:val="00C471B1"/>
    <w:rsid w:val="00C475E9"/>
    <w:rsid w:val="00C5199F"/>
    <w:rsid w:val="00C51AD2"/>
    <w:rsid w:val="00C538C9"/>
    <w:rsid w:val="00C6316B"/>
    <w:rsid w:val="00C634A9"/>
    <w:rsid w:val="00C64586"/>
    <w:rsid w:val="00C70D53"/>
    <w:rsid w:val="00C7153E"/>
    <w:rsid w:val="00C71F39"/>
    <w:rsid w:val="00C73D0B"/>
    <w:rsid w:val="00C74128"/>
    <w:rsid w:val="00C772FF"/>
    <w:rsid w:val="00C80137"/>
    <w:rsid w:val="00C801AF"/>
    <w:rsid w:val="00C80256"/>
    <w:rsid w:val="00C86734"/>
    <w:rsid w:val="00C91CDB"/>
    <w:rsid w:val="00C935CB"/>
    <w:rsid w:val="00C9409C"/>
    <w:rsid w:val="00C95EDD"/>
    <w:rsid w:val="00C9681F"/>
    <w:rsid w:val="00C978C7"/>
    <w:rsid w:val="00CA1FF8"/>
    <w:rsid w:val="00CA240D"/>
    <w:rsid w:val="00CA32A3"/>
    <w:rsid w:val="00CA6B94"/>
    <w:rsid w:val="00CA7201"/>
    <w:rsid w:val="00CB0748"/>
    <w:rsid w:val="00CB154D"/>
    <w:rsid w:val="00CB3E86"/>
    <w:rsid w:val="00CB6BC0"/>
    <w:rsid w:val="00CC0E6B"/>
    <w:rsid w:val="00CC1B7C"/>
    <w:rsid w:val="00CC545B"/>
    <w:rsid w:val="00CC6896"/>
    <w:rsid w:val="00CC727F"/>
    <w:rsid w:val="00CC79DD"/>
    <w:rsid w:val="00CD1340"/>
    <w:rsid w:val="00CE28E0"/>
    <w:rsid w:val="00CE660B"/>
    <w:rsid w:val="00CE6642"/>
    <w:rsid w:val="00CE75F2"/>
    <w:rsid w:val="00CF15C3"/>
    <w:rsid w:val="00CF1F61"/>
    <w:rsid w:val="00CF2B6F"/>
    <w:rsid w:val="00CF39CE"/>
    <w:rsid w:val="00CF3A82"/>
    <w:rsid w:val="00CF58B6"/>
    <w:rsid w:val="00CF70A0"/>
    <w:rsid w:val="00D017ED"/>
    <w:rsid w:val="00D040D3"/>
    <w:rsid w:val="00D04C65"/>
    <w:rsid w:val="00D10EEB"/>
    <w:rsid w:val="00D11A54"/>
    <w:rsid w:val="00D14C0F"/>
    <w:rsid w:val="00D15173"/>
    <w:rsid w:val="00D17D7E"/>
    <w:rsid w:val="00D224FE"/>
    <w:rsid w:val="00D23764"/>
    <w:rsid w:val="00D247A7"/>
    <w:rsid w:val="00D27F89"/>
    <w:rsid w:val="00D3068A"/>
    <w:rsid w:val="00D33490"/>
    <w:rsid w:val="00D34784"/>
    <w:rsid w:val="00D4024E"/>
    <w:rsid w:val="00D41C6A"/>
    <w:rsid w:val="00D51AD9"/>
    <w:rsid w:val="00D55251"/>
    <w:rsid w:val="00D57B38"/>
    <w:rsid w:val="00D62409"/>
    <w:rsid w:val="00D6493E"/>
    <w:rsid w:val="00D70CEB"/>
    <w:rsid w:val="00D7249F"/>
    <w:rsid w:val="00D7301E"/>
    <w:rsid w:val="00D74840"/>
    <w:rsid w:val="00D7501F"/>
    <w:rsid w:val="00D80718"/>
    <w:rsid w:val="00D82AEF"/>
    <w:rsid w:val="00D82B23"/>
    <w:rsid w:val="00D83AE1"/>
    <w:rsid w:val="00D83B78"/>
    <w:rsid w:val="00D855D4"/>
    <w:rsid w:val="00D86836"/>
    <w:rsid w:val="00D93466"/>
    <w:rsid w:val="00DA1124"/>
    <w:rsid w:val="00DA355D"/>
    <w:rsid w:val="00DA37F9"/>
    <w:rsid w:val="00DA7A4B"/>
    <w:rsid w:val="00DB073F"/>
    <w:rsid w:val="00DB19EC"/>
    <w:rsid w:val="00DB29AB"/>
    <w:rsid w:val="00DB3787"/>
    <w:rsid w:val="00DB6124"/>
    <w:rsid w:val="00DB75B7"/>
    <w:rsid w:val="00DC6E02"/>
    <w:rsid w:val="00DD2B35"/>
    <w:rsid w:val="00DD30C1"/>
    <w:rsid w:val="00DD3AA1"/>
    <w:rsid w:val="00DD3B22"/>
    <w:rsid w:val="00DD5000"/>
    <w:rsid w:val="00DD55C9"/>
    <w:rsid w:val="00DD667D"/>
    <w:rsid w:val="00DE02AE"/>
    <w:rsid w:val="00DE23A8"/>
    <w:rsid w:val="00DF1D7F"/>
    <w:rsid w:val="00DF1EA8"/>
    <w:rsid w:val="00DF4BE4"/>
    <w:rsid w:val="00E01667"/>
    <w:rsid w:val="00E02BE9"/>
    <w:rsid w:val="00E02CBE"/>
    <w:rsid w:val="00E02FB4"/>
    <w:rsid w:val="00E061B9"/>
    <w:rsid w:val="00E12A15"/>
    <w:rsid w:val="00E17D9B"/>
    <w:rsid w:val="00E20571"/>
    <w:rsid w:val="00E2287F"/>
    <w:rsid w:val="00E230CF"/>
    <w:rsid w:val="00E235F7"/>
    <w:rsid w:val="00E23659"/>
    <w:rsid w:val="00E239D4"/>
    <w:rsid w:val="00E24F3B"/>
    <w:rsid w:val="00E26130"/>
    <w:rsid w:val="00E32D08"/>
    <w:rsid w:val="00E37A7C"/>
    <w:rsid w:val="00E40B22"/>
    <w:rsid w:val="00E417CD"/>
    <w:rsid w:val="00E4276E"/>
    <w:rsid w:val="00E45619"/>
    <w:rsid w:val="00E4588F"/>
    <w:rsid w:val="00E46DA3"/>
    <w:rsid w:val="00E50237"/>
    <w:rsid w:val="00E512FA"/>
    <w:rsid w:val="00E51BB1"/>
    <w:rsid w:val="00E5267A"/>
    <w:rsid w:val="00E60129"/>
    <w:rsid w:val="00E624A5"/>
    <w:rsid w:val="00E628F2"/>
    <w:rsid w:val="00E7046E"/>
    <w:rsid w:val="00E73082"/>
    <w:rsid w:val="00E7344E"/>
    <w:rsid w:val="00E75E53"/>
    <w:rsid w:val="00E76BAD"/>
    <w:rsid w:val="00E80F3B"/>
    <w:rsid w:val="00E82325"/>
    <w:rsid w:val="00E84FC7"/>
    <w:rsid w:val="00E93B23"/>
    <w:rsid w:val="00EA1EE2"/>
    <w:rsid w:val="00EA3D49"/>
    <w:rsid w:val="00EA40B1"/>
    <w:rsid w:val="00EB0798"/>
    <w:rsid w:val="00EB139E"/>
    <w:rsid w:val="00EB312C"/>
    <w:rsid w:val="00EB3B94"/>
    <w:rsid w:val="00EB40AD"/>
    <w:rsid w:val="00EB586E"/>
    <w:rsid w:val="00EB5FC8"/>
    <w:rsid w:val="00EB7658"/>
    <w:rsid w:val="00EC0EAF"/>
    <w:rsid w:val="00EC1C06"/>
    <w:rsid w:val="00EC259D"/>
    <w:rsid w:val="00EC2BBE"/>
    <w:rsid w:val="00EC44A5"/>
    <w:rsid w:val="00EC4955"/>
    <w:rsid w:val="00EC70EB"/>
    <w:rsid w:val="00EC7A85"/>
    <w:rsid w:val="00ED39CB"/>
    <w:rsid w:val="00ED3CAD"/>
    <w:rsid w:val="00ED4CD1"/>
    <w:rsid w:val="00ED5A41"/>
    <w:rsid w:val="00EE1DE8"/>
    <w:rsid w:val="00EE5055"/>
    <w:rsid w:val="00EE639C"/>
    <w:rsid w:val="00EE6B08"/>
    <w:rsid w:val="00EE7652"/>
    <w:rsid w:val="00EF6BE3"/>
    <w:rsid w:val="00F033EC"/>
    <w:rsid w:val="00F039C5"/>
    <w:rsid w:val="00F04A46"/>
    <w:rsid w:val="00F04F68"/>
    <w:rsid w:val="00F052AE"/>
    <w:rsid w:val="00F059D5"/>
    <w:rsid w:val="00F12670"/>
    <w:rsid w:val="00F139B0"/>
    <w:rsid w:val="00F14B27"/>
    <w:rsid w:val="00F1665A"/>
    <w:rsid w:val="00F231DD"/>
    <w:rsid w:val="00F23EDD"/>
    <w:rsid w:val="00F24045"/>
    <w:rsid w:val="00F240B7"/>
    <w:rsid w:val="00F27D29"/>
    <w:rsid w:val="00F3148D"/>
    <w:rsid w:val="00F325C5"/>
    <w:rsid w:val="00F32FE0"/>
    <w:rsid w:val="00F35298"/>
    <w:rsid w:val="00F37509"/>
    <w:rsid w:val="00F40BEF"/>
    <w:rsid w:val="00F424C7"/>
    <w:rsid w:val="00F47333"/>
    <w:rsid w:val="00F47E37"/>
    <w:rsid w:val="00F53C07"/>
    <w:rsid w:val="00F54B65"/>
    <w:rsid w:val="00F5525A"/>
    <w:rsid w:val="00F57035"/>
    <w:rsid w:val="00F57A46"/>
    <w:rsid w:val="00F6235C"/>
    <w:rsid w:val="00F63140"/>
    <w:rsid w:val="00F640B6"/>
    <w:rsid w:val="00F641E7"/>
    <w:rsid w:val="00F65968"/>
    <w:rsid w:val="00F753BF"/>
    <w:rsid w:val="00F765EE"/>
    <w:rsid w:val="00F80E40"/>
    <w:rsid w:val="00F83821"/>
    <w:rsid w:val="00F848D9"/>
    <w:rsid w:val="00F90579"/>
    <w:rsid w:val="00F943F6"/>
    <w:rsid w:val="00F95177"/>
    <w:rsid w:val="00F952D1"/>
    <w:rsid w:val="00FA37F0"/>
    <w:rsid w:val="00FA557B"/>
    <w:rsid w:val="00FA5B82"/>
    <w:rsid w:val="00FA639E"/>
    <w:rsid w:val="00FB0B81"/>
    <w:rsid w:val="00FB25AD"/>
    <w:rsid w:val="00FB42C7"/>
    <w:rsid w:val="00FB482B"/>
    <w:rsid w:val="00FC080B"/>
    <w:rsid w:val="00FC25E4"/>
    <w:rsid w:val="00FC4EF7"/>
    <w:rsid w:val="00FD0179"/>
    <w:rsid w:val="00FD0CEF"/>
    <w:rsid w:val="00FD38B0"/>
    <w:rsid w:val="00FD53C4"/>
    <w:rsid w:val="00FD5D18"/>
    <w:rsid w:val="00FE1DEE"/>
    <w:rsid w:val="00FE5CD3"/>
    <w:rsid w:val="00FF2126"/>
    <w:rsid w:val="00FF4785"/>
    <w:rsid w:val="00FF50A7"/>
    <w:rsid w:val="00FF5755"/>
    <w:rsid w:val="00FF5957"/>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632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0396"/>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0F5CEC"/>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Default">
    <w:name w:val="Default"/>
    <w:rsid w:val="006D3C77"/>
    <w:pPr>
      <w:autoSpaceDE w:val="0"/>
      <w:autoSpaceDN w:val="0"/>
      <w:adjustRightInd w:val="0"/>
    </w:pPr>
    <w:rPr>
      <w:rFonts w:ascii="Times New Roman" w:hAnsi="Times New Roman"/>
      <w:color w:val="000000"/>
      <w:sz w:val="24"/>
      <w:szCs w:val="24"/>
    </w:rPr>
  </w:style>
  <w:style w:type="paragraph" w:customStyle="1" w:styleId="Standard">
    <w:name w:val="Standard"/>
    <w:basedOn w:val="Normal"/>
    <w:link w:val="StandardChar"/>
    <w:rsid w:val="003407CD"/>
    <w:pPr>
      <w:spacing w:before="0" w:after="220" w:line="252" w:lineRule="auto"/>
    </w:pPr>
    <w:rPr>
      <w:rFonts w:eastAsia="Times New Roman"/>
      <w:snapToGrid w:val="0"/>
      <w:kern w:val="16"/>
      <w:sz w:val="23"/>
      <w:szCs w:val="24"/>
      <w:lang w:val="en-US"/>
    </w:rPr>
  </w:style>
  <w:style w:type="character" w:styleId="FootnoteReference">
    <w:name w:val="footnote reference"/>
    <w:basedOn w:val="DefaultParagraphFont"/>
    <w:uiPriority w:val="99"/>
    <w:semiHidden/>
    <w:rsid w:val="003407CD"/>
    <w:rPr>
      <w:vertAlign w:val="superscript"/>
    </w:rPr>
  </w:style>
  <w:style w:type="character" w:customStyle="1" w:styleId="StandardChar">
    <w:name w:val="Standard Char"/>
    <w:basedOn w:val="DefaultParagraphFont"/>
    <w:link w:val="Standard"/>
    <w:rsid w:val="003407CD"/>
    <w:rPr>
      <w:rFonts w:eastAsia="Times New Roman"/>
      <w:snapToGrid w:val="0"/>
      <w:kern w:val="16"/>
      <w:sz w:val="23"/>
      <w:szCs w:val="24"/>
      <w:lang w:val="en-US" w:eastAsia="en-US"/>
    </w:rPr>
  </w:style>
  <w:style w:type="paragraph" w:styleId="FootnoteText">
    <w:name w:val="footnote text"/>
    <w:basedOn w:val="Normal"/>
    <w:link w:val="FootnoteTextChar"/>
    <w:uiPriority w:val="99"/>
    <w:semiHidden/>
    <w:rsid w:val="00252CE1"/>
    <w:pPr>
      <w:widowControl w:val="0"/>
      <w:spacing w:before="0" w:after="0" w:line="240" w:lineRule="auto"/>
    </w:pPr>
    <w:rPr>
      <w:rFonts w:asciiTheme="majorHAnsi" w:eastAsia="Times New Roman" w:hAnsiTheme="majorHAnsi"/>
      <w:snapToGrid w:val="0"/>
      <w:sz w:val="18"/>
      <w:szCs w:val="20"/>
      <w:lang w:val="en-US"/>
    </w:rPr>
  </w:style>
  <w:style w:type="character" w:customStyle="1" w:styleId="FootnoteTextChar">
    <w:name w:val="Footnote Text Char"/>
    <w:basedOn w:val="DefaultParagraphFont"/>
    <w:link w:val="FootnoteText"/>
    <w:uiPriority w:val="99"/>
    <w:semiHidden/>
    <w:rsid w:val="00252CE1"/>
    <w:rPr>
      <w:rFonts w:asciiTheme="majorHAnsi" w:eastAsia="Times New Roman" w:hAnsiTheme="majorHAnsi"/>
      <w:snapToGrid w:val="0"/>
      <w:sz w:val="18"/>
      <w:lang w:val="en-US" w:eastAsia="en-US"/>
    </w:rPr>
  </w:style>
  <w:style w:type="paragraph" w:customStyle="1" w:styleId="Bulletpoint">
    <w:name w:val="Bullet point"/>
    <w:basedOn w:val="Standard"/>
    <w:rsid w:val="003407CD"/>
    <w:pPr>
      <w:numPr>
        <w:numId w:val="27"/>
      </w:numPr>
      <w:tabs>
        <w:tab w:val="clear" w:pos="369"/>
        <w:tab w:val="left" w:pos="397"/>
        <w:tab w:val="num" w:pos="511"/>
        <w:tab w:val="num" w:pos="926"/>
      </w:tabs>
      <w:spacing w:after="180"/>
      <w:ind w:left="397" w:firstLine="0"/>
    </w:pPr>
  </w:style>
  <w:style w:type="paragraph" w:customStyle="1" w:styleId="AssessmentSection">
    <w:name w:val="Assessment Section"/>
    <w:basedOn w:val="Normal"/>
    <w:next w:val="Standard"/>
    <w:rsid w:val="00CA240D"/>
    <w:pPr>
      <w:keepNext/>
      <w:spacing w:before="0" w:after="110" w:line="252" w:lineRule="auto"/>
      <w:outlineLvl w:val="1"/>
    </w:pPr>
    <w:rPr>
      <w:rFonts w:eastAsia="Times New Roman"/>
      <w:b/>
      <w:snapToGrid w:val="0"/>
      <w:kern w:val="16"/>
      <w:sz w:val="23"/>
      <w:szCs w:val="24"/>
      <w:lang w:val="en-US"/>
    </w:rPr>
  </w:style>
  <w:style w:type="paragraph" w:customStyle="1" w:styleId="WhiteSpace">
    <w:name w:val="White Space"/>
    <w:basedOn w:val="Standard"/>
    <w:link w:val="WhiteSpaceChar"/>
    <w:rsid w:val="008B41BC"/>
    <w:pPr>
      <w:spacing w:after="0"/>
    </w:pPr>
    <w:rPr>
      <w:sz w:val="16"/>
      <w:szCs w:val="16"/>
    </w:rPr>
  </w:style>
  <w:style w:type="paragraph" w:customStyle="1" w:styleId="AssessmentSubsection">
    <w:name w:val="Assessment Subsection"/>
    <w:basedOn w:val="Standard"/>
    <w:next w:val="Standard"/>
    <w:rsid w:val="008B41BC"/>
    <w:pPr>
      <w:keepNext/>
      <w:spacing w:after="110"/>
      <w:outlineLvl w:val="2"/>
    </w:pPr>
    <w:rPr>
      <w:b/>
      <w:i/>
    </w:rPr>
  </w:style>
  <w:style w:type="character" w:customStyle="1" w:styleId="WhiteSpaceChar">
    <w:name w:val="White Space Char"/>
    <w:basedOn w:val="DefaultParagraphFont"/>
    <w:link w:val="WhiteSpace"/>
    <w:rsid w:val="008B41BC"/>
    <w:rPr>
      <w:rFonts w:eastAsia="Times New Roman"/>
      <w:snapToGrid w:val="0"/>
      <w:kern w:val="16"/>
      <w:sz w:val="16"/>
      <w:szCs w:val="16"/>
      <w:lang w:val="en-US" w:eastAsia="en-US"/>
    </w:rPr>
  </w:style>
  <w:style w:type="paragraph" w:customStyle="1" w:styleId="AssessmentSubsection2">
    <w:name w:val="Assessment Subsection 2"/>
    <w:basedOn w:val="AssessmentSubsection"/>
    <w:next w:val="Standard"/>
    <w:rsid w:val="00210DEA"/>
    <w:pPr>
      <w:outlineLvl w:val="3"/>
    </w:pPr>
    <w:rPr>
      <w:b w:val="0"/>
    </w:rPr>
  </w:style>
  <w:style w:type="paragraph" w:customStyle="1" w:styleId="Bullet2">
    <w:name w:val="Bullet 2"/>
    <w:basedOn w:val="Normal"/>
    <w:rsid w:val="009D0886"/>
    <w:pPr>
      <w:numPr>
        <w:numId w:val="30"/>
      </w:numPr>
      <w:spacing w:after="0" w:line="240" w:lineRule="auto"/>
    </w:pPr>
    <w:rPr>
      <w:rFonts w:eastAsia="Times New Roman"/>
      <w:kern w:val="24"/>
      <w:szCs w:val="24"/>
      <w:lang w:eastAsia="en-AU"/>
    </w:rPr>
  </w:style>
  <w:style w:type="paragraph" w:customStyle="1" w:styleId="Bullet1">
    <w:name w:val="Bullet 1"/>
    <w:basedOn w:val="Normal"/>
    <w:rsid w:val="00DD30C1"/>
    <w:pPr>
      <w:numPr>
        <w:numId w:val="31"/>
      </w:numPr>
      <w:spacing w:after="0" w:line="240" w:lineRule="auto"/>
    </w:pPr>
    <w:rPr>
      <w:rFonts w:eastAsia="Times New Roman"/>
      <w:kern w:val="24"/>
      <w:szCs w:val="24"/>
      <w:lang w:eastAsia="en-AU"/>
    </w:rPr>
  </w:style>
  <w:style w:type="paragraph" w:styleId="ListParagraph">
    <w:name w:val="List Paragraph"/>
    <w:basedOn w:val="Normal"/>
    <w:uiPriority w:val="34"/>
    <w:qFormat/>
    <w:rsid w:val="008969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FF4785"/>
  </w:style>
  <w:style w:type="character" w:customStyle="1" w:styleId="italic">
    <w:name w:val="italic"/>
    <w:rsid w:val="00034B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0396"/>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0F5CEC"/>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Default">
    <w:name w:val="Default"/>
    <w:rsid w:val="006D3C77"/>
    <w:pPr>
      <w:autoSpaceDE w:val="0"/>
      <w:autoSpaceDN w:val="0"/>
      <w:adjustRightInd w:val="0"/>
    </w:pPr>
    <w:rPr>
      <w:rFonts w:ascii="Times New Roman" w:hAnsi="Times New Roman"/>
      <w:color w:val="000000"/>
      <w:sz w:val="24"/>
      <w:szCs w:val="24"/>
    </w:rPr>
  </w:style>
  <w:style w:type="paragraph" w:customStyle="1" w:styleId="Standard">
    <w:name w:val="Standard"/>
    <w:basedOn w:val="Normal"/>
    <w:link w:val="StandardChar"/>
    <w:rsid w:val="003407CD"/>
    <w:pPr>
      <w:spacing w:before="0" w:after="220" w:line="252" w:lineRule="auto"/>
    </w:pPr>
    <w:rPr>
      <w:rFonts w:eastAsia="Times New Roman"/>
      <w:snapToGrid w:val="0"/>
      <w:kern w:val="16"/>
      <w:sz w:val="23"/>
      <w:szCs w:val="24"/>
      <w:lang w:val="en-US"/>
    </w:rPr>
  </w:style>
  <w:style w:type="character" w:styleId="FootnoteReference">
    <w:name w:val="footnote reference"/>
    <w:basedOn w:val="DefaultParagraphFont"/>
    <w:uiPriority w:val="99"/>
    <w:semiHidden/>
    <w:rsid w:val="003407CD"/>
    <w:rPr>
      <w:vertAlign w:val="superscript"/>
    </w:rPr>
  </w:style>
  <w:style w:type="character" w:customStyle="1" w:styleId="StandardChar">
    <w:name w:val="Standard Char"/>
    <w:basedOn w:val="DefaultParagraphFont"/>
    <w:link w:val="Standard"/>
    <w:rsid w:val="003407CD"/>
    <w:rPr>
      <w:rFonts w:eastAsia="Times New Roman"/>
      <w:snapToGrid w:val="0"/>
      <w:kern w:val="16"/>
      <w:sz w:val="23"/>
      <w:szCs w:val="24"/>
      <w:lang w:val="en-US" w:eastAsia="en-US"/>
    </w:rPr>
  </w:style>
  <w:style w:type="paragraph" w:styleId="FootnoteText">
    <w:name w:val="footnote text"/>
    <w:basedOn w:val="Normal"/>
    <w:link w:val="FootnoteTextChar"/>
    <w:uiPriority w:val="99"/>
    <w:semiHidden/>
    <w:rsid w:val="00252CE1"/>
    <w:pPr>
      <w:widowControl w:val="0"/>
      <w:spacing w:before="0" w:after="0" w:line="240" w:lineRule="auto"/>
    </w:pPr>
    <w:rPr>
      <w:rFonts w:asciiTheme="majorHAnsi" w:eastAsia="Times New Roman" w:hAnsiTheme="majorHAnsi"/>
      <w:snapToGrid w:val="0"/>
      <w:sz w:val="18"/>
      <w:szCs w:val="20"/>
      <w:lang w:val="en-US"/>
    </w:rPr>
  </w:style>
  <w:style w:type="character" w:customStyle="1" w:styleId="FootnoteTextChar">
    <w:name w:val="Footnote Text Char"/>
    <w:basedOn w:val="DefaultParagraphFont"/>
    <w:link w:val="FootnoteText"/>
    <w:uiPriority w:val="99"/>
    <w:semiHidden/>
    <w:rsid w:val="00252CE1"/>
    <w:rPr>
      <w:rFonts w:asciiTheme="majorHAnsi" w:eastAsia="Times New Roman" w:hAnsiTheme="majorHAnsi"/>
      <w:snapToGrid w:val="0"/>
      <w:sz w:val="18"/>
      <w:lang w:val="en-US" w:eastAsia="en-US"/>
    </w:rPr>
  </w:style>
  <w:style w:type="paragraph" w:customStyle="1" w:styleId="Bulletpoint">
    <w:name w:val="Bullet point"/>
    <w:basedOn w:val="Standard"/>
    <w:rsid w:val="003407CD"/>
    <w:pPr>
      <w:numPr>
        <w:numId w:val="27"/>
      </w:numPr>
      <w:tabs>
        <w:tab w:val="clear" w:pos="369"/>
        <w:tab w:val="left" w:pos="397"/>
        <w:tab w:val="num" w:pos="511"/>
        <w:tab w:val="num" w:pos="926"/>
      </w:tabs>
      <w:spacing w:after="180"/>
      <w:ind w:left="397" w:firstLine="0"/>
    </w:pPr>
  </w:style>
  <w:style w:type="paragraph" w:customStyle="1" w:styleId="AssessmentSection">
    <w:name w:val="Assessment Section"/>
    <w:basedOn w:val="Normal"/>
    <w:next w:val="Standard"/>
    <w:rsid w:val="00CA240D"/>
    <w:pPr>
      <w:keepNext/>
      <w:spacing w:before="0" w:after="110" w:line="252" w:lineRule="auto"/>
      <w:outlineLvl w:val="1"/>
    </w:pPr>
    <w:rPr>
      <w:rFonts w:eastAsia="Times New Roman"/>
      <w:b/>
      <w:snapToGrid w:val="0"/>
      <w:kern w:val="16"/>
      <w:sz w:val="23"/>
      <w:szCs w:val="24"/>
      <w:lang w:val="en-US"/>
    </w:rPr>
  </w:style>
  <w:style w:type="paragraph" w:customStyle="1" w:styleId="WhiteSpace">
    <w:name w:val="White Space"/>
    <w:basedOn w:val="Standard"/>
    <w:link w:val="WhiteSpaceChar"/>
    <w:rsid w:val="008B41BC"/>
    <w:pPr>
      <w:spacing w:after="0"/>
    </w:pPr>
    <w:rPr>
      <w:sz w:val="16"/>
      <w:szCs w:val="16"/>
    </w:rPr>
  </w:style>
  <w:style w:type="paragraph" w:customStyle="1" w:styleId="AssessmentSubsection">
    <w:name w:val="Assessment Subsection"/>
    <w:basedOn w:val="Standard"/>
    <w:next w:val="Standard"/>
    <w:rsid w:val="008B41BC"/>
    <w:pPr>
      <w:keepNext/>
      <w:spacing w:after="110"/>
      <w:outlineLvl w:val="2"/>
    </w:pPr>
    <w:rPr>
      <w:b/>
      <w:i/>
    </w:rPr>
  </w:style>
  <w:style w:type="character" w:customStyle="1" w:styleId="WhiteSpaceChar">
    <w:name w:val="White Space Char"/>
    <w:basedOn w:val="DefaultParagraphFont"/>
    <w:link w:val="WhiteSpace"/>
    <w:rsid w:val="008B41BC"/>
    <w:rPr>
      <w:rFonts w:eastAsia="Times New Roman"/>
      <w:snapToGrid w:val="0"/>
      <w:kern w:val="16"/>
      <w:sz w:val="16"/>
      <w:szCs w:val="16"/>
      <w:lang w:val="en-US" w:eastAsia="en-US"/>
    </w:rPr>
  </w:style>
  <w:style w:type="paragraph" w:customStyle="1" w:styleId="AssessmentSubsection2">
    <w:name w:val="Assessment Subsection 2"/>
    <w:basedOn w:val="AssessmentSubsection"/>
    <w:next w:val="Standard"/>
    <w:rsid w:val="00210DEA"/>
    <w:pPr>
      <w:outlineLvl w:val="3"/>
    </w:pPr>
    <w:rPr>
      <w:b w:val="0"/>
    </w:rPr>
  </w:style>
  <w:style w:type="paragraph" w:customStyle="1" w:styleId="Bullet2">
    <w:name w:val="Bullet 2"/>
    <w:basedOn w:val="Normal"/>
    <w:rsid w:val="009D0886"/>
    <w:pPr>
      <w:numPr>
        <w:numId w:val="30"/>
      </w:numPr>
      <w:spacing w:after="0" w:line="240" w:lineRule="auto"/>
    </w:pPr>
    <w:rPr>
      <w:rFonts w:eastAsia="Times New Roman"/>
      <w:kern w:val="24"/>
      <w:szCs w:val="24"/>
      <w:lang w:eastAsia="en-AU"/>
    </w:rPr>
  </w:style>
  <w:style w:type="paragraph" w:customStyle="1" w:styleId="Bullet1">
    <w:name w:val="Bullet 1"/>
    <w:basedOn w:val="Normal"/>
    <w:rsid w:val="00DD30C1"/>
    <w:pPr>
      <w:numPr>
        <w:numId w:val="31"/>
      </w:numPr>
      <w:spacing w:after="0" w:line="240" w:lineRule="auto"/>
    </w:pPr>
    <w:rPr>
      <w:rFonts w:eastAsia="Times New Roman"/>
      <w:kern w:val="24"/>
      <w:szCs w:val="24"/>
      <w:lang w:eastAsia="en-AU"/>
    </w:rPr>
  </w:style>
  <w:style w:type="paragraph" w:styleId="ListParagraph">
    <w:name w:val="List Paragraph"/>
    <w:basedOn w:val="Normal"/>
    <w:uiPriority w:val="34"/>
    <w:qFormat/>
    <w:rsid w:val="0089696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FF4785"/>
  </w:style>
  <w:style w:type="character" w:customStyle="1" w:styleId="italic">
    <w:name w:val="italic"/>
    <w:rsid w:val="00034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tga.gov.au/hp/information-medicines-pi.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header" Target="header6.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B17E-D4CB-4115-9476-207F1AD7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243</TotalTime>
  <Pages>45</Pages>
  <Words>17201</Words>
  <Characters>98052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115023</CharactersWithSpaces>
  <SharedDoc>false</SharedDoc>
  <HLinks>
    <vt:vector size="240" baseType="variant">
      <vt:variant>
        <vt:i4>5701660</vt:i4>
      </vt:variant>
      <vt:variant>
        <vt:i4>219</vt:i4>
      </vt:variant>
      <vt:variant>
        <vt:i4>0</vt:i4>
      </vt:variant>
      <vt:variant>
        <vt:i4>5</vt:i4>
      </vt:variant>
      <vt:variant>
        <vt:lpwstr>http://www.tga.gov.au/hp/information-medicines-pi.htm</vt:lpwstr>
      </vt:variant>
      <vt:variant>
        <vt:lpwstr/>
      </vt:variant>
      <vt:variant>
        <vt:i4>1769528</vt:i4>
      </vt:variant>
      <vt:variant>
        <vt:i4>212</vt:i4>
      </vt:variant>
      <vt:variant>
        <vt:i4>0</vt:i4>
      </vt:variant>
      <vt:variant>
        <vt:i4>5</vt:i4>
      </vt:variant>
      <vt:variant>
        <vt:lpwstr/>
      </vt:variant>
      <vt:variant>
        <vt:lpwstr>_Toc379201289</vt:lpwstr>
      </vt:variant>
      <vt:variant>
        <vt:i4>1769528</vt:i4>
      </vt:variant>
      <vt:variant>
        <vt:i4>206</vt:i4>
      </vt:variant>
      <vt:variant>
        <vt:i4>0</vt:i4>
      </vt:variant>
      <vt:variant>
        <vt:i4>5</vt:i4>
      </vt:variant>
      <vt:variant>
        <vt:lpwstr/>
      </vt:variant>
      <vt:variant>
        <vt:lpwstr>_Toc379201288</vt:lpwstr>
      </vt:variant>
      <vt:variant>
        <vt:i4>1769528</vt:i4>
      </vt:variant>
      <vt:variant>
        <vt:i4>200</vt:i4>
      </vt:variant>
      <vt:variant>
        <vt:i4>0</vt:i4>
      </vt:variant>
      <vt:variant>
        <vt:i4>5</vt:i4>
      </vt:variant>
      <vt:variant>
        <vt:lpwstr/>
      </vt:variant>
      <vt:variant>
        <vt:lpwstr>_Toc379201287</vt:lpwstr>
      </vt:variant>
      <vt:variant>
        <vt:i4>1769528</vt:i4>
      </vt:variant>
      <vt:variant>
        <vt:i4>194</vt:i4>
      </vt:variant>
      <vt:variant>
        <vt:i4>0</vt:i4>
      </vt:variant>
      <vt:variant>
        <vt:i4>5</vt:i4>
      </vt:variant>
      <vt:variant>
        <vt:lpwstr/>
      </vt:variant>
      <vt:variant>
        <vt:lpwstr>_Toc379201286</vt:lpwstr>
      </vt:variant>
      <vt:variant>
        <vt:i4>1769528</vt:i4>
      </vt:variant>
      <vt:variant>
        <vt:i4>188</vt:i4>
      </vt:variant>
      <vt:variant>
        <vt:i4>0</vt:i4>
      </vt:variant>
      <vt:variant>
        <vt:i4>5</vt:i4>
      </vt:variant>
      <vt:variant>
        <vt:lpwstr/>
      </vt:variant>
      <vt:variant>
        <vt:lpwstr>_Toc379201285</vt:lpwstr>
      </vt:variant>
      <vt:variant>
        <vt:i4>1769528</vt:i4>
      </vt:variant>
      <vt:variant>
        <vt:i4>182</vt:i4>
      </vt:variant>
      <vt:variant>
        <vt:i4>0</vt:i4>
      </vt:variant>
      <vt:variant>
        <vt:i4>5</vt:i4>
      </vt:variant>
      <vt:variant>
        <vt:lpwstr/>
      </vt:variant>
      <vt:variant>
        <vt:lpwstr>_Toc379201284</vt:lpwstr>
      </vt:variant>
      <vt:variant>
        <vt:i4>1769528</vt:i4>
      </vt:variant>
      <vt:variant>
        <vt:i4>176</vt:i4>
      </vt:variant>
      <vt:variant>
        <vt:i4>0</vt:i4>
      </vt:variant>
      <vt:variant>
        <vt:i4>5</vt:i4>
      </vt:variant>
      <vt:variant>
        <vt:lpwstr/>
      </vt:variant>
      <vt:variant>
        <vt:lpwstr>_Toc379201283</vt:lpwstr>
      </vt:variant>
      <vt:variant>
        <vt:i4>1769528</vt:i4>
      </vt:variant>
      <vt:variant>
        <vt:i4>170</vt:i4>
      </vt:variant>
      <vt:variant>
        <vt:i4>0</vt:i4>
      </vt:variant>
      <vt:variant>
        <vt:i4>5</vt:i4>
      </vt:variant>
      <vt:variant>
        <vt:lpwstr/>
      </vt:variant>
      <vt:variant>
        <vt:lpwstr>_Toc379201282</vt:lpwstr>
      </vt:variant>
      <vt:variant>
        <vt:i4>1769528</vt:i4>
      </vt:variant>
      <vt:variant>
        <vt:i4>164</vt:i4>
      </vt:variant>
      <vt:variant>
        <vt:i4>0</vt:i4>
      </vt:variant>
      <vt:variant>
        <vt:i4>5</vt:i4>
      </vt:variant>
      <vt:variant>
        <vt:lpwstr/>
      </vt:variant>
      <vt:variant>
        <vt:lpwstr>_Toc379201281</vt:lpwstr>
      </vt:variant>
      <vt:variant>
        <vt:i4>1769528</vt:i4>
      </vt:variant>
      <vt:variant>
        <vt:i4>158</vt:i4>
      </vt:variant>
      <vt:variant>
        <vt:i4>0</vt:i4>
      </vt:variant>
      <vt:variant>
        <vt:i4>5</vt:i4>
      </vt:variant>
      <vt:variant>
        <vt:lpwstr/>
      </vt:variant>
      <vt:variant>
        <vt:lpwstr>_Toc379201280</vt:lpwstr>
      </vt:variant>
      <vt:variant>
        <vt:i4>1310776</vt:i4>
      </vt:variant>
      <vt:variant>
        <vt:i4>152</vt:i4>
      </vt:variant>
      <vt:variant>
        <vt:i4>0</vt:i4>
      </vt:variant>
      <vt:variant>
        <vt:i4>5</vt:i4>
      </vt:variant>
      <vt:variant>
        <vt:lpwstr/>
      </vt:variant>
      <vt:variant>
        <vt:lpwstr>_Toc379201279</vt:lpwstr>
      </vt:variant>
      <vt:variant>
        <vt:i4>1310776</vt:i4>
      </vt:variant>
      <vt:variant>
        <vt:i4>146</vt:i4>
      </vt:variant>
      <vt:variant>
        <vt:i4>0</vt:i4>
      </vt:variant>
      <vt:variant>
        <vt:i4>5</vt:i4>
      </vt:variant>
      <vt:variant>
        <vt:lpwstr/>
      </vt:variant>
      <vt:variant>
        <vt:lpwstr>_Toc379201278</vt:lpwstr>
      </vt:variant>
      <vt:variant>
        <vt:i4>1310776</vt:i4>
      </vt:variant>
      <vt:variant>
        <vt:i4>140</vt:i4>
      </vt:variant>
      <vt:variant>
        <vt:i4>0</vt:i4>
      </vt:variant>
      <vt:variant>
        <vt:i4>5</vt:i4>
      </vt:variant>
      <vt:variant>
        <vt:lpwstr/>
      </vt:variant>
      <vt:variant>
        <vt:lpwstr>_Toc379201277</vt:lpwstr>
      </vt:variant>
      <vt:variant>
        <vt:i4>1310776</vt:i4>
      </vt:variant>
      <vt:variant>
        <vt:i4>134</vt:i4>
      </vt:variant>
      <vt:variant>
        <vt:i4>0</vt:i4>
      </vt:variant>
      <vt:variant>
        <vt:i4>5</vt:i4>
      </vt:variant>
      <vt:variant>
        <vt:lpwstr/>
      </vt:variant>
      <vt:variant>
        <vt:lpwstr>_Toc379201276</vt:lpwstr>
      </vt:variant>
      <vt:variant>
        <vt:i4>1310776</vt:i4>
      </vt:variant>
      <vt:variant>
        <vt:i4>128</vt:i4>
      </vt:variant>
      <vt:variant>
        <vt:i4>0</vt:i4>
      </vt:variant>
      <vt:variant>
        <vt:i4>5</vt:i4>
      </vt:variant>
      <vt:variant>
        <vt:lpwstr/>
      </vt:variant>
      <vt:variant>
        <vt:lpwstr>_Toc379201275</vt:lpwstr>
      </vt:variant>
      <vt:variant>
        <vt:i4>1310776</vt:i4>
      </vt:variant>
      <vt:variant>
        <vt:i4>122</vt:i4>
      </vt:variant>
      <vt:variant>
        <vt:i4>0</vt:i4>
      </vt:variant>
      <vt:variant>
        <vt:i4>5</vt:i4>
      </vt:variant>
      <vt:variant>
        <vt:lpwstr/>
      </vt:variant>
      <vt:variant>
        <vt:lpwstr>_Toc379201274</vt:lpwstr>
      </vt:variant>
      <vt:variant>
        <vt:i4>1310776</vt:i4>
      </vt:variant>
      <vt:variant>
        <vt:i4>116</vt:i4>
      </vt:variant>
      <vt:variant>
        <vt:i4>0</vt:i4>
      </vt:variant>
      <vt:variant>
        <vt:i4>5</vt:i4>
      </vt:variant>
      <vt:variant>
        <vt:lpwstr/>
      </vt:variant>
      <vt:variant>
        <vt:lpwstr>_Toc379201273</vt:lpwstr>
      </vt:variant>
      <vt:variant>
        <vt:i4>1310776</vt:i4>
      </vt:variant>
      <vt:variant>
        <vt:i4>110</vt:i4>
      </vt:variant>
      <vt:variant>
        <vt:i4>0</vt:i4>
      </vt:variant>
      <vt:variant>
        <vt:i4>5</vt:i4>
      </vt:variant>
      <vt:variant>
        <vt:lpwstr/>
      </vt:variant>
      <vt:variant>
        <vt:lpwstr>_Toc379201272</vt:lpwstr>
      </vt:variant>
      <vt:variant>
        <vt:i4>1310776</vt:i4>
      </vt:variant>
      <vt:variant>
        <vt:i4>104</vt:i4>
      </vt:variant>
      <vt:variant>
        <vt:i4>0</vt:i4>
      </vt:variant>
      <vt:variant>
        <vt:i4>5</vt:i4>
      </vt:variant>
      <vt:variant>
        <vt:lpwstr/>
      </vt:variant>
      <vt:variant>
        <vt:lpwstr>_Toc379201271</vt:lpwstr>
      </vt:variant>
      <vt:variant>
        <vt:i4>1310776</vt:i4>
      </vt:variant>
      <vt:variant>
        <vt:i4>98</vt:i4>
      </vt:variant>
      <vt:variant>
        <vt:i4>0</vt:i4>
      </vt:variant>
      <vt:variant>
        <vt:i4>5</vt:i4>
      </vt:variant>
      <vt:variant>
        <vt:lpwstr/>
      </vt:variant>
      <vt:variant>
        <vt:lpwstr>_Toc379201270</vt:lpwstr>
      </vt:variant>
      <vt:variant>
        <vt:i4>1376312</vt:i4>
      </vt:variant>
      <vt:variant>
        <vt:i4>92</vt:i4>
      </vt:variant>
      <vt:variant>
        <vt:i4>0</vt:i4>
      </vt:variant>
      <vt:variant>
        <vt:i4>5</vt:i4>
      </vt:variant>
      <vt:variant>
        <vt:lpwstr/>
      </vt:variant>
      <vt:variant>
        <vt:lpwstr>_Toc379201269</vt:lpwstr>
      </vt:variant>
      <vt:variant>
        <vt:i4>1376312</vt:i4>
      </vt:variant>
      <vt:variant>
        <vt:i4>86</vt:i4>
      </vt:variant>
      <vt:variant>
        <vt:i4>0</vt:i4>
      </vt:variant>
      <vt:variant>
        <vt:i4>5</vt:i4>
      </vt:variant>
      <vt:variant>
        <vt:lpwstr/>
      </vt:variant>
      <vt:variant>
        <vt:lpwstr>_Toc379201268</vt:lpwstr>
      </vt:variant>
      <vt:variant>
        <vt:i4>1376312</vt:i4>
      </vt:variant>
      <vt:variant>
        <vt:i4>80</vt:i4>
      </vt:variant>
      <vt:variant>
        <vt:i4>0</vt:i4>
      </vt:variant>
      <vt:variant>
        <vt:i4>5</vt:i4>
      </vt:variant>
      <vt:variant>
        <vt:lpwstr/>
      </vt:variant>
      <vt:variant>
        <vt:lpwstr>_Toc379201267</vt:lpwstr>
      </vt:variant>
      <vt:variant>
        <vt:i4>1376312</vt:i4>
      </vt:variant>
      <vt:variant>
        <vt:i4>74</vt:i4>
      </vt:variant>
      <vt:variant>
        <vt:i4>0</vt:i4>
      </vt:variant>
      <vt:variant>
        <vt:i4>5</vt:i4>
      </vt:variant>
      <vt:variant>
        <vt:lpwstr/>
      </vt:variant>
      <vt:variant>
        <vt:lpwstr>_Toc379201266</vt:lpwstr>
      </vt:variant>
      <vt:variant>
        <vt:i4>1376312</vt:i4>
      </vt:variant>
      <vt:variant>
        <vt:i4>68</vt:i4>
      </vt:variant>
      <vt:variant>
        <vt:i4>0</vt:i4>
      </vt:variant>
      <vt:variant>
        <vt:i4>5</vt:i4>
      </vt:variant>
      <vt:variant>
        <vt:lpwstr/>
      </vt:variant>
      <vt:variant>
        <vt:lpwstr>_Toc379201265</vt:lpwstr>
      </vt:variant>
      <vt:variant>
        <vt:i4>1376312</vt:i4>
      </vt:variant>
      <vt:variant>
        <vt:i4>62</vt:i4>
      </vt:variant>
      <vt:variant>
        <vt:i4>0</vt:i4>
      </vt:variant>
      <vt:variant>
        <vt:i4>5</vt:i4>
      </vt:variant>
      <vt:variant>
        <vt:lpwstr/>
      </vt:variant>
      <vt:variant>
        <vt:lpwstr>_Toc379201264</vt:lpwstr>
      </vt:variant>
      <vt:variant>
        <vt:i4>1376312</vt:i4>
      </vt:variant>
      <vt:variant>
        <vt:i4>56</vt:i4>
      </vt:variant>
      <vt:variant>
        <vt:i4>0</vt:i4>
      </vt:variant>
      <vt:variant>
        <vt:i4>5</vt:i4>
      </vt:variant>
      <vt:variant>
        <vt:lpwstr/>
      </vt:variant>
      <vt:variant>
        <vt:lpwstr>_Toc379201263</vt:lpwstr>
      </vt:variant>
      <vt:variant>
        <vt:i4>1376312</vt:i4>
      </vt:variant>
      <vt:variant>
        <vt:i4>50</vt:i4>
      </vt:variant>
      <vt:variant>
        <vt:i4>0</vt:i4>
      </vt:variant>
      <vt:variant>
        <vt:i4>5</vt:i4>
      </vt:variant>
      <vt:variant>
        <vt:lpwstr/>
      </vt:variant>
      <vt:variant>
        <vt:lpwstr>_Toc379201262</vt:lpwstr>
      </vt:variant>
      <vt:variant>
        <vt:i4>1376312</vt:i4>
      </vt:variant>
      <vt:variant>
        <vt:i4>44</vt:i4>
      </vt:variant>
      <vt:variant>
        <vt:i4>0</vt:i4>
      </vt:variant>
      <vt:variant>
        <vt:i4>5</vt:i4>
      </vt:variant>
      <vt:variant>
        <vt:lpwstr/>
      </vt:variant>
      <vt:variant>
        <vt:lpwstr>_Toc379201261</vt:lpwstr>
      </vt:variant>
      <vt:variant>
        <vt:i4>1376312</vt:i4>
      </vt:variant>
      <vt:variant>
        <vt:i4>38</vt:i4>
      </vt:variant>
      <vt:variant>
        <vt:i4>0</vt:i4>
      </vt:variant>
      <vt:variant>
        <vt:i4>5</vt:i4>
      </vt:variant>
      <vt:variant>
        <vt:lpwstr/>
      </vt:variant>
      <vt:variant>
        <vt:lpwstr>_Toc379201260</vt:lpwstr>
      </vt:variant>
      <vt:variant>
        <vt:i4>1441848</vt:i4>
      </vt:variant>
      <vt:variant>
        <vt:i4>32</vt:i4>
      </vt:variant>
      <vt:variant>
        <vt:i4>0</vt:i4>
      </vt:variant>
      <vt:variant>
        <vt:i4>5</vt:i4>
      </vt:variant>
      <vt:variant>
        <vt:lpwstr/>
      </vt:variant>
      <vt:variant>
        <vt:lpwstr>_Toc379201259</vt:lpwstr>
      </vt:variant>
      <vt:variant>
        <vt:i4>1441848</vt:i4>
      </vt:variant>
      <vt:variant>
        <vt:i4>26</vt:i4>
      </vt:variant>
      <vt:variant>
        <vt:i4>0</vt:i4>
      </vt:variant>
      <vt:variant>
        <vt:i4>5</vt:i4>
      </vt:variant>
      <vt:variant>
        <vt:lpwstr/>
      </vt:variant>
      <vt:variant>
        <vt:lpwstr>_Toc379201258</vt:lpwstr>
      </vt:variant>
      <vt:variant>
        <vt:i4>1441848</vt:i4>
      </vt:variant>
      <vt:variant>
        <vt:i4>20</vt:i4>
      </vt:variant>
      <vt:variant>
        <vt:i4>0</vt:i4>
      </vt:variant>
      <vt:variant>
        <vt:i4>5</vt:i4>
      </vt:variant>
      <vt:variant>
        <vt:lpwstr/>
      </vt:variant>
      <vt:variant>
        <vt:lpwstr>_Toc379201257</vt:lpwstr>
      </vt:variant>
      <vt:variant>
        <vt:i4>1441848</vt:i4>
      </vt:variant>
      <vt:variant>
        <vt:i4>14</vt:i4>
      </vt:variant>
      <vt:variant>
        <vt:i4>0</vt:i4>
      </vt:variant>
      <vt:variant>
        <vt:i4>5</vt:i4>
      </vt:variant>
      <vt:variant>
        <vt:lpwstr/>
      </vt:variant>
      <vt:variant>
        <vt:lpwstr>_Toc379201256</vt:lpwstr>
      </vt:variant>
      <vt:variant>
        <vt:i4>1441848</vt:i4>
      </vt:variant>
      <vt:variant>
        <vt:i4>8</vt:i4>
      </vt:variant>
      <vt:variant>
        <vt:i4>0</vt:i4>
      </vt:variant>
      <vt:variant>
        <vt:i4>5</vt:i4>
      </vt:variant>
      <vt:variant>
        <vt:lpwstr/>
      </vt:variant>
      <vt:variant>
        <vt:lpwstr>_Toc379201255</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besifloxacin hydrochloride</dc:title>
  <dc:subject>prescription medicine regulation</dc:subject>
  <dc:creator>Therapeutic Goods Administration</dc:creator>
  <cp:keywords>auspar, prescription, medicine, assessment, regulation, australia, besifloxacin, hydrochloride, besivance, bausch, lomb</cp:keywords>
  <cp:lastModifiedBy>dixonj</cp:lastModifiedBy>
  <cp:revision>35</cp:revision>
  <cp:lastPrinted>2010-12-20T22:59:00Z</cp:lastPrinted>
  <dcterms:created xsi:type="dcterms:W3CDTF">2014-03-19T04:55:00Z</dcterms:created>
  <dcterms:modified xsi:type="dcterms:W3CDTF">2014-03-28T01:23:00Z</dcterms:modified>
  <cp:category>external publication</cp:category>
</cp:coreProperties>
</file>