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3389308" w14:textId="77777777" w:rsidTr="00BF1190">
        <w:trPr>
          <w:trHeight w:val="1863"/>
        </w:trPr>
        <w:tc>
          <w:tcPr>
            <w:tcW w:w="3652" w:type="dxa"/>
            <w:tcBorders>
              <w:top w:val="nil"/>
              <w:left w:val="nil"/>
              <w:bottom w:val="nil"/>
              <w:right w:val="nil"/>
            </w:tcBorders>
          </w:tcPr>
          <w:p w14:paraId="51458628" w14:textId="5B734829" w:rsidR="0088593E" w:rsidRPr="00096AA7" w:rsidRDefault="00101163" w:rsidP="00096AA7">
            <w:pPr>
              <w:rPr>
                <w:rFonts w:ascii="Arial" w:hAnsi="Arial" w:cs="Arial"/>
                <w:b/>
                <w:color w:val="002C47"/>
                <w:sz w:val="36"/>
                <w:szCs w:val="36"/>
              </w:rPr>
            </w:pPr>
            <w:r>
              <w:rPr>
                <w:rFonts w:ascii="Arial" w:hAnsi="Arial" w:cs="Arial"/>
                <w:b/>
                <w:color w:val="002C47"/>
                <w:sz w:val="36"/>
                <w:szCs w:val="36"/>
              </w:rPr>
              <w:t xml:space="preserve">February </w:t>
            </w:r>
            <w:r w:rsidR="00841257">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0C7180F" w14:textId="77777777" w:rsidTr="0032583B">
        <w:trPr>
          <w:trHeight w:val="868"/>
        </w:trPr>
        <w:tc>
          <w:tcPr>
            <w:tcW w:w="9079" w:type="dxa"/>
          </w:tcPr>
          <w:p w14:paraId="5C6D8653" w14:textId="77777777" w:rsidR="0032583B" w:rsidRPr="00A964D1" w:rsidRDefault="0032583B" w:rsidP="001E706D">
            <w:pPr>
              <w:pStyle w:val="Title"/>
              <w:rPr>
                <w:color w:val="FFFFFF" w:themeColor="background1"/>
              </w:rPr>
            </w:pPr>
            <w:bookmarkStart w:id="0" w:name="_GoBack"/>
            <w:r w:rsidRPr="00A964D1">
              <w:rPr>
                <w:color w:val="FFFFFF" w:themeColor="background1"/>
              </w:rPr>
              <w:t xml:space="preserve">Australian Public Assessment Report for </w:t>
            </w:r>
            <w:r w:rsidR="001E706D">
              <w:rPr>
                <w:color w:val="FFFFFF" w:themeColor="background1"/>
              </w:rPr>
              <w:t>Benralizumab</w:t>
            </w:r>
            <w:bookmarkEnd w:id="0"/>
          </w:p>
        </w:tc>
      </w:tr>
      <w:tr w:rsidR="0032583B" w:rsidRPr="00B64760" w14:paraId="215ED2A9" w14:textId="77777777" w:rsidTr="0032583B">
        <w:tc>
          <w:tcPr>
            <w:tcW w:w="9079" w:type="dxa"/>
          </w:tcPr>
          <w:p w14:paraId="20F2E599"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1E706D" w:rsidRPr="001E706D">
              <w:rPr>
                <w:color w:val="FFFFFF" w:themeColor="background1"/>
              </w:rPr>
              <w:t>F</w:t>
            </w:r>
            <w:r w:rsidR="00EB1D35" w:rsidRPr="001E706D">
              <w:rPr>
                <w:color w:val="FFFFFF" w:themeColor="background1"/>
              </w:rPr>
              <w:t>asenra</w:t>
            </w:r>
          </w:p>
        </w:tc>
      </w:tr>
      <w:tr w:rsidR="0032583B" w:rsidRPr="00B64760" w14:paraId="00C0DCC8" w14:textId="77777777" w:rsidTr="0032583B">
        <w:trPr>
          <w:trHeight w:val="486"/>
        </w:trPr>
        <w:tc>
          <w:tcPr>
            <w:tcW w:w="9079" w:type="dxa"/>
          </w:tcPr>
          <w:p w14:paraId="4DC45A16" w14:textId="77777777" w:rsidR="0032583B" w:rsidRPr="008E7846" w:rsidRDefault="0032583B" w:rsidP="0032583B">
            <w:pPr>
              <w:pStyle w:val="Subtitle"/>
              <w:rPr>
                <w:color w:val="FFFFFF" w:themeColor="background1"/>
              </w:rPr>
            </w:pPr>
            <w:r w:rsidRPr="008E7846">
              <w:rPr>
                <w:color w:val="FFFFFF" w:themeColor="background1"/>
              </w:rPr>
              <w:t>Sponsor:</w:t>
            </w:r>
            <w:r w:rsidR="001E706D" w:rsidRPr="001E706D">
              <w:rPr>
                <w:color w:val="FFFFFF" w:themeColor="background1"/>
              </w:rPr>
              <w:t xml:space="preserve"> AstraZeneca Pty Ltd</w:t>
            </w:r>
          </w:p>
        </w:tc>
      </w:tr>
    </w:tbl>
    <w:p w14:paraId="01E28F85" w14:textId="77777777" w:rsidR="008E7846" w:rsidRPr="0085156D" w:rsidRDefault="008E7846" w:rsidP="0085156D">
      <w:r w:rsidRPr="0085156D">
        <w:br w:type="page"/>
      </w:r>
    </w:p>
    <w:p w14:paraId="6BA890E5" w14:textId="77777777" w:rsidR="008E7846" w:rsidRPr="001F6CBA" w:rsidRDefault="008E7846" w:rsidP="008E7846">
      <w:pPr>
        <w:pStyle w:val="NonTOCHeading2"/>
      </w:pPr>
      <w:r w:rsidRPr="001F6CBA">
        <w:lastRenderedPageBreak/>
        <w:t>About the Therapeutic Goods Administration (TGA)</w:t>
      </w:r>
    </w:p>
    <w:p w14:paraId="3CCB93A4" w14:textId="77777777" w:rsidR="008E7846" w:rsidRDefault="008E7846" w:rsidP="0055494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8EBE234" w14:textId="77777777" w:rsidR="008E7846" w:rsidRDefault="00C80137" w:rsidP="0055494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C51C6BF" w14:textId="77777777" w:rsidR="008E7846" w:rsidRDefault="008E7846" w:rsidP="0055494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8426FC5" w14:textId="77777777" w:rsidR="008E7846" w:rsidRDefault="008E7846" w:rsidP="0055494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7C69F00" w14:textId="77777777" w:rsidR="00441C3F" w:rsidRDefault="008E7846" w:rsidP="00554948">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7504A5">
        <w:t xml:space="preserve">&lt; </w:t>
      </w:r>
      <w:hyperlink r:id="rId13" w:history="1">
        <w:r w:rsidR="00441C3F">
          <w:rPr>
            <w:rStyle w:val="Hyperlink"/>
          </w:rPr>
          <w:t>https://www.tga.gov.au</w:t>
        </w:r>
      </w:hyperlink>
      <w:proofErr w:type="gramStart"/>
      <w:r w:rsidR="005028A8">
        <w:t xml:space="preserve">&gt; </w:t>
      </w:r>
      <w:r w:rsidR="00441C3F">
        <w:t>.</w:t>
      </w:r>
      <w:proofErr w:type="gramEnd"/>
    </w:p>
    <w:p w14:paraId="39CE92F3" w14:textId="77777777" w:rsidR="008E7846" w:rsidRDefault="008E7846" w:rsidP="00875A6B">
      <w:pPr>
        <w:pStyle w:val="NonTOCHeading2"/>
      </w:pPr>
      <w:r>
        <w:t>About AusPARs</w:t>
      </w:r>
    </w:p>
    <w:p w14:paraId="44E846D9" w14:textId="77777777" w:rsidR="008E7846" w:rsidRDefault="008E7846" w:rsidP="00554948">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DF2D31E" w14:textId="77777777" w:rsidR="008E7846" w:rsidRDefault="008E7846" w:rsidP="00554948">
      <w:pPr>
        <w:pStyle w:val="ListBullet"/>
        <w:numPr>
          <w:ilvl w:val="0"/>
          <w:numId w:val="1"/>
        </w:numPr>
        <w:ind w:left="357" w:hanging="357"/>
      </w:pPr>
      <w:r>
        <w:t>AusPARs are prepared and published by the TGA.</w:t>
      </w:r>
    </w:p>
    <w:p w14:paraId="0799E90A" w14:textId="77777777" w:rsidR="008E7846" w:rsidRDefault="008E7846" w:rsidP="00554948">
      <w:pPr>
        <w:pStyle w:val="ListBullet"/>
        <w:numPr>
          <w:ilvl w:val="0"/>
          <w:numId w:val="1"/>
        </w:numPr>
        <w:ind w:left="357" w:hanging="357"/>
      </w:pPr>
      <w:r>
        <w:t>An AusPAR is prepared for submissions that relate to new chemical entities, generic medicines, major variations and extensions of indications.</w:t>
      </w:r>
    </w:p>
    <w:p w14:paraId="368DCE85" w14:textId="77777777" w:rsidR="008E7846" w:rsidRDefault="008E7846" w:rsidP="00554948">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9388C65" w14:textId="77777777" w:rsidR="00B452CE" w:rsidRDefault="008E7846" w:rsidP="00554948">
      <w:pPr>
        <w:pStyle w:val="ListBullet"/>
        <w:numPr>
          <w:ilvl w:val="0"/>
          <w:numId w:val="1"/>
        </w:numPr>
        <w:ind w:left="357" w:hanging="357"/>
      </w:pPr>
      <w:r>
        <w:t>A new AusPAR will be developed to reflect changes to indications and/or major variations to a prescription medicine subject to evaluation by the TGA.</w:t>
      </w:r>
    </w:p>
    <w:p w14:paraId="096EF4DB" w14:textId="77777777" w:rsidR="00924482" w:rsidRPr="00DF1D7F" w:rsidRDefault="00924482" w:rsidP="00F54B65">
      <w:pPr>
        <w:pStyle w:val="LegalSubheading"/>
        <w:spacing w:before="3120"/>
      </w:pPr>
      <w:r w:rsidRPr="00DF1D7F">
        <w:t>Copyright</w:t>
      </w:r>
    </w:p>
    <w:p w14:paraId="00B43A46" w14:textId="69B608DC" w:rsidR="00924482" w:rsidRDefault="00924482" w:rsidP="00924482">
      <w:pPr>
        <w:pStyle w:val="LegalCopy"/>
      </w:pPr>
      <w:r w:rsidRPr="00191B3B">
        <w:rPr>
          <w:rFonts w:cs="Arial"/>
          <w:lang w:val="en-GB"/>
        </w:rPr>
        <w:t>© Comm</w:t>
      </w:r>
      <w:r>
        <w:rPr>
          <w:rFonts w:cs="Arial"/>
          <w:lang w:val="en-GB"/>
        </w:rPr>
        <w:t>onwealth of Australia 201</w:t>
      </w:r>
      <w:r w:rsidR="00841257">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7504A5">
        <w:rPr>
          <w:rFonts w:cs="Arial"/>
          <w:lang w:val="en-GB"/>
        </w:rPr>
        <w:t xml:space="preserve">&lt; </w:t>
      </w:r>
      <w:hyperlink r:id="rId14" w:history="1">
        <w:r w:rsidRPr="00191B3B">
          <w:rPr>
            <w:rStyle w:val="Hyperlink"/>
            <w:rFonts w:cs="Arial"/>
            <w:lang w:val="en-GB"/>
          </w:rPr>
          <w:t>tga.copyright@tga.gov.au</w:t>
        </w:r>
      </w:hyperlink>
      <w:proofErr w:type="gramStart"/>
      <w:r w:rsidR="005028A8">
        <w:rPr>
          <w:rFonts w:cs="Arial"/>
        </w:rPr>
        <w:t xml:space="preserve">&gt; </w:t>
      </w:r>
      <w:r w:rsidRPr="00191B3B">
        <w:rPr>
          <w:rFonts w:cs="Arial"/>
        </w:rPr>
        <w:t>.</w:t>
      </w:r>
      <w:proofErr w:type="gramEnd"/>
    </w:p>
    <w:p w14:paraId="1D2C3233"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38E8CCB" w14:textId="77777777" w:rsidR="0089635C" w:rsidRPr="0089635C" w:rsidRDefault="0089635C" w:rsidP="0010788A">
          <w:pPr>
            <w:pStyle w:val="Contents"/>
          </w:pPr>
          <w:r w:rsidRPr="0010788A">
            <w:t>Contents</w:t>
          </w:r>
        </w:p>
        <w:p w14:paraId="1F440AC0" w14:textId="77777777" w:rsidR="00AA657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653570" w:history="1">
            <w:r w:rsidR="00AA6579" w:rsidRPr="002F690C">
              <w:rPr>
                <w:rStyle w:val="Hyperlink"/>
                <w:noProof/>
              </w:rPr>
              <w:t>Common abbreviations</w:t>
            </w:r>
            <w:r w:rsidR="00AA6579">
              <w:rPr>
                <w:noProof/>
                <w:webHidden/>
              </w:rPr>
              <w:tab/>
            </w:r>
            <w:r w:rsidR="00AA6579">
              <w:rPr>
                <w:noProof/>
                <w:webHidden/>
              </w:rPr>
              <w:fldChar w:fldCharType="begin"/>
            </w:r>
            <w:r w:rsidR="00AA6579">
              <w:rPr>
                <w:noProof/>
                <w:webHidden/>
              </w:rPr>
              <w:instrText xml:space="preserve"> PAGEREF _Toc1653570 \h </w:instrText>
            </w:r>
            <w:r w:rsidR="00AA6579">
              <w:rPr>
                <w:noProof/>
                <w:webHidden/>
              </w:rPr>
            </w:r>
            <w:r w:rsidR="00AA6579">
              <w:rPr>
                <w:noProof/>
                <w:webHidden/>
              </w:rPr>
              <w:fldChar w:fldCharType="separate"/>
            </w:r>
            <w:r w:rsidR="00AA6579">
              <w:rPr>
                <w:noProof/>
                <w:webHidden/>
              </w:rPr>
              <w:t>5</w:t>
            </w:r>
            <w:r w:rsidR="00AA6579">
              <w:rPr>
                <w:noProof/>
                <w:webHidden/>
              </w:rPr>
              <w:fldChar w:fldCharType="end"/>
            </w:r>
          </w:hyperlink>
        </w:p>
        <w:p w14:paraId="105D24BF" w14:textId="77777777" w:rsidR="00AA6579" w:rsidRDefault="005B2C53">
          <w:pPr>
            <w:pStyle w:val="TOC2"/>
            <w:rPr>
              <w:rFonts w:asciiTheme="minorHAnsi" w:eastAsiaTheme="minorEastAsia" w:hAnsiTheme="minorHAnsi" w:cstheme="minorBidi"/>
              <w:b w:val="0"/>
              <w:noProof/>
              <w:sz w:val="22"/>
              <w:lang w:eastAsia="en-AU"/>
            </w:rPr>
          </w:pPr>
          <w:hyperlink w:anchor="_Toc1653571" w:history="1">
            <w:r w:rsidR="00AA6579" w:rsidRPr="002F690C">
              <w:rPr>
                <w:rStyle w:val="Hyperlink"/>
                <w:noProof/>
              </w:rPr>
              <w:t>I. Introduction to product submission</w:t>
            </w:r>
            <w:r w:rsidR="00AA6579">
              <w:rPr>
                <w:noProof/>
                <w:webHidden/>
              </w:rPr>
              <w:tab/>
            </w:r>
            <w:r w:rsidR="00AA6579">
              <w:rPr>
                <w:noProof/>
                <w:webHidden/>
              </w:rPr>
              <w:fldChar w:fldCharType="begin"/>
            </w:r>
            <w:r w:rsidR="00AA6579">
              <w:rPr>
                <w:noProof/>
                <w:webHidden/>
              </w:rPr>
              <w:instrText xml:space="preserve"> PAGEREF _Toc1653571 \h </w:instrText>
            </w:r>
            <w:r w:rsidR="00AA6579">
              <w:rPr>
                <w:noProof/>
                <w:webHidden/>
              </w:rPr>
            </w:r>
            <w:r w:rsidR="00AA6579">
              <w:rPr>
                <w:noProof/>
                <w:webHidden/>
              </w:rPr>
              <w:fldChar w:fldCharType="separate"/>
            </w:r>
            <w:r w:rsidR="00AA6579">
              <w:rPr>
                <w:noProof/>
                <w:webHidden/>
              </w:rPr>
              <w:t>8</w:t>
            </w:r>
            <w:r w:rsidR="00AA6579">
              <w:rPr>
                <w:noProof/>
                <w:webHidden/>
              </w:rPr>
              <w:fldChar w:fldCharType="end"/>
            </w:r>
          </w:hyperlink>
        </w:p>
        <w:p w14:paraId="60576151" w14:textId="77777777" w:rsidR="00AA6579" w:rsidRDefault="005B2C53">
          <w:pPr>
            <w:pStyle w:val="TOC3"/>
            <w:rPr>
              <w:rFonts w:asciiTheme="minorHAnsi" w:eastAsiaTheme="minorEastAsia" w:hAnsiTheme="minorHAnsi" w:cstheme="minorBidi"/>
              <w:noProof/>
              <w:lang w:eastAsia="en-AU"/>
            </w:rPr>
          </w:pPr>
          <w:hyperlink w:anchor="_Toc1653572" w:history="1">
            <w:r w:rsidR="00AA6579" w:rsidRPr="002F690C">
              <w:rPr>
                <w:rStyle w:val="Hyperlink"/>
                <w:noProof/>
                <w:lang w:eastAsia="en-AU"/>
              </w:rPr>
              <w:t>Submission details</w:t>
            </w:r>
            <w:r w:rsidR="00AA6579">
              <w:rPr>
                <w:noProof/>
                <w:webHidden/>
              </w:rPr>
              <w:tab/>
            </w:r>
            <w:r w:rsidR="00AA6579">
              <w:rPr>
                <w:noProof/>
                <w:webHidden/>
              </w:rPr>
              <w:fldChar w:fldCharType="begin"/>
            </w:r>
            <w:r w:rsidR="00AA6579">
              <w:rPr>
                <w:noProof/>
                <w:webHidden/>
              </w:rPr>
              <w:instrText xml:space="preserve"> PAGEREF _Toc1653572 \h </w:instrText>
            </w:r>
            <w:r w:rsidR="00AA6579">
              <w:rPr>
                <w:noProof/>
                <w:webHidden/>
              </w:rPr>
            </w:r>
            <w:r w:rsidR="00AA6579">
              <w:rPr>
                <w:noProof/>
                <w:webHidden/>
              </w:rPr>
              <w:fldChar w:fldCharType="separate"/>
            </w:r>
            <w:r w:rsidR="00AA6579">
              <w:rPr>
                <w:noProof/>
                <w:webHidden/>
              </w:rPr>
              <w:t>8</w:t>
            </w:r>
            <w:r w:rsidR="00AA6579">
              <w:rPr>
                <w:noProof/>
                <w:webHidden/>
              </w:rPr>
              <w:fldChar w:fldCharType="end"/>
            </w:r>
          </w:hyperlink>
        </w:p>
        <w:p w14:paraId="133D4788" w14:textId="77777777" w:rsidR="00AA6579" w:rsidRDefault="005B2C53">
          <w:pPr>
            <w:pStyle w:val="TOC3"/>
            <w:rPr>
              <w:rFonts w:asciiTheme="minorHAnsi" w:eastAsiaTheme="minorEastAsia" w:hAnsiTheme="minorHAnsi" w:cstheme="minorBidi"/>
              <w:noProof/>
              <w:lang w:eastAsia="en-AU"/>
            </w:rPr>
          </w:pPr>
          <w:hyperlink w:anchor="_Toc1653573" w:history="1">
            <w:r w:rsidR="00AA6579" w:rsidRPr="002F690C">
              <w:rPr>
                <w:rStyle w:val="Hyperlink"/>
                <w:noProof/>
              </w:rPr>
              <w:t>Product background</w:t>
            </w:r>
            <w:r w:rsidR="00AA6579">
              <w:rPr>
                <w:noProof/>
                <w:webHidden/>
              </w:rPr>
              <w:tab/>
            </w:r>
            <w:r w:rsidR="00AA6579">
              <w:rPr>
                <w:noProof/>
                <w:webHidden/>
              </w:rPr>
              <w:fldChar w:fldCharType="begin"/>
            </w:r>
            <w:r w:rsidR="00AA6579">
              <w:rPr>
                <w:noProof/>
                <w:webHidden/>
              </w:rPr>
              <w:instrText xml:space="preserve"> PAGEREF _Toc1653573 \h </w:instrText>
            </w:r>
            <w:r w:rsidR="00AA6579">
              <w:rPr>
                <w:noProof/>
                <w:webHidden/>
              </w:rPr>
            </w:r>
            <w:r w:rsidR="00AA6579">
              <w:rPr>
                <w:noProof/>
                <w:webHidden/>
              </w:rPr>
              <w:fldChar w:fldCharType="separate"/>
            </w:r>
            <w:r w:rsidR="00AA6579">
              <w:rPr>
                <w:noProof/>
                <w:webHidden/>
              </w:rPr>
              <w:t>9</w:t>
            </w:r>
            <w:r w:rsidR="00AA6579">
              <w:rPr>
                <w:noProof/>
                <w:webHidden/>
              </w:rPr>
              <w:fldChar w:fldCharType="end"/>
            </w:r>
          </w:hyperlink>
        </w:p>
        <w:p w14:paraId="30EDDD7C" w14:textId="77777777" w:rsidR="00AA6579" w:rsidRDefault="005B2C53">
          <w:pPr>
            <w:pStyle w:val="TOC3"/>
            <w:rPr>
              <w:rFonts w:asciiTheme="minorHAnsi" w:eastAsiaTheme="minorEastAsia" w:hAnsiTheme="minorHAnsi" w:cstheme="minorBidi"/>
              <w:noProof/>
              <w:lang w:eastAsia="en-AU"/>
            </w:rPr>
          </w:pPr>
          <w:hyperlink w:anchor="_Toc1653574" w:history="1">
            <w:r w:rsidR="00AA6579" w:rsidRPr="002F690C">
              <w:rPr>
                <w:rStyle w:val="Hyperlink"/>
                <w:noProof/>
              </w:rPr>
              <w:t>Regulatory status</w:t>
            </w:r>
            <w:r w:rsidR="00AA6579">
              <w:rPr>
                <w:noProof/>
                <w:webHidden/>
              </w:rPr>
              <w:tab/>
            </w:r>
            <w:r w:rsidR="00AA6579">
              <w:rPr>
                <w:noProof/>
                <w:webHidden/>
              </w:rPr>
              <w:fldChar w:fldCharType="begin"/>
            </w:r>
            <w:r w:rsidR="00AA6579">
              <w:rPr>
                <w:noProof/>
                <w:webHidden/>
              </w:rPr>
              <w:instrText xml:space="preserve"> PAGEREF _Toc1653574 \h </w:instrText>
            </w:r>
            <w:r w:rsidR="00AA6579">
              <w:rPr>
                <w:noProof/>
                <w:webHidden/>
              </w:rPr>
            </w:r>
            <w:r w:rsidR="00AA6579">
              <w:rPr>
                <w:noProof/>
                <w:webHidden/>
              </w:rPr>
              <w:fldChar w:fldCharType="separate"/>
            </w:r>
            <w:r w:rsidR="00AA6579">
              <w:rPr>
                <w:noProof/>
                <w:webHidden/>
              </w:rPr>
              <w:t>9</w:t>
            </w:r>
            <w:r w:rsidR="00AA6579">
              <w:rPr>
                <w:noProof/>
                <w:webHidden/>
              </w:rPr>
              <w:fldChar w:fldCharType="end"/>
            </w:r>
          </w:hyperlink>
        </w:p>
        <w:p w14:paraId="3056B6EA" w14:textId="77777777" w:rsidR="00AA6579" w:rsidRDefault="005B2C53">
          <w:pPr>
            <w:pStyle w:val="TOC3"/>
            <w:rPr>
              <w:rFonts w:asciiTheme="minorHAnsi" w:eastAsiaTheme="minorEastAsia" w:hAnsiTheme="minorHAnsi" w:cstheme="minorBidi"/>
              <w:noProof/>
              <w:lang w:eastAsia="en-AU"/>
            </w:rPr>
          </w:pPr>
          <w:hyperlink w:anchor="_Toc1653575" w:history="1">
            <w:r w:rsidR="00AA6579" w:rsidRPr="002F690C">
              <w:rPr>
                <w:rStyle w:val="Hyperlink"/>
                <w:noProof/>
              </w:rPr>
              <w:t>Product Information</w:t>
            </w:r>
            <w:r w:rsidR="00AA6579">
              <w:rPr>
                <w:noProof/>
                <w:webHidden/>
              </w:rPr>
              <w:tab/>
            </w:r>
            <w:r w:rsidR="00AA6579">
              <w:rPr>
                <w:noProof/>
                <w:webHidden/>
              </w:rPr>
              <w:fldChar w:fldCharType="begin"/>
            </w:r>
            <w:r w:rsidR="00AA6579">
              <w:rPr>
                <w:noProof/>
                <w:webHidden/>
              </w:rPr>
              <w:instrText xml:space="preserve"> PAGEREF _Toc1653575 \h </w:instrText>
            </w:r>
            <w:r w:rsidR="00AA6579">
              <w:rPr>
                <w:noProof/>
                <w:webHidden/>
              </w:rPr>
            </w:r>
            <w:r w:rsidR="00AA6579">
              <w:rPr>
                <w:noProof/>
                <w:webHidden/>
              </w:rPr>
              <w:fldChar w:fldCharType="separate"/>
            </w:r>
            <w:r w:rsidR="00AA6579">
              <w:rPr>
                <w:noProof/>
                <w:webHidden/>
              </w:rPr>
              <w:t>10</w:t>
            </w:r>
            <w:r w:rsidR="00AA6579">
              <w:rPr>
                <w:noProof/>
                <w:webHidden/>
              </w:rPr>
              <w:fldChar w:fldCharType="end"/>
            </w:r>
          </w:hyperlink>
        </w:p>
        <w:p w14:paraId="09B3F2D2" w14:textId="77777777" w:rsidR="00AA6579" w:rsidRDefault="005B2C53">
          <w:pPr>
            <w:pStyle w:val="TOC2"/>
            <w:rPr>
              <w:rFonts w:asciiTheme="minorHAnsi" w:eastAsiaTheme="minorEastAsia" w:hAnsiTheme="minorHAnsi" w:cstheme="minorBidi"/>
              <w:b w:val="0"/>
              <w:noProof/>
              <w:sz w:val="22"/>
              <w:lang w:eastAsia="en-AU"/>
            </w:rPr>
          </w:pPr>
          <w:hyperlink w:anchor="_Toc1653576" w:history="1">
            <w:r w:rsidR="00AA6579" w:rsidRPr="002F690C">
              <w:rPr>
                <w:rStyle w:val="Hyperlink"/>
                <w:noProof/>
              </w:rPr>
              <w:t>II. Registration time line</w:t>
            </w:r>
            <w:r w:rsidR="00AA6579">
              <w:rPr>
                <w:noProof/>
                <w:webHidden/>
              </w:rPr>
              <w:tab/>
            </w:r>
            <w:r w:rsidR="00AA6579">
              <w:rPr>
                <w:noProof/>
                <w:webHidden/>
              </w:rPr>
              <w:fldChar w:fldCharType="begin"/>
            </w:r>
            <w:r w:rsidR="00AA6579">
              <w:rPr>
                <w:noProof/>
                <w:webHidden/>
              </w:rPr>
              <w:instrText xml:space="preserve"> PAGEREF _Toc1653576 \h </w:instrText>
            </w:r>
            <w:r w:rsidR="00AA6579">
              <w:rPr>
                <w:noProof/>
                <w:webHidden/>
              </w:rPr>
            </w:r>
            <w:r w:rsidR="00AA6579">
              <w:rPr>
                <w:noProof/>
                <w:webHidden/>
              </w:rPr>
              <w:fldChar w:fldCharType="separate"/>
            </w:r>
            <w:r w:rsidR="00AA6579">
              <w:rPr>
                <w:noProof/>
                <w:webHidden/>
              </w:rPr>
              <w:t>10</w:t>
            </w:r>
            <w:r w:rsidR="00AA6579">
              <w:rPr>
                <w:noProof/>
                <w:webHidden/>
              </w:rPr>
              <w:fldChar w:fldCharType="end"/>
            </w:r>
          </w:hyperlink>
        </w:p>
        <w:p w14:paraId="57772486" w14:textId="77777777" w:rsidR="00AA6579" w:rsidRDefault="005B2C53">
          <w:pPr>
            <w:pStyle w:val="TOC2"/>
            <w:rPr>
              <w:rFonts w:asciiTheme="minorHAnsi" w:eastAsiaTheme="minorEastAsia" w:hAnsiTheme="minorHAnsi" w:cstheme="minorBidi"/>
              <w:b w:val="0"/>
              <w:noProof/>
              <w:sz w:val="22"/>
              <w:lang w:eastAsia="en-AU"/>
            </w:rPr>
          </w:pPr>
          <w:hyperlink w:anchor="_Toc1653577" w:history="1">
            <w:r w:rsidR="00AA6579" w:rsidRPr="002F690C">
              <w:rPr>
                <w:rStyle w:val="Hyperlink"/>
                <w:noProof/>
              </w:rPr>
              <w:t>III. Quality findings</w:t>
            </w:r>
            <w:r w:rsidR="00AA6579">
              <w:rPr>
                <w:noProof/>
                <w:webHidden/>
              </w:rPr>
              <w:tab/>
            </w:r>
            <w:r w:rsidR="00AA6579">
              <w:rPr>
                <w:noProof/>
                <w:webHidden/>
              </w:rPr>
              <w:fldChar w:fldCharType="begin"/>
            </w:r>
            <w:r w:rsidR="00AA6579">
              <w:rPr>
                <w:noProof/>
                <w:webHidden/>
              </w:rPr>
              <w:instrText xml:space="preserve"> PAGEREF _Toc1653577 \h </w:instrText>
            </w:r>
            <w:r w:rsidR="00AA6579">
              <w:rPr>
                <w:noProof/>
                <w:webHidden/>
              </w:rPr>
            </w:r>
            <w:r w:rsidR="00AA6579">
              <w:rPr>
                <w:noProof/>
                <w:webHidden/>
              </w:rPr>
              <w:fldChar w:fldCharType="separate"/>
            </w:r>
            <w:r w:rsidR="00AA6579">
              <w:rPr>
                <w:noProof/>
                <w:webHidden/>
              </w:rPr>
              <w:t>11</w:t>
            </w:r>
            <w:r w:rsidR="00AA6579">
              <w:rPr>
                <w:noProof/>
                <w:webHidden/>
              </w:rPr>
              <w:fldChar w:fldCharType="end"/>
            </w:r>
          </w:hyperlink>
        </w:p>
        <w:p w14:paraId="10C11867" w14:textId="77777777" w:rsidR="00AA6579" w:rsidRDefault="005B2C53">
          <w:pPr>
            <w:pStyle w:val="TOC3"/>
            <w:rPr>
              <w:rFonts w:asciiTheme="minorHAnsi" w:eastAsiaTheme="minorEastAsia" w:hAnsiTheme="minorHAnsi" w:cstheme="minorBidi"/>
              <w:noProof/>
              <w:lang w:eastAsia="en-AU"/>
            </w:rPr>
          </w:pPr>
          <w:hyperlink w:anchor="_Toc1653578" w:history="1">
            <w:r w:rsidR="00AA6579" w:rsidRPr="002F690C">
              <w:rPr>
                <w:rStyle w:val="Hyperlink"/>
                <w:noProof/>
              </w:rPr>
              <w:t>Drug substance (active ingredient)</w:t>
            </w:r>
            <w:r w:rsidR="00AA6579">
              <w:rPr>
                <w:noProof/>
                <w:webHidden/>
              </w:rPr>
              <w:tab/>
            </w:r>
            <w:r w:rsidR="00AA6579">
              <w:rPr>
                <w:noProof/>
                <w:webHidden/>
              </w:rPr>
              <w:fldChar w:fldCharType="begin"/>
            </w:r>
            <w:r w:rsidR="00AA6579">
              <w:rPr>
                <w:noProof/>
                <w:webHidden/>
              </w:rPr>
              <w:instrText xml:space="preserve"> PAGEREF _Toc1653578 \h </w:instrText>
            </w:r>
            <w:r w:rsidR="00AA6579">
              <w:rPr>
                <w:noProof/>
                <w:webHidden/>
              </w:rPr>
            </w:r>
            <w:r w:rsidR="00AA6579">
              <w:rPr>
                <w:noProof/>
                <w:webHidden/>
              </w:rPr>
              <w:fldChar w:fldCharType="separate"/>
            </w:r>
            <w:r w:rsidR="00AA6579">
              <w:rPr>
                <w:noProof/>
                <w:webHidden/>
              </w:rPr>
              <w:t>11</w:t>
            </w:r>
            <w:r w:rsidR="00AA6579">
              <w:rPr>
                <w:noProof/>
                <w:webHidden/>
              </w:rPr>
              <w:fldChar w:fldCharType="end"/>
            </w:r>
          </w:hyperlink>
        </w:p>
        <w:p w14:paraId="5AD1D439" w14:textId="77777777" w:rsidR="00AA6579" w:rsidRDefault="005B2C53">
          <w:pPr>
            <w:pStyle w:val="TOC3"/>
            <w:rPr>
              <w:rFonts w:asciiTheme="minorHAnsi" w:eastAsiaTheme="minorEastAsia" w:hAnsiTheme="minorHAnsi" w:cstheme="minorBidi"/>
              <w:noProof/>
              <w:lang w:eastAsia="en-AU"/>
            </w:rPr>
          </w:pPr>
          <w:hyperlink w:anchor="_Toc1653579" w:history="1">
            <w:r w:rsidR="00AA6579" w:rsidRPr="002F690C">
              <w:rPr>
                <w:rStyle w:val="Hyperlink"/>
                <w:noProof/>
              </w:rPr>
              <w:t>Drug product</w:t>
            </w:r>
            <w:r w:rsidR="00AA6579">
              <w:rPr>
                <w:noProof/>
                <w:webHidden/>
              </w:rPr>
              <w:tab/>
            </w:r>
            <w:r w:rsidR="00AA6579">
              <w:rPr>
                <w:noProof/>
                <w:webHidden/>
              </w:rPr>
              <w:fldChar w:fldCharType="begin"/>
            </w:r>
            <w:r w:rsidR="00AA6579">
              <w:rPr>
                <w:noProof/>
                <w:webHidden/>
              </w:rPr>
              <w:instrText xml:space="preserve"> PAGEREF _Toc1653579 \h </w:instrText>
            </w:r>
            <w:r w:rsidR="00AA6579">
              <w:rPr>
                <w:noProof/>
                <w:webHidden/>
              </w:rPr>
            </w:r>
            <w:r w:rsidR="00AA6579">
              <w:rPr>
                <w:noProof/>
                <w:webHidden/>
              </w:rPr>
              <w:fldChar w:fldCharType="separate"/>
            </w:r>
            <w:r w:rsidR="00AA6579">
              <w:rPr>
                <w:noProof/>
                <w:webHidden/>
              </w:rPr>
              <w:t>12</w:t>
            </w:r>
            <w:r w:rsidR="00AA6579">
              <w:rPr>
                <w:noProof/>
                <w:webHidden/>
              </w:rPr>
              <w:fldChar w:fldCharType="end"/>
            </w:r>
          </w:hyperlink>
        </w:p>
        <w:p w14:paraId="3EC78060" w14:textId="77777777" w:rsidR="00AA6579" w:rsidRDefault="005B2C53">
          <w:pPr>
            <w:pStyle w:val="TOC3"/>
            <w:rPr>
              <w:rFonts w:asciiTheme="minorHAnsi" w:eastAsiaTheme="minorEastAsia" w:hAnsiTheme="minorHAnsi" w:cstheme="minorBidi"/>
              <w:noProof/>
              <w:lang w:eastAsia="en-AU"/>
            </w:rPr>
          </w:pPr>
          <w:hyperlink w:anchor="_Toc1653580" w:history="1">
            <w:r w:rsidR="00AA6579" w:rsidRPr="002F690C">
              <w:rPr>
                <w:rStyle w:val="Hyperlink"/>
                <w:noProof/>
              </w:rPr>
              <w:t>Quality summary and conclusions</w:t>
            </w:r>
            <w:r w:rsidR="00AA6579">
              <w:rPr>
                <w:noProof/>
                <w:webHidden/>
              </w:rPr>
              <w:tab/>
            </w:r>
            <w:r w:rsidR="00AA6579">
              <w:rPr>
                <w:noProof/>
                <w:webHidden/>
              </w:rPr>
              <w:fldChar w:fldCharType="begin"/>
            </w:r>
            <w:r w:rsidR="00AA6579">
              <w:rPr>
                <w:noProof/>
                <w:webHidden/>
              </w:rPr>
              <w:instrText xml:space="preserve"> PAGEREF _Toc1653580 \h </w:instrText>
            </w:r>
            <w:r w:rsidR="00AA6579">
              <w:rPr>
                <w:noProof/>
                <w:webHidden/>
              </w:rPr>
            </w:r>
            <w:r w:rsidR="00AA6579">
              <w:rPr>
                <w:noProof/>
                <w:webHidden/>
              </w:rPr>
              <w:fldChar w:fldCharType="separate"/>
            </w:r>
            <w:r w:rsidR="00AA6579">
              <w:rPr>
                <w:noProof/>
                <w:webHidden/>
              </w:rPr>
              <w:t>13</w:t>
            </w:r>
            <w:r w:rsidR="00AA6579">
              <w:rPr>
                <w:noProof/>
                <w:webHidden/>
              </w:rPr>
              <w:fldChar w:fldCharType="end"/>
            </w:r>
          </w:hyperlink>
        </w:p>
        <w:p w14:paraId="0694AB69" w14:textId="77777777" w:rsidR="00AA6579" w:rsidRDefault="005B2C53">
          <w:pPr>
            <w:pStyle w:val="TOC2"/>
            <w:rPr>
              <w:rFonts w:asciiTheme="minorHAnsi" w:eastAsiaTheme="minorEastAsia" w:hAnsiTheme="minorHAnsi" w:cstheme="minorBidi"/>
              <w:b w:val="0"/>
              <w:noProof/>
              <w:sz w:val="22"/>
              <w:lang w:eastAsia="en-AU"/>
            </w:rPr>
          </w:pPr>
          <w:hyperlink w:anchor="_Toc1653581" w:history="1">
            <w:r w:rsidR="00AA6579" w:rsidRPr="002F690C">
              <w:rPr>
                <w:rStyle w:val="Hyperlink"/>
                <w:noProof/>
              </w:rPr>
              <w:t>IV. Nonclinical findings</w:t>
            </w:r>
            <w:r w:rsidR="00AA6579">
              <w:rPr>
                <w:noProof/>
                <w:webHidden/>
              </w:rPr>
              <w:tab/>
            </w:r>
            <w:r w:rsidR="00AA6579">
              <w:rPr>
                <w:noProof/>
                <w:webHidden/>
              </w:rPr>
              <w:fldChar w:fldCharType="begin"/>
            </w:r>
            <w:r w:rsidR="00AA6579">
              <w:rPr>
                <w:noProof/>
                <w:webHidden/>
              </w:rPr>
              <w:instrText xml:space="preserve"> PAGEREF _Toc1653581 \h </w:instrText>
            </w:r>
            <w:r w:rsidR="00AA6579">
              <w:rPr>
                <w:noProof/>
                <w:webHidden/>
              </w:rPr>
            </w:r>
            <w:r w:rsidR="00AA6579">
              <w:rPr>
                <w:noProof/>
                <w:webHidden/>
              </w:rPr>
              <w:fldChar w:fldCharType="separate"/>
            </w:r>
            <w:r w:rsidR="00AA6579">
              <w:rPr>
                <w:noProof/>
                <w:webHidden/>
              </w:rPr>
              <w:t>13</w:t>
            </w:r>
            <w:r w:rsidR="00AA6579">
              <w:rPr>
                <w:noProof/>
                <w:webHidden/>
              </w:rPr>
              <w:fldChar w:fldCharType="end"/>
            </w:r>
          </w:hyperlink>
        </w:p>
        <w:p w14:paraId="10808808" w14:textId="77777777" w:rsidR="00AA6579" w:rsidRDefault="005B2C53">
          <w:pPr>
            <w:pStyle w:val="TOC3"/>
            <w:rPr>
              <w:rFonts w:asciiTheme="minorHAnsi" w:eastAsiaTheme="minorEastAsia" w:hAnsiTheme="minorHAnsi" w:cstheme="minorBidi"/>
              <w:noProof/>
              <w:lang w:eastAsia="en-AU"/>
            </w:rPr>
          </w:pPr>
          <w:hyperlink w:anchor="_Toc1653582" w:history="1">
            <w:r w:rsidR="00AA6579" w:rsidRPr="002F690C">
              <w:rPr>
                <w:rStyle w:val="Hyperlink"/>
                <w:noProof/>
              </w:rPr>
              <w:t>Introduction</w:t>
            </w:r>
            <w:r w:rsidR="00AA6579">
              <w:rPr>
                <w:noProof/>
                <w:webHidden/>
              </w:rPr>
              <w:tab/>
            </w:r>
            <w:r w:rsidR="00AA6579">
              <w:rPr>
                <w:noProof/>
                <w:webHidden/>
              </w:rPr>
              <w:fldChar w:fldCharType="begin"/>
            </w:r>
            <w:r w:rsidR="00AA6579">
              <w:rPr>
                <w:noProof/>
                <w:webHidden/>
              </w:rPr>
              <w:instrText xml:space="preserve"> PAGEREF _Toc1653582 \h </w:instrText>
            </w:r>
            <w:r w:rsidR="00AA6579">
              <w:rPr>
                <w:noProof/>
                <w:webHidden/>
              </w:rPr>
            </w:r>
            <w:r w:rsidR="00AA6579">
              <w:rPr>
                <w:noProof/>
                <w:webHidden/>
              </w:rPr>
              <w:fldChar w:fldCharType="separate"/>
            </w:r>
            <w:r w:rsidR="00AA6579">
              <w:rPr>
                <w:noProof/>
                <w:webHidden/>
              </w:rPr>
              <w:t>13</w:t>
            </w:r>
            <w:r w:rsidR="00AA6579">
              <w:rPr>
                <w:noProof/>
                <w:webHidden/>
              </w:rPr>
              <w:fldChar w:fldCharType="end"/>
            </w:r>
          </w:hyperlink>
        </w:p>
        <w:p w14:paraId="2DEF46D1" w14:textId="77777777" w:rsidR="00AA6579" w:rsidRDefault="005B2C53">
          <w:pPr>
            <w:pStyle w:val="TOC3"/>
            <w:rPr>
              <w:rFonts w:asciiTheme="minorHAnsi" w:eastAsiaTheme="minorEastAsia" w:hAnsiTheme="minorHAnsi" w:cstheme="minorBidi"/>
              <w:noProof/>
              <w:lang w:eastAsia="en-AU"/>
            </w:rPr>
          </w:pPr>
          <w:hyperlink w:anchor="_Toc1653583" w:history="1">
            <w:r w:rsidR="00AA6579" w:rsidRPr="002F690C">
              <w:rPr>
                <w:rStyle w:val="Hyperlink"/>
                <w:noProof/>
              </w:rPr>
              <w:t>Pharmacology</w:t>
            </w:r>
            <w:r w:rsidR="00AA6579">
              <w:rPr>
                <w:noProof/>
                <w:webHidden/>
              </w:rPr>
              <w:tab/>
            </w:r>
            <w:r w:rsidR="00AA6579">
              <w:rPr>
                <w:noProof/>
                <w:webHidden/>
              </w:rPr>
              <w:fldChar w:fldCharType="begin"/>
            </w:r>
            <w:r w:rsidR="00AA6579">
              <w:rPr>
                <w:noProof/>
                <w:webHidden/>
              </w:rPr>
              <w:instrText xml:space="preserve"> PAGEREF _Toc1653583 \h </w:instrText>
            </w:r>
            <w:r w:rsidR="00AA6579">
              <w:rPr>
                <w:noProof/>
                <w:webHidden/>
              </w:rPr>
            </w:r>
            <w:r w:rsidR="00AA6579">
              <w:rPr>
                <w:noProof/>
                <w:webHidden/>
              </w:rPr>
              <w:fldChar w:fldCharType="separate"/>
            </w:r>
            <w:r w:rsidR="00AA6579">
              <w:rPr>
                <w:noProof/>
                <w:webHidden/>
              </w:rPr>
              <w:t>13</w:t>
            </w:r>
            <w:r w:rsidR="00AA6579">
              <w:rPr>
                <w:noProof/>
                <w:webHidden/>
              </w:rPr>
              <w:fldChar w:fldCharType="end"/>
            </w:r>
          </w:hyperlink>
        </w:p>
        <w:p w14:paraId="4F7C8456" w14:textId="77777777" w:rsidR="00AA6579" w:rsidRDefault="005B2C53">
          <w:pPr>
            <w:pStyle w:val="TOC3"/>
            <w:rPr>
              <w:rFonts w:asciiTheme="minorHAnsi" w:eastAsiaTheme="minorEastAsia" w:hAnsiTheme="minorHAnsi" w:cstheme="minorBidi"/>
              <w:noProof/>
              <w:lang w:eastAsia="en-AU"/>
            </w:rPr>
          </w:pPr>
          <w:hyperlink w:anchor="_Toc1653584" w:history="1">
            <w:r w:rsidR="00AA6579" w:rsidRPr="002F690C">
              <w:rPr>
                <w:rStyle w:val="Hyperlink"/>
                <w:noProof/>
              </w:rPr>
              <w:t>Pharmacokinetics</w:t>
            </w:r>
            <w:r w:rsidR="00AA6579">
              <w:rPr>
                <w:noProof/>
                <w:webHidden/>
              </w:rPr>
              <w:tab/>
            </w:r>
            <w:r w:rsidR="00AA6579">
              <w:rPr>
                <w:noProof/>
                <w:webHidden/>
              </w:rPr>
              <w:fldChar w:fldCharType="begin"/>
            </w:r>
            <w:r w:rsidR="00AA6579">
              <w:rPr>
                <w:noProof/>
                <w:webHidden/>
              </w:rPr>
              <w:instrText xml:space="preserve"> PAGEREF _Toc1653584 \h </w:instrText>
            </w:r>
            <w:r w:rsidR="00AA6579">
              <w:rPr>
                <w:noProof/>
                <w:webHidden/>
              </w:rPr>
            </w:r>
            <w:r w:rsidR="00AA6579">
              <w:rPr>
                <w:noProof/>
                <w:webHidden/>
              </w:rPr>
              <w:fldChar w:fldCharType="separate"/>
            </w:r>
            <w:r w:rsidR="00AA6579">
              <w:rPr>
                <w:noProof/>
                <w:webHidden/>
              </w:rPr>
              <w:t>15</w:t>
            </w:r>
            <w:r w:rsidR="00AA6579">
              <w:rPr>
                <w:noProof/>
                <w:webHidden/>
              </w:rPr>
              <w:fldChar w:fldCharType="end"/>
            </w:r>
          </w:hyperlink>
        </w:p>
        <w:p w14:paraId="76EDAADC" w14:textId="77777777" w:rsidR="00AA6579" w:rsidRDefault="005B2C53">
          <w:pPr>
            <w:pStyle w:val="TOC3"/>
            <w:rPr>
              <w:rFonts w:asciiTheme="minorHAnsi" w:eastAsiaTheme="minorEastAsia" w:hAnsiTheme="minorHAnsi" w:cstheme="minorBidi"/>
              <w:noProof/>
              <w:lang w:eastAsia="en-AU"/>
            </w:rPr>
          </w:pPr>
          <w:hyperlink w:anchor="_Toc1653585" w:history="1">
            <w:r w:rsidR="00AA6579" w:rsidRPr="002F690C">
              <w:rPr>
                <w:rStyle w:val="Hyperlink"/>
                <w:noProof/>
              </w:rPr>
              <w:t>Toxicology</w:t>
            </w:r>
            <w:r w:rsidR="00AA6579">
              <w:rPr>
                <w:noProof/>
                <w:webHidden/>
              </w:rPr>
              <w:tab/>
            </w:r>
            <w:r w:rsidR="00AA6579">
              <w:rPr>
                <w:noProof/>
                <w:webHidden/>
              </w:rPr>
              <w:fldChar w:fldCharType="begin"/>
            </w:r>
            <w:r w:rsidR="00AA6579">
              <w:rPr>
                <w:noProof/>
                <w:webHidden/>
              </w:rPr>
              <w:instrText xml:space="preserve"> PAGEREF _Toc1653585 \h </w:instrText>
            </w:r>
            <w:r w:rsidR="00AA6579">
              <w:rPr>
                <w:noProof/>
                <w:webHidden/>
              </w:rPr>
            </w:r>
            <w:r w:rsidR="00AA6579">
              <w:rPr>
                <w:noProof/>
                <w:webHidden/>
              </w:rPr>
              <w:fldChar w:fldCharType="separate"/>
            </w:r>
            <w:r w:rsidR="00AA6579">
              <w:rPr>
                <w:noProof/>
                <w:webHidden/>
              </w:rPr>
              <w:t>15</w:t>
            </w:r>
            <w:r w:rsidR="00AA6579">
              <w:rPr>
                <w:noProof/>
                <w:webHidden/>
              </w:rPr>
              <w:fldChar w:fldCharType="end"/>
            </w:r>
          </w:hyperlink>
        </w:p>
        <w:p w14:paraId="16C0AF0A" w14:textId="77777777" w:rsidR="00AA6579" w:rsidRDefault="005B2C53">
          <w:pPr>
            <w:pStyle w:val="TOC3"/>
            <w:rPr>
              <w:rFonts w:asciiTheme="minorHAnsi" w:eastAsiaTheme="minorEastAsia" w:hAnsiTheme="minorHAnsi" w:cstheme="minorBidi"/>
              <w:noProof/>
              <w:lang w:eastAsia="en-AU"/>
            </w:rPr>
          </w:pPr>
          <w:hyperlink w:anchor="_Toc1653586" w:history="1">
            <w:r w:rsidR="00AA6579" w:rsidRPr="002F690C">
              <w:rPr>
                <w:rStyle w:val="Hyperlink"/>
                <w:noProof/>
              </w:rPr>
              <w:t>Nonclinical summary and conclusions</w:t>
            </w:r>
            <w:r w:rsidR="00AA6579">
              <w:rPr>
                <w:noProof/>
                <w:webHidden/>
              </w:rPr>
              <w:tab/>
            </w:r>
            <w:r w:rsidR="00AA6579">
              <w:rPr>
                <w:noProof/>
                <w:webHidden/>
              </w:rPr>
              <w:fldChar w:fldCharType="begin"/>
            </w:r>
            <w:r w:rsidR="00AA6579">
              <w:rPr>
                <w:noProof/>
                <w:webHidden/>
              </w:rPr>
              <w:instrText xml:space="preserve"> PAGEREF _Toc1653586 \h </w:instrText>
            </w:r>
            <w:r w:rsidR="00AA6579">
              <w:rPr>
                <w:noProof/>
                <w:webHidden/>
              </w:rPr>
            </w:r>
            <w:r w:rsidR="00AA6579">
              <w:rPr>
                <w:noProof/>
                <w:webHidden/>
              </w:rPr>
              <w:fldChar w:fldCharType="separate"/>
            </w:r>
            <w:r w:rsidR="00AA6579">
              <w:rPr>
                <w:noProof/>
                <w:webHidden/>
              </w:rPr>
              <w:t>18</w:t>
            </w:r>
            <w:r w:rsidR="00AA6579">
              <w:rPr>
                <w:noProof/>
                <w:webHidden/>
              </w:rPr>
              <w:fldChar w:fldCharType="end"/>
            </w:r>
          </w:hyperlink>
        </w:p>
        <w:p w14:paraId="7907C282" w14:textId="77777777" w:rsidR="00AA6579" w:rsidRDefault="005B2C53">
          <w:pPr>
            <w:pStyle w:val="TOC2"/>
            <w:rPr>
              <w:rFonts w:asciiTheme="minorHAnsi" w:eastAsiaTheme="minorEastAsia" w:hAnsiTheme="minorHAnsi" w:cstheme="minorBidi"/>
              <w:b w:val="0"/>
              <w:noProof/>
              <w:sz w:val="22"/>
              <w:lang w:eastAsia="en-AU"/>
            </w:rPr>
          </w:pPr>
          <w:hyperlink w:anchor="_Toc1653587" w:history="1">
            <w:r w:rsidR="00AA6579" w:rsidRPr="002F690C">
              <w:rPr>
                <w:rStyle w:val="Hyperlink"/>
                <w:noProof/>
              </w:rPr>
              <w:t>V. Clinical findings</w:t>
            </w:r>
            <w:r w:rsidR="00AA6579">
              <w:rPr>
                <w:noProof/>
                <w:webHidden/>
              </w:rPr>
              <w:tab/>
            </w:r>
            <w:r w:rsidR="00AA6579">
              <w:rPr>
                <w:noProof/>
                <w:webHidden/>
              </w:rPr>
              <w:fldChar w:fldCharType="begin"/>
            </w:r>
            <w:r w:rsidR="00AA6579">
              <w:rPr>
                <w:noProof/>
                <w:webHidden/>
              </w:rPr>
              <w:instrText xml:space="preserve"> PAGEREF _Toc1653587 \h </w:instrText>
            </w:r>
            <w:r w:rsidR="00AA6579">
              <w:rPr>
                <w:noProof/>
                <w:webHidden/>
              </w:rPr>
            </w:r>
            <w:r w:rsidR="00AA6579">
              <w:rPr>
                <w:noProof/>
                <w:webHidden/>
              </w:rPr>
              <w:fldChar w:fldCharType="separate"/>
            </w:r>
            <w:r w:rsidR="00AA6579">
              <w:rPr>
                <w:noProof/>
                <w:webHidden/>
              </w:rPr>
              <w:t>19</w:t>
            </w:r>
            <w:r w:rsidR="00AA6579">
              <w:rPr>
                <w:noProof/>
                <w:webHidden/>
              </w:rPr>
              <w:fldChar w:fldCharType="end"/>
            </w:r>
          </w:hyperlink>
        </w:p>
        <w:p w14:paraId="39BDF80D" w14:textId="77777777" w:rsidR="00AA6579" w:rsidRDefault="005B2C53">
          <w:pPr>
            <w:pStyle w:val="TOC3"/>
            <w:rPr>
              <w:rFonts w:asciiTheme="minorHAnsi" w:eastAsiaTheme="minorEastAsia" w:hAnsiTheme="minorHAnsi" w:cstheme="minorBidi"/>
              <w:noProof/>
              <w:lang w:eastAsia="en-AU"/>
            </w:rPr>
          </w:pPr>
          <w:hyperlink w:anchor="_Toc1653588" w:history="1">
            <w:r w:rsidR="00AA6579" w:rsidRPr="002F690C">
              <w:rPr>
                <w:rStyle w:val="Hyperlink"/>
                <w:noProof/>
              </w:rPr>
              <w:t>Introduction</w:t>
            </w:r>
            <w:r w:rsidR="00AA6579">
              <w:rPr>
                <w:noProof/>
                <w:webHidden/>
              </w:rPr>
              <w:tab/>
            </w:r>
            <w:r w:rsidR="00AA6579">
              <w:rPr>
                <w:noProof/>
                <w:webHidden/>
              </w:rPr>
              <w:fldChar w:fldCharType="begin"/>
            </w:r>
            <w:r w:rsidR="00AA6579">
              <w:rPr>
                <w:noProof/>
                <w:webHidden/>
              </w:rPr>
              <w:instrText xml:space="preserve"> PAGEREF _Toc1653588 \h </w:instrText>
            </w:r>
            <w:r w:rsidR="00AA6579">
              <w:rPr>
                <w:noProof/>
                <w:webHidden/>
              </w:rPr>
            </w:r>
            <w:r w:rsidR="00AA6579">
              <w:rPr>
                <w:noProof/>
                <w:webHidden/>
              </w:rPr>
              <w:fldChar w:fldCharType="separate"/>
            </w:r>
            <w:r w:rsidR="00AA6579">
              <w:rPr>
                <w:noProof/>
                <w:webHidden/>
              </w:rPr>
              <w:t>19</w:t>
            </w:r>
            <w:r w:rsidR="00AA6579">
              <w:rPr>
                <w:noProof/>
                <w:webHidden/>
              </w:rPr>
              <w:fldChar w:fldCharType="end"/>
            </w:r>
          </w:hyperlink>
        </w:p>
        <w:p w14:paraId="47E1EA1B" w14:textId="77777777" w:rsidR="00AA6579" w:rsidRDefault="005B2C53">
          <w:pPr>
            <w:pStyle w:val="TOC3"/>
            <w:rPr>
              <w:rFonts w:asciiTheme="minorHAnsi" w:eastAsiaTheme="minorEastAsia" w:hAnsiTheme="minorHAnsi" w:cstheme="minorBidi"/>
              <w:noProof/>
              <w:lang w:eastAsia="en-AU"/>
            </w:rPr>
          </w:pPr>
          <w:hyperlink w:anchor="_Toc1653589" w:history="1">
            <w:r w:rsidR="00AA6579" w:rsidRPr="002F690C">
              <w:rPr>
                <w:rStyle w:val="Hyperlink"/>
                <w:noProof/>
              </w:rPr>
              <w:t>Pharmacokinetics</w:t>
            </w:r>
            <w:r w:rsidR="00AA6579">
              <w:rPr>
                <w:noProof/>
                <w:webHidden/>
              </w:rPr>
              <w:tab/>
            </w:r>
            <w:r w:rsidR="00AA6579">
              <w:rPr>
                <w:noProof/>
                <w:webHidden/>
              </w:rPr>
              <w:fldChar w:fldCharType="begin"/>
            </w:r>
            <w:r w:rsidR="00AA6579">
              <w:rPr>
                <w:noProof/>
                <w:webHidden/>
              </w:rPr>
              <w:instrText xml:space="preserve"> PAGEREF _Toc1653589 \h </w:instrText>
            </w:r>
            <w:r w:rsidR="00AA6579">
              <w:rPr>
                <w:noProof/>
                <w:webHidden/>
              </w:rPr>
            </w:r>
            <w:r w:rsidR="00AA6579">
              <w:rPr>
                <w:noProof/>
                <w:webHidden/>
              </w:rPr>
              <w:fldChar w:fldCharType="separate"/>
            </w:r>
            <w:r w:rsidR="00AA6579">
              <w:rPr>
                <w:noProof/>
                <w:webHidden/>
              </w:rPr>
              <w:t>22</w:t>
            </w:r>
            <w:r w:rsidR="00AA6579">
              <w:rPr>
                <w:noProof/>
                <w:webHidden/>
              </w:rPr>
              <w:fldChar w:fldCharType="end"/>
            </w:r>
          </w:hyperlink>
        </w:p>
        <w:p w14:paraId="40DEF06A" w14:textId="77777777" w:rsidR="00AA6579" w:rsidRDefault="005B2C53">
          <w:pPr>
            <w:pStyle w:val="TOC3"/>
            <w:rPr>
              <w:rFonts w:asciiTheme="minorHAnsi" w:eastAsiaTheme="minorEastAsia" w:hAnsiTheme="minorHAnsi" w:cstheme="minorBidi"/>
              <w:noProof/>
              <w:lang w:eastAsia="en-AU"/>
            </w:rPr>
          </w:pPr>
          <w:hyperlink w:anchor="_Toc1653590" w:history="1">
            <w:r w:rsidR="00AA6579" w:rsidRPr="002F690C">
              <w:rPr>
                <w:rStyle w:val="Hyperlink"/>
                <w:noProof/>
              </w:rPr>
              <w:t>Pharmacodynamics</w:t>
            </w:r>
            <w:r w:rsidR="00AA6579">
              <w:rPr>
                <w:noProof/>
                <w:webHidden/>
              </w:rPr>
              <w:tab/>
            </w:r>
            <w:r w:rsidR="00AA6579">
              <w:rPr>
                <w:noProof/>
                <w:webHidden/>
              </w:rPr>
              <w:fldChar w:fldCharType="begin"/>
            </w:r>
            <w:r w:rsidR="00AA6579">
              <w:rPr>
                <w:noProof/>
                <w:webHidden/>
              </w:rPr>
              <w:instrText xml:space="preserve"> PAGEREF _Toc1653590 \h </w:instrText>
            </w:r>
            <w:r w:rsidR="00AA6579">
              <w:rPr>
                <w:noProof/>
                <w:webHidden/>
              </w:rPr>
            </w:r>
            <w:r w:rsidR="00AA6579">
              <w:rPr>
                <w:noProof/>
                <w:webHidden/>
              </w:rPr>
              <w:fldChar w:fldCharType="separate"/>
            </w:r>
            <w:r w:rsidR="00AA6579">
              <w:rPr>
                <w:noProof/>
                <w:webHidden/>
              </w:rPr>
              <w:t>22</w:t>
            </w:r>
            <w:r w:rsidR="00AA6579">
              <w:rPr>
                <w:noProof/>
                <w:webHidden/>
              </w:rPr>
              <w:fldChar w:fldCharType="end"/>
            </w:r>
          </w:hyperlink>
        </w:p>
        <w:p w14:paraId="43B9EDD8" w14:textId="77777777" w:rsidR="00AA6579" w:rsidRDefault="005B2C53">
          <w:pPr>
            <w:pStyle w:val="TOC3"/>
            <w:rPr>
              <w:rFonts w:asciiTheme="minorHAnsi" w:eastAsiaTheme="minorEastAsia" w:hAnsiTheme="minorHAnsi" w:cstheme="minorBidi"/>
              <w:noProof/>
              <w:lang w:eastAsia="en-AU"/>
            </w:rPr>
          </w:pPr>
          <w:hyperlink w:anchor="_Toc1653591" w:history="1">
            <w:r w:rsidR="00AA6579" w:rsidRPr="002F690C">
              <w:rPr>
                <w:rStyle w:val="Hyperlink"/>
                <w:noProof/>
              </w:rPr>
              <w:t>Dosage selection for the pivotal studies</w:t>
            </w:r>
            <w:r w:rsidR="00AA6579">
              <w:rPr>
                <w:noProof/>
                <w:webHidden/>
              </w:rPr>
              <w:tab/>
            </w:r>
            <w:r w:rsidR="00AA6579">
              <w:rPr>
                <w:noProof/>
                <w:webHidden/>
              </w:rPr>
              <w:fldChar w:fldCharType="begin"/>
            </w:r>
            <w:r w:rsidR="00AA6579">
              <w:rPr>
                <w:noProof/>
                <w:webHidden/>
              </w:rPr>
              <w:instrText xml:space="preserve"> PAGEREF _Toc1653591 \h </w:instrText>
            </w:r>
            <w:r w:rsidR="00AA6579">
              <w:rPr>
                <w:noProof/>
                <w:webHidden/>
              </w:rPr>
            </w:r>
            <w:r w:rsidR="00AA6579">
              <w:rPr>
                <w:noProof/>
                <w:webHidden/>
              </w:rPr>
              <w:fldChar w:fldCharType="separate"/>
            </w:r>
            <w:r w:rsidR="00AA6579">
              <w:rPr>
                <w:noProof/>
                <w:webHidden/>
              </w:rPr>
              <w:t>23</w:t>
            </w:r>
            <w:r w:rsidR="00AA6579">
              <w:rPr>
                <w:noProof/>
                <w:webHidden/>
              </w:rPr>
              <w:fldChar w:fldCharType="end"/>
            </w:r>
          </w:hyperlink>
        </w:p>
        <w:p w14:paraId="4EE6616B" w14:textId="77777777" w:rsidR="00AA6579" w:rsidRDefault="005B2C53">
          <w:pPr>
            <w:pStyle w:val="TOC3"/>
            <w:rPr>
              <w:rFonts w:asciiTheme="minorHAnsi" w:eastAsiaTheme="minorEastAsia" w:hAnsiTheme="minorHAnsi" w:cstheme="minorBidi"/>
              <w:noProof/>
              <w:lang w:eastAsia="en-AU"/>
            </w:rPr>
          </w:pPr>
          <w:hyperlink w:anchor="_Toc1653592" w:history="1">
            <w:r w:rsidR="00AA6579" w:rsidRPr="002F690C">
              <w:rPr>
                <w:rStyle w:val="Hyperlink"/>
                <w:noProof/>
              </w:rPr>
              <w:t>Efficacy</w:t>
            </w:r>
            <w:r w:rsidR="00AA6579">
              <w:rPr>
                <w:noProof/>
                <w:webHidden/>
              </w:rPr>
              <w:tab/>
            </w:r>
            <w:r w:rsidR="00AA6579">
              <w:rPr>
                <w:noProof/>
                <w:webHidden/>
              </w:rPr>
              <w:fldChar w:fldCharType="begin"/>
            </w:r>
            <w:r w:rsidR="00AA6579">
              <w:rPr>
                <w:noProof/>
                <w:webHidden/>
              </w:rPr>
              <w:instrText xml:space="preserve"> PAGEREF _Toc1653592 \h </w:instrText>
            </w:r>
            <w:r w:rsidR="00AA6579">
              <w:rPr>
                <w:noProof/>
                <w:webHidden/>
              </w:rPr>
            </w:r>
            <w:r w:rsidR="00AA6579">
              <w:rPr>
                <w:noProof/>
                <w:webHidden/>
              </w:rPr>
              <w:fldChar w:fldCharType="separate"/>
            </w:r>
            <w:r w:rsidR="00AA6579">
              <w:rPr>
                <w:noProof/>
                <w:webHidden/>
              </w:rPr>
              <w:t>23</w:t>
            </w:r>
            <w:r w:rsidR="00AA6579">
              <w:rPr>
                <w:noProof/>
                <w:webHidden/>
              </w:rPr>
              <w:fldChar w:fldCharType="end"/>
            </w:r>
          </w:hyperlink>
        </w:p>
        <w:p w14:paraId="77341990" w14:textId="77777777" w:rsidR="00AA6579" w:rsidRDefault="005B2C53">
          <w:pPr>
            <w:pStyle w:val="TOC3"/>
            <w:rPr>
              <w:rFonts w:asciiTheme="minorHAnsi" w:eastAsiaTheme="minorEastAsia" w:hAnsiTheme="minorHAnsi" w:cstheme="minorBidi"/>
              <w:noProof/>
              <w:lang w:eastAsia="en-AU"/>
            </w:rPr>
          </w:pPr>
          <w:hyperlink w:anchor="_Toc1653593" w:history="1">
            <w:r w:rsidR="00AA6579" w:rsidRPr="002F690C">
              <w:rPr>
                <w:rStyle w:val="Hyperlink"/>
                <w:noProof/>
              </w:rPr>
              <w:t>Safety</w:t>
            </w:r>
            <w:r w:rsidR="00AA6579">
              <w:rPr>
                <w:noProof/>
                <w:webHidden/>
              </w:rPr>
              <w:tab/>
            </w:r>
            <w:r w:rsidR="00AA6579">
              <w:rPr>
                <w:noProof/>
                <w:webHidden/>
              </w:rPr>
              <w:fldChar w:fldCharType="begin"/>
            </w:r>
            <w:r w:rsidR="00AA6579">
              <w:rPr>
                <w:noProof/>
                <w:webHidden/>
              </w:rPr>
              <w:instrText xml:space="preserve"> PAGEREF _Toc1653593 \h </w:instrText>
            </w:r>
            <w:r w:rsidR="00AA6579">
              <w:rPr>
                <w:noProof/>
                <w:webHidden/>
              </w:rPr>
            </w:r>
            <w:r w:rsidR="00AA6579">
              <w:rPr>
                <w:noProof/>
                <w:webHidden/>
              </w:rPr>
              <w:fldChar w:fldCharType="separate"/>
            </w:r>
            <w:r w:rsidR="00AA6579">
              <w:rPr>
                <w:noProof/>
                <w:webHidden/>
              </w:rPr>
              <w:t>28</w:t>
            </w:r>
            <w:r w:rsidR="00AA6579">
              <w:rPr>
                <w:noProof/>
                <w:webHidden/>
              </w:rPr>
              <w:fldChar w:fldCharType="end"/>
            </w:r>
          </w:hyperlink>
        </w:p>
        <w:p w14:paraId="24C5A565" w14:textId="77777777" w:rsidR="00AA6579" w:rsidRDefault="005B2C53">
          <w:pPr>
            <w:pStyle w:val="TOC3"/>
            <w:rPr>
              <w:rFonts w:asciiTheme="minorHAnsi" w:eastAsiaTheme="minorEastAsia" w:hAnsiTheme="minorHAnsi" w:cstheme="minorBidi"/>
              <w:noProof/>
              <w:lang w:eastAsia="en-AU"/>
            </w:rPr>
          </w:pPr>
          <w:hyperlink w:anchor="_Toc1653594" w:history="1">
            <w:r w:rsidR="00AA6579" w:rsidRPr="002F690C">
              <w:rPr>
                <w:rStyle w:val="Hyperlink"/>
                <w:noProof/>
              </w:rPr>
              <w:t>First Round Benefit-Risk Assessment</w:t>
            </w:r>
            <w:r w:rsidR="00AA6579">
              <w:rPr>
                <w:noProof/>
                <w:webHidden/>
              </w:rPr>
              <w:tab/>
            </w:r>
            <w:r w:rsidR="00AA6579">
              <w:rPr>
                <w:noProof/>
                <w:webHidden/>
              </w:rPr>
              <w:fldChar w:fldCharType="begin"/>
            </w:r>
            <w:r w:rsidR="00AA6579">
              <w:rPr>
                <w:noProof/>
                <w:webHidden/>
              </w:rPr>
              <w:instrText xml:space="preserve"> PAGEREF _Toc1653594 \h </w:instrText>
            </w:r>
            <w:r w:rsidR="00AA6579">
              <w:rPr>
                <w:noProof/>
                <w:webHidden/>
              </w:rPr>
            </w:r>
            <w:r w:rsidR="00AA6579">
              <w:rPr>
                <w:noProof/>
                <w:webHidden/>
              </w:rPr>
              <w:fldChar w:fldCharType="separate"/>
            </w:r>
            <w:r w:rsidR="00AA6579">
              <w:rPr>
                <w:noProof/>
                <w:webHidden/>
              </w:rPr>
              <w:t>35</w:t>
            </w:r>
            <w:r w:rsidR="00AA6579">
              <w:rPr>
                <w:noProof/>
                <w:webHidden/>
              </w:rPr>
              <w:fldChar w:fldCharType="end"/>
            </w:r>
          </w:hyperlink>
        </w:p>
        <w:p w14:paraId="4D66E5BD" w14:textId="77777777" w:rsidR="00AA6579" w:rsidRDefault="005B2C53">
          <w:pPr>
            <w:pStyle w:val="TOC3"/>
            <w:rPr>
              <w:rFonts w:asciiTheme="minorHAnsi" w:eastAsiaTheme="minorEastAsia" w:hAnsiTheme="minorHAnsi" w:cstheme="minorBidi"/>
              <w:noProof/>
              <w:lang w:eastAsia="en-AU"/>
            </w:rPr>
          </w:pPr>
          <w:hyperlink w:anchor="_Toc1653595" w:history="1">
            <w:r w:rsidR="00AA6579" w:rsidRPr="002F690C">
              <w:rPr>
                <w:rStyle w:val="Hyperlink"/>
                <w:noProof/>
              </w:rPr>
              <w:t>First Round Recommendation Regarding Authorisation</w:t>
            </w:r>
            <w:r w:rsidR="00AA6579">
              <w:rPr>
                <w:noProof/>
                <w:webHidden/>
              </w:rPr>
              <w:tab/>
            </w:r>
            <w:r w:rsidR="00AA6579">
              <w:rPr>
                <w:noProof/>
                <w:webHidden/>
              </w:rPr>
              <w:fldChar w:fldCharType="begin"/>
            </w:r>
            <w:r w:rsidR="00AA6579">
              <w:rPr>
                <w:noProof/>
                <w:webHidden/>
              </w:rPr>
              <w:instrText xml:space="preserve"> PAGEREF _Toc1653595 \h </w:instrText>
            </w:r>
            <w:r w:rsidR="00AA6579">
              <w:rPr>
                <w:noProof/>
                <w:webHidden/>
              </w:rPr>
            </w:r>
            <w:r w:rsidR="00AA6579">
              <w:rPr>
                <w:noProof/>
                <w:webHidden/>
              </w:rPr>
              <w:fldChar w:fldCharType="separate"/>
            </w:r>
            <w:r w:rsidR="00AA6579">
              <w:rPr>
                <w:noProof/>
                <w:webHidden/>
              </w:rPr>
              <w:t>37</w:t>
            </w:r>
            <w:r w:rsidR="00AA6579">
              <w:rPr>
                <w:noProof/>
                <w:webHidden/>
              </w:rPr>
              <w:fldChar w:fldCharType="end"/>
            </w:r>
          </w:hyperlink>
        </w:p>
        <w:p w14:paraId="7F885986" w14:textId="77777777" w:rsidR="00AA6579" w:rsidRDefault="005B2C53">
          <w:pPr>
            <w:pStyle w:val="TOC3"/>
            <w:rPr>
              <w:rFonts w:asciiTheme="minorHAnsi" w:eastAsiaTheme="minorEastAsia" w:hAnsiTheme="minorHAnsi" w:cstheme="minorBidi"/>
              <w:noProof/>
              <w:lang w:eastAsia="en-AU"/>
            </w:rPr>
          </w:pPr>
          <w:hyperlink w:anchor="_Toc1653596" w:history="1">
            <w:r w:rsidR="00AA6579" w:rsidRPr="002F690C">
              <w:rPr>
                <w:rStyle w:val="Hyperlink"/>
                <w:noProof/>
              </w:rPr>
              <w:t>Clinical Questions and Second Round Evaluation</w:t>
            </w:r>
            <w:r w:rsidR="00AA6579">
              <w:rPr>
                <w:noProof/>
                <w:webHidden/>
              </w:rPr>
              <w:tab/>
            </w:r>
            <w:r w:rsidR="00AA6579">
              <w:rPr>
                <w:noProof/>
                <w:webHidden/>
              </w:rPr>
              <w:fldChar w:fldCharType="begin"/>
            </w:r>
            <w:r w:rsidR="00AA6579">
              <w:rPr>
                <w:noProof/>
                <w:webHidden/>
              </w:rPr>
              <w:instrText xml:space="preserve"> PAGEREF _Toc1653596 \h </w:instrText>
            </w:r>
            <w:r w:rsidR="00AA6579">
              <w:rPr>
                <w:noProof/>
                <w:webHidden/>
              </w:rPr>
            </w:r>
            <w:r w:rsidR="00AA6579">
              <w:rPr>
                <w:noProof/>
                <w:webHidden/>
              </w:rPr>
              <w:fldChar w:fldCharType="separate"/>
            </w:r>
            <w:r w:rsidR="00AA6579">
              <w:rPr>
                <w:noProof/>
                <w:webHidden/>
              </w:rPr>
              <w:t>37</w:t>
            </w:r>
            <w:r w:rsidR="00AA6579">
              <w:rPr>
                <w:noProof/>
                <w:webHidden/>
              </w:rPr>
              <w:fldChar w:fldCharType="end"/>
            </w:r>
          </w:hyperlink>
        </w:p>
        <w:p w14:paraId="2CDF7007" w14:textId="77777777" w:rsidR="00AA6579" w:rsidRDefault="005B2C53">
          <w:pPr>
            <w:pStyle w:val="TOC3"/>
            <w:rPr>
              <w:rFonts w:asciiTheme="minorHAnsi" w:eastAsiaTheme="minorEastAsia" w:hAnsiTheme="minorHAnsi" w:cstheme="minorBidi"/>
              <w:noProof/>
              <w:lang w:eastAsia="en-AU"/>
            </w:rPr>
          </w:pPr>
          <w:hyperlink w:anchor="_Toc1653597" w:history="1">
            <w:r w:rsidR="00AA6579" w:rsidRPr="002F690C">
              <w:rPr>
                <w:rStyle w:val="Hyperlink"/>
                <w:noProof/>
              </w:rPr>
              <w:t>Second Round Benefit-Risk Assessment</w:t>
            </w:r>
            <w:r w:rsidR="00AA6579">
              <w:rPr>
                <w:noProof/>
                <w:webHidden/>
              </w:rPr>
              <w:tab/>
            </w:r>
            <w:r w:rsidR="00AA6579">
              <w:rPr>
                <w:noProof/>
                <w:webHidden/>
              </w:rPr>
              <w:fldChar w:fldCharType="begin"/>
            </w:r>
            <w:r w:rsidR="00AA6579">
              <w:rPr>
                <w:noProof/>
                <w:webHidden/>
              </w:rPr>
              <w:instrText xml:space="preserve"> PAGEREF _Toc1653597 \h </w:instrText>
            </w:r>
            <w:r w:rsidR="00AA6579">
              <w:rPr>
                <w:noProof/>
                <w:webHidden/>
              </w:rPr>
            </w:r>
            <w:r w:rsidR="00AA6579">
              <w:rPr>
                <w:noProof/>
                <w:webHidden/>
              </w:rPr>
              <w:fldChar w:fldCharType="separate"/>
            </w:r>
            <w:r w:rsidR="00AA6579">
              <w:rPr>
                <w:noProof/>
                <w:webHidden/>
              </w:rPr>
              <w:t>42</w:t>
            </w:r>
            <w:r w:rsidR="00AA6579">
              <w:rPr>
                <w:noProof/>
                <w:webHidden/>
              </w:rPr>
              <w:fldChar w:fldCharType="end"/>
            </w:r>
          </w:hyperlink>
        </w:p>
        <w:p w14:paraId="12D98A3F" w14:textId="77777777" w:rsidR="00AA6579" w:rsidRDefault="005B2C53">
          <w:pPr>
            <w:pStyle w:val="TOC2"/>
            <w:rPr>
              <w:rFonts w:asciiTheme="minorHAnsi" w:eastAsiaTheme="minorEastAsia" w:hAnsiTheme="minorHAnsi" w:cstheme="minorBidi"/>
              <w:b w:val="0"/>
              <w:noProof/>
              <w:sz w:val="22"/>
              <w:lang w:eastAsia="en-AU"/>
            </w:rPr>
          </w:pPr>
          <w:hyperlink w:anchor="_Toc1653598" w:history="1">
            <w:r w:rsidR="00AA6579" w:rsidRPr="002F690C">
              <w:rPr>
                <w:rStyle w:val="Hyperlink"/>
                <w:noProof/>
              </w:rPr>
              <w:t>VI. Pharmacovigilance findings</w:t>
            </w:r>
            <w:r w:rsidR="00AA6579">
              <w:rPr>
                <w:noProof/>
                <w:webHidden/>
              </w:rPr>
              <w:tab/>
            </w:r>
            <w:r w:rsidR="00AA6579">
              <w:rPr>
                <w:noProof/>
                <w:webHidden/>
              </w:rPr>
              <w:fldChar w:fldCharType="begin"/>
            </w:r>
            <w:r w:rsidR="00AA6579">
              <w:rPr>
                <w:noProof/>
                <w:webHidden/>
              </w:rPr>
              <w:instrText xml:space="preserve"> PAGEREF _Toc1653598 \h </w:instrText>
            </w:r>
            <w:r w:rsidR="00AA6579">
              <w:rPr>
                <w:noProof/>
                <w:webHidden/>
              </w:rPr>
            </w:r>
            <w:r w:rsidR="00AA6579">
              <w:rPr>
                <w:noProof/>
                <w:webHidden/>
              </w:rPr>
              <w:fldChar w:fldCharType="separate"/>
            </w:r>
            <w:r w:rsidR="00AA6579">
              <w:rPr>
                <w:noProof/>
                <w:webHidden/>
              </w:rPr>
              <w:t>44</w:t>
            </w:r>
            <w:r w:rsidR="00AA6579">
              <w:rPr>
                <w:noProof/>
                <w:webHidden/>
              </w:rPr>
              <w:fldChar w:fldCharType="end"/>
            </w:r>
          </w:hyperlink>
        </w:p>
        <w:p w14:paraId="3E995439" w14:textId="77777777" w:rsidR="00AA6579" w:rsidRDefault="005B2C53">
          <w:pPr>
            <w:pStyle w:val="TOC3"/>
            <w:rPr>
              <w:rFonts w:asciiTheme="minorHAnsi" w:eastAsiaTheme="minorEastAsia" w:hAnsiTheme="minorHAnsi" w:cstheme="minorBidi"/>
              <w:noProof/>
              <w:lang w:eastAsia="en-AU"/>
            </w:rPr>
          </w:pPr>
          <w:hyperlink w:anchor="_Toc1653599" w:history="1">
            <w:r w:rsidR="00AA6579" w:rsidRPr="002F690C">
              <w:rPr>
                <w:rStyle w:val="Hyperlink"/>
                <w:noProof/>
                <w:lang w:eastAsia="en-AU"/>
              </w:rPr>
              <w:t>Risk management plan</w:t>
            </w:r>
            <w:r w:rsidR="00AA6579">
              <w:rPr>
                <w:noProof/>
                <w:webHidden/>
              </w:rPr>
              <w:tab/>
            </w:r>
            <w:r w:rsidR="00AA6579">
              <w:rPr>
                <w:noProof/>
                <w:webHidden/>
              </w:rPr>
              <w:fldChar w:fldCharType="begin"/>
            </w:r>
            <w:r w:rsidR="00AA6579">
              <w:rPr>
                <w:noProof/>
                <w:webHidden/>
              </w:rPr>
              <w:instrText xml:space="preserve"> PAGEREF _Toc1653599 \h </w:instrText>
            </w:r>
            <w:r w:rsidR="00AA6579">
              <w:rPr>
                <w:noProof/>
                <w:webHidden/>
              </w:rPr>
            </w:r>
            <w:r w:rsidR="00AA6579">
              <w:rPr>
                <w:noProof/>
                <w:webHidden/>
              </w:rPr>
              <w:fldChar w:fldCharType="separate"/>
            </w:r>
            <w:r w:rsidR="00AA6579">
              <w:rPr>
                <w:noProof/>
                <w:webHidden/>
              </w:rPr>
              <w:t>44</w:t>
            </w:r>
            <w:r w:rsidR="00AA6579">
              <w:rPr>
                <w:noProof/>
                <w:webHidden/>
              </w:rPr>
              <w:fldChar w:fldCharType="end"/>
            </w:r>
          </w:hyperlink>
        </w:p>
        <w:p w14:paraId="1B40F789" w14:textId="77777777" w:rsidR="00AA6579" w:rsidRDefault="005B2C53">
          <w:pPr>
            <w:pStyle w:val="TOC2"/>
            <w:rPr>
              <w:rFonts w:asciiTheme="minorHAnsi" w:eastAsiaTheme="minorEastAsia" w:hAnsiTheme="minorHAnsi" w:cstheme="minorBidi"/>
              <w:b w:val="0"/>
              <w:noProof/>
              <w:sz w:val="22"/>
              <w:lang w:eastAsia="en-AU"/>
            </w:rPr>
          </w:pPr>
          <w:hyperlink w:anchor="_Toc1653600" w:history="1">
            <w:r w:rsidR="00AA6579" w:rsidRPr="002F690C">
              <w:rPr>
                <w:rStyle w:val="Hyperlink"/>
                <w:noProof/>
              </w:rPr>
              <w:t>VII. Overall conclusion and risk/benefit assessment</w:t>
            </w:r>
            <w:r w:rsidR="00AA6579">
              <w:rPr>
                <w:noProof/>
                <w:webHidden/>
              </w:rPr>
              <w:tab/>
            </w:r>
            <w:r w:rsidR="00AA6579">
              <w:rPr>
                <w:noProof/>
                <w:webHidden/>
              </w:rPr>
              <w:fldChar w:fldCharType="begin"/>
            </w:r>
            <w:r w:rsidR="00AA6579">
              <w:rPr>
                <w:noProof/>
                <w:webHidden/>
              </w:rPr>
              <w:instrText xml:space="preserve"> PAGEREF _Toc1653600 \h </w:instrText>
            </w:r>
            <w:r w:rsidR="00AA6579">
              <w:rPr>
                <w:noProof/>
                <w:webHidden/>
              </w:rPr>
            </w:r>
            <w:r w:rsidR="00AA6579">
              <w:rPr>
                <w:noProof/>
                <w:webHidden/>
              </w:rPr>
              <w:fldChar w:fldCharType="separate"/>
            </w:r>
            <w:r w:rsidR="00AA6579">
              <w:rPr>
                <w:noProof/>
                <w:webHidden/>
              </w:rPr>
              <w:t>46</w:t>
            </w:r>
            <w:r w:rsidR="00AA6579">
              <w:rPr>
                <w:noProof/>
                <w:webHidden/>
              </w:rPr>
              <w:fldChar w:fldCharType="end"/>
            </w:r>
          </w:hyperlink>
        </w:p>
        <w:p w14:paraId="2664FAAB" w14:textId="77777777" w:rsidR="00AA6579" w:rsidRDefault="005B2C53">
          <w:pPr>
            <w:pStyle w:val="TOC3"/>
            <w:rPr>
              <w:rFonts w:asciiTheme="minorHAnsi" w:eastAsiaTheme="minorEastAsia" w:hAnsiTheme="minorHAnsi" w:cstheme="minorBidi"/>
              <w:noProof/>
              <w:lang w:eastAsia="en-AU"/>
            </w:rPr>
          </w:pPr>
          <w:hyperlink w:anchor="_Toc1653601" w:history="1">
            <w:r w:rsidR="00AA6579" w:rsidRPr="002F690C">
              <w:rPr>
                <w:rStyle w:val="Hyperlink"/>
                <w:noProof/>
              </w:rPr>
              <w:t>Background</w:t>
            </w:r>
            <w:r w:rsidR="00AA6579">
              <w:rPr>
                <w:noProof/>
                <w:webHidden/>
              </w:rPr>
              <w:tab/>
            </w:r>
            <w:r w:rsidR="00AA6579">
              <w:rPr>
                <w:noProof/>
                <w:webHidden/>
              </w:rPr>
              <w:fldChar w:fldCharType="begin"/>
            </w:r>
            <w:r w:rsidR="00AA6579">
              <w:rPr>
                <w:noProof/>
                <w:webHidden/>
              </w:rPr>
              <w:instrText xml:space="preserve"> PAGEREF _Toc1653601 \h </w:instrText>
            </w:r>
            <w:r w:rsidR="00AA6579">
              <w:rPr>
                <w:noProof/>
                <w:webHidden/>
              </w:rPr>
            </w:r>
            <w:r w:rsidR="00AA6579">
              <w:rPr>
                <w:noProof/>
                <w:webHidden/>
              </w:rPr>
              <w:fldChar w:fldCharType="separate"/>
            </w:r>
            <w:r w:rsidR="00AA6579">
              <w:rPr>
                <w:noProof/>
                <w:webHidden/>
              </w:rPr>
              <w:t>46</w:t>
            </w:r>
            <w:r w:rsidR="00AA6579">
              <w:rPr>
                <w:noProof/>
                <w:webHidden/>
              </w:rPr>
              <w:fldChar w:fldCharType="end"/>
            </w:r>
          </w:hyperlink>
        </w:p>
        <w:p w14:paraId="0AF138EF" w14:textId="77777777" w:rsidR="00AA6579" w:rsidRDefault="005B2C53">
          <w:pPr>
            <w:pStyle w:val="TOC3"/>
            <w:rPr>
              <w:rFonts w:asciiTheme="minorHAnsi" w:eastAsiaTheme="minorEastAsia" w:hAnsiTheme="minorHAnsi" w:cstheme="minorBidi"/>
              <w:noProof/>
              <w:lang w:eastAsia="en-AU"/>
            </w:rPr>
          </w:pPr>
          <w:hyperlink w:anchor="_Toc1653602" w:history="1">
            <w:r w:rsidR="00AA6579" w:rsidRPr="002F690C">
              <w:rPr>
                <w:rStyle w:val="Hyperlink"/>
                <w:noProof/>
              </w:rPr>
              <w:t>Quality</w:t>
            </w:r>
            <w:r w:rsidR="00AA6579">
              <w:rPr>
                <w:noProof/>
                <w:webHidden/>
              </w:rPr>
              <w:tab/>
            </w:r>
            <w:r w:rsidR="00AA6579">
              <w:rPr>
                <w:noProof/>
                <w:webHidden/>
              </w:rPr>
              <w:fldChar w:fldCharType="begin"/>
            </w:r>
            <w:r w:rsidR="00AA6579">
              <w:rPr>
                <w:noProof/>
                <w:webHidden/>
              </w:rPr>
              <w:instrText xml:space="preserve"> PAGEREF _Toc1653602 \h </w:instrText>
            </w:r>
            <w:r w:rsidR="00AA6579">
              <w:rPr>
                <w:noProof/>
                <w:webHidden/>
              </w:rPr>
            </w:r>
            <w:r w:rsidR="00AA6579">
              <w:rPr>
                <w:noProof/>
                <w:webHidden/>
              </w:rPr>
              <w:fldChar w:fldCharType="separate"/>
            </w:r>
            <w:r w:rsidR="00AA6579">
              <w:rPr>
                <w:noProof/>
                <w:webHidden/>
              </w:rPr>
              <w:t>48</w:t>
            </w:r>
            <w:r w:rsidR="00AA6579">
              <w:rPr>
                <w:noProof/>
                <w:webHidden/>
              </w:rPr>
              <w:fldChar w:fldCharType="end"/>
            </w:r>
          </w:hyperlink>
        </w:p>
        <w:p w14:paraId="6321CEE3" w14:textId="77777777" w:rsidR="00AA6579" w:rsidRDefault="005B2C53">
          <w:pPr>
            <w:pStyle w:val="TOC3"/>
            <w:rPr>
              <w:rFonts w:asciiTheme="minorHAnsi" w:eastAsiaTheme="minorEastAsia" w:hAnsiTheme="minorHAnsi" w:cstheme="minorBidi"/>
              <w:noProof/>
              <w:lang w:eastAsia="en-AU"/>
            </w:rPr>
          </w:pPr>
          <w:hyperlink w:anchor="_Toc1653603" w:history="1">
            <w:r w:rsidR="00AA6579" w:rsidRPr="002F690C">
              <w:rPr>
                <w:rStyle w:val="Hyperlink"/>
                <w:noProof/>
              </w:rPr>
              <w:t>Nonclinical</w:t>
            </w:r>
            <w:r w:rsidR="00AA6579">
              <w:rPr>
                <w:noProof/>
                <w:webHidden/>
              </w:rPr>
              <w:tab/>
            </w:r>
            <w:r w:rsidR="00AA6579">
              <w:rPr>
                <w:noProof/>
                <w:webHidden/>
              </w:rPr>
              <w:fldChar w:fldCharType="begin"/>
            </w:r>
            <w:r w:rsidR="00AA6579">
              <w:rPr>
                <w:noProof/>
                <w:webHidden/>
              </w:rPr>
              <w:instrText xml:space="preserve"> PAGEREF _Toc1653603 \h </w:instrText>
            </w:r>
            <w:r w:rsidR="00AA6579">
              <w:rPr>
                <w:noProof/>
                <w:webHidden/>
              </w:rPr>
            </w:r>
            <w:r w:rsidR="00AA6579">
              <w:rPr>
                <w:noProof/>
                <w:webHidden/>
              </w:rPr>
              <w:fldChar w:fldCharType="separate"/>
            </w:r>
            <w:r w:rsidR="00AA6579">
              <w:rPr>
                <w:noProof/>
                <w:webHidden/>
              </w:rPr>
              <w:t>48</w:t>
            </w:r>
            <w:r w:rsidR="00AA6579">
              <w:rPr>
                <w:noProof/>
                <w:webHidden/>
              </w:rPr>
              <w:fldChar w:fldCharType="end"/>
            </w:r>
          </w:hyperlink>
        </w:p>
        <w:p w14:paraId="230ABECC" w14:textId="77777777" w:rsidR="00AA6579" w:rsidRDefault="005B2C53">
          <w:pPr>
            <w:pStyle w:val="TOC3"/>
            <w:rPr>
              <w:rFonts w:asciiTheme="minorHAnsi" w:eastAsiaTheme="minorEastAsia" w:hAnsiTheme="minorHAnsi" w:cstheme="minorBidi"/>
              <w:noProof/>
              <w:lang w:eastAsia="en-AU"/>
            </w:rPr>
          </w:pPr>
          <w:hyperlink w:anchor="_Toc1653604" w:history="1">
            <w:r w:rsidR="00AA6579" w:rsidRPr="002F690C">
              <w:rPr>
                <w:rStyle w:val="Hyperlink"/>
                <w:noProof/>
              </w:rPr>
              <w:t>Clinical</w:t>
            </w:r>
            <w:r w:rsidR="00AA6579">
              <w:rPr>
                <w:noProof/>
                <w:webHidden/>
              </w:rPr>
              <w:tab/>
            </w:r>
            <w:r w:rsidR="00AA6579">
              <w:rPr>
                <w:noProof/>
                <w:webHidden/>
              </w:rPr>
              <w:fldChar w:fldCharType="begin"/>
            </w:r>
            <w:r w:rsidR="00AA6579">
              <w:rPr>
                <w:noProof/>
                <w:webHidden/>
              </w:rPr>
              <w:instrText xml:space="preserve"> PAGEREF _Toc1653604 \h </w:instrText>
            </w:r>
            <w:r w:rsidR="00AA6579">
              <w:rPr>
                <w:noProof/>
                <w:webHidden/>
              </w:rPr>
            </w:r>
            <w:r w:rsidR="00AA6579">
              <w:rPr>
                <w:noProof/>
                <w:webHidden/>
              </w:rPr>
              <w:fldChar w:fldCharType="separate"/>
            </w:r>
            <w:r w:rsidR="00AA6579">
              <w:rPr>
                <w:noProof/>
                <w:webHidden/>
              </w:rPr>
              <w:t>49</w:t>
            </w:r>
            <w:r w:rsidR="00AA6579">
              <w:rPr>
                <w:noProof/>
                <w:webHidden/>
              </w:rPr>
              <w:fldChar w:fldCharType="end"/>
            </w:r>
          </w:hyperlink>
        </w:p>
        <w:p w14:paraId="6E4653E6" w14:textId="77777777" w:rsidR="00AA6579" w:rsidRDefault="005B2C53">
          <w:pPr>
            <w:pStyle w:val="TOC3"/>
            <w:rPr>
              <w:rFonts w:asciiTheme="minorHAnsi" w:eastAsiaTheme="minorEastAsia" w:hAnsiTheme="minorHAnsi" w:cstheme="minorBidi"/>
              <w:noProof/>
              <w:lang w:eastAsia="en-AU"/>
            </w:rPr>
          </w:pPr>
          <w:hyperlink w:anchor="_Toc1653605" w:history="1">
            <w:r w:rsidR="00AA6579" w:rsidRPr="002F690C">
              <w:rPr>
                <w:rStyle w:val="Hyperlink"/>
                <w:noProof/>
              </w:rPr>
              <w:t>Risk-benefit analysis</w:t>
            </w:r>
            <w:r w:rsidR="00AA6579">
              <w:rPr>
                <w:noProof/>
                <w:webHidden/>
              </w:rPr>
              <w:tab/>
            </w:r>
            <w:r w:rsidR="00AA6579">
              <w:rPr>
                <w:noProof/>
                <w:webHidden/>
              </w:rPr>
              <w:fldChar w:fldCharType="begin"/>
            </w:r>
            <w:r w:rsidR="00AA6579">
              <w:rPr>
                <w:noProof/>
                <w:webHidden/>
              </w:rPr>
              <w:instrText xml:space="preserve"> PAGEREF _Toc1653605 \h </w:instrText>
            </w:r>
            <w:r w:rsidR="00AA6579">
              <w:rPr>
                <w:noProof/>
                <w:webHidden/>
              </w:rPr>
            </w:r>
            <w:r w:rsidR="00AA6579">
              <w:rPr>
                <w:noProof/>
                <w:webHidden/>
              </w:rPr>
              <w:fldChar w:fldCharType="separate"/>
            </w:r>
            <w:r w:rsidR="00AA6579">
              <w:rPr>
                <w:noProof/>
                <w:webHidden/>
              </w:rPr>
              <w:t>63</w:t>
            </w:r>
            <w:r w:rsidR="00AA6579">
              <w:rPr>
                <w:noProof/>
                <w:webHidden/>
              </w:rPr>
              <w:fldChar w:fldCharType="end"/>
            </w:r>
          </w:hyperlink>
        </w:p>
        <w:p w14:paraId="1B0D9CD0" w14:textId="77777777" w:rsidR="00AA6579" w:rsidRDefault="005B2C53">
          <w:pPr>
            <w:pStyle w:val="TOC3"/>
            <w:rPr>
              <w:rFonts w:asciiTheme="minorHAnsi" w:eastAsiaTheme="minorEastAsia" w:hAnsiTheme="minorHAnsi" w:cstheme="minorBidi"/>
              <w:noProof/>
              <w:lang w:eastAsia="en-AU"/>
            </w:rPr>
          </w:pPr>
          <w:hyperlink w:anchor="_Toc1653606" w:history="1">
            <w:r w:rsidR="00AA6579" w:rsidRPr="002F690C">
              <w:rPr>
                <w:rStyle w:val="Hyperlink"/>
                <w:noProof/>
              </w:rPr>
              <w:t>Post ACM negotiations</w:t>
            </w:r>
            <w:r w:rsidR="00AA6579">
              <w:rPr>
                <w:noProof/>
                <w:webHidden/>
              </w:rPr>
              <w:tab/>
            </w:r>
            <w:r w:rsidR="00AA6579">
              <w:rPr>
                <w:noProof/>
                <w:webHidden/>
              </w:rPr>
              <w:fldChar w:fldCharType="begin"/>
            </w:r>
            <w:r w:rsidR="00AA6579">
              <w:rPr>
                <w:noProof/>
                <w:webHidden/>
              </w:rPr>
              <w:instrText xml:space="preserve"> PAGEREF _Toc1653606 \h </w:instrText>
            </w:r>
            <w:r w:rsidR="00AA6579">
              <w:rPr>
                <w:noProof/>
                <w:webHidden/>
              </w:rPr>
            </w:r>
            <w:r w:rsidR="00AA6579">
              <w:rPr>
                <w:noProof/>
                <w:webHidden/>
              </w:rPr>
              <w:fldChar w:fldCharType="separate"/>
            </w:r>
            <w:r w:rsidR="00AA6579">
              <w:rPr>
                <w:noProof/>
                <w:webHidden/>
              </w:rPr>
              <w:t>84</w:t>
            </w:r>
            <w:r w:rsidR="00AA6579">
              <w:rPr>
                <w:noProof/>
                <w:webHidden/>
              </w:rPr>
              <w:fldChar w:fldCharType="end"/>
            </w:r>
          </w:hyperlink>
        </w:p>
        <w:p w14:paraId="74458D95" w14:textId="77777777" w:rsidR="00AA6579" w:rsidRDefault="005B2C53">
          <w:pPr>
            <w:pStyle w:val="TOC3"/>
            <w:rPr>
              <w:rFonts w:asciiTheme="minorHAnsi" w:eastAsiaTheme="minorEastAsia" w:hAnsiTheme="minorHAnsi" w:cstheme="minorBidi"/>
              <w:noProof/>
              <w:lang w:eastAsia="en-AU"/>
            </w:rPr>
          </w:pPr>
          <w:hyperlink w:anchor="_Toc1653607" w:history="1">
            <w:r w:rsidR="00AA6579" w:rsidRPr="002F690C">
              <w:rPr>
                <w:rStyle w:val="Hyperlink"/>
                <w:noProof/>
              </w:rPr>
              <w:t>Outcome</w:t>
            </w:r>
            <w:r w:rsidR="00AA6579">
              <w:rPr>
                <w:noProof/>
                <w:webHidden/>
              </w:rPr>
              <w:tab/>
            </w:r>
            <w:r w:rsidR="00AA6579">
              <w:rPr>
                <w:noProof/>
                <w:webHidden/>
              </w:rPr>
              <w:fldChar w:fldCharType="begin"/>
            </w:r>
            <w:r w:rsidR="00AA6579">
              <w:rPr>
                <w:noProof/>
                <w:webHidden/>
              </w:rPr>
              <w:instrText xml:space="preserve"> PAGEREF _Toc1653607 \h </w:instrText>
            </w:r>
            <w:r w:rsidR="00AA6579">
              <w:rPr>
                <w:noProof/>
                <w:webHidden/>
              </w:rPr>
            </w:r>
            <w:r w:rsidR="00AA6579">
              <w:rPr>
                <w:noProof/>
                <w:webHidden/>
              </w:rPr>
              <w:fldChar w:fldCharType="separate"/>
            </w:r>
            <w:r w:rsidR="00AA6579">
              <w:rPr>
                <w:noProof/>
                <w:webHidden/>
              </w:rPr>
              <w:t>90</w:t>
            </w:r>
            <w:r w:rsidR="00AA6579">
              <w:rPr>
                <w:noProof/>
                <w:webHidden/>
              </w:rPr>
              <w:fldChar w:fldCharType="end"/>
            </w:r>
          </w:hyperlink>
        </w:p>
        <w:p w14:paraId="2B558BE9" w14:textId="77777777" w:rsidR="00AA6579" w:rsidRDefault="005B2C53">
          <w:pPr>
            <w:pStyle w:val="TOC2"/>
            <w:rPr>
              <w:rFonts w:asciiTheme="minorHAnsi" w:eastAsiaTheme="minorEastAsia" w:hAnsiTheme="minorHAnsi" w:cstheme="minorBidi"/>
              <w:b w:val="0"/>
              <w:noProof/>
              <w:sz w:val="22"/>
              <w:lang w:eastAsia="en-AU"/>
            </w:rPr>
          </w:pPr>
          <w:hyperlink w:anchor="_Toc1653608" w:history="1">
            <w:r w:rsidR="00AA6579" w:rsidRPr="002F690C">
              <w:rPr>
                <w:rStyle w:val="Hyperlink"/>
                <w:noProof/>
              </w:rPr>
              <w:t>Attachment 1. Product Information</w:t>
            </w:r>
            <w:r w:rsidR="00AA6579">
              <w:rPr>
                <w:noProof/>
                <w:webHidden/>
              </w:rPr>
              <w:tab/>
            </w:r>
            <w:r w:rsidR="00AA6579">
              <w:rPr>
                <w:noProof/>
                <w:webHidden/>
              </w:rPr>
              <w:fldChar w:fldCharType="begin"/>
            </w:r>
            <w:r w:rsidR="00AA6579">
              <w:rPr>
                <w:noProof/>
                <w:webHidden/>
              </w:rPr>
              <w:instrText xml:space="preserve"> PAGEREF _Toc1653608 \h </w:instrText>
            </w:r>
            <w:r w:rsidR="00AA6579">
              <w:rPr>
                <w:noProof/>
                <w:webHidden/>
              </w:rPr>
            </w:r>
            <w:r w:rsidR="00AA6579">
              <w:rPr>
                <w:noProof/>
                <w:webHidden/>
              </w:rPr>
              <w:fldChar w:fldCharType="separate"/>
            </w:r>
            <w:r w:rsidR="00AA6579">
              <w:rPr>
                <w:noProof/>
                <w:webHidden/>
              </w:rPr>
              <w:t>91</w:t>
            </w:r>
            <w:r w:rsidR="00AA6579">
              <w:rPr>
                <w:noProof/>
                <w:webHidden/>
              </w:rPr>
              <w:fldChar w:fldCharType="end"/>
            </w:r>
          </w:hyperlink>
        </w:p>
        <w:p w14:paraId="1A199D35" w14:textId="77777777" w:rsidR="003A7F6C" w:rsidRPr="00B811C6" w:rsidRDefault="00DB6124" w:rsidP="00B811C6">
          <w:pPr>
            <w:pStyle w:val="TOC2"/>
          </w:pPr>
          <w:r>
            <w:fldChar w:fldCharType="end"/>
          </w:r>
        </w:p>
      </w:sdtContent>
    </w:sdt>
    <w:bookmarkStart w:id="3" w:name="_Toc314842482" w:displacedByCustomXml="prev"/>
    <w:p w14:paraId="63B0BEF6" w14:textId="77777777" w:rsidR="00FD119B" w:rsidRDefault="00FD119B">
      <w:pPr>
        <w:spacing w:before="0" w:after="200" w:line="0" w:lineRule="auto"/>
      </w:pPr>
      <w:r>
        <w:br w:type="page"/>
      </w:r>
    </w:p>
    <w:p w14:paraId="0E9AD2DD"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165357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2AD9E03D"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498268C"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3C0BC6E4" w14:textId="77777777" w:rsidR="00FD119B" w:rsidRPr="00FD119B" w:rsidRDefault="00FD119B" w:rsidP="00FD119B">
            <w:pPr>
              <w:keepNext w:val="0"/>
              <w:ind w:left="0" w:right="0"/>
              <w:rPr>
                <w:szCs w:val="22"/>
                <w:lang w:eastAsia="en-US"/>
              </w:rPr>
            </w:pPr>
            <w:r w:rsidRPr="00FD119B">
              <w:rPr>
                <w:szCs w:val="22"/>
                <w:lang w:eastAsia="en-US"/>
              </w:rPr>
              <w:t>Meaning</w:t>
            </w:r>
          </w:p>
        </w:tc>
      </w:tr>
      <w:tr w:rsidR="00B73A3A" w:rsidRPr="00FD119B" w14:paraId="4DA07F0F" w14:textId="77777777" w:rsidTr="00FD119B">
        <w:tc>
          <w:tcPr>
            <w:tcW w:w="1809" w:type="dxa"/>
          </w:tcPr>
          <w:p w14:paraId="037C3B9C" w14:textId="77777777" w:rsidR="00B73A3A" w:rsidRDefault="00B73A3A" w:rsidP="00B73A3A">
            <w:r>
              <w:t>ACQ-6</w:t>
            </w:r>
          </w:p>
        </w:tc>
        <w:tc>
          <w:tcPr>
            <w:tcW w:w="6911" w:type="dxa"/>
          </w:tcPr>
          <w:p w14:paraId="50079308" w14:textId="77777777" w:rsidR="00B73A3A" w:rsidRDefault="00B73A3A" w:rsidP="00B73A3A">
            <w:r>
              <w:t>Asthma Control Questionnaire-6</w:t>
            </w:r>
          </w:p>
        </w:tc>
      </w:tr>
      <w:tr w:rsidR="00B73A3A" w:rsidRPr="00FD119B" w14:paraId="012D04F4" w14:textId="77777777" w:rsidTr="00FD119B">
        <w:tc>
          <w:tcPr>
            <w:tcW w:w="1809" w:type="dxa"/>
          </w:tcPr>
          <w:p w14:paraId="21374488" w14:textId="77777777" w:rsidR="00B73A3A" w:rsidRDefault="00B73A3A" w:rsidP="00B73A3A">
            <w:r>
              <w:t>ADA</w:t>
            </w:r>
          </w:p>
        </w:tc>
        <w:tc>
          <w:tcPr>
            <w:tcW w:w="6911" w:type="dxa"/>
          </w:tcPr>
          <w:p w14:paraId="604CE654" w14:textId="77777777" w:rsidR="00B73A3A" w:rsidRDefault="00B73A3A" w:rsidP="00B73A3A">
            <w:r>
              <w:t>Anti-drug antibodies</w:t>
            </w:r>
          </w:p>
        </w:tc>
      </w:tr>
      <w:tr w:rsidR="00B73A3A" w:rsidRPr="00FD119B" w14:paraId="0E01E8B0" w14:textId="77777777" w:rsidTr="00FD119B">
        <w:tc>
          <w:tcPr>
            <w:tcW w:w="1809" w:type="dxa"/>
          </w:tcPr>
          <w:p w14:paraId="3723AF5A" w14:textId="77777777" w:rsidR="00B73A3A" w:rsidRDefault="00B73A3A" w:rsidP="00B73A3A">
            <w:r>
              <w:t>ADCC</w:t>
            </w:r>
          </w:p>
        </w:tc>
        <w:tc>
          <w:tcPr>
            <w:tcW w:w="6911" w:type="dxa"/>
          </w:tcPr>
          <w:p w14:paraId="6F0AD7B3" w14:textId="77777777" w:rsidR="00B73A3A" w:rsidRDefault="00E14798" w:rsidP="00B73A3A">
            <w:r>
              <w:t xml:space="preserve">Antibody dependent </w:t>
            </w:r>
            <w:r w:rsidR="00B73A3A">
              <w:t>cell mediated cytotoxicity</w:t>
            </w:r>
          </w:p>
        </w:tc>
      </w:tr>
      <w:tr w:rsidR="00B73A3A" w:rsidRPr="00FD119B" w14:paraId="372D35A4" w14:textId="77777777" w:rsidTr="00FD119B">
        <w:tc>
          <w:tcPr>
            <w:tcW w:w="1809" w:type="dxa"/>
          </w:tcPr>
          <w:p w14:paraId="7A4868BF" w14:textId="77777777" w:rsidR="00B73A3A" w:rsidRDefault="00B73A3A" w:rsidP="00B73A3A">
            <w:r>
              <w:t>AE</w:t>
            </w:r>
          </w:p>
        </w:tc>
        <w:tc>
          <w:tcPr>
            <w:tcW w:w="6911" w:type="dxa"/>
          </w:tcPr>
          <w:p w14:paraId="46E76C29" w14:textId="77777777" w:rsidR="00B73A3A" w:rsidRDefault="00B73A3A" w:rsidP="00B73A3A">
            <w:r>
              <w:t>Adverse event</w:t>
            </w:r>
          </w:p>
        </w:tc>
      </w:tr>
      <w:tr w:rsidR="00B73A3A" w:rsidRPr="00FD119B" w14:paraId="18A0F37D" w14:textId="77777777" w:rsidTr="00FD119B">
        <w:tc>
          <w:tcPr>
            <w:tcW w:w="1809" w:type="dxa"/>
          </w:tcPr>
          <w:p w14:paraId="5C6F98C3" w14:textId="77777777" w:rsidR="00B73A3A" w:rsidRDefault="00B73A3A" w:rsidP="00B73A3A">
            <w:r>
              <w:t>ALT</w:t>
            </w:r>
          </w:p>
        </w:tc>
        <w:tc>
          <w:tcPr>
            <w:tcW w:w="6911" w:type="dxa"/>
          </w:tcPr>
          <w:p w14:paraId="404455EB" w14:textId="77777777" w:rsidR="00B73A3A" w:rsidRDefault="00B73A3A" w:rsidP="00B73A3A">
            <w:r>
              <w:t>Alanine aminotransferase</w:t>
            </w:r>
          </w:p>
        </w:tc>
      </w:tr>
      <w:tr w:rsidR="00B73A3A" w:rsidRPr="00FD119B" w14:paraId="711F7A40" w14:textId="77777777" w:rsidTr="00FD119B">
        <w:tc>
          <w:tcPr>
            <w:tcW w:w="1809" w:type="dxa"/>
          </w:tcPr>
          <w:p w14:paraId="71A9B116" w14:textId="77777777" w:rsidR="00B73A3A" w:rsidRDefault="00B73A3A" w:rsidP="00B73A3A">
            <w:r>
              <w:t>ANC</w:t>
            </w:r>
          </w:p>
        </w:tc>
        <w:tc>
          <w:tcPr>
            <w:tcW w:w="6911" w:type="dxa"/>
          </w:tcPr>
          <w:p w14:paraId="15FB9F6B" w14:textId="77777777" w:rsidR="00B73A3A" w:rsidRDefault="00B73A3A" w:rsidP="00B73A3A">
            <w:r>
              <w:t>Absolute neutrophil count</w:t>
            </w:r>
          </w:p>
        </w:tc>
      </w:tr>
      <w:tr w:rsidR="008A4A1D" w:rsidRPr="00FD119B" w14:paraId="6963B24A" w14:textId="77777777" w:rsidTr="00FD119B">
        <w:tc>
          <w:tcPr>
            <w:tcW w:w="1809" w:type="dxa"/>
          </w:tcPr>
          <w:p w14:paraId="5FA1D3CC" w14:textId="77777777" w:rsidR="008A4A1D" w:rsidRDefault="008A4A1D">
            <w:r w:rsidRPr="00792AAA">
              <w:t>APFS</w:t>
            </w:r>
          </w:p>
        </w:tc>
        <w:tc>
          <w:tcPr>
            <w:tcW w:w="6911" w:type="dxa"/>
          </w:tcPr>
          <w:p w14:paraId="5E471E56" w14:textId="3EF771B2" w:rsidR="008A4A1D" w:rsidRDefault="00984AE1">
            <w:r>
              <w:t>Acces</w:t>
            </w:r>
            <w:r w:rsidR="00FC4449">
              <w:t>s</w:t>
            </w:r>
            <w:r>
              <w:t>orised</w:t>
            </w:r>
            <w:r w:rsidR="008A4A1D">
              <w:t xml:space="preserve"> pre filled syringe</w:t>
            </w:r>
          </w:p>
        </w:tc>
      </w:tr>
      <w:tr w:rsidR="00196E43" w:rsidRPr="00FD119B" w14:paraId="405A6C2C" w14:textId="77777777" w:rsidTr="00FD119B">
        <w:tc>
          <w:tcPr>
            <w:tcW w:w="1809" w:type="dxa"/>
          </w:tcPr>
          <w:p w14:paraId="30BBB40D" w14:textId="77777777" w:rsidR="00196E43" w:rsidRDefault="00196E43" w:rsidP="00B73A3A">
            <w:r w:rsidRPr="002A4756">
              <w:t>AQLQ</w:t>
            </w:r>
          </w:p>
        </w:tc>
        <w:tc>
          <w:tcPr>
            <w:tcW w:w="6911" w:type="dxa"/>
          </w:tcPr>
          <w:p w14:paraId="2BF7112B" w14:textId="77777777" w:rsidR="00196E43" w:rsidRDefault="002A4756" w:rsidP="00B73A3A">
            <w:r w:rsidRPr="002A4756">
              <w:t>Asthma Quality of Life Questionnaire</w:t>
            </w:r>
          </w:p>
        </w:tc>
      </w:tr>
      <w:tr w:rsidR="008A4A1D" w:rsidRPr="00FD119B" w14:paraId="7A6C64A6" w14:textId="77777777" w:rsidTr="00FD119B">
        <w:tc>
          <w:tcPr>
            <w:tcW w:w="1809" w:type="dxa"/>
          </w:tcPr>
          <w:p w14:paraId="67F4ADBF" w14:textId="77777777" w:rsidR="008A4A1D" w:rsidRDefault="008A4A1D" w:rsidP="00B73A3A">
            <w:r w:rsidRPr="00F1018F">
              <w:t>ASA</w:t>
            </w:r>
          </w:p>
        </w:tc>
        <w:tc>
          <w:tcPr>
            <w:tcW w:w="6911" w:type="dxa"/>
          </w:tcPr>
          <w:p w14:paraId="30BA6974" w14:textId="77777777" w:rsidR="008A4A1D" w:rsidRDefault="008A4A1D" w:rsidP="00B73A3A">
            <w:r>
              <w:t>Australian Specific Annex</w:t>
            </w:r>
          </w:p>
        </w:tc>
      </w:tr>
      <w:tr w:rsidR="00B73A3A" w:rsidRPr="00FD119B" w14:paraId="3A8E724F" w14:textId="77777777" w:rsidTr="00FD119B">
        <w:tc>
          <w:tcPr>
            <w:tcW w:w="1809" w:type="dxa"/>
          </w:tcPr>
          <w:p w14:paraId="2B5E2885" w14:textId="77777777" w:rsidR="00B73A3A" w:rsidRDefault="00B73A3A" w:rsidP="00B73A3A">
            <w:r>
              <w:t>AST</w:t>
            </w:r>
          </w:p>
        </w:tc>
        <w:tc>
          <w:tcPr>
            <w:tcW w:w="6911" w:type="dxa"/>
          </w:tcPr>
          <w:p w14:paraId="564545AA" w14:textId="77777777" w:rsidR="00B73A3A" w:rsidRDefault="00B73A3A" w:rsidP="00B73A3A">
            <w:r>
              <w:t>Aspartate aminotransferase</w:t>
            </w:r>
          </w:p>
        </w:tc>
      </w:tr>
      <w:tr w:rsidR="00FB5559" w:rsidRPr="00FD119B" w14:paraId="2B350FB2" w14:textId="77777777" w:rsidTr="00FD119B">
        <w:tc>
          <w:tcPr>
            <w:tcW w:w="1809" w:type="dxa"/>
          </w:tcPr>
          <w:p w14:paraId="05C41B97" w14:textId="77777777" w:rsidR="00FB5559" w:rsidRDefault="00FB5559" w:rsidP="00B73A3A">
            <w:r>
              <w:t>ATS/ERS</w:t>
            </w:r>
          </w:p>
        </w:tc>
        <w:tc>
          <w:tcPr>
            <w:tcW w:w="6911" w:type="dxa"/>
          </w:tcPr>
          <w:p w14:paraId="4F632FFE" w14:textId="0B854284" w:rsidR="00FB5559" w:rsidRPr="00FB5559" w:rsidRDefault="00FB5559" w:rsidP="00101163">
            <w:r w:rsidRPr="00FB5559">
              <w:t>American Thoracic Society / European Respiratory Society</w:t>
            </w:r>
          </w:p>
        </w:tc>
      </w:tr>
      <w:tr w:rsidR="00B73A3A" w:rsidRPr="00FD119B" w14:paraId="40C98774" w14:textId="77777777" w:rsidTr="00FD119B">
        <w:tc>
          <w:tcPr>
            <w:tcW w:w="1809" w:type="dxa"/>
          </w:tcPr>
          <w:p w14:paraId="2DA7F323" w14:textId="77777777" w:rsidR="00B73A3A" w:rsidRDefault="00B73A3A" w:rsidP="00B73A3A">
            <w:r>
              <w:t>AUC</w:t>
            </w:r>
          </w:p>
        </w:tc>
        <w:tc>
          <w:tcPr>
            <w:tcW w:w="6911" w:type="dxa"/>
          </w:tcPr>
          <w:p w14:paraId="1F274688" w14:textId="77777777" w:rsidR="00B73A3A" w:rsidRDefault="00B73A3A" w:rsidP="00B73A3A">
            <w:r>
              <w:t>Area under the plasma concentration time curve</w:t>
            </w:r>
          </w:p>
        </w:tc>
      </w:tr>
      <w:tr w:rsidR="00B73A3A" w:rsidRPr="00FD119B" w14:paraId="49D27662" w14:textId="77777777" w:rsidTr="00FD119B">
        <w:tc>
          <w:tcPr>
            <w:tcW w:w="1809" w:type="dxa"/>
          </w:tcPr>
          <w:p w14:paraId="0E5E41E3" w14:textId="77777777" w:rsidR="00B73A3A" w:rsidRDefault="00B73A3A" w:rsidP="00B73A3A">
            <w:r>
              <w:t>BMI</w:t>
            </w:r>
          </w:p>
        </w:tc>
        <w:tc>
          <w:tcPr>
            <w:tcW w:w="6911" w:type="dxa"/>
          </w:tcPr>
          <w:p w14:paraId="511265A6" w14:textId="77777777" w:rsidR="00B73A3A" w:rsidRDefault="00B73A3A" w:rsidP="00B73A3A">
            <w:r>
              <w:t>Body Mass Index</w:t>
            </w:r>
          </w:p>
        </w:tc>
      </w:tr>
      <w:tr w:rsidR="00F971ED" w:rsidRPr="00FD119B" w14:paraId="253439BD" w14:textId="77777777" w:rsidTr="00FD119B">
        <w:tc>
          <w:tcPr>
            <w:tcW w:w="1809" w:type="dxa"/>
          </w:tcPr>
          <w:p w14:paraId="2A1468B7" w14:textId="77777777" w:rsidR="00F971ED" w:rsidRDefault="00F971ED" w:rsidP="00B73A3A">
            <w:r w:rsidRPr="003F44A0">
              <w:t>CDC</w:t>
            </w:r>
          </w:p>
        </w:tc>
        <w:tc>
          <w:tcPr>
            <w:tcW w:w="6911" w:type="dxa"/>
          </w:tcPr>
          <w:p w14:paraId="6C020986" w14:textId="77777777" w:rsidR="00F971ED" w:rsidRDefault="005236C7" w:rsidP="00F971ED">
            <w:r>
              <w:t>C</w:t>
            </w:r>
            <w:r w:rsidR="00F971ED">
              <w:t>omplement dependent cytotoxicity</w:t>
            </w:r>
          </w:p>
        </w:tc>
      </w:tr>
      <w:tr w:rsidR="00B73A3A" w:rsidRPr="00FD119B" w14:paraId="795BF9CE" w14:textId="77777777" w:rsidTr="00FD119B">
        <w:tc>
          <w:tcPr>
            <w:tcW w:w="1809" w:type="dxa"/>
          </w:tcPr>
          <w:p w14:paraId="5F97DC67" w14:textId="77777777" w:rsidR="00B73A3A" w:rsidRDefault="00B73A3A" w:rsidP="00B73A3A">
            <w:r>
              <w:t>CI</w:t>
            </w:r>
          </w:p>
        </w:tc>
        <w:tc>
          <w:tcPr>
            <w:tcW w:w="6911" w:type="dxa"/>
          </w:tcPr>
          <w:p w14:paraId="5FEF45F7" w14:textId="77777777" w:rsidR="00B73A3A" w:rsidRDefault="00B73A3A" w:rsidP="00B73A3A">
            <w:r>
              <w:t>Confidence Interval</w:t>
            </w:r>
          </w:p>
        </w:tc>
      </w:tr>
      <w:tr w:rsidR="00B73A3A" w:rsidRPr="00FD119B" w14:paraId="7067F2DD" w14:textId="77777777" w:rsidTr="00FD119B">
        <w:tc>
          <w:tcPr>
            <w:tcW w:w="1809" w:type="dxa"/>
          </w:tcPr>
          <w:p w14:paraId="588B5550" w14:textId="77777777" w:rsidR="00B73A3A" w:rsidRDefault="00B73A3A" w:rsidP="00B73A3A">
            <w:r>
              <w:t>COPD</w:t>
            </w:r>
          </w:p>
        </w:tc>
        <w:tc>
          <w:tcPr>
            <w:tcW w:w="6911" w:type="dxa"/>
          </w:tcPr>
          <w:p w14:paraId="7454B31A" w14:textId="6A45E272" w:rsidR="00B73A3A" w:rsidRDefault="00B73A3A" w:rsidP="00101163">
            <w:r>
              <w:t xml:space="preserve">Chronic </w:t>
            </w:r>
            <w:r w:rsidR="00101163">
              <w:t>obstructive pulmonary disease</w:t>
            </w:r>
          </w:p>
        </w:tc>
      </w:tr>
      <w:tr w:rsidR="00B73A3A" w:rsidRPr="00FD119B" w14:paraId="7C363F52" w14:textId="77777777" w:rsidTr="00FD119B">
        <w:tc>
          <w:tcPr>
            <w:tcW w:w="1809" w:type="dxa"/>
          </w:tcPr>
          <w:p w14:paraId="5EDD0364" w14:textId="77777777" w:rsidR="00B73A3A" w:rsidRDefault="00B73A3A" w:rsidP="00B73A3A">
            <w:r>
              <w:rPr>
                <w:lang w:eastAsia="ja-JP"/>
              </w:rPr>
              <w:t>C</w:t>
            </w:r>
            <w:r w:rsidRPr="005C6795">
              <w:rPr>
                <w:vertAlign w:val="subscript"/>
                <w:lang w:eastAsia="ja-JP"/>
              </w:rPr>
              <w:t>max</w:t>
            </w:r>
          </w:p>
        </w:tc>
        <w:tc>
          <w:tcPr>
            <w:tcW w:w="6911" w:type="dxa"/>
          </w:tcPr>
          <w:p w14:paraId="5FD7FDF3" w14:textId="77777777" w:rsidR="00B73A3A" w:rsidRDefault="00B73A3A" w:rsidP="00B73A3A">
            <w:r>
              <w:t>Maximum plasma concentration</w:t>
            </w:r>
          </w:p>
        </w:tc>
      </w:tr>
      <w:tr w:rsidR="00F971ED" w:rsidRPr="00FD119B" w14:paraId="4FA88E54" w14:textId="77777777" w:rsidTr="00FD119B">
        <w:tc>
          <w:tcPr>
            <w:tcW w:w="1809" w:type="dxa"/>
          </w:tcPr>
          <w:p w14:paraId="48282A25" w14:textId="77777777" w:rsidR="00F971ED" w:rsidRDefault="00F971ED" w:rsidP="00B73A3A">
            <w:pPr>
              <w:rPr>
                <w:lang w:eastAsia="ja-JP"/>
              </w:rPr>
            </w:pPr>
            <w:r w:rsidRPr="00B74120">
              <w:t>CNS</w:t>
            </w:r>
          </w:p>
        </w:tc>
        <w:tc>
          <w:tcPr>
            <w:tcW w:w="6911" w:type="dxa"/>
          </w:tcPr>
          <w:p w14:paraId="47E5A2EF" w14:textId="77777777" w:rsidR="00F971ED" w:rsidRDefault="005E3545" w:rsidP="00F971ED">
            <w:r>
              <w:t>C</w:t>
            </w:r>
            <w:r w:rsidR="00F971ED">
              <w:t>entral nervous system</w:t>
            </w:r>
          </w:p>
        </w:tc>
      </w:tr>
      <w:tr w:rsidR="00405B1C" w:rsidRPr="00FD119B" w14:paraId="05AF0D15" w14:textId="77777777" w:rsidTr="00FD119B">
        <w:tc>
          <w:tcPr>
            <w:tcW w:w="1809" w:type="dxa"/>
          </w:tcPr>
          <w:p w14:paraId="10690EC0" w14:textId="77777777" w:rsidR="00405B1C" w:rsidRPr="00B74120" w:rsidRDefault="00405B1C" w:rsidP="00B73A3A">
            <w:r>
              <w:t>CSR</w:t>
            </w:r>
          </w:p>
        </w:tc>
        <w:tc>
          <w:tcPr>
            <w:tcW w:w="6911" w:type="dxa"/>
          </w:tcPr>
          <w:p w14:paraId="2967943F" w14:textId="77777777" w:rsidR="00405B1C" w:rsidRDefault="00405B1C" w:rsidP="00F971ED">
            <w:r>
              <w:t>Clinical study report</w:t>
            </w:r>
          </w:p>
        </w:tc>
      </w:tr>
      <w:tr w:rsidR="00B73A3A" w:rsidRPr="00FD119B" w14:paraId="48D8F0C6" w14:textId="77777777" w:rsidTr="00FD119B">
        <w:tc>
          <w:tcPr>
            <w:tcW w:w="1809" w:type="dxa"/>
          </w:tcPr>
          <w:p w14:paraId="27958A17" w14:textId="77777777" w:rsidR="00B73A3A" w:rsidRDefault="00B73A3A" w:rsidP="00B73A3A">
            <w:r>
              <w:t>C</w:t>
            </w:r>
            <w:r w:rsidRPr="00B4680A">
              <w:rPr>
                <w:vertAlign w:val="subscript"/>
              </w:rPr>
              <w:t>trough</w:t>
            </w:r>
          </w:p>
        </w:tc>
        <w:tc>
          <w:tcPr>
            <w:tcW w:w="6911" w:type="dxa"/>
          </w:tcPr>
          <w:p w14:paraId="2EDF5552" w14:textId="249DA2F9" w:rsidR="00B73A3A" w:rsidRDefault="00B73A3A" w:rsidP="00B73A3A">
            <w:r>
              <w:t xml:space="preserve">Trough </w:t>
            </w:r>
            <w:r w:rsidR="00AD6903">
              <w:t xml:space="preserve">plasma </w:t>
            </w:r>
            <w:r>
              <w:t>concentration</w:t>
            </w:r>
          </w:p>
        </w:tc>
      </w:tr>
      <w:tr w:rsidR="00405B1C" w:rsidRPr="00FD119B" w14:paraId="40BC1503" w14:textId="77777777" w:rsidTr="00FD119B">
        <w:tc>
          <w:tcPr>
            <w:tcW w:w="1809" w:type="dxa"/>
          </w:tcPr>
          <w:p w14:paraId="4599A86E" w14:textId="77777777" w:rsidR="00405B1C" w:rsidRDefault="00405B1C" w:rsidP="00B73A3A">
            <w:r>
              <w:t>DSMB</w:t>
            </w:r>
          </w:p>
        </w:tc>
        <w:tc>
          <w:tcPr>
            <w:tcW w:w="6911" w:type="dxa"/>
          </w:tcPr>
          <w:p w14:paraId="32DF6F42" w14:textId="77777777" w:rsidR="00405B1C" w:rsidRDefault="00405B1C" w:rsidP="00405B1C">
            <w:r w:rsidRPr="00664BEB">
              <w:t>Data Safet</w:t>
            </w:r>
            <w:r>
              <w:t>y Monitoring Board</w:t>
            </w:r>
          </w:p>
        </w:tc>
      </w:tr>
      <w:tr w:rsidR="00E14798" w:rsidRPr="00FD119B" w14:paraId="67F16309" w14:textId="77777777" w:rsidTr="00FD119B">
        <w:tc>
          <w:tcPr>
            <w:tcW w:w="1809" w:type="dxa"/>
          </w:tcPr>
          <w:p w14:paraId="0A7EEC5C" w14:textId="77777777" w:rsidR="00E14798" w:rsidRDefault="00E14798" w:rsidP="00B73A3A">
            <w:r>
              <w:t>EC</w:t>
            </w:r>
            <w:r w:rsidRPr="008A38CB">
              <w:rPr>
                <w:vertAlign w:val="subscript"/>
              </w:rPr>
              <w:t>50</w:t>
            </w:r>
          </w:p>
        </w:tc>
        <w:tc>
          <w:tcPr>
            <w:tcW w:w="6911" w:type="dxa"/>
          </w:tcPr>
          <w:p w14:paraId="423E37D9" w14:textId="77777777" w:rsidR="00E14798" w:rsidRPr="00F971ED" w:rsidRDefault="005236C7" w:rsidP="00F971ED">
            <w:r>
              <w:t>H</w:t>
            </w:r>
            <w:r w:rsidR="00F971ED" w:rsidRPr="00F971ED">
              <w:t>alf-maximal effective concentration</w:t>
            </w:r>
          </w:p>
        </w:tc>
      </w:tr>
      <w:tr w:rsidR="00B73A3A" w:rsidRPr="00FD119B" w14:paraId="00F9854F" w14:textId="77777777" w:rsidTr="00FD119B">
        <w:tc>
          <w:tcPr>
            <w:tcW w:w="1809" w:type="dxa"/>
          </w:tcPr>
          <w:p w14:paraId="32713CFE" w14:textId="77777777" w:rsidR="00B73A3A" w:rsidRDefault="00B73A3A" w:rsidP="00B73A3A">
            <w:r>
              <w:t>ECG</w:t>
            </w:r>
          </w:p>
        </w:tc>
        <w:tc>
          <w:tcPr>
            <w:tcW w:w="6911" w:type="dxa"/>
          </w:tcPr>
          <w:p w14:paraId="3D3DA541" w14:textId="77777777" w:rsidR="00B73A3A" w:rsidRDefault="00B73A3A" w:rsidP="00B73A3A">
            <w:r>
              <w:t>Electrocardiogram</w:t>
            </w:r>
          </w:p>
        </w:tc>
      </w:tr>
      <w:tr w:rsidR="00B73A3A" w:rsidRPr="00FD119B" w14:paraId="2ABE68F7" w14:textId="77777777" w:rsidTr="00FD119B">
        <w:tc>
          <w:tcPr>
            <w:tcW w:w="1809" w:type="dxa"/>
          </w:tcPr>
          <w:p w14:paraId="7F7BE13E" w14:textId="77777777" w:rsidR="00B73A3A" w:rsidRDefault="00B73A3A" w:rsidP="00B73A3A">
            <w:r>
              <w:t>ED</w:t>
            </w:r>
          </w:p>
        </w:tc>
        <w:tc>
          <w:tcPr>
            <w:tcW w:w="6911" w:type="dxa"/>
          </w:tcPr>
          <w:p w14:paraId="4E7CF48B" w14:textId="160D1180" w:rsidR="00B73A3A" w:rsidRDefault="00B73A3A" w:rsidP="00101163">
            <w:r>
              <w:t xml:space="preserve">Effective </w:t>
            </w:r>
            <w:r w:rsidR="00101163">
              <w:t>dose</w:t>
            </w:r>
          </w:p>
        </w:tc>
      </w:tr>
      <w:tr w:rsidR="00B73A3A" w:rsidRPr="00FD119B" w14:paraId="2520A484" w14:textId="77777777" w:rsidTr="00FD119B">
        <w:tc>
          <w:tcPr>
            <w:tcW w:w="1809" w:type="dxa"/>
          </w:tcPr>
          <w:p w14:paraId="65CD97DB" w14:textId="77777777" w:rsidR="00B73A3A" w:rsidRDefault="00B73A3A" w:rsidP="00B73A3A">
            <w:r>
              <w:t>EOT</w:t>
            </w:r>
          </w:p>
        </w:tc>
        <w:tc>
          <w:tcPr>
            <w:tcW w:w="6911" w:type="dxa"/>
          </w:tcPr>
          <w:p w14:paraId="1B479B61" w14:textId="54A64DE2" w:rsidR="00B73A3A" w:rsidRDefault="00B73A3A" w:rsidP="00101163">
            <w:r>
              <w:t xml:space="preserve">End </w:t>
            </w:r>
            <w:r w:rsidR="00101163">
              <w:t>of treatment</w:t>
            </w:r>
          </w:p>
        </w:tc>
      </w:tr>
      <w:tr w:rsidR="00B73A3A" w:rsidRPr="00FD119B" w14:paraId="7C77A149" w14:textId="77777777" w:rsidTr="00FD119B">
        <w:tc>
          <w:tcPr>
            <w:tcW w:w="1809" w:type="dxa"/>
          </w:tcPr>
          <w:p w14:paraId="70543258" w14:textId="77777777" w:rsidR="00B73A3A" w:rsidRDefault="00B73A3A" w:rsidP="00B73A3A">
            <w:r>
              <w:lastRenderedPageBreak/>
              <w:t>ER</w:t>
            </w:r>
          </w:p>
        </w:tc>
        <w:tc>
          <w:tcPr>
            <w:tcW w:w="6911" w:type="dxa"/>
          </w:tcPr>
          <w:p w14:paraId="691C445D" w14:textId="0B06A82D" w:rsidR="00B73A3A" w:rsidRDefault="00B73A3A" w:rsidP="00101163">
            <w:r>
              <w:t xml:space="preserve">Emergency </w:t>
            </w:r>
            <w:r w:rsidR="00101163">
              <w:t>room</w:t>
            </w:r>
          </w:p>
        </w:tc>
      </w:tr>
      <w:tr w:rsidR="00B73A3A" w:rsidRPr="00FD119B" w14:paraId="4B728FFC" w14:textId="77777777" w:rsidTr="00FD119B">
        <w:tc>
          <w:tcPr>
            <w:tcW w:w="1809" w:type="dxa"/>
          </w:tcPr>
          <w:p w14:paraId="1473773E" w14:textId="77777777" w:rsidR="00B73A3A" w:rsidRDefault="00B73A3A" w:rsidP="00B73A3A">
            <w:r>
              <w:t>FAS</w:t>
            </w:r>
          </w:p>
        </w:tc>
        <w:tc>
          <w:tcPr>
            <w:tcW w:w="6911" w:type="dxa"/>
          </w:tcPr>
          <w:p w14:paraId="2CB2339B" w14:textId="415801E4" w:rsidR="00B73A3A" w:rsidRDefault="00B73A3A" w:rsidP="00101163">
            <w:r>
              <w:t xml:space="preserve">Full </w:t>
            </w:r>
            <w:r w:rsidR="00101163">
              <w:t>analysis set</w:t>
            </w:r>
          </w:p>
        </w:tc>
      </w:tr>
      <w:tr w:rsidR="00B73A3A" w:rsidRPr="00FD119B" w14:paraId="15874522" w14:textId="77777777" w:rsidTr="00FD119B">
        <w:tc>
          <w:tcPr>
            <w:tcW w:w="1809" w:type="dxa"/>
          </w:tcPr>
          <w:p w14:paraId="050A85C0" w14:textId="77777777" w:rsidR="00B73A3A" w:rsidRDefault="00B73A3A" w:rsidP="00B73A3A">
            <w:r>
              <w:t>FEV1</w:t>
            </w:r>
          </w:p>
        </w:tc>
        <w:tc>
          <w:tcPr>
            <w:tcW w:w="6911" w:type="dxa"/>
          </w:tcPr>
          <w:p w14:paraId="7FB9C9FF" w14:textId="79194C47" w:rsidR="00B73A3A" w:rsidRDefault="00B73A3A" w:rsidP="00101163">
            <w:r>
              <w:t xml:space="preserve">Forced </w:t>
            </w:r>
            <w:r w:rsidR="00101163">
              <w:t xml:space="preserve">expiratory volume </w:t>
            </w:r>
            <w:r>
              <w:t>in 1 second</w:t>
            </w:r>
          </w:p>
        </w:tc>
      </w:tr>
      <w:tr w:rsidR="00B73A3A" w:rsidRPr="00FD119B" w14:paraId="5603A1D5" w14:textId="77777777" w:rsidTr="00FD119B">
        <w:tc>
          <w:tcPr>
            <w:tcW w:w="1809" w:type="dxa"/>
          </w:tcPr>
          <w:p w14:paraId="0173E8D2" w14:textId="77777777" w:rsidR="00B73A3A" w:rsidRDefault="00B73A3A" w:rsidP="00B73A3A">
            <w:r>
              <w:t>GCP</w:t>
            </w:r>
          </w:p>
        </w:tc>
        <w:tc>
          <w:tcPr>
            <w:tcW w:w="6911" w:type="dxa"/>
          </w:tcPr>
          <w:p w14:paraId="56B76DFF" w14:textId="77777777" w:rsidR="00B73A3A" w:rsidRDefault="00B73A3A" w:rsidP="00B73A3A">
            <w:r>
              <w:t>Good Clinical Practice</w:t>
            </w:r>
          </w:p>
        </w:tc>
      </w:tr>
      <w:tr w:rsidR="00B73A3A" w:rsidRPr="00FD119B" w14:paraId="5FE22F92" w14:textId="77777777" w:rsidTr="00FD119B">
        <w:tc>
          <w:tcPr>
            <w:tcW w:w="1809" w:type="dxa"/>
          </w:tcPr>
          <w:p w14:paraId="646457A5" w14:textId="77777777" w:rsidR="00B73A3A" w:rsidRDefault="00B73A3A" w:rsidP="00B73A3A">
            <w:r>
              <w:t>GINA</w:t>
            </w:r>
          </w:p>
        </w:tc>
        <w:tc>
          <w:tcPr>
            <w:tcW w:w="6911" w:type="dxa"/>
          </w:tcPr>
          <w:p w14:paraId="78834B06" w14:textId="77777777" w:rsidR="00B73A3A" w:rsidRDefault="00B73A3A" w:rsidP="00B73A3A">
            <w:r>
              <w:t>Global Initiative for Asthma</w:t>
            </w:r>
          </w:p>
        </w:tc>
      </w:tr>
      <w:tr w:rsidR="00E14798" w:rsidRPr="00FD119B" w14:paraId="79638BFB" w14:textId="77777777" w:rsidTr="00FD119B">
        <w:tc>
          <w:tcPr>
            <w:tcW w:w="1809" w:type="dxa"/>
          </w:tcPr>
          <w:p w14:paraId="0347E0C4" w14:textId="77777777" w:rsidR="00E14798" w:rsidRDefault="00E14798" w:rsidP="00B73A3A">
            <w:r w:rsidRPr="00B00804">
              <w:t>GLP</w:t>
            </w:r>
          </w:p>
        </w:tc>
        <w:tc>
          <w:tcPr>
            <w:tcW w:w="6911" w:type="dxa"/>
          </w:tcPr>
          <w:p w14:paraId="778661D1" w14:textId="67F74DC8" w:rsidR="00E14798" w:rsidRDefault="00E14798" w:rsidP="00101163">
            <w:r>
              <w:t xml:space="preserve">Good </w:t>
            </w:r>
            <w:r w:rsidR="00101163">
              <w:t>Laboratory Practice</w:t>
            </w:r>
          </w:p>
        </w:tc>
      </w:tr>
      <w:tr w:rsidR="00E14798" w:rsidRPr="00FD119B" w14:paraId="3512831C" w14:textId="77777777" w:rsidTr="00FD119B">
        <w:tc>
          <w:tcPr>
            <w:tcW w:w="1809" w:type="dxa"/>
          </w:tcPr>
          <w:p w14:paraId="7AFE1317" w14:textId="77777777" w:rsidR="00E14798" w:rsidRDefault="00E14798" w:rsidP="00B73A3A">
            <w:r w:rsidRPr="007239D1">
              <w:t>IC</w:t>
            </w:r>
            <w:r w:rsidRPr="007239D1">
              <w:rPr>
                <w:vertAlign w:val="subscript"/>
              </w:rPr>
              <w:t>50</w:t>
            </w:r>
          </w:p>
        </w:tc>
        <w:tc>
          <w:tcPr>
            <w:tcW w:w="6911" w:type="dxa"/>
          </w:tcPr>
          <w:p w14:paraId="002F63C1" w14:textId="77777777" w:rsidR="00E14798" w:rsidRPr="002D15A9" w:rsidRDefault="005236C7" w:rsidP="002D15A9">
            <w:r>
              <w:t>H</w:t>
            </w:r>
            <w:r w:rsidR="002D15A9" w:rsidRPr="002D15A9">
              <w:t>alf maximal inhibitory concentration</w:t>
            </w:r>
          </w:p>
        </w:tc>
      </w:tr>
      <w:tr w:rsidR="00B73A3A" w:rsidRPr="00FD119B" w14:paraId="404B9700" w14:textId="77777777" w:rsidTr="00FD119B">
        <w:tc>
          <w:tcPr>
            <w:tcW w:w="1809" w:type="dxa"/>
          </w:tcPr>
          <w:p w14:paraId="223C9228" w14:textId="77777777" w:rsidR="00B73A3A" w:rsidRDefault="00B73A3A" w:rsidP="00B73A3A">
            <w:r>
              <w:t>ICH</w:t>
            </w:r>
          </w:p>
        </w:tc>
        <w:tc>
          <w:tcPr>
            <w:tcW w:w="6911" w:type="dxa"/>
          </w:tcPr>
          <w:p w14:paraId="08BFC740" w14:textId="77777777" w:rsidR="00B73A3A" w:rsidRDefault="00B73A3A" w:rsidP="00B73A3A">
            <w:r>
              <w:t>International Council for Harmonisation</w:t>
            </w:r>
          </w:p>
        </w:tc>
      </w:tr>
      <w:tr w:rsidR="00B73A3A" w:rsidRPr="00FD119B" w14:paraId="7CFFCBAD" w14:textId="77777777" w:rsidTr="00FD119B">
        <w:tc>
          <w:tcPr>
            <w:tcW w:w="1809" w:type="dxa"/>
          </w:tcPr>
          <w:p w14:paraId="2EECB00C" w14:textId="77777777" w:rsidR="00B73A3A" w:rsidRDefault="00B73A3A" w:rsidP="00B73A3A">
            <w:r>
              <w:t>ICS</w:t>
            </w:r>
          </w:p>
        </w:tc>
        <w:tc>
          <w:tcPr>
            <w:tcW w:w="6911" w:type="dxa"/>
          </w:tcPr>
          <w:p w14:paraId="492A760E" w14:textId="156FE80C" w:rsidR="00B73A3A" w:rsidRDefault="00B73A3A" w:rsidP="00101163">
            <w:r>
              <w:t xml:space="preserve">Inhaled </w:t>
            </w:r>
            <w:r w:rsidR="00101163">
              <w:t>corticosteroid(s)</w:t>
            </w:r>
          </w:p>
        </w:tc>
      </w:tr>
      <w:tr w:rsidR="00B73A3A" w:rsidRPr="00FD119B" w14:paraId="0ADE8A1D" w14:textId="77777777" w:rsidTr="00FD119B">
        <w:tc>
          <w:tcPr>
            <w:tcW w:w="1809" w:type="dxa"/>
          </w:tcPr>
          <w:p w14:paraId="7C35AED2" w14:textId="77777777" w:rsidR="00B73A3A" w:rsidRDefault="00B73A3A" w:rsidP="00B73A3A">
            <w:r>
              <w:t>IL-5</w:t>
            </w:r>
          </w:p>
        </w:tc>
        <w:tc>
          <w:tcPr>
            <w:tcW w:w="6911" w:type="dxa"/>
          </w:tcPr>
          <w:p w14:paraId="32809B9C" w14:textId="77777777" w:rsidR="00B73A3A" w:rsidRDefault="00B73A3A" w:rsidP="00B73A3A">
            <w:r>
              <w:t>Interleukin-5</w:t>
            </w:r>
          </w:p>
        </w:tc>
      </w:tr>
      <w:tr w:rsidR="00B73A3A" w:rsidRPr="00FD119B" w14:paraId="7D4FC4C7" w14:textId="77777777" w:rsidTr="00FD119B">
        <w:tc>
          <w:tcPr>
            <w:tcW w:w="1809" w:type="dxa"/>
          </w:tcPr>
          <w:p w14:paraId="1665373B" w14:textId="77777777" w:rsidR="00B73A3A" w:rsidRDefault="00B73A3A" w:rsidP="00B73A3A">
            <w:r>
              <w:t>IL-5Rα</w:t>
            </w:r>
          </w:p>
        </w:tc>
        <w:tc>
          <w:tcPr>
            <w:tcW w:w="6911" w:type="dxa"/>
          </w:tcPr>
          <w:p w14:paraId="44048ADB" w14:textId="77777777" w:rsidR="00B73A3A" w:rsidRDefault="00B73A3A" w:rsidP="00B73A3A">
            <w:r>
              <w:t>Interleukin-5 receptor alpha subunit</w:t>
            </w:r>
          </w:p>
        </w:tc>
      </w:tr>
      <w:tr w:rsidR="00B73A3A" w:rsidRPr="00FD119B" w14:paraId="3900C738" w14:textId="77777777" w:rsidTr="00FD119B">
        <w:tc>
          <w:tcPr>
            <w:tcW w:w="1809" w:type="dxa"/>
          </w:tcPr>
          <w:p w14:paraId="783D0299" w14:textId="77777777" w:rsidR="00B73A3A" w:rsidRDefault="00B73A3A" w:rsidP="00B73A3A">
            <w:r>
              <w:t>ITT</w:t>
            </w:r>
          </w:p>
        </w:tc>
        <w:tc>
          <w:tcPr>
            <w:tcW w:w="6911" w:type="dxa"/>
          </w:tcPr>
          <w:p w14:paraId="57998E9B" w14:textId="2164AEEF" w:rsidR="00B73A3A" w:rsidRDefault="00B73A3A" w:rsidP="00101163">
            <w:r>
              <w:t xml:space="preserve">Intention </w:t>
            </w:r>
            <w:r w:rsidR="00101163">
              <w:t>to treat</w:t>
            </w:r>
          </w:p>
        </w:tc>
      </w:tr>
      <w:tr w:rsidR="00B73A3A" w:rsidRPr="00FD119B" w14:paraId="7D19CD16" w14:textId="77777777" w:rsidTr="00FD119B">
        <w:tc>
          <w:tcPr>
            <w:tcW w:w="1809" w:type="dxa"/>
          </w:tcPr>
          <w:p w14:paraId="6DE7934C" w14:textId="77777777" w:rsidR="00B73A3A" w:rsidRDefault="00B73A3A" w:rsidP="00B73A3A">
            <w:r>
              <w:t>IV</w:t>
            </w:r>
          </w:p>
        </w:tc>
        <w:tc>
          <w:tcPr>
            <w:tcW w:w="6911" w:type="dxa"/>
          </w:tcPr>
          <w:p w14:paraId="680AB049" w14:textId="77777777" w:rsidR="00B73A3A" w:rsidRDefault="00B73A3A" w:rsidP="00B73A3A">
            <w:r>
              <w:t>Intravenous</w:t>
            </w:r>
          </w:p>
        </w:tc>
      </w:tr>
      <w:tr w:rsidR="00E14798" w:rsidRPr="00FD119B" w14:paraId="03A01218" w14:textId="77777777" w:rsidTr="00FD119B">
        <w:tc>
          <w:tcPr>
            <w:tcW w:w="1809" w:type="dxa"/>
          </w:tcPr>
          <w:p w14:paraId="61DDCCC3" w14:textId="77777777" w:rsidR="00E14798" w:rsidRDefault="00E14798" w:rsidP="00B73A3A">
            <w:r w:rsidRPr="00E14798">
              <w:t>K</w:t>
            </w:r>
            <w:r w:rsidRPr="00E14798">
              <w:rPr>
                <w:vertAlign w:val="subscript"/>
              </w:rPr>
              <w:t>D</w:t>
            </w:r>
          </w:p>
        </w:tc>
        <w:tc>
          <w:tcPr>
            <w:tcW w:w="6911" w:type="dxa"/>
          </w:tcPr>
          <w:p w14:paraId="150533C7" w14:textId="77777777" w:rsidR="00E14798" w:rsidRDefault="00E14798" w:rsidP="00B73A3A">
            <w:r>
              <w:t>Dissociation constant</w:t>
            </w:r>
          </w:p>
        </w:tc>
      </w:tr>
      <w:tr w:rsidR="00B73A3A" w:rsidRPr="00FD119B" w14:paraId="1ED0A1D9" w14:textId="77777777" w:rsidTr="00FD119B">
        <w:tc>
          <w:tcPr>
            <w:tcW w:w="1809" w:type="dxa"/>
          </w:tcPr>
          <w:p w14:paraId="2EE2CA0F" w14:textId="77777777" w:rsidR="00B73A3A" w:rsidRDefault="00B73A3A" w:rsidP="00B73A3A">
            <w:r>
              <w:t>LABA</w:t>
            </w:r>
          </w:p>
        </w:tc>
        <w:tc>
          <w:tcPr>
            <w:tcW w:w="6911" w:type="dxa"/>
          </w:tcPr>
          <w:p w14:paraId="4D6E62C9" w14:textId="2E97CA56" w:rsidR="00B73A3A" w:rsidRDefault="00B73A3A" w:rsidP="00B73A3A">
            <w:r>
              <w:t xml:space="preserve">Long-acting </w:t>
            </w:r>
            <w:r w:rsidR="00101163">
              <w:t>beta 2 (</w:t>
            </w:r>
            <w:r>
              <w:t>β</w:t>
            </w:r>
            <w:r w:rsidRPr="003B16F4">
              <w:rPr>
                <w:vertAlign w:val="subscript"/>
              </w:rPr>
              <w:t>2</w:t>
            </w:r>
            <w:r w:rsidR="00101163">
              <w:t xml:space="preserve">) </w:t>
            </w:r>
            <w:r>
              <w:t>agonist</w:t>
            </w:r>
            <w:r w:rsidR="00101163">
              <w:t>(</w:t>
            </w:r>
            <w:r>
              <w:t>s</w:t>
            </w:r>
            <w:r w:rsidR="00101163">
              <w:t>)</w:t>
            </w:r>
          </w:p>
        </w:tc>
      </w:tr>
      <w:tr w:rsidR="00B73A3A" w:rsidRPr="00FD119B" w14:paraId="51EEA273" w14:textId="77777777" w:rsidTr="00FD119B">
        <w:tc>
          <w:tcPr>
            <w:tcW w:w="1809" w:type="dxa"/>
          </w:tcPr>
          <w:p w14:paraId="44DDB9BB" w14:textId="77777777" w:rsidR="00B73A3A" w:rsidRDefault="00B73A3A" w:rsidP="00B73A3A">
            <w:r>
              <w:t>LAMA</w:t>
            </w:r>
          </w:p>
        </w:tc>
        <w:tc>
          <w:tcPr>
            <w:tcW w:w="6911" w:type="dxa"/>
          </w:tcPr>
          <w:p w14:paraId="092B01BF" w14:textId="47299852" w:rsidR="00B73A3A" w:rsidRDefault="00B73A3A" w:rsidP="00B73A3A">
            <w:r>
              <w:t>Long-acting anti-muscarinic</w:t>
            </w:r>
            <w:r w:rsidR="00101163">
              <w:t>(s)</w:t>
            </w:r>
          </w:p>
        </w:tc>
      </w:tr>
      <w:tr w:rsidR="00B73A3A" w:rsidRPr="00FD119B" w14:paraId="6A063E9E" w14:textId="77777777" w:rsidTr="00FD119B">
        <w:tc>
          <w:tcPr>
            <w:tcW w:w="1809" w:type="dxa"/>
          </w:tcPr>
          <w:p w14:paraId="4ADAFA1B" w14:textId="77777777" w:rsidR="00B73A3A" w:rsidRDefault="00B73A3A" w:rsidP="00B73A3A">
            <w:r>
              <w:t>LS</w:t>
            </w:r>
          </w:p>
        </w:tc>
        <w:tc>
          <w:tcPr>
            <w:tcW w:w="6911" w:type="dxa"/>
          </w:tcPr>
          <w:p w14:paraId="4DB9BFF7" w14:textId="103A1D79" w:rsidR="00B73A3A" w:rsidRDefault="00B73A3A" w:rsidP="00101163">
            <w:r>
              <w:t xml:space="preserve">Least </w:t>
            </w:r>
            <w:r w:rsidR="00101163">
              <w:t>squares</w:t>
            </w:r>
          </w:p>
        </w:tc>
      </w:tr>
      <w:tr w:rsidR="00B73A3A" w:rsidRPr="00FD119B" w14:paraId="0554692F" w14:textId="77777777" w:rsidTr="00FD119B">
        <w:tc>
          <w:tcPr>
            <w:tcW w:w="1809" w:type="dxa"/>
          </w:tcPr>
          <w:p w14:paraId="0C9D3614" w14:textId="77777777" w:rsidR="00B73A3A" w:rsidRDefault="00B73A3A" w:rsidP="00B73A3A">
            <w:r>
              <w:t>LTRA</w:t>
            </w:r>
          </w:p>
        </w:tc>
        <w:tc>
          <w:tcPr>
            <w:tcW w:w="6911" w:type="dxa"/>
          </w:tcPr>
          <w:p w14:paraId="0630485A" w14:textId="2F9C4D99" w:rsidR="00B73A3A" w:rsidRDefault="00B73A3A" w:rsidP="00B73A3A">
            <w:r>
              <w:t>Leukotriene receptor antagonist</w:t>
            </w:r>
            <w:r w:rsidR="00101163">
              <w:t>(</w:t>
            </w:r>
            <w:r>
              <w:t>s</w:t>
            </w:r>
            <w:r w:rsidR="00101163">
              <w:t>)</w:t>
            </w:r>
          </w:p>
        </w:tc>
      </w:tr>
      <w:tr w:rsidR="005236C7" w:rsidRPr="00FD119B" w14:paraId="7EA4727C" w14:textId="77777777" w:rsidTr="00FD119B">
        <w:tc>
          <w:tcPr>
            <w:tcW w:w="1809" w:type="dxa"/>
          </w:tcPr>
          <w:p w14:paraId="1253E44D" w14:textId="20896D15" w:rsidR="005236C7" w:rsidRDefault="005236C7" w:rsidP="00B73A3A">
            <w:proofErr w:type="spellStart"/>
            <w:r>
              <w:t>mAb</w:t>
            </w:r>
            <w:proofErr w:type="spellEnd"/>
          </w:p>
        </w:tc>
        <w:tc>
          <w:tcPr>
            <w:tcW w:w="6911" w:type="dxa"/>
          </w:tcPr>
          <w:p w14:paraId="376A289A" w14:textId="532A90B6" w:rsidR="005236C7" w:rsidRDefault="005236C7" w:rsidP="00101163">
            <w:r>
              <w:t xml:space="preserve">Monoclonal </w:t>
            </w:r>
            <w:r w:rsidR="00101163">
              <w:t>antibody</w:t>
            </w:r>
          </w:p>
        </w:tc>
      </w:tr>
      <w:tr w:rsidR="00B73A3A" w:rsidRPr="00FD119B" w14:paraId="3AFB8759" w14:textId="77777777" w:rsidTr="00FD119B">
        <w:tc>
          <w:tcPr>
            <w:tcW w:w="1809" w:type="dxa"/>
          </w:tcPr>
          <w:p w14:paraId="05C8F763" w14:textId="77777777" w:rsidR="00B73A3A" w:rsidRDefault="00B73A3A" w:rsidP="00B73A3A">
            <w:r>
              <w:t>MACE</w:t>
            </w:r>
          </w:p>
        </w:tc>
        <w:tc>
          <w:tcPr>
            <w:tcW w:w="6911" w:type="dxa"/>
          </w:tcPr>
          <w:p w14:paraId="09C739A8" w14:textId="72AEF8E4" w:rsidR="00B73A3A" w:rsidRDefault="00B73A3A" w:rsidP="00101163">
            <w:r>
              <w:t xml:space="preserve">Major </w:t>
            </w:r>
            <w:r w:rsidR="00101163">
              <w:t>adverse cardiac event</w:t>
            </w:r>
          </w:p>
        </w:tc>
      </w:tr>
      <w:tr w:rsidR="00B73A3A" w:rsidRPr="00FD119B" w14:paraId="6CB380D0" w14:textId="77777777" w:rsidTr="00FD119B">
        <w:tc>
          <w:tcPr>
            <w:tcW w:w="1809" w:type="dxa"/>
          </w:tcPr>
          <w:p w14:paraId="5E842657" w14:textId="77777777" w:rsidR="00B73A3A" w:rsidRDefault="00B73A3A" w:rsidP="00B73A3A">
            <w:r>
              <w:t>MCID</w:t>
            </w:r>
          </w:p>
        </w:tc>
        <w:tc>
          <w:tcPr>
            <w:tcW w:w="6911" w:type="dxa"/>
          </w:tcPr>
          <w:p w14:paraId="0EBFBC9D" w14:textId="7DA227A9" w:rsidR="00B73A3A" w:rsidRDefault="00B73A3A" w:rsidP="00101163">
            <w:r>
              <w:t xml:space="preserve">Minimally </w:t>
            </w:r>
            <w:r w:rsidR="00101163">
              <w:t>clinically i</w:t>
            </w:r>
            <w:r>
              <w:t xml:space="preserve">mportant </w:t>
            </w:r>
            <w:r w:rsidR="00101163">
              <w:t>difference</w:t>
            </w:r>
          </w:p>
        </w:tc>
      </w:tr>
      <w:tr w:rsidR="00B73A3A" w:rsidRPr="00FD119B" w14:paraId="3E1C247E" w14:textId="77777777" w:rsidTr="00FD119B">
        <w:tc>
          <w:tcPr>
            <w:tcW w:w="1809" w:type="dxa"/>
          </w:tcPr>
          <w:p w14:paraId="3D61AB17" w14:textId="77777777" w:rsidR="00B73A3A" w:rsidRDefault="00B73A3A" w:rsidP="00B73A3A">
            <w:r>
              <w:t>MedDRA</w:t>
            </w:r>
          </w:p>
        </w:tc>
        <w:tc>
          <w:tcPr>
            <w:tcW w:w="6911" w:type="dxa"/>
          </w:tcPr>
          <w:p w14:paraId="66ED7130" w14:textId="77777777" w:rsidR="00B73A3A" w:rsidRDefault="00B73A3A" w:rsidP="00B73A3A">
            <w:r>
              <w:t>Medical Dictionary for Regulatory Activities</w:t>
            </w:r>
          </w:p>
        </w:tc>
      </w:tr>
      <w:tr w:rsidR="00B73A3A" w:rsidRPr="00FD119B" w14:paraId="6FCD3E09" w14:textId="77777777" w:rsidTr="00FD119B">
        <w:tc>
          <w:tcPr>
            <w:tcW w:w="1809" w:type="dxa"/>
          </w:tcPr>
          <w:p w14:paraId="58B0B862" w14:textId="77777777" w:rsidR="00B73A3A" w:rsidRDefault="00B73A3A" w:rsidP="00B73A3A">
            <w:r>
              <w:t>MMRM</w:t>
            </w:r>
          </w:p>
        </w:tc>
        <w:tc>
          <w:tcPr>
            <w:tcW w:w="6911" w:type="dxa"/>
          </w:tcPr>
          <w:p w14:paraId="0E9E73CD" w14:textId="59C79265" w:rsidR="00B73A3A" w:rsidRDefault="00B73A3A" w:rsidP="00101163">
            <w:r>
              <w:t xml:space="preserve">Mixed-effect </w:t>
            </w:r>
            <w:r w:rsidR="00101163">
              <w:t xml:space="preserve">model </w:t>
            </w:r>
            <w:r>
              <w:t xml:space="preserve">for </w:t>
            </w:r>
            <w:r w:rsidR="00101163">
              <w:t>repeated measures</w:t>
            </w:r>
          </w:p>
        </w:tc>
      </w:tr>
      <w:tr w:rsidR="007504A5" w:rsidRPr="00FD119B" w14:paraId="1F6A3019" w14:textId="77777777" w:rsidTr="00FD119B">
        <w:tc>
          <w:tcPr>
            <w:tcW w:w="1809" w:type="dxa"/>
          </w:tcPr>
          <w:p w14:paraId="2FD1D2CF" w14:textId="77777777" w:rsidR="007504A5" w:rsidRDefault="007504A5" w:rsidP="00B73A3A">
            <w:r w:rsidRPr="00AC6F77">
              <w:t>MOA</w:t>
            </w:r>
          </w:p>
        </w:tc>
        <w:tc>
          <w:tcPr>
            <w:tcW w:w="6911" w:type="dxa"/>
          </w:tcPr>
          <w:p w14:paraId="1F912CA3" w14:textId="77777777" w:rsidR="007504A5" w:rsidRDefault="007504A5" w:rsidP="00B73A3A">
            <w:r>
              <w:t>Mechanism of action</w:t>
            </w:r>
          </w:p>
        </w:tc>
      </w:tr>
      <w:tr w:rsidR="00FB5559" w:rsidRPr="00FD119B" w14:paraId="21C23793" w14:textId="77777777" w:rsidTr="00FD119B">
        <w:tc>
          <w:tcPr>
            <w:tcW w:w="1809" w:type="dxa"/>
          </w:tcPr>
          <w:p w14:paraId="47C4027A" w14:textId="77777777" w:rsidR="00FB5559" w:rsidRDefault="00FB5559" w:rsidP="00B73A3A">
            <w:r w:rsidRPr="005E3545">
              <w:t>NNT</w:t>
            </w:r>
          </w:p>
        </w:tc>
        <w:tc>
          <w:tcPr>
            <w:tcW w:w="6911" w:type="dxa"/>
          </w:tcPr>
          <w:p w14:paraId="459FE287" w14:textId="77777777" w:rsidR="00FB5559" w:rsidRDefault="00FB5559" w:rsidP="00B73A3A">
            <w:r>
              <w:t>Numbers needed to treat</w:t>
            </w:r>
          </w:p>
        </w:tc>
      </w:tr>
      <w:tr w:rsidR="00F971ED" w:rsidRPr="00FD119B" w14:paraId="6E730D88" w14:textId="77777777" w:rsidTr="00FD119B">
        <w:tc>
          <w:tcPr>
            <w:tcW w:w="1809" w:type="dxa"/>
          </w:tcPr>
          <w:p w14:paraId="32DAD6C6" w14:textId="77777777" w:rsidR="00F971ED" w:rsidRDefault="00F971ED" w:rsidP="00B73A3A">
            <w:r w:rsidRPr="004D0DEB">
              <w:t>NOAEL</w:t>
            </w:r>
          </w:p>
        </w:tc>
        <w:tc>
          <w:tcPr>
            <w:tcW w:w="6911" w:type="dxa"/>
          </w:tcPr>
          <w:p w14:paraId="106E31A4" w14:textId="77777777" w:rsidR="00F971ED" w:rsidRPr="00F971ED" w:rsidRDefault="00F971ED" w:rsidP="00F971ED">
            <w:r>
              <w:t>N</w:t>
            </w:r>
            <w:r w:rsidRPr="00F971ED">
              <w:t>o observed adverse effect level</w:t>
            </w:r>
          </w:p>
        </w:tc>
      </w:tr>
      <w:tr w:rsidR="00B73A3A" w:rsidRPr="00FD119B" w14:paraId="76B52E1A" w14:textId="77777777" w:rsidTr="00FD119B">
        <w:tc>
          <w:tcPr>
            <w:tcW w:w="1809" w:type="dxa"/>
          </w:tcPr>
          <w:p w14:paraId="4EDB1A02" w14:textId="77777777" w:rsidR="00B73A3A" w:rsidRDefault="00B73A3A" w:rsidP="00B73A3A">
            <w:r>
              <w:lastRenderedPageBreak/>
              <w:t>OCS</w:t>
            </w:r>
          </w:p>
        </w:tc>
        <w:tc>
          <w:tcPr>
            <w:tcW w:w="6911" w:type="dxa"/>
          </w:tcPr>
          <w:p w14:paraId="4681A574" w14:textId="35F5B327" w:rsidR="00B73A3A" w:rsidRDefault="00F511F9" w:rsidP="00B73A3A">
            <w:r>
              <w:t>Oral c</w:t>
            </w:r>
            <w:r w:rsidR="00B73A3A">
              <w:t>ortico</w:t>
            </w:r>
            <w:r>
              <w:t>s</w:t>
            </w:r>
            <w:r w:rsidR="00B73A3A">
              <w:t>teroid</w:t>
            </w:r>
            <w:r w:rsidR="00101163">
              <w:t>(</w:t>
            </w:r>
            <w:r w:rsidR="00B73A3A">
              <w:t>s</w:t>
            </w:r>
            <w:r w:rsidR="00101163">
              <w:t>)</w:t>
            </w:r>
          </w:p>
        </w:tc>
      </w:tr>
      <w:tr w:rsidR="00B73A3A" w:rsidRPr="00FD119B" w14:paraId="3B37C76A" w14:textId="77777777" w:rsidTr="00FD119B">
        <w:tc>
          <w:tcPr>
            <w:tcW w:w="1809" w:type="dxa"/>
          </w:tcPr>
          <w:p w14:paraId="1FB688EB" w14:textId="77777777" w:rsidR="00B73A3A" w:rsidRDefault="00B73A3A" w:rsidP="00B73A3A">
            <w:r>
              <w:t>PD</w:t>
            </w:r>
          </w:p>
        </w:tc>
        <w:tc>
          <w:tcPr>
            <w:tcW w:w="6911" w:type="dxa"/>
          </w:tcPr>
          <w:p w14:paraId="38AF6162" w14:textId="59608A0B" w:rsidR="00B73A3A" w:rsidRDefault="00B73A3A" w:rsidP="00B73A3A">
            <w:r>
              <w:t>Pharmacodynamic</w:t>
            </w:r>
            <w:r w:rsidR="00101163">
              <w:t>(</w:t>
            </w:r>
            <w:r>
              <w:t>s</w:t>
            </w:r>
            <w:r w:rsidR="00101163">
              <w:t>)</w:t>
            </w:r>
          </w:p>
        </w:tc>
      </w:tr>
      <w:tr w:rsidR="00B73A3A" w:rsidRPr="00FD119B" w14:paraId="174F7672" w14:textId="77777777" w:rsidTr="00FD119B">
        <w:tc>
          <w:tcPr>
            <w:tcW w:w="1809" w:type="dxa"/>
          </w:tcPr>
          <w:p w14:paraId="65EA0D0A" w14:textId="77777777" w:rsidR="00B73A3A" w:rsidRDefault="00B73A3A" w:rsidP="00B73A3A">
            <w:r>
              <w:t>PEF</w:t>
            </w:r>
          </w:p>
        </w:tc>
        <w:tc>
          <w:tcPr>
            <w:tcW w:w="6911" w:type="dxa"/>
          </w:tcPr>
          <w:p w14:paraId="5F03292C" w14:textId="61823ACC" w:rsidR="00B73A3A" w:rsidRDefault="00B73A3A" w:rsidP="00101163">
            <w:r>
              <w:t xml:space="preserve">Peak </w:t>
            </w:r>
            <w:r w:rsidR="00101163">
              <w:t>expiratory flow</w:t>
            </w:r>
          </w:p>
        </w:tc>
      </w:tr>
      <w:tr w:rsidR="00E53A6B" w:rsidRPr="00FD119B" w14:paraId="2A43FB4A" w14:textId="77777777" w:rsidTr="00FD119B">
        <w:tc>
          <w:tcPr>
            <w:tcW w:w="1809" w:type="dxa"/>
          </w:tcPr>
          <w:p w14:paraId="5E7FB7BF" w14:textId="77777777" w:rsidR="00E53A6B" w:rsidRDefault="00E53A6B" w:rsidP="00B73A3A">
            <w:r w:rsidRPr="00CF0D26">
              <w:t>ppFEV1</w:t>
            </w:r>
          </w:p>
        </w:tc>
        <w:tc>
          <w:tcPr>
            <w:tcW w:w="6911" w:type="dxa"/>
          </w:tcPr>
          <w:p w14:paraId="64B90D66" w14:textId="632C977F" w:rsidR="00E53A6B" w:rsidRDefault="00E53A6B" w:rsidP="00B73A3A">
            <w:r>
              <w:t xml:space="preserve">Percent predicted </w:t>
            </w:r>
            <w:r w:rsidR="00101163">
              <w:t>forced expiratory volume in 1 second (</w:t>
            </w:r>
            <w:r>
              <w:t>FEV1</w:t>
            </w:r>
            <w:r w:rsidR="00101163">
              <w:t>)</w:t>
            </w:r>
          </w:p>
        </w:tc>
      </w:tr>
      <w:tr w:rsidR="00B73A3A" w:rsidRPr="00FD119B" w14:paraId="0CF1B409" w14:textId="77777777" w:rsidTr="00FD119B">
        <w:tc>
          <w:tcPr>
            <w:tcW w:w="1809" w:type="dxa"/>
          </w:tcPr>
          <w:p w14:paraId="0D0C1BAE" w14:textId="77777777" w:rsidR="00B73A3A" w:rsidRDefault="00B73A3A" w:rsidP="00B73A3A">
            <w:r>
              <w:t>PI</w:t>
            </w:r>
          </w:p>
        </w:tc>
        <w:tc>
          <w:tcPr>
            <w:tcW w:w="6911" w:type="dxa"/>
          </w:tcPr>
          <w:p w14:paraId="248E94DD" w14:textId="77777777" w:rsidR="00B73A3A" w:rsidRDefault="00F511F9" w:rsidP="00B73A3A">
            <w:r>
              <w:t>Product Information</w:t>
            </w:r>
          </w:p>
        </w:tc>
      </w:tr>
      <w:tr w:rsidR="00B73A3A" w:rsidRPr="00FD119B" w14:paraId="1C0D1254" w14:textId="77777777" w:rsidTr="00FD119B">
        <w:tc>
          <w:tcPr>
            <w:tcW w:w="1809" w:type="dxa"/>
          </w:tcPr>
          <w:p w14:paraId="2F947744" w14:textId="77777777" w:rsidR="00B73A3A" w:rsidRDefault="00B73A3A" w:rsidP="00B73A3A">
            <w:r>
              <w:t>PK</w:t>
            </w:r>
          </w:p>
        </w:tc>
        <w:tc>
          <w:tcPr>
            <w:tcW w:w="6911" w:type="dxa"/>
          </w:tcPr>
          <w:p w14:paraId="6DB035CE" w14:textId="40BCBC01" w:rsidR="00B73A3A" w:rsidRDefault="00B73A3A" w:rsidP="00B73A3A">
            <w:r>
              <w:t>Pharmacokinetic</w:t>
            </w:r>
            <w:r w:rsidR="00101163">
              <w:t>(s)</w:t>
            </w:r>
          </w:p>
        </w:tc>
      </w:tr>
      <w:tr w:rsidR="00F971ED" w:rsidRPr="00FD119B" w14:paraId="282756B1" w14:textId="77777777" w:rsidTr="00FD119B">
        <w:tc>
          <w:tcPr>
            <w:tcW w:w="1809" w:type="dxa"/>
          </w:tcPr>
          <w:p w14:paraId="3C84E8F9" w14:textId="77777777" w:rsidR="00F971ED" w:rsidRDefault="00F971ED" w:rsidP="00B73A3A">
            <w:r w:rsidRPr="004D0DEB">
              <w:t>Q2W</w:t>
            </w:r>
          </w:p>
        </w:tc>
        <w:tc>
          <w:tcPr>
            <w:tcW w:w="6911" w:type="dxa"/>
          </w:tcPr>
          <w:p w14:paraId="51EA64BC" w14:textId="77777777" w:rsidR="00F971ED" w:rsidRDefault="00F971ED" w:rsidP="00B73A3A">
            <w:r>
              <w:t>Every 2 weeks</w:t>
            </w:r>
          </w:p>
        </w:tc>
      </w:tr>
      <w:tr w:rsidR="00B73A3A" w:rsidRPr="00FD119B" w14:paraId="347FECF5" w14:textId="77777777" w:rsidTr="00FD119B">
        <w:tc>
          <w:tcPr>
            <w:tcW w:w="1809" w:type="dxa"/>
          </w:tcPr>
          <w:p w14:paraId="08358857" w14:textId="77777777" w:rsidR="00B73A3A" w:rsidRDefault="00B73A3A" w:rsidP="00B73A3A">
            <w:r>
              <w:t>Q4W</w:t>
            </w:r>
          </w:p>
        </w:tc>
        <w:tc>
          <w:tcPr>
            <w:tcW w:w="6911" w:type="dxa"/>
          </w:tcPr>
          <w:p w14:paraId="08BC2263" w14:textId="77777777" w:rsidR="00B73A3A" w:rsidRDefault="00B73A3A" w:rsidP="00B73A3A">
            <w:r>
              <w:t>Every 4 weeks</w:t>
            </w:r>
          </w:p>
        </w:tc>
      </w:tr>
      <w:tr w:rsidR="00B73A3A" w:rsidRPr="00FD119B" w14:paraId="2B5BBE8F" w14:textId="77777777" w:rsidTr="00FD119B">
        <w:tc>
          <w:tcPr>
            <w:tcW w:w="1809" w:type="dxa"/>
          </w:tcPr>
          <w:p w14:paraId="2AB2474D" w14:textId="77777777" w:rsidR="00B73A3A" w:rsidRDefault="00B73A3A" w:rsidP="00B73A3A">
            <w:r>
              <w:t>Q8W</w:t>
            </w:r>
          </w:p>
        </w:tc>
        <w:tc>
          <w:tcPr>
            <w:tcW w:w="6911" w:type="dxa"/>
          </w:tcPr>
          <w:p w14:paraId="146615B7" w14:textId="77777777" w:rsidR="00B73A3A" w:rsidRDefault="00B73A3A" w:rsidP="00F511F9">
            <w:r>
              <w:t xml:space="preserve">Every </w:t>
            </w:r>
            <w:r w:rsidR="00F511F9">
              <w:t>8 weeks</w:t>
            </w:r>
          </w:p>
        </w:tc>
      </w:tr>
      <w:tr w:rsidR="00B73A3A" w:rsidRPr="00FD119B" w14:paraId="7A1C61F8" w14:textId="77777777" w:rsidTr="00FD119B">
        <w:tc>
          <w:tcPr>
            <w:tcW w:w="1809" w:type="dxa"/>
          </w:tcPr>
          <w:p w14:paraId="79AA4CD0" w14:textId="77777777" w:rsidR="00B73A3A" w:rsidRDefault="00B73A3A" w:rsidP="00B73A3A">
            <w:r>
              <w:t>SABA</w:t>
            </w:r>
          </w:p>
        </w:tc>
        <w:tc>
          <w:tcPr>
            <w:tcW w:w="6911" w:type="dxa"/>
          </w:tcPr>
          <w:p w14:paraId="1551B1BD" w14:textId="5C16854A" w:rsidR="00B73A3A" w:rsidRDefault="00B73A3A" w:rsidP="00B73A3A">
            <w:r>
              <w:t xml:space="preserve">Short-acting </w:t>
            </w:r>
            <w:r w:rsidR="00101163">
              <w:t>beta 2 (</w:t>
            </w:r>
            <w:r>
              <w:t>β</w:t>
            </w:r>
            <w:r w:rsidRPr="003B16F4">
              <w:rPr>
                <w:vertAlign w:val="subscript"/>
              </w:rPr>
              <w:t>2</w:t>
            </w:r>
            <w:r w:rsidR="00101163">
              <w:t xml:space="preserve">) </w:t>
            </w:r>
            <w:r>
              <w:t>agonist</w:t>
            </w:r>
            <w:r w:rsidR="00101163">
              <w:t>(</w:t>
            </w:r>
            <w:r>
              <w:t>s</w:t>
            </w:r>
            <w:r w:rsidR="00101163">
              <w:t>)</w:t>
            </w:r>
          </w:p>
        </w:tc>
      </w:tr>
      <w:tr w:rsidR="00B73A3A" w:rsidRPr="00FD119B" w14:paraId="108D3B6F" w14:textId="77777777" w:rsidTr="00FD119B">
        <w:tc>
          <w:tcPr>
            <w:tcW w:w="1809" w:type="dxa"/>
          </w:tcPr>
          <w:p w14:paraId="2DE75DC8" w14:textId="77777777" w:rsidR="00B73A3A" w:rsidRDefault="00B73A3A" w:rsidP="00B73A3A">
            <w:r>
              <w:t>SAE</w:t>
            </w:r>
          </w:p>
        </w:tc>
        <w:tc>
          <w:tcPr>
            <w:tcW w:w="6911" w:type="dxa"/>
          </w:tcPr>
          <w:p w14:paraId="200590B5" w14:textId="2CBB60F4" w:rsidR="00B73A3A" w:rsidRDefault="00B73A3A" w:rsidP="00101163">
            <w:r>
              <w:t xml:space="preserve">Serious </w:t>
            </w:r>
            <w:r w:rsidR="00101163">
              <w:t>adverse event</w:t>
            </w:r>
          </w:p>
        </w:tc>
      </w:tr>
      <w:tr w:rsidR="00B73A3A" w:rsidRPr="00FD119B" w14:paraId="635F353F" w14:textId="77777777" w:rsidTr="00FD119B">
        <w:tc>
          <w:tcPr>
            <w:tcW w:w="1809" w:type="dxa"/>
          </w:tcPr>
          <w:p w14:paraId="152DD656" w14:textId="77777777" w:rsidR="00B73A3A" w:rsidRDefault="00B73A3A" w:rsidP="00B73A3A">
            <w:r>
              <w:t>SC</w:t>
            </w:r>
          </w:p>
        </w:tc>
        <w:tc>
          <w:tcPr>
            <w:tcW w:w="6911" w:type="dxa"/>
          </w:tcPr>
          <w:p w14:paraId="1A845FE3" w14:textId="77777777" w:rsidR="00B73A3A" w:rsidRDefault="00F971ED" w:rsidP="00B73A3A">
            <w:r>
              <w:t>Subcutaneous</w:t>
            </w:r>
          </w:p>
        </w:tc>
      </w:tr>
      <w:tr w:rsidR="00B73A3A" w:rsidRPr="00FD119B" w14:paraId="1310DAE6" w14:textId="77777777" w:rsidTr="00FD119B">
        <w:tc>
          <w:tcPr>
            <w:tcW w:w="1809" w:type="dxa"/>
          </w:tcPr>
          <w:p w14:paraId="568A8B0D" w14:textId="77777777" w:rsidR="00B73A3A" w:rsidRDefault="00B73A3A" w:rsidP="00B73A3A">
            <w:r>
              <w:t>SEAC</w:t>
            </w:r>
          </w:p>
        </w:tc>
        <w:tc>
          <w:tcPr>
            <w:tcW w:w="6911" w:type="dxa"/>
          </w:tcPr>
          <w:p w14:paraId="1C055169" w14:textId="77777777" w:rsidR="00B73A3A" w:rsidRDefault="00B73A3A" w:rsidP="00B73A3A">
            <w:r>
              <w:t>Safety Endpoint Adjudication Committee</w:t>
            </w:r>
          </w:p>
        </w:tc>
      </w:tr>
      <w:tr w:rsidR="00B73A3A" w:rsidRPr="00FD119B" w14:paraId="610F8E0A" w14:textId="77777777" w:rsidTr="00FD119B">
        <w:tc>
          <w:tcPr>
            <w:tcW w:w="1809" w:type="dxa"/>
          </w:tcPr>
          <w:p w14:paraId="08AA7469" w14:textId="77777777" w:rsidR="00B73A3A" w:rsidRDefault="00B73A3A" w:rsidP="00B73A3A">
            <w:r>
              <w:t>SOC</w:t>
            </w:r>
          </w:p>
        </w:tc>
        <w:tc>
          <w:tcPr>
            <w:tcW w:w="6911" w:type="dxa"/>
          </w:tcPr>
          <w:p w14:paraId="0E40A53B" w14:textId="77777777" w:rsidR="00B73A3A" w:rsidRDefault="00B73A3A" w:rsidP="00B73A3A">
            <w:r>
              <w:t>System Order Class</w:t>
            </w:r>
          </w:p>
        </w:tc>
      </w:tr>
      <w:tr w:rsidR="00B73A3A" w:rsidRPr="00FD119B" w14:paraId="7F778038" w14:textId="77777777" w:rsidTr="00FD119B">
        <w:tc>
          <w:tcPr>
            <w:tcW w:w="1809" w:type="dxa"/>
          </w:tcPr>
          <w:p w14:paraId="2CC90C05" w14:textId="77777777" w:rsidR="00B73A3A" w:rsidRDefault="00B73A3A" w:rsidP="00B73A3A">
            <w:r>
              <w:t>TEAE</w:t>
            </w:r>
          </w:p>
        </w:tc>
        <w:tc>
          <w:tcPr>
            <w:tcW w:w="6911" w:type="dxa"/>
          </w:tcPr>
          <w:p w14:paraId="37DEF55B" w14:textId="27FC9FCD" w:rsidR="00B73A3A" w:rsidRDefault="00B73A3A" w:rsidP="00101163">
            <w:r>
              <w:t>Treatment-</w:t>
            </w:r>
            <w:r w:rsidR="00101163">
              <w:t>emergent adverse event</w:t>
            </w:r>
          </w:p>
        </w:tc>
      </w:tr>
      <w:tr w:rsidR="00B73A3A" w:rsidRPr="00FD119B" w14:paraId="20B0F740" w14:textId="77777777" w:rsidTr="00FD119B">
        <w:tc>
          <w:tcPr>
            <w:tcW w:w="1809" w:type="dxa"/>
          </w:tcPr>
          <w:p w14:paraId="267ECE38" w14:textId="77777777" w:rsidR="00B73A3A" w:rsidRDefault="00B73A3A" w:rsidP="00B73A3A">
            <w:r>
              <w:rPr>
                <w:lang w:eastAsia="ja-JP"/>
              </w:rPr>
              <w:t>T</w:t>
            </w:r>
            <w:r w:rsidRPr="005C6795">
              <w:rPr>
                <w:vertAlign w:val="subscript"/>
                <w:lang w:eastAsia="ja-JP"/>
              </w:rPr>
              <w:t>max</w:t>
            </w:r>
          </w:p>
        </w:tc>
        <w:tc>
          <w:tcPr>
            <w:tcW w:w="6911" w:type="dxa"/>
          </w:tcPr>
          <w:p w14:paraId="69BA0725" w14:textId="77777777" w:rsidR="00B73A3A" w:rsidRDefault="00B73A3A" w:rsidP="00B73A3A">
            <w:r>
              <w:t>Time to maximum plasma concentration</w:t>
            </w:r>
          </w:p>
        </w:tc>
      </w:tr>
      <w:tr w:rsidR="00B73A3A" w:rsidRPr="00FD119B" w14:paraId="536B4FDD" w14:textId="77777777" w:rsidTr="00FD119B">
        <w:tc>
          <w:tcPr>
            <w:tcW w:w="1809" w:type="dxa"/>
          </w:tcPr>
          <w:p w14:paraId="400A1FCD" w14:textId="77777777" w:rsidR="00B73A3A" w:rsidRDefault="00B73A3A" w:rsidP="00B73A3A">
            <w:r>
              <w:t>ULN</w:t>
            </w:r>
          </w:p>
        </w:tc>
        <w:tc>
          <w:tcPr>
            <w:tcW w:w="6911" w:type="dxa"/>
          </w:tcPr>
          <w:p w14:paraId="5F72D53C" w14:textId="7926B1CD" w:rsidR="00B73A3A" w:rsidRDefault="00B73A3A" w:rsidP="00101163">
            <w:r>
              <w:t xml:space="preserve">Upper </w:t>
            </w:r>
            <w:r w:rsidR="00101163">
              <w:t xml:space="preserve">limit </w:t>
            </w:r>
            <w:r>
              <w:t xml:space="preserve">of </w:t>
            </w:r>
            <w:r w:rsidR="00101163">
              <w:t>normal</w:t>
            </w:r>
          </w:p>
        </w:tc>
      </w:tr>
      <w:tr w:rsidR="00367960" w:rsidRPr="00FD119B" w14:paraId="0C46CDA5" w14:textId="77777777" w:rsidTr="00FD119B">
        <w:tc>
          <w:tcPr>
            <w:tcW w:w="1809" w:type="dxa"/>
          </w:tcPr>
          <w:p w14:paraId="56E3AECB" w14:textId="77777777" w:rsidR="00367960" w:rsidRDefault="00367960">
            <w:r w:rsidRPr="007837D6">
              <w:rPr>
                <w:lang w:eastAsia="ja-JP"/>
              </w:rPr>
              <w:t>WCC</w:t>
            </w:r>
          </w:p>
        </w:tc>
        <w:tc>
          <w:tcPr>
            <w:tcW w:w="6911" w:type="dxa"/>
          </w:tcPr>
          <w:p w14:paraId="77B595F5" w14:textId="77777777" w:rsidR="00367960" w:rsidRDefault="00367960">
            <w:r>
              <w:rPr>
                <w:lang w:eastAsia="ja-JP"/>
              </w:rPr>
              <w:t>White cell count</w:t>
            </w:r>
          </w:p>
        </w:tc>
      </w:tr>
    </w:tbl>
    <w:p w14:paraId="134BED50" w14:textId="77777777" w:rsidR="00FD119B" w:rsidRDefault="00FD119B" w:rsidP="00FD119B"/>
    <w:p w14:paraId="62DBDCA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7AC83D4" w14:textId="77777777" w:rsidR="008E7846" w:rsidRDefault="00F53C07" w:rsidP="008E7846">
      <w:pPr>
        <w:pStyle w:val="Heading2"/>
      </w:pPr>
      <w:bookmarkStart w:id="9" w:name="_Toc1653571"/>
      <w:r>
        <w:lastRenderedPageBreak/>
        <w:t>I.</w:t>
      </w:r>
      <w:r w:rsidR="008E7846">
        <w:t xml:space="preserve"> Introduction to product submission</w:t>
      </w:r>
      <w:bookmarkEnd w:id="9"/>
      <w:bookmarkEnd w:id="3"/>
      <w:bookmarkEnd w:id="1"/>
    </w:p>
    <w:p w14:paraId="204A2659" w14:textId="77777777" w:rsidR="008E7846" w:rsidRDefault="008E7846" w:rsidP="008E7846">
      <w:pPr>
        <w:pStyle w:val="Heading3"/>
        <w:rPr>
          <w:lang w:eastAsia="en-AU"/>
        </w:rPr>
      </w:pPr>
      <w:bookmarkStart w:id="10" w:name="_Toc247691502"/>
      <w:bookmarkStart w:id="11" w:name="_Toc314842483"/>
      <w:bookmarkStart w:id="12" w:name="_Toc165357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6E7F86E7" w14:textId="77777777" w:rsidTr="003735BC">
        <w:tc>
          <w:tcPr>
            <w:tcW w:w="2907" w:type="dxa"/>
          </w:tcPr>
          <w:p w14:paraId="57ADDF0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450E575" w14:textId="77777777" w:rsidR="008E7846" w:rsidRPr="003D1E62" w:rsidRDefault="008E7846" w:rsidP="00AC6F77">
            <w:r w:rsidRPr="003D1E62">
              <w:t xml:space="preserve">New </w:t>
            </w:r>
            <w:r w:rsidR="00AC6F77">
              <w:t>biological</w:t>
            </w:r>
            <w:r w:rsidRPr="003D1E62">
              <w:t xml:space="preserve"> </w:t>
            </w:r>
            <w:r w:rsidR="001B5C90">
              <w:t>e</w:t>
            </w:r>
            <w:r w:rsidR="00AC6F77">
              <w:t>ntity</w:t>
            </w:r>
          </w:p>
        </w:tc>
      </w:tr>
      <w:tr w:rsidR="008E7846" w:rsidRPr="003D1E62" w14:paraId="17D3DAAA" w14:textId="77777777" w:rsidTr="003735BC">
        <w:tc>
          <w:tcPr>
            <w:tcW w:w="2907" w:type="dxa"/>
          </w:tcPr>
          <w:p w14:paraId="2D673E1C" w14:textId="77777777" w:rsidR="008E7846" w:rsidRPr="003D1E62" w:rsidRDefault="008E7846" w:rsidP="003D1E62">
            <w:r w:rsidRPr="003D1E62">
              <w:rPr>
                <w:i/>
              </w:rPr>
              <w:t>Decision</w:t>
            </w:r>
            <w:r w:rsidRPr="003D1E62">
              <w:t>:</w:t>
            </w:r>
          </w:p>
        </w:tc>
        <w:tc>
          <w:tcPr>
            <w:tcW w:w="6307" w:type="dxa"/>
          </w:tcPr>
          <w:p w14:paraId="6CC68B1D" w14:textId="77777777" w:rsidR="008E7846" w:rsidRPr="003D1E62" w:rsidRDefault="00F958EF" w:rsidP="00F958EF">
            <w:r>
              <w:t>Approved</w:t>
            </w:r>
          </w:p>
        </w:tc>
      </w:tr>
      <w:tr w:rsidR="008E7846" w:rsidRPr="003D1E62" w14:paraId="57D025FB" w14:textId="77777777" w:rsidTr="003735BC">
        <w:tc>
          <w:tcPr>
            <w:tcW w:w="2907" w:type="dxa"/>
          </w:tcPr>
          <w:p w14:paraId="35785A70"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65325ABE" w14:textId="77777777" w:rsidR="008E7846" w:rsidRPr="003D1E62" w:rsidRDefault="00F958EF" w:rsidP="001B5C90">
            <w:r>
              <w:t>29 March 2018</w:t>
            </w:r>
          </w:p>
        </w:tc>
      </w:tr>
      <w:tr w:rsidR="00ED2922" w:rsidRPr="003D1E62" w14:paraId="20F3758B" w14:textId="77777777" w:rsidTr="003735BC">
        <w:tc>
          <w:tcPr>
            <w:tcW w:w="2907" w:type="dxa"/>
          </w:tcPr>
          <w:p w14:paraId="674DEACB" w14:textId="77777777" w:rsidR="00ED2922" w:rsidRPr="00441C3F" w:rsidRDefault="00ED2922" w:rsidP="001B5C90">
            <w:pPr>
              <w:rPr>
                <w:i/>
              </w:rPr>
            </w:pPr>
            <w:r w:rsidRPr="00441C3F">
              <w:rPr>
                <w:i/>
              </w:rPr>
              <w:t>Date of entry onto ARTG</w:t>
            </w:r>
            <w:r w:rsidR="00500337">
              <w:rPr>
                <w:i/>
              </w:rPr>
              <w:t>:</w:t>
            </w:r>
          </w:p>
        </w:tc>
        <w:tc>
          <w:tcPr>
            <w:tcW w:w="6307" w:type="dxa"/>
          </w:tcPr>
          <w:p w14:paraId="33355B11" w14:textId="77777777" w:rsidR="00ED2922" w:rsidRPr="00441C3F" w:rsidRDefault="00F958EF" w:rsidP="00AC6F77">
            <w:pPr>
              <w:rPr>
                <w:i/>
              </w:rPr>
            </w:pPr>
            <w:r>
              <w:t>2 April 2018</w:t>
            </w:r>
          </w:p>
        </w:tc>
      </w:tr>
      <w:tr w:rsidR="00500337" w:rsidRPr="003D1E62" w14:paraId="67BBD618" w14:textId="77777777" w:rsidTr="003735BC">
        <w:tc>
          <w:tcPr>
            <w:tcW w:w="2907" w:type="dxa"/>
          </w:tcPr>
          <w:p w14:paraId="36F10B38" w14:textId="77777777" w:rsidR="00500337" w:rsidRPr="00441C3F" w:rsidRDefault="00F958EF" w:rsidP="001B5C90">
            <w:pPr>
              <w:rPr>
                <w:i/>
              </w:rPr>
            </w:pPr>
            <w:r>
              <w:rPr>
                <w:i/>
              </w:rPr>
              <w:t>ARTG number</w:t>
            </w:r>
            <w:r w:rsidR="00500337">
              <w:rPr>
                <w:i/>
              </w:rPr>
              <w:t>:</w:t>
            </w:r>
          </w:p>
        </w:tc>
        <w:tc>
          <w:tcPr>
            <w:tcW w:w="6307" w:type="dxa"/>
          </w:tcPr>
          <w:p w14:paraId="5848463F" w14:textId="77777777" w:rsidR="00500337" w:rsidRPr="00441C3F" w:rsidRDefault="00F958EF" w:rsidP="00EC463D">
            <w:r>
              <w:t>286718</w:t>
            </w:r>
          </w:p>
        </w:tc>
      </w:tr>
      <w:tr w:rsidR="003735BC" w:rsidRPr="003D1E62" w14:paraId="6272BD32" w14:textId="77777777" w:rsidTr="003735BC">
        <w:tc>
          <w:tcPr>
            <w:tcW w:w="2907" w:type="dxa"/>
          </w:tcPr>
          <w:p w14:paraId="2C11568C"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30320E0E" w14:textId="77777777" w:rsidR="003735BC" w:rsidRDefault="00F958EF" w:rsidP="003735BC">
            <w:r>
              <w:t>Yes</w:t>
            </w:r>
          </w:p>
          <w:p w14:paraId="0B51F6B9" w14:textId="77777777" w:rsidR="003735BC" w:rsidRPr="00487162" w:rsidRDefault="003735BC" w:rsidP="003735BC">
            <w:r>
              <w:t xml:space="preserve">This product will remain in the scheme for 5 years, starting on the date the product is first supplied in </w:t>
            </w:r>
            <w:r w:rsidR="00F958EF">
              <w:t>Australia</w:t>
            </w:r>
          </w:p>
        </w:tc>
      </w:tr>
      <w:tr w:rsidR="008E7846" w:rsidRPr="00487162" w14:paraId="1BE0C227" w14:textId="77777777" w:rsidTr="00BF1190">
        <w:tc>
          <w:tcPr>
            <w:tcW w:w="2907" w:type="dxa"/>
          </w:tcPr>
          <w:p w14:paraId="7BA76EF4" w14:textId="77777777" w:rsidR="008E7846" w:rsidRPr="00487162" w:rsidRDefault="00F958EF" w:rsidP="00E45619">
            <w:pPr>
              <w:rPr>
                <w:i/>
              </w:rPr>
            </w:pPr>
            <w:r>
              <w:rPr>
                <w:i/>
              </w:rPr>
              <w:t>Active ingredient</w:t>
            </w:r>
            <w:r w:rsidR="001B5C90">
              <w:rPr>
                <w:i/>
              </w:rPr>
              <w:t>:</w:t>
            </w:r>
          </w:p>
        </w:tc>
        <w:tc>
          <w:tcPr>
            <w:tcW w:w="6307" w:type="dxa"/>
          </w:tcPr>
          <w:p w14:paraId="61588485" w14:textId="77777777" w:rsidR="008E7846" w:rsidRPr="00487162" w:rsidRDefault="00F958EF" w:rsidP="00F958EF">
            <w:r>
              <w:t>Benralizumab</w:t>
            </w:r>
          </w:p>
        </w:tc>
      </w:tr>
      <w:tr w:rsidR="008E7846" w:rsidRPr="00487162" w14:paraId="7161389A" w14:textId="77777777" w:rsidTr="00BF1190">
        <w:tc>
          <w:tcPr>
            <w:tcW w:w="2907" w:type="dxa"/>
          </w:tcPr>
          <w:p w14:paraId="188511DC" w14:textId="77777777" w:rsidR="008E7846" w:rsidRPr="00487162" w:rsidRDefault="008E7846" w:rsidP="001B5C90">
            <w:pPr>
              <w:rPr>
                <w:i/>
              </w:rPr>
            </w:pPr>
            <w:r w:rsidRPr="00487162">
              <w:rPr>
                <w:i/>
              </w:rPr>
              <w:t>Product</w:t>
            </w:r>
            <w:r w:rsidR="00F958EF">
              <w:rPr>
                <w:i/>
              </w:rPr>
              <w:t xml:space="preserve"> name</w:t>
            </w:r>
            <w:r w:rsidR="001B5C90">
              <w:rPr>
                <w:i/>
              </w:rPr>
              <w:t>:</w:t>
            </w:r>
          </w:p>
        </w:tc>
        <w:tc>
          <w:tcPr>
            <w:tcW w:w="6307" w:type="dxa"/>
          </w:tcPr>
          <w:p w14:paraId="440AE789" w14:textId="77777777" w:rsidR="008E7846" w:rsidRPr="00487162" w:rsidRDefault="00F958EF" w:rsidP="00E45619">
            <w:r>
              <w:t>Fasenra</w:t>
            </w:r>
          </w:p>
        </w:tc>
      </w:tr>
      <w:tr w:rsidR="008E7846" w:rsidRPr="00487162" w14:paraId="775EF99B" w14:textId="77777777" w:rsidTr="00BF1190">
        <w:tc>
          <w:tcPr>
            <w:tcW w:w="2907" w:type="dxa"/>
          </w:tcPr>
          <w:p w14:paraId="39C550E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1BC6EA0" w14:textId="77777777" w:rsidR="008E7846" w:rsidRDefault="00F958EF" w:rsidP="00E45619">
            <w:r w:rsidRPr="00F958EF">
              <w:t>AstraZeneca Pty Ltd</w:t>
            </w:r>
          </w:p>
          <w:p w14:paraId="14ECD462" w14:textId="77777777" w:rsidR="00744567" w:rsidRDefault="00744567" w:rsidP="00E45619">
            <w:r>
              <w:t>PO Box 131</w:t>
            </w:r>
          </w:p>
          <w:p w14:paraId="5C9C686D" w14:textId="77777777" w:rsidR="00744567" w:rsidRPr="00F958EF" w:rsidRDefault="00744567" w:rsidP="00E45619">
            <w:r>
              <w:t>North Ryde NSW 1670</w:t>
            </w:r>
          </w:p>
        </w:tc>
      </w:tr>
      <w:tr w:rsidR="008E7846" w:rsidRPr="00487162" w14:paraId="6D4F8689" w14:textId="77777777" w:rsidTr="00BF1190">
        <w:tc>
          <w:tcPr>
            <w:tcW w:w="2907" w:type="dxa"/>
          </w:tcPr>
          <w:p w14:paraId="119AB19D" w14:textId="77777777" w:rsidR="008E7846" w:rsidRPr="00487162" w:rsidRDefault="00F958EF" w:rsidP="00E45619">
            <w:pPr>
              <w:rPr>
                <w:i/>
              </w:rPr>
            </w:pPr>
            <w:r>
              <w:rPr>
                <w:i/>
              </w:rPr>
              <w:t>Dose form</w:t>
            </w:r>
            <w:r w:rsidR="001B5C90">
              <w:rPr>
                <w:i/>
              </w:rPr>
              <w:t>:</w:t>
            </w:r>
          </w:p>
        </w:tc>
        <w:tc>
          <w:tcPr>
            <w:tcW w:w="6307" w:type="dxa"/>
          </w:tcPr>
          <w:p w14:paraId="769C82B6" w14:textId="77777777" w:rsidR="008E7846" w:rsidRPr="00487162" w:rsidRDefault="00F958EF" w:rsidP="00E45619">
            <w:r>
              <w:t>Solution for injection</w:t>
            </w:r>
          </w:p>
        </w:tc>
      </w:tr>
      <w:tr w:rsidR="008E7846" w:rsidRPr="00487162" w14:paraId="1EDE81B0" w14:textId="77777777" w:rsidTr="00BF1190">
        <w:tc>
          <w:tcPr>
            <w:tcW w:w="2907" w:type="dxa"/>
          </w:tcPr>
          <w:p w14:paraId="1EE930E1" w14:textId="77777777" w:rsidR="008E7846" w:rsidRPr="00487162" w:rsidRDefault="00F958EF" w:rsidP="00E45619">
            <w:pPr>
              <w:rPr>
                <w:i/>
              </w:rPr>
            </w:pPr>
            <w:r>
              <w:rPr>
                <w:i/>
              </w:rPr>
              <w:t>Strength</w:t>
            </w:r>
            <w:r w:rsidR="008E7846" w:rsidRPr="00487162">
              <w:rPr>
                <w:i/>
              </w:rPr>
              <w:t xml:space="preserve">: </w:t>
            </w:r>
          </w:p>
        </w:tc>
        <w:tc>
          <w:tcPr>
            <w:tcW w:w="6307" w:type="dxa"/>
          </w:tcPr>
          <w:p w14:paraId="7304EBFF" w14:textId="77777777" w:rsidR="008E7846" w:rsidRPr="00487162" w:rsidRDefault="00C168F7" w:rsidP="00E45619">
            <w:r>
              <w:t xml:space="preserve">30 mg in1 </w:t>
            </w:r>
            <w:r w:rsidR="00F958EF">
              <w:t>mL</w:t>
            </w:r>
          </w:p>
        </w:tc>
      </w:tr>
      <w:tr w:rsidR="008E7846" w:rsidRPr="00487162" w14:paraId="4F27AE09" w14:textId="77777777" w:rsidTr="00BF1190">
        <w:tc>
          <w:tcPr>
            <w:tcW w:w="2907" w:type="dxa"/>
          </w:tcPr>
          <w:p w14:paraId="5921EDB7" w14:textId="77777777" w:rsidR="008E7846" w:rsidRPr="00487162" w:rsidRDefault="00F958EF" w:rsidP="00E45619">
            <w:pPr>
              <w:rPr>
                <w:i/>
              </w:rPr>
            </w:pPr>
            <w:r>
              <w:rPr>
                <w:i/>
              </w:rPr>
              <w:t>Container</w:t>
            </w:r>
            <w:r w:rsidR="008E7846" w:rsidRPr="00487162">
              <w:rPr>
                <w:i/>
              </w:rPr>
              <w:t>:</w:t>
            </w:r>
          </w:p>
        </w:tc>
        <w:tc>
          <w:tcPr>
            <w:tcW w:w="6307" w:type="dxa"/>
          </w:tcPr>
          <w:p w14:paraId="05A968D7" w14:textId="77777777" w:rsidR="008E7846" w:rsidRPr="00487162" w:rsidRDefault="00AC6F77" w:rsidP="00E45619">
            <w:r>
              <w:t xml:space="preserve">Prefilled </w:t>
            </w:r>
            <w:r w:rsidR="00F958EF">
              <w:t>syringe</w:t>
            </w:r>
          </w:p>
        </w:tc>
      </w:tr>
      <w:tr w:rsidR="008E7846" w:rsidRPr="00487162" w14:paraId="71FFF681" w14:textId="77777777" w:rsidTr="00BF1190">
        <w:tc>
          <w:tcPr>
            <w:tcW w:w="2907" w:type="dxa"/>
          </w:tcPr>
          <w:p w14:paraId="404C765F" w14:textId="77777777" w:rsidR="008E7846" w:rsidRPr="00487162" w:rsidRDefault="00F958EF" w:rsidP="00E45619">
            <w:pPr>
              <w:rPr>
                <w:i/>
              </w:rPr>
            </w:pPr>
            <w:r>
              <w:rPr>
                <w:i/>
              </w:rPr>
              <w:t>Pack size</w:t>
            </w:r>
            <w:r w:rsidR="008E7846" w:rsidRPr="00487162">
              <w:rPr>
                <w:i/>
              </w:rPr>
              <w:t>:</w:t>
            </w:r>
          </w:p>
        </w:tc>
        <w:tc>
          <w:tcPr>
            <w:tcW w:w="6307" w:type="dxa"/>
          </w:tcPr>
          <w:p w14:paraId="5065F1F4" w14:textId="77777777" w:rsidR="008E7846" w:rsidRPr="00487162" w:rsidRDefault="00F958EF" w:rsidP="00F958EF">
            <w:r>
              <w:t>1</w:t>
            </w:r>
          </w:p>
        </w:tc>
      </w:tr>
      <w:tr w:rsidR="008E7846" w:rsidRPr="00487162" w14:paraId="1D08F63D" w14:textId="77777777" w:rsidTr="00BF1190">
        <w:tc>
          <w:tcPr>
            <w:tcW w:w="2907" w:type="dxa"/>
          </w:tcPr>
          <w:p w14:paraId="03A09D0A"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3B54AF2" w14:textId="77777777" w:rsidR="008E7846" w:rsidRPr="00075C43" w:rsidRDefault="00075C43" w:rsidP="00E45619">
            <w:pPr>
              <w:rPr>
                <w:i/>
              </w:rPr>
            </w:pPr>
            <w:r w:rsidRPr="00075C43">
              <w:rPr>
                <w:i/>
              </w:rPr>
              <w:t xml:space="preserve">Fasenra is indicated as add-on </w:t>
            </w:r>
            <w:proofErr w:type="gramStart"/>
            <w:r w:rsidRPr="00075C43">
              <w:rPr>
                <w:i/>
              </w:rPr>
              <w:t xml:space="preserve">therapy in patients aged 12 years and over with severe eosinophilic asthma (blood eosinophil count </w:t>
            </w:r>
            <w:r w:rsidR="007504A5">
              <w:rPr>
                <w:i/>
              </w:rPr>
              <w:t xml:space="preserve">≥ </w:t>
            </w:r>
            <w:r w:rsidRPr="00075C43">
              <w:rPr>
                <w:i/>
              </w:rPr>
              <w:t>300 cells/</w:t>
            </w:r>
            <w:proofErr w:type="spellStart"/>
            <w:r w:rsidRPr="00075C43">
              <w:rPr>
                <w:i/>
              </w:rPr>
              <w:t>μL</w:t>
            </w:r>
            <w:proofErr w:type="spellEnd"/>
            <w:r w:rsidRPr="00075C43">
              <w:rPr>
                <w:i/>
              </w:rPr>
              <w:t xml:space="preserve"> or </w:t>
            </w:r>
            <w:r w:rsidR="007504A5">
              <w:rPr>
                <w:i/>
              </w:rPr>
              <w:t xml:space="preserve">≥ </w:t>
            </w:r>
            <w:r w:rsidR="00486984">
              <w:rPr>
                <w:i/>
              </w:rPr>
              <w:t>1</w:t>
            </w:r>
            <w:r w:rsidRPr="00075C43">
              <w:rPr>
                <w:i/>
              </w:rPr>
              <w:t>50 cells/</w:t>
            </w:r>
            <w:proofErr w:type="spellStart"/>
            <w:r w:rsidRPr="00075C43">
              <w:rPr>
                <w:i/>
              </w:rPr>
              <w:t>μL</w:t>
            </w:r>
            <w:proofErr w:type="spellEnd"/>
            <w:r w:rsidRPr="00075C43">
              <w:rPr>
                <w:i/>
              </w:rPr>
              <w:t xml:space="preserve"> if on oral corticosteroid treatment) (see</w:t>
            </w:r>
            <w:proofErr w:type="gramEnd"/>
            <w:r w:rsidRPr="00075C43">
              <w:rPr>
                <w:i/>
              </w:rPr>
              <w:t xml:space="preserve"> Section 5.1 [Clinical Trials]).</w:t>
            </w:r>
          </w:p>
        </w:tc>
      </w:tr>
      <w:tr w:rsidR="008E7846" w:rsidRPr="00487162" w14:paraId="246038C5" w14:textId="77777777" w:rsidTr="00BF1190">
        <w:tc>
          <w:tcPr>
            <w:tcW w:w="2907" w:type="dxa"/>
          </w:tcPr>
          <w:p w14:paraId="7BDB5135" w14:textId="77777777" w:rsidR="008E7846" w:rsidRPr="00487162" w:rsidRDefault="00F958EF" w:rsidP="00E45619">
            <w:pPr>
              <w:rPr>
                <w:i/>
              </w:rPr>
            </w:pPr>
            <w:r>
              <w:rPr>
                <w:i/>
              </w:rPr>
              <w:t>Route</w:t>
            </w:r>
            <w:r w:rsidR="008E7846" w:rsidRPr="00487162">
              <w:rPr>
                <w:i/>
              </w:rPr>
              <w:t xml:space="preserve"> of administration:</w:t>
            </w:r>
          </w:p>
        </w:tc>
        <w:tc>
          <w:tcPr>
            <w:tcW w:w="6307" w:type="dxa"/>
          </w:tcPr>
          <w:p w14:paraId="27C7504C" w14:textId="5C7FFA6F" w:rsidR="008E7846" w:rsidRPr="00487162" w:rsidRDefault="00AD6903" w:rsidP="00F958EF">
            <w:r>
              <w:t>Subcutaneous</w:t>
            </w:r>
          </w:p>
        </w:tc>
      </w:tr>
      <w:tr w:rsidR="008E7846" w:rsidRPr="00487162" w14:paraId="1C949CBF" w14:textId="77777777" w:rsidTr="00BF1190">
        <w:tc>
          <w:tcPr>
            <w:tcW w:w="2907" w:type="dxa"/>
          </w:tcPr>
          <w:p w14:paraId="1A6EAA25" w14:textId="77777777" w:rsidR="008E7846" w:rsidRPr="00487162" w:rsidRDefault="008E7846" w:rsidP="00E45619">
            <w:pPr>
              <w:rPr>
                <w:i/>
              </w:rPr>
            </w:pPr>
            <w:r w:rsidRPr="00487162">
              <w:rPr>
                <w:i/>
              </w:rPr>
              <w:t>Dosage:</w:t>
            </w:r>
          </w:p>
        </w:tc>
        <w:tc>
          <w:tcPr>
            <w:tcW w:w="6307" w:type="dxa"/>
          </w:tcPr>
          <w:p w14:paraId="22821959" w14:textId="77777777" w:rsidR="00EB1D35" w:rsidRPr="00EB1D35" w:rsidRDefault="00EB1D35" w:rsidP="00EB1D35">
            <w:r w:rsidRPr="00EB1D35">
              <w:t>Fasenra should be prescribed by a health care professional in consultation with a specialist</w:t>
            </w:r>
            <w:r>
              <w:t xml:space="preserve"> </w:t>
            </w:r>
            <w:r w:rsidRPr="00EB1D35">
              <w:t>physician experienced in the diagnosis and treatment of severe asthma</w:t>
            </w:r>
            <w:r>
              <w:t>.</w:t>
            </w:r>
          </w:p>
          <w:p w14:paraId="74131EE1" w14:textId="77777777" w:rsidR="008E7846" w:rsidRPr="00EB1D35" w:rsidRDefault="00EB1D35" w:rsidP="00EB1D35">
            <w:r w:rsidRPr="00EB1D35">
              <w:t>The recommended dose is 30 mg of Fasenra by subcutaneous injection every 4 weeks for the first 3</w:t>
            </w:r>
            <w:r>
              <w:t xml:space="preserve"> </w:t>
            </w:r>
            <w:r w:rsidRPr="00EB1D35">
              <w:t>doses, and then every 8 weeks thereafter</w:t>
            </w:r>
            <w:r>
              <w:t>. For further details please see the Product Information.</w:t>
            </w:r>
          </w:p>
        </w:tc>
      </w:tr>
    </w:tbl>
    <w:p w14:paraId="0C4DFA5F" w14:textId="77777777" w:rsidR="008E7846" w:rsidRDefault="008E7846" w:rsidP="00EB1D35">
      <w:pPr>
        <w:pStyle w:val="Heading3"/>
        <w:pageBreakBefore/>
      </w:pPr>
      <w:bookmarkStart w:id="13" w:name="_Toc247691503"/>
      <w:bookmarkStart w:id="14" w:name="_Toc314842484"/>
      <w:bookmarkStart w:id="15" w:name="_Toc1653573"/>
      <w:r>
        <w:lastRenderedPageBreak/>
        <w:t>Product background</w:t>
      </w:r>
      <w:bookmarkEnd w:id="13"/>
      <w:bookmarkEnd w:id="14"/>
      <w:bookmarkEnd w:id="15"/>
    </w:p>
    <w:p w14:paraId="268ABDB8" w14:textId="77777777" w:rsidR="008E7846" w:rsidRDefault="00940A89" w:rsidP="00940A89">
      <w:r w:rsidRPr="00940A89">
        <w:t xml:space="preserve">This AusPAR describes the application by </w:t>
      </w:r>
      <w:r w:rsidR="00C168F7" w:rsidRPr="00F958EF">
        <w:t>AstraZeneca Pty Ltd</w:t>
      </w:r>
      <w:r w:rsidR="00C168F7" w:rsidRPr="00940A89">
        <w:t xml:space="preserve"> </w:t>
      </w:r>
      <w:r w:rsidR="00C168F7">
        <w:t>(</w:t>
      </w:r>
      <w:r w:rsidRPr="00940A89">
        <w:t>the sponsor</w:t>
      </w:r>
      <w:r w:rsidR="00C168F7">
        <w:t>)</w:t>
      </w:r>
      <w:r w:rsidRPr="00940A89">
        <w:t xml:space="preserve"> to register </w:t>
      </w:r>
      <w:r w:rsidR="00C168F7">
        <w:t>Fasenra benralizumab</w:t>
      </w:r>
      <w:r w:rsidRPr="00940A89">
        <w:t xml:space="preserve"> </w:t>
      </w:r>
      <w:r w:rsidR="00C168F7">
        <w:t>30 mg in1 mL</w:t>
      </w:r>
      <w:r w:rsidR="00C168F7" w:rsidRPr="00940A89">
        <w:t xml:space="preserve"> </w:t>
      </w:r>
      <w:r w:rsidR="00C168F7">
        <w:t xml:space="preserve">solution for injection prefilled syringe </w:t>
      </w:r>
      <w:r w:rsidRPr="00940A89">
        <w:t>f</w:t>
      </w:r>
      <w:r w:rsidR="00C168F7">
        <w:t>or the following indication:</w:t>
      </w:r>
    </w:p>
    <w:p w14:paraId="339CFFF4" w14:textId="77777777" w:rsidR="00AC6F77" w:rsidRDefault="00C168F7" w:rsidP="00C168F7">
      <w:pPr>
        <w:ind w:left="720"/>
      </w:pPr>
      <w:r>
        <w:rPr>
          <w:i/>
        </w:rPr>
        <w:t>Fasenra</w:t>
      </w:r>
      <w:r w:rsidRPr="009651D4">
        <w:rPr>
          <w:i/>
        </w:rPr>
        <w:t xml:space="preserve"> is indicated as an add-on maintenance treatment for severe asthma in patients with an eosinophilic phenotype.</w:t>
      </w:r>
    </w:p>
    <w:p w14:paraId="291411C1" w14:textId="6F292F61" w:rsidR="00AC6F77" w:rsidRDefault="00AC6F77" w:rsidP="002A658B">
      <w:r w:rsidRPr="009651D4">
        <w:t>Benralizumab is an anti-eosinophil, monocl</w:t>
      </w:r>
      <w:r w:rsidR="00C168F7">
        <w:t>onal antibody</w:t>
      </w:r>
      <w:r w:rsidR="00101163">
        <w:t xml:space="preserve"> (</w:t>
      </w:r>
      <w:proofErr w:type="spellStart"/>
      <w:r w:rsidR="00101163">
        <w:t>mAb</w:t>
      </w:r>
      <w:proofErr w:type="spellEnd"/>
      <w:r w:rsidR="00101163">
        <w:t>)</w:t>
      </w:r>
      <w:r w:rsidR="00994213">
        <w:t xml:space="preserve">, (specifically an immunoglobulin G1 kappa subtype </w:t>
      </w:r>
      <w:r w:rsidR="00C168F7">
        <w:t>IgG1κ</w:t>
      </w:r>
      <w:r w:rsidR="00994213">
        <w:t>)</w:t>
      </w:r>
      <w:r w:rsidR="00C168F7">
        <w:t xml:space="preserve"> that</w:t>
      </w:r>
      <w:r w:rsidRPr="009651D4">
        <w:t xml:space="preserve"> binds to the alpha subunit of the human interleukin-5 receptor (IL-5Rα) with high affinity (16 </w:t>
      </w:r>
      <w:proofErr w:type="spellStart"/>
      <w:r w:rsidRPr="009651D4">
        <w:t>pM</w:t>
      </w:r>
      <w:proofErr w:type="spellEnd"/>
      <w:r w:rsidRPr="009651D4">
        <w:t>) and specificity.</w:t>
      </w:r>
      <w:r w:rsidR="00F971ED">
        <w:t xml:space="preserve"> </w:t>
      </w:r>
      <w:r w:rsidRPr="009651D4">
        <w:t xml:space="preserve">The </w:t>
      </w:r>
      <w:r w:rsidR="00994213">
        <w:t>i</w:t>
      </w:r>
      <w:r w:rsidR="005E3545">
        <w:t>nterleukin-5</w:t>
      </w:r>
      <w:r w:rsidRPr="009651D4">
        <w:t xml:space="preserve"> receptor is specifically expressed on the surface of eosinophils and basophils.</w:t>
      </w:r>
      <w:r w:rsidR="00F971ED">
        <w:t xml:space="preserve"> </w:t>
      </w:r>
      <w:r w:rsidRPr="009651D4">
        <w:t xml:space="preserve">The high affinity </w:t>
      </w:r>
      <w:r w:rsidR="00C168F7">
        <w:t xml:space="preserve">of </w:t>
      </w:r>
      <w:proofErr w:type="spellStart"/>
      <w:r w:rsidR="00C168F7">
        <w:t>b</w:t>
      </w:r>
      <w:r w:rsidR="00C168F7" w:rsidRPr="009651D4">
        <w:t>enralizumab</w:t>
      </w:r>
      <w:proofErr w:type="spellEnd"/>
      <w:r w:rsidR="005B16C3">
        <w:t xml:space="preserve"> </w:t>
      </w:r>
      <w:r w:rsidR="00994213">
        <w:t>for</w:t>
      </w:r>
      <w:r w:rsidR="005B16C3">
        <w:t xml:space="preserve"> </w:t>
      </w:r>
      <w:proofErr w:type="spellStart"/>
      <w:r w:rsidR="005B16C3" w:rsidRPr="005B16C3">
        <w:t>FcɣRIII</w:t>
      </w:r>
      <w:proofErr w:type="spellEnd"/>
      <w:r w:rsidRPr="009651D4">
        <w:t xml:space="preserve"> receptors on immune effector cells such as natural killer (NK) cells </w:t>
      </w:r>
      <w:r w:rsidR="00994213" w:rsidRPr="009651D4">
        <w:t>lead</w:t>
      </w:r>
      <w:r w:rsidR="00994213">
        <w:t>s</w:t>
      </w:r>
      <w:r w:rsidR="00994213" w:rsidRPr="009651D4">
        <w:t xml:space="preserve"> </w:t>
      </w:r>
      <w:r w:rsidRPr="009651D4">
        <w:t>to apoptosis of eosinophils and basophils through enhanced antibody</w:t>
      </w:r>
      <w:r>
        <w:t xml:space="preserve"> </w:t>
      </w:r>
      <w:r w:rsidR="00925684">
        <w:t xml:space="preserve">dependent cell </w:t>
      </w:r>
      <w:r w:rsidRPr="009651D4">
        <w:t>mediated cytotoxicity (ADCC).</w:t>
      </w:r>
    </w:p>
    <w:p w14:paraId="01F9D1FD" w14:textId="400DA6C8" w:rsidR="00C168F7" w:rsidRDefault="00C168F7" w:rsidP="00C168F7">
      <w:r w:rsidRPr="00AC6F77">
        <w:t xml:space="preserve">The term </w:t>
      </w:r>
      <w:r w:rsidR="005236C7">
        <w:t>‘</w:t>
      </w:r>
      <w:r w:rsidRPr="00AC6F77">
        <w:t>eosinophilic asthma</w:t>
      </w:r>
      <w:r w:rsidR="005236C7">
        <w:t>’</w:t>
      </w:r>
      <w:r w:rsidRPr="00AC6F77">
        <w:t xml:space="preserve"> refers to asthma with elevated eosinophils in bronchial biopsy specimens, induced sputum, or peripheral blood, with or without concomitant therapy with inhaled corticosteroids</w:t>
      </w:r>
      <w:r w:rsidR="00994213">
        <w:t xml:space="preserve"> (ICS)</w:t>
      </w:r>
      <w:r>
        <w:t>.</w:t>
      </w:r>
      <w:r w:rsidR="00E14798">
        <w:rPr>
          <w:rStyle w:val="FootnoteReference"/>
        </w:rPr>
        <w:footnoteReference w:id="1"/>
      </w:r>
    </w:p>
    <w:p w14:paraId="67F98537" w14:textId="77777777" w:rsidR="00C168F7" w:rsidRDefault="008368AB" w:rsidP="00C168F7">
      <w:r w:rsidRPr="00AC6F77">
        <w:t>Patients with severe eosinophilic asthma who remain uncontrolled with current standard of care treatment continue to suffer symptoms, frequent exacerbations, and compromised quality of life.</w:t>
      </w:r>
      <w:r w:rsidR="00F971ED">
        <w:t xml:space="preserve"> </w:t>
      </w:r>
      <w:r w:rsidRPr="00AC6F77">
        <w:t>Exacerbations typically require treatment with high doses of systemic corticosteroids and may also require hospitalisation.</w:t>
      </w:r>
      <w:r w:rsidR="00F971ED">
        <w:t xml:space="preserve"> </w:t>
      </w:r>
      <w:r w:rsidRPr="00AC6F77">
        <w:t xml:space="preserve">There is a lack of treatment options for this patient population, so provision of new medications </w:t>
      </w:r>
      <w:r>
        <w:t>is</w:t>
      </w:r>
      <w:r w:rsidRPr="00AC6F77">
        <w:t xml:space="preserve"> need</w:t>
      </w:r>
      <w:r>
        <w:t>ed.</w:t>
      </w:r>
    </w:p>
    <w:p w14:paraId="6A78728F" w14:textId="77777777" w:rsidR="008368AB" w:rsidRPr="00C168F7" w:rsidRDefault="008368AB" w:rsidP="00994213">
      <w:r>
        <w:t xml:space="preserve">Eosinophils </w:t>
      </w:r>
      <w:r w:rsidR="00925684">
        <w:t xml:space="preserve">release </w:t>
      </w:r>
      <w:r w:rsidR="00925684" w:rsidRPr="00994213">
        <w:t>granule</w:t>
      </w:r>
      <w:r w:rsidR="00925684">
        <w:t xml:space="preserve"> </w:t>
      </w:r>
      <w:r w:rsidRPr="000667F2">
        <w:t xml:space="preserve">derived basic proteins, lipid mediators, cytokines, and chemokines that potentiate airway inflammation, contribute to lung tissue remodelling, and are associated with severe asthma exacerbations </w:t>
      </w:r>
      <w:r w:rsidR="00024C6B">
        <w:t>do</w:t>
      </w:r>
      <w:r w:rsidRPr="000667F2">
        <w:t>.</w:t>
      </w:r>
      <w:r w:rsidR="00925684">
        <w:rPr>
          <w:rStyle w:val="FootnoteReference"/>
          <w:sz w:val="21"/>
          <w:szCs w:val="21"/>
        </w:rPr>
        <w:footnoteReference w:id="2"/>
      </w:r>
      <w:r>
        <w:t xml:space="preserve"> </w:t>
      </w:r>
      <w:r w:rsidR="00024C6B" w:rsidRPr="00024C6B">
        <w:t>Eosinophilic inflammation is an important component in the pathogenesis of asthma. Benralizumab, by enhanced ADCC, reduces eosinophilic inflammation.</w:t>
      </w:r>
    </w:p>
    <w:p w14:paraId="29CFD827" w14:textId="77777777" w:rsidR="008E7846" w:rsidRPr="003F31A2" w:rsidRDefault="00386150" w:rsidP="008E7846">
      <w:pPr>
        <w:pStyle w:val="Heading3"/>
      </w:pPr>
      <w:bookmarkStart w:id="16" w:name="_Toc314842485"/>
      <w:bookmarkStart w:id="17" w:name="_Toc247691504"/>
      <w:bookmarkStart w:id="18" w:name="_Toc1653574"/>
      <w:r>
        <w:t>Regulatory s</w:t>
      </w:r>
      <w:r w:rsidR="008E7846">
        <w:t>tatus</w:t>
      </w:r>
      <w:bookmarkEnd w:id="16"/>
      <w:bookmarkEnd w:id="17"/>
      <w:bookmarkEnd w:id="18"/>
    </w:p>
    <w:p w14:paraId="25A421D7" w14:textId="77777777" w:rsidR="0064311E" w:rsidRDefault="00940A89" w:rsidP="00940A89">
      <w:bookmarkStart w:id="19" w:name="_Toc247691505"/>
      <w:bookmarkStart w:id="20" w:name="_Toc314842486"/>
      <w:r w:rsidRPr="00940A89">
        <w:t>The product received initial registration on the Australian Register</w:t>
      </w:r>
      <w:r w:rsidR="00024C6B">
        <w:t xml:space="preserve"> of Therapeutic Goods (ARTG) on 2 April 2018</w:t>
      </w:r>
      <w:r w:rsidR="0064311E">
        <w:t>.</w:t>
      </w:r>
    </w:p>
    <w:p w14:paraId="24B30E7F" w14:textId="1A0B7D0C" w:rsidR="00940A89" w:rsidRDefault="00940A89" w:rsidP="00940A89">
      <w:r w:rsidRPr="00940A89">
        <w:t xml:space="preserve">At the time the TGA considered this </w:t>
      </w:r>
      <w:proofErr w:type="gramStart"/>
      <w:r w:rsidRPr="00940A89">
        <w:t>application,</w:t>
      </w:r>
      <w:proofErr w:type="gramEnd"/>
      <w:r w:rsidRPr="00940A89">
        <w:t xml:space="preserve"> a similar application had been approved </w:t>
      </w:r>
      <w:r w:rsidR="0064311E">
        <w:t>in USA</w:t>
      </w:r>
      <w:r w:rsidR="005A2E3E">
        <w:t xml:space="preserve">, </w:t>
      </w:r>
      <w:r w:rsidR="0064311E">
        <w:t xml:space="preserve">the </w:t>
      </w:r>
      <w:r w:rsidR="00994213">
        <w:t>European Union (</w:t>
      </w:r>
      <w:r w:rsidR="0064311E">
        <w:t>EU</w:t>
      </w:r>
      <w:r w:rsidR="00994213">
        <w:t>)</w:t>
      </w:r>
      <w:r w:rsidR="003B44A7">
        <w:t xml:space="preserve"> and Canada</w:t>
      </w:r>
      <w:r w:rsidR="0064311E">
        <w:t xml:space="preserve"> as shown in Table 1</w:t>
      </w:r>
      <w:r w:rsidR="003B44A7">
        <w:t>,</w:t>
      </w:r>
      <w:r w:rsidR="0064311E">
        <w:t xml:space="preserve"> and </w:t>
      </w:r>
      <w:r w:rsidRPr="00940A89">
        <w:t>was under co</w:t>
      </w:r>
      <w:r>
        <w:t xml:space="preserve">nsideration in </w:t>
      </w:r>
      <w:r w:rsidR="0064311E" w:rsidRPr="00AC6F77">
        <w:t>Switzerland</w:t>
      </w:r>
      <w:r w:rsidR="00DF3B90">
        <w:t>.</w:t>
      </w:r>
    </w:p>
    <w:p w14:paraId="043FEC5E" w14:textId="77777777" w:rsidR="0064311E" w:rsidRDefault="0064311E" w:rsidP="00940A89">
      <w:r w:rsidRPr="00AC6F77">
        <w:t>The Clinical Dossier submitted in Australia is the same as that su</w:t>
      </w:r>
      <w:r>
        <w:t>bmitted in the other countries.</w:t>
      </w:r>
    </w:p>
    <w:p w14:paraId="235B778A" w14:textId="77777777" w:rsidR="00EC4D39" w:rsidRPr="0098300A" w:rsidRDefault="00EC4D39" w:rsidP="003470A8">
      <w:pPr>
        <w:pStyle w:val="TableTitle"/>
      </w:pPr>
      <w:r w:rsidRPr="0098300A">
        <w:t>Table</w:t>
      </w:r>
      <w:r w:rsidR="006A44F0">
        <w:t xml:space="preserve"> 1</w:t>
      </w:r>
      <w:r w:rsidRPr="0098300A">
        <w:t>: Overseas regulatory status of benralizumab</w:t>
      </w:r>
    </w:p>
    <w:tbl>
      <w:tblPr>
        <w:tblStyle w:val="TableTGAblue"/>
        <w:tblW w:w="0" w:type="auto"/>
        <w:tblLook w:val="04A0" w:firstRow="1" w:lastRow="0" w:firstColumn="1" w:lastColumn="0" w:noHBand="0" w:noVBand="1"/>
      </w:tblPr>
      <w:tblGrid>
        <w:gridCol w:w="1628"/>
        <w:gridCol w:w="2952"/>
        <w:gridCol w:w="4140"/>
      </w:tblGrid>
      <w:tr w:rsidR="00EC4D39" w:rsidRPr="002471FD" w14:paraId="76B19CF3" w14:textId="77777777" w:rsidTr="002471FD">
        <w:trPr>
          <w:cnfStyle w:val="100000000000" w:firstRow="1" w:lastRow="0" w:firstColumn="0" w:lastColumn="0" w:oddVBand="0" w:evenVBand="0" w:oddHBand="0" w:evenHBand="0" w:firstRowFirstColumn="0" w:firstRowLastColumn="0" w:lastRowFirstColumn="0" w:lastRowLastColumn="0"/>
          <w:cantSplit/>
        </w:trPr>
        <w:tc>
          <w:tcPr>
            <w:tcW w:w="1531" w:type="dxa"/>
          </w:tcPr>
          <w:p w14:paraId="0705B51D" w14:textId="77777777" w:rsidR="00EC4D39" w:rsidRPr="002471FD" w:rsidRDefault="00024C6B" w:rsidP="002471FD">
            <w:pPr>
              <w:rPr>
                <w:szCs w:val="22"/>
              </w:rPr>
            </w:pPr>
            <w:r w:rsidRPr="002471FD">
              <w:rPr>
                <w:szCs w:val="22"/>
              </w:rPr>
              <w:t>Country</w:t>
            </w:r>
          </w:p>
        </w:tc>
        <w:tc>
          <w:tcPr>
            <w:tcW w:w="2972" w:type="dxa"/>
          </w:tcPr>
          <w:p w14:paraId="0101D40F" w14:textId="77777777" w:rsidR="00EC4D39" w:rsidRPr="002471FD" w:rsidRDefault="00EC4D39" w:rsidP="002471FD">
            <w:pPr>
              <w:rPr>
                <w:szCs w:val="22"/>
              </w:rPr>
            </w:pPr>
            <w:r w:rsidRPr="002471FD">
              <w:rPr>
                <w:szCs w:val="22"/>
              </w:rPr>
              <w:t>Status</w:t>
            </w:r>
          </w:p>
        </w:tc>
        <w:tc>
          <w:tcPr>
            <w:tcW w:w="4217" w:type="dxa"/>
          </w:tcPr>
          <w:p w14:paraId="3E30F19B" w14:textId="77777777" w:rsidR="00EC4D39" w:rsidRPr="002471FD" w:rsidRDefault="00EC4D39" w:rsidP="002471FD">
            <w:pPr>
              <w:rPr>
                <w:szCs w:val="22"/>
              </w:rPr>
            </w:pPr>
            <w:r w:rsidRPr="002471FD">
              <w:rPr>
                <w:szCs w:val="22"/>
              </w:rPr>
              <w:t>Indication</w:t>
            </w:r>
          </w:p>
        </w:tc>
      </w:tr>
      <w:tr w:rsidR="00EC4D39" w:rsidRPr="002471FD" w14:paraId="03087216" w14:textId="77777777" w:rsidTr="003470A8">
        <w:tc>
          <w:tcPr>
            <w:tcW w:w="1531" w:type="dxa"/>
          </w:tcPr>
          <w:p w14:paraId="16DF1330" w14:textId="12EDAC07" w:rsidR="00EC4D39" w:rsidRPr="002471FD" w:rsidRDefault="003470A8" w:rsidP="002471FD">
            <w:pPr>
              <w:rPr>
                <w:szCs w:val="22"/>
              </w:rPr>
            </w:pPr>
            <w:r w:rsidRPr="002471FD">
              <w:rPr>
                <w:szCs w:val="22"/>
              </w:rPr>
              <w:t xml:space="preserve">US </w:t>
            </w:r>
            <w:r w:rsidR="00EC4D39" w:rsidRPr="002471FD">
              <w:rPr>
                <w:szCs w:val="22"/>
              </w:rPr>
              <w:t>FDA</w:t>
            </w:r>
          </w:p>
        </w:tc>
        <w:tc>
          <w:tcPr>
            <w:tcW w:w="2972" w:type="dxa"/>
          </w:tcPr>
          <w:p w14:paraId="3743AF21" w14:textId="77777777" w:rsidR="00EC4D39" w:rsidRPr="002471FD" w:rsidRDefault="00024C6B" w:rsidP="002471FD">
            <w:pPr>
              <w:rPr>
                <w:szCs w:val="22"/>
              </w:rPr>
            </w:pPr>
            <w:r w:rsidRPr="002471FD">
              <w:rPr>
                <w:szCs w:val="22"/>
              </w:rPr>
              <w:t>Approved</w:t>
            </w:r>
            <w:r w:rsidR="00EC4D39" w:rsidRPr="002471FD">
              <w:rPr>
                <w:szCs w:val="22"/>
              </w:rPr>
              <w:t xml:space="preserve"> 14</w:t>
            </w:r>
            <w:r w:rsidR="0064311E" w:rsidRPr="002471FD">
              <w:rPr>
                <w:szCs w:val="22"/>
              </w:rPr>
              <w:t> </w:t>
            </w:r>
            <w:r w:rsidR="00EC4D39" w:rsidRPr="002471FD">
              <w:rPr>
                <w:szCs w:val="22"/>
              </w:rPr>
              <w:t>Nov</w:t>
            </w:r>
            <w:r w:rsidRPr="002471FD">
              <w:rPr>
                <w:szCs w:val="22"/>
              </w:rPr>
              <w:t>ember</w:t>
            </w:r>
            <w:r w:rsidR="0064311E" w:rsidRPr="002471FD">
              <w:rPr>
                <w:szCs w:val="22"/>
              </w:rPr>
              <w:t> </w:t>
            </w:r>
            <w:r w:rsidR="00EC4D39" w:rsidRPr="002471FD">
              <w:rPr>
                <w:szCs w:val="22"/>
              </w:rPr>
              <w:t>2017</w:t>
            </w:r>
          </w:p>
        </w:tc>
        <w:tc>
          <w:tcPr>
            <w:tcW w:w="4217" w:type="dxa"/>
          </w:tcPr>
          <w:p w14:paraId="3AA264F9" w14:textId="610050C7" w:rsidR="00EC4D39" w:rsidRPr="002471FD" w:rsidRDefault="00E14798" w:rsidP="002471FD">
            <w:pPr>
              <w:rPr>
                <w:szCs w:val="22"/>
              </w:rPr>
            </w:pPr>
            <w:r w:rsidRPr="002471FD">
              <w:rPr>
                <w:szCs w:val="22"/>
              </w:rPr>
              <w:t>Fasenra</w:t>
            </w:r>
            <w:r w:rsidR="00EC4D39" w:rsidRPr="002471FD">
              <w:rPr>
                <w:szCs w:val="22"/>
              </w:rPr>
              <w:t xml:space="preserve"> is indicated for the add-on maintenance treatment of patients with severe asthma aged 12 years and </w:t>
            </w:r>
            <w:r w:rsidR="00EC4D39" w:rsidRPr="002471FD">
              <w:rPr>
                <w:szCs w:val="22"/>
              </w:rPr>
              <w:lastRenderedPageBreak/>
              <w:t>older, and with an eosinophilic phenotype</w:t>
            </w:r>
            <w:r w:rsidR="00B242BA" w:rsidRPr="002471FD">
              <w:rPr>
                <w:szCs w:val="22"/>
              </w:rPr>
              <w:t xml:space="preserve"> [see Clinical Studies (14)].</w:t>
            </w:r>
          </w:p>
        </w:tc>
      </w:tr>
      <w:tr w:rsidR="00EC4D39" w:rsidRPr="002471FD" w14:paraId="13A1ACD6" w14:textId="77777777" w:rsidTr="003470A8">
        <w:tc>
          <w:tcPr>
            <w:tcW w:w="1531" w:type="dxa"/>
          </w:tcPr>
          <w:p w14:paraId="7C9C665E" w14:textId="4E898DB8" w:rsidR="0064311E" w:rsidRPr="002471FD" w:rsidRDefault="00EC4D39" w:rsidP="002471FD">
            <w:pPr>
              <w:rPr>
                <w:szCs w:val="22"/>
              </w:rPr>
            </w:pPr>
            <w:r w:rsidRPr="002471FD">
              <w:rPr>
                <w:szCs w:val="22"/>
              </w:rPr>
              <w:lastRenderedPageBreak/>
              <w:t>EU CHMP</w:t>
            </w:r>
            <w:r w:rsidR="002471FD" w:rsidRPr="002471FD">
              <w:rPr>
                <w:szCs w:val="22"/>
              </w:rPr>
              <w:t xml:space="preserve"> </w:t>
            </w:r>
            <w:r w:rsidR="0064311E" w:rsidRPr="002471FD">
              <w:rPr>
                <w:szCs w:val="22"/>
              </w:rPr>
              <w:t>Centralised Procedure</w:t>
            </w:r>
          </w:p>
        </w:tc>
        <w:tc>
          <w:tcPr>
            <w:tcW w:w="2972" w:type="dxa"/>
          </w:tcPr>
          <w:p w14:paraId="5FA035D7" w14:textId="69D791B2" w:rsidR="00EC4D39" w:rsidRPr="002471FD" w:rsidRDefault="003B44A7" w:rsidP="002471FD">
            <w:pPr>
              <w:rPr>
                <w:szCs w:val="22"/>
              </w:rPr>
            </w:pPr>
            <w:r w:rsidRPr="002471FD">
              <w:rPr>
                <w:szCs w:val="22"/>
              </w:rPr>
              <w:t>Approved</w:t>
            </w:r>
            <w:r w:rsidR="00EC4D39" w:rsidRPr="002471FD">
              <w:rPr>
                <w:szCs w:val="22"/>
              </w:rPr>
              <w:t xml:space="preserve"> </w:t>
            </w:r>
            <w:r w:rsidR="006E7D26" w:rsidRPr="002471FD">
              <w:rPr>
                <w:szCs w:val="22"/>
              </w:rPr>
              <w:t>10 January 2018</w:t>
            </w:r>
          </w:p>
        </w:tc>
        <w:tc>
          <w:tcPr>
            <w:tcW w:w="4217" w:type="dxa"/>
          </w:tcPr>
          <w:p w14:paraId="203E5DD0" w14:textId="17F77447" w:rsidR="00EC4D39" w:rsidRPr="002471FD" w:rsidRDefault="00E14798" w:rsidP="002471FD">
            <w:pPr>
              <w:rPr>
                <w:szCs w:val="22"/>
              </w:rPr>
            </w:pPr>
            <w:r w:rsidRPr="002471FD">
              <w:rPr>
                <w:szCs w:val="22"/>
              </w:rPr>
              <w:t>Fasenra</w:t>
            </w:r>
            <w:r w:rsidR="00EC4D39" w:rsidRPr="002471FD">
              <w:rPr>
                <w:szCs w:val="22"/>
              </w:rPr>
              <w:t xml:space="preserve"> is indicated as an add</w:t>
            </w:r>
            <w:r w:rsidR="00EC4D39" w:rsidRPr="002471FD">
              <w:rPr>
                <w:szCs w:val="22"/>
              </w:rPr>
              <w:noBreakHyphen/>
              <w:t xml:space="preserve">on maintenance treatment in adult patients with severe eosinophilic asthma inadequately controlled despite </w:t>
            </w:r>
            <w:r w:rsidR="00596091" w:rsidRPr="002471FD">
              <w:rPr>
                <w:szCs w:val="22"/>
              </w:rPr>
              <w:t>high dose</w:t>
            </w:r>
            <w:r w:rsidR="00EC4D39" w:rsidRPr="002471FD">
              <w:rPr>
                <w:szCs w:val="22"/>
              </w:rPr>
              <w:t xml:space="preserve"> inhaled corticosteroids plus long</w:t>
            </w:r>
            <w:r w:rsidR="00EC4D39" w:rsidRPr="002471FD">
              <w:rPr>
                <w:szCs w:val="22"/>
              </w:rPr>
              <w:noBreakHyphen/>
              <w:t>acting β</w:t>
            </w:r>
            <w:r w:rsidR="00EC4D39" w:rsidRPr="002471FD">
              <w:rPr>
                <w:szCs w:val="22"/>
              </w:rPr>
              <w:noBreakHyphen/>
              <w:t>agonists</w:t>
            </w:r>
            <w:r w:rsidR="00B242BA" w:rsidRPr="002471FD">
              <w:rPr>
                <w:szCs w:val="22"/>
              </w:rPr>
              <w:t xml:space="preserve"> (see section 5.1)</w:t>
            </w:r>
          </w:p>
        </w:tc>
      </w:tr>
      <w:tr w:rsidR="003B44A7" w:rsidRPr="002471FD" w14:paraId="5D110724" w14:textId="77777777" w:rsidTr="003470A8">
        <w:tc>
          <w:tcPr>
            <w:tcW w:w="1531" w:type="dxa"/>
          </w:tcPr>
          <w:p w14:paraId="45582ED2" w14:textId="04DE5D7E" w:rsidR="003B44A7" w:rsidRPr="002471FD" w:rsidRDefault="003B44A7" w:rsidP="002471FD">
            <w:pPr>
              <w:rPr>
                <w:szCs w:val="22"/>
              </w:rPr>
            </w:pPr>
            <w:r w:rsidRPr="002471FD">
              <w:rPr>
                <w:szCs w:val="22"/>
              </w:rPr>
              <w:t>Canada</w:t>
            </w:r>
          </w:p>
        </w:tc>
        <w:tc>
          <w:tcPr>
            <w:tcW w:w="2972" w:type="dxa"/>
          </w:tcPr>
          <w:p w14:paraId="63090474" w14:textId="2B593B48" w:rsidR="003B44A7" w:rsidRPr="002471FD" w:rsidRDefault="006E7D26" w:rsidP="002471FD">
            <w:pPr>
              <w:rPr>
                <w:szCs w:val="22"/>
              </w:rPr>
            </w:pPr>
            <w:r w:rsidRPr="002471FD">
              <w:rPr>
                <w:szCs w:val="22"/>
              </w:rPr>
              <w:t xml:space="preserve">Approved </w:t>
            </w:r>
            <w:r w:rsidR="00DF3B90" w:rsidRPr="002471FD">
              <w:rPr>
                <w:szCs w:val="22"/>
              </w:rPr>
              <w:t>22 February 2018</w:t>
            </w:r>
          </w:p>
        </w:tc>
        <w:tc>
          <w:tcPr>
            <w:tcW w:w="4217" w:type="dxa"/>
          </w:tcPr>
          <w:p w14:paraId="6BFCD1FF" w14:textId="45C902E9" w:rsidR="00B242BA" w:rsidRPr="002471FD" w:rsidRDefault="003470A8" w:rsidP="002471FD">
            <w:pPr>
              <w:rPr>
                <w:szCs w:val="22"/>
              </w:rPr>
            </w:pPr>
            <w:r w:rsidRPr="002471FD">
              <w:rPr>
                <w:szCs w:val="22"/>
              </w:rPr>
              <w:t xml:space="preserve">Fasenra </w:t>
            </w:r>
            <w:r w:rsidR="006E7D26" w:rsidRPr="002471FD">
              <w:rPr>
                <w:szCs w:val="22"/>
              </w:rPr>
              <w:t>(benralizumab injection) is indicated as an add-on maintenance treatment of adult patients with severe eosinophilic asthma.</w:t>
            </w:r>
          </w:p>
        </w:tc>
      </w:tr>
      <w:tr w:rsidR="00B242BA" w:rsidRPr="002471FD" w14:paraId="1911BCAC" w14:textId="77777777" w:rsidTr="003470A8">
        <w:tc>
          <w:tcPr>
            <w:tcW w:w="1531" w:type="dxa"/>
          </w:tcPr>
          <w:p w14:paraId="533E4103" w14:textId="55C41BA0" w:rsidR="00B242BA" w:rsidRPr="002471FD" w:rsidRDefault="00B242BA" w:rsidP="002471FD">
            <w:pPr>
              <w:rPr>
                <w:szCs w:val="22"/>
              </w:rPr>
            </w:pPr>
            <w:r w:rsidRPr="002471FD">
              <w:rPr>
                <w:szCs w:val="22"/>
              </w:rPr>
              <w:t>Japan</w:t>
            </w:r>
          </w:p>
        </w:tc>
        <w:tc>
          <w:tcPr>
            <w:tcW w:w="2972" w:type="dxa"/>
          </w:tcPr>
          <w:p w14:paraId="1650F4F2" w14:textId="71F54AF1" w:rsidR="00B242BA" w:rsidRPr="002471FD" w:rsidRDefault="00B242BA" w:rsidP="002471FD">
            <w:pPr>
              <w:rPr>
                <w:szCs w:val="22"/>
              </w:rPr>
            </w:pPr>
            <w:r w:rsidRPr="002471FD">
              <w:rPr>
                <w:szCs w:val="22"/>
              </w:rPr>
              <w:t>Approved 19 January 2018</w:t>
            </w:r>
          </w:p>
        </w:tc>
        <w:tc>
          <w:tcPr>
            <w:tcW w:w="4217" w:type="dxa"/>
          </w:tcPr>
          <w:p w14:paraId="3AD1AE1F" w14:textId="6FB0153D" w:rsidR="00B242BA" w:rsidRPr="002471FD" w:rsidRDefault="00B242BA" w:rsidP="002471FD">
            <w:pPr>
              <w:rPr>
                <w:szCs w:val="22"/>
              </w:rPr>
            </w:pPr>
            <w:r w:rsidRPr="002471FD">
              <w:rPr>
                <w:szCs w:val="22"/>
              </w:rPr>
              <w:t>Bronchial asthma (limited to refractory patients whose asthmatic symptoms cannot be controlled by currently available treatment)</w:t>
            </w:r>
          </w:p>
        </w:tc>
      </w:tr>
    </w:tbl>
    <w:p w14:paraId="3C705107" w14:textId="502E1573" w:rsidR="00EC4D39" w:rsidRDefault="003470A8" w:rsidP="003470A8">
      <w:pPr>
        <w:pStyle w:val="TableDescription"/>
      </w:pPr>
      <w:r>
        <w:t>US FDA = United States Food and Drug Administration; EU CHMP = European Union Committee for Medicinal Products for Human Use</w:t>
      </w:r>
    </w:p>
    <w:p w14:paraId="3BE157BA" w14:textId="77777777" w:rsidR="008E7846" w:rsidRDefault="008E7846" w:rsidP="00940A89">
      <w:pPr>
        <w:pStyle w:val="Heading3"/>
      </w:pPr>
      <w:bookmarkStart w:id="21" w:name="_Toc1653575"/>
      <w:r>
        <w:t>Product Information</w:t>
      </w:r>
      <w:bookmarkEnd w:id="19"/>
      <w:bookmarkEnd w:id="20"/>
      <w:bookmarkEnd w:id="21"/>
    </w:p>
    <w:p w14:paraId="4EEF60C6"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7504A5">
        <w:t xml:space="preserve">&lt; </w:t>
      </w:r>
      <w:hyperlink r:id="rId18" w:history="1">
        <w:r w:rsidR="00441C3F" w:rsidRPr="00441C3F">
          <w:rPr>
            <w:rStyle w:val="Hyperlink"/>
          </w:rPr>
          <w:t>https://www.tga.gov.au/product-information-pi</w:t>
        </w:r>
      </w:hyperlink>
      <w:proofErr w:type="gramStart"/>
      <w:r w:rsidR="005028A8">
        <w:t xml:space="preserve">&gt; </w:t>
      </w:r>
      <w:r w:rsidR="00940A89" w:rsidRPr="00940A89">
        <w:t>.</w:t>
      </w:r>
      <w:proofErr w:type="gramEnd"/>
    </w:p>
    <w:p w14:paraId="50605C7A" w14:textId="77777777" w:rsidR="00500337" w:rsidRDefault="00500337" w:rsidP="00500337">
      <w:pPr>
        <w:pStyle w:val="Heading2"/>
      </w:pPr>
      <w:bookmarkStart w:id="24" w:name="_Toc504480011"/>
      <w:bookmarkStart w:id="25" w:name="_Toc1653576"/>
      <w:r>
        <w:t>II. Registration time line</w:t>
      </w:r>
      <w:bookmarkEnd w:id="24"/>
      <w:bookmarkEnd w:id="25"/>
    </w:p>
    <w:p w14:paraId="1BC89847" w14:textId="77777777" w:rsidR="00500337" w:rsidRDefault="006A44F0" w:rsidP="00500337">
      <w:r>
        <w:t>T</w:t>
      </w:r>
      <w:r w:rsidR="00500337">
        <w:t xml:space="preserve">able </w:t>
      </w:r>
      <w:r>
        <w:t xml:space="preserve">2 </w:t>
      </w:r>
      <w:r w:rsidR="00500337">
        <w:t>captures the key steps and dates for this application and which are detailed and discussed in this AusPAR.</w:t>
      </w:r>
    </w:p>
    <w:p w14:paraId="79869B1B" w14:textId="77777777" w:rsidR="00500337" w:rsidRPr="0064311E" w:rsidRDefault="0064311E" w:rsidP="0064311E">
      <w:pPr>
        <w:pStyle w:val="TableTitle"/>
      </w:pPr>
      <w:r>
        <w:t>Table 2: Timeline for Submission PM-2016-04636-1-5</w:t>
      </w:r>
    </w:p>
    <w:tbl>
      <w:tblPr>
        <w:tblStyle w:val="TableTGAblue"/>
        <w:tblW w:w="0" w:type="auto"/>
        <w:tblLook w:val="04A0" w:firstRow="1" w:lastRow="0" w:firstColumn="1" w:lastColumn="0" w:noHBand="0" w:noVBand="1"/>
      </w:tblPr>
      <w:tblGrid>
        <w:gridCol w:w="4360"/>
        <w:gridCol w:w="4360"/>
      </w:tblGrid>
      <w:tr w:rsidR="00500337" w14:paraId="30B46FFC"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3BF9474E" w14:textId="77777777" w:rsidR="00500337" w:rsidRDefault="00500337" w:rsidP="00500337">
            <w:pPr>
              <w:ind w:left="0" w:right="0"/>
            </w:pPr>
            <w:r>
              <w:t>Description</w:t>
            </w:r>
          </w:p>
        </w:tc>
        <w:tc>
          <w:tcPr>
            <w:tcW w:w="4360" w:type="dxa"/>
          </w:tcPr>
          <w:p w14:paraId="653155C6" w14:textId="77777777" w:rsidR="00500337" w:rsidRDefault="00500337" w:rsidP="00500337">
            <w:pPr>
              <w:ind w:left="0" w:right="0"/>
            </w:pPr>
            <w:r>
              <w:t>Date</w:t>
            </w:r>
          </w:p>
        </w:tc>
      </w:tr>
      <w:tr w:rsidR="00500337" w14:paraId="4006AE63" w14:textId="77777777" w:rsidTr="00500337">
        <w:tc>
          <w:tcPr>
            <w:tcW w:w="4360" w:type="dxa"/>
          </w:tcPr>
          <w:p w14:paraId="1538F556" w14:textId="77777777" w:rsidR="00500337" w:rsidRDefault="00500337" w:rsidP="00500337">
            <w:pPr>
              <w:ind w:left="0" w:right="0"/>
            </w:pPr>
            <w:r>
              <w:t>Submission dossier accepted and first round evaluation commenced</w:t>
            </w:r>
          </w:p>
        </w:tc>
        <w:tc>
          <w:tcPr>
            <w:tcW w:w="4360" w:type="dxa"/>
          </w:tcPr>
          <w:p w14:paraId="45288F1A" w14:textId="77777777" w:rsidR="00500337" w:rsidRDefault="006C6052" w:rsidP="00500337">
            <w:pPr>
              <w:ind w:left="0" w:right="0"/>
            </w:pPr>
            <w:r>
              <w:t>31 March 2017</w:t>
            </w:r>
          </w:p>
        </w:tc>
      </w:tr>
      <w:tr w:rsidR="00500337" w14:paraId="0442747C" w14:textId="77777777" w:rsidTr="00500337">
        <w:tc>
          <w:tcPr>
            <w:tcW w:w="4360" w:type="dxa"/>
          </w:tcPr>
          <w:p w14:paraId="5B5CF2EA" w14:textId="77777777" w:rsidR="00500337" w:rsidRDefault="00500337" w:rsidP="00500337">
            <w:pPr>
              <w:ind w:left="0" w:right="0"/>
            </w:pPr>
            <w:r>
              <w:t>First round evaluation completed</w:t>
            </w:r>
          </w:p>
        </w:tc>
        <w:tc>
          <w:tcPr>
            <w:tcW w:w="4360" w:type="dxa"/>
          </w:tcPr>
          <w:p w14:paraId="17DFEAE1" w14:textId="77777777" w:rsidR="00500337" w:rsidRDefault="006C6052" w:rsidP="00500337">
            <w:pPr>
              <w:ind w:left="0" w:right="0"/>
            </w:pPr>
            <w:r>
              <w:t>11 September 2017</w:t>
            </w:r>
          </w:p>
        </w:tc>
      </w:tr>
      <w:tr w:rsidR="00500337" w14:paraId="290BB958" w14:textId="77777777" w:rsidTr="00500337">
        <w:tc>
          <w:tcPr>
            <w:tcW w:w="4360" w:type="dxa"/>
          </w:tcPr>
          <w:p w14:paraId="047B7C1D" w14:textId="77777777" w:rsidR="00500337" w:rsidRDefault="00500337" w:rsidP="00500337">
            <w:pPr>
              <w:ind w:left="0" w:right="0"/>
            </w:pPr>
            <w:r>
              <w:t>Sponsor provides responses on questions raised in first round evaluation</w:t>
            </w:r>
          </w:p>
        </w:tc>
        <w:tc>
          <w:tcPr>
            <w:tcW w:w="4360" w:type="dxa"/>
          </w:tcPr>
          <w:p w14:paraId="10550774" w14:textId="77777777" w:rsidR="00500337" w:rsidRDefault="006C6052" w:rsidP="00500337">
            <w:pPr>
              <w:ind w:left="0" w:right="0"/>
            </w:pPr>
            <w:r>
              <w:t>31 October 2017</w:t>
            </w:r>
          </w:p>
        </w:tc>
      </w:tr>
      <w:tr w:rsidR="00500337" w14:paraId="437C3199" w14:textId="77777777" w:rsidTr="003470A8">
        <w:trPr>
          <w:cantSplit/>
        </w:trPr>
        <w:tc>
          <w:tcPr>
            <w:tcW w:w="4360" w:type="dxa"/>
          </w:tcPr>
          <w:p w14:paraId="41D23465" w14:textId="77777777" w:rsidR="00500337" w:rsidRDefault="00CF0D26" w:rsidP="00500337">
            <w:pPr>
              <w:ind w:left="0" w:right="0"/>
            </w:pPr>
            <w:r>
              <w:t>Delegate</w:t>
            </w:r>
            <w:r w:rsidR="00500337">
              <w:t>’s Overall benefit-risk assessment and request for Advisory Committee advice</w:t>
            </w:r>
          </w:p>
        </w:tc>
        <w:tc>
          <w:tcPr>
            <w:tcW w:w="4360" w:type="dxa"/>
          </w:tcPr>
          <w:p w14:paraId="3830CED9" w14:textId="77777777" w:rsidR="00500337" w:rsidRDefault="00D16A6A" w:rsidP="00500337">
            <w:pPr>
              <w:ind w:left="0" w:right="0"/>
            </w:pPr>
            <w:r>
              <w:t>22 December 2017</w:t>
            </w:r>
          </w:p>
        </w:tc>
      </w:tr>
      <w:tr w:rsidR="00D16A6A" w14:paraId="234BCAA6" w14:textId="77777777" w:rsidTr="00500337">
        <w:tc>
          <w:tcPr>
            <w:tcW w:w="4360" w:type="dxa"/>
          </w:tcPr>
          <w:p w14:paraId="0E87A176" w14:textId="77777777" w:rsidR="00D16A6A" w:rsidRDefault="00D16A6A" w:rsidP="00E14798">
            <w:pPr>
              <w:ind w:left="0" w:right="0"/>
            </w:pPr>
            <w:r>
              <w:t>Second round evaluation completed</w:t>
            </w:r>
          </w:p>
        </w:tc>
        <w:tc>
          <w:tcPr>
            <w:tcW w:w="4360" w:type="dxa"/>
          </w:tcPr>
          <w:p w14:paraId="0449EE68" w14:textId="77777777" w:rsidR="00D16A6A" w:rsidRDefault="00D16A6A" w:rsidP="00E14798">
            <w:pPr>
              <w:ind w:left="0" w:right="0"/>
            </w:pPr>
            <w:r>
              <w:t>5 January 2018</w:t>
            </w:r>
          </w:p>
        </w:tc>
      </w:tr>
      <w:tr w:rsidR="00D16A6A" w14:paraId="64C926B5" w14:textId="77777777" w:rsidTr="00500337">
        <w:tc>
          <w:tcPr>
            <w:tcW w:w="4360" w:type="dxa"/>
          </w:tcPr>
          <w:p w14:paraId="2DAA04FE" w14:textId="77777777" w:rsidR="00D16A6A" w:rsidRDefault="00D16A6A" w:rsidP="00500337">
            <w:pPr>
              <w:ind w:left="0" w:right="0"/>
            </w:pPr>
            <w:r>
              <w:lastRenderedPageBreak/>
              <w:t>Sponsor’s pre-Advisory Committee response</w:t>
            </w:r>
          </w:p>
        </w:tc>
        <w:tc>
          <w:tcPr>
            <w:tcW w:w="4360" w:type="dxa"/>
          </w:tcPr>
          <w:p w14:paraId="6E8E5113" w14:textId="77777777" w:rsidR="00D16A6A" w:rsidRDefault="00D16A6A" w:rsidP="00500337">
            <w:pPr>
              <w:ind w:left="0" w:right="0"/>
            </w:pPr>
            <w:r>
              <w:t>16 January 2018</w:t>
            </w:r>
          </w:p>
        </w:tc>
      </w:tr>
      <w:tr w:rsidR="00D16A6A" w14:paraId="333A6D2B" w14:textId="77777777" w:rsidTr="00500337">
        <w:tc>
          <w:tcPr>
            <w:tcW w:w="4360" w:type="dxa"/>
          </w:tcPr>
          <w:p w14:paraId="13DEE1AC" w14:textId="77777777" w:rsidR="00D16A6A" w:rsidRDefault="00D16A6A" w:rsidP="00500337">
            <w:pPr>
              <w:ind w:left="0" w:right="0"/>
            </w:pPr>
            <w:r>
              <w:t>Advisory Committee meeting</w:t>
            </w:r>
          </w:p>
        </w:tc>
        <w:tc>
          <w:tcPr>
            <w:tcW w:w="4360" w:type="dxa"/>
          </w:tcPr>
          <w:p w14:paraId="688436E2" w14:textId="77777777" w:rsidR="00D16A6A" w:rsidRDefault="00D16A6A" w:rsidP="00500337">
            <w:pPr>
              <w:ind w:left="0" w:right="0"/>
            </w:pPr>
            <w:r>
              <w:t>1-2 February 2018</w:t>
            </w:r>
          </w:p>
        </w:tc>
      </w:tr>
      <w:tr w:rsidR="00D16A6A" w14:paraId="0981502B" w14:textId="77777777" w:rsidTr="00500337">
        <w:tc>
          <w:tcPr>
            <w:tcW w:w="4360" w:type="dxa"/>
          </w:tcPr>
          <w:p w14:paraId="637AE821" w14:textId="77777777" w:rsidR="00D16A6A" w:rsidRDefault="00D16A6A" w:rsidP="00500337">
            <w:pPr>
              <w:ind w:left="0" w:right="0"/>
            </w:pPr>
            <w:r>
              <w:t>Registration decision (Outcome)</w:t>
            </w:r>
          </w:p>
        </w:tc>
        <w:tc>
          <w:tcPr>
            <w:tcW w:w="4360" w:type="dxa"/>
          </w:tcPr>
          <w:p w14:paraId="7D282E33" w14:textId="77777777" w:rsidR="00D16A6A" w:rsidRDefault="00D16A6A" w:rsidP="00500337">
            <w:pPr>
              <w:ind w:left="0" w:right="0"/>
            </w:pPr>
            <w:r>
              <w:t>29 March 2018</w:t>
            </w:r>
          </w:p>
        </w:tc>
      </w:tr>
      <w:tr w:rsidR="00D16A6A" w14:paraId="2C3BC072" w14:textId="77777777" w:rsidTr="00500337">
        <w:tc>
          <w:tcPr>
            <w:tcW w:w="4360" w:type="dxa"/>
          </w:tcPr>
          <w:p w14:paraId="40ED3BFE" w14:textId="77777777" w:rsidR="00D16A6A" w:rsidRDefault="00D16A6A" w:rsidP="00500337">
            <w:pPr>
              <w:ind w:left="0" w:right="0"/>
            </w:pPr>
            <w:r>
              <w:t>Completion of administrative activities and registration on ARTG</w:t>
            </w:r>
          </w:p>
        </w:tc>
        <w:tc>
          <w:tcPr>
            <w:tcW w:w="4360" w:type="dxa"/>
          </w:tcPr>
          <w:p w14:paraId="682345DB" w14:textId="77777777" w:rsidR="00D16A6A" w:rsidRDefault="00D16A6A" w:rsidP="00500337">
            <w:pPr>
              <w:ind w:left="0" w:right="0"/>
            </w:pPr>
            <w:r>
              <w:t>2 April 2018</w:t>
            </w:r>
          </w:p>
        </w:tc>
      </w:tr>
      <w:tr w:rsidR="00D16A6A" w14:paraId="20B2848B" w14:textId="77777777" w:rsidTr="00500337">
        <w:tc>
          <w:tcPr>
            <w:tcW w:w="4360" w:type="dxa"/>
          </w:tcPr>
          <w:p w14:paraId="0B529FBF" w14:textId="77777777" w:rsidR="00D16A6A" w:rsidRDefault="00D16A6A" w:rsidP="00500337">
            <w:pPr>
              <w:ind w:left="0" w:right="0"/>
            </w:pPr>
            <w:r>
              <w:t>Number of working days from submission dossier acceptance to registration decision*</w:t>
            </w:r>
          </w:p>
        </w:tc>
        <w:tc>
          <w:tcPr>
            <w:tcW w:w="4360" w:type="dxa"/>
          </w:tcPr>
          <w:p w14:paraId="7BC71D0D" w14:textId="77777777" w:rsidR="00D16A6A" w:rsidRDefault="00D16A6A" w:rsidP="00500337">
            <w:pPr>
              <w:ind w:left="0" w:right="0"/>
            </w:pPr>
            <w:r>
              <w:t>215</w:t>
            </w:r>
          </w:p>
        </w:tc>
      </w:tr>
    </w:tbl>
    <w:p w14:paraId="7B93960B"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67F0241F" w14:textId="77777777" w:rsidR="00500337" w:rsidRDefault="00500337" w:rsidP="00500337">
      <w:r>
        <w:t>Evaluations included under Quality findings and Nonclinical findings incorporate both the first and second round evaluations.</w:t>
      </w:r>
    </w:p>
    <w:p w14:paraId="02A6AA7C" w14:textId="77777777" w:rsidR="008E7846" w:rsidRPr="003602A9" w:rsidRDefault="00500337" w:rsidP="008E7846">
      <w:pPr>
        <w:pStyle w:val="Heading2"/>
        <w:ind w:left="-11"/>
      </w:pPr>
      <w:bookmarkStart w:id="26" w:name="_Toc1653577"/>
      <w:r>
        <w:t>I</w:t>
      </w:r>
      <w:r w:rsidR="008E7846">
        <w:t>II. Quality</w:t>
      </w:r>
      <w:bookmarkEnd w:id="2"/>
      <w:r w:rsidR="008E7846">
        <w:t xml:space="preserve"> findings</w:t>
      </w:r>
      <w:bookmarkEnd w:id="22"/>
      <w:bookmarkEnd w:id="23"/>
      <w:bookmarkEnd w:id="26"/>
    </w:p>
    <w:p w14:paraId="4EE6F5C4" w14:textId="77777777" w:rsidR="00487683" w:rsidRPr="00487683" w:rsidRDefault="00487683" w:rsidP="00487683">
      <w:pPr>
        <w:pStyle w:val="Heading3"/>
      </w:pPr>
      <w:bookmarkStart w:id="27" w:name="_Toc1653578"/>
      <w:bookmarkStart w:id="28" w:name="_Toc247691507"/>
      <w:bookmarkStart w:id="29" w:name="_Toc314842488"/>
      <w:r w:rsidRPr="008751DC">
        <w:t xml:space="preserve">Drug </w:t>
      </w:r>
      <w:r>
        <w:t>s</w:t>
      </w:r>
      <w:r w:rsidRPr="008751DC">
        <w:t>ubstance</w:t>
      </w:r>
      <w:r>
        <w:t xml:space="preserve"> (active ingredient)</w:t>
      </w:r>
      <w:bookmarkEnd w:id="27"/>
    </w:p>
    <w:p w14:paraId="0D6F4C2E" w14:textId="77777777" w:rsidR="00487683" w:rsidRPr="00D8509A" w:rsidRDefault="00487683" w:rsidP="00487683">
      <w:pPr>
        <w:pStyle w:val="Heading4"/>
      </w:pPr>
      <w:bookmarkStart w:id="30" w:name="_Toc499559781"/>
      <w:r w:rsidRPr="00327454">
        <w:t>Structure</w:t>
      </w:r>
      <w:bookmarkEnd w:id="30"/>
    </w:p>
    <w:p w14:paraId="01CA4161" w14:textId="4B817E69" w:rsidR="00487683" w:rsidRPr="00487683" w:rsidRDefault="00487683" w:rsidP="00487683">
      <w:pPr>
        <w:autoSpaceDE w:val="0"/>
        <w:autoSpaceDN w:val="0"/>
        <w:spacing w:after="0" w:line="240" w:lineRule="auto"/>
        <w:ind w:right="-568"/>
        <w:rPr>
          <w:rFonts w:eastAsia="TimesNewRoman" w:cs="TimesNewRoman"/>
          <w:color w:val="000000"/>
          <w:lang w:eastAsia="en-AU"/>
        </w:rPr>
      </w:pPr>
      <w:r w:rsidRPr="000A2F5B">
        <w:rPr>
          <w:rFonts w:eastAsia="TimesNewRoman" w:cs="TimesNewRoman"/>
          <w:color w:val="000000"/>
          <w:lang w:eastAsia="en-AU"/>
        </w:rPr>
        <w:t>Benralizumab is a recombinant humani</w:t>
      </w:r>
      <w:r w:rsidR="00AD6903">
        <w:rPr>
          <w:rFonts w:eastAsia="TimesNewRoman" w:cs="TimesNewRoman"/>
          <w:color w:val="000000"/>
          <w:lang w:eastAsia="en-AU"/>
        </w:rPr>
        <w:t>s</w:t>
      </w:r>
      <w:r w:rsidRPr="000A2F5B">
        <w:rPr>
          <w:rFonts w:eastAsia="TimesNewRoman" w:cs="TimesNewRoman"/>
          <w:color w:val="000000"/>
          <w:lang w:eastAsia="en-AU"/>
        </w:rPr>
        <w:t xml:space="preserve">ed </w:t>
      </w:r>
      <w:proofErr w:type="spellStart"/>
      <w:r w:rsidRPr="000A2F5B">
        <w:rPr>
          <w:rFonts w:eastAsia="TimesNewRoman" w:cs="TimesNewRoman"/>
          <w:color w:val="000000"/>
          <w:lang w:eastAsia="en-AU"/>
        </w:rPr>
        <w:t>afucosylated</w:t>
      </w:r>
      <w:proofErr w:type="spellEnd"/>
      <w:r w:rsidRPr="000A2F5B">
        <w:rPr>
          <w:rFonts w:eastAsia="TimesNewRoman" w:cs="TimesNewRoman"/>
          <w:color w:val="000000"/>
          <w:lang w:eastAsia="en-AU"/>
        </w:rPr>
        <w:t xml:space="preserve"> IgG1</w:t>
      </w:r>
      <w:r w:rsidR="00925684">
        <w:rPr>
          <w:rFonts w:eastAsia="TimesNewRoman" w:cs="TimesNewRoman"/>
          <w:color w:val="000000"/>
          <w:lang w:eastAsia="en-AU"/>
        </w:rPr>
        <w:t>κ</w:t>
      </w:r>
      <w:r w:rsidRPr="000A2F5B">
        <w:rPr>
          <w:rFonts w:eastAsia="TimesNewRoman" w:cs="TimesNewRoman"/>
          <w:color w:val="000000"/>
          <w:lang w:eastAsia="en-AU"/>
        </w:rPr>
        <w:t xml:space="preserve"> monoclonal antibody directed against the human interleukin (IL)-5 receptor alpha subunit expressed on eosinophils and basophils.</w:t>
      </w:r>
      <w:r>
        <w:rPr>
          <w:rFonts w:eastAsia="TimesNewRoman" w:cs="TimesNewRoman"/>
          <w:color w:val="000000"/>
          <w:lang w:eastAsia="en-AU"/>
        </w:rPr>
        <w:t xml:space="preserve"> </w:t>
      </w:r>
      <w:r w:rsidRPr="000A2F5B">
        <w:rPr>
          <w:rFonts w:eastAsia="TimesNewRoman" w:cs="TimesNewRoman"/>
          <w:color w:val="000000"/>
          <w:lang w:eastAsia="en-AU"/>
        </w:rPr>
        <w:t xml:space="preserve">Benralizumab depletes eosinophils via a mechanism of </w:t>
      </w:r>
      <w:r w:rsidR="00E14798">
        <w:rPr>
          <w:rFonts w:eastAsia="TimesNewRoman" w:cs="TimesNewRoman"/>
          <w:color w:val="000000"/>
          <w:lang w:eastAsia="en-AU"/>
        </w:rPr>
        <w:t xml:space="preserve">antibody dependent </w:t>
      </w:r>
      <w:r w:rsidRPr="000A2F5B">
        <w:rPr>
          <w:rFonts w:eastAsia="TimesNewRoman" w:cs="TimesNewRoman"/>
          <w:color w:val="000000"/>
          <w:lang w:eastAsia="en-AU"/>
        </w:rPr>
        <w:t xml:space="preserve">cellular cytotoxicity (ADCC). Benralizumab is comprised of two heavy chains and two light chains with an overall molecular weight of approximately 150 </w:t>
      </w:r>
      <w:proofErr w:type="spellStart"/>
      <w:r w:rsidRPr="000A2F5B">
        <w:rPr>
          <w:rFonts w:eastAsia="TimesNewRoman" w:cs="TimesNewRoman"/>
          <w:color w:val="000000"/>
          <w:lang w:eastAsia="en-AU"/>
        </w:rPr>
        <w:t>kDa</w:t>
      </w:r>
      <w:proofErr w:type="spellEnd"/>
      <w:r w:rsidRPr="000A2F5B">
        <w:rPr>
          <w:rFonts w:eastAsia="TimesNewRoman" w:cs="TimesNewRoman"/>
          <w:color w:val="000000"/>
          <w:lang w:eastAsia="en-AU"/>
        </w:rPr>
        <w:t>.</w:t>
      </w:r>
    </w:p>
    <w:p w14:paraId="473AD059" w14:textId="77777777" w:rsidR="00487683" w:rsidRPr="001F48AA" w:rsidRDefault="00487683" w:rsidP="00487683">
      <w:pPr>
        <w:pStyle w:val="Heading4"/>
      </w:pPr>
      <w:bookmarkStart w:id="31" w:name="_Toc499559782"/>
      <w:r>
        <w:t>Physical and chemical p</w:t>
      </w:r>
      <w:r w:rsidRPr="001F48AA">
        <w:t>roperties</w:t>
      </w:r>
      <w:bookmarkEnd w:id="31"/>
    </w:p>
    <w:p w14:paraId="3657C352" w14:textId="41DB4CD9" w:rsidR="00487683" w:rsidRPr="000A2F5B" w:rsidRDefault="00487683" w:rsidP="00487683">
      <w:pPr>
        <w:autoSpaceDE w:val="0"/>
        <w:autoSpaceDN w:val="0"/>
        <w:spacing w:after="0" w:line="240" w:lineRule="auto"/>
        <w:rPr>
          <w:rFonts w:eastAsia="TimesNewRoman" w:cs="TimesNewRoman"/>
          <w:lang w:eastAsia="en-AU"/>
        </w:rPr>
      </w:pPr>
      <w:r w:rsidRPr="000A2F5B">
        <w:rPr>
          <w:rFonts w:eastAsia="TimesNewRoman" w:cs="TimesNewRoman"/>
          <w:lang w:eastAsia="en-AU"/>
        </w:rPr>
        <w:t>The phys</w:t>
      </w:r>
      <w:r>
        <w:rPr>
          <w:rFonts w:eastAsia="TimesNewRoman" w:cs="TimesNewRoman"/>
          <w:lang w:eastAsia="en-AU"/>
        </w:rPr>
        <w:t>i</w:t>
      </w:r>
      <w:r w:rsidRPr="000A2F5B">
        <w:rPr>
          <w:rFonts w:eastAsia="TimesNewRoman" w:cs="TimesNewRoman"/>
          <w:lang w:eastAsia="en-AU"/>
        </w:rPr>
        <w:t xml:space="preserve">cochemical properties of </w:t>
      </w:r>
      <w:r w:rsidR="00E14798">
        <w:rPr>
          <w:rFonts w:eastAsia="TimesNewRoman" w:cs="TimesNewRoman"/>
          <w:lang w:eastAsia="en-AU"/>
        </w:rPr>
        <w:t xml:space="preserve">benralizumab are </w:t>
      </w:r>
      <w:r w:rsidR="003470A8">
        <w:rPr>
          <w:rFonts w:eastAsia="TimesNewRoman" w:cs="TimesNewRoman"/>
          <w:lang w:eastAsia="en-AU"/>
        </w:rPr>
        <w:t xml:space="preserve">summarised </w:t>
      </w:r>
      <w:r w:rsidR="00E14798">
        <w:rPr>
          <w:rFonts w:eastAsia="TimesNewRoman" w:cs="TimesNewRoman"/>
          <w:lang w:eastAsia="en-AU"/>
        </w:rPr>
        <w:t>in T</w:t>
      </w:r>
      <w:r w:rsidRPr="000A2F5B">
        <w:rPr>
          <w:rFonts w:eastAsia="TimesNewRoman" w:cs="TimesNewRoman"/>
          <w:lang w:eastAsia="en-AU"/>
        </w:rPr>
        <w:t xml:space="preserve">able </w:t>
      </w:r>
      <w:r w:rsidR="00E14798">
        <w:rPr>
          <w:rFonts w:eastAsia="TimesNewRoman" w:cs="TimesNewRoman"/>
          <w:lang w:eastAsia="en-AU"/>
        </w:rPr>
        <w:t>3</w:t>
      </w:r>
      <w:r w:rsidRPr="000A2F5B">
        <w:rPr>
          <w:rFonts w:eastAsia="TimesNewRoman" w:cs="TimesNewRoman"/>
          <w:lang w:eastAsia="en-AU"/>
        </w:rPr>
        <w:t>.</w:t>
      </w:r>
    </w:p>
    <w:p w14:paraId="5FECFB3A" w14:textId="77777777" w:rsidR="00487683" w:rsidRPr="000A2F5B" w:rsidRDefault="00E14798" w:rsidP="00E14798">
      <w:pPr>
        <w:pStyle w:val="TableTitle"/>
        <w:rPr>
          <w:lang w:eastAsia="en-AU"/>
        </w:rPr>
      </w:pPr>
      <w:r>
        <w:rPr>
          <w:lang w:eastAsia="en-AU"/>
        </w:rPr>
        <w:t>Table 3:</w:t>
      </w:r>
      <w:r w:rsidR="00487683">
        <w:rPr>
          <w:lang w:eastAsia="en-AU"/>
        </w:rPr>
        <w:t xml:space="preserve"> Physicochemical properties </w:t>
      </w:r>
      <w:r>
        <w:rPr>
          <w:lang w:eastAsia="en-AU"/>
        </w:rPr>
        <w:t>of benralizumab drug substance</w:t>
      </w:r>
    </w:p>
    <w:p w14:paraId="216EC321" w14:textId="77777777" w:rsidR="00487683" w:rsidRDefault="00487683" w:rsidP="00487683">
      <w:r>
        <w:rPr>
          <w:noProof/>
          <w:lang w:eastAsia="en-AU"/>
        </w:rPr>
        <w:drawing>
          <wp:inline distT="0" distB="0" distL="0" distR="0" wp14:anchorId="70FBD626" wp14:editId="08535137">
            <wp:extent cx="5400040" cy="1873283"/>
            <wp:effectExtent l="0" t="0" r="0" b="0"/>
            <wp:docPr id="16" name="Picture 16" descr="Table 3: Physicochemical properties of benralizumab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873283"/>
                    </a:xfrm>
                    <a:prstGeom prst="rect">
                      <a:avLst/>
                    </a:prstGeom>
                  </pic:spPr>
                </pic:pic>
              </a:graphicData>
            </a:graphic>
          </wp:inline>
        </w:drawing>
      </w:r>
    </w:p>
    <w:p w14:paraId="31408169" w14:textId="77777777" w:rsidR="00487683" w:rsidRPr="004F58C8" w:rsidRDefault="00487683" w:rsidP="00487683">
      <w:pPr>
        <w:rPr>
          <w:b/>
        </w:rPr>
      </w:pPr>
      <w:r w:rsidRPr="004F58C8">
        <w:rPr>
          <w:b/>
        </w:rPr>
        <w:t>Drug substance manufacture</w:t>
      </w:r>
    </w:p>
    <w:p w14:paraId="12B16A5F" w14:textId="77777777" w:rsidR="00487683" w:rsidRDefault="00487683" w:rsidP="00487683">
      <w:r>
        <w:rPr>
          <w:rFonts w:asciiTheme="minorHAnsi" w:hAnsiTheme="minorHAnsi" w:cs="Arial"/>
        </w:rPr>
        <w:t xml:space="preserve">The cell culture steps of the benralizumab </w:t>
      </w:r>
      <w:r w:rsidR="00E14798">
        <w:rPr>
          <w:rFonts w:asciiTheme="minorHAnsi" w:hAnsiTheme="minorHAnsi" w:cs="Arial"/>
        </w:rPr>
        <w:t>drug substance</w:t>
      </w:r>
      <w:r>
        <w:rPr>
          <w:rFonts w:asciiTheme="minorHAnsi" w:hAnsiTheme="minorHAnsi" w:cs="Arial"/>
        </w:rPr>
        <w:t xml:space="preserve"> manufacturing process consist of working cell bank vial thaw, inoculum expansion </w:t>
      </w:r>
      <w:r w:rsidRPr="009B6661">
        <w:rPr>
          <w:rFonts w:asciiTheme="minorHAnsi" w:eastAsia="TimesNewRoman" w:hAnsiTheme="minorHAnsi" w:cs="TimesNewRoman"/>
          <w:lang w:eastAsia="en-AU"/>
        </w:rPr>
        <w:t xml:space="preserve">in seed bioreactors, benralizumab </w:t>
      </w:r>
      <w:r w:rsidRPr="009B6661">
        <w:rPr>
          <w:rFonts w:asciiTheme="minorHAnsi" w:eastAsia="TimesNewRoman" w:hAnsiTheme="minorHAnsi" w:cs="TimesNewRoman"/>
          <w:lang w:eastAsia="en-AU"/>
        </w:rPr>
        <w:lastRenderedPageBreak/>
        <w:t>production in</w:t>
      </w:r>
      <w:r>
        <w:rPr>
          <w:rFonts w:asciiTheme="minorHAnsi" w:eastAsia="TimesNewRoman" w:hAnsiTheme="minorHAnsi" w:cs="TimesNewRoman"/>
          <w:lang w:eastAsia="en-AU"/>
        </w:rPr>
        <w:t xml:space="preserve"> </w:t>
      </w:r>
      <w:r w:rsidR="00D16A6A">
        <w:rPr>
          <w:rFonts w:asciiTheme="minorHAnsi" w:eastAsia="TimesNewRoman" w:hAnsiTheme="minorHAnsi" w:cs="TimesNewRoman"/>
          <w:lang w:eastAsia="en-AU"/>
        </w:rPr>
        <w:t>a</w:t>
      </w:r>
      <w:r w:rsidRPr="009B6661">
        <w:rPr>
          <w:rFonts w:asciiTheme="minorHAnsi" w:eastAsia="TimesNewRoman" w:hAnsiTheme="minorHAnsi" w:cs="TimesNewRoman"/>
          <w:lang w:eastAsia="en-AU"/>
        </w:rPr>
        <w:t xml:space="preserve"> bioreactor, and harvest. After the harvest step, the clarified conditioned medium</w:t>
      </w:r>
      <w:r>
        <w:rPr>
          <w:rFonts w:asciiTheme="minorHAnsi" w:eastAsia="TimesNewRoman" w:hAnsiTheme="minorHAnsi" w:cs="TimesNewRoman"/>
          <w:lang w:eastAsia="en-AU"/>
        </w:rPr>
        <w:t xml:space="preserve"> </w:t>
      </w:r>
      <w:r w:rsidRPr="009B6661">
        <w:rPr>
          <w:rFonts w:asciiTheme="minorHAnsi" w:eastAsia="TimesNewRoman" w:hAnsiTheme="minorHAnsi" w:cs="TimesNewRoman"/>
          <w:lang w:eastAsia="en-AU"/>
        </w:rPr>
        <w:t>containing benralizumab is further processed through a series of purification steps</w:t>
      </w:r>
      <w:r>
        <w:rPr>
          <w:rFonts w:asciiTheme="minorHAnsi" w:eastAsia="TimesNewRoman" w:hAnsiTheme="minorHAnsi" w:cs="TimesNewRoman"/>
          <w:lang w:eastAsia="en-AU"/>
        </w:rPr>
        <w:t xml:space="preserve"> which consists of three chromatography steps and two dedicated virus clearance steps. </w:t>
      </w:r>
      <w:r w:rsidRPr="009B6661">
        <w:rPr>
          <w:rFonts w:asciiTheme="minorHAnsi" w:eastAsia="TimesNewRoman" w:hAnsiTheme="minorHAnsi" w:cs="TimesNewRoman"/>
          <w:lang w:eastAsia="en-AU"/>
        </w:rPr>
        <w:t>At the end of the</w:t>
      </w:r>
      <w:r>
        <w:rPr>
          <w:rFonts w:asciiTheme="minorHAnsi" w:eastAsia="TimesNewRoman" w:hAnsiTheme="minorHAnsi" w:cs="TimesNewRoman"/>
          <w:lang w:eastAsia="en-AU"/>
        </w:rPr>
        <w:t xml:space="preserve"> purification process, the </w:t>
      </w:r>
      <w:r w:rsidR="00E14798">
        <w:rPr>
          <w:rFonts w:asciiTheme="minorHAnsi" w:hAnsiTheme="minorHAnsi" w:cs="Arial"/>
        </w:rPr>
        <w:t>drug substance</w:t>
      </w:r>
      <w:r w:rsidRPr="009B6661">
        <w:rPr>
          <w:rFonts w:asciiTheme="minorHAnsi" w:eastAsia="TimesNewRoman" w:hAnsiTheme="minorHAnsi" w:cs="TimesNewRoman"/>
          <w:lang w:eastAsia="en-AU"/>
        </w:rPr>
        <w:t xml:space="preserve"> is frozen</w:t>
      </w:r>
      <w:r>
        <w:rPr>
          <w:rFonts w:asciiTheme="minorHAnsi" w:eastAsia="TimesNewRoman" w:hAnsiTheme="minorHAnsi" w:cs="TimesNewRoman"/>
          <w:lang w:eastAsia="en-AU"/>
        </w:rPr>
        <w:t xml:space="preserve"> </w:t>
      </w:r>
      <w:r w:rsidR="00925684">
        <w:rPr>
          <w:rFonts w:asciiTheme="minorHAnsi" w:eastAsia="TimesNewRoman" w:hAnsiTheme="minorHAnsi" w:cs="TimesNewRoman"/>
          <w:lang w:eastAsia="en-AU"/>
        </w:rPr>
        <w:t xml:space="preserve">and stored at </w:t>
      </w:r>
      <w:r w:rsidR="00925684">
        <w:rPr>
          <w:rFonts w:asciiTheme="minorHAnsi" w:eastAsia="TimesNewRoman" w:hAnsiTheme="minorHAnsi" w:cs="TimesNewRoman"/>
          <w:lang w:eastAsia="en-AU"/>
        </w:rPr>
        <w:noBreakHyphen/>
      </w:r>
      <w:r>
        <w:rPr>
          <w:rFonts w:asciiTheme="minorHAnsi" w:eastAsia="TimesNewRoman" w:hAnsiTheme="minorHAnsi" w:cs="TimesNewRoman"/>
          <w:lang w:eastAsia="en-AU"/>
        </w:rPr>
        <w:t>45</w:t>
      </w:r>
      <w:r w:rsidRPr="009B6661">
        <w:rPr>
          <w:rFonts w:ascii="Cambria Math" w:eastAsia="TimesNewRoman" w:hAnsi="Cambria Math" w:cs="Cambria Math"/>
          <w:lang w:eastAsia="en-AU"/>
        </w:rPr>
        <w:t>℃</w:t>
      </w:r>
      <w:r w:rsidRPr="009B6661">
        <w:rPr>
          <w:rFonts w:asciiTheme="minorHAnsi" w:eastAsia="TimesNewRoman" w:hAnsiTheme="minorHAnsi" w:cs="CambriaMath"/>
          <w:lang w:eastAsia="en-AU"/>
        </w:rPr>
        <w:t xml:space="preserve"> </w:t>
      </w:r>
      <w:r w:rsidRPr="009B6661">
        <w:rPr>
          <w:rFonts w:asciiTheme="minorHAnsi" w:eastAsia="TimesNewRoman" w:hAnsiTheme="minorHAnsi" w:cs="TimesNewRoman"/>
          <w:lang w:eastAsia="en-AU"/>
        </w:rPr>
        <w:t>to -3</w:t>
      </w:r>
      <w:r>
        <w:rPr>
          <w:rFonts w:asciiTheme="minorHAnsi" w:eastAsia="TimesNewRoman" w:hAnsiTheme="minorHAnsi" w:cs="TimesNewRoman"/>
          <w:lang w:eastAsia="en-AU"/>
        </w:rPr>
        <w:t>5</w:t>
      </w:r>
      <w:r w:rsidRPr="009B6661">
        <w:rPr>
          <w:rFonts w:ascii="Cambria Math" w:eastAsia="TimesNewRoman" w:hAnsi="Cambria Math" w:cs="Cambria Math"/>
          <w:lang w:eastAsia="en-AU"/>
        </w:rPr>
        <w:t>℃</w:t>
      </w:r>
      <w:r w:rsidRPr="009B6661">
        <w:rPr>
          <w:rFonts w:asciiTheme="minorHAnsi" w:eastAsia="TimesNewRoman" w:hAnsiTheme="minorHAnsi" w:cs="TimesNewRoman"/>
          <w:lang w:eastAsia="en-AU"/>
        </w:rPr>
        <w:t>.</w:t>
      </w:r>
    </w:p>
    <w:p w14:paraId="3B4A6E18" w14:textId="62DC2826" w:rsidR="00487683" w:rsidRDefault="00487683" w:rsidP="00487683">
      <w:r w:rsidRPr="004F58C8">
        <w:t xml:space="preserve">All </w:t>
      </w:r>
      <w:r>
        <w:t xml:space="preserve">manufacturing steps have been </w:t>
      </w:r>
      <w:r w:rsidRPr="004F58C8">
        <w:t>validated.</w:t>
      </w:r>
    </w:p>
    <w:p w14:paraId="316E4F4F" w14:textId="77777777" w:rsidR="008E7846" w:rsidRDefault="008E7846" w:rsidP="008E7846">
      <w:pPr>
        <w:pStyle w:val="Heading3"/>
      </w:pPr>
      <w:bookmarkStart w:id="32" w:name="_Toc247691508"/>
      <w:bookmarkStart w:id="33" w:name="_Toc314842490"/>
      <w:bookmarkStart w:id="34" w:name="_Toc1653579"/>
      <w:bookmarkEnd w:id="28"/>
      <w:bookmarkEnd w:id="29"/>
      <w:r w:rsidRPr="008751DC">
        <w:t xml:space="preserve">Drug </w:t>
      </w:r>
      <w:r>
        <w:t>p</w:t>
      </w:r>
      <w:r w:rsidRPr="008751DC">
        <w:t>roduct</w:t>
      </w:r>
      <w:bookmarkEnd w:id="32"/>
      <w:bookmarkEnd w:id="33"/>
      <w:bookmarkEnd w:id="34"/>
    </w:p>
    <w:p w14:paraId="6FE55334" w14:textId="0C5C3547" w:rsidR="00940A89" w:rsidRDefault="00487683" w:rsidP="00940A89">
      <w:pPr>
        <w:rPr>
          <w:rFonts w:eastAsia="Times New Roman"/>
        </w:rPr>
      </w:pPr>
      <w:r w:rsidRPr="00CE1407">
        <w:rPr>
          <w:rFonts w:eastAsia="Times New Roman"/>
        </w:rPr>
        <w:t xml:space="preserve">The </w:t>
      </w:r>
      <w:r w:rsidR="00E14798">
        <w:rPr>
          <w:rFonts w:asciiTheme="minorHAnsi" w:hAnsiTheme="minorHAnsi" w:cs="Arial"/>
        </w:rPr>
        <w:t>drug substance</w:t>
      </w:r>
      <w:r w:rsidRPr="00CE1407">
        <w:rPr>
          <w:rFonts w:eastAsia="Times New Roman"/>
        </w:rPr>
        <w:t xml:space="preserve"> is thawed and </w:t>
      </w:r>
      <w:r w:rsidR="00C53C6D" w:rsidRPr="00C53C6D">
        <w:rPr>
          <w:rFonts w:eastAsia="Times New Roman"/>
        </w:rPr>
        <w:t xml:space="preserve">followed by final formulation, mixing, filtration and filling into ready to fill primary containers. The primary containers are </w:t>
      </w:r>
      <w:r w:rsidR="003470A8" w:rsidRPr="00C53C6D">
        <w:rPr>
          <w:rFonts w:eastAsia="Times New Roman"/>
        </w:rPr>
        <w:t>accessori</w:t>
      </w:r>
      <w:r w:rsidR="003470A8">
        <w:rPr>
          <w:rFonts w:eastAsia="Times New Roman"/>
        </w:rPr>
        <w:t>s</w:t>
      </w:r>
      <w:r w:rsidR="003470A8" w:rsidRPr="00C53C6D">
        <w:rPr>
          <w:rFonts w:eastAsia="Times New Roman"/>
        </w:rPr>
        <w:t>ed</w:t>
      </w:r>
      <w:r w:rsidR="00C53C6D" w:rsidRPr="00C53C6D">
        <w:rPr>
          <w:rFonts w:eastAsia="Times New Roman"/>
        </w:rPr>
        <w:t>, labelled and packaged as the finished product.</w:t>
      </w:r>
    </w:p>
    <w:p w14:paraId="4BB5D2FF" w14:textId="1F7A8E9F" w:rsidR="00487683" w:rsidRDefault="00487683" w:rsidP="00940A89">
      <w:r w:rsidRPr="004F58C8">
        <w:t>All</w:t>
      </w:r>
      <w:r w:rsidR="00925684">
        <w:t xml:space="preserve"> drug product</w:t>
      </w:r>
      <w:r w:rsidRPr="004F58C8">
        <w:t xml:space="preserve"> </w:t>
      </w:r>
      <w:r>
        <w:t xml:space="preserve">manufacturing steps have been </w:t>
      </w:r>
      <w:r w:rsidRPr="004F58C8">
        <w:t>validated</w:t>
      </w:r>
      <w:r>
        <w:t>.</w:t>
      </w:r>
    </w:p>
    <w:p w14:paraId="196C6A10" w14:textId="77777777" w:rsidR="00075C43" w:rsidRDefault="00075C43" w:rsidP="00075C43">
      <w:r>
        <w:t>Final drug substance and drug product specifications were provided.</w:t>
      </w:r>
    </w:p>
    <w:p w14:paraId="57540582" w14:textId="563C86B0" w:rsidR="007672E2" w:rsidRDefault="007672E2" w:rsidP="007672E2">
      <w:r>
        <w:t>S</w:t>
      </w:r>
      <w:r w:rsidRPr="00777D52">
        <w:t>pecification for release and stability of the drug product has been tightened.</w:t>
      </w:r>
    </w:p>
    <w:p w14:paraId="46EFB1EC" w14:textId="77777777" w:rsidR="00075C43" w:rsidRDefault="00075C43" w:rsidP="007672E2">
      <w:r w:rsidRPr="001F48AA">
        <w:t>All analytical procedures</w:t>
      </w:r>
      <w:r>
        <w:t xml:space="preserve"> are </w:t>
      </w:r>
      <w:r w:rsidRPr="001F48AA">
        <w:t>v</w:t>
      </w:r>
      <w:r>
        <w:t>alidated.</w:t>
      </w:r>
    </w:p>
    <w:p w14:paraId="74897A3B" w14:textId="77777777" w:rsidR="00075C43" w:rsidRPr="00487683" w:rsidRDefault="00075C43" w:rsidP="007672E2">
      <w:pPr>
        <w:pStyle w:val="Heading4"/>
      </w:pPr>
      <w:r w:rsidRPr="001F48AA">
        <w:t>Stability</w:t>
      </w:r>
    </w:p>
    <w:p w14:paraId="59231EEC" w14:textId="64DC2DF9" w:rsidR="00075C43" w:rsidRPr="00075C43" w:rsidRDefault="00075C43" w:rsidP="007672E2">
      <w:r w:rsidRPr="00075C43">
        <w:t>Stability data have been generated under stressed and real time conditions to characterise the stability profile of the product. The product is protected from light by its packaging.</w:t>
      </w:r>
    </w:p>
    <w:p w14:paraId="2A1C96CA" w14:textId="328A1591" w:rsidR="00075C43" w:rsidRPr="00075C43" w:rsidRDefault="00075C43" w:rsidP="00075C43">
      <w:r w:rsidRPr="00075C43">
        <w:t xml:space="preserve">The shelf-life </w:t>
      </w:r>
      <w:r w:rsidR="00E02FD3">
        <w:t>of</w:t>
      </w:r>
      <w:r w:rsidRPr="00075C43">
        <w:t xml:space="preserve"> 36 months when stored at 2°C to 8°C is supported by the stability data</w:t>
      </w:r>
      <w:r w:rsidR="003953C2">
        <w:t>.</w:t>
      </w:r>
      <w:r w:rsidR="00B67A5C">
        <w:t xml:space="preserve"> </w:t>
      </w:r>
      <w:r w:rsidRPr="00075C43">
        <w:t xml:space="preserve">Temperature excursion of up to 25°C for a cumulative period of </w:t>
      </w:r>
      <w:r w:rsidR="00925684">
        <w:t>≤</w:t>
      </w:r>
      <w:r w:rsidR="00F971ED">
        <w:t xml:space="preserve"> </w:t>
      </w:r>
      <w:r w:rsidRPr="00075C43">
        <w:t>24 hours is permitted.</w:t>
      </w:r>
    </w:p>
    <w:p w14:paraId="25D19415" w14:textId="77777777" w:rsidR="00E14798" w:rsidRDefault="00075C43" w:rsidP="00075C43">
      <w:r w:rsidRPr="00075C43">
        <w:t>There are no objections to the registration of this product from sterility; endotoxin, container safety and viral safety related aspects</w:t>
      </w:r>
      <w:r w:rsidR="00E14798">
        <w:t>.</w:t>
      </w:r>
    </w:p>
    <w:p w14:paraId="742AB527" w14:textId="4423A404" w:rsidR="00075C43" w:rsidRPr="00075C43" w:rsidRDefault="00075C43" w:rsidP="00075C43">
      <w:r w:rsidRPr="00075C43">
        <w:t>Overall, sufficient evidence has been provided to demonstrate that the risks related to the manufacturing quality of F</w:t>
      </w:r>
      <w:r w:rsidR="00E14798" w:rsidRPr="00075C43">
        <w:t>asenra</w:t>
      </w:r>
      <w:r w:rsidRPr="00075C43">
        <w:t xml:space="preserve"> have been controlled to an acceptable level.</w:t>
      </w:r>
    </w:p>
    <w:p w14:paraId="25749CF8" w14:textId="77777777" w:rsidR="00075C43" w:rsidRPr="00075C43" w:rsidRDefault="00075C43" w:rsidP="00075C43">
      <w:r w:rsidRPr="00075C43">
        <w:t xml:space="preserve">With respect to </w:t>
      </w:r>
      <w:r w:rsidR="00E14798">
        <w:t>quality</w:t>
      </w:r>
      <w:r w:rsidRPr="00075C43">
        <w:t xml:space="preserve"> matters, the </w:t>
      </w:r>
      <w:r w:rsidR="00925684">
        <w:t>product information (</w:t>
      </w:r>
      <w:r w:rsidRPr="00075C43">
        <w:t>PI</w:t>
      </w:r>
      <w:r w:rsidR="00925684">
        <w:t>)</w:t>
      </w:r>
      <w:r w:rsidRPr="00075C43">
        <w:t xml:space="preserve">, </w:t>
      </w:r>
      <w:r w:rsidR="00925684">
        <w:t>consumer medicine information (</w:t>
      </w:r>
      <w:r w:rsidRPr="00075C43">
        <w:t>CMI</w:t>
      </w:r>
      <w:r w:rsidR="00925684">
        <w:t>)</w:t>
      </w:r>
      <w:r w:rsidRPr="00075C43">
        <w:t xml:space="preserve"> and labels are acceptable.</w:t>
      </w:r>
    </w:p>
    <w:p w14:paraId="05B69D0E" w14:textId="77777777" w:rsidR="008E7846" w:rsidRPr="008751DC" w:rsidRDefault="008E7846" w:rsidP="008E7846">
      <w:pPr>
        <w:pStyle w:val="Heading3"/>
      </w:pPr>
      <w:bookmarkStart w:id="35" w:name="_Toc247691509"/>
      <w:bookmarkStart w:id="36" w:name="_Toc314842493"/>
      <w:bookmarkStart w:id="37" w:name="_Toc1653580"/>
      <w:r>
        <w:t>Quality s</w:t>
      </w:r>
      <w:r w:rsidRPr="008751DC">
        <w:t>ummary</w:t>
      </w:r>
      <w:r>
        <w:t xml:space="preserve"> and conclusions</w:t>
      </w:r>
      <w:bookmarkEnd w:id="35"/>
      <w:bookmarkEnd w:id="36"/>
      <w:bookmarkEnd w:id="37"/>
    </w:p>
    <w:p w14:paraId="49B3D616" w14:textId="77777777" w:rsidR="008E7846" w:rsidRDefault="00487683" w:rsidP="008E7846">
      <w:r>
        <w:t xml:space="preserve">All </w:t>
      </w:r>
      <w:r w:rsidR="00E14798">
        <w:t>quality</w:t>
      </w:r>
      <w:r>
        <w:t xml:space="preserve"> issues have been resolved. </w:t>
      </w:r>
      <w:r w:rsidRPr="00313AC6">
        <w:t xml:space="preserve">There </w:t>
      </w:r>
      <w:r>
        <w:t>is no objection</w:t>
      </w:r>
      <w:r w:rsidRPr="00313AC6">
        <w:t xml:space="preserve"> on quality grounds to the approval of </w:t>
      </w:r>
      <w:r w:rsidR="00E14798">
        <w:t>Fasenra.</w:t>
      </w:r>
    </w:p>
    <w:p w14:paraId="1328E615" w14:textId="77777777" w:rsidR="00487683" w:rsidRDefault="00487683" w:rsidP="00E14798">
      <w:pPr>
        <w:pStyle w:val="Heading4"/>
      </w:pPr>
      <w:r w:rsidRPr="001F48AA">
        <w:t>Proposed</w:t>
      </w:r>
      <w:r>
        <w:t xml:space="preserve"> conditions of r</w:t>
      </w:r>
      <w:r w:rsidRPr="001F48AA">
        <w:t>egistration</w:t>
      </w:r>
    </w:p>
    <w:p w14:paraId="230F702C" w14:textId="77777777" w:rsidR="00487683" w:rsidRPr="00E14798" w:rsidRDefault="00487683" w:rsidP="00E14798">
      <w:r w:rsidRPr="00E14798">
        <w:t xml:space="preserve">Batch release testing </w:t>
      </w:r>
      <w:r w:rsidR="00925684">
        <w:t>and</w:t>
      </w:r>
      <w:r w:rsidRPr="00E14798">
        <w:t xml:space="preserve"> compliance with Certified Product Details (CPD)</w:t>
      </w:r>
    </w:p>
    <w:p w14:paraId="224F18D6" w14:textId="77777777" w:rsidR="00487683" w:rsidRPr="00E14798" w:rsidRDefault="00487683" w:rsidP="00E14798">
      <w:pPr>
        <w:pStyle w:val="ListBullet"/>
      </w:pPr>
      <w:r w:rsidRPr="00E14798">
        <w:t xml:space="preserve">It is a condition of registration that all batches of </w:t>
      </w:r>
      <w:r w:rsidR="00E14798" w:rsidRPr="00E14798">
        <w:t>Fasenra</w:t>
      </w:r>
      <w:r w:rsidRPr="00E14798">
        <w:t xml:space="preserve"> benralizumab imported into Australia must comply with the product details and specifications approved during evaluation and detailed in the Certified Product Details (CPD).</w:t>
      </w:r>
    </w:p>
    <w:p w14:paraId="4F787CD8" w14:textId="77777777" w:rsidR="00E14798" w:rsidRPr="00E14798" w:rsidRDefault="00487683" w:rsidP="00E14798">
      <w:pPr>
        <w:pStyle w:val="ListBullet"/>
      </w:pPr>
      <w:r w:rsidRPr="00E14798">
        <w:t xml:space="preserve">It is a condition of registration that each batch of </w:t>
      </w:r>
      <w:r w:rsidR="00E14798" w:rsidRPr="00E14798">
        <w:t>Fasenra</w:t>
      </w:r>
      <w:r w:rsidRPr="00E14798">
        <w:t xml:space="preserve"> benralizumab imported into Australia is not released for sale until samples and/or the manufacturer’s release data have been assessed and endorsed for release b</w:t>
      </w:r>
      <w:r w:rsidR="00075C43" w:rsidRPr="00E14798">
        <w:t>y the TGA Laboratories Branch</w:t>
      </w:r>
      <w:r w:rsidR="00E14798" w:rsidRPr="00E14798">
        <w:t>.</w:t>
      </w:r>
    </w:p>
    <w:p w14:paraId="5C5A3FA9" w14:textId="77777777" w:rsidR="008E7846" w:rsidRDefault="008E7846" w:rsidP="008E7846">
      <w:pPr>
        <w:pStyle w:val="Heading2"/>
      </w:pPr>
      <w:bookmarkStart w:id="38" w:name="_Toc196046439"/>
      <w:bookmarkStart w:id="39" w:name="_Toc247691510"/>
      <w:bookmarkStart w:id="40" w:name="_Toc314842494"/>
      <w:bookmarkStart w:id="41" w:name="_Toc1653581"/>
      <w:r>
        <w:lastRenderedPageBreak/>
        <w:t>I</w:t>
      </w:r>
      <w:r w:rsidR="00500337">
        <w:t>V</w:t>
      </w:r>
      <w:r>
        <w:t>. Nonclinical</w:t>
      </w:r>
      <w:bookmarkEnd w:id="38"/>
      <w:r>
        <w:t xml:space="preserve"> findings</w:t>
      </w:r>
      <w:bookmarkEnd w:id="39"/>
      <w:bookmarkEnd w:id="40"/>
      <w:bookmarkEnd w:id="41"/>
    </w:p>
    <w:p w14:paraId="0D492465" w14:textId="77777777" w:rsidR="008E7846" w:rsidRDefault="008E7846" w:rsidP="00940A89">
      <w:pPr>
        <w:pStyle w:val="Heading3"/>
      </w:pPr>
      <w:bookmarkStart w:id="42" w:name="_Toc247691511"/>
      <w:bookmarkStart w:id="43" w:name="_Toc314842495"/>
      <w:bookmarkStart w:id="44" w:name="_Toc1653582"/>
      <w:r>
        <w:t>Introduction</w:t>
      </w:r>
      <w:bookmarkEnd w:id="42"/>
      <w:bookmarkEnd w:id="43"/>
      <w:bookmarkEnd w:id="44"/>
    </w:p>
    <w:p w14:paraId="4A05DCAE" w14:textId="1CF4F9EB" w:rsidR="004334C7" w:rsidRPr="004334C7" w:rsidRDefault="00B00804" w:rsidP="004334C7">
      <w:r w:rsidRPr="00B00804">
        <w:t>The overall quality of the nonclinical dossier was good and in gener</w:t>
      </w:r>
      <w:r w:rsidR="00925684">
        <w:t xml:space="preserve">al accordance with relevant TGA </w:t>
      </w:r>
      <w:r w:rsidRPr="00B00804">
        <w:t xml:space="preserve">adopted guidelines, including </w:t>
      </w:r>
      <w:r w:rsidR="005E3545">
        <w:t>International Council for Harmonisation</w:t>
      </w:r>
      <w:r w:rsidR="005E3545" w:rsidRPr="00B00804">
        <w:t xml:space="preserve"> </w:t>
      </w:r>
      <w:r w:rsidR="005E3545">
        <w:t>(</w:t>
      </w:r>
      <w:r w:rsidRPr="00B00804">
        <w:t>ICH</w:t>
      </w:r>
      <w:r w:rsidR="005E3545">
        <w:t>) ICH</w:t>
      </w:r>
      <w:r w:rsidRPr="00B00804">
        <w:t xml:space="preserve"> S6 (R1)</w:t>
      </w:r>
      <w:r w:rsidR="00E14798">
        <w:t>.</w:t>
      </w:r>
      <w:bookmarkStart w:id="45" w:name="_Ref530134239"/>
      <w:r w:rsidR="00E14798">
        <w:rPr>
          <w:rStyle w:val="FootnoteReference"/>
        </w:rPr>
        <w:footnoteReference w:id="3"/>
      </w:r>
      <w:bookmarkEnd w:id="45"/>
      <w:r w:rsidRPr="00B00804">
        <w:t xml:space="preserve"> All pivotal </w:t>
      </w:r>
      <w:r w:rsidR="00925684">
        <w:t>safety related</w:t>
      </w:r>
      <w:r w:rsidRPr="00B00804">
        <w:t xml:space="preserve"> studies were conducted according to </w:t>
      </w:r>
      <w:r w:rsidR="003470A8">
        <w:t xml:space="preserve">Good Laboratory Practice </w:t>
      </w:r>
      <w:r w:rsidR="00E14798">
        <w:t>(</w:t>
      </w:r>
      <w:r w:rsidRPr="00B00804">
        <w:t>GLP</w:t>
      </w:r>
      <w:r w:rsidR="00E14798">
        <w:t>)</w:t>
      </w:r>
      <w:r w:rsidRPr="00B00804">
        <w:t>.</w:t>
      </w:r>
    </w:p>
    <w:p w14:paraId="5DEFDC92" w14:textId="77777777" w:rsidR="008E7846" w:rsidRDefault="008E7846" w:rsidP="008E7846">
      <w:pPr>
        <w:pStyle w:val="Heading3"/>
      </w:pPr>
      <w:bookmarkStart w:id="46" w:name="_Toc247691512"/>
      <w:bookmarkStart w:id="47" w:name="_Toc314842496"/>
      <w:bookmarkStart w:id="48" w:name="_Toc1653583"/>
      <w:r w:rsidRPr="00020030">
        <w:t>Pharmacology</w:t>
      </w:r>
      <w:bookmarkEnd w:id="46"/>
      <w:bookmarkEnd w:id="47"/>
      <w:bookmarkEnd w:id="48"/>
    </w:p>
    <w:p w14:paraId="55EDB351" w14:textId="77777777" w:rsidR="00B00804" w:rsidRPr="003F24A2" w:rsidRDefault="00B00804" w:rsidP="00B00804">
      <w:pPr>
        <w:pStyle w:val="Heading4"/>
      </w:pPr>
      <w:r w:rsidRPr="003F24A2">
        <w:t>Primary pharmacology</w:t>
      </w:r>
    </w:p>
    <w:p w14:paraId="1B0501F2" w14:textId="7D2468C3" w:rsidR="00B00804" w:rsidRPr="007239D1" w:rsidRDefault="00B00804" w:rsidP="00B00804">
      <w:r w:rsidRPr="003F24A2">
        <w:t>IL</w:t>
      </w:r>
      <w:r w:rsidR="00E14798">
        <w:t>-5</w:t>
      </w:r>
      <w:r w:rsidRPr="003F24A2">
        <w:t>R</w:t>
      </w:r>
      <w:r w:rsidR="00E14798">
        <w:t>α</w:t>
      </w:r>
      <w:r w:rsidRPr="003F24A2">
        <w:t xml:space="preserve">, the target for benralizumab, is expressed on eosinophils and </w:t>
      </w:r>
      <w:r>
        <w:t xml:space="preserve">(less strongly) </w:t>
      </w:r>
      <w:r w:rsidRPr="003F24A2">
        <w:t>basophils, key</w:t>
      </w:r>
      <w:r w:rsidR="00E14798">
        <w:t xml:space="preserve"> </w:t>
      </w:r>
      <w:r w:rsidRPr="003F24A2">
        <w:t>effectors of allergic inflammation</w:t>
      </w:r>
      <w:r w:rsidR="003470A8">
        <w:t>.</w:t>
      </w:r>
      <w:r w:rsidRPr="003F24A2">
        <w:rPr>
          <w:rStyle w:val="FootnoteReference"/>
        </w:rPr>
        <w:footnoteReference w:id="4"/>
      </w:r>
      <w:r w:rsidRPr="003F24A2">
        <w:t xml:space="preserve"> By binding to </w:t>
      </w:r>
      <w:r w:rsidR="00E14798">
        <w:rPr>
          <w:kern w:val="2"/>
        </w:rPr>
        <w:t>IL-</w:t>
      </w:r>
      <w:r w:rsidRPr="003F24A2">
        <w:rPr>
          <w:kern w:val="2"/>
        </w:rPr>
        <w:t>5Rα</w:t>
      </w:r>
      <w:r w:rsidR="00E14798">
        <w:t>, benralizumab is</w:t>
      </w:r>
      <w:r w:rsidRPr="003F24A2">
        <w:t xml:space="preserve"> intended to induce </w:t>
      </w:r>
      <w:r w:rsidRPr="007239D1">
        <w:t xml:space="preserve">apoptosis of eosinophils via </w:t>
      </w:r>
      <w:r w:rsidR="00E14798">
        <w:t>ADCC</w:t>
      </w:r>
      <w:r w:rsidRPr="007239D1">
        <w:t>, alleviating eosinophilic asthma.</w:t>
      </w:r>
    </w:p>
    <w:p w14:paraId="2A285A63" w14:textId="74C93C50" w:rsidR="00B00804" w:rsidRPr="007239D1" w:rsidRDefault="00B00804" w:rsidP="00B00804">
      <w:r w:rsidRPr="007239D1">
        <w:t xml:space="preserve">Benralizumab was shown to bind to recombinant human </w:t>
      </w:r>
      <w:r w:rsidRPr="00F971ED">
        <w:t>IL</w:t>
      </w:r>
      <w:r w:rsidRPr="00F971ED">
        <w:noBreakHyphen/>
        <w:t>5Rα</w:t>
      </w:r>
      <w:r w:rsidRPr="007239D1">
        <w:t xml:space="preserve"> with </w:t>
      </w:r>
      <w:r>
        <w:t>pico</w:t>
      </w:r>
      <w:r w:rsidRPr="007239D1">
        <w:t>molar affinity (</w:t>
      </w:r>
      <w:r w:rsidR="00E14798">
        <w:t>dissociation constant</w:t>
      </w:r>
      <w:r w:rsidR="00E14798" w:rsidRPr="00E14798">
        <w:t xml:space="preserve"> </w:t>
      </w:r>
      <w:r w:rsidR="00E14798">
        <w:t>(</w:t>
      </w:r>
      <w:r w:rsidRPr="00E14798">
        <w:t>K</w:t>
      </w:r>
      <w:r w:rsidRPr="00E14798">
        <w:rPr>
          <w:vertAlign w:val="subscript"/>
        </w:rPr>
        <w:t>D</w:t>
      </w:r>
      <w:r w:rsidR="00E14798">
        <w:t>)</w:t>
      </w:r>
      <w:r w:rsidRPr="007239D1">
        <w:t>, 16 </w:t>
      </w:r>
      <w:proofErr w:type="spellStart"/>
      <w:r w:rsidRPr="007239D1">
        <w:t>pM</w:t>
      </w:r>
      <w:proofErr w:type="spellEnd"/>
      <w:r w:rsidRPr="007239D1">
        <w:t xml:space="preserve">), </w:t>
      </w:r>
      <w:r>
        <w:t xml:space="preserve">to </w:t>
      </w:r>
      <w:r w:rsidRPr="007239D1">
        <w:t>bind to human eosinophils, inhibit IL</w:t>
      </w:r>
      <w:r w:rsidRPr="007239D1">
        <w:noBreakHyphen/>
        <w:t xml:space="preserve">5R signalling (as inhibition of </w:t>
      </w:r>
      <w:r w:rsidR="005E3545">
        <w:t>Interleukin-5 (</w:t>
      </w:r>
      <w:r w:rsidRPr="007239D1">
        <w:t>IL</w:t>
      </w:r>
      <w:r w:rsidRPr="007239D1">
        <w:noBreakHyphen/>
        <w:t>5</w:t>
      </w:r>
      <w:r w:rsidR="005E3545">
        <w:t xml:space="preserve">) </w:t>
      </w:r>
      <w:r w:rsidRPr="007239D1">
        <w:t>induced proliferation of cells transfected with the human IL</w:t>
      </w:r>
      <w:r w:rsidRPr="007239D1">
        <w:noBreakHyphen/>
        <w:t xml:space="preserve">5 receptor; </w:t>
      </w:r>
      <w:r w:rsidR="005E3545">
        <w:t>half maximal inhibitory concentration</w:t>
      </w:r>
      <w:r w:rsidR="005E3545" w:rsidRPr="007239D1">
        <w:t xml:space="preserve"> </w:t>
      </w:r>
      <w:r w:rsidR="005E3545">
        <w:t>(</w:t>
      </w:r>
      <w:r w:rsidRPr="007239D1">
        <w:t>IC</w:t>
      </w:r>
      <w:r w:rsidRPr="007239D1">
        <w:rPr>
          <w:vertAlign w:val="subscript"/>
        </w:rPr>
        <w:t>50</w:t>
      </w:r>
      <w:r w:rsidR="005E3545">
        <w:t>)</w:t>
      </w:r>
      <w:r w:rsidRPr="007239D1">
        <w:t>,</w:t>
      </w:r>
      <w:r w:rsidR="003470A8">
        <w:t xml:space="preserve"> of approximately </w:t>
      </w:r>
      <w:r w:rsidRPr="007239D1">
        <w:t>0.3</w:t>
      </w:r>
      <w:r w:rsidR="003470A8">
        <w:t> </w:t>
      </w:r>
      <w:proofErr w:type="spellStart"/>
      <w:r w:rsidRPr="007239D1">
        <w:t>nM</w:t>
      </w:r>
      <w:proofErr w:type="spellEnd"/>
      <w:r w:rsidRPr="007239D1">
        <w:t>), and induce ADCC of human eosinophils and basophils (</w:t>
      </w:r>
      <w:r w:rsidR="00925684">
        <w:t xml:space="preserve">half </w:t>
      </w:r>
      <w:r w:rsidR="00F971ED" w:rsidRPr="00F971ED">
        <w:t>maximal effective concentration</w:t>
      </w:r>
      <w:r w:rsidR="00F971ED">
        <w:t xml:space="preserve"> (</w:t>
      </w:r>
      <w:r>
        <w:t>EC</w:t>
      </w:r>
      <w:r w:rsidRPr="008A38CB">
        <w:rPr>
          <w:vertAlign w:val="subscript"/>
        </w:rPr>
        <w:t>50</w:t>
      </w:r>
      <w:r w:rsidR="00F971ED">
        <w:t>)</w:t>
      </w:r>
      <w:r>
        <w:t xml:space="preserve"> values, </w:t>
      </w:r>
      <w:r w:rsidRPr="007239D1">
        <w:t xml:space="preserve">0.9 and 0.5 </w:t>
      </w:r>
      <w:proofErr w:type="spellStart"/>
      <w:r w:rsidRPr="007239D1">
        <w:t>pM</w:t>
      </w:r>
      <w:proofErr w:type="spellEnd"/>
      <w:r w:rsidRPr="007239D1">
        <w:t xml:space="preserve">, respectively). </w:t>
      </w:r>
      <w:r w:rsidR="00F971ED">
        <w:t>Benralizumab induced</w:t>
      </w:r>
      <w:r w:rsidRPr="007239D1">
        <w:t xml:space="preserve"> apoptosis of eosinophils was not accompanied by eosinophil degranulation.</w:t>
      </w:r>
    </w:p>
    <w:p w14:paraId="692047A7" w14:textId="671BCAE9" w:rsidR="00B00804" w:rsidRPr="00421F9C" w:rsidRDefault="00B00804" w:rsidP="00B00804">
      <w:proofErr w:type="spellStart"/>
      <w:r w:rsidRPr="007239D1">
        <w:t>Benralizumab</w:t>
      </w:r>
      <w:proofErr w:type="spellEnd"/>
      <w:r w:rsidRPr="007239D1">
        <w:t xml:space="preserve"> is </w:t>
      </w:r>
      <w:proofErr w:type="spellStart"/>
      <w:r w:rsidRPr="00F971ED">
        <w:t>afucosylated</w:t>
      </w:r>
      <w:proofErr w:type="spellEnd"/>
      <w:r w:rsidR="00F971ED" w:rsidRPr="00F971ED">
        <w:t>;</w:t>
      </w:r>
      <w:r w:rsidRPr="00F971ED">
        <w:t xml:space="preserve"> engineered</w:t>
      </w:r>
      <w:r w:rsidRPr="007239D1">
        <w:t xml:space="preserve"> so that oligosaccharides of the Fc region of the antibody lack </w:t>
      </w:r>
      <w:proofErr w:type="spellStart"/>
      <w:r w:rsidRPr="007239D1">
        <w:t>fucose</w:t>
      </w:r>
      <w:proofErr w:type="spellEnd"/>
      <w:r w:rsidRPr="007239D1">
        <w:t xml:space="preserve"> units. This modification enhances </w:t>
      </w:r>
      <w:r>
        <w:t xml:space="preserve">affinity for the </w:t>
      </w:r>
      <w:proofErr w:type="spellStart"/>
      <w:r>
        <w:t>Fc</w:t>
      </w:r>
      <w:r w:rsidR="00F971ED">
        <w:t>γ</w:t>
      </w:r>
      <w:r>
        <w:t>RIII</w:t>
      </w:r>
      <w:proofErr w:type="spellEnd"/>
      <w:r>
        <w:t xml:space="preserve"> receptor (</w:t>
      </w:r>
      <w:r w:rsidRPr="00F971ED">
        <w:t>K</w:t>
      </w:r>
      <w:r w:rsidRPr="00F971ED">
        <w:rPr>
          <w:vertAlign w:val="subscript"/>
        </w:rPr>
        <w:t>D</w:t>
      </w:r>
      <w:r>
        <w:t>,</w:t>
      </w:r>
      <w:r w:rsidR="003470A8">
        <w:t> </w:t>
      </w:r>
      <w:r>
        <w:t xml:space="preserve">45.5 </w:t>
      </w:r>
      <w:proofErr w:type="spellStart"/>
      <w:r>
        <w:t>nM</w:t>
      </w:r>
      <w:proofErr w:type="spellEnd"/>
      <w:r>
        <w:t xml:space="preserve">) and </w:t>
      </w:r>
      <w:r w:rsidRPr="007239D1">
        <w:t xml:space="preserve">ADCC activity; the </w:t>
      </w:r>
      <w:proofErr w:type="spellStart"/>
      <w:r w:rsidRPr="007239D1">
        <w:t>fucosylated</w:t>
      </w:r>
      <w:proofErr w:type="spellEnd"/>
      <w:r w:rsidRPr="007239D1">
        <w:t xml:space="preserve"> form of the antibody did </w:t>
      </w:r>
      <w:r w:rsidRPr="00421F9C">
        <w:t>not induce eosinophil apoptosis at concentrations 1000</w:t>
      </w:r>
      <w:r w:rsidR="00F971ED">
        <w:t xml:space="preserve"> t</w:t>
      </w:r>
      <w:r w:rsidRPr="00421F9C">
        <w:t>imes higher than the EC</w:t>
      </w:r>
      <w:r w:rsidRPr="00421F9C">
        <w:rPr>
          <w:vertAlign w:val="subscript"/>
        </w:rPr>
        <w:t>50</w:t>
      </w:r>
      <w:r w:rsidRPr="00421F9C">
        <w:t xml:space="preserve"> for benralizumab, despite comparable recognition of </w:t>
      </w:r>
      <w:r w:rsidRPr="00421F9C">
        <w:rPr>
          <w:kern w:val="2"/>
        </w:rPr>
        <w:t>IL</w:t>
      </w:r>
      <w:r w:rsidRPr="00421F9C">
        <w:rPr>
          <w:kern w:val="2"/>
        </w:rPr>
        <w:noBreakHyphen/>
        <w:t>5Rα</w:t>
      </w:r>
      <w:r w:rsidRPr="00421F9C">
        <w:t>.</w:t>
      </w:r>
    </w:p>
    <w:p w14:paraId="1669BAA5" w14:textId="77777777" w:rsidR="00B00804" w:rsidRPr="000A0873" w:rsidRDefault="00B00804" w:rsidP="00B00804">
      <w:pPr>
        <w:rPr>
          <w:szCs w:val="18"/>
        </w:rPr>
      </w:pPr>
      <w:r w:rsidRPr="00421F9C">
        <w:t xml:space="preserve">Benralizumab targets a site on </w:t>
      </w:r>
      <w:r w:rsidRPr="00421F9C">
        <w:rPr>
          <w:kern w:val="2"/>
        </w:rPr>
        <w:t>IL</w:t>
      </w:r>
      <w:r w:rsidRPr="00421F9C">
        <w:rPr>
          <w:kern w:val="2"/>
        </w:rPr>
        <w:noBreakHyphen/>
        <w:t>5Rα</w:t>
      </w:r>
      <w:r w:rsidRPr="00421F9C">
        <w:t xml:space="preserve"> that is conserved between humans and the cynomolgus </w:t>
      </w:r>
      <w:r w:rsidRPr="000A0873">
        <w:t xml:space="preserve">monkey. The antibody showed broadly comparable but somewhat weaker affinity for the monkey form of the receptor </w:t>
      </w:r>
      <w:r w:rsidR="00F971ED" w:rsidRPr="00F971ED">
        <w:t>compared with</w:t>
      </w:r>
      <w:r w:rsidRPr="000A0873">
        <w:rPr>
          <w:szCs w:val="18"/>
        </w:rPr>
        <w:t xml:space="preserve"> human (</w:t>
      </w:r>
      <w:r w:rsidRPr="00F971ED">
        <w:t>K</w:t>
      </w:r>
      <w:r w:rsidRPr="00F971ED">
        <w:rPr>
          <w:vertAlign w:val="subscript"/>
        </w:rPr>
        <w:t>D</w:t>
      </w:r>
      <w:r w:rsidRPr="000A0873">
        <w:rPr>
          <w:szCs w:val="18"/>
        </w:rPr>
        <w:t xml:space="preserve"> for binding to recombinant monkey </w:t>
      </w:r>
      <w:r w:rsidRPr="000A0873">
        <w:rPr>
          <w:kern w:val="2"/>
          <w:szCs w:val="18"/>
        </w:rPr>
        <w:t>IL</w:t>
      </w:r>
      <w:r w:rsidRPr="000A0873">
        <w:rPr>
          <w:kern w:val="2"/>
          <w:szCs w:val="18"/>
        </w:rPr>
        <w:noBreakHyphen/>
        <w:t>5Rα</w:t>
      </w:r>
      <w:r w:rsidRPr="000A0873">
        <w:rPr>
          <w:szCs w:val="18"/>
        </w:rPr>
        <w:t xml:space="preserve">, 42 </w:t>
      </w:r>
      <w:proofErr w:type="spellStart"/>
      <w:r w:rsidRPr="000A0873">
        <w:rPr>
          <w:szCs w:val="18"/>
        </w:rPr>
        <w:t>pM</w:t>
      </w:r>
      <w:proofErr w:type="spellEnd"/>
      <w:r w:rsidRPr="000A0873">
        <w:rPr>
          <w:szCs w:val="18"/>
        </w:rPr>
        <w:t xml:space="preserve">). Benralizumab does not recognise mouse </w:t>
      </w:r>
      <w:r w:rsidRPr="000A0873">
        <w:rPr>
          <w:kern w:val="2"/>
          <w:szCs w:val="18"/>
        </w:rPr>
        <w:t>IL</w:t>
      </w:r>
      <w:r w:rsidRPr="000A0873">
        <w:rPr>
          <w:kern w:val="2"/>
          <w:szCs w:val="18"/>
        </w:rPr>
        <w:noBreakHyphen/>
        <w:t xml:space="preserve">5Rα. This was shown to be due to a single amino acid difference at the binding site; the amino acid as this position is also different </w:t>
      </w:r>
      <w:r w:rsidR="00F971ED" w:rsidRPr="00F971ED">
        <w:rPr>
          <w:kern w:val="2"/>
          <w:szCs w:val="18"/>
        </w:rPr>
        <w:t>compared with</w:t>
      </w:r>
      <w:r w:rsidRPr="00F971ED">
        <w:rPr>
          <w:kern w:val="2"/>
          <w:szCs w:val="18"/>
        </w:rPr>
        <w:t xml:space="preserve"> human</w:t>
      </w:r>
      <w:r w:rsidRPr="000A0873">
        <w:rPr>
          <w:kern w:val="2"/>
          <w:szCs w:val="18"/>
        </w:rPr>
        <w:t xml:space="preserve"> in the rat</w:t>
      </w:r>
      <w:r>
        <w:rPr>
          <w:kern w:val="2"/>
          <w:szCs w:val="18"/>
        </w:rPr>
        <w:t>, rabbit</w:t>
      </w:r>
      <w:r w:rsidRPr="000A0873">
        <w:rPr>
          <w:kern w:val="2"/>
          <w:szCs w:val="18"/>
        </w:rPr>
        <w:t xml:space="preserve"> and dog</w:t>
      </w:r>
      <w:r w:rsidR="00925684">
        <w:rPr>
          <w:kern w:val="2"/>
          <w:szCs w:val="18"/>
        </w:rPr>
        <w:t>.</w:t>
      </w:r>
      <w:r>
        <w:rPr>
          <w:rStyle w:val="FootnoteReference"/>
          <w:kern w:val="2"/>
          <w:szCs w:val="18"/>
        </w:rPr>
        <w:footnoteReference w:id="5"/>
      </w:r>
    </w:p>
    <w:p w14:paraId="712A11C6" w14:textId="3044449B" w:rsidR="004334C7" w:rsidRDefault="00B00804" w:rsidP="00B00804">
      <w:r w:rsidRPr="003470A8">
        <w:t>In vivo</w:t>
      </w:r>
      <w:r w:rsidRPr="000A0873">
        <w:t xml:space="preserve">, </w:t>
      </w:r>
      <w:r w:rsidR="00F511F9">
        <w:t>subcutaneous</w:t>
      </w:r>
      <w:r w:rsidR="00F511F9" w:rsidRPr="000A0873">
        <w:t xml:space="preserve"> </w:t>
      </w:r>
      <w:r w:rsidR="00F511F9">
        <w:t>(</w:t>
      </w:r>
      <w:r w:rsidRPr="000A0873">
        <w:t>SC</w:t>
      </w:r>
      <w:r w:rsidR="00F511F9">
        <w:t>)</w:t>
      </w:r>
      <w:r w:rsidRPr="000A0873">
        <w:t xml:space="preserve"> or </w:t>
      </w:r>
      <w:r w:rsidR="005E3545">
        <w:t>intravenous</w:t>
      </w:r>
      <w:r w:rsidR="005E3545" w:rsidRPr="000A0873">
        <w:t xml:space="preserve"> </w:t>
      </w:r>
      <w:r w:rsidR="005E3545">
        <w:t>(</w:t>
      </w:r>
      <w:r w:rsidRPr="000A0873">
        <w:t>IV</w:t>
      </w:r>
      <w:r w:rsidR="005E3545">
        <w:t>)</w:t>
      </w:r>
      <w:r w:rsidRPr="000A0873">
        <w:t xml:space="preserve"> administration of b</w:t>
      </w:r>
      <w:r w:rsidR="00F971ED">
        <w:t xml:space="preserve">enralizumab (0.1 to </w:t>
      </w:r>
      <w:r w:rsidRPr="000A0873">
        <w:t>30</w:t>
      </w:r>
      <w:r w:rsidR="003470A8">
        <w:t> </w:t>
      </w:r>
      <w:r w:rsidRPr="000A0873">
        <w:t>mg/kg) caused pronounced reductions in circulating eosinophils in cynomolgus monkeys. This occurred wit</w:t>
      </w:r>
      <w:r w:rsidR="00925684">
        <w:t xml:space="preserve">hin days of dosing and was long </w:t>
      </w:r>
      <w:r w:rsidRPr="000A0873">
        <w:t xml:space="preserve">lasting. In monkey models of eosinophilia, </w:t>
      </w:r>
      <w:r w:rsidR="00F971ED">
        <w:t>single dose</w:t>
      </w:r>
      <w:r w:rsidRPr="000A0873">
        <w:t xml:space="preserve"> administration of an antibody similar to benralizumab (same sequence and equivalent affinity and </w:t>
      </w:r>
      <w:r w:rsidRPr="003470A8">
        <w:t>in vitro</w:t>
      </w:r>
      <w:r w:rsidRPr="000A0873">
        <w:t xml:space="preserve"> activity, but produced from a different cell culture system) reduced peak peripheral eosinophils induced by repeated treatment with IL</w:t>
      </w:r>
      <w:r w:rsidRPr="000A0873">
        <w:noBreakHyphen/>
        <w:t xml:space="preserve">5 (at 0.3 mg/kg IV, and less consistently at 0.01 mg/kg IV), and significantly attenuated infiltration of airway eosinophils and airway hyper-responsiveness induced by allergen challenge </w:t>
      </w:r>
      <w:r w:rsidRPr="003F44A0">
        <w:t>(at 1 mg/kg IV)</w:t>
      </w:r>
      <w:r w:rsidR="003470A8">
        <w:t>.</w:t>
      </w:r>
    </w:p>
    <w:p w14:paraId="75F8BDDB" w14:textId="77777777" w:rsidR="00B00804" w:rsidRPr="003F44A0" w:rsidRDefault="00B00804" w:rsidP="00B00804">
      <w:pPr>
        <w:pStyle w:val="Heading4"/>
      </w:pPr>
      <w:r w:rsidRPr="003F44A0">
        <w:lastRenderedPageBreak/>
        <w:t>Secon</w:t>
      </w:r>
      <w:r w:rsidR="00925684">
        <w:t xml:space="preserve">dary pharmacodynamics and cross </w:t>
      </w:r>
      <w:r w:rsidRPr="003F44A0">
        <w:t>reactivity</w:t>
      </w:r>
    </w:p>
    <w:p w14:paraId="62986E2C" w14:textId="77777777" w:rsidR="00B00804" w:rsidRDefault="00B00804" w:rsidP="00B00804">
      <w:r w:rsidRPr="003F44A0">
        <w:t>Benralizumab is an IgG1</w:t>
      </w:r>
      <w:r w:rsidR="00F971ED">
        <w:t>κ</w:t>
      </w:r>
      <w:r w:rsidRPr="003F44A0">
        <w:t xml:space="preserve"> antibody. </w:t>
      </w:r>
      <w:r>
        <w:t xml:space="preserve">High specificity for binding is evident from pharmacology studies showing modification of a single amino acid in </w:t>
      </w:r>
      <w:r w:rsidRPr="005E7257">
        <w:rPr>
          <w:kern w:val="2"/>
        </w:rPr>
        <w:t>IL</w:t>
      </w:r>
      <w:r w:rsidRPr="005E7257">
        <w:rPr>
          <w:kern w:val="2"/>
        </w:rPr>
        <w:noBreakHyphen/>
        <w:t>5Rα</w:t>
      </w:r>
      <w:r>
        <w:t xml:space="preserve"> is sufficient to abolish target recognition. </w:t>
      </w:r>
      <w:r w:rsidRPr="003F44A0">
        <w:t>The molecule was</w:t>
      </w:r>
      <w:r w:rsidR="00F971ED">
        <w:t xml:space="preserve"> shown to not induce complement </w:t>
      </w:r>
      <w:r w:rsidRPr="003F44A0">
        <w:t>dependent cytotoxicity (CDC) of human eosinophils.</w:t>
      </w:r>
    </w:p>
    <w:p w14:paraId="0CC77251" w14:textId="77777777" w:rsidR="00B00804" w:rsidRPr="00B74120" w:rsidRDefault="00B00804" w:rsidP="00B00804">
      <w:r>
        <w:t>Immunohistochemical studi</w:t>
      </w:r>
      <w:r w:rsidR="00925684">
        <w:t xml:space="preserve">es examining cross </w:t>
      </w:r>
      <w:r w:rsidR="00F971ED">
        <w:t xml:space="preserve">reactivity; </w:t>
      </w:r>
      <w:r>
        <w:t>involving a suitably comprehensive panel of human tissues</w:t>
      </w:r>
      <w:r w:rsidR="00F971ED">
        <w:t>;</w:t>
      </w:r>
      <w:r>
        <w:rPr>
          <w:rStyle w:val="FootnoteReference"/>
        </w:rPr>
        <w:footnoteReference w:id="6"/>
      </w:r>
      <w:r w:rsidR="00F971ED">
        <w:t xml:space="preserve"> </w:t>
      </w:r>
      <w:r>
        <w:t xml:space="preserve">revealed a relatively limited pattern of staining for benralizumab. In addition to staining intravascular protein in many tissues (interpreted to represent staining of soluble </w:t>
      </w:r>
      <w:r w:rsidRPr="00E16C6E">
        <w:t>IL</w:t>
      </w:r>
      <w:r w:rsidRPr="00E16C6E">
        <w:noBreakHyphen/>
      </w:r>
      <w:r>
        <w:t xml:space="preserve">5R), staining of mononuclear cells in the spleen and of striated skeletal myocytes was seen. Benralizumab produced this same staining pattern in cynomolgus monkey tissues, and additionally stained bone marrow eosinophil precursors (consistent with </w:t>
      </w:r>
      <w:r w:rsidRPr="005E7257">
        <w:rPr>
          <w:kern w:val="2"/>
        </w:rPr>
        <w:t>IL</w:t>
      </w:r>
      <w:r w:rsidRPr="005E7257">
        <w:rPr>
          <w:kern w:val="2"/>
        </w:rPr>
        <w:noBreakHyphen/>
        <w:t>5Rα</w:t>
      </w:r>
      <w:r>
        <w:t xml:space="preserve"> expression) and cardiac</w:t>
      </w:r>
      <w:r w:rsidR="00F971ED">
        <w:t xml:space="preserve"> myocytes. Staining that is not </w:t>
      </w:r>
      <w:r>
        <w:t xml:space="preserve">associated with known expression of </w:t>
      </w:r>
      <w:r w:rsidRPr="005E7257">
        <w:rPr>
          <w:kern w:val="2"/>
        </w:rPr>
        <w:t>IL</w:t>
      </w:r>
      <w:r w:rsidRPr="005E7257">
        <w:rPr>
          <w:kern w:val="2"/>
        </w:rPr>
        <w:noBreakHyphen/>
        <w:t>5Rα</w:t>
      </w:r>
      <w:r>
        <w:t xml:space="preserve"> was mostly </w:t>
      </w:r>
      <w:r w:rsidRPr="00B74120">
        <w:t>cytoplasmic. As a large molecular weight protein, benralizumab is not expected to access the cytoplasm, so the finding is not of particular concern. Together with</w:t>
      </w:r>
      <w:r w:rsidR="00F971ED">
        <w:t xml:space="preserve"> primary pharmacology data, the </w:t>
      </w:r>
      <w:r w:rsidRPr="00B74120">
        <w:t>highly similar tissue staining pattern of benralizumab in cynomolgus monkey and human tissues supports the use of this species as an appropriate animal model in toxicity studies.</w:t>
      </w:r>
    </w:p>
    <w:p w14:paraId="5A794938" w14:textId="77777777" w:rsidR="00B00804" w:rsidRPr="00B74120" w:rsidRDefault="00B00804" w:rsidP="00B00804">
      <w:pPr>
        <w:pStyle w:val="Heading4"/>
      </w:pPr>
      <w:r w:rsidRPr="00B74120">
        <w:t>Safety pharmacology</w:t>
      </w:r>
    </w:p>
    <w:p w14:paraId="79FAC13B" w14:textId="4608C0BB" w:rsidR="00B00804" w:rsidRPr="004334C7" w:rsidRDefault="00B00804" w:rsidP="00B00804">
      <w:r w:rsidRPr="00B74120">
        <w:t>No specialised safety pharmacology studies with benralizumab were conducted</w:t>
      </w:r>
      <w:r>
        <w:t>; e</w:t>
      </w:r>
      <w:r w:rsidRPr="00B74120">
        <w:t xml:space="preserve">xamination of safety pharmacology endpoints covering the cardiovascular and respiratory systems was incorporated into the general </w:t>
      </w:r>
      <w:r w:rsidR="00F971ED">
        <w:t>repeat dose</w:t>
      </w:r>
      <w:r w:rsidRPr="00B74120">
        <w:t xml:space="preserve"> toxicity program instead. </w:t>
      </w:r>
      <w:r w:rsidR="005E3545">
        <w:t>Electrocardiogram</w:t>
      </w:r>
      <w:r w:rsidR="005E3545" w:rsidRPr="00B74120">
        <w:t xml:space="preserve"> </w:t>
      </w:r>
      <w:r w:rsidR="005E3545">
        <w:t>(</w:t>
      </w:r>
      <w:r w:rsidRPr="00B74120">
        <w:t>ECG</w:t>
      </w:r>
      <w:r w:rsidR="005E3545">
        <w:t>)</w:t>
      </w:r>
      <w:r w:rsidRPr="00B74120">
        <w:t xml:space="preserve"> and blood pressure were unaffected in monkeys at doses up to 30 mg/kg IV and SC; and respiration rate and blood gases were unaffected at up to 30 mg/kg IV. </w:t>
      </w:r>
      <w:r>
        <w:t xml:space="preserve">Serum drug levels at the time of monitoring are seen to be more than two orders of magnitude higher than clinical </w:t>
      </w:r>
      <w:r w:rsidR="002A4756">
        <w:t>maximum plasma concentration (</w:t>
      </w:r>
      <w:r>
        <w:t>C</w:t>
      </w:r>
      <w:r w:rsidRPr="00D338AD">
        <w:rPr>
          <w:vertAlign w:val="subscript"/>
        </w:rPr>
        <w:t>max</w:t>
      </w:r>
      <w:r w:rsidR="002A4756">
        <w:t>)</w:t>
      </w:r>
      <w:r>
        <w:t xml:space="preserve">. </w:t>
      </w:r>
      <w:r w:rsidRPr="00B74120">
        <w:t xml:space="preserve">Functional indices to investigate potential effects on </w:t>
      </w:r>
      <w:r w:rsidR="00F971ED">
        <w:t>central nervous system (</w:t>
      </w:r>
      <w:r w:rsidRPr="00B74120">
        <w:t>CNS</w:t>
      </w:r>
      <w:r w:rsidR="00F971ED">
        <w:t>)</w:t>
      </w:r>
      <w:r w:rsidRPr="00B74120">
        <w:t xml:space="preserve"> function were not measured; this is not in accordance with </w:t>
      </w:r>
      <w:r>
        <w:t>ICH S6</w:t>
      </w:r>
      <w:r w:rsidRPr="00521522">
        <w:rPr>
          <w:w w:val="50"/>
        </w:rPr>
        <w:t xml:space="preserve"> </w:t>
      </w:r>
      <w:r>
        <w:t>(R1)</w:t>
      </w:r>
      <w:proofErr w:type="gramStart"/>
      <w:r w:rsidR="003470A8">
        <w:t>;</w:t>
      </w:r>
      <w:proofErr w:type="gramEnd"/>
      <w:r w:rsidR="00F971ED" w:rsidRPr="00F971ED">
        <w:rPr>
          <w:vertAlign w:val="superscript"/>
        </w:rPr>
        <w:fldChar w:fldCharType="begin"/>
      </w:r>
      <w:r w:rsidR="00F971ED" w:rsidRPr="00F971ED">
        <w:rPr>
          <w:vertAlign w:val="superscript"/>
        </w:rPr>
        <w:instrText xml:space="preserve"> NOTEREF _Ref530134239 \h </w:instrText>
      </w:r>
      <w:r w:rsidR="00F971ED">
        <w:rPr>
          <w:vertAlign w:val="superscript"/>
        </w:rPr>
        <w:instrText xml:space="preserve"> \* MERGEFORMAT </w:instrText>
      </w:r>
      <w:r w:rsidR="00F971ED" w:rsidRPr="00F971ED">
        <w:rPr>
          <w:vertAlign w:val="superscript"/>
        </w:rPr>
      </w:r>
      <w:r w:rsidR="00F971ED" w:rsidRPr="00F971ED">
        <w:rPr>
          <w:vertAlign w:val="superscript"/>
        </w:rPr>
        <w:fldChar w:fldCharType="separate"/>
      </w:r>
      <w:r w:rsidR="00E02FD3">
        <w:rPr>
          <w:vertAlign w:val="superscript"/>
        </w:rPr>
        <w:t>3</w:t>
      </w:r>
      <w:r w:rsidR="00F971ED" w:rsidRPr="00F971ED">
        <w:rPr>
          <w:vertAlign w:val="superscript"/>
        </w:rPr>
        <w:fldChar w:fldCharType="end"/>
      </w:r>
      <w:r>
        <w:t xml:space="preserve"> and </w:t>
      </w:r>
      <w:r w:rsidRPr="00B74120">
        <w:t>ICH S7A</w:t>
      </w:r>
      <w:r w:rsidR="00F971ED">
        <w:t>.</w:t>
      </w:r>
      <w:r w:rsidR="00F971ED">
        <w:rPr>
          <w:rStyle w:val="FootnoteReference"/>
        </w:rPr>
        <w:footnoteReference w:id="7"/>
      </w:r>
      <w:r w:rsidRPr="00B74120">
        <w:t xml:space="preserve"> </w:t>
      </w:r>
      <w:r w:rsidR="00F971ED">
        <w:t>However</w:t>
      </w:r>
      <w:r w:rsidRPr="00B74120">
        <w:t xml:space="preserve">, while the extent of the examination was not ideal, there were no clinical signs observed in treated monkeys to indicate adverse effects on CNS function, and no such effect is expected based on knowledge of the physiological role of the </w:t>
      </w:r>
      <w:r w:rsidRPr="004C5554">
        <w:t>target.</w:t>
      </w:r>
    </w:p>
    <w:p w14:paraId="23D3F71C" w14:textId="77777777" w:rsidR="008E7846" w:rsidRDefault="008E7846" w:rsidP="008E7846">
      <w:pPr>
        <w:pStyle w:val="Heading3"/>
      </w:pPr>
      <w:bookmarkStart w:id="49" w:name="_Toc247691513"/>
      <w:bookmarkStart w:id="50" w:name="_Toc314842497"/>
      <w:bookmarkStart w:id="51" w:name="_Toc1653584"/>
      <w:r>
        <w:t>Pharmacokinetics</w:t>
      </w:r>
      <w:bookmarkEnd w:id="49"/>
      <w:bookmarkEnd w:id="50"/>
      <w:bookmarkEnd w:id="51"/>
    </w:p>
    <w:p w14:paraId="15BBBE9F" w14:textId="705F5301" w:rsidR="00B00804" w:rsidRPr="00061669" w:rsidRDefault="00B00804" w:rsidP="00B00804">
      <w:bookmarkStart w:id="52" w:name="_Toc247691514"/>
      <w:bookmarkStart w:id="53" w:name="_Toc314842498"/>
      <w:r w:rsidRPr="00061669">
        <w:t xml:space="preserve">Exposure to benralizumab after SC and IV administration was </w:t>
      </w:r>
      <w:r w:rsidR="00F971ED">
        <w:t>dose proportional</w:t>
      </w:r>
      <w:r w:rsidRPr="00061669">
        <w:t xml:space="preserve"> in cynomolgus monkeys, and approximately so in humans. Half-life was long and similar in monkeys and humans (</w:t>
      </w:r>
      <w:r w:rsidR="003470A8">
        <w:t>approximately</w:t>
      </w:r>
      <w:r w:rsidR="00F971ED">
        <w:t xml:space="preserve"> </w:t>
      </w:r>
      <w:r w:rsidRPr="00061669">
        <w:t xml:space="preserve">13 days and 15 days in the respective species). Repeat fortnightly dosing in monkeys was accompanied by accumulation </w:t>
      </w:r>
      <w:r w:rsidR="003470A8" w:rsidRPr="00061669">
        <w:t>(</w:t>
      </w:r>
      <w:r w:rsidR="003470A8">
        <w:t xml:space="preserve">approximately </w:t>
      </w:r>
      <w:r w:rsidRPr="00061669">
        <w:t>2</w:t>
      </w:r>
      <w:r w:rsidR="00F971ED">
        <w:t xml:space="preserve"> fold</w:t>
      </w:r>
      <w:r w:rsidRPr="00061669">
        <w:t xml:space="preserve">). Bioavailability by the SC route was highly similar in monkeys </w:t>
      </w:r>
      <w:r w:rsidR="003470A8" w:rsidRPr="00061669">
        <w:t>(</w:t>
      </w:r>
      <w:r w:rsidR="003470A8">
        <w:t xml:space="preserve">approximately </w:t>
      </w:r>
      <w:r w:rsidRPr="00061669">
        <w:t xml:space="preserve">55%) and humans </w:t>
      </w:r>
      <w:r w:rsidR="003470A8" w:rsidRPr="00061669">
        <w:t>(</w:t>
      </w:r>
      <w:r w:rsidR="003470A8">
        <w:t>approximately </w:t>
      </w:r>
      <w:r w:rsidRPr="00061669">
        <w:t>58%). As expected for an IgG antibody, volume of distribution was low (70 mL/kg in monkeys), consistent with minimal extravascular distribution.</w:t>
      </w:r>
    </w:p>
    <w:p w14:paraId="5E8C9E3F" w14:textId="1400403B" w:rsidR="00B00804" w:rsidRPr="00061669" w:rsidRDefault="00B00804" w:rsidP="00B00804">
      <w:r w:rsidRPr="00061669">
        <w:t>No distribution, metabolism, excretion or pharmacokinetic interacti</w:t>
      </w:r>
      <w:r w:rsidR="00F971ED">
        <w:t xml:space="preserve">on studies were submitted; this </w:t>
      </w:r>
      <w:r w:rsidRPr="00061669">
        <w:t>is acceptable given th</w:t>
      </w:r>
      <w:r w:rsidR="00F971ED">
        <w:t xml:space="preserve">e protein nature of the drug in </w:t>
      </w:r>
      <w:r w:rsidR="00925684">
        <w:t>accordance with ICH </w:t>
      </w:r>
      <w:r w:rsidRPr="00061669">
        <w:t>S6</w:t>
      </w:r>
      <w:r w:rsidRPr="00061669">
        <w:rPr>
          <w:w w:val="50"/>
        </w:rPr>
        <w:t xml:space="preserve"> </w:t>
      </w:r>
      <w:r w:rsidRPr="00061669">
        <w:t>(R1).</w:t>
      </w:r>
      <w:r w:rsidR="00F971ED" w:rsidRPr="00F971ED">
        <w:rPr>
          <w:vertAlign w:val="superscript"/>
        </w:rPr>
        <w:fldChar w:fldCharType="begin"/>
      </w:r>
      <w:r w:rsidR="00F971ED" w:rsidRPr="00F971ED">
        <w:rPr>
          <w:vertAlign w:val="superscript"/>
        </w:rPr>
        <w:instrText xml:space="preserve"> NOTEREF _Ref530134239 \h </w:instrText>
      </w:r>
      <w:r w:rsidR="00F971ED">
        <w:rPr>
          <w:vertAlign w:val="superscript"/>
        </w:rPr>
        <w:instrText xml:space="preserve"> \* MERGEFORMAT </w:instrText>
      </w:r>
      <w:r w:rsidR="00F971ED" w:rsidRPr="00F971ED">
        <w:rPr>
          <w:vertAlign w:val="superscript"/>
        </w:rPr>
      </w:r>
      <w:r w:rsidR="00F971ED" w:rsidRPr="00F971ED">
        <w:rPr>
          <w:vertAlign w:val="superscript"/>
        </w:rPr>
        <w:fldChar w:fldCharType="separate"/>
      </w:r>
      <w:r w:rsidR="00E02FD3">
        <w:rPr>
          <w:vertAlign w:val="superscript"/>
        </w:rPr>
        <w:t>3</w:t>
      </w:r>
      <w:r w:rsidR="00F971ED" w:rsidRPr="00F971ED">
        <w:rPr>
          <w:vertAlign w:val="superscript"/>
        </w:rPr>
        <w:fldChar w:fldCharType="end"/>
      </w:r>
      <w:r w:rsidRPr="00061669">
        <w:t xml:space="preserve"> It is expected benralizumab will be eliminated by normal protein degradation pathways for IgG molecules.</w:t>
      </w:r>
    </w:p>
    <w:p w14:paraId="539FB179" w14:textId="77777777" w:rsidR="004334C7" w:rsidRDefault="00B00804" w:rsidP="004334C7">
      <w:r w:rsidRPr="00061669">
        <w:rPr>
          <w:rFonts w:asciiTheme="minorHAnsi" w:hAnsiTheme="minorHAnsi"/>
        </w:rPr>
        <w:lastRenderedPageBreak/>
        <w:t>The pharmacokinetic characteristics of benralizumab in cynomolgus monkeys were shown to be sufficiently similar to those in humans to allow this species to serve as an appropriate model for the assessment of benralizumab toxicity.</w:t>
      </w:r>
    </w:p>
    <w:p w14:paraId="30685FF3" w14:textId="77777777" w:rsidR="001B5C90" w:rsidRDefault="008E7846" w:rsidP="001B5C90">
      <w:pPr>
        <w:pStyle w:val="Heading3"/>
      </w:pPr>
      <w:bookmarkStart w:id="54" w:name="_Toc1653585"/>
      <w:r>
        <w:t>Toxicology</w:t>
      </w:r>
      <w:bookmarkEnd w:id="52"/>
      <w:bookmarkEnd w:id="53"/>
      <w:bookmarkEnd w:id="54"/>
    </w:p>
    <w:p w14:paraId="2F35C3D2" w14:textId="77777777" w:rsidR="00B00804" w:rsidRPr="00C57140" w:rsidRDefault="00B00804" w:rsidP="00B00804">
      <w:pPr>
        <w:pStyle w:val="Heading4"/>
      </w:pPr>
      <w:bookmarkStart w:id="55" w:name="_Toc294861727"/>
      <w:r w:rsidRPr="00C57140">
        <w:t>Acute toxicity</w:t>
      </w:r>
      <w:bookmarkEnd w:id="55"/>
    </w:p>
    <w:p w14:paraId="3CA62143" w14:textId="77777777" w:rsidR="00B00804" w:rsidRPr="00A370FA" w:rsidRDefault="00B00804" w:rsidP="00B00804">
      <w:r w:rsidRPr="00C57140">
        <w:t xml:space="preserve">A dedicated </w:t>
      </w:r>
      <w:r w:rsidR="00F971ED">
        <w:t>single dose</w:t>
      </w:r>
      <w:r w:rsidRPr="00C57140">
        <w:t xml:space="preserve"> toxicity study by the SC route in monkeys, together with information from the </w:t>
      </w:r>
      <w:r w:rsidR="00F971ED">
        <w:t>repeat dose</w:t>
      </w:r>
      <w:r w:rsidRPr="00C57140">
        <w:t xml:space="preserve"> toxicity program (SC and IV administration in monkeys), establish a low order of acute toxicity for benralizumab. </w:t>
      </w:r>
      <w:r w:rsidR="00925684">
        <w:t xml:space="preserve">There were no deaths, treatment </w:t>
      </w:r>
      <w:r w:rsidRPr="00C57140">
        <w:t xml:space="preserve">related effects on body weight, or </w:t>
      </w:r>
      <w:r w:rsidRPr="00A370FA">
        <w:t>acute clinical signs observed up to the highest dose levels tested (30 mg/kg IV and SC).</w:t>
      </w:r>
    </w:p>
    <w:p w14:paraId="4C56D63D" w14:textId="77777777" w:rsidR="00B00804" w:rsidRPr="00A370FA" w:rsidRDefault="00F971ED" w:rsidP="00B00804">
      <w:pPr>
        <w:pStyle w:val="Heading4"/>
      </w:pPr>
      <w:bookmarkStart w:id="56" w:name="_Toc294861728"/>
      <w:r>
        <w:t>Repeat dose</w:t>
      </w:r>
      <w:r w:rsidR="00B00804" w:rsidRPr="00A370FA">
        <w:t xml:space="preserve"> toxicity</w:t>
      </w:r>
      <w:bookmarkEnd w:id="56"/>
    </w:p>
    <w:p w14:paraId="3A65C644" w14:textId="77777777" w:rsidR="00B00804" w:rsidRPr="00A370FA" w:rsidRDefault="00B00804" w:rsidP="00B00804">
      <w:r w:rsidRPr="00A370FA">
        <w:t xml:space="preserve">The pivotal </w:t>
      </w:r>
      <w:r w:rsidR="00F971ED">
        <w:t>repeat dose</w:t>
      </w:r>
      <w:r w:rsidRPr="00A370FA">
        <w:t xml:space="preserve"> toxicity study was of 9 months duration in cynomolgus monkeys, and involved fortnightly SC or IV administration. The study was appropri</w:t>
      </w:r>
      <w:r w:rsidR="00F971ED">
        <w:t xml:space="preserve">ately designed and conducted in </w:t>
      </w:r>
      <w:r w:rsidRPr="00A370FA">
        <w:t xml:space="preserve">terms of species and dose selection, </w:t>
      </w:r>
      <w:r>
        <w:t xml:space="preserve">group size, </w:t>
      </w:r>
      <w:r w:rsidRPr="00A370FA">
        <w:t>duration and endpoints examined. Two shorter studies were also submitted, invo</w:t>
      </w:r>
      <w:r w:rsidR="00F971ED">
        <w:t>lving IV administration every 3 </w:t>
      </w:r>
      <w:r w:rsidRPr="00A370FA">
        <w:t>weeks for 9 weeks and SC administration twice weekly for 15 weeks.</w:t>
      </w:r>
      <w:r>
        <w:t xml:space="preserve"> Due to the species specificity of the drug, rodent species are not suitable for toxicity studies with benralizumab.</w:t>
      </w:r>
    </w:p>
    <w:p w14:paraId="6D73EBF4" w14:textId="77777777" w:rsidR="00B00804" w:rsidRPr="00A370FA" w:rsidRDefault="00B00804" w:rsidP="00B00804">
      <w:pPr>
        <w:pStyle w:val="Heading5"/>
      </w:pPr>
      <w:r w:rsidRPr="00A370FA">
        <w:t>Relative exposure</w:t>
      </w:r>
    </w:p>
    <w:p w14:paraId="132FD3E6" w14:textId="74F40E5C" w:rsidR="00B00804" w:rsidRPr="003D3E3B" w:rsidRDefault="00B00804" w:rsidP="00B00804">
      <w:r w:rsidRPr="00A370FA">
        <w:t>Animal:</w:t>
      </w:r>
      <w:r w:rsidR="003470A8">
        <w:t xml:space="preserve"> </w:t>
      </w:r>
      <w:r w:rsidRPr="00A370FA">
        <w:t xml:space="preserve">human exposure multiples achieved in the pivotal study </w:t>
      </w:r>
      <w:r>
        <w:t xml:space="preserve">are calculated below based on comparison of serum </w:t>
      </w:r>
      <w:r w:rsidR="002A4756">
        <w:t>area under the plasma concentration time curve (</w:t>
      </w:r>
      <w:r>
        <w:t>AUC</w:t>
      </w:r>
      <w:r w:rsidR="002A4756">
        <w:t>)</w:t>
      </w:r>
      <w:r>
        <w:t xml:space="preserve"> values for benralizumab, adjusted for differences in dosing frequency </w:t>
      </w:r>
      <w:r w:rsidRPr="00F971ED">
        <w:t>(</w:t>
      </w:r>
      <w:r w:rsidR="00F971ED" w:rsidRPr="00F971ED">
        <w:t>that is</w:t>
      </w:r>
      <w:r w:rsidR="00F971ED">
        <w:t xml:space="preserve">, </w:t>
      </w:r>
      <w:r w:rsidRPr="00F971ED">
        <w:t>animal</w:t>
      </w:r>
      <w:r>
        <w:t xml:space="preserve"> values are multiplied by 4 to account for fortnightly dosing </w:t>
      </w:r>
      <w:r w:rsidR="00F971ED" w:rsidRPr="00F971ED">
        <w:rPr>
          <w:szCs w:val="18"/>
        </w:rPr>
        <w:t>compared with</w:t>
      </w:r>
      <w:r>
        <w:rPr>
          <w:szCs w:val="18"/>
        </w:rPr>
        <w:t xml:space="preserve"> administration once every </w:t>
      </w:r>
      <w:r w:rsidR="00F971ED">
        <w:rPr>
          <w:szCs w:val="18"/>
        </w:rPr>
        <w:t xml:space="preserve">8 </w:t>
      </w:r>
      <w:r w:rsidRPr="003D3E3B">
        <w:rPr>
          <w:szCs w:val="18"/>
        </w:rPr>
        <w:t>weeks in patients)</w:t>
      </w:r>
      <w:r w:rsidR="006A44F0">
        <w:rPr>
          <w:szCs w:val="18"/>
        </w:rPr>
        <w:t xml:space="preserve"> (</w:t>
      </w:r>
      <w:r w:rsidR="009F6F8E">
        <w:rPr>
          <w:szCs w:val="18"/>
        </w:rPr>
        <w:t xml:space="preserve">see </w:t>
      </w:r>
      <w:r w:rsidR="006A44F0">
        <w:rPr>
          <w:szCs w:val="18"/>
        </w:rPr>
        <w:t>Table 4</w:t>
      </w:r>
      <w:r w:rsidR="00925684">
        <w:rPr>
          <w:szCs w:val="18"/>
        </w:rPr>
        <w:t>)</w:t>
      </w:r>
      <w:r w:rsidRPr="003D3E3B">
        <w:rPr>
          <w:szCs w:val="18"/>
        </w:rPr>
        <w:t xml:space="preserve">. Very high multiples of the human </w:t>
      </w:r>
      <w:proofErr w:type="gramStart"/>
      <w:r w:rsidRPr="003D3E3B">
        <w:rPr>
          <w:szCs w:val="18"/>
        </w:rPr>
        <w:t>exposure were</w:t>
      </w:r>
      <w:proofErr w:type="gramEnd"/>
      <w:r w:rsidRPr="003D3E3B">
        <w:rPr>
          <w:szCs w:val="18"/>
        </w:rPr>
        <w:t xml:space="preserve"> achieved.</w:t>
      </w:r>
    </w:p>
    <w:p w14:paraId="2CE0D388" w14:textId="77777777" w:rsidR="00B00804" w:rsidRPr="003D3E3B" w:rsidRDefault="006A44F0" w:rsidP="00B00804">
      <w:pPr>
        <w:pStyle w:val="TableTitle"/>
      </w:pPr>
      <w:r>
        <w:t>Table 4</w:t>
      </w:r>
      <w:r w:rsidR="00F971ED">
        <w:t xml:space="preserve">: </w:t>
      </w:r>
      <w:r w:rsidR="00B00804" w:rsidRPr="003D3E3B">
        <w:t xml:space="preserve">Relative exposure in the pivotal </w:t>
      </w:r>
      <w:r w:rsidR="00F971ED">
        <w:t>repeat dose</w:t>
      </w:r>
      <w:r w:rsidR="00B00804" w:rsidRPr="003D3E3B">
        <w:t xml:space="preserve"> toxicity study</w:t>
      </w:r>
    </w:p>
    <w:tbl>
      <w:tblPr>
        <w:tblStyle w:val="TableTGAblue"/>
        <w:tblW w:w="8568" w:type="dxa"/>
        <w:tblLayout w:type="fixed"/>
        <w:tblLook w:val="01E0" w:firstRow="1" w:lastRow="1" w:firstColumn="1" w:lastColumn="1" w:noHBand="0" w:noVBand="0"/>
      </w:tblPr>
      <w:tblGrid>
        <w:gridCol w:w="1601"/>
        <w:gridCol w:w="1679"/>
        <w:gridCol w:w="982"/>
        <w:gridCol w:w="698"/>
        <w:gridCol w:w="1137"/>
        <w:gridCol w:w="1283"/>
        <w:gridCol w:w="1188"/>
      </w:tblGrid>
      <w:tr w:rsidR="00B00804" w:rsidRPr="00F971ED" w14:paraId="126B629A" w14:textId="77777777" w:rsidTr="00925684">
        <w:trPr>
          <w:cnfStyle w:val="100000000000" w:firstRow="1" w:lastRow="0" w:firstColumn="0" w:lastColumn="0" w:oddVBand="0" w:evenVBand="0" w:oddHBand="0" w:evenHBand="0" w:firstRowFirstColumn="0" w:firstRowLastColumn="0" w:lastRowFirstColumn="0" w:lastRowLastColumn="0"/>
          <w:trHeight w:val="701"/>
        </w:trPr>
        <w:tc>
          <w:tcPr>
            <w:tcW w:w="1601" w:type="dxa"/>
          </w:tcPr>
          <w:p w14:paraId="481FCBFE" w14:textId="77777777" w:rsidR="00B00804" w:rsidRPr="00F971ED" w:rsidRDefault="00B00804" w:rsidP="00F971ED">
            <w:pPr>
              <w:ind w:left="0" w:right="0"/>
              <w:rPr>
                <w:sz w:val="20"/>
                <w:szCs w:val="20"/>
              </w:rPr>
            </w:pPr>
            <w:r w:rsidRPr="00F971ED">
              <w:rPr>
                <w:sz w:val="20"/>
                <w:szCs w:val="20"/>
              </w:rPr>
              <w:t>Species</w:t>
            </w:r>
          </w:p>
        </w:tc>
        <w:tc>
          <w:tcPr>
            <w:tcW w:w="1679" w:type="dxa"/>
          </w:tcPr>
          <w:p w14:paraId="06E1A2F9" w14:textId="77777777" w:rsidR="00B00804" w:rsidRPr="00F971ED" w:rsidRDefault="00F971ED" w:rsidP="00F971ED">
            <w:pPr>
              <w:ind w:left="0" w:right="0"/>
              <w:rPr>
                <w:sz w:val="20"/>
                <w:szCs w:val="20"/>
              </w:rPr>
            </w:pPr>
            <w:r>
              <w:rPr>
                <w:sz w:val="20"/>
                <w:szCs w:val="20"/>
              </w:rPr>
              <w:t xml:space="preserve">Study duration </w:t>
            </w:r>
            <w:r w:rsidR="00B00804" w:rsidRPr="00F971ED">
              <w:rPr>
                <w:sz w:val="20"/>
                <w:szCs w:val="20"/>
              </w:rPr>
              <w:t>[Study no.]</w:t>
            </w:r>
          </w:p>
        </w:tc>
        <w:tc>
          <w:tcPr>
            <w:tcW w:w="1679" w:type="dxa"/>
            <w:gridSpan w:val="2"/>
          </w:tcPr>
          <w:p w14:paraId="1935D9D0" w14:textId="77777777" w:rsidR="00B00804" w:rsidRPr="00F971ED" w:rsidRDefault="00F971ED" w:rsidP="00F971ED">
            <w:pPr>
              <w:ind w:left="0" w:right="0"/>
              <w:rPr>
                <w:sz w:val="20"/>
                <w:szCs w:val="20"/>
              </w:rPr>
            </w:pPr>
            <w:r>
              <w:rPr>
                <w:sz w:val="20"/>
                <w:szCs w:val="20"/>
              </w:rPr>
              <w:t xml:space="preserve">Dose (mg/kg); </w:t>
            </w:r>
            <w:r w:rsidR="00B00804" w:rsidRPr="00F971ED">
              <w:rPr>
                <w:sz w:val="20"/>
                <w:szCs w:val="20"/>
              </w:rPr>
              <w:t>route</w:t>
            </w:r>
          </w:p>
        </w:tc>
        <w:tc>
          <w:tcPr>
            <w:tcW w:w="1137" w:type="dxa"/>
          </w:tcPr>
          <w:p w14:paraId="41F1D29C" w14:textId="77777777" w:rsidR="00B00804" w:rsidRPr="00F971ED" w:rsidRDefault="00B00804" w:rsidP="00F971ED">
            <w:pPr>
              <w:ind w:left="0" w:right="0"/>
              <w:rPr>
                <w:sz w:val="20"/>
                <w:szCs w:val="20"/>
              </w:rPr>
            </w:pPr>
            <w:r w:rsidRPr="00F971ED">
              <w:rPr>
                <w:sz w:val="20"/>
                <w:szCs w:val="20"/>
              </w:rPr>
              <w:t>Dosing frequency</w:t>
            </w:r>
          </w:p>
        </w:tc>
        <w:tc>
          <w:tcPr>
            <w:tcW w:w="1283" w:type="dxa"/>
          </w:tcPr>
          <w:p w14:paraId="75298089" w14:textId="77777777" w:rsidR="00B00804" w:rsidRPr="00F971ED" w:rsidRDefault="00B00804" w:rsidP="00F971ED">
            <w:pPr>
              <w:ind w:left="0" w:right="0"/>
              <w:rPr>
                <w:sz w:val="20"/>
                <w:szCs w:val="20"/>
              </w:rPr>
            </w:pPr>
            <w:r w:rsidRPr="00F971ED">
              <w:rPr>
                <w:sz w:val="20"/>
                <w:szCs w:val="20"/>
              </w:rPr>
              <w:t>AUC</w:t>
            </w:r>
            <w:r w:rsidRPr="00F971ED">
              <w:rPr>
                <w:sz w:val="20"/>
                <w:szCs w:val="20"/>
                <w:vertAlign w:val="subscript"/>
              </w:rPr>
              <w:t>0–t</w:t>
            </w:r>
            <w:r w:rsidR="00F971ED">
              <w:rPr>
                <w:sz w:val="20"/>
                <w:szCs w:val="20"/>
              </w:rPr>
              <w:t xml:space="preserve"> </w:t>
            </w:r>
            <w:r w:rsidRPr="00F971ED">
              <w:rPr>
                <w:sz w:val="20"/>
                <w:szCs w:val="20"/>
              </w:rPr>
              <w:t>(µ</w:t>
            </w:r>
            <w:proofErr w:type="spellStart"/>
            <w:r w:rsidRPr="00F971ED">
              <w:rPr>
                <w:sz w:val="20"/>
                <w:szCs w:val="20"/>
              </w:rPr>
              <w:t>g∙d</w:t>
            </w:r>
            <w:proofErr w:type="spellEnd"/>
            <w:r w:rsidRPr="00F971ED">
              <w:rPr>
                <w:sz w:val="20"/>
                <w:szCs w:val="20"/>
              </w:rPr>
              <w:t>/mL)</w:t>
            </w:r>
          </w:p>
        </w:tc>
        <w:tc>
          <w:tcPr>
            <w:tcW w:w="1188" w:type="dxa"/>
          </w:tcPr>
          <w:p w14:paraId="54350E1D" w14:textId="77777777" w:rsidR="00B00804" w:rsidRPr="00F971ED" w:rsidRDefault="00B00804" w:rsidP="00F971ED">
            <w:pPr>
              <w:ind w:left="0" w:right="0"/>
              <w:rPr>
                <w:sz w:val="20"/>
                <w:szCs w:val="20"/>
              </w:rPr>
            </w:pPr>
            <w:r w:rsidRPr="00F971ED">
              <w:rPr>
                <w:sz w:val="20"/>
                <w:szCs w:val="20"/>
              </w:rPr>
              <w:t>Exposure ratio</w:t>
            </w:r>
            <w:r w:rsidR="00F971ED">
              <w:rPr>
                <w:sz w:val="20"/>
                <w:szCs w:val="20"/>
              </w:rPr>
              <w:t>#</w:t>
            </w:r>
          </w:p>
        </w:tc>
      </w:tr>
      <w:tr w:rsidR="00B00804" w:rsidRPr="00F971ED" w14:paraId="2A1B39F2" w14:textId="77777777" w:rsidTr="00925684">
        <w:trPr>
          <w:trHeight w:val="246"/>
        </w:trPr>
        <w:tc>
          <w:tcPr>
            <w:tcW w:w="1601" w:type="dxa"/>
            <w:vMerge w:val="restart"/>
          </w:tcPr>
          <w:p w14:paraId="3CB26F49" w14:textId="62BEF0FC" w:rsidR="00B00804" w:rsidRPr="00F971ED" w:rsidRDefault="00B00804" w:rsidP="009F6F8E">
            <w:pPr>
              <w:ind w:left="0" w:right="0"/>
              <w:rPr>
                <w:sz w:val="20"/>
                <w:szCs w:val="20"/>
              </w:rPr>
            </w:pPr>
            <w:r w:rsidRPr="00F971ED">
              <w:rPr>
                <w:sz w:val="20"/>
                <w:szCs w:val="20"/>
              </w:rPr>
              <w:t>Monkey</w:t>
            </w:r>
            <w:r w:rsidR="00F971ED">
              <w:rPr>
                <w:sz w:val="20"/>
                <w:szCs w:val="20"/>
              </w:rPr>
              <w:t xml:space="preserve"> </w:t>
            </w:r>
            <w:r w:rsidRPr="00F971ED">
              <w:rPr>
                <w:sz w:val="20"/>
                <w:szCs w:val="20"/>
              </w:rPr>
              <w:t>(</w:t>
            </w:r>
            <w:r w:rsidR="009F6F8E">
              <w:rPr>
                <w:sz w:val="20"/>
                <w:szCs w:val="20"/>
              </w:rPr>
              <w:t>c</w:t>
            </w:r>
            <w:r w:rsidR="009F6F8E" w:rsidRPr="00F971ED">
              <w:rPr>
                <w:sz w:val="20"/>
                <w:szCs w:val="20"/>
              </w:rPr>
              <w:t>ynomolgus</w:t>
            </w:r>
            <w:r w:rsidRPr="00F971ED">
              <w:rPr>
                <w:sz w:val="20"/>
                <w:szCs w:val="20"/>
              </w:rPr>
              <w:t>)</w:t>
            </w:r>
          </w:p>
        </w:tc>
        <w:tc>
          <w:tcPr>
            <w:tcW w:w="1679" w:type="dxa"/>
            <w:vMerge w:val="restart"/>
          </w:tcPr>
          <w:p w14:paraId="246405FC" w14:textId="77777777" w:rsidR="00F971ED" w:rsidRDefault="00B00804" w:rsidP="00F971ED">
            <w:pPr>
              <w:ind w:left="0" w:right="0"/>
              <w:rPr>
                <w:sz w:val="20"/>
                <w:szCs w:val="20"/>
              </w:rPr>
            </w:pPr>
            <w:r w:rsidRPr="00F971ED">
              <w:rPr>
                <w:sz w:val="20"/>
                <w:szCs w:val="20"/>
              </w:rPr>
              <w:t>9 months</w:t>
            </w:r>
            <w:r w:rsidR="00F971ED">
              <w:rPr>
                <w:sz w:val="20"/>
                <w:szCs w:val="20"/>
              </w:rPr>
              <w:t xml:space="preserve"> </w:t>
            </w:r>
          </w:p>
          <w:p w14:paraId="2C464C72" w14:textId="77777777" w:rsidR="00B00804" w:rsidRPr="00F971ED" w:rsidRDefault="00B00804" w:rsidP="00F971ED">
            <w:pPr>
              <w:ind w:left="0" w:right="0"/>
              <w:rPr>
                <w:sz w:val="20"/>
                <w:szCs w:val="20"/>
              </w:rPr>
            </w:pPr>
            <w:r w:rsidRPr="00F971ED">
              <w:rPr>
                <w:sz w:val="20"/>
                <w:szCs w:val="20"/>
              </w:rPr>
              <w:t>[Study AAO00095]</w:t>
            </w:r>
          </w:p>
        </w:tc>
        <w:tc>
          <w:tcPr>
            <w:tcW w:w="982" w:type="dxa"/>
          </w:tcPr>
          <w:p w14:paraId="1FEF7839" w14:textId="77777777" w:rsidR="00B00804" w:rsidRPr="00F971ED" w:rsidRDefault="00B00804" w:rsidP="00F971ED">
            <w:pPr>
              <w:ind w:left="0" w:right="0"/>
              <w:rPr>
                <w:sz w:val="20"/>
                <w:szCs w:val="20"/>
              </w:rPr>
            </w:pPr>
            <w:r w:rsidRPr="00F971ED">
              <w:rPr>
                <w:sz w:val="20"/>
                <w:szCs w:val="20"/>
              </w:rPr>
              <w:t>10</w:t>
            </w:r>
          </w:p>
        </w:tc>
        <w:tc>
          <w:tcPr>
            <w:tcW w:w="698" w:type="dxa"/>
            <w:vMerge w:val="restart"/>
          </w:tcPr>
          <w:p w14:paraId="40E3EF22" w14:textId="77777777" w:rsidR="00B00804" w:rsidRPr="00F971ED" w:rsidRDefault="00B00804" w:rsidP="00F971ED">
            <w:pPr>
              <w:ind w:left="0" w:right="0"/>
              <w:rPr>
                <w:sz w:val="20"/>
                <w:szCs w:val="20"/>
              </w:rPr>
            </w:pPr>
            <w:r w:rsidRPr="00F971ED">
              <w:rPr>
                <w:sz w:val="20"/>
                <w:szCs w:val="20"/>
              </w:rPr>
              <w:t>IV</w:t>
            </w:r>
          </w:p>
        </w:tc>
        <w:tc>
          <w:tcPr>
            <w:tcW w:w="1137" w:type="dxa"/>
            <w:vMerge w:val="restart"/>
          </w:tcPr>
          <w:p w14:paraId="0359CFAF" w14:textId="77777777" w:rsidR="00B00804" w:rsidRPr="00F971ED" w:rsidRDefault="00B00804" w:rsidP="00F971ED">
            <w:pPr>
              <w:ind w:left="0" w:right="0"/>
              <w:rPr>
                <w:sz w:val="20"/>
                <w:szCs w:val="20"/>
              </w:rPr>
            </w:pPr>
            <w:r w:rsidRPr="00F971ED">
              <w:rPr>
                <w:sz w:val="20"/>
                <w:szCs w:val="20"/>
              </w:rPr>
              <w:t>Q2W</w:t>
            </w:r>
          </w:p>
        </w:tc>
        <w:tc>
          <w:tcPr>
            <w:tcW w:w="1283" w:type="dxa"/>
          </w:tcPr>
          <w:p w14:paraId="2781285E" w14:textId="77777777" w:rsidR="00B00804" w:rsidRPr="00F971ED" w:rsidRDefault="00B00804" w:rsidP="00F971ED">
            <w:pPr>
              <w:ind w:left="0" w:right="0"/>
              <w:rPr>
                <w:sz w:val="20"/>
                <w:szCs w:val="20"/>
              </w:rPr>
            </w:pPr>
            <w:r w:rsidRPr="00F971ED">
              <w:rPr>
                <w:sz w:val="20"/>
                <w:szCs w:val="20"/>
              </w:rPr>
              <w:t>2320</w:t>
            </w:r>
          </w:p>
        </w:tc>
        <w:tc>
          <w:tcPr>
            <w:tcW w:w="1188" w:type="dxa"/>
          </w:tcPr>
          <w:p w14:paraId="20F6760B" w14:textId="77777777" w:rsidR="00B00804" w:rsidRPr="00F971ED" w:rsidRDefault="00B00804" w:rsidP="00F971ED">
            <w:pPr>
              <w:ind w:left="0" w:right="0"/>
              <w:rPr>
                <w:sz w:val="20"/>
                <w:szCs w:val="20"/>
              </w:rPr>
            </w:pPr>
            <w:r w:rsidRPr="00F971ED">
              <w:rPr>
                <w:sz w:val="20"/>
                <w:szCs w:val="20"/>
              </w:rPr>
              <w:t>153</w:t>
            </w:r>
          </w:p>
        </w:tc>
      </w:tr>
      <w:tr w:rsidR="00B00804" w:rsidRPr="00F971ED" w14:paraId="0B719BFB" w14:textId="77777777" w:rsidTr="00925684">
        <w:trPr>
          <w:trHeight w:val="246"/>
        </w:trPr>
        <w:tc>
          <w:tcPr>
            <w:tcW w:w="1601" w:type="dxa"/>
            <w:vMerge/>
          </w:tcPr>
          <w:p w14:paraId="718ACA5C" w14:textId="77777777" w:rsidR="00B00804" w:rsidRPr="00F971ED" w:rsidRDefault="00B00804" w:rsidP="00F971ED">
            <w:pPr>
              <w:ind w:left="0" w:right="0"/>
              <w:rPr>
                <w:sz w:val="20"/>
                <w:szCs w:val="20"/>
              </w:rPr>
            </w:pPr>
          </w:p>
        </w:tc>
        <w:tc>
          <w:tcPr>
            <w:tcW w:w="1679" w:type="dxa"/>
            <w:vMerge/>
          </w:tcPr>
          <w:p w14:paraId="74821644" w14:textId="77777777" w:rsidR="00B00804" w:rsidRPr="00F971ED" w:rsidRDefault="00B00804" w:rsidP="00F971ED">
            <w:pPr>
              <w:ind w:left="0" w:right="0"/>
              <w:rPr>
                <w:sz w:val="20"/>
                <w:szCs w:val="20"/>
              </w:rPr>
            </w:pPr>
          </w:p>
        </w:tc>
        <w:tc>
          <w:tcPr>
            <w:tcW w:w="982" w:type="dxa"/>
          </w:tcPr>
          <w:p w14:paraId="3D9D2FCE" w14:textId="77777777" w:rsidR="00B00804" w:rsidRPr="00F971ED" w:rsidRDefault="00B00804" w:rsidP="00F971ED">
            <w:pPr>
              <w:ind w:left="0" w:right="0"/>
              <w:rPr>
                <w:sz w:val="20"/>
                <w:szCs w:val="20"/>
              </w:rPr>
            </w:pPr>
            <w:r w:rsidRPr="00F971ED">
              <w:rPr>
                <w:sz w:val="20"/>
                <w:szCs w:val="20"/>
              </w:rPr>
              <w:t>25</w:t>
            </w:r>
          </w:p>
        </w:tc>
        <w:tc>
          <w:tcPr>
            <w:tcW w:w="698" w:type="dxa"/>
            <w:vMerge/>
          </w:tcPr>
          <w:p w14:paraId="523FCA7A" w14:textId="77777777" w:rsidR="00B00804" w:rsidRPr="00F971ED" w:rsidRDefault="00B00804" w:rsidP="00F971ED">
            <w:pPr>
              <w:ind w:left="0" w:right="0"/>
              <w:rPr>
                <w:sz w:val="20"/>
                <w:szCs w:val="20"/>
              </w:rPr>
            </w:pPr>
          </w:p>
        </w:tc>
        <w:tc>
          <w:tcPr>
            <w:tcW w:w="1137" w:type="dxa"/>
            <w:vMerge/>
          </w:tcPr>
          <w:p w14:paraId="74477F96" w14:textId="77777777" w:rsidR="00B00804" w:rsidRPr="00F971ED" w:rsidRDefault="00B00804" w:rsidP="00F971ED">
            <w:pPr>
              <w:ind w:left="0" w:right="0"/>
              <w:rPr>
                <w:sz w:val="20"/>
                <w:szCs w:val="20"/>
              </w:rPr>
            </w:pPr>
          </w:p>
        </w:tc>
        <w:tc>
          <w:tcPr>
            <w:tcW w:w="1283" w:type="dxa"/>
          </w:tcPr>
          <w:p w14:paraId="75F69274" w14:textId="77777777" w:rsidR="00B00804" w:rsidRPr="00F971ED" w:rsidRDefault="00B00804" w:rsidP="00F971ED">
            <w:pPr>
              <w:ind w:left="0" w:right="0"/>
              <w:rPr>
                <w:sz w:val="20"/>
                <w:szCs w:val="20"/>
              </w:rPr>
            </w:pPr>
            <w:r w:rsidRPr="00F971ED">
              <w:rPr>
                <w:sz w:val="20"/>
                <w:szCs w:val="20"/>
              </w:rPr>
              <w:t>6100</w:t>
            </w:r>
          </w:p>
        </w:tc>
        <w:tc>
          <w:tcPr>
            <w:tcW w:w="1188" w:type="dxa"/>
          </w:tcPr>
          <w:p w14:paraId="0F5D5AD0" w14:textId="77777777" w:rsidR="00B00804" w:rsidRPr="00F971ED" w:rsidRDefault="00B00804" w:rsidP="00F971ED">
            <w:pPr>
              <w:ind w:left="0" w:right="0"/>
              <w:rPr>
                <w:sz w:val="20"/>
                <w:szCs w:val="20"/>
              </w:rPr>
            </w:pPr>
            <w:r w:rsidRPr="00F971ED">
              <w:rPr>
                <w:sz w:val="20"/>
                <w:szCs w:val="20"/>
              </w:rPr>
              <w:t>402</w:t>
            </w:r>
          </w:p>
        </w:tc>
      </w:tr>
      <w:tr w:rsidR="00B00804" w:rsidRPr="00F971ED" w14:paraId="078E28F0" w14:textId="77777777" w:rsidTr="00925684">
        <w:trPr>
          <w:trHeight w:val="246"/>
        </w:trPr>
        <w:tc>
          <w:tcPr>
            <w:tcW w:w="1601" w:type="dxa"/>
            <w:vMerge/>
          </w:tcPr>
          <w:p w14:paraId="2079AB6D" w14:textId="77777777" w:rsidR="00B00804" w:rsidRPr="00F971ED" w:rsidRDefault="00B00804" w:rsidP="00F971ED">
            <w:pPr>
              <w:ind w:left="0" w:right="0"/>
              <w:rPr>
                <w:sz w:val="20"/>
                <w:szCs w:val="20"/>
              </w:rPr>
            </w:pPr>
          </w:p>
        </w:tc>
        <w:tc>
          <w:tcPr>
            <w:tcW w:w="1679" w:type="dxa"/>
            <w:vMerge/>
          </w:tcPr>
          <w:p w14:paraId="76B233C2" w14:textId="77777777" w:rsidR="00B00804" w:rsidRPr="00F971ED" w:rsidRDefault="00B00804" w:rsidP="00F971ED">
            <w:pPr>
              <w:ind w:left="0" w:right="0"/>
              <w:rPr>
                <w:sz w:val="20"/>
                <w:szCs w:val="20"/>
              </w:rPr>
            </w:pPr>
          </w:p>
        </w:tc>
        <w:tc>
          <w:tcPr>
            <w:tcW w:w="982" w:type="dxa"/>
          </w:tcPr>
          <w:p w14:paraId="2D789E67" w14:textId="77777777" w:rsidR="00B00804" w:rsidRPr="00F971ED" w:rsidRDefault="00B00804" w:rsidP="00F971ED">
            <w:pPr>
              <w:ind w:left="0" w:right="0"/>
              <w:rPr>
                <w:sz w:val="20"/>
                <w:szCs w:val="20"/>
              </w:rPr>
            </w:pPr>
            <w:r w:rsidRPr="00F971ED">
              <w:rPr>
                <w:sz w:val="20"/>
                <w:szCs w:val="20"/>
              </w:rPr>
              <w:t>30</w:t>
            </w:r>
          </w:p>
        </w:tc>
        <w:tc>
          <w:tcPr>
            <w:tcW w:w="698" w:type="dxa"/>
          </w:tcPr>
          <w:p w14:paraId="076191E4" w14:textId="77777777" w:rsidR="00B00804" w:rsidRPr="00F971ED" w:rsidRDefault="00B00804" w:rsidP="00F971ED">
            <w:pPr>
              <w:ind w:left="0" w:right="0"/>
              <w:rPr>
                <w:sz w:val="20"/>
                <w:szCs w:val="20"/>
              </w:rPr>
            </w:pPr>
            <w:r w:rsidRPr="00F971ED">
              <w:rPr>
                <w:sz w:val="20"/>
                <w:szCs w:val="20"/>
              </w:rPr>
              <w:t>SC</w:t>
            </w:r>
          </w:p>
        </w:tc>
        <w:tc>
          <w:tcPr>
            <w:tcW w:w="1137" w:type="dxa"/>
            <w:vMerge/>
          </w:tcPr>
          <w:p w14:paraId="45267B58" w14:textId="77777777" w:rsidR="00B00804" w:rsidRPr="00F971ED" w:rsidRDefault="00B00804" w:rsidP="00F971ED">
            <w:pPr>
              <w:ind w:left="0" w:right="0"/>
              <w:rPr>
                <w:sz w:val="20"/>
                <w:szCs w:val="20"/>
              </w:rPr>
            </w:pPr>
          </w:p>
        </w:tc>
        <w:tc>
          <w:tcPr>
            <w:tcW w:w="1283" w:type="dxa"/>
          </w:tcPr>
          <w:p w14:paraId="7056BC8D" w14:textId="77777777" w:rsidR="00B00804" w:rsidRPr="00F971ED" w:rsidRDefault="00B00804" w:rsidP="00F971ED">
            <w:pPr>
              <w:ind w:left="0" w:right="0"/>
              <w:rPr>
                <w:sz w:val="20"/>
                <w:szCs w:val="20"/>
              </w:rPr>
            </w:pPr>
            <w:r w:rsidRPr="00F971ED">
              <w:rPr>
                <w:sz w:val="20"/>
                <w:szCs w:val="20"/>
              </w:rPr>
              <w:t>4110</w:t>
            </w:r>
          </w:p>
        </w:tc>
        <w:tc>
          <w:tcPr>
            <w:tcW w:w="1188" w:type="dxa"/>
          </w:tcPr>
          <w:p w14:paraId="4A8C6868" w14:textId="77777777" w:rsidR="00B00804" w:rsidRPr="00F971ED" w:rsidRDefault="00B00804" w:rsidP="00F971ED">
            <w:pPr>
              <w:ind w:left="0" w:right="0"/>
              <w:rPr>
                <w:sz w:val="20"/>
                <w:szCs w:val="20"/>
              </w:rPr>
            </w:pPr>
            <w:r w:rsidRPr="00F971ED">
              <w:rPr>
                <w:sz w:val="20"/>
                <w:szCs w:val="20"/>
              </w:rPr>
              <w:t>271</w:t>
            </w:r>
          </w:p>
        </w:tc>
      </w:tr>
      <w:tr w:rsidR="00B00804" w:rsidRPr="00F971ED" w14:paraId="6C9AF131" w14:textId="77777777" w:rsidTr="00925684">
        <w:trPr>
          <w:trHeight w:val="220"/>
        </w:trPr>
        <w:tc>
          <w:tcPr>
            <w:tcW w:w="1601" w:type="dxa"/>
          </w:tcPr>
          <w:p w14:paraId="73C539C7" w14:textId="77777777" w:rsidR="00B00804" w:rsidRPr="00F971ED" w:rsidRDefault="00B00804" w:rsidP="00F971ED">
            <w:pPr>
              <w:ind w:left="0" w:right="0"/>
              <w:rPr>
                <w:sz w:val="20"/>
                <w:szCs w:val="20"/>
              </w:rPr>
            </w:pPr>
            <w:r w:rsidRPr="00F971ED">
              <w:rPr>
                <w:sz w:val="20"/>
                <w:szCs w:val="20"/>
              </w:rPr>
              <w:t>Human</w:t>
            </w:r>
            <w:r w:rsidR="00F971ED">
              <w:rPr>
                <w:sz w:val="20"/>
                <w:szCs w:val="20"/>
              </w:rPr>
              <w:t xml:space="preserve"> </w:t>
            </w:r>
            <w:r w:rsidRPr="00F971ED">
              <w:rPr>
                <w:sz w:val="20"/>
                <w:szCs w:val="20"/>
              </w:rPr>
              <w:t>(asthma patients)</w:t>
            </w:r>
          </w:p>
        </w:tc>
        <w:tc>
          <w:tcPr>
            <w:tcW w:w="1679" w:type="dxa"/>
          </w:tcPr>
          <w:p w14:paraId="70468924" w14:textId="77777777" w:rsidR="00B00804" w:rsidRPr="00F971ED" w:rsidRDefault="00B00804" w:rsidP="00F971ED">
            <w:pPr>
              <w:ind w:left="0" w:right="0"/>
              <w:rPr>
                <w:sz w:val="20"/>
                <w:szCs w:val="20"/>
              </w:rPr>
            </w:pPr>
            <w:r w:rsidRPr="00F971ED">
              <w:rPr>
                <w:sz w:val="20"/>
                <w:szCs w:val="20"/>
              </w:rPr>
              <w:t>Population PK analysis</w:t>
            </w:r>
          </w:p>
        </w:tc>
        <w:tc>
          <w:tcPr>
            <w:tcW w:w="982" w:type="dxa"/>
          </w:tcPr>
          <w:p w14:paraId="5D082209" w14:textId="77777777" w:rsidR="00B00804" w:rsidRPr="00F971ED" w:rsidRDefault="00B00804" w:rsidP="00F971ED">
            <w:pPr>
              <w:ind w:left="0" w:right="0"/>
              <w:rPr>
                <w:sz w:val="20"/>
                <w:szCs w:val="20"/>
              </w:rPr>
            </w:pPr>
            <w:r w:rsidRPr="00F971ED">
              <w:rPr>
                <w:sz w:val="20"/>
                <w:szCs w:val="20"/>
              </w:rPr>
              <w:t>[30 mg]</w:t>
            </w:r>
          </w:p>
        </w:tc>
        <w:tc>
          <w:tcPr>
            <w:tcW w:w="698" w:type="dxa"/>
          </w:tcPr>
          <w:p w14:paraId="1C0EAC22" w14:textId="77777777" w:rsidR="00B00804" w:rsidRPr="00F971ED" w:rsidRDefault="00B00804" w:rsidP="00F971ED">
            <w:pPr>
              <w:ind w:left="0" w:right="0"/>
              <w:rPr>
                <w:sz w:val="20"/>
                <w:szCs w:val="20"/>
              </w:rPr>
            </w:pPr>
            <w:r w:rsidRPr="00F971ED">
              <w:rPr>
                <w:sz w:val="20"/>
                <w:szCs w:val="20"/>
              </w:rPr>
              <w:t>SC</w:t>
            </w:r>
          </w:p>
        </w:tc>
        <w:tc>
          <w:tcPr>
            <w:tcW w:w="1137" w:type="dxa"/>
          </w:tcPr>
          <w:p w14:paraId="79EE474D" w14:textId="77777777" w:rsidR="00B00804" w:rsidRPr="00F971ED" w:rsidRDefault="00B00804" w:rsidP="00F971ED">
            <w:pPr>
              <w:ind w:left="0" w:right="0"/>
              <w:rPr>
                <w:sz w:val="20"/>
                <w:szCs w:val="20"/>
              </w:rPr>
            </w:pPr>
            <w:r w:rsidRPr="00F971ED">
              <w:rPr>
                <w:sz w:val="20"/>
                <w:szCs w:val="20"/>
              </w:rPr>
              <w:t>Q8W</w:t>
            </w:r>
          </w:p>
        </w:tc>
        <w:tc>
          <w:tcPr>
            <w:tcW w:w="1283" w:type="dxa"/>
          </w:tcPr>
          <w:p w14:paraId="45324298" w14:textId="77777777" w:rsidR="00B00804" w:rsidRPr="00F971ED" w:rsidRDefault="00B00804" w:rsidP="00F971ED">
            <w:pPr>
              <w:ind w:left="0" w:right="0"/>
              <w:rPr>
                <w:sz w:val="20"/>
                <w:szCs w:val="20"/>
              </w:rPr>
            </w:pPr>
            <w:r w:rsidRPr="00F971ED">
              <w:rPr>
                <w:sz w:val="20"/>
                <w:szCs w:val="20"/>
              </w:rPr>
              <w:t>60.72</w:t>
            </w:r>
          </w:p>
        </w:tc>
        <w:tc>
          <w:tcPr>
            <w:tcW w:w="1188" w:type="dxa"/>
          </w:tcPr>
          <w:p w14:paraId="3431912B" w14:textId="77777777" w:rsidR="00B00804" w:rsidRPr="00F971ED" w:rsidRDefault="00B00804" w:rsidP="00F971ED">
            <w:pPr>
              <w:ind w:left="0" w:right="0"/>
              <w:rPr>
                <w:sz w:val="20"/>
                <w:szCs w:val="20"/>
              </w:rPr>
            </w:pPr>
            <w:r w:rsidRPr="00F971ED">
              <w:rPr>
                <w:sz w:val="20"/>
                <w:szCs w:val="20"/>
              </w:rPr>
              <w:t>–</w:t>
            </w:r>
          </w:p>
        </w:tc>
      </w:tr>
    </w:tbl>
    <w:p w14:paraId="0F23C516" w14:textId="128A76BD" w:rsidR="00B00804" w:rsidRDefault="00F971ED" w:rsidP="00B00804">
      <w:pPr>
        <w:pStyle w:val="TableDescription"/>
      </w:pPr>
      <w:r>
        <w:t>^</w:t>
      </w:r>
      <w:r w:rsidR="00B00804" w:rsidRPr="003D3E3B">
        <w:t xml:space="preserve"> = animal data are for the sexes combined, measured</w:t>
      </w:r>
      <w:r w:rsidR="00B00804">
        <w:t xml:space="preserve"> at the last sampling occasion; </w:t>
      </w:r>
      <w:r>
        <w:rPr>
          <w:position w:val="-2"/>
          <w:vertAlign w:val="superscript"/>
        </w:rPr>
        <w:t>#</w:t>
      </w:r>
      <w:r w:rsidR="00B00804" w:rsidRPr="003D3E3B">
        <w:t xml:space="preserve"> = animal:</w:t>
      </w:r>
      <w:r w:rsidR="009F6F8E">
        <w:t xml:space="preserve"> </w:t>
      </w:r>
      <w:r w:rsidR="00B00804" w:rsidRPr="003D3E3B">
        <w:t>human serum AUC</w:t>
      </w:r>
      <w:r w:rsidR="00B00804" w:rsidRPr="003D3E3B">
        <w:rPr>
          <w:vertAlign w:val="subscript"/>
        </w:rPr>
        <w:t>0–t</w:t>
      </w:r>
      <w:r w:rsidR="00B00804" w:rsidRPr="003D3E3B">
        <w:t xml:space="preserve"> </w:t>
      </w:r>
      <w:r>
        <w:t>x</w:t>
      </w:r>
      <w:r w:rsidR="00B00804" w:rsidRPr="003D3E3B">
        <w:t xml:space="preserve"> animal:</w:t>
      </w:r>
      <w:r w:rsidR="009F6F8E">
        <w:t xml:space="preserve"> </w:t>
      </w:r>
      <w:r w:rsidR="00B00804" w:rsidRPr="003D3E3B">
        <w:t>human dosing frequency</w:t>
      </w:r>
      <w:r w:rsidR="00F511F9">
        <w:t xml:space="preserve"> PK: Pharmacokinetic Q2W: Every 2 weeks; Q8W: Every 8 weeks</w:t>
      </w:r>
    </w:p>
    <w:p w14:paraId="6A4CA033" w14:textId="77777777" w:rsidR="00B00804" w:rsidRPr="004D0DEB" w:rsidRDefault="00F971ED" w:rsidP="00B00804">
      <w:r>
        <w:t xml:space="preserve">Anti </w:t>
      </w:r>
      <w:r w:rsidR="00B00804">
        <w:t xml:space="preserve">benralizumab antibodies developed in some animals in the studies, with high titres associated with decreased drug exposure. This was not so prevalent as to affect </w:t>
      </w:r>
      <w:r>
        <w:t xml:space="preserve">the validity of the studies. Of </w:t>
      </w:r>
      <w:r w:rsidR="00B00804">
        <w:t>particular note, only 2/36 benralizumab</w:t>
      </w:r>
      <w:r>
        <w:t xml:space="preserve"> t</w:t>
      </w:r>
      <w:r w:rsidR="00B00804">
        <w:t xml:space="preserve">reated monkeys in the </w:t>
      </w:r>
      <w:r w:rsidR="00B00804">
        <w:lastRenderedPageBreak/>
        <w:t xml:space="preserve">pivotal study were found to have developed </w:t>
      </w:r>
      <w:r>
        <w:t>anti-drug</w:t>
      </w:r>
      <w:r w:rsidR="00B00804">
        <w:t xml:space="preserve"> antibodies; these were from either IV dose group and not from the group </w:t>
      </w:r>
      <w:r w:rsidR="00B00804" w:rsidRPr="004D0DEB">
        <w:t>treated with benralizumab SC.</w:t>
      </w:r>
    </w:p>
    <w:p w14:paraId="18AAC21C" w14:textId="77777777" w:rsidR="00B00804" w:rsidRPr="004D0DEB" w:rsidRDefault="00B00804" w:rsidP="00B00804">
      <w:pPr>
        <w:pStyle w:val="Heading5"/>
      </w:pPr>
      <w:r w:rsidRPr="004D0DEB">
        <w:t>Major findings</w:t>
      </w:r>
    </w:p>
    <w:p w14:paraId="69E57021" w14:textId="50D47D26" w:rsidR="00B00804" w:rsidRPr="00F971ED" w:rsidRDefault="00B00804" w:rsidP="00F511F9">
      <w:pPr>
        <w:spacing w:before="240"/>
      </w:pPr>
      <w:r w:rsidRPr="004D0DEB">
        <w:t xml:space="preserve">Benralizumab was well tolerated in monkeys. The sole major finding across studies was marked reduction in circulating eosinophils, with bone marrow smears revealing decreased eosinophilic precursors, consistent with the primary pharmacology of benralizumab. The pivotal study establishes a </w:t>
      </w:r>
      <w:r w:rsidR="00F511F9">
        <w:t>no observed adverse effect level</w:t>
      </w:r>
      <w:r w:rsidR="00F511F9" w:rsidRPr="004D0DEB">
        <w:t xml:space="preserve"> </w:t>
      </w:r>
      <w:r w:rsidR="00EC07DA">
        <w:t>(</w:t>
      </w:r>
      <w:r w:rsidRPr="004D0DEB">
        <w:t>NOAEL</w:t>
      </w:r>
      <w:r w:rsidR="00EC07DA">
        <w:t>)</w:t>
      </w:r>
      <w:r w:rsidRPr="004D0DEB">
        <w:t xml:space="preserve"> of 30 mg/kg </w:t>
      </w:r>
      <w:r w:rsidR="00F511F9">
        <w:t>every 2 weeks</w:t>
      </w:r>
      <w:r w:rsidR="00F511F9" w:rsidRPr="004D0DEB">
        <w:t xml:space="preserve"> </w:t>
      </w:r>
      <w:r w:rsidR="00F511F9">
        <w:t>(</w:t>
      </w:r>
      <w:r w:rsidRPr="004D0DEB">
        <w:t>Q2W</w:t>
      </w:r>
      <w:r w:rsidR="00F511F9">
        <w:t>)</w:t>
      </w:r>
      <w:r w:rsidRPr="004D0DEB">
        <w:t xml:space="preserve"> by the clinical route (SC), associated with an exposure multiple of 27</w:t>
      </w:r>
      <w:r>
        <w:t>1</w:t>
      </w:r>
      <w:r w:rsidRPr="004D0DEB">
        <w:t>.</w:t>
      </w:r>
    </w:p>
    <w:p w14:paraId="220B9887" w14:textId="77777777" w:rsidR="00B00804" w:rsidRPr="004D0DEB" w:rsidRDefault="00B00804" w:rsidP="00B00804">
      <w:r w:rsidRPr="004D0DEB">
        <w:t>While IL</w:t>
      </w:r>
      <w:r w:rsidRPr="004D0DEB">
        <w:noBreakHyphen/>
        <w:t xml:space="preserve">5Rα is also expressed on basophils, benralizumab did not lower basophil counts in treated monkeys. </w:t>
      </w:r>
      <w:r>
        <w:t>As well, s</w:t>
      </w:r>
      <w:r w:rsidRPr="004D0DEB">
        <w:t>keletal and cardiac muscle, found to be stained by benralizumab in immunohistochemical studies, showed no treatment-related lesions.</w:t>
      </w:r>
    </w:p>
    <w:p w14:paraId="31E73428" w14:textId="77777777" w:rsidR="00B00804" w:rsidRPr="00BF68CE" w:rsidRDefault="00B00804" w:rsidP="00B00804">
      <w:r>
        <w:t>One monkey treated at 25 mg/kg IV in the pivotal 9</w:t>
      </w:r>
      <w:r w:rsidR="00F971ED">
        <w:t xml:space="preserve"> month</w:t>
      </w:r>
      <w:r>
        <w:t xml:space="preserve"> study showed an adverse reaction following administration of the fourth dose of benralizumab that included petechiae, ecchymosis, decreased platelet count, and decreased erythrocyte indices. The animal recovered after a dosing holiday (next fortnightly dose withheld) and showed no further reactions for the remainder of the </w:t>
      </w:r>
      <w:r w:rsidRPr="00BF68CE">
        <w:t xml:space="preserve">study </w:t>
      </w:r>
      <w:r w:rsidR="00F971ED">
        <w:t>(involving administration of 15 </w:t>
      </w:r>
      <w:r w:rsidRPr="00BF68CE">
        <w:t>subsequent doses). No similar reaction was observed in any other benralizumab</w:t>
      </w:r>
      <w:r w:rsidR="00F971ED">
        <w:t xml:space="preserve"> t</w:t>
      </w:r>
      <w:r w:rsidRPr="00BF68CE">
        <w:t>reated animal.</w:t>
      </w:r>
    </w:p>
    <w:p w14:paraId="0DC8B674" w14:textId="77777777" w:rsidR="00B00804" w:rsidRPr="00AC274E" w:rsidRDefault="00B00804" w:rsidP="00B00804">
      <w:pPr>
        <w:pStyle w:val="Heading4"/>
      </w:pPr>
      <w:bookmarkStart w:id="57" w:name="_Toc294861729"/>
      <w:r w:rsidRPr="00AC274E">
        <w:t>Genotoxicity</w:t>
      </w:r>
      <w:bookmarkEnd w:id="57"/>
    </w:p>
    <w:p w14:paraId="680C4466" w14:textId="68ACDC71" w:rsidR="00B00804" w:rsidRPr="00B03CFD" w:rsidRDefault="00B00804" w:rsidP="00B00804">
      <w:r w:rsidRPr="00AC274E">
        <w:t>No genotoxicity studies were conducted with benralizumab.</w:t>
      </w:r>
      <w:r w:rsidR="00925684">
        <w:t xml:space="preserve"> This is in accordance with ICH </w:t>
      </w:r>
      <w:r w:rsidRPr="00AC274E">
        <w:t>S6</w:t>
      </w:r>
      <w:r w:rsidRPr="00AC274E">
        <w:rPr>
          <w:w w:val="50"/>
        </w:rPr>
        <w:t xml:space="preserve"> </w:t>
      </w:r>
      <w:r w:rsidRPr="00AC274E">
        <w:t>(R1)</w:t>
      </w:r>
      <w:proofErr w:type="gramStart"/>
      <w:r w:rsidR="00EC07DA">
        <w:t>;</w:t>
      </w:r>
      <w:proofErr w:type="gramEnd"/>
      <w:r w:rsidR="00F971ED" w:rsidRPr="00F971ED">
        <w:rPr>
          <w:vertAlign w:val="superscript"/>
        </w:rPr>
        <w:fldChar w:fldCharType="begin"/>
      </w:r>
      <w:r w:rsidR="00F971ED" w:rsidRPr="00F971ED">
        <w:rPr>
          <w:vertAlign w:val="superscript"/>
        </w:rPr>
        <w:instrText xml:space="preserve"> NOTEREF _Ref530134239 \h </w:instrText>
      </w:r>
      <w:r w:rsidR="00F971ED">
        <w:rPr>
          <w:vertAlign w:val="superscript"/>
        </w:rPr>
        <w:instrText xml:space="preserve"> \* MERGEFORMAT </w:instrText>
      </w:r>
      <w:r w:rsidR="00F971ED" w:rsidRPr="00F971ED">
        <w:rPr>
          <w:vertAlign w:val="superscript"/>
        </w:rPr>
      </w:r>
      <w:r w:rsidR="00F971ED" w:rsidRPr="00F971ED">
        <w:rPr>
          <w:vertAlign w:val="superscript"/>
        </w:rPr>
        <w:fldChar w:fldCharType="separate"/>
      </w:r>
      <w:r w:rsidR="00E02FD3">
        <w:rPr>
          <w:vertAlign w:val="superscript"/>
        </w:rPr>
        <w:t>3</w:t>
      </w:r>
      <w:r w:rsidR="00F971ED" w:rsidRPr="00F971ED">
        <w:rPr>
          <w:vertAlign w:val="superscript"/>
        </w:rPr>
        <w:fldChar w:fldCharType="end"/>
      </w:r>
      <w:r w:rsidRPr="00AC274E">
        <w:t xml:space="preserve"> with a large protein like benralizumab not expected to interact with DNA or other chromosomal </w:t>
      </w:r>
      <w:r w:rsidRPr="00B03CFD">
        <w:t>material.</w:t>
      </w:r>
    </w:p>
    <w:p w14:paraId="39A8E91A" w14:textId="77777777" w:rsidR="00B00804" w:rsidRPr="00B03CFD" w:rsidRDefault="00B00804" w:rsidP="00B00804">
      <w:pPr>
        <w:pStyle w:val="Heading4"/>
      </w:pPr>
      <w:bookmarkStart w:id="58" w:name="_Toc294861730"/>
      <w:r w:rsidRPr="00B03CFD">
        <w:t>Carcinogenicity</w:t>
      </w:r>
      <w:bookmarkEnd w:id="58"/>
    </w:p>
    <w:p w14:paraId="20036170" w14:textId="77777777" w:rsidR="00B00804" w:rsidRPr="00B03CFD" w:rsidRDefault="00B00804" w:rsidP="00B00804">
      <w:r w:rsidRPr="00B03CFD">
        <w:t>Carcinogenicity studies were not conducted. This is acceptable under ICH S6</w:t>
      </w:r>
      <w:r w:rsidRPr="00B03CFD">
        <w:rPr>
          <w:w w:val="50"/>
        </w:rPr>
        <w:t xml:space="preserve"> </w:t>
      </w:r>
      <w:r w:rsidRPr="00B03CFD">
        <w:t xml:space="preserve">(R1) given the absence of cause for concern from the general </w:t>
      </w:r>
      <w:r w:rsidR="00F971ED">
        <w:t>repeat dose</w:t>
      </w:r>
      <w:r w:rsidRPr="00B03CFD">
        <w:t xml:space="preserve"> toxicity </w:t>
      </w:r>
      <w:r w:rsidRPr="00F971ED">
        <w:t>studies (</w:t>
      </w:r>
      <w:r w:rsidR="00F971ED" w:rsidRPr="00F971ED">
        <w:t>for example</w:t>
      </w:r>
      <w:r w:rsidRPr="00F971ED">
        <w:t>,</w:t>
      </w:r>
      <w:r w:rsidRPr="00B03CFD">
        <w:t xml:space="preserve"> proliferative lesions) and from consideration of the physiological role of the target.</w:t>
      </w:r>
    </w:p>
    <w:p w14:paraId="3CBDDB1B" w14:textId="77777777" w:rsidR="00B00804" w:rsidRPr="00B03CFD" w:rsidRDefault="00B00804" w:rsidP="00B00804">
      <w:pPr>
        <w:pStyle w:val="Heading4"/>
      </w:pPr>
      <w:r w:rsidRPr="00B03CFD">
        <w:t>Reproductive toxicity</w:t>
      </w:r>
    </w:p>
    <w:p w14:paraId="5A8B7758" w14:textId="77777777" w:rsidR="00B00804" w:rsidRPr="00B03CFD" w:rsidRDefault="00B00804" w:rsidP="00B00804">
      <w:pPr>
        <w:rPr>
          <w:rFonts w:asciiTheme="minorHAnsi" w:hAnsiTheme="minorHAnsi" w:cs="TimesNewRomanPSMT"/>
          <w:szCs w:val="18"/>
        </w:rPr>
      </w:pPr>
      <w:r w:rsidRPr="00B03CFD">
        <w:t xml:space="preserve">The reproductive toxicity of benralizumab was examined in an enhanced </w:t>
      </w:r>
      <w:r w:rsidR="00F971ED">
        <w:rPr>
          <w:szCs w:val="18"/>
        </w:rPr>
        <w:t>pre</w:t>
      </w:r>
      <w:r w:rsidRPr="00B03CFD">
        <w:t>/postnatal development study in monkeys, and from surrogate endpoints relating to fertility included in the 9</w:t>
      </w:r>
      <w:r w:rsidR="00F971ED">
        <w:t xml:space="preserve"> month</w:t>
      </w:r>
      <w:r w:rsidRPr="00B03CFD">
        <w:t xml:space="preserve"> general </w:t>
      </w:r>
      <w:r w:rsidR="00F971ED">
        <w:t>repeat dose</w:t>
      </w:r>
      <w:r w:rsidRPr="00B03CFD">
        <w:t xml:space="preserve"> toxicity study</w:t>
      </w:r>
      <w:r w:rsidRPr="00814BCA">
        <w:t xml:space="preserve"> </w:t>
      </w:r>
      <w:r>
        <w:t>(c</w:t>
      </w:r>
      <w:r w:rsidRPr="00B03CFD">
        <w:t>onventional fertility studies are not feasible in monkeys</w:t>
      </w:r>
      <w:r>
        <w:t>)</w:t>
      </w:r>
      <w:r w:rsidRPr="00B03CFD">
        <w:t xml:space="preserve">. The studies were appropriately designed and conducted in terms of </w:t>
      </w:r>
      <w:r w:rsidRPr="00B03CFD">
        <w:rPr>
          <w:rFonts w:asciiTheme="minorHAnsi" w:hAnsiTheme="minorHAnsi" w:cs="TimesNewRomanPSMT"/>
        </w:rPr>
        <w:t xml:space="preserve">species and dose selection, group size, the timing and duration of treatment, and the endpoints examined. The enhanced </w:t>
      </w:r>
      <w:r w:rsidR="00F971ED">
        <w:rPr>
          <w:rFonts w:asciiTheme="minorHAnsi" w:hAnsiTheme="minorHAnsi" w:cs="TimesNewRomanPSMT"/>
          <w:szCs w:val="18"/>
        </w:rPr>
        <w:t>pre</w:t>
      </w:r>
      <w:r w:rsidRPr="00B03CFD">
        <w:rPr>
          <w:rFonts w:asciiTheme="minorHAnsi" w:hAnsiTheme="minorHAnsi" w:cs="TimesNewRomanPSMT"/>
          <w:szCs w:val="18"/>
        </w:rPr>
        <w:t>/postnatal development study involved IV dosing rather than administration by the clinical route (SC), but this does not affect the validity of the study.</w:t>
      </w:r>
    </w:p>
    <w:p w14:paraId="336E5152" w14:textId="77777777" w:rsidR="00B00804" w:rsidRDefault="00B00804" w:rsidP="00B00804">
      <w:r w:rsidRPr="00B03CFD">
        <w:rPr>
          <w:rFonts w:asciiTheme="minorHAnsi" w:hAnsiTheme="minorHAnsi"/>
        </w:rPr>
        <w:t xml:space="preserve">Surrogate </w:t>
      </w:r>
      <w:r>
        <w:rPr>
          <w:rFonts w:asciiTheme="minorHAnsi" w:hAnsiTheme="minorHAnsi"/>
        </w:rPr>
        <w:t xml:space="preserve">fertility </w:t>
      </w:r>
      <w:r w:rsidRPr="00F971ED">
        <w:t>endpoints</w:t>
      </w:r>
      <w:r w:rsidR="00F971ED" w:rsidRPr="00F971ED">
        <w:t xml:space="preserve">; </w:t>
      </w:r>
      <w:r w:rsidRPr="00F971ED">
        <w:t>sperm</w:t>
      </w:r>
      <w:r w:rsidRPr="00B03CFD">
        <w:rPr>
          <w:rFonts w:asciiTheme="minorHAnsi" w:hAnsiTheme="minorHAnsi"/>
        </w:rPr>
        <w:t xml:space="preserve"> parameters, testicular volume, menstrual cycling, serum sex hormones, organ weights (</w:t>
      </w:r>
      <w:r w:rsidRPr="00B03CFD">
        <w:t xml:space="preserve">epididymides, testes, seminal vesicle, prostate, ovaries and uterus), </w:t>
      </w:r>
      <w:r>
        <w:t xml:space="preserve">and </w:t>
      </w:r>
      <w:r w:rsidRPr="00B03CFD">
        <w:t xml:space="preserve">histopathology of reproductive tissues (epididymides, testes, seminal vesicles, prostate, ovaries, oviducts, uterus, cervix and </w:t>
      </w:r>
      <w:r w:rsidRPr="00F971ED">
        <w:t>vagina)</w:t>
      </w:r>
      <w:r w:rsidR="00F971ED" w:rsidRPr="00F971ED">
        <w:t xml:space="preserve">; </w:t>
      </w:r>
      <w:r w:rsidRPr="00F971ED">
        <w:t>were</w:t>
      </w:r>
      <w:r w:rsidR="00F971ED">
        <w:t xml:space="preserve"> </w:t>
      </w:r>
      <w:r>
        <w:t>unaffected by treatment with benralizumab in monkeys at fortnightly doses up to 25 mg/kg IV and 30 mg/kg/day SC</w:t>
      </w:r>
      <w:r w:rsidRPr="00B03CFD">
        <w:t xml:space="preserve"> (relative exposure based on AUC; </w:t>
      </w:r>
      <w:r w:rsidR="00F971ED">
        <w:t xml:space="preserve">≤ </w:t>
      </w:r>
      <w:r w:rsidRPr="00B03CFD">
        <w:t>40</w:t>
      </w:r>
      <w:r>
        <w:t>2</w:t>
      </w:r>
      <w:r w:rsidRPr="00B03CFD">
        <w:t>).</w:t>
      </w:r>
    </w:p>
    <w:p w14:paraId="2A329546" w14:textId="4F4685B6" w:rsidR="00B00804" w:rsidRDefault="00B00804" w:rsidP="00B00804">
      <w:r>
        <w:rPr>
          <w:szCs w:val="20"/>
        </w:rPr>
        <w:t xml:space="preserve">The enhanced </w:t>
      </w:r>
      <w:r w:rsidR="00F971ED">
        <w:t>pre</w:t>
      </w:r>
      <w:r>
        <w:t>/postnatal development study involved fortnightly administration to monkeys commencing from detection of pregnanc</w:t>
      </w:r>
      <w:r w:rsidR="00F971ED">
        <w:t>y (D</w:t>
      </w:r>
      <w:r w:rsidRPr="00404B7B">
        <w:t>ay 20</w:t>
      </w:r>
      <w:r w:rsidR="00F971ED">
        <w:t xml:space="preserve"> to </w:t>
      </w:r>
      <w:r>
        <w:t>22</w:t>
      </w:r>
      <w:r w:rsidRPr="00404B7B">
        <w:t xml:space="preserve"> of gestation</w:t>
      </w:r>
      <w:r>
        <w:t xml:space="preserve">) to 1 month </w:t>
      </w:r>
      <w:r w:rsidR="00F971ED">
        <w:lastRenderedPageBreak/>
        <w:t>post</w:t>
      </w:r>
      <w:r>
        <w:t>partum, with postnatal monitoring of the offspring to 6.5 months of age. High multiples of the human AUC were obtained i</w:t>
      </w:r>
      <w:r w:rsidR="006A44F0">
        <w:t>n the pregnant animals (</w:t>
      </w:r>
      <w:r w:rsidR="00EC07DA">
        <w:t xml:space="preserve">see </w:t>
      </w:r>
      <w:r w:rsidR="006A44F0">
        <w:t>Table 5</w:t>
      </w:r>
      <w:r>
        <w:t>).</w:t>
      </w:r>
    </w:p>
    <w:p w14:paraId="71957A24" w14:textId="77777777" w:rsidR="00C9747E" w:rsidRDefault="006A44F0" w:rsidP="00B00804">
      <w:pPr>
        <w:pStyle w:val="TableTitle"/>
      </w:pPr>
      <w:r>
        <w:t>Table 5:</w:t>
      </w:r>
      <w:r w:rsidR="00F971ED">
        <w:t xml:space="preserve"> </w:t>
      </w:r>
      <w:r w:rsidR="00B00804" w:rsidRPr="00B00804">
        <w:t>Relative exposure in the reproductive toxicity study</w:t>
      </w:r>
    </w:p>
    <w:tbl>
      <w:tblPr>
        <w:tblStyle w:val="TableTGAblue"/>
        <w:tblW w:w="8752" w:type="dxa"/>
        <w:tblLayout w:type="fixed"/>
        <w:tblLook w:val="01E0" w:firstRow="1" w:lastRow="1" w:firstColumn="1" w:lastColumn="1" w:noHBand="0" w:noVBand="0"/>
      </w:tblPr>
      <w:tblGrid>
        <w:gridCol w:w="1643"/>
        <w:gridCol w:w="2107"/>
        <w:gridCol w:w="896"/>
        <w:gridCol w:w="631"/>
        <w:gridCol w:w="1106"/>
        <w:gridCol w:w="1211"/>
        <w:gridCol w:w="1158"/>
      </w:tblGrid>
      <w:tr w:rsidR="00B00804" w:rsidRPr="00F971ED" w14:paraId="17BE7C0E" w14:textId="77777777" w:rsidTr="00F971ED">
        <w:trPr>
          <w:cnfStyle w:val="100000000000" w:firstRow="1" w:lastRow="0" w:firstColumn="0" w:lastColumn="0" w:oddVBand="0" w:evenVBand="0" w:oddHBand="0" w:evenHBand="0" w:firstRowFirstColumn="0" w:firstRowLastColumn="0" w:lastRowFirstColumn="0" w:lastRowLastColumn="0"/>
          <w:trHeight w:val="717"/>
        </w:trPr>
        <w:tc>
          <w:tcPr>
            <w:tcW w:w="1643" w:type="dxa"/>
          </w:tcPr>
          <w:p w14:paraId="0E7B9D82" w14:textId="77777777" w:rsidR="00B00804" w:rsidRPr="00F971ED" w:rsidRDefault="00B00804" w:rsidP="00F971ED">
            <w:pPr>
              <w:ind w:left="0" w:right="0"/>
              <w:rPr>
                <w:sz w:val="20"/>
                <w:szCs w:val="20"/>
              </w:rPr>
            </w:pPr>
            <w:r w:rsidRPr="00F971ED">
              <w:rPr>
                <w:sz w:val="20"/>
                <w:szCs w:val="20"/>
              </w:rPr>
              <w:t>Species</w:t>
            </w:r>
          </w:p>
        </w:tc>
        <w:tc>
          <w:tcPr>
            <w:tcW w:w="2107" w:type="dxa"/>
          </w:tcPr>
          <w:p w14:paraId="37564364" w14:textId="77777777" w:rsidR="00B00804" w:rsidRPr="00F971ED" w:rsidRDefault="00B00804" w:rsidP="00F971ED">
            <w:pPr>
              <w:ind w:left="0" w:right="0"/>
              <w:rPr>
                <w:sz w:val="20"/>
                <w:szCs w:val="20"/>
              </w:rPr>
            </w:pPr>
            <w:r w:rsidRPr="00F971ED">
              <w:rPr>
                <w:sz w:val="20"/>
                <w:szCs w:val="20"/>
              </w:rPr>
              <w:t xml:space="preserve">Study </w:t>
            </w:r>
          </w:p>
        </w:tc>
        <w:tc>
          <w:tcPr>
            <w:tcW w:w="1527" w:type="dxa"/>
            <w:gridSpan w:val="2"/>
          </w:tcPr>
          <w:p w14:paraId="036431E4" w14:textId="77777777" w:rsidR="00B00804" w:rsidRPr="00F971ED" w:rsidRDefault="00B00804" w:rsidP="00F971ED">
            <w:pPr>
              <w:ind w:left="0" w:right="0"/>
              <w:rPr>
                <w:sz w:val="20"/>
                <w:szCs w:val="20"/>
              </w:rPr>
            </w:pPr>
            <w:r w:rsidRPr="00F971ED">
              <w:rPr>
                <w:sz w:val="20"/>
                <w:szCs w:val="20"/>
              </w:rPr>
              <w:t>Dose (mg</w:t>
            </w:r>
            <w:r w:rsidR="00F971ED">
              <w:rPr>
                <w:sz w:val="20"/>
                <w:szCs w:val="20"/>
              </w:rPr>
              <w:t xml:space="preserve">/kg); </w:t>
            </w:r>
            <w:r w:rsidRPr="00F971ED">
              <w:rPr>
                <w:sz w:val="20"/>
                <w:szCs w:val="20"/>
              </w:rPr>
              <w:t>route</w:t>
            </w:r>
          </w:p>
        </w:tc>
        <w:tc>
          <w:tcPr>
            <w:tcW w:w="1106" w:type="dxa"/>
          </w:tcPr>
          <w:p w14:paraId="35DAB425" w14:textId="77777777" w:rsidR="00B00804" w:rsidRPr="00F971ED" w:rsidRDefault="00B00804" w:rsidP="00F971ED">
            <w:pPr>
              <w:ind w:left="0" w:right="0"/>
              <w:rPr>
                <w:sz w:val="20"/>
                <w:szCs w:val="20"/>
              </w:rPr>
            </w:pPr>
            <w:r w:rsidRPr="00F971ED">
              <w:rPr>
                <w:sz w:val="20"/>
                <w:szCs w:val="20"/>
              </w:rPr>
              <w:t>Dosing frequency</w:t>
            </w:r>
          </w:p>
        </w:tc>
        <w:tc>
          <w:tcPr>
            <w:tcW w:w="1211" w:type="dxa"/>
          </w:tcPr>
          <w:p w14:paraId="223DD1C0" w14:textId="77777777" w:rsidR="00B00804" w:rsidRPr="00F971ED" w:rsidRDefault="00B00804" w:rsidP="00F971ED">
            <w:pPr>
              <w:ind w:left="0" w:right="0"/>
              <w:rPr>
                <w:sz w:val="20"/>
                <w:szCs w:val="20"/>
              </w:rPr>
            </w:pPr>
            <w:r w:rsidRPr="00F971ED">
              <w:rPr>
                <w:sz w:val="20"/>
                <w:szCs w:val="20"/>
              </w:rPr>
              <w:t>AUC</w:t>
            </w:r>
            <w:r w:rsidRPr="00F971ED">
              <w:rPr>
                <w:sz w:val="20"/>
                <w:szCs w:val="20"/>
                <w:vertAlign w:val="subscript"/>
              </w:rPr>
              <w:t>0–t</w:t>
            </w:r>
            <w:r w:rsidR="00F971ED">
              <w:rPr>
                <w:sz w:val="20"/>
                <w:szCs w:val="20"/>
              </w:rPr>
              <w:t xml:space="preserve"> </w:t>
            </w:r>
            <w:r w:rsidRPr="00F971ED">
              <w:rPr>
                <w:sz w:val="20"/>
                <w:szCs w:val="20"/>
              </w:rPr>
              <w:t>(µ</w:t>
            </w:r>
            <w:proofErr w:type="spellStart"/>
            <w:r w:rsidRPr="00F971ED">
              <w:rPr>
                <w:sz w:val="20"/>
                <w:szCs w:val="20"/>
              </w:rPr>
              <w:t>g∙d</w:t>
            </w:r>
            <w:proofErr w:type="spellEnd"/>
            <w:r w:rsidRPr="00F971ED">
              <w:rPr>
                <w:sz w:val="20"/>
                <w:szCs w:val="20"/>
              </w:rPr>
              <w:t>/mL)</w:t>
            </w:r>
          </w:p>
        </w:tc>
        <w:tc>
          <w:tcPr>
            <w:tcW w:w="1158" w:type="dxa"/>
          </w:tcPr>
          <w:p w14:paraId="38A47237" w14:textId="77777777" w:rsidR="00B00804" w:rsidRPr="00F971ED" w:rsidRDefault="00B00804" w:rsidP="00F971ED">
            <w:pPr>
              <w:ind w:left="0" w:right="0"/>
              <w:rPr>
                <w:sz w:val="20"/>
                <w:szCs w:val="20"/>
              </w:rPr>
            </w:pPr>
            <w:r w:rsidRPr="00F971ED">
              <w:rPr>
                <w:sz w:val="20"/>
                <w:szCs w:val="20"/>
              </w:rPr>
              <w:t>Exposure ratio#</w:t>
            </w:r>
          </w:p>
        </w:tc>
      </w:tr>
      <w:tr w:rsidR="00B00804" w:rsidRPr="00F971ED" w14:paraId="3E27ECC3" w14:textId="77777777" w:rsidTr="00F971ED">
        <w:trPr>
          <w:trHeight w:val="342"/>
        </w:trPr>
        <w:tc>
          <w:tcPr>
            <w:tcW w:w="1643" w:type="dxa"/>
            <w:vMerge w:val="restart"/>
          </w:tcPr>
          <w:p w14:paraId="01A9D0EC" w14:textId="77FC8385" w:rsidR="00B00804" w:rsidRPr="00F971ED" w:rsidRDefault="00B00804" w:rsidP="00F971ED">
            <w:pPr>
              <w:ind w:left="0" w:right="0"/>
              <w:rPr>
                <w:sz w:val="20"/>
                <w:szCs w:val="20"/>
              </w:rPr>
            </w:pPr>
            <w:r w:rsidRPr="00F971ED">
              <w:rPr>
                <w:sz w:val="20"/>
                <w:szCs w:val="20"/>
              </w:rPr>
              <w:t>Monkey</w:t>
            </w:r>
            <w:r w:rsidR="00F971ED">
              <w:rPr>
                <w:sz w:val="20"/>
                <w:szCs w:val="20"/>
              </w:rPr>
              <w:t xml:space="preserve"> </w:t>
            </w:r>
            <w:r w:rsidRPr="00F971ED">
              <w:rPr>
                <w:sz w:val="20"/>
                <w:szCs w:val="20"/>
              </w:rPr>
              <w:t>(</w:t>
            </w:r>
            <w:r w:rsidR="00EC07DA" w:rsidRPr="00F971ED">
              <w:rPr>
                <w:sz w:val="20"/>
                <w:szCs w:val="20"/>
              </w:rPr>
              <w:t>c</w:t>
            </w:r>
            <w:r w:rsidRPr="00F971ED">
              <w:rPr>
                <w:sz w:val="20"/>
                <w:szCs w:val="20"/>
              </w:rPr>
              <w:t>ynomolgus)</w:t>
            </w:r>
          </w:p>
        </w:tc>
        <w:tc>
          <w:tcPr>
            <w:tcW w:w="2107" w:type="dxa"/>
            <w:vMerge w:val="restart"/>
          </w:tcPr>
          <w:p w14:paraId="6AC0AB2C" w14:textId="77777777" w:rsidR="00B00804" w:rsidRPr="00F971ED" w:rsidRDefault="00B00804" w:rsidP="00F971ED">
            <w:pPr>
              <w:ind w:left="0" w:right="0"/>
              <w:rPr>
                <w:sz w:val="20"/>
                <w:szCs w:val="20"/>
              </w:rPr>
            </w:pPr>
            <w:r w:rsidRPr="00F971ED">
              <w:rPr>
                <w:sz w:val="20"/>
                <w:szCs w:val="20"/>
              </w:rPr>
              <w:t xml:space="preserve">Enhanced </w:t>
            </w:r>
            <w:r w:rsidR="00F971ED">
              <w:rPr>
                <w:sz w:val="20"/>
                <w:szCs w:val="20"/>
              </w:rPr>
              <w:t>pre</w:t>
            </w:r>
            <w:r w:rsidRPr="00F971ED">
              <w:rPr>
                <w:sz w:val="20"/>
                <w:szCs w:val="20"/>
              </w:rPr>
              <w:t>/</w:t>
            </w:r>
            <w:r w:rsidR="00F971ED">
              <w:rPr>
                <w:sz w:val="20"/>
                <w:szCs w:val="20"/>
              </w:rPr>
              <w:t xml:space="preserve"> </w:t>
            </w:r>
            <w:r w:rsidRPr="00F971ED">
              <w:rPr>
                <w:sz w:val="20"/>
                <w:szCs w:val="20"/>
              </w:rPr>
              <w:t>postnatal development</w:t>
            </w:r>
            <w:r w:rsidR="00F971ED">
              <w:rPr>
                <w:sz w:val="20"/>
                <w:szCs w:val="20"/>
              </w:rPr>
              <w:t xml:space="preserve"> </w:t>
            </w:r>
            <w:r w:rsidRPr="00F971ED">
              <w:rPr>
                <w:sz w:val="20"/>
                <w:szCs w:val="20"/>
              </w:rPr>
              <w:t>[Study AAO00036]</w:t>
            </w:r>
          </w:p>
        </w:tc>
        <w:tc>
          <w:tcPr>
            <w:tcW w:w="896" w:type="dxa"/>
          </w:tcPr>
          <w:p w14:paraId="7C73B516" w14:textId="77777777" w:rsidR="00B00804" w:rsidRPr="00F971ED" w:rsidRDefault="00B00804" w:rsidP="00F971ED">
            <w:pPr>
              <w:ind w:left="0" w:right="0"/>
              <w:rPr>
                <w:sz w:val="20"/>
                <w:szCs w:val="20"/>
              </w:rPr>
            </w:pPr>
            <w:r w:rsidRPr="00F971ED">
              <w:rPr>
                <w:sz w:val="20"/>
                <w:szCs w:val="20"/>
              </w:rPr>
              <w:t>10</w:t>
            </w:r>
          </w:p>
        </w:tc>
        <w:tc>
          <w:tcPr>
            <w:tcW w:w="631" w:type="dxa"/>
            <w:vMerge w:val="restart"/>
          </w:tcPr>
          <w:p w14:paraId="7DF70D31" w14:textId="77777777" w:rsidR="00B00804" w:rsidRPr="00F971ED" w:rsidRDefault="00B00804" w:rsidP="00F971ED">
            <w:pPr>
              <w:ind w:left="0" w:right="0"/>
              <w:rPr>
                <w:sz w:val="20"/>
                <w:szCs w:val="20"/>
              </w:rPr>
            </w:pPr>
            <w:r w:rsidRPr="00F971ED">
              <w:rPr>
                <w:sz w:val="20"/>
                <w:szCs w:val="20"/>
              </w:rPr>
              <w:t>IV</w:t>
            </w:r>
          </w:p>
        </w:tc>
        <w:tc>
          <w:tcPr>
            <w:tcW w:w="1106" w:type="dxa"/>
            <w:vMerge w:val="restart"/>
          </w:tcPr>
          <w:p w14:paraId="09C208EA" w14:textId="77777777" w:rsidR="00B00804" w:rsidRPr="00F971ED" w:rsidRDefault="00B00804" w:rsidP="00F971ED">
            <w:pPr>
              <w:ind w:left="0" w:right="0"/>
              <w:rPr>
                <w:sz w:val="20"/>
                <w:szCs w:val="20"/>
              </w:rPr>
            </w:pPr>
            <w:r w:rsidRPr="00F971ED">
              <w:rPr>
                <w:sz w:val="20"/>
                <w:szCs w:val="20"/>
              </w:rPr>
              <w:t>Q2W</w:t>
            </w:r>
          </w:p>
        </w:tc>
        <w:tc>
          <w:tcPr>
            <w:tcW w:w="1211" w:type="dxa"/>
          </w:tcPr>
          <w:p w14:paraId="73DCB313" w14:textId="77777777" w:rsidR="00B00804" w:rsidRPr="00F971ED" w:rsidRDefault="00B00804" w:rsidP="00F971ED">
            <w:pPr>
              <w:ind w:left="0" w:right="0"/>
              <w:rPr>
                <w:sz w:val="20"/>
                <w:szCs w:val="20"/>
              </w:rPr>
            </w:pPr>
            <w:r w:rsidRPr="00F971ED">
              <w:rPr>
                <w:sz w:val="20"/>
                <w:szCs w:val="20"/>
              </w:rPr>
              <w:t>1710</w:t>
            </w:r>
          </w:p>
        </w:tc>
        <w:tc>
          <w:tcPr>
            <w:tcW w:w="1158" w:type="dxa"/>
          </w:tcPr>
          <w:p w14:paraId="74CED756" w14:textId="77777777" w:rsidR="00B00804" w:rsidRPr="00F971ED" w:rsidRDefault="00B00804" w:rsidP="00F971ED">
            <w:pPr>
              <w:ind w:left="0" w:right="0"/>
              <w:rPr>
                <w:sz w:val="20"/>
                <w:szCs w:val="20"/>
              </w:rPr>
            </w:pPr>
            <w:r w:rsidRPr="00F971ED">
              <w:rPr>
                <w:sz w:val="20"/>
                <w:szCs w:val="20"/>
              </w:rPr>
              <w:t>113</w:t>
            </w:r>
          </w:p>
        </w:tc>
      </w:tr>
      <w:tr w:rsidR="00B00804" w:rsidRPr="00F971ED" w14:paraId="5CF58E7F" w14:textId="77777777" w:rsidTr="00F971ED">
        <w:trPr>
          <w:trHeight w:val="342"/>
        </w:trPr>
        <w:tc>
          <w:tcPr>
            <w:tcW w:w="1643" w:type="dxa"/>
            <w:vMerge/>
          </w:tcPr>
          <w:p w14:paraId="1CB2CBAF" w14:textId="77777777" w:rsidR="00B00804" w:rsidRPr="00F971ED" w:rsidRDefault="00B00804" w:rsidP="00F971ED">
            <w:pPr>
              <w:ind w:left="0" w:right="0"/>
              <w:rPr>
                <w:sz w:val="20"/>
                <w:szCs w:val="20"/>
              </w:rPr>
            </w:pPr>
          </w:p>
        </w:tc>
        <w:tc>
          <w:tcPr>
            <w:tcW w:w="2107" w:type="dxa"/>
            <w:vMerge/>
          </w:tcPr>
          <w:p w14:paraId="123CC00F" w14:textId="77777777" w:rsidR="00B00804" w:rsidRPr="00F971ED" w:rsidRDefault="00B00804" w:rsidP="00F971ED">
            <w:pPr>
              <w:ind w:left="0" w:right="0"/>
              <w:rPr>
                <w:sz w:val="20"/>
                <w:szCs w:val="20"/>
              </w:rPr>
            </w:pPr>
          </w:p>
        </w:tc>
        <w:tc>
          <w:tcPr>
            <w:tcW w:w="896" w:type="dxa"/>
          </w:tcPr>
          <w:p w14:paraId="3FA0BDDD" w14:textId="77777777" w:rsidR="00B00804" w:rsidRPr="00F971ED" w:rsidRDefault="00B00804" w:rsidP="00F971ED">
            <w:pPr>
              <w:ind w:left="0" w:right="0"/>
              <w:rPr>
                <w:sz w:val="20"/>
                <w:szCs w:val="20"/>
              </w:rPr>
            </w:pPr>
            <w:r w:rsidRPr="00F971ED">
              <w:rPr>
                <w:sz w:val="20"/>
                <w:szCs w:val="20"/>
              </w:rPr>
              <w:t>30</w:t>
            </w:r>
          </w:p>
        </w:tc>
        <w:tc>
          <w:tcPr>
            <w:tcW w:w="631" w:type="dxa"/>
            <w:vMerge/>
          </w:tcPr>
          <w:p w14:paraId="14A0ACE4" w14:textId="77777777" w:rsidR="00B00804" w:rsidRPr="00F971ED" w:rsidRDefault="00B00804" w:rsidP="00F971ED">
            <w:pPr>
              <w:ind w:left="0" w:right="0"/>
              <w:rPr>
                <w:sz w:val="20"/>
                <w:szCs w:val="20"/>
              </w:rPr>
            </w:pPr>
          </w:p>
        </w:tc>
        <w:tc>
          <w:tcPr>
            <w:tcW w:w="1106" w:type="dxa"/>
            <w:vMerge/>
          </w:tcPr>
          <w:p w14:paraId="731565FD" w14:textId="77777777" w:rsidR="00B00804" w:rsidRPr="00F971ED" w:rsidRDefault="00B00804" w:rsidP="00F971ED">
            <w:pPr>
              <w:ind w:left="0" w:right="0"/>
              <w:rPr>
                <w:sz w:val="20"/>
                <w:szCs w:val="20"/>
              </w:rPr>
            </w:pPr>
          </w:p>
        </w:tc>
        <w:tc>
          <w:tcPr>
            <w:tcW w:w="1211" w:type="dxa"/>
          </w:tcPr>
          <w:p w14:paraId="16F69FD6" w14:textId="77777777" w:rsidR="00B00804" w:rsidRPr="00F971ED" w:rsidRDefault="00B00804" w:rsidP="00F971ED">
            <w:pPr>
              <w:ind w:left="0" w:right="0"/>
              <w:rPr>
                <w:sz w:val="20"/>
                <w:szCs w:val="20"/>
              </w:rPr>
            </w:pPr>
            <w:r w:rsidRPr="00F971ED">
              <w:rPr>
                <w:sz w:val="20"/>
                <w:szCs w:val="20"/>
              </w:rPr>
              <w:t>4760</w:t>
            </w:r>
          </w:p>
        </w:tc>
        <w:tc>
          <w:tcPr>
            <w:tcW w:w="1158" w:type="dxa"/>
          </w:tcPr>
          <w:p w14:paraId="0E5E9136" w14:textId="77777777" w:rsidR="00B00804" w:rsidRPr="00F971ED" w:rsidRDefault="00B00804" w:rsidP="00F971ED">
            <w:pPr>
              <w:ind w:left="0" w:right="0"/>
              <w:rPr>
                <w:sz w:val="20"/>
                <w:szCs w:val="20"/>
              </w:rPr>
            </w:pPr>
            <w:r w:rsidRPr="00F971ED">
              <w:rPr>
                <w:sz w:val="20"/>
                <w:szCs w:val="20"/>
              </w:rPr>
              <w:t>314</w:t>
            </w:r>
          </w:p>
        </w:tc>
      </w:tr>
      <w:tr w:rsidR="00B00804" w:rsidRPr="00F971ED" w14:paraId="1E97F125" w14:textId="77777777" w:rsidTr="00F971ED">
        <w:trPr>
          <w:trHeight w:val="228"/>
        </w:trPr>
        <w:tc>
          <w:tcPr>
            <w:tcW w:w="1643" w:type="dxa"/>
          </w:tcPr>
          <w:p w14:paraId="53687BB9" w14:textId="77777777" w:rsidR="00B00804" w:rsidRPr="00F971ED" w:rsidRDefault="00B00804" w:rsidP="00F971ED">
            <w:pPr>
              <w:ind w:left="0" w:right="0"/>
              <w:rPr>
                <w:sz w:val="20"/>
                <w:szCs w:val="20"/>
              </w:rPr>
            </w:pPr>
            <w:r w:rsidRPr="00F971ED">
              <w:rPr>
                <w:sz w:val="20"/>
                <w:szCs w:val="20"/>
              </w:rPr>
              <w:t>Human</w:t>
            </w:r>
            <w:r w:rsidR="00F971ED">
              <w:rPr>
                <w:sz w:val="20"/>
                <w:szCs w:val="20"/>
              </w:rPr>
              <w:t xml:space="preserve"> </w:t>
            </w:r>
            <w:r w:rsidRPr="00F971ED">
              <w:rPr>
                <w:sz w:val="20"/>
                <w:szCs w:val="20"/>
              </w:rPr>
              <w:t>(asthma patients)</w:t>
            </w:r>
          </w:p>
        </w:tc>
        <w:tc>
          <w:tcPr>
            <w:tcW w:w="2107" w:type="dxa"/>
          </w:tcPr>
          <w:p w14:paraId="6A5F3D06" w14:textId="77777777" w:rsidR="00B00804" w:rsidRPr="00F971ED" w:rsidRDefault="00B00804" w:rsidP="00F971ED">
            <w:pPr>
              <w:ind w:left="0" w:right="0"/>
              <w:rPr>
                <w:sz w:val="20"/>
                <w:szCs w:val="20"/>
              </w:rPr>
            </w:pPr>
            <w:r w:rsidRPr="00F971ED">
              <w:rPr>
                <w:sz w:val="20"/>
                <w:szCs w:val="20"/>
              </w:rPr>
              <w:t>Population PK analysis</w:t>
            </w:r>
          </w:p>
        </w:tc>
        <w:tc>
          <w:tcPr>
            <w:tcW w:w="896" w:type="dxa"/>
          </w:tcPr>
          <w:p w14:paraId="62B500B2" w14:textId="5481AD3B" w:rsidR="00B00804" w:rsidRPr="00F971ED" w:rsidRDefault="00B00804" w:rsidP="00F971ED">
            <w:pPr>
              <w:ind w:left="0" w:right="0"/>
              <w:rPr>
                <w:sz w:val="20"/>
                <w:szCs w:val="20"/>
              </w:rPr>
            </w:pPr>
            <w:r w:rsidRPr="00F971ED">
              <w:rPr>
                <w:sz w:val="20"/>
                <w:szCs w:val="20"/>
              </w:rPr>
              <w:t>30 mg</w:t>
            </w:r>
          </w:p>
        </w:tc>
        <w:tc>
          <w:tcPr>
            <w:tcW w:w="631" w:type="dxa"/>
          </w:tcPr>
          <w:p w14:paraId="54E88D9F" w14:textId="77777777" w:rsidR="00B00804" w:rsidRPr="00F971ED" w:rsidRDefault="00B00804" w:rsidP="00F971ED">
            <w:pPr>
              <w:ind w:left="0" w:right="0"/>
              <w:rPr>
                <w:sz w:val="20"/>
                <w:szCs w:val="20"/>
              </w:rPr>
            </w:pPr>
            <w:r w:rsidRPr="00F971ED">
              <w:rPr>
                <w:sz w:val="20"/>
                <w:szCs w:val="20"/>
              </w:rPr>
              <w:t>SC</w:t>
            </w:r>
          </w:p>
        </w:tc>
        <w:tc>
          <w:tcPr>
            <w:tcW w:w="1106" w:type="dxa"/>
          </w:tcPr>
          <w:p w14:paraId="788DE83F" w14:textId="77777777" w:rsidR="00B00804" w:rsidRPr="00F971ED" w:rsidRDefault="00B00804" w:rsidP="00F971ED">
            <w:pPr>
              <w:ind w:left="0" w:right="0"/>
              <w:rPr>
                <w:sz w:val="20"/>
                <w:szCs w:val="20"/>
              </w:rPr>
            </w:pPr>
            <w:r w:rsidRPr="00F971ED">
              <w:rPr>
                <w:sz w:val="20"/>
                <w:szCs w:val="20"/>
              </w:rPr>
              <w:t>Q8W</w:t>
            </w:r>
          </w:p>
        </w:tc>
        <w:tc>
          <w:tcPr>
            <w:tcW w:w="1211" w:type="dxa"/>
          </w:tcPr>
          <w:p w14:paraId="7713B0C5" w14:textId="77777777" w:rsidR="00B00804" w:rsidRPr="00F971ED" w:rsidRDefault="00B00804" w:rsidP="00F971ED">
            <w:pPr>
              <w:ind w:left="0" w:right="0"/>
              <w:rPr>
                <w:sz w:val="20"/>
                <w:szCs w:val="20"/>
              </w:rPr>
            </w:pPr>
            <w:r w:rsidRPr="00F971ED">
              <w:rPr>
                <w:sz w:val="20"/>
                <w:szCs w:val="20"/>
              </w:rPr>
              <w:t>60.72</w:t>
            </w:r>
          </w:p>
        </w:tc>
        <w:tc>
          <w:tcPr>
            <w:tcW w:w="1158" w:type="dxa"/>
          </w:tcPr>
          <w:p w14:paraId="49716762" w14:textId="77777777" w:rsidR="00B00804" w:rsidRPr="00F971ED" w:rsidRDefault="00B00804" w:rsidP="00F971ED">
            <w:pPr>
              <w:ind w:left="0" w:right="0"/>
              <w:rPr>
                <w:sz w:val="20"/>
                <w:szCs w:val="20"/>
              </w:rPr>
            </w:pPr>
            <w:r w:rsidRPr="00F971ED">
              <w:rPr>
                <w:sz w:val="20"/>
                <w:szCs w:val="20"/>
              </w:rPr>
              <w:t>–</w:t>
            </w:r>
          </w:p>
        </w:tc>
      </w:tr>
    </w:tbl>
    <w:p w14:paraId="460AEA6A" w14:textId="77777777" w:rsidR="00B00804" w:rsidRDefault="00B00804" w:rsidP="00B00804">
      <w:pPr>
        <w:pStyle w:val="TableDescription"/>
      </w:pPr>
      <w:r w:rsidRPr="003D3E3B">
        <w:t>^ = animal data are for the sexes combined, measured</w:t>
      </w:r>
      <w:r>
        <w:t xml:space="preserve"> at the last sampling occasion; </w:t>
      </w:r>
      <w:r w:rsidRPr="003D3E3B">
        <w:rPr>
          <w:position w:val="-2"/>
          <w:vertAlign w:val="superscript"/>
        </w:rPr>
        <w:t>#</w:t>
      </w:r>
      <w:r w:rsidRPr="003D3E3B">
        <w:t xml:space="preserve"> = </w:t>
      </w:r>
      <w:proofErr w:type="spellStart"/>
      <w:r w:rsidRPr="003D3E3B">
        <w:t>animal</w:t>
      </w:r>
      <w:proofErr w:type="gramStart"/>
      <w:r w:rsidRPr="003D3E3B">
        <w:t>:human</w:t>
      </w:r>
      <w:proofErr w:type="spellEnd"/>
      <w:proofErr w:type="gramEnd"/>
      <w:r w:rsidRPr="003D3E3B">
        <w:t xml:space="preserve"> serum AUC</w:t>
      </w:r>
      <w:r w:rsidRPr="003D3E3B">
        <w:rPr>
          <w:vertAlign w:val="subscript"/>
        </w:rPr>
        <w:t>0–t</w:t>
      </w:r>
      <w:r w:rsidR="00925684">
        <w:t xml:space="preserve"> x</w:t>
      </w:r>
      <w:r w:rsidRPr="003D3E3B">
        <w:t xml:space="preserve"> </w:t>
      </w:r>
      <w:proofErr w:type="spellStart"/>
      <w:r w:rsidRPr="003D3E3B">
        <w:t>animal:human</w:t>
      </w:r>
      <w:proofErr w:type="spellEnd"/>
      <w:r w:rsidRPr="003D3E3B">
        <w:t xml:space="preserve"> dosing frequency</w:t>
      </w:r>
    </w:p>
    <w:p w14:paraId="2BCFB369" w14:textId="3BEFC883" w:rsidR="00B00804" w:rsidRDefault="00B00804" w:rsidP="00B00804">
      <w:r>
        <w:t xml:space="preserve">Benralizumab was detected in the offspring of treated monkeys. Serum benralizumab levels in infants were 66% of the maternal level at postnatal </w:t>
      </w:r>
      <w:r w:rsidR="00F971ED">
        <w:t>D</w:t>
      </w:r>
      <w:r>
        <w:t>ay 7 (the first time point examined) and slowly declined over time (</w:t>
      </w:r>
      <w:r w:rsidR="00F971ED" w:rsidRPr="00F971ED">
        <w:t>for example</w:t>
      </w:r>
      <w:r>
        <w:t>, to 10% of the maternal level 3</w:t>
      </w:r>
      <w:r w:rsidR="00EC07DA">
        <w:t> </w:t>
      </w:r>
      <w:r>
        <w:t>months after birth).</w:t>
      </w:r>
      <w:r w:rsidRPr="00AB0543">
        <w:t xml:space="preserve"> </w:t>
      </w:r>
      <w:r>
        <w:t>This is consistent with placental transfer of the IgG antibody, with only limited additional exposure via consumption of maternal milk.</w:t>
      </w:r>
    </w:p>
    <w:p w14:paraId="5A2280E2" w14:textId="77777777" w:rsidR="00B00804" w:rsidRPr="00AC76D9" w:rsidRDefault="00B00804" w:rsidP="00B00804">
      <w:pPr>
        <w:rPr>
          <w:szCs w:val="20"/>
        </w:rPr>
      </w:pPr>
      <w:r>
        <w:rPr>
          <w:szCs w:val="20"/>
        </w:rPr>
        <w:t xml:space="preserve">No adverse effects on </w:t>
      </w:r>
      <w:r w:rsidR="00F971ED">
        <w:t>pre</w:t>
      </w:r>
      <w:r>
        <w:t xml:space="preserve"> or postnatal</w:t>
      </w:r>
      <w:r>
        <w:rPr>
          <w:szCs w:val="20"/>
        </w:rPr>
        <w:t xml:space="preserve"> survival, growth or development were observed up to the highest dose tested (30 mg/kg IV, once fortnightly), associated with an exposure multiple in excess of 300. </w:t>
      </w:r>
      <w:r w:rsidRPr="00AC76D9">
        <w:rPr>
          <w:szCs w:val="20"/>
        </w:rPr>
        <w:t xml:space="preserve">Peripheral blood eosinophils were decreased in infants exposed to benralizumab </w:t>
      </w:r>
      <w:r w:rsidRPr="00EC07DA">
        <w:rPr>
          <w:szCs w:val="20"/>
        </w:rPr>
        <w:t>in utero</w:t>
      </w:r>
      <w:r w:rsidRPr="00AC76D9">
        <w:rPr>
          <w:szCs w:val="20"/>
        </w:rPr>
        <w:t xml:space="preserve"> (pharmacologic</w:t>
      </w:r>
      <w:r w:rsidR="00F971ED">
        <w:rPr>
          <w:szCs w:val="20"/>
        </w:rPr>
        <w:t xml:space="preserve">al effect of benralizumab); the effect was reversible but long </w:t>
      </w:r>
      <w:r w:rsidRPr="00AC76D9">
        <w:rPr>
          <w:szCs w:val="20"/>
        </w:rPr>
        <w:t>lasting (mo</w:t>
      </w:r>
      <w:r w:rsidR="00F971ED">
        <w:rPr>
          <w:szCs w:val="20"/>
        </w:rPr>
        <w:t xml:space="preserve">st animals showed recovery by 6 </w:t>
      </w:r>
      <w:r w:rsidRPr="00AC76D9">
        <w:rPr>
          <w:szCs w:val="20"/>
        </w:rPr>
        <w:t>months of age)</w:t>
      </w:r>
      <w:r>
        <w:rPr>
          <w:szCs w:val="20"/>
        </w:rPr>
        <w:t xml:space="preserve"> and is pharmacologically mediated</w:t>
      </w:r>
      <w:r w:rsidRPr="00AC76D9">
        <w:rPr>
          <w:szCs w:val="20"/>
        </w:rPr>
        <w:t>.</w:t>
      </w:r>
      <w:r>
        <w:rPr>
          <w:szCs w:val="20"/>
        </w:rPr>
        <w:t xml:space="preserve"> Limited examination of immune function in the </w:t>
      </w:r>
      <w:r w:rsidRPr="00F971ED">
        <w:t>offspring</w:t>
      </w:r>
      <w:r w:rsidR="00F971ED" w:rsidRPr="00F971ED">
        <w:t>;</w:t>
      </w:r>
      <w:r w:rsidR="00F971ED">
        <w:rPr>
          <w:w w:val="50"/>
          <w:szCs w:val="20"/>
        </w:rPr>
        <w:t xml:space="preserve"> </w:t>
      </w:r>
      <w:r w:rsidRPr="00A10A8D">
        <w:rPr>
          <w:szCs w:val="20"/>
        </w:rPr>
        <w:t>humoral i</w:t>
      </w:r>
      <w:r>
        <w:rPr>
          <w:szCs w:val="20"/>
        </w:rPr>
        <w:t xml:space="preserve">mmune response to immunisation (anti </w:t>
      </w:r>
      <w:r w:rsidR="005028A8">
        <w:rPr>
          <w:szCs w:val="20"/>
        </w:rPr>
        <w:t xml:space="preserve">keyhole limpet </w:t>
      </w:r>
      <w:proofErr w:type="spellStart"/>
      <w:r w:rsidR="005028A8">
        <w:rPr>
          <w:szCs w:val="20"/>
        </w:rPr>
        <w:t>haemocyanin</w:t>
      </w:r>
      <w:proofErr w:type="spellEnd"/>
      <w:r w:rsidR="005028A8">
        <w:rPr>
          <w:szCs w:val="20"/>
        </w:rPr>
        <w:t xml:space="preserve"> (anti </w:t>
      </w:r>
      <w:r>
        <w:rPr>
          <w:szCs w:val="20"/>
        </w:rPr>
        <w:t>KLH</w:t>
      </w:r>
      <w:r w:rsidR="005028A8">
        <w:rPr>
          <w:szCs w:val="20"/>
        </w:rPr>
        <w:t>)</w:t>
      </w:r>
      <w:r>
        <w:rPr>
          <w:szCs w:val="20"/>
        </w:rPr>
        <w:t xml:space="preserve"> IgM and IgG antibodies)</w:t>
      </w:r>
      <w:r w:rsidRPr="00A10A8D">
        <w:rPr>
          <w:szCs w:val="20"/>
        </w:rPr>
        <w:t xml:space="preserve"> and levels of serum IgM, IgG and </w:t>
      </w:r>
      <w:r w:rsidRPr="00F971ED">
        <w:t>IgA</w:t>
      </w:r>
      <w:r w:rsidR="00F971ED" w:rsidRPr="00F971ED">
        <w:t xml:space="preserve">; </w:t>
      </w:r>
      <w:r w:rsidRPr="00F971ED">
        <w:t>showed</w:t>
      </w:r>
      <w:r>
        <w:rPr>
          <w:szCs w:val="20"/>
        </w:rPr>
        <w:t xml:space="preserve"> no effect of treatment. The effect on the immune response to parasitic infection was not studied.</w:t>
      </w:r>
    </w:p>
    <w:p w14:paraId="78B751B6" w14:textId="77777777" w:rsidR="00B00804" w:rsidRPr="00AC76D9" w:rsidRDefault="00B00804" w:rsidP="00DB3268">
      <w:pPr>
        <w:pStyle w:val="Heading5"/>
      </w:pPr>
      <w:r w:rsidRPr="00AC76D9">
        <w:t>Pregnancy classification</w:t>
      </w:r>
    </w:p>
    <w:p w14:paraId="2BC6BDBC" w14:textId="77777777" w:rsidR="00B00804" w:rsidRDefault="00B00804" w:rsidP="00DB3268">
      <w:r w:rsidRPr="00AC76D9">
        <w:t>The sponsor has proposed Pregnancy Category B1</w:t>
      </w:r>
      <w:r>
        <w:t>.</w:t>
      </w:r>
      <w:bookmarkStart w:id="59" w:name="_Ref1235215"/>
      <w:r w:rsidR="00DB3268">
        <w:rPr>
          <w:rStyle w:val="FootnoteReference"/>
        </w:rPr>
        <w:footnoteReference w:id="8"/>
      </w:r>
      <w:bookmarkEnd w:id="59"/>
    </w:p>
    <w:p w14:paraId="0269B0A3" w14:textId="048EBB50" w:rsidR="00B00804" w:rsidRDefault="00B00804" w:rsidP="00DB3268">
      <w:r>
        <w:t>Consideration has been given to assignment to Pregnancy Category C</w:t>
      </w:r>
      <w:r w:rsidR="00EC07DA">
        <w:t xml:space="preserve"> instead.</w:t>
      </w:r>
      <w:bookmarkStart w:id="60" w:name="_Ref1563665"/>
      <w:r w:rsidR="00DB3268">
        <w:rPr>
          <w:rStyle w:val="FootnoteReference"/>
        </w:rPr>
        <w:footnoteReference w:id="9"/>
      </w:r>
      <w:bookmarkEnd w:id="60"/>
      <w:r>
        <w:t xml:space="preserve"> </w:t>
      </w:r>
      <w:r w:rsidRPr="00AC76D9">
        <w:t>Although treatment of pregnant monkeys with benralizumab did not cause malformations, affect survival, or produce other adverse effects on fetal/postnatal development, it did cause significant and long-lasting eosinophil depletion</w:t>
      </w:r>
      <w:r>
        <w:t>. This is mediated pharmacologically</w:t>
      </w:r>
      <w:r w:rsidRPr="00AC76D9">
        <w:t>.</w:t>
      </w:r>
      <w:r>
        <w:t xml:space="preserve"> Category C is for:</w:t>
      </w:r>
    </w:p>
    <w:p w14:paraId="2BAA20CD" w14:textId="77777777" w:rsidR="00B00804" w:rsidRPr="007504A5" w:rsidRDefault="005236C7" w:rsidP="007504A5">
      <w:pPr>
        <w:ind w:left="720"/>
      </w:pPr>
      <w:proofErr w:type="gramStart"/>
      <w:r>
        <w:t>‘</w:t>
      </w:r>
      <w:r w:rsidR="00B00804" w:rsidRPr="007504A5">
        <w:t>Drugs which, owing to their pharmacological effects, have caused or may be suspected of causing, harmful effects on the human fetus or neonate without causing malformations.</w:t>
      </w:r>
      <w:proofErr w:type="gramEnd"/>
      <w:r w:rsidR="00B00804" w:rsidRPr="007504A5">
        <w:t xml:space="preserve"> These effects may be reversible.</w:t>
      </w:r>
      <w:r>
        <w:t>’</w:t>
      </w:r>
    </w:p>
    <w:p w14:paraId="38B92C2C" w14:textId="11E14B50" w:rsidR="00B00804" w:rsidRPr="00DB3268" w:rsidRDefault="00B00804" w:rsidP="00DB3268">
      <w:r w:rsidRPr="004C2623">
        <w:t xml:space="preserve">While there is some concern regarding the potential for impaired immunity to parasites and other pathogens in the newborn, eosinophil depletion is not of such serious concern </w:t>
      </w:r>
      <w:r w:rsidRPr="004C2623">
        <w:lastRenderedPageBreak/>
        <w:t>as to be regarded as harmful within the definition given above. In light of this, Pregnancy Category B1</w:t>
      </w:r>
      <w:r w:rsidR="00EC07DA">
        <w:t>;</w:t>
      </w:r>
      <w:r w:rsidR="005028A8" w:rsidRPr="004C2623">
        <w:rPr>
          <w:rStyle w:val="FootnoteReference"/>
        </w:rPr>
        <w:footnoteReference w:id="10"/>
      </w:r>
      <w:r w:rsidRPr="004C2623">
        <w:t xml:space="preserve"> is considered to be acceptable. This matches the pregnancy category for mepolizumab (Nucala), an antibody against IL</w:t>
      </w:r>
      <w:r w:rsidRPr="004C2623">
        <w:noBreakHyphen/>
        <w:t>5 (</w:t>
      </w:r>
      <w:r w:rsidR="00F971ED" w:rsidRPr="004C2623">
        <w:t>that is</w:t>
      </w:r>
      <w:r w:rsidRPr="004C2623">
        <w:t>,</w:t>
      </w:r>
      <w:r w:rsidR="007504A5" w:rsidRPr="004C2623">
        <w:t xml:space="preserve"> the </w:t>
      </w:r>
      <w:r w:rsidRPr="004C2623">
        <w:t xml:space="preserve">ligand </w:t>
      </w:r>
      <w:r w:rsidR="00F971ED" w:rsidRPr="004C2623">
        <w:rPr>
          <w:szCs w:val="18"/>
        </w:rPr>
        <w:t>compared with</w:t>
      </w:r>
      <w:r w:rsidRPr="004C2623">
        <w:rPr>
          <w:szCs w:val="18"/>
        </w:rPr>
        <w:t xml:space="preserve"> receptor here), which also depletes eosinophils.</w:t>
      </w:r>
    </w:p>
    <w:p w14:paraId="32E05A58" w14:textId="1F02478F" w:rsidR="00B00804" w:rsidRPr="008C1B70" w:rsidRDefault="001616D2" w:rsidP="00DB3268">
      <w:pPr>
        <w:pStyle w:val="Heading4"/>
      </w:pPr>
      <w:r>
        <w:t>Local tolerance</w:t>
      </w:r>
    </w:p>
    <w:p w14:paraId="63F6AAF2" w14:textId="77777777" w:rsidR="00B00804" w:rsidRPr="008C1B70" w:rsidRDefault="00B00804" w:rsidP="00DB3268">
      <w:r w:rsidRPr="008C1B70">
        <w:t>SC injection of benralizumab was well tolerated locally in monkeys at the clinical strength in the general 9</w:t>
      </w:r>
      <w:r w:rsidR="00F971ED">
        <w:t xml:space="preserve"> month</w:t>
      </w:r>
      <w:r w:rsidRPr="008C1B70">
        <w:t xml:space="preserve"> </w:t>
      </w:r>
      <w:r w:rsidR="00F971ED">
        <w:t>repeat dose</w:t>
      </w:r>
      <w:r w:rsidRPr="008C1B70">
        <w:t xml:space="preserve"> toxic</w:t>
      </w:r>
      <w:r w:rsidR="007504A5">
        <w:t xml:space="preserve">ity study (30 </w:t>
      </w:r>
      <w:r w:rsidRPr="008C1B70">
        <w:t>mg/mL) and in a dedicated study in rabbits at a higher strength (50 mg/mL benralizumab). The formulations tested in animals contained the same excipients as in the product proposed for registration, but with minor quantitative differences (lo</w:t>
      </w:r>
      <w:r w:rsidR="007504A5">
        <w:t xml:space="preserve">wer </w:t>
      </w:r>
      <w:r w:rsidRPr="008C1B70">
        <w:t>concentrations of trehalose and polysorbate 20) that are not considered to notably affect study applicability.</w:t>
      </w:r>
    </w:p>
    <w:p w14:paraId="090902F9" w14:textId="2A726C01" w:rsidR="00B00804" w:rsidRPr="008C1B70" w:rsidRDefault="00B00804" w:rsidP="00DB3268">
      <w:pPr>
        <w:pStyle w:val="Heading5"/>
      </w:pPr>
      <w:bookmarkStart w:id="61" w:name="_Toc497831859"/>
      <w:r w:rsidRPr="008C1B70">
        <w:t xml:space="preserve">Comments on the </w:t>
      </w:r>
      <w:r w:rsidR="001616D2" w:rsidRPr="008C1B70">
        <w:t>nonclinical safety specification of the risk management plan</w:t>
      </w:r>
      <w:bookmarkEnd w:id="61"/>
    </w:p>
    <w:p w14:paraId="39C3C401" w14:textId="77777777" w:rsidR="00B00804" w:rsidRPr="00DB3268" w:rsidRDefault="00B00804" w:rsidP="00DB3268">
      <w:r w:rsidRPr="00DB3268">
        <w:t>Results and conclusions drawn from the nonclinical program for benralizumab detailed in the sponsor’s draft Risk Management Plan</w:t>
      </w:r>
      <w:r w:rsidR="007504A5">
        <w:t xml:space="preserve"> </w:t>
      </w:r>
      <w:r w:rsidRPr="00DB3268">
        <w:t xml:space="preserve">are in general concordance with those of the </w:t>
      </w:r>
      <w:r w:rsidR="007504A5" w:rsidRPr="00DB3268">
        <w:t>nonclinical evaluator</w:t>
      </w:r>
      <w:r w:rsidRPr="00DB3268">
        <w:t>.</w:t>
      </w:r>
    </w:p>
    <w:p w14:paraId="26432106" w14:textId="77777777" w:rsidR="008E7846" w:rsidRDefault="008E7846" w:rsidP="008E7846">
      <w:pPr>
        <w:pStyle w:val="Heading3"/>
      </w:pPr>
      <w:bookmarkStart w:id="62" w:name="_Toc247691515"/>
      <w:bookmarkStart w:id="63" w:name="_Toc314842499"/>
      <w:bookmarkStart w:id="64" w:name="_Toc1653586"/>
      <w:r>
        <w:t>Nonclinical summary and conclusions</w:t>
      </w:r>
      <w:bookmarkEnd w:id="62"/>
      <w:bookmarkEnd w:id="63"/>
      <w:bookmarkEnd w:id="64"/>
    </w:p>
    <w:p w14:paraId="7856A1AB" w14:textId="72B4A4C8" w:rsidR="00B00804" w:rsidRPr="008465D6" w:rsidRDefault="007504A5" w:rsidP="00DB3268">
      <w:pPr>
        <w:pStyle w:val="ListBullet"/>
      </w:pPr>
      <w:bookmarkStart w:id="65" w:name="_Toc196046462"/>
      <w:bookmarkStart w:id="66" w:name="_Toc247691516"/>
      <w:bookmarkStart w:id="67" w:name="_Toc314842500"/>
      <w:bookmarkStart w:id="68" w:name="_Toc163441353"/>
      <w:bookmarkStart w:id="69" w:name="_Toc163441348"/>
      <w:r>
        <w:t>The nonclinical module</w:t>
      </w:r>
      <w:r w:rsidR="00B00804" w:rsidRPr="008465D6">
        <w:t xml:space="preserve"> contained an adequate set of studies investigating pharmacology, pharmacokinetics and toxicity, conducted in general a</w:t>
      </w:r>
      <w:r>
        <w:t xml:space="preserve">ccordance with the relevant TGA </w:t>
      </w:r>
      <w:r w:rsidR="00B00804" w:rsidRPr="008465D6">
        <w:t>adopted guidel</w:t>
      </w:r>
      <w:r w:rsidR="005028A8">
        <w:t xml:space="preserve">ine applicable to biotechnology </w:t>
      </w:r>
      <w:r w:rsidR="00B00804" w:rsidRPr="008465D6">
        <w:t>derived pharmaceuticals</w:t>
      </w:r>
      <w:r>
        <w:t>.</w:t>
      </w:r>
      <w:r w:rsidRPr="007504A5">
        <w:rPr>
          <w:vertAlign w:val="superscript"/>
        </w:rPr>
        <w:fldChar w:fldCharType="begin"/>
      </w:r>
      <w:r w:rsidRPr="007504A5">
        <w:rPr>
          <w:vertAlign w:val="superscript"/>
        </w:rPr>
        <w:instrText xml:space="preserve"> NOTEREF _Ref530134239 \h </w:instrText>
      </w:r>
      <w:r>
        <w:rPr>
          <w:vertAlign w:val="superscript"/>
        </w:rPr>
        <w:instrText xml:space="preserve"> \* MERGEFORMAT </w:instrText>
      </w:r>
      <w:r w:rsidRPr="007504A5">
        <w:rPr>
          <w:vertAlign w:val="superscript"/>
        </w:rPr>
      </w:r>
      <w:r w:rsidRPr="007504A5">
        <w:rPr>
          <w:vertAlign w:val="superscript"/>
        </w:rPr>
        <w:fldChar w:fldCharType="separate"/>
      </w:r>
      <w:r w:rsidR="00E02FD3">
        <w:rPr>
          <w:vertAlign w:val="superscript"/>
        </w:rPr>
        <w:t>3</w:t>
      </w:r>
      <w:r w:rsidRPr="007504A5">
        <w:rPr>
          <w:vertAlign w:val="superscript"/>
        </w:rPr>
        <w:fldChar w:fldCharType="end"/>
      </w:r>
      <w:r w:rsidR="00B00804" w:rsidRPr="008465D6">
        <w:t xml:space="preserve"> The overall quality of the nonclinical dossi</w:t>
      </w:r>
      <w:r>
        <w:t xml:space="preserve">er was good. All pivotal safety </w:t>
      </w:r>
      <w:r w:rsidR="00B00804" w:rsidRPr="008465D6">
        <w:t>rel</w:t>
      </w:r>
      <w:r>
        <w:t xml:space="preserve">ated studies were GLP </w:t>
      </w:r>
      <w:r w:rsidR="00B00804" w:rsidRPr="008465D6">
        <w:t>compliant.</w:t>
      </w:r>
    </w:p>
    <w:p w14:paraId="2E8509B2" w14:textId="77777777" w:rsidR="00B00804" w:rsidRDefault="00B00804" w:rsidP="00DB3268">
      <w:pPr>
        <w:pStyle w:val="ListBullet"/>
      </w:pPr>
      <w:r w:rsidRPr="00EC07DA">
        <w:t>In vitro</w:t>
      </w:r>
      <w:r w:rsidRPr="008465D6">
        <w:t xml:space="preserve"> studies established that</w:t>
      </w:r>
      <w:r w:rsidR="007504A5">
        <w:t xml:space="preserve"> benralizumab binds to human IL-</w:t>
      </w:r>
      <w:r w:rsidRPr="008465D6">
        <w:t>5Rα with high affinity (</w:t>
      </w:r>
      <w:r w:rsidRPr="007504A5">
        <w:t>K</w:t>
      </w:r>
      <w:r w:rsidRPr="007504A5">
        <w:rPr>
          <w:vertAlign w:val="subscript"/>
        </w:rPr>
        <w:t>D</w:t>
      </w:r>
      <w:r w:rsidRPr="008465D6">
        <w:t>, 16 </w:t>
      </w:r>
      <w:proofErr w:type="spellStart"/>
      <w:r w:rsidRPr="008465D6">
        <w:t>pM</w:t>
      </w:r>
      <w:proofErr w:type="spellEnd"/>
      <w:r w:rsidRPr="008465D6">
        <w:t>), and recognises the monkey form of the target in a similar fa</w:t>
      </w:r>
      <w:r w:rsidR="007504A5">
        <w:t>shion. The antibody inhibits IL-</w:t>
      </w:r>
      <w:r w:rsidRPr="008465D6">
        <w:t xml:space="preserve">5 receptor signalling, and induces </w:t>
      </w:r>
      <w:r w:rsidR="00E14798">
        <w:t xml:space="preserve">antibody dependent </w:t>
      </w:r>
      <w:r w:rsidRPr="008465D6">
        <w:t>cell-mediated cytotoxicity (ADCC) of human eosinophils and basophils (</w:t>
      </w:r>
      <w:r>
        <w:t xml:space="preserve">the </w:t>
      </w:r>
      <w:r w:rsidR="007504A5">
        <w:t>cell types that express IL-</w:t>
      </w:r>
      <w:r w:rsidRPr="008465D6">
        <w:t xml:space="preserve">5Rα). </w:t>
      </w:r>
      <w:r w:rsidRPr="00EC07DA">
        <w:t>In vivo</w:t>
      </w:r>
      <w:r w:rsidRPr="008465D6">
        <w:t xml:space="preserve">, benralizumab depleted blood and bone marrow eosinophils in </w:t>
      </w:r>
      <w:r>
        <w:t xml:space="preserve">cynomolgus </w:t>
      </w:r>
      <w:r w:rsidRPr="008465D6">
        <w:t>monkeys. Attenuation of allergic pulmonary eosinophilia and airway hyper-responsiveness was demonstrated in monkeys treated with an antibody analogous to benralizumab.</w:t>
      </w:r>
      <w:r>
        <w:t xml:space="preserve"> These studies offer support for the utility of benralizumab for the proposed indication.</w:t>
      </w:r>
    </w:p>
    <w:p w14:paraId="40D1ACC8" w14:textId="77777777" w:rsidR="00B00804" w:rsidRDefault="00B00804" w:rsidP="00DB3268">
      <w:pPr>
        <w:pStyle w:val="ListBullet"/>
      </w:pPr>
      <w:r>
        <w:t xml:space="preserve">High specificity for binding is evident. Substitution of a single amino acid in human </w:t>
      </w:r>
      <w:r w:rsidR="007504A5">
        <w:t>IL</w:t>
      </w:r>
      <w:r w:rsidR="007504A5">
        <w:noBreakHyphen/>
      </w:r>
      <w:r w:rsidRPr="00AB1FA6">
        <w:t>5Rα</w:t>
      </w:r>
      <w:r>
        <w:t xml:space="preserve"> is sufficient to abolish target recognition. The benralizumab binding site is conserved in human and monkey </w:t>
      </w:r>
      <w:r w:rsidR="007504A5">
        <w:t>IL-</w:t>
      </w:r>
      <w:r w:rsidRPr="00AB1FA6">
        <w:t>5Rα</w:t>
      </w:r>
      <w:r>
        <w:t>, but not in other common laboratory animal species (mouse, rat, rabbit and dog).</w:t>
      </w:r>
    </w:p>
    <w:p w14:paraId="46DE5A8F" w14:textId="77777777" w:rsidR="00B00804" w:rsidRDefault="00B00804" w:rsidP="00DB3268">
      <w:pPr>
        <w:pStyle w:val="ListBullet"/>
      </w:pPr>
      <w:r>
        <w:t>Examination of safety pharmacology in cynomolgus monkeys identified no effects on cardiovascular, respiratory or CNS function.</w:t>
      </w:r>
    </w:p>
    <w:p w14:paraId="5B44FAFC" w14:textId="20A5A693" w:rsidR="00B00804" w:rsidRDefault="00B00804" w:rsidP="00DB3268">
      <w:pPr>
        <w:pStyle w:val="ListBullet"/>
      </w:pPr>
      <w:r>
        <w:t xml:space="preserve">Pharmacokinetic studies with benralizumab revealed a long serum half-life in monkeys </w:t>
      </w:r>
      <w:r w:rsidR="00EC07DA">
        <w:t xml:space="preserve">(approximately </w:t>
      </w:r>
      <w:r>
        <w:t>2 weeks) and a low volume of distribution, as in humans.</w:t>
      </w:r>
    </w:p>
    <w:p w14:paraId="005D89FD" w14:textId="77777777" w:rsidR="00B00804" w:rsidRPr="008465D6" w:rsidRDefault="00B00804" w:rsidP="00DB3268">
      <w:pPr>
        <w:pStyle w:val="ListBullet"/>
      </w:pPr>
      <w:r>
        <w:t>The cynomolgus monkey is seen to be an appropriate model for benralizumab toxicity on pharmacodynamic and pharmacokinetic grounds.</w:t>
      </w:r>
    </w:p>
    <w:p w14:paraId="1F836CBA" w14:textId="77777777" w:rsidR="00B00804" w:rsidRPr="005B015A" w:rsidRDefault="00B00804" w:rsidP="00DB3268">
      <w:pPr>
        <w:pStyle w:val="ListBullet"/>
      </w:pPr>
      <w:r w:rsidRPr="005B015A">
        <w:t>Benralizumab had a low order of acute SC and IV toxicity in cynomolgus monkeys.</w:t>
      </w:r>
    </w:p>
    <w:p w14:paraId="0FEEEFCB" w14:textId="77777777" w:rsidR="00B00804" w:rsidRPr="005B015A" w:rsidRDefault="00F971ED" w:rsidP="00DB3268">
      <w:pPr>
        <w:pStyle w:val="ListBullet"/>
      </w:pPr>
      <w:r>
        <w:t>Repeat dose</w:t>
      </w:r>
      <w:r w:rsidR="00B00804" w:rsidRPr="005B015A">
        <w:t xml:space="preserve"> toxicity studies by the intravenous and subcutaneous routes were conducted in cynomolgus monkeys (up to 9 months</w:t>
      </w:r>
      <w:r w:rsidR="00B00804">
        <w:t xml:space="preserve"> duration</w:t>
      </w:r>
      <w:r w:rsidR="00B00804" w:rsidRPr="005B015A">
        <w:t xml:space="preserve">). </w:t>
      </w:r>
      <w:r w:rsidR="00B00804">
        <w:t xml:space="preserve">Benralizumab was well </w:t>
      </w:r>
      <w:r w:rsidR="00B00804">
        <w:lastRenderedPageBreak/>
        <w:t>tolerated at doses yielding very high multiples of the clinical AUC, with decreased eosinophils in blood and bone marrow (resulting from primary pharmacology) the sole major finding.</w:t>
      </w:r>
    </w:p>
    <w:p w14:paraId="5C7206E7" w14:textId="0DF4177E" w:rsidR="00B00804" w:rsidRPr="001E7890" w:rsidRDefault="00B00804" w:rsidP="00DB3268">
      <w:pPr>
        <w:pStyle w:val="ListBullet"/>
      </w:pPr>
      <w:r w:rsidRPr="001E7890">
        <w:t xml:space="preserve">No genotoxicity or carcinogenicity studies were conducted, in line with </w:t>
      </w:r>
      <w:r w:rsidR="007504A5">
        <w:t>the guideline.</w:t>
      </w:r>
      <w:r w:rsidR="007504A5" w:rsidRPr="007504A5">
        <w:rPr>
          <w:vertAlign w:val="superscript"/>
        </w:rPr>
        <w:fldChar w:fldCharType="begin"/>
      </w:r>
      <w:r w:rsidR="007504A5" w:rsidRPr="007504A5">
        <w:rPr>
          <w:vertAlign w:val="superscript"/>
        </w:rPr>
        <w:instrText xml:space="preserve"> NOTEREF _Ref530134239 \h </w:instrText>
      </w:r>
      <w:r w:rsidR="007504A5">
        <w:rPr>
          <w:vertAlign w:val="superscript"/>
        </w:rPr>
        <w:instrText xml:space="preserve"> \* MERGEFORMAT </w:instrText>
      </w:r>
      <w:r w:rsidR="007504A5" w:rsidRPr="007504A5">
        <w:rPr>
          <w:vertAlign w:val="superscript"/>
        </w:rPr>
      </w:r>
      <w:r w:rsidR="007504A5" w:rsidRPr="007504A5">
        <w:rPr>
          <w:vertAlign w:val="superscript"/>
        </w:rPr>
        <w:fldChar w:fldCharType="separate"/>
      </w:r>
      <w:r w:rsidR="00E02FD3">
        <w:rPr>
          <w:vertAlign w:val="superscript"/>
        </w:rPr>
        <w:t>3</w:t>
      </w:r>
      <w:r w:rsidR="007504A5" w:rsidRPr="007504A5">
        <w:rPr>
          <w:vertAlign w:val="superscript"/>
        </w:rPr>
        <w:fldChar w:fldCharType="end"/>
      </w:r>
    </w:p>
    <w:p w14:paraId="1D7FA2B0" w14:textId="77777777" w:rsidR="00B00804" w:rsidRPr="001E7890" w:rsidRDefault="00B00804" w:rsidP="00DB3268">
      <w:pPr>
        <w:pStyle w:val="ListBullet"/>
      </w:pPr>
      <w:r w:rsidRPr="001E7890">
        <w:t>Examination of surrogate endpoints in monkeys indicated no impairment of fertility.</w:t>
      </w:r>
    </w:p>
    <w:p w14:paraId="4490FA73" w14:textId="77777777" w:rsidR="00B00804" w:rsidRPr="001E7890" w:rsidRDefault="00B00804" w:rsidP="00DB3268">
      <w:pPr>
        <w:pStyle w:val="ListBullet"/>
      </w:pPr>
      <w:r w:rsidRPr="001E7890">
        <w:t xml:space="preserve">While benralizumab did not adversely affect </w:t>
      </w:r>
      <w:r w:rsidR="007504A5">
        <w:rPr>
          <w:szCs w:val="18"/>
        </w:rPr>
        <w:t>pre</w:t>
      </w:r>
      <w:r w:rsidRPr="001E7890">
        <w:rPr>
          <w:szCs w:val="18"/>
        </w:rPr>
        <w:t xml:space="preserve"> or postnatal survival, growth or development in monkeys, maternal treatment did</w:t>
      </w:r>
      <w:r w:rsidR="007504A5">
        <w:rPr>
          <w:szCs w:val="18"/>
        </w:rPr>
        <w:t xml:space="preserve"> result in significant and long </w:t>
      </w:r>
      <w:r w:rsidRPr="001E7890">
        <w:rPr>
          <w:szCs w:val="18"/>
        </w:rPr>
        <w:t>lasting eosinophil depletion in the offspring, consistent with extensive placental transfer of the antibody in the later stages of pregnancy. Pregnancy Category B1, as proposed by the sponsor, is considered to be acceptable.</w:t>
      </w:r>
    </w:p>
    <w:p w14:paraId="08E4F6AE" w14:textId="77777777" w:rsidR="007504A5" w:rsidRDefault="00B00804" w:rsidP="00DB3268">
      <w:pPr>
        <w:pStyle w:val="ListBullet"/>
      </w:pPr>
      <w:r w:rsidRPr="00B00804">
        <w:t>There are no nonclinical objections to the registration of Fase</w:t>
      </w:r>
      <w:r w:rsidR="005028A8">
        <w:t>nra for the proposed indication.</w:t>
      </w:r>
    </w:p>
    <w:p w14:paraId="52D83013" w14:textId="77777777" w:rsidR="00B00804" w:rsidRPr="00B00804" w:rsidRDefault="007504A5" w:rsidP="007504A5">
      <w:pPr>
        <w:pStyle w:val="ListBullet"/>
        <w:numPr>
          <w:ilvl w:val="0"/>
          <w:numId w:val="0"/>
        </w:numPr>
      </w:pPr>
      <w:r>
        <w:t>The nonclinical evaluator also made recommendations for changes to the PI but these are beyond the scope of the AusPAR</w:t>
      </w:r>
      <w:r w:rsidR="00B00804" w:rsidRPr="00B00804">
        <w:t>.</w:t>
      </w:r>
    </w:p>
    <w:p w14:paraId="4AB931F4" w14:textId="77777777" w:rsidR="008E7846" w:rsidRPr="00254787" w:rsidRDefault="008E7846" w:rsidP="00B00804">
      <w:pPr>
        <w:pStyle w:val="Heading2"/>
      </w:pPr>
      <w:bookmarkStart w:id="70" w:name="_Toc1653587"/>
      <w:r>
        <w:t xml:space="preserve">V. </w:t>
      </w:r>
      <w:r w:rsidRPr="00254787">
        <w:t>Clinical</w:t>
      </w:r>
      <w:bookmarkEnd w:id="65"/>
      <w:r>
        <w:t xml:space="preserve"> </w:t>
      </w:r>
      <w:r w:rsidR="003A7F6C">
        <w:t>f</w:t>
      </w:r>
      <w:r>
        <w:t>indings</w:t>
      </w:r>
      <w:bookmarkEnd w:id="66"/>
      <w:bookmarkEnd w:id="67"/>
      <w:bookmarkEnd w:id="70"/>
    </w:p>
    <w:p w14:paraId="3DBE2A71" w14:textId="77777777" w:rsidR="00C80137" w:rsidRDefault="00C80137" w:rsidP="00D425BB">
      <w:bookmarkStart w:id="71" w:name="_Toc196046463"/>
      <w:r>
        <w:t xml:space="preserve">A summary of the </w:t>
      </w:r>
      <w:r w:rsidRPr="00FD70B8">
        <w:t>clinical findings is presented in this section.</w:t>
      </w:r>
    </w:p>
    <w:p w14:paraId="436F11DC" w14:textId="77777777" w:rsidR="008E7846" w:rsidRDefault="008E7846" w:rsidP="008E7846">
      <w:pPr>
        <w:pStyle w:val="Heading3"/>
      </w:pPr>
      <w:bookmarkStart w:id="72" w:name="_Toc247691517"/>
      <w:bookmarkStart w:id="73" w:name="_Toc314842501"/>
      <w:bookmarkStart w:id="74" w:name="_Toc1653588"/>
      <w:r w:rsidRPr="00254787">
        <w:t>Introduction</w:t>
      </w:r>
      <w:bookmarkEnd w:id="71"/>
      <w:bookmarkEnd w:id="72"/>
      <w:bookmarkEnd w:id="73"/>
      <w:bookmarkEnd w:id="74"/>
    </w:p>
    <w:p w14:paraId="170CF27A" w14:textId="77777777" w:rsidR="00AC6F77" w:rsidRDefault="00AC6F77" w:rsidP="00605AD4">
      <w:pPr>
        <w:pStyle w:val="Heading4"/>
      </w:pPr>
      <w:bookmarkStart w:id="75" w:name="_Toc196046464"/>
      <w:bookmarkStart w:id="76" w:name="_Toc247691518"/>
      <w:bookmarkStart w:id="77" w:name="_Toc314842502"/>
      <w:r>
        <w:t>Background</w:t>
      </w:r>
    </w:p>
    <w:p w14:paraId="66BEE5B8" w14:textId="77777777" w:rsidR="00AC6F77" w:rsidRDefault="00AC6F77" w:rsidP="00AC6F77">
      <w:pPr>
        <w:pStyle w:val="Heading5"/>
      </w:pPr>
      <w:bookmarkStart w:id="78" w:name="_Toc488077829"/>
      <w:r w:rsidRPr="00E709B3">
        <w:t>Information on the condition being treated</w:t>
      </w:r>
      <w:bookmarkEnd w:id="78"/>
    </w:p>
    <w:p w14:paraId="447FB4E9" w14:textId="77777777" w:rsidR="00AC6F77" w:rsidRPr="00AC6F77" w:rsidRDefault="00AC6F77" w:rsidP="00AC6F77">
      <w:r w:rsidRPr="00AC6F77">
        <w:t>Asthma is a chronic inflammatory condition of the airways, associated with episodes of wheezing breathlessness and chest tightness</w:t>
      </w:r>
      <w:r w:rsidR="00F33FCE">
        <w:t>.</w:t>
      </w:r>
      <w:bookmarkStart w:id="79" w:name="_Ref530063220"/>
      <w:r w:rsidR="00F33FCE">
        <w:rPr>
          <w:rStyle w:val="FootnoteReference"/>
        </w:rPr>
        <w:footnoteReference w:id="11"/>
      </w:r>
      <w:bookmarkEnd w:id="79"/>
      <w:r w:rsidR="00F971ED">
        <w:t xml:space="preserve"> </w:t>
      </w:r>
      <w:r w:rsidRPr="00AC6F77">
        <w:t>The clinical presentation is due to widespread narrowing of the airways.</w:t>
      </w:r>
      <w:r w:rsidR="00F971ED">
        <w:t xml:space="preserve"> </w:t>
      </w:r>
      <w:r w:rsidRPr="00AC6F77">
        <w:t>The prevalence of asthma in Australia is 9.8%, which translates to 2 million people.</w:t>
      </w:r>
      <w:r w:rsidR="00F971ED">
        <w:t xml:space="preserve"> </w:t>
      </w:r>
      <w:r w:rsidRPr="00AC6F77">
        <w:t>Poorly controlled asthma decreases quality of life and can result in hospital admission.</w:t>
      </w:r>
      <w:r w:rsidR="00F971ED">
        <w:t xml:space="preserve"> </w:t>
      </w:r>
      <w:r w:rsidRPr="00AC6F77">
        <w:t>There were 36,703 separations of people admitted to hospital with a princi</w:t>
      </w:r>
      <w:r w:rsidR="007504A5">
        <w:t>pal diagnosis of asthma in 2008 to 20</w:t>
      </w:r>
      <w:r w:rsidRPr="00AC6F77">
        <w:t>09 in Australia, which was 0.45% of all hospital separations during that period.</w:t>
      </w:r>
      <w:r w:rsidR="00F971ED">
        <w:t xml:space="preserve"> </w:t>
      </w:r>
      <w:r w:rsidRPr="00AC6F77">
        <w:t>In 2009, there were 411 deaths attributed to asthma as the underlying cause in Australia.</w:t>
      </w:r>
      <w:r w:rsidR="00F971ED">
        <w:t xml:space="preserve"> </w:t>
      </w:r>
      <w:r w:rsidRPr="00AC6F77">
        <w:t>This represented a mortality rate of 1.60 per 100,000 people and 0.29% of all deaths in Australia that year.</w:t>
      </w:r>
    </w:p>
    <w:p w14:paraId="724C2C27" w14:textId="6835F830" w:rsidR="00AC6F77" w:rsidRPr="00AC6F77" w:rsidRDefault="00AC6F77" w:rsidP="00AC6F77">
      <w:r w:rsidRPr="00AC6F77">
        <w:t>Asthma has been classified according to severity, and more recently in terms of ‘phenotypic’ groups, that is, groups of patients who share common clinical, pathological or physiological features</w:t>
      </w:r>
      <w:r w:rsidR="007504A5">
        <w:t>.</w:t>
      </w:r>
      <w:r w:rsidR="007504A5" w:rsidRPr="007504A5">
        <w:rPr>
          <w:vertAlign w:val="superscript"/>
        </w:rPr>
        <w:fldChar w:fldCharType="begin"/>
      </w:r>
      <w:r w:rsidR="007504A5" w:rsidRPr="007504A5">
        <w:rPr>
          <w:vertAlign w:val="superscript"/>
        </w:rPr>
        <w:instrText xml:space="preserve"> NOTEREF _Ref530063220 \h </w:instrText>
      </w:r>
      <w:r w:rsidR="007504A5">
        <w:rPr>
          <w:vertAlign w:val="superscript"/>
        </w:rPr>
        <w:instrText xml:space="preserve"> \* MERGEFORMAT </w:instrText>
      </w:r>
      <w:r w:rsidR="007504A5" w:rsidRPr="007504A5">
        <w:rPr>
          <w:vertAlign w:val="superscript"/>
        </w:rPr>
      </w:r>
      <w:r w:rsidR="007504A5" w:rsidRPr="007504A5">
        <w:rPr>
          <w:vertAlign w:val="superscript"/>
        </w:rPr>
        <w:fldChar w:fldCharType="separate"/>
      </w:r>
      <w:r w:rsidR="00E02FD3">
        <w:rPr>
          <w:vertAlign w:val="superscript"/>
        </w:rPr>
        <w:t>11</w:t>
      </w:r>
      <w:r w:rsidR="007504A5" w:rsidRPr="007504A5">
        <w:rPr>
          <w:vertAlign w:val="superscript"/>
        </w:rPr>
        <w:fldChar w:fldCharType="end"/>
      </w:r>
      <w:r w:rsidRPr="00AC6F77">
        <w:t xml:space="preserve"> The ultimate aim of identifying such groups is to improve prevention and disease management strategies by allowing more appropriate targeting of interventions.</w:t>
      </w:r>
      <w:r w:rsidR="00F971ED">
        <w:t xml:space="preserve"> </w:t>
      </w:r>
      <w:r w:rsidRPr="00AC6F77">
        <w:t xml:space="preserve">In hospitalised patients with asthma, 43% had </w:t>
      </w:r>
      <w:r w:rsidR="005028A8">
        <w:t xml:space="preserve">&gt; </w:t>
      </w:r>
      <w:r w:rsidRPr="00AC6F77">
        <w:t>3% eosinophils in their sputum and these patients had a more severe presentation</w:t>
      </w:r>
      <w:r w:rsidR="00F33FCE">
        <w:t>.</w:t>
      </w:r>
      <w:bookmarkStart w:id="81" w:name="_Ref530137737"/>
      <w:r w:rsidR="00F33FCE">
        <w:rPr>
          <w:rStyle w:val="FootnoteReference"/>
        </w:rPr>
        <w:footnoteReference w:id="12"/>
      </w:r>
      <w:bookmarkEnd w:id="81"/>
      <w:r w:rsidR="00F971ED">
        <w:t xml:space="preserve"> </w:t>
      </w:r>
      <w:r w:rsidRPr="00AC6F77">
        <w:t>The community prevalence of eosinophilic phenotype asthma in Australia is unknown, but in other populations ranges from 36% to 67% of corticosteroid naïve subjects and 17% to 39% of patients treated with inhaled corticosteroids</w:t>
      </w:r>
      <w:r w:rsidR="00F33FCE">
        <w:t>.</w:t>
      </w:r>
      <w:bookmarkStart w:id="83" w:name="_Ref530063293"/>
      <w:r w:rsidR="00F33FCE">
        <w:rPr>
          <w:rStyle w:val="FootnoteReference"/>
        </w:rPr>
        <w:footnoteReference w:id="13"/>
      </w:r>
      <w:bookmarkEnd w:id="83"/>
    </w:p>
    <w:p w14:paraId="6F46C861" w14:textId="797F4B36" w:rsidR="00AC6F77" w:rsidRPr="00AC6F77" w:rsidRDefault="00AC6F77" w:rsidP="00AC6F77">
      <w:r w:rsidRPr="00AC6F77">
        <w:lastRenderedPageBreak/>
        <w:t xml:space="preserve">Eosinophilic asthma is a </w:t>
      </w:r>
      <w:r w:rsidR="005028A8">
        <w:t>biomarker based</w:t>
      </w:r>
      <w:r w:rsidRPr="00AC6F77">
        <w:t xml:space="preserve"> phenotype.</w:t>
      </w:r>
      <w:r w:rsidR="00F971ED">
        <w:t xml:space="preserve"> </w:t>
      </w:r>
      <w:r w:rsidRPr="00AC6F77">
        <w:t xml:space="preserve">The term </w:t>
      </w:r>
      <w:r w:rsidR="005236C7">
        <w:t>‘</w:t>
      </w:r>
      <w:r w:rsidRPr="00AC6F77">
        <w:t>eosinophilic asthma</w:t>
      </w:r>
      <w:r w:rsidR="005236C7">
        <w:t>’</w:t>
      </w:r>
      <w:r w:rsidRPr="00AC6F77">
        <w:t xml:space="preserve"> refers to asthma with elevated eosinophils in bronchial biopsy specimens, induced sputum, or peripheral blood, with or without concomitant therapy with inhaled corticosteroids</w:t>
      </w:r>
      <w:r w:rsidR="005028A8">
        <w:t xml:space="preserve"> (ICS)</w:t>
      </w:r>
      <w:r w:rsidR="00F33FCE">
        <w:t>.</w:t>
      </w:r>
      <w:r w:rsidR="007504A5" w:rsidRPr="007504A5">
        <w:rPr>
          <w:vertAlign w:val="superscript"/>
        </w:rPr>
        <w:fldChar w:fldCharType="begin"/>
      </w:r>
      <w:r w:rsidR="007504A5" w:rsidRPr="007504A5">
        <w:rPr>
          <w:vertAlign w:val="superscript"/>
        </w:rPr>
        <w:instrText xml:space="preserve"> NOTEREF _Ref530063293 \h  \* MERGEFORMAT </w:instrText>
      </w:r>
      <w:r w:rsidR="007504A5" w:rsidRPr="007504A5">
        <w:rPr>
          <w:vertAlign w:val="superscript"/>
        </w:rPr>
      </w:r>
      <w:r w:rsidR="007504A5" w:rsidRPr="007504A5">
        <w:rPr>
          <w:vertAlign w:val="superscript"/>
        </w:rPr>
        <w:fldChar w:fldCharType="separate"/>
      </w:r>
      <w:r w:rsidR="00E02FD3">
        <w:rPr>
          <w:vertAlign w:val="superscript"/>
        </w:rPr>
        <w:t>13</w:t>
      </w:r>
      <w:r w:rsidR="007504A5" w:rsidRPr="007504A5">
        <w:rPr>
          <w:vertAlign w:val="superscript"/>
        </w:rPr>
        <w:fldChar w:fldCharType="end"/>
      </w:r>
      <w:r w:rsidR="00F33FCE">
        <w:t xml:space="preserve"> </w:t>
      </w:r>
      <w:r w:rsidRPr="00AC6F77">
        <w:t xml:space="preserve">In subjects who were corticosteroid naive, eosinophilic asthma is defined as the presence of </w:t>
      </w:r>
      <w:r w:rsidR="007504A5">
        <w:t xml:space="preserve">≥ </w:t>
      </w:r>
      <w:r w:rsidRPr="00AC6F77">
        <w:t xml:space="preserve">2% eosinophils of the total white blood cell count in induced sputum, whereas, with subjects on </w:t>
      </w:r>
      <w:r w:rsidR="00596091">
        <w:t>high dose</w:t>
      </w:r>
      <w:r w:rsidRPr="00AC6F77">
        <w:t xml:space="preserve"> inhaled corticosteroid treatment, thresholds from 2% to 4% are used to identify this phenotype.</w:t>
      </w:r>
    </w:p>
    <w:p w14:paraId="098226F4" w14:textId="77777777" w:rsidR="00AC6F77" w:rsidRDefault="00AC6F77" w:rsidP="00AC6F77">
      <w:pPr>
        <w:pStyle w:val="Heading5"/>
      </w:pPr>
      <w:bookmarkStart w:id="85" w:name="_Toc488077830"/>
      <w:r>
        <w:t>Current treatment options</w:t>
      </w:r>
      <w:bookmarkEnd w:id="85"/>
    </w:p>
    <w:p w14:paraId="611D1FE7" w14:textId="77777777" w:rsidR="00AC6F77" w:rsidRPr="00AC6F77" w:rsidRDefault="00AC6F77" w:rsidP="00AC6F77">
      <w:r w:rsidRPr="00AC6F77">
        <w:t>Management of asthma involves assessing control of symptoms, identifying other clinically relevant issues (such as smoking, environmental factors, exercise and allergic triggers), adjusting pharmacological treatment and completing an asthma action plan.</w:t>
      </w:r>
      <w:r w:rsidR="00F971ED">
        <w:t xml:space="preserve"> </w:t>
      </w:r>
      <w:r w:rsidRPr="00AC6F77">
        <w:t>The pharmacologic treatments are:</w:t>
      </w:r>
    </w:p>
    <w:p w14:paraId="355DC2C6" w14:textId="23754789" w:rsidR="00E14798" w:rsidRDefault="00AC6F77" w:rsidP="00AC6F77">
      <w:pPr>
        <w:pStyle w:val="ListBullet"/>
      </w:pPr>
      <w:r w:rsidRPr="00AC6F77">
        <w:t>Bronchodilators: these include short acting beta</w:t>
      </w:r>
      <w:r w:rsidR="00EC07DA">
        <w:t xml:space="preserve"> </w:t>
      </w:r>
      <w:r w:rsidRPr="00AC6F77">
        <w:t>2</w:t>
      </w:r>
      <w:r w:rsidR="00EC07DA">
        <w:t xml:space="preserve"> (β</w:t>
      </w:r>
      <w:r w:rsidR="00EC07DA" w:rsidRPr="005E3545">
        <w:rPr>
          <w:vertAlign w:val="subscript"/>
        </w:rPr>
        <w:t>2</w:t>
      </w:r>
      <w:r w:rsidR="00EC07DA">
        <w:t xml:space="preserve">) </w:t>
      </w:r>
      <w:r w:rsidRPr="00AC6F77">
        <w:t xml:space="preserve">agonists (SABA), long acting </w:t>
      </w:r>
      <w:r w:rsidR="005E3545">
        <w:t>β</w:t>
      </w:r>
      <w:r w:rsidRPr="005E3545">
        <w:rPr>
          <w:vertAlign w:val="subscript"/>
        </w:rPr>
        <w:t>2</w:t>
      </w:r>
      <w:r w:rsidRPr="00AC6F77">
        <w:t xml:space="preserve"> agonists (LABA) and </w:t>
      </w:r>
      <w:proofErr w:type="spellStart"/>
      <w:r w:rsidRPr="00AC6F77">
        <w:t>antimuscarinic</w:t>
      </w:r>
      <w:proofErr w:type="spellEnd"/>
      <w:r w:rsidRPr="00AC6F77">
        <w:t xml:space="preserve"> bronchodilators and </w:t>
      </w:r>
      <w:proofErr w:type="spellStart"/>
      <w:r w:rsidRPr="00AC6F77">
        <w:t>theophyllines</w:t>
      </w:r>
      <w:proofErr w:type="spellEnd"/>
      <w:r w:rsidR="00E14798">
        <w:t>.</w:t>
      </w:r>
    </w:p>
    <w:p w14:paraId="6906084F" w14:textId="77777777" w:rsidR="00AC6F77" w:rsidRPr="00AC6F77" w:rsidRDefault="00AC6F77" w:rsidP="00AC6F77">
      <w:pPr>
        <w:pStyle w:val="ListBullet"/>
      </w:pPr>
      <w:r w:rsidRPr="00AC6F77">
        <w:t>Inhaled corticosteroids: fluticasone, beclomethasone, budesonide</w:t>
      </w:r>
      <w:r w:rsidR="005028A8">
        <w:t>.</w:t>
      </w:r>
    </w:p>
    <w:p w14:paraId="2779AB7F" w14:textId="77777777" w:rsidR="00AC6F77" w:rsidRPr="00AC6F77" w:rsidRDefault="00AC6F77" w:rsidP="00AC6F77">
      <w:pPr>
        <w:pStyle w:val="ListBullet"/>
      </w:pPr>
      <w:r w:rsidRPr="00AC6F77">
        <w:t xml:space="preserve">Leukotriene receptor antagonists: </w:t>
      </w:r>
      <w:proofErr w:type="spellStart"/>
      <w:r w:rsidRPr="00AC6F77">
        <w:t>montelukast</w:t>
      </w:r>
      <w:proofErr w:type="spellEnd"/>
      <w:r w:rsidR="005028A8">
        <w:t>.</w:t>
      </w:r>
    </w:p>
    <w:p w14:paraId="01B4F717" w14:textId="77777777" w:rsidR="00AC6F77" w:rsidRPr="00AC6F77" w:rsidRDefault="00AC6F77" w:rsidP="00AC6F77">
      <w:pPr>
        <w:pStyle w:val="ListBullet"/>
      </w:pPr>
      <w:proofErr w:type="spellStart"/>
      <w:r w:rsidRPr="00AC6F77">
        <w:t>Phosphoesterase</w:t>
      </w:r>
      <w:proofErr w:type="spellEnd"/>
      <w:r w:rsidRPr="00AC6F77">
        <w:t xml:space="preserve"> type-4 inhibitors: </w:t>
      </w:r>
      <w:proofErr w:type="spellStart"/>
      <w:r w:rsidRPr="00AC6F77">
        <w:t>roflumilast</w:t>
      </w:r>
      <w:proofErr w:type="spellEnd"/>
      <w:r w:rsidR="005028A8">
        <w:t>.</w:t>
      </w:r>
    </w:p>
    <w:p w14:paraId="1677D991" w14:textId="77777777" w:rsidR="00AC6F77" w:rsidRPr="00AC6F77" w:rsidRDefault="00AC6F77" w:rsidP="00AC6F77">
      <w:pPr>
        <w:pStyle w:val="ListBullet"/>
      </w:pPr>
      <w:proofErr w:type="spellStart"/>
      <w:r w:rsidRPr="00AC6F77">
        <w:t>Chromoglycate</w:t>
      </w:r>
      <w:proofErr w:type="spellEnd"/>
      <w:r w:rsidR="005028A8">
        <w:t>.</w:t>
      </w:r>
    </w:p>
    <w:p w14:paraId="0EE2499A" w14:textId="77777777" w:rsidR="00AC6F77" w:rsidRPr="00AC6F77" w:rsidRDefault="005028A8" w:rsidP="00AC6F77">
      <w:pPr>
        <w:pStyle w:val="ListBullet"/>
      </w:pPr>
      <w:r>
        <w:t xml:space="preserve">Omalizumab (a recombinant DNA </w:t>
      </w:r>
      <w:r w:rsidR="00AC6F77" w:rsidRPr="00AC6F77">
        <w:t>derived humanised monoclonal antibody that selectively b</w:t>
      </w:r>
      <w:r w:rsidR="007504A5">
        <w:t>inds to human immunoglobulin E (IgE)</w:t>
      </w:r>
      <w:r w:rsidR="00AC6F77" w:rsidRPr="00AC6F77">
        <w:t>)</w:t>
      </w:r>
      <w:r>
        <w:t>.</w:t>
      </w:r>
    </w:p>
    <w:p w14:paraId="1A2E4CB9" w14:textId="77777777" w:rsidR="00AC6F77" w:rsidRPr="00AC6F77" w:rsidRDefault="00AC6F77" w:rsidP="00AC6F77">
      <w:pPr>
        <w:pStyle w:val="ListBullet"/>
      </w:pPr>
      <w:r w:rsidRPr="00AC6F77">
        <w:t>Oral corticosteroids: in patients with severe asthma unresponsive to other treatments</w:t>
      </w:r>
      <w:r w:rsidR="005028A8">
        <w:t>.</w:t>
      </w:r>
    </w:p>
    <w:p w14:paraId="7D421C63" w14:textId="77777777" w:rsidR="00AC6F77" w:rsidRPr="00AC6F77" w:rsidRDefault="00AC6F77" w:rsidP="00AC6F77">
      <w:r w:rsidRPr="00AC6F77">
        <w:t>Treatments currently available specifically for eosinophilic asthma are:</w:t>
      </w:r>
    </w:p>
    <w:p w14:paraId="6C47F13B" w14:textId="77777777" w:rsidR="00AC6F77" w:rsidRPr="00AC6F77" w:rsidRDefault="007504A5" w:rsidP="00AC6F77">
      <w:pPr>
        <w:pStyle w:val="ListBullet"/>
      </w:pPr>
      <w:r>
        <w:t xml:space="preserve">Anti-interleukin </w:t>
      </w:r>
      <w:r w:rsidR="00AC6F77" w:rsidRPr="00AC6F77">
        <w:t>5 treatments:</w:t>
      </w:r>
    </w:p>
    <w:p w14:paraId="1EFE5A99" w14:textId="2868868E" w:rsidR="00AC6F77" w:rsidRPr="00AC6F77" w:rsidRDefault="00AC6F77" w:rsidP="00AC6F77">
      <w:pPr>
        <w:pStyle w:val="ListBullet2"/>
      </w:pPr>
      <w:r w:rsidRPr="00AC6F77">
        <w:t xml:space="preserve">Reslizumab: </w:t>
      </w:r>
      <w:r w:rsidR="00EC07DA" w:rsidRPr="00AC6F77">
        <w:t>humani</w:t>
      </w:r>
      <w:r w:rsidR="00EC07DA">
        <w:t>s</w:t>
      </w:r>
      <w:r w:rsidR="00EC07DA" w:rsidRPr="00AC6F77">
        <w:t xml:space="preserve">ed </w:t>
      </w:r>
      <w:r w:rsidRPr="00AC6F77">
        <w:t>monoclon</w:t>
      </w:r>
      <w:r w:rsidR="007504A5">
        <w:t xml:space="preserve">al antibody against </w:t>
      </w:r>
      <w:r w:rsidR="005028A8">
        <w:t>IL-5</w:t>
      </w:r>
      <w:r w:rsidRPr="00AC6F77">
        <w:t xml:space="preserve"> (approved in the US for eosinophilic asthma, but not approved for this indication in Australia</w:t>
      </w:r>
      <w:r w:rsidR="00EC07DA">
        <w:t>.</w:t>
      </w:r>
      <w:r w:rsidR="007F2111">
        <w:rPr>
          <w:rStyle w:val="FootnoteReference"/>
        </w:rPr>
        <w:footnoteReference w:id="14"/>
      </w:r>
    </w:p>
    <w:p w14:paraId="1EE6644B" w14:textId="4CFEAE3B" w:rsidR="00AC6F77" w:rsidRPr="00AC6F77" w:rsidRDefault="00AC6F77" w:rsidP="00AC6F77">
      <w:pPr>
        <w:pStyle w:val="ListBullet2"/>
      </w:pPr>
      <w:r w:rsidRPr="00AC6F77">
        <w:t xml:space="preserve">Mepolizumab: </w:t>
      </w:r>
      <w:r w:rsidR="00AD6903" w:rsidRPr="00AC6F77">
        <w:t>humani</w:t>
      </w:r>
      <w:r w:rsidR="00AD6903">
        <w:t>s</w:t>
      </w:r>
      <w:r w:rsidR="00AD6903" w:rsidRPr="00AC6F77">
        <w:t xml:space="preserve">ed </w:t>
      </w:r>
      <w:r w:rsidRPr="00AC6F77">
        <w:t>monoclonal anti</w:t>
      </w:r>
      <w:r w:rsidR="007504A5">
        <w:t xml:space="preserve">body against </w:t>
      </w:r>
      <w:r w:rsidR="005028A8">
        <w:t>IL-</w:t>
      </w:r>
      <w:r w:rsidRPr="00AC6F77">
        <w:t>5</w:t>
      </w:r>
      <w:r w:rsidR="005028A8">
        <w:t>.</w:t>
      </w:r>
    </w:p>
    <w:p w14:paraId="07A25A61" w14:textId="77777777" w:rsidR="00AC6F77" w:rsidRPr="00AC6F77" w:rsidRDefault="00AC6F77" w:rsidP="00AC6F77">
      <w:r w:rsidRPr="00AC6F77">
        <w:t xml:space="preserve">Most patients with asthma will be well controlled with conventional treatments such as </w:t>
      </w:r>
      <w:r w:rsidR="005236C7">
        <w:t>β</w:t>
      </w:r>
      <w:r w:rsidRPr="00EC07DA">
        <w:rPr>
          <w:vertAlign w:val="subscript"/>
        </w:rPr>
        <w:t>2</w:t>
      </w:r>
      <w:r w:rsidRPr="00AC6F77">
        <w:t xml:space="preserve"> agonists and inhaled corticosteroids.</w:t>
      </w:r>
      <w:r w:rsidR="00F971ED">
        <w:t xml:space="preserve"> </w:t>
      </w:r>
      <w:r w:rsidRPr="00AC6F77">
        <w:t>Other treatments would be used in patients who do not have adequate symptom control with these treatments.</w:t>
      </w:r>
    </w:p>
    <w:p w14:paraId="7A71F980" w14:textId="77777777" w:rsidR="00605AD4" w:rsidRDefault="00605AD4" w:rsidP="00605AD4">
      <w:pPr>
        <w:pStyle w:val="Heading4"/>
      </w:pPr>
      <w:r w:rsidRPr="00605AD4">
        <w:t xml:space="preserve">Clinical </w:t>
      </w:r>
      <w:r w:rsidR="00EF59DC">
        <w:t>r</w:t>
      </w:r>
      <w:r w:rsidRPr="00605AD4">
        <w:t>ationale</w:t>
      </w:r>
    </w:p>
    <w:p w14:paraId="017DA189" w14:textId="616EF38F" w:rsidR="00AC6F77" w:rsidRPr="00AC6F77" w:rsidRDefault="00AC6F77" w:rsidP="00AC6F77">
      <w:r w:rsidRPr="00AC6F77">
        <w:t xml:space="preserve">The </w:t>
      </w:r>
      <w:r w:rsidR="007504A5" w:rsidRPr="00AC6F77">
        <w:t xml:space="preserve">clinical rationale provided </w:t>
      </w:r>
      <w:r w:rsidRPr="00AC6F77">
        <w:t xml:space="preserve">by </w:t>
      </w:r>
      <w:r w:rsidR="007504A5" w:rsidRPr="00AC6F77">
        <w:t xml:space="preserve">the sponsor </w:t>
      </w:r>
      <w:r w:rsidRPr="00AC6F77">
        <w:t xml:space="preserve">is </w:t>
      </w:r>
      <w:r w:rsidR="005236C7">
        <w:t>‘</w:t>
      </w:r>
      <w:r w:rsidR="00EC07DA">
        <w:t>p</w:t>
      </w:r>
      <w:r w:rsidR="00EC07DA" w:rsidRPr="00AC6F77">
        <w:t xml:space="preserve">atients </w:t>
      </w:r>
      <w:r w:rsidRPr="00AC6F77">
        <w:t>with severe asthma who remain uncontrolled with current standard of care treatment continue to suffer symptoms, frequent exacerbations, and compromised quality of life.</w:t>
      </w:r>
      <w:r w:rsidR="00F971ED">
        <w:t xml:space="preserve"> </w:t>
      </w:r>
      <w:r w:rsidRPr="00AC6F77">
        <w:t>Exacerbations typically require treatment with high doses of systemic corticosteroids and may also require hospitalisation.</w:t>
      </w:r>
      <w:r w:rsidR="00F971ED">
        <w:t xml:space="preserve"> </w:t>
      </w:r>
      <w:r w:rsidRPr="00AC6F77">
        <w:t>Therefore, the primary treatment goals are reduction of exacerbations, improvement of lung function, and alleviation of symptoms.</w:t>
      </w:r>
      <w:r w:rsidR="00F971ED">
        <w:t xml:space="preserve"> </w:t>
      </w:r>
      <w:r w:rsidRPr="00AC6F77">
        <w:t>There is a lack of treatment options for this patient population, so development and provision of new medications remains a significant unmet need.</w:t>
      </w:r>
      <w:r w:rsidR="005236C7">
        <w:t>’</w:t>
      </w:r>
    </w:p>
    <w:p w14:paraId="4BAAA5F6" w14:textId="77777777" w:rsidR="00500337" w:rsidRPr="00500337" w:rsidRDefault="00AC6F77" w:rsidP="00500337">
      <w:r w:rsidRPr="00AC6F77">
        <w:t xml:space="preserve">The </w:t>
      </w:r>
      <w:r w:rsidR="007504A5">
        <w:t>sponsor</w:t>
      </w:r>
      <w:r w:rsidRPr="00AC6F77">
        <w:t xml:space="preserve"> expands upon this and discusses omalizumab, mepolizumab and reslizumab.</w:t>
      </w:r>
      <w:r w:rsidR="00F971ED">
        <w:t xml:space="preserve"> </w:t>
      </w:r>
      <w:r w:rsidRPr="00AC6F77">
        <w:t xml:space="preserve">The </w:t>
      </w:r>
      <w:r w:rsidR="007504A5">
        <w:t>sponsor</w:t>
      </w:r>
      <w:r w:rsidRPr="00AC6F77">
        <w:t xml:space="preserve"> differentiates benralizumab from these medicines with the argument: </w:t>
      </w:r>
      <w:r w:rsidR="005236C7">
        <w:t>‘</w:t>
      </w:r>
      <w:r w:rsidRPr="00AC6F77">
        <w:t xml:space="preserve">The data in this dossier show that benralizumab offers </w:t>
      </w:r>
      <w:r w:rsidR="007504A5">
        <w:t>a different mechanism of action</w:t>
      </w:r>
      <w:r w:rsidRPr="00AC6F77">
        <w:t xml:space="preserve"> that delivers rapid, direct, and nearly complete eosinophil depletion, early and sustained </w:t>
      </w:r>
      <w:r w:rsidRPr="00AC6F77">
        <w:lastRenderedPageBreak/>
        <w:t>efficacy responses, and an overall favourable benefit-risk profile, thus addressing an important gap in currently available therapies for severe asthma with an eosinophilic phenotype.</w:t>
      </w:r>
      <w:r w:rsidR="005236C7">
        <w:t>’</w:t>
      </w:r>
    </w:p>
    <w:p w14:paraId="6CADBA1D" w14:textId="77777777" w:rsidR="00605AD4" w:rsidRDefault="00605AD4" w:rsidP="00605AD4">
      <w:pPr>
        <w:pStyle w:val="Heading4"/>
      </w:pPr>
      <w:r w:rsidRPr="00605AD4">
        <w:t>Guidance</w:t>
      </w:r>
    </w:p>
    <w:p w14:paraId="5FC9D77B" w14:textId="77777777" w:rsidR="00AC6F77" w:rsidRPr="00AC6F77" w:rsidRDefault="00AC6F77" w:rsidP="00AC6F77">
      <w:r w:rsidRPr="00AC6F77">
        <w:t>The following guidance applies to the present application:</w:t>
      </w:r>
    </w:p>
    <w:p w14:paraId="5D5C67B8" w14:textId="77777777" w:rsidR="00AC6F77" w:rsidRPr="00AC6F77" w:rsidRDefault="00AC6F77" w:rsidP="00AC6F77">
      <w:pPr>
        <w:pStyle w:val="ListBullet"/>
      </w:pPr>
      <w:r w:rsidRPr="00AC6F77">
        <w:t>CHMP/EWP/2922/01 Rev.1 Committee for Medicinal Products for Human Use (CHMP) Guideline on the clinical investigation of medicinal products for the treatment of asthma</w:t>
      </w:r>
      <w:r w:rsidR="005028A8">
        <w:t>.</w:t>
      </w:r>
    </w:p>
    <w:p w14:paraId="3D03D61C" w14:textId="77777777" w:rsidR="00AC6F77" w:rsidRPr="00AC6F77" w:rsidRDefault="00AC6F77" w:rsidP="00AC6F77">
      <w:pPr>
        <w:pStyle w:val="ListBullet"/>
      </w:pPr>
      <w:r w:rsidRPr="00AC6F77">
        <w:t>CHMP/EWP/185990/06.</w:t>
      </w:r>
      <w:r w:rsidR="00F971ED">
        <w:t xml:space="preserve"> </w:t>
      </w:r>
      <w:r w:rsidRPr="00AC6F77">
        <w:t xml:space="preserve">Guideline on </w:t>
      </w:r>
      <w:r w:rsidR="00816DE9" w:rsidRPr="00AC6F77">
        <w:t>reporting</w:t>
      </w:r>
      <w:r w:rsidRPr="00AC6F77">
        <w:t xml:space="preserve"> the results of Population Pharmacokinetic Analysis</w:t>
      </w:r>
      <w:r w:rsidR="005028A8">
        <w:t>.</w:t>
      </w:r>
    </w:p>
    <w:p w14:paraId="5739C8F6" w14:textId="77777777" w:rsidR="00AC6F77" w:rsidRPr="00AC6F77" w:rsidRDefault="00AC6F77" w:rsidP="00AC6F77">
      <w:pPr>
        <w:pStyle w:val="ListBullet"/>
      </w:pPr>
      <w:r w:rsidRPr="00AC6F77">
        <w:t>CPMP/ICH/375/95.</w:t>
      </w:r>
      <w:r w:rsidR="00F971ED">
        <w:t xml:space="preserve"> </w:t>
      </w:r>
      <w:r w:rsidRPr="00AC6F77">
        <w:t>Note For Guidance On Population Exposure: The Extent Of Population Exposure To Assess Clinical Safety</w:t>
      </w:r>
      <w:r w:rsidR="005028A8">
        <w:t>.</w:t>
      </w:r>
    </w:p>
    <w:p w14:paraId="5EDF6892" w14:textId="77777777" w:rsidR="00AC6F77" w:rsidRPr="00AC6F77" w:rsidRDefault="00AC6F77" w:rsidP="00AC6F77">
      <w:pPr>
        <w:pStyle w:val="Heading4"/>
      </w:pPr>
      <w:bookmarkStart w:id="86" w:name="_Toc488077835"/>
      <w:r w:rsidRPr="00AC6F77">
        <w:t>Evaluator’s commentary on the background information</w:t>
      </w:r>
      <w:bookmarkEnd w:id="86"/>
    </w:p>
    <w:p w14:paraId="3BBB95C3" w14:textId="77777777" w:rsidR="00500337" w:rsidRPr="00500337" w:rsidRDefault="00AC6F77" w:rsidP="00500337">
      <w:r w:rsidRPr="00AC6F77">
        <w:t>The present application for benralizumab represents a new drug application for a novel class of drugs.</w:t>
      </w:r>
      <w:r w:rsidR="00F971ED">
        <w:t xml:space="preserve"> </w:t>
      </w:r>
      <w:r w:rsidRPr="00AC6F77">
        <w:t>Experience of drugs with the same mode of action is limited.</w:t>
      </w:r>
      <w:r w:rsidR="00F971ED">
        <w:t xml:space="preserve"> </w:t>
      </w:r>
      <w:r w:rsidRPr="00AC6F77">
        <w:t>Hence the prediction of term safety is not possible from currently approved, similar medicines.</w:t>
      </w:r>
      <w:r w:rsidR="00F971ED">
        <w:t xml:space="preserve"> </w:t>
      </w:r>
      <w:r w:rsidRPr="00AC6F77">
        <w:t xml:space="preserve">It will be important for the </w:t>
      </w:r>
      <w:r w:rsidR="007504A5">
        <w:t>sponsor</w:t>
      </w:r>
      <w:r w:rsidRPr="00AC6F77">
        <w:t xml:space="preserve"> to provide long</w:t>
      </w:r>
      <w:r w:rsidR="00F971ED">
        <w:t xml:space="preserve"> t</w:t>
      </w:r>
      <w:r w:rsidRPr="00AC6F77">
        <w:t>erm safety data.</w:t>
      </w:r>
    </w:p>
    <w:p w14:paraId="266D22D2" w14:textId="77777777" w:rsidR="00605AD4" w:rsidRDefault="00605AD4" w:rsidP="00605AD4">
      <w:pPr>
        <w:pStyle w:val="Heading4"/>
      </w:pPr>
      <w:r w:rsidRPr="00605AD4">
        <w:t>Contents of the clinical dossier</w:t>
      </w:r>
    </w:p>
    <w:p w14:paraId="43DDA8FB" w14:textId="77777777" w:rsidR="00126F8E" w:rsidRPr="00126F8E" w:rsidRDefault="00126F8E" w:rsidP="00126F8E">
      <w:r w:rsidRPr="00126F8E">
        <w:t>The clinical dossier included:</w:t>
      </w:r>
    </w:p>
    <w:p w14:paraId="29A88518" w14:textId="7882A4E4" w:rsidR="00126F8E" w:rsidRPr="00126F8E" w:rsidRDefault="00126F8E" w:rsidP="00126F8E">
      <w:pPr>
        <w:pStyle w:val="ListBullet"/>
      </w:pPr>
      <w:r w:rsidRPr="00126F8E">
        <w:t xml:space="preserve">One </w:t>
      </w:r>
      <w:r w:rsidR="007504A5">
        <w:t>Phase I</w:t>
      </w:r>
      <w:r w:rsidRPr="00126F8E">
        <w:t xml:space="preserve"> pharmacokinetic</w:t>
      </w:r>
      <w:r w:rsidR="00EC07DA">
        <w:t xml:space="preserve"> (PK) </w:t>
      </w:r>
      <w:r w:rsidRPr="00126F8E">
        <w:t>study</w:t>
      </w:r>
    </w:p>
    <w:p w14:paraId="4106B060" w14:textId="7E48B606" w:rsidR="00126F8E" w:rsidRPr="00126F8E" w:rsidRDefault="00126F8E" w:rsidP="00126F8E">
      <w:pPr>
        <w:pStyle w:val="ListBullet"/>
      </w:pPr>
      <w:r w:rsidRPr="00126F8E">
        <w:t xml:space="preserve">One </w:t>
      </w:r>
      <w:r w:rsidR="007504A5">
        <w:t>Phase I</w:t>
      </w:r>
      <w:r w:rsidRPr="00126F8E">
        <w:t xml:space="preserve"> pharmacodynamic </w:t>
      </w:r>
      <w:r w:rsidR="00EC07DA">
        <w:t xml:space="preserve">(PD) </w:t>
      </w:r>
      <w:r w:rsidRPr="00126F8E">
        <w:t>study</w:t>
      </w:r>
    </w:p>
    <w:p w14:paraId="38A937BB" w14:textId="467BFBEA" w:rsidR="00126F8E" w:rsidRPr="00126F8E" w:rsidRDefault="00126F8E" w:rsidP="00126F8E">
      <w:pPr>
        <w:pStyle w:val="ListBullet"/>
      </w:pPr>
      <w:r w:rsidRPr="00126F8E">
        <w:t xml:space="preserve">One population pharmacokinetic </w:t>
      </w:r>
      <w:r w:rsidR="00EC07DA">
        <w:t xml:space="preserve">(PopPK) </w:t>
      </w:r>
      <w:r w:rsidRPr="00126F8E">
        <w:t>study</w:t>
      </w:r>
    </w:p>
    <w:p w14:paraId="4ECBC724" w14:textId="77777777" w:rsidR="00126F8E" w:rsidRPr="00126F8E" w:rsidRDefault="00126F8E" w:rsidP="00126F8E">
      <w:pPr>
        <w:pStyle w:val="ListBullet"/>
      </w:pPr>
      <w:r w:rsidRPr="00126F8E">
        <w:t xml:space="preserve">Three </w:t>
      </w:r>
      <w:r w:rsidR="007504A5">
        <w:t>Phase II</w:t>
      </w:r>
      <w:r w:rsidRPr="00126F8E">
        <w:t xml:space="preserve"> studies</w:t>
      </w:r>
    </w:p>
    <w:p w14:paraId="7AA3917B" w14:textId="77777777" w:rsidR="00126F8E" w:rsidRPr="00126F8E" w:rsidRDefault="00126F8E" w:rsidP="00126F8E">
      <w:pPr>
        <w:pStyle w:val="ListBullet"/>
      </w:pPr>
      <w:r w:rsidRPr="00126F8E">
        <w:t xml:space="preserve">Three pivotal, </w:t>
      </w:r>
      <w:r w:rsidR="007504A5">
        <w:t>Phase III</w:t>
      </w:r>
      <w:r w:rsidRPr="00126F8E">
        <w:t xml:space="preserve"> studies</w:t>
      </w:r>
    </w:p>
    <w:p w14:paraId="701120FA" w14:textId="77777777" w:rsidR="00126F8E" w:rsidRPr="00126F8E" w:rsidRDefault="00126F8E" w:rsidP="00126F8E">
      <w:pPr>
        <w:pStyle w:val="ListBullet"/>
      </w:pPr>
      <w:r w:rsidRPr="00126F8E">
        <w:t>Two other efficacy studies</w:t>
      </w:r>
    </w:p>
    <w:p w14:paraId="5C2B1C6B" w14:textId="34229CD5" w:rsidR="00126F8E" w:rsidRPr="00126F8E" w:rsidRDefault="00EC07DA" w:rsidP="00126F8E">
      <w:pPr>
        <w:pStyle w:val="ListBullet"/>
      </w:pPr>
      <w:r>
        <w:t xml:space="preserve">An </w:t>
      </w:r>
      <w:r w:rsidR="00126F8E" w:rsidRPr="00126F8E">
        <w:t xml:space="preserve">Integrated Summary of Efficacy, Integrated Summary of Safety and a </w:t>
      </w:r>
      <w:r w:rsidR="00F511F9">
        <w:t>pharmacokinetic</w:t>
      </w:r>
      <w:r w:rsidR="00F511F9" w:rsidRPr="00126F8E">
        <w:t xml:space="preserve"> </w:t>
      </w:r>
      <w:r w:rsidR="00F511F9">
        <w:t>(</w:t>
      </w:r>
      <w:r w:rsidR="00126F8E" w:rsidRPr="00126F8E">
        <w:t>PK</w:t>
      </w:r>
      <w:r w:rsidR="00F511F9">
        <w:t>)</w:t>
      </w:r>
      <w:r w:rsidR="007504A5">
        <w:t>,</w:t>
      </w:r>
      <w:r w:rsidR="00F511F9">
        <w:t xml:space="preserve"> pharmacodynamics</w:t>
      </w:r>
      <w:r w:rsidR="00F511F9" w:rsidRPr="00126F8E">
        <w:t xml:space="preserve"> </w:t>
      </w:r>
      <w:r w:rsidR="00F511F9">
        <w:t>(</w:t>
      </w:r>
      <w:r w:rsidR="00126F8E" w:rsidRPr="00126F8E">
        <w:t>PD</w:t>
      </w:r>
      <w:r w:rsidR="00F511F9">
        <w:t>)</w:t>
      </w:r>
      <w:r w:rsidR="00126F8E" w:rsidRPr="00126F8E">
        <w:t xml:space="preserve"> Modelling </w:t>
      </w:r>
      <w:proofErr w:type="gramStart"/>
      <w:r w:rsidR="00126F8E" w:rsidRPr="00126F8E">
        <w:t>study</w:t>
      </w:r>
      <w:proofErr w:type="gramEnd"/>
      <w:r w:rsidR="00816DE9">
        <w:t>.</w:t>
      </w:r>
    </w:p>
    <w:p w14:paraId="7CEE099D" w14:textId="1785E79E" w:rsidR="00500337" w:rsidRPr="00500337" w:rsidRDefault="00126F8E" w:rsidP="00500337">
      <w:r w:rsidRPr="00126F8E">
        <w:t xml:space="preserve">The </w:t>
      </w:r>
      <w:r w:rsidR="007504A5">
        <w:t>sponsor</w:t>
      </w:r>
      <w:r w:rsidRPr="00126F8E">
        <w:t xml:space="preserve"> is conducting two long term safety studies but the final results were not </w:t>
      </w:r>
      <w:r w:rsidR="00087912">
        <w:t xml:space="preserve">available </w:t>
      </w:r>
      <w:r w:rsidR="007F2111">
        <w:t xml:space="preserve">at the time of the </w:t>
      </w:r>
      <w:r w:rsidR="008B5BAF">
        <w:t>evaluation</w:t>
      </w:r>
      <w:r w:rsidR="007F2111">
        <w:t>.</w:t>
      </w:r>
    </w:p>
    <w:p w14:paraId="52F3B695" w14:textId="77777777" w:rsidR="00605AD4" w:rsidRDefault="00605AD4" w:rsidP="00605AD4">
      <w:pPr>
        <w:pStyle w:val="Heading4"/>
      </w:pPr>
      <w:r w:rsidRPr="00605AD4">
        <w:t>Paediatric data</w:t>
      </w:r>
    </w:p>
    <w:p w14:paraId="6AB0575B" w14:textId="77777777" w:rsidR="00500337" w:rsidRPr="00500337" w:rsidRDefault="00126F8E" w:rsidP="00500337">
      <w:pPr>
        <w:rPr>
          <w:lang w:eastAsia="ja-JP"/>
        </w:rPr>
      </w:pPr>
      <w:r>
        <w:rPr>
          <w:lang w:eastAsia="ja-JP"/>
        </w:rPr>
        <w:t xml:space="preserve">Data for patients age 12 to </w:t>
      </w:r>
      <w:r w:rsidR="007504A5">
        <w:rPr>
          <w:lang w:eastAsia="ja-JP"/>
        </w:rPr>
        <w:t xml:space="preserve">&lt; </w:t>
      </w:r>
      <w:r>
        <w:rPr>
          <w:lang w:eastAsia="ja-JP"/>
        </w:rPr>
        <w:t>18 years were included in the submission.</w:t>
      </w:r>
    </w:p>
    <w:p w14:paraId="0A14271D" w14:textId="77777777" w:rsidR="00605AD4" w:rsidRDefault="00605AD4" w:rsidP="00605AD4">
      <w:pPr>
        <w:pStyle w:val="Heading4"/>
      </w:pPr>
      <w:r w:rsidRPr="00605AD4">
        <w:t>Good clinical practice</w:t>
      </w:r>
    </w:p>
    <w:p w14:paraId="422D29F9" w14:textId="3E6CFBCA" w:rsidR="00126F8E" w:rsidRDefault="00126F8E" w:rsidP="00126F8E">
      <w:pPr>
        <w:rPr>
          <w:lang w:eastAsia="ja-JP"/>
        </w:rPr>
      </w:pPr>
      <w:r>
        <w:rPr>
          <w:lang w:eastAsia="ja-JP"/>
        </w:rPr>
        <w:t xml:space="preserve">The studies included in the submission are stated to have been, and appear to have, conducted according to </w:t>
      </w:r>
      <w:r w:rsidR="00816DE9">
        <w:rPr>
          <w:lang w:eastAsia="ja-JP"/>
        </w:rPr>
        <w:t>Good Clinical Practice (</w:t>
      </w:r>
      <w:r>
        <w:rPr>
          <w:lang w:eastAsia="ja-JP"/>
        </w:rPr>
        <w:t>GCP</w:t>
      </w:r>
      <w:r w:rsidR="00816DE9">
        <w:rPr>
          <w:lang w:eastAsia="ja-JP"/>
        </w:rPr>
        <w:t>).</w:t>
      </w:r>
    </w:p>
    <w:p w14:paraId="59B01643" w14:textId="77777777" w:rsidR="008E7846" w:rsidRDefault="008E7846" w:rsidP="00605AD4">
      <w:pPr>
        <w:pStyle w:val="Heading3"/>
      </w:pPr>
      <w:bookmarkStart w:id="87" w:name="_Toc1653589"/>
      <w:r w:rsidRPr="00254787">
        <w:lastRenderedPageBreak/>
        <w:t>Pharmacokinetics</w:t>
      </w:r>
      <w:bookmarkEnd w:id="68"/>
      <w:bookmarkEnd w:id="75"/>
      <w:bookmarkEnd w:id="76"/>
      <w:bookmarkEnd w:id="77"/>
      <w:bookmarkEnd w:id="87"/>
    </w:p>
    <w:p w14:paraId="5352FC41" w14:textId="77777777" w:rsidR="00605AD4" w:rsidRDefault="00605AD4" w:rsidP="00605AD4">
      <w:pPr>
        <w:pStyle w:val="Heading4"/>
      </w:pPr>
      <w:r>
        <w:t>Studies</w:t>
      </w:r>
      <w:r w:rsidR="00500337">
        <w:t xml:space="preserve"> providing pharmacokinetic data</w:t>
      </w:r>
    </w:p>
    <w:p w14:paraId="31A42361" w14:textId="77777777" w:rsidR="00126F8E" w:rsidRDefault="00126F8E" w:rsidP="00126F8E">
      <w:pPr>
        <w:pStyle w:val="TableTitle"/>
      </w:pPr>
      <w:bookmarkStart w:id="88" w:name="_Toc453839419"/>
      <w:r>
        <w:t xml:space="preserve">Table </w:t>
      </w:r>
      <w:r w:rsidR="006A44F0">
        <w:t>6</w:t>
      </w:r>
      <w:r w:rsidR="007504A5">
        <w:t>:</w:t>
      </w:r>
      <w:r>
        <w:t xml:space="preserve"> Submitted pharmacokinetic studies</w:t>
      </w:r>
      <w:bookmarkEnd w:id="88"/>
    </w:p>
    <w:tbl>
      <w:tblPr>
        <w:tblStyle w:val="TableTGAblue"/>
        <w:tblW w:w="8731" w:type="dxa"/>
        <w:tblLayout w:type="fixed"/>
        <w:tblLook w:val="04A0" w:firstRow="1" w:lastRow="0" w:firstColumn="1" w:lastColumn="0" w:noHBand="0" w:noVBand="1"/>
      </w:tblPr>
      <w:tblGrid>
        <w:gridCol w:w="2660"/>
        <w:gridCol w:w="3879"/>
        <w:gridCol w:w="2192"/>
      </w:tblGrid>
      <w:tr w:rsidR="00126F8E" w:rsidRPr="007504A5" w14:paraId="3378207F" w14:textId="77777777" w:rsidTr="00816DE9">
        <w:trPr>
          <w:cnfStyle w:val="100000000000" w:firstRow="1" w:lastRow="0" w:firstColumn="0" w:lastColumn="0" w:oddVBand="0" w:evenVBand="0" w:oddHBand="0" w:evenHBand="0" w:firstRowFirstColumn="0" w:firstRowLastColumn="0" w:lastRowFirstColumn="0" w:lastRowLastColumn="0"/>
          <w:trHeight w:val="541"/>
        </w:trPr>
        <w:tc>
          <w:tcPr>
            <w:tcW w:w="2660" w:type="dxa"/>
          </w:tcPr>
          <w:p w14:paraId="00EE0AF2" w14:textId="77777777" w:rsidR="00126F8E" w:rsidRPr="007504A5" w:rsidRDefault="00126F8E" w:rsidP="007504A5">
            <w:pPr>
              <w:ind w:left="0" w:right="0"/>
              <w:rPr>
                <w:sz w:val="20"/>
                <w:szCs w:val="20"/>
              </w:rPr>
            </w:pPr>
            <w:r w:rsidRPr="007504A5">
              <w:rPr>
                <w:sz w:val="20"/>
                <w:szCs w:val="20"/>
              </w:rPr>
              <w:t>PK topic</w:t>
            </w:r>
          </w:p>
        </w:tc>
        <w:tc>
          <w:tcPr>
            <w:tcW w:w="3879" w:type="dxa"/>
          </w:tcPr>
          <w:p w14:paraId="47269D10" w14:textId="77777777" w:rsidR="00126F8E" w:rsidRPr="007504A5" w:rsidRDefault="00126F8E" w:rsidP="007504A5">
            <w:pPr>
              <w:ind w:left="0" w:right="0"/>
              <w:rPr>
                <w:sz w:val="20"/>
                <w:szCs w:val="20"/>
              </w:rPr>
            </w:pPr>
            <w:r w:rsidRPr="007504A5">
              <w:rPr>
                <w:sz w:val="20"/>
                <w:szCs w:val="20"/>
              </w:rPr>
              <w:t>Subtopic</w:t>
            </w:r>
          </w:p>
        </w:tc>
        <w:tc>
          <w:tcPr>
            <w:tcW w:w="2192" w:type="dxa"/>
          </w:tcPr>
          <w:p w14:paraId="2F643CAA" w14:textId="77777777" w:rsidR="00126F8E" w:rsidRPr="007504A5" w:rsidRDefault="00126F8E" w:rsidP="007504A5">
            <w:pPr>
              <w:ind w:left="0" w:right="0"/>
              <w:rPr>
                <w:sz w:val="20"/>
                <w:szCs w:val="20"/>
              </w:rPr>
            </w:pPr>
            <w:r w:rsidRPr="007504A5">
              <w:rPr>
                <w:sz w:val="20"/>
                <w:szCs w:val="20"/>
              </w:rPr>
              <w:t>Study ID</w:t>
            </w:r>
          </w:p>
        </w:tc>
      </w:tr>
      <w:tr w:rsidR="00126F8E" w:rsidRPr="007504A5" w14:paraId="6146C209" w14:textId="77777777" w:rsidTr="00816DE9">
        <w:trPr>
          <w:trHeight w:val="528"/>
        </w:trPr>
        <w:tc>
          <w:tcPr>
            <w:tcW w:w="2660" w:type="dxa"/>
            <w:vMerge w:val="restart"/>
          </w:tcPr>
          <w:p w14:paraId="228380B4" w14:textId="77777777" w:rsidR="00126F8E" w:rsidRPr="007504A5" w:rsidRDefault="00126F8E" w:rsidP="007504A5">
            <w:pPr>
              <w:ind w:left="0" w:right="0"/>
              <w:rPr>
                <w:sz w:val="20"/>
                <w:szCs w:val="20"/>
              </w:rPr>
            </w:pPr>
            <w:r w:rsidRPr="007504A5">
              <w:rPr>
                <w:sz w:val="20"/>
                <w:szCs w:val="20"/>
              </w:rPr>
              <w:t>PK in special populations</w:t>
            </w:r>
          </w:p>
        </w:tc>
        <w:tc>
          <w:tcPr>
            <w:tcW w:w="3879" w:type="dxa"/>
          </w:tcPr>
          <w:p w14:paraId="29ED47B1" w14:textId="07135EE9" w:rsidR="00126F8E" w:rsidRPr="007504A5" w:rsidRDefault="007504A5" w:rsidP="007504A5">
            <w:pPr>
              <w:ind w:left="0" w:right="0"/>
              <w:rPr>
                <w:sz w:val="20"/>
                <w:szCs w:val="20"/>
              </w:rPr>
            </w:pPr>
            <w:r>
              <w:rPr>
                <w:sz w:val="20"/>
                <w:szCs w:val="20"/>
              </w:rPr>
              <w:t>Target population §</w:t>
            </w:r>
            <w:r w:rsidR="00EC07DA">
              <w:rPr>
                <w:sz w:val="20"/>
                <w:szCs w:val="20"/>
              </w:rPr>
              <w:t>;</w:t>
            </w:r>
            <w:r w:rsidR="00126F8E" w:rsidRPr="007504A5">
              <w:rPr>
                <w:sz w:val="20"/>
                <w:szCs w:val="20"/>
              </w:rPr>
              <w:t xml:space="preserve"> Single dose</w:t>
            </w:r>
          </w:p>
        </w:tc>
        <w:tc>
          <w:tcPr>
            <w:tcW w:w="2192" w:type="dxa"/>
          </w:tcPr>
          <w:p w14:paraId="0EE42406" w14:textId="77777777" w:rsidR="00126F8E" w:rsidRPr="007504A5" w:rsidRDefault="007504A5" w:rsidP="007504A5">
            <w:pPr>
              <w:ind w:left="0" w:right="0"/>
              <w:rPr>
                <w:sz w:val="20"/>
                <w:szCs w:val="20"/>
              </w:rPr>
            </w:pPr>
            <w:r>
              <w:rPr>
                <w:sz w:val="20"/>
                <w:szCs w:val="20"/>
              </w:rPr>
              <w:t>Study MI-CP158</w:t>
            </w:r>
          </w:p>
        </w:tc>
      </w:tr>
      <w:tr w:rsidR="00126F8E" w:rsidRPr="007504A5" w14:paraId="4ECE6117" w14:textId="77777777" w:rsidTr="00816DE9">
        <w:trPr>
          <w:trHeight w:val="161"/>
        </w:trPr>
        <w:tc>
          <w:tcPr>
            <w:tcW w:w="2660" w:type="dxa"/>
            <w:vMerge/>
          </w:tcPr>
          <w:p w14:paraId="728EB486" w14:textId="77777777" w:rsidR="00126F8E" w:rsidRPr="007504A5" w:rsidRDefault="00126F8E" w:rsidP="007504A5">
            <w:pPr>
              <w:ind w:left="0" w:right="0"/>
              <w:rPr>
                <w:sz w:val="20"/>
                <w:szCs w:val="20"/>
              </w:rPr>
            </w:pPr>
          </w:p>
        </w:tc>
        <w:tc>
          <w:tcPr>
            <w:tcW w:w="3879" w:type="dxa"/>
          </w:tcPr>
          <w:p w14:paraId="67B0700A" w14:textId="0D2CC134" w:rsidR="00126F8E" w:rsidRPr="007504A5" w:rsidRDefault="00EC07DA" w:rsidP="007504A5">
            <w:pPr>
              <w:ind w:left="0" w:right="0"/>
              <w:rPr>
                <w:sz w:val="20"/>
                <w:szCs w:val="20"/>
              </w:rPr>
            </w:pPr>
            <w:r>
              <w:rPr>
                <w:sz w:val="20"/>
                <w:szCs w:val="20"/>
              </w:rPr>
              <w:t xml:space="preserve">Target population; </w:t>
            </w:r>
            <w:r w:rsidR="00126F8E" w:rsidRPr="007504A5">
              <w:rPr>
                <w:sz w:val="20"/>
                <w:szCs w:val="20"/>
              </w:rPr>
              <w:t>Multi-dose</w:t>
            </w:r>
          </w:p>
        </w:tc>
        <w:tc>
          <w:tcPr>
            <w:tcW w:w="2192" w:type="dxa"/>
          </w:tcPr>
          <w:p w14:paraId="76C7171B" w14:textId="77777777" w:rsidR="00126F8E" w:rsidRPr="007504A5" w:rsidRDefault="00126F8E" w:rsidP="007504A5">
            <w:pPr>
              <w:ind w:left="0" w:right="0"/>
              <w:rPr>
                <w:sz w:val="20"/>
                <w:szCs w:val="20"/>
              </w:rPr>
            </w:pPr>
            <w:r w:rsidRPr="007504A5">
              <w:rPr>
                <w:sz w:val="20"/>
                <w:szCs w:val="20"/>
              </w:rPr>
              <w:t xml:space="preserve">Study MI-CP166 </w:t>
            </w:r>
          </w:p>
        </w:tc>
      </w:tr>
      <w:tr w:rsidR="00126F8E" w:rsidRPr="007504A5" w14:paraId="20862713" w14:textId="77777777" w:rsidTr="00816DE9">
        <w:trPr>
          <w:trHeight w:val="1340"/>
        </w:trPr>
        <w:tc>
          <w:tcPr>
            <w:tcW w:w="2660" w:type="dxa"/>
          </w:tcPr>
          <w:p w14:paraId="5E6F99FA" w14:textId="77777777" w:rsidR="00126F8E" w:rsidRPr="007504A5" w:rsidRDefault="00126F8E" w:rsidP="007504A5">
            <w:pPr>
              <w:ind w:left="0" w:right="0"/>
              <w:rPr>
                <w:sz w:val="20"/>
                <w:szCs w:val="20"/>
              </w:rPr>
            </w:pPr>
            <w:r w:rsidRPr="007504A5">
              <w:rPr>
                <w:sz w:val="20"/>
                <w:szCs w:val="20"/>
              </w:rPr>
              <w:t>Population PK analyses</w:t>
            </w:r>
          </w:p>
        </w:tc>
        <w:tc>
          <w:tcPr>
            <w:tcW w:w="3879" w:type="dxa"/>
          </w:tcPr>
          <w:p w14:paraId="7A72F7DD" w14:textId="77777777" w:rsidR="00126F8E" w:rsidRPr="007504A5" w:rsidRDefault="00126F8E" w:rsidP="007504A5">
            <w:pPr>
              <w:ind w:left="0" w:right="0"/>
              <w:rPr>
                <w:sz w:val="20"/>
                <w:szCs w:val="20"/>
              </w:rPr>
            </w:pPr>
            <w:r w:rsidRPr="007504A5">
              <w:rPr>
                <w:sz w:val="20"/>
                <w:szCs w:val="20"/>
              </w:rPr>
              <w:t>Target population</w:t>
            </w:r>
          </w:p>
        </w:tc>
        <w:tc>
          <w:tcPr>
            <w:tcW w:w="2192" w:type="dxa"/>
          </w:tcPr>
          <w:p w14:paraId="279BD6A4" w14:textId="77777777" w:rsidR="00126F8E" w:rsidRPr="007504A5" w:rsidRDefault="00126F8E" w:rsidP="007504A5">
            <w:pPr>
              <w:ind w:left="0" w:right="0"/>
              <w:rPr>
                <w:sz w:val="20"/>
                <w:szCs w:val="20"/>
              </w:rPr>
            </w:pPr>
            <w:r w:rsidRPr="007504A5">
              <w:rPr>
                <w:sz w:val="20"/>
                <w:szCs w:val="20"/>
              </w:rPr>
              <w:t>Benralizumab Population Pharmacokinetic Analysis</w:t>
            </w:r>
          </w:p>
        </w:tc>
      </w:tr>
    </w:tbl>
    <w:p w14:paraId="5595C10B" w14:textId="77777777" w:rsidR="00500337" w:rsidRPr="00126F8E" w:rsidRDefault="007504A5" w:rsidP="00126F8E">
      <w:pPr>
        <w:pStyle w:val="TableDescription"/>
      </w:pPr>
      <w:r>
        <w:t>§</w:t>
      </w:r>
      <w:r w:rsidR="00126F8E" w:rsidRPr="00126F8E">
        <w:t xml:space="preserve"> Subjects who would be eligible to receive the drug if approved for the proposed indication.</w:t>
      </w:r>
    </w:p>
    <w:p w14:paraId="6D1BA53A" w14:textId="77777777" w:rsidR="00605AD4" w:rsidRDefault="00605AD4" w:rsidP="00605AD4">
      <w:pPr>
        <w:pStyle w:val="Heading4"/>
      </w:pPr>
      <w:r>
        <w:t>Evaluator’s conclusions on pharmacokinetics</w:t>
      </w:r>
    </w:p>
    <w:p w14:paraId="589E80EE" w14:textId="77777777" w:rsidR="00500337" w:rsidRPr="00500337" w:rsidRDefault="00126F8E" w:rsidP="00500337">
      <w:pPr>
        <w:rPr>
          <w:lang w:eastAsia="ja-JP"/>
        </w:rPr>
      </w:pPr>
      <w:r>
        <w:rPr>
          <w:lang w:eastAsia="ja-JP"/>
        </w:rPr>
        <w:t>The sponsor has examined the PK of benralizumab in each of the studies submitted and summarised / analysed these data using a population PK model.</w:t>
      </w:r>
      <w:r w:rsidR="00F971ED">
        <w:rPr>
          <w:lang w:eastAsia="ja-JP"/>
        </w:rPr>
        <w:t xml:space="preserve"> </w:t>
      </w:r>
      <w:r>
        <w:rPr>
          <w:lang w:eastAsia="ja-JP"/>
        </w:rPr>
        <w:t>The model is consisten</w:t>
      </w:r>
      <w:r w:rsidR="007504A5">
        <w:rPr>
          <w:lang w:eastAsia="ja-JP"/>
        </w:rPr>
        <w:t xml:space="preserve">t with the known PK of antibody </w:t>
      </w:r>
      <w:r>
        <w:rPr>
          <w:lang w:eastAsia="ja-JP"/>
        </w:rPr>
        <w:t>based drugs.</w:t>
      </w:r>
      <w:r w:rsidR="00F971ED">
        <w:rPr>
          <w:lang w:eastAsia="ja-JP"/>
        </w:rPr>
        <w:t xml:space="preserve"> </w:t>
      </w:r>
      <w:r>
        <w:rPr>
          <w:lang w:eastAsia="ja-JP"/>
        </w:rPr>
        <w:t>The data are sufficient to support the PK information in the product information.</w:t>
      </w:r>
      <w:r w:rsidR="00F971ED">
        <w:rPr>
          <w:lang w:eastAsia="ja-JP"/>
        </w:rPr>
        <w:t xml:space="preserve"> </w:t>
      </w:r>
      <w:r>
        <w:rPr>
          <w:lang w:eastAsia="ja-JP"/>
        </w:rPr>
        <w:t xml:space="preserve">The </w:t>
      </w:r>
      <w:r w:rsidR="007504A5">
        <w:rPr>
          <w:lang w:eastAsia="ja-JP"/>
        </w:rPr>
        <w:t>sponsor</w:t>
      </w:r>
      <w:r>
        <w:rPr>
          <w:lang w:eastAsia="ja-JP"/>
        </w:rPr>
        <w:t xml:space="preserve"> has adequately characterised the PK of benralizumab.</w:t>
      </w:r>
    </w:p>
    <w:p w14:paraId="53C502CD" w14:textId="77777777" w:rsidR="008E7846" w:rsidRDefault="008E7846" w:rsidP="008E7846">
      <w:pPr>
        <w:pStyle w:val="Heading3"/>
      </w:pPr>
      <w:bookmarkStart w:id="89" w:name="_Toc196046481"/>
      <w:bookmarkStart w:id="90" w:name="_Toc247691520"/>
      <w:bookmarkStart w:id="91" w:name="_Toc314842503"/>
      <w:bookmarkStart w:id="92" w:name="_Toc1653590"/>
      <w:r w:rsidRPr="00254787">
        <w:t>Pharmacodynamics</w:t>
      </w:r>
      <w:bookmarkEnd w:id="69"/>
      <w:bookmarkEnd w:id="89"/>
      <w:bookmarkEnd w:id="90"/>
      <w:bookmarkEnd w:id="91"/>
      <w:bookmarkEnd w:id="92"/>
    </w:p>
    <w:p w14:paraId="4809523B" w14:textId="77777777" w:rsidR="00605AD4" w:rsidRDefault="00605AD4" w:rsidP="00605AD4">
      <w:pPr>
        <w:pStyle w:val="Heading4"/>
      </w:pPr>
      <w:r>
        <w:t>Studies providing pharmacodynamic data</w:t>
      </w:r>
    </w:p>
    <w:p w14:paraId="28A48085" w14:textId="77777777" w:rsidR="00126F8E" w:rsidRDefault="00126F8E" w:rsidP="00126F8E">
      <w:pPr>
        <w:pStyle w:val="TableTitle"/>
      </w:pPr>
      <w:bookmarkStart w:id="93" w:name="_Toc453839421"/>
      <w:r>
        <w:t xml:space="preserve">Table </w:t>
      </w:r>
      <w:r w:rsidR="006A44F0">
        <w:t>7:</w:t>
      </w:r>
      <w:r>
        <w:t xml:space="preserve"> </w:t>
      </w:r>
      <w:r w:rsidRPr="008C40FD">
        <w:t>Submitted pharmacodynamic studies</w:t>
      </w:r>
      <w:bookmarkEnd w:id="93"/>
    </w:p>
    <w:tbl>
      <w:tblPr>
        <w:tblStyle w:val="TableTGAblue"/>
        <w:tblW w:w="7338" w:type="dxa"/>
        <w:tblLayout w:type="fixed"/>
        <w:tblLook w:val="04A0" w:firstRow="1" w:lastRow="0" w:firstColumn="1" w:lastColumn="0" w:noHBand="0" w:noVBand="1"/>
      </w:tblPr>
      <w:tblGrid>
        <w:gridCol w:w="2235"/>
        <w:gridCol w:w="2693"/>
        <w:gridCol w:w="2410"/>
      </w:tblGrid>
      <w:tr w:rsidR="00126F8E" w:rsidRPr="007504A5" w14:paraId="67F100AD" w14:textId="77777777" w:rsidTr="00126F8E">
        <w:trPr>
          <w:cnfStyle w:val="100000000000" w:firstRow="1" w:lastRow="0" w:firstColumn="0" w:lastColumn="0" w:oddVBand="0" w:evenVBand="0" w:oddHBand="0" w:evenHBand="0" w:firstRowFirstColumn="0" w:firstRowLastColumn="0" w:lastRowFirstColumn="0" w:lastRowLastColumn="0"/>
        </w:trPr>
        <w:tc>
          <w:tcPr>
            <w:tcW w:w="2235" w:type="dxa"/>
          </w:tcPr>
          <w:p w14:paraId="49E3350C" w14:textId="77777777" w:rsidR="00126F8E" w:rsidRPr="007504A5" w:rsidRDefault="00126F8E" w:rsidP="007504A5">
            <w:r w:rsidRPr="007504A5">
              <w:t>PD Topic</w:t>
            </w:r>
          </w:p>
        </w:tc>
        <w:tc>
          <w:tcPr>
            <w:tcW w:w="2693" w:type="dxa"/>
          </w:tcPr>
          <w:p w14:paraId="2C76F92F" w14:textId="77777777" w:rsidR="00126F8E" w:rsidRPr="007504A5" w:rsidRDefault="00126F8E" w:rsidP="007504A5">
            <w:r w:rsidRPr="007504A5">
              <w:t>Subtopic</w:t>
            </w:r>
          </w:p>
        </w:tc>
        <w:tc>
          <w:tcPr>
            <w:tcW w:w="2410" w:type="dxa"/>
          </w:tcPr>
          <w:p w14:paraId="6B424229" w14:textId="77777777" w:rsidR="00126F8E" w:rsidRPr="007504A5" w:rsidRDefault="00126F8E" w:rsidP="007504A5">
            <w:r w:rsidRPr="007504A5">
              <w:t>Study ID</w:t>
            </w:r>
          </w:p>
        </w:tc>
      </w:tr>
      <w:tr w:rsidR="00126F8E" w:rsidRPr="007504A5" w14:paraId="47888180" w14:textId="77777777" w:rsidTr="00126F8E">
        <w:tc>
          <w:tcPr>
            <w:tcW w:w="2235" w:type="dxa"/>
            <w:vMerge w:val="restart"/>
          </w:tcPr>
          <w:p w14:paraId="23B3C856" w14:textId="77777777" w:rsidR="00126F8E" w:rsidRPr="007504A5" w:rsidRDefault="00126F8E" w:rsidP="007504A5">
            <w:r w:rsidRPr="007504A5">
              <w:t>Primary Pharmacology</w:t>
            </w:r>
          </w:p>
        </w:tc>
        <w:tc>
          <w:tcPr>
            <w:tcW w:w="2693" w:type="dxa"/>
          </w:tcPr>
          <w:p w14:paraId="43195CC4" w14:textId="77777777" w:rsidR="00126F8E" w:rsidRPr="007504A5" w:rsidRDefault="00126F8E" w:rsidP="007504A5">
            <w:r w:rsidRPr="007504A5">
              <w:t>Effect on eosinophils</w:t>
            </w:r>
          </w:p>
        </w:tc>
        <w:tc>
          <w:tcPr>
            <w:tcW w:w="2410" w:type="dxa"/>
          </w:tcPr>
          <w:p w14:paraId="3F0896A8" w14:textId="77777777" w:rsidR="00126F8E" w:rsidRPr="007504A5" w:rsidRDefault="00126F8E" w:rsidP="007504A5">
            <w:r w:rsidRPr="007504A5">
              <w:t>Study MI-CP158</w:t>
            </w:r>
          </w:p>
        </w:tc>
      </w:tr>
      <w:tr w:rsidR="00126F8E" w:rsidRPr="007504A5" w14:paraId="3D58A627" w14:textId="77777777" w:rsidTr="00126F8E">
        <w:tc>
          <w:tcPr>
            <w:tcW w:w="2235" w:type="dxa"/>
            <w:vMerge/>
          </w:tcPr>
          <w:p w14:paraId="5ADCD680" w14:textId="77777777" w:rsidR="00126F8E" w:rsidRPr="007504A5" w:rsidRDefault="00126F8E" w:rsidP="007504A5"/>
        </w:tc>
        <w:tc>
          <w:tcPr>
            <w:tcW w:w="2693" w:type="dxa"/>
          </w:tcPr>
          <w:p w14:paraId="651DE5E2" w14:textId="77777777" w:rsidR="00126F8E" w:rsidRPr="007504A5" w:rsidRDefault="00126F8E" w:rsidP="007504A5"/>
        </w:tc>
        <w:tc>
          <w:tcPr>
            <w:tcW w:w="2410" w:type="dxa"/>
          </w:tcPr>
          <w:p w14:paraId="4708F2D5" w14:textId="77777777" w:rsidR="00126F8E" w:rsidRPr="007504A5" w:rsidRDefault="007504A5" w:rsidP="007504A5">
            <w:r>
              <w:t>Study MI-CP166</w:t>
            </w:r>
          </w:p>
        </w:tc>
      </w:tr>
    </w:tbl>
    <w:p w14:paraId="2D526B13" w14:textId="77777777" w:rsidR="00605AD4" w:rsidRDefault="00605AD4" w:rsidP="00605AD4">
      <w:pPr>
        <w:pStyle w:val="Heading4"/>
      </w:pPr>
      <w:r>
        <w:t>Evaluator’s conclusions on pharmacodynamics</w:t>
      </w:r>
    </w:p>
    <w:p w14:paraId="4DE27F29" w14:textId="77777777" w:rsidR="00500337" w:rsidRPr="00500337" w:rsidRDefault="00126F8E" w:rsidP="00500337">
      <w:r w:rsidRPr="00126F8E">
        <w:t xml:space="preserve">The </w:t>
      </w:r>
      <w:r w:rsidR="007504A5">
        <w:t>sponsor</w:t>
      </w:r>
      <w:r w:rsidRPr="00126F8E">
        <w:t xml:space="preserve"> has adequately characterised the PD of benralizumab including the concentration response relationship.</w:t>
      </w:r>
      <w:r w:rsidR="00F971ED">
        <w:t xml:space="preserve"> </w:t>
      </w:r>
      <w:r w:rsidRPr="00126F8E">
        <w:t xml:space="preserve">The data support the PD information in the </w:t>
      </w:r>
      <w:r w:rsidR="00816DE9">
        <w:t>proposed PI</w:t>
      </w:r>
      <w:r w:rsidRPr="00126F8E">
        <w:t xml:space="preserve"> document.</w:t>
      </w:r>
    </w:p>
    <w:p w14:paraId="053517C6" w14:textId="77777777" w:rsidR="008E7846" w:rsidRDefault="00605AD4" w:rsidP="00605AD4">
      <w:pPr>
        <w:pStyle w:val="Heading3"/>
      </w:pPr>
      <w:bookmarkStart w:id="94" w:name="_Toc1653591"/>
      <w:r>
        <w:t>Dosage selection for the pivotal studies</w:t>
      </w:r>
      <w:bookmarkEnd w:id="94"/>
    </w:p>
    <w:p w14:paraId="60DDAC2B" w14:textId="77777777" w:rsidR="005D7A92" w:rsidRPr="00545B14" w:rsidRDefault="005D7A92" w:rsidP="005D7A92">
      <w:pPr>
        <w:pStyle w:val="Heading4"/>
      </w:pPr>
      <w:bookmarkStart w:id="95" w:name="_Toc416353695"/>
      <w:bookmarkStart w:id="96" w:name="_Toc421005262"/>
      <w:bookmarkStart w:id="97" w:name="_Toc432079144"/>
      <w:bookmarkStart w:id="98" w:name="_Toc432080717"/>
      <w:bookmarkStart w:id="99" w:name="_Toc488077850"/>
      <w:r w:rsidRPr="005C1900">
        <w:t>Pharmacokinetics</w:t>
      </w:r>
      <w:r>
        <w:t xml:space="preserve"> and pharmacodynamics: dos</w:t>
      </w:r>
      <w:r w:rsidRPr="00545B14">
        <w:t xml:space="preserve">e </w:t>
      </w:r>
      <w:r>
        <w:t>finding</w:t>
      </w:r>
      <w:r w:rsidRPr="00545B14">
        <w:t xml:space="preserve"> </w:t>
      </w:r>
      <w:r>
        <w:t>s</w:t>
      </w:r>
      <w:r w:rsidRPr="00545B14">
        <w:t>tudies</w:t>
      </w:r>
      <w:bookmarkEnd w:id="95"/>
      <w:bookmarkEnd w:id="96"/>
      <w:bookmarkEnd w:id="97"/>
      <w:bookmarkEnd w:id="98"/>
      <w:bookmarkEnd w:id="99"/>
    </w:p>
    <w:p w14:paraId="3322D207" w14:textId="77777777" w:rsidR="005D7A92" w:rsidRPr="005D7A92" w:rsidRDefault="005D7A92" w:rsidP="005D7A92">
      <w:r w:rsidRPr="005D7A92">
        <w:t xml:space="preserve">The </w:t>
      </w:r>
      <w:r w:rsidR="007504A5">
        <w:t>Phase I</w:t>
      </w:r>
      <w:r w:rsidRPr="005D7A92">
        <w:t xml:space="preserve"> PK and PD studies examined IV doses up to</w:t>
      </w:r>
      <w:r w:rsidR="007504A5">
        <w:t xml:space="preserve"> 3 mg/kg and SC doses up to 200</w:t>
      </w:r>
      <w:r w:rsidR="00367960">
        <w:t> </w:t>
      </w:r>
      <w:r w:rsidRPr="005D7A92">
        <w:t>mg.</w:t>
      </w:r>
      <w:r w:rsidR="00F971ED">
        <w:t xml:space="preserve"> </w:t>
      </w:r>
      <w:r w:rsidRPr="005D7A92">
        <w:t xml:space="preserve">The effects on eosinophil count over time and upon other biomarkers were described and used to inform the </w:t>
      </w:r>
      <w:r w:rsidR="007504A5">
        <w:t>Phase II</w:t>
      </w:r>
      <w:r w:rsidRPr="005D7A92">
        <w:t xml:space="preserve"> studies.</w:t>
      </w:r>
    </w:p>
    <w:p w14:paraId="59E0194E" w14:textId="77777777" w:rsidR="005D7A92" w:rsidRPr="00545B14" w:rsidRDefault="005D7A92" w:rsidP="005D7A92">
      <w:pPr>
        <w:pStyle w:val="Heading4"/>
      </w:pPr>
      <w:bookmarkStart w:id="100" w:name="_Toc416353696"/>
      <w:bookmarkStart w:id="101" w:name="_Toc421005263"/>
      <w:bookmarkStart w:id="102" w:name="_Toc432079145"/>
      <w:bookmarkStart w:id="103" w:name="_Toc432080718"/>
      <w:bookmarkStart w:id="104" w:name="_Toc488077851"/>
      <w:r w:rsidRPr="005C1900">
        <w:lastRenderedPageBreak/>
        <w:t>Phase</w:t>
      </w:r>
      <w:r w:rsidRPr="00545B14">
        <w:t xml:space="preserve"> II </w:t>
      </w:r>
      <w:r>
        <w:t>d</w:t>
      </w:r>
      <w:r w:rsidRPr="00545B14">
        <w:t xml:space="preserve">ose </w:t>
      </w:r>
      <w:r>
        <w:t>finding</w:t>
      </w:r>
      <w:r w:rsidRPr="00545B14">
        <w:t xml:space="preserve"> </w:t>
      </w:r>
      <w:r>
        <w:t>s</w:t>
      </w:r>
      <w:r w:rsidRPr="00545B14">
        <w:t>tudies</w:t>
      </w:r>
      <w:bookmarkEnd w:id="100"/>
      <w:bookmarkEnd w:id="101"/>
      <w:bookmarkEnd w:id="102"/>
      <w:bookmarkEnd w:id="103"/>
      <w:bookmarkEnd w:id="104"/>
    </w:p>
    <w:p w14:paraId="0537991C" w14:textId="77777777" w:rsidR="005D7A92" w:rsidRPr="005D7A92" w:rsidRDefault="005D7A92" w:rsidP="005D7A92">
      <w:r w:rsidRPr="005D7A92">
        <w:t xml:space="preserve">The </w:t>
      </w:r>
      <w:r w:rsidR="007504A5">
        <w:t>Phase II</w:t>
      </w:r>
      <w:r w:rsidRPr="005D7A92">
        <w:t xml:space="preserve"> studies examined 1 mg/kg and 2 mg/kg IV doses and SC doses in the range 2</w:t>
      </w:r>
      <w:r w:rsidR="00367960">
        <w:t> </w:t>
      </w:r>
      <w:r w:rsidRPr="005D7A92">
        <w:t>mg to 200 mg.</w:t>
      </w:r>
      <w:r w:rsidR="00F971ED">
        <w:t xml:space="preserve"> </w:t>
      </w:r>
      <w:r w:rsidRPr="005D7A92">
        <w:t xml:space="preserve">Study MI-CP220 examined 2, 20, and 100 mg SC </w:t>
      </w:r>
      <w:r w:rsidR="00367960">
        <w:t>once every 8 weeks (</w:t>
      </w:r>
      <w:r w:rsidRPr="005D7A92">
        <w:t>Q8W</w:t>
      </w:r>
      <w:r w:rsidR="00367960">
        <w:t>)</w:t>
      </w:r>
      <w:r w:rsidRPr="005D7A92">
        <w:t xml:space="preserve"> </w:t>
      </w:r>
      <w:r w:rsidR="00367960" w:rsidRPr="005D7A92">
        <w:t>regimens</w:t>
      </w:r>
      <w:r w:rsidRPr="005D7A92">
        <w:t xml:space="preserve"> and following this study the 30 mg SC </w:t>
      </w:r>
      <w:r w:rsidR="00367960">
        <w:t>once every four weeks (</w:t>
      </w:r>
      <w:r w:rsidRPr="005D7A92">
        <w:t>Q4W</w:t>
      </w:r>
      <w:r w:rsidR="00367960">
        <w:t>)</w:t>
      </w:r>
      <w:r w:rsidRPr="005D7A92">
        <w:t xml:space="preserve"> and Q8W regimens were used in the pivotal studies.</w:t>
      </w:r>
    </w:p>
    <w:p w14:paraId="40F97D7F" w14:textId="77777777" w:rsidR="005D7A92" w:rsidRPr="00670FF0" w:rsidRDefault="005D7A92" w:rsidP="005D7A92">
      <w:pPr>
        <w:pStyle w:val="Heading4"/>
      </w:pPr>
      <w:bookmarkStart w:id="105" w:name="_Toc416353712"/>
      <w:bookmarkStart w:id="106" w:name="_Toc421005265"/>
      <w:bookmarkStart w:id="107" w:name="_Toc432079147"/>
      <w:bookmarkStart w:id="108" w:name="_Toc432080720"/>
      <w:bookmarkStart w:id="109" w:name="_Toc488077852"/>
      <w:r w:rsidRPr="00670FF0">
        <w:t>Phase III pivotal studies investigating more than one dose regimen</w:t>
      </w:r>
      <w:bookmarkEnd w:id="105"/>
      <w:bookmarkEnd w:id="106"/>
      <w:bookmarkEnd w:id="107"/>
      <w:bookmarkEnd w:id="108"/>
      <w:bookmarkEnd w:id="109"/>
    </w:p>
    <w:p w14:paraId="3E503F10" w14:textId="77777777" w:rsidR="005D7A92" w:rsidRPr="005D7A92" w:rsidRDefault="005D7A92" w:rsidP="005D7A92">
      <w:r w:rsidRPr="005D7A92">
        <w:t>The pivotal studies investigated two SC dosing regimens:</w:t>
      </w:r>
    </w:p>
    <w:p w14:paraId="27901F0F" w14:textId="77777777" w:rsidR="005D7A92" w:rsidRPr="005D7A92" w:rsidRDefault="005D7A92" w:rsidP="005D7A92">
      <w:pPr>
        <w:pStyle w:val="ListBullet"/>
      </w:pPr>
      <w:r w:rsidRPr="005D7A92">
        <w:t>30 mg Q4W</w:t>
      </w:r>
    </w:p>
    <w:p w14:paraId="5F04388C" w14:textId="77777777" w:rsidR="005D7A92" w:rsidRPr="005D7A92" w:rsidRDefault="005D7A92" w:rsidP="005D7A92">
      <w:pPr>
        <w:pStyle w:val="ListBullet"/>
      </w:pPr>
      <w:r w:rsidRPr="005D7A92">
        <w:t>30 mg Q4W for three doses then Q8W</w:t>
      </w:r>
    </w:p>
    <w:p w14:paraId="3FFA323E" w14:textId="77777777" w:rsidR="005D7A92" w:rsidRPr="005D7A92" w:rsidRDefault="005D7A92" w:rsidP="005D7A92">
      <w:r>
        <w:t>T</w:t>
      </w:r>
      <w:r w:rsidRPr="005D7A92">
        <w:t>here was no significant difference between the dose levels in efficacy.</w:t>
      </w:r>
    </w:p>
    <w:p w14:paraId="7C665720" w14:textId="32F766CF" w:rsidR="005D7A92" w:rsidRPr="005D7A92" w:rsidRDefault="005D7A92" w:rsidP="005D7A92">
      <w:r w:rsidRPr="005D7A92">
        <w:t xml:space="preserve">The </w:t>
      </w:r>
      <w:r w:rsidR="007504A5">
        <w:t>sponsor</w:t>
      </w:r>
      <w:r w:rsidRPr="005D7A92">
        <w:t xml:space="preserve"> also performed PK</w:t>
      </w:r>
      <w:r w:rsidR="00EC07DA">
        <w:t>/</w:t>
      </w:r>
      <w:r w:rsidRPr="005D7A92">
        <w:t>PD modelling of the concentration response relationship which confirmed the Q8W dosing regimen would provide the optimal exposure.</w:t>
      </w:r>
    </w:p>
    <w:p w14:paraId="7D296853" w14:textId="77777777" w:rsidR="008E7846" w:rsidRPr="00254787" w:rsidRDefault="008E7846" w:rsidP="008E7846">
      <w:pPr>
        <w:pStyle w:val="Heading3"/>
      </w:pPr>
      <w:bookmarkStart w:id="110" w:name="_Toc163441372"/>
      <w:bookmarkStart w:id="111" w:name="_Toc196046485"/>
      <w:bookmarkStart w:id="112" w:name="_Toc247691521"/>
      <w:bookmarkStart w:id="113" w:name="_Toc314842504"/>
      <w:bookmarkStart w:id="114" w:name="_Toc1653592"/>
      <w:r w:rsidRPr="00254787">
        <w:t>Efficacy</w:t>
      </w:r>
      <w:bookmarkEnd w:id="110"/>
      <w:bookmarkEnd w:id="111"/>
      <w:bookmarkEnd w:id="112"/>
      <w:bookmarkEnd w:id="113"/>
      <w:bookmarkEnd w:id="114"/>
    </w:p>
    <w:p w14:paraId="3894222D" w14:textId="77777777" w:rsidR="00605AD4" w:rsidRDefault="00605AD4" w:rsidP="00605AD4">
      <w:pPr>
        <w:pStyle w:val="Heading4"/>
      </w:pPr>
      <w:bookmarkStart w:id="115" w:name="_Toc184439992"/>
      <w:bookmarkStart w:id="116" w:name="_Toc184440279"/>
      <w:bookmarkStart w:id="117" w:name="_Toc184444657"/>
      <w:bookmarkStart w:id="118" w:name="_Toc196046487"/>
      <w:r>
        <w:t>Studies providing efficacy data</w:t>
      </w:r>
    </w:p>
    <w:p w14:paraId="25EFF316" w14:textId="77777777" w:rsidR="005D7A92" w:rsidRPr="005D7A92" w:rsidRDefault="005D7A92" w:rsidP="005D7A92">
      <w:r w:rsidRPr="005D7A92">
        <w:t>The submission contained three pivotal studies:</w:t>
      </w:r>
    </w:p>
    <w:p w14:paraId="014D6B90" w14:textId="177EB22E" w:rsidR="005D7A92" w:rsidRPr="005D7A92" w:rsidRDefault="005D7A92" w:rsidP="005D7A92">
      <w:pPr>
        <w:pStyle w:val="ListBullet"/>
      </w:pPr>
      <w:r w:rsidRPr="005D7A92">
        <w:t>Study D3250C00017 (SIROCCO</w:t>
      </w:r>
      <w:r w:rsidR="00D81D13">
        <w:t xml:space="preserve"> trial</w:t>
      </w:r>
      <w:r w:rsidRPr="005D7A92">
        <w:t>)</w:t>
      </w:r>
    </w:p>
    <w:p w14:paraId="12241B41" w14:textId="72863FDC" w:rsidR="005D7A92" w:rsidRPr="005D7A92" w:rsidRDefault="005D7A92" w:rsidP="005D7A92">
      <w:pPr>
        <w:pStyle w:val="ListBullet"/>
      </w:pPr>
      <w:r w:rsidRPr="005D7A92">
        <w:t>Study D3250C00018 (CALIMA</w:t>
      </w:r>
      <w:r w:rsidR="00D81D13">
        <w:t xml:space="preserve"> trial</w:t>
      </w:r>
      <w:r w:rsidRPr="005D7A92">
        <w:t>)</w:t>
      </w:r>
    </w:p>
    <w:p w14:paraId="0E3638FA" w14:textId="234CE11F" w:rsidR="005D7A92" w:rsidRPr="005D7A92" w:rsidRDefault="005D7A92" w:rsidP="005D7A92">
      <w:pPr>
        <w:pStyle w:val="ListBullet"/>
      </w:pPr>
      <w:r w:rsidRPr="005D7A92">
        <w:t>Study D3250C00020 (ZONDA</w:t>
      </w:r>
      <w:r w:rsidR="00D81D13">
        <w:t xml:space="preserve"> trial</w:t>
      </w:r>
      <w:r w:rsidRPr="005D7A92">
        <w:t>)</w:t>
      </w:r>
    </w:p>
    <w:p w14:paraId="51347BD0" w14:textId="77777777" w:rsidR="005D7A92" w:rsidRPr="005D7A92" w:rsidRDefault="005D7A92" w:rsidP="005D7A92">
      <w:r w:rsidRPr="005D7A92">
        <w:t>The submission also contained six other efficacy studies:</w:t>
      </w:r>
    </w:p>
    <w:p w14:paraId="657ECA77" w14:textId="77777777" w:rsidR="005D7A92" w:rsidRPr="005D7A92" w:rsidRDefault="005D7A92" w:rsidP="005D7A92">
      <w:pPr>
        <w:pStyle w:val="ListBullet"/>
      </w:pPr>
      <w:r w:rsidRPr="005D7A92">
        <w:t>Study MI-CP186</w:t>
      </w:r>
    </w:p>
    <w:p w14:paraId="4C2A2EF7" w14:textId="77777777" w:rsidR="005D7A92" w:rsidRPr="005D7A92" w:rsidRDefault="005D7A92" w:rsidP="005D7A92">
      <w:pPr>
        <w:pStyle w:val="ListBullet"/>
      </w:pPr>
      <w:r w:rsidRPr="005D7A92">
        <w:t>Study MI-CP197</w:t>
      </w:r>
    </w:p>
    <w:p w14:paraId="09589D9D" w14:textId="77777777" w:rsidR="005D7A92" w:rsidRPr="005D7A92" w:rsidRDefault="005D7A92" w:rsidP="005D7A92">
      <w:pPr>
        <w:pStyle w:val="ListBullet"/>
      </w:pPr>
      <w:r w:rsidRPr="005D7A92">
        <w:t>Study MI-CP220</w:t>
      </w:r>
    </w:p>
    <w:p w14:paraId="27A34862" w14:textId="77777777" w:rsidR="005D7A92" w:rsidRPr="005D7A92" w:rsidRDefault="005D7A92" w:rsidP="005D7A92">
      <w:pPr>
        <w:pStyle w:val="ListBullet"/>
      </w:pPr>
      <w:r w:rsidRPr="005D7A92">
        <w:t>Study D3250C00016</w:t>
      </w:r>
    </w:p>
    <w:p w14:paraId="3E1CA1DB" w14:textId="77777777" w:rsidR="005D7A92" w:rsidRPr="005D7A92" w:rsidRDefault="005D7A92" w:rsidP="005D7A92">
      <w:pPr>
        <w:pStyle w:val="ListBullet"/>
      </w:pPr>
      <w:r w:rsidRPr="005D7A92">
        <w:t>Study D3250C00032</w:t>
      </w:r>
    </w:p>
    <w:p w14:paraId="6B7A289F" w14:textId="77777777" w:rsidR="00500337" w:rsidRPr="00500337" w:rsidRDefault="005D7A92" w:rsidP="00500337">
      <w:pPr>
        <w:pStyle w:val="ListBullet"/>
      </w:pPr>
      <w:r w:rsidRPr="005D7A92">
        <w:t>Study D3250C00032</w:t>
      </w:r>
      <w:r w:rsidR="00816DE9">
        <w:t>.</w:t>
      </w:r>
    </w:p>
    <w:p w14:paraId="48754257" w14:textId="77777777" w:rsidR="008E7846" w:rsidRDefault="00605AD4" w:rsidP="00605AD4">
      <w:pPr>
        <w:pStyle w:val="Heading4"/>
      </w:pPr>
      <w:r>
        <w:t>Evaluator’s conclusions on efficacy</w:t>
      </w:r>
    </w:p>
    <w:p w14:paraId="557ED0B5" w14:textId="6D3F9735" w:rsidR="005D7A92" w:rsidRPr="006E6793" w:rsidRDefault="005D7A92" w:rsidP="005D7A92">
      <w:bookmarkStart w:id="119" w:name="_Toc163441378"/>
      <w:bookmarkStart w:id="120" w:name="_Toc196046495"/>
      <w:bookmarkStart w:id="121" w:name="_Toc247691522"/>
      <w:bookmarkStart w:id="122" w:name="_Toc314842505"/>
      <w:bookmarkEnd w:id="115"/>
      <w:bookmarkEnd w:id="116"/>
      <w:bookmarkEnd w:id="117"/>
      <w:bookmarkEnd w:id="118"/>
      <w:r w:rsidRPr="005D7A92">
        <w:t xml:space="preserve">Benralizumab 30 mg Q8W reduces the rate of exacerbations by 40%, improves </w:t>
      </w:r>
      <w:r w:rsidR="005E3545">
        <w:t>forced expiratory volume in 1 second</w:t>
      </w:r>
      <w:r w:rsidR="005E3545" w:rsidRPr="005D7A92">
        <w:t xml:space="preserve"> </w:t>
      </w:r>
      <w:r w:rsidR="005E3545">
        <w:t>(</w:t>
      </w:r>
      <w:r w:rsidRPr="005D7A92">
        <w:t>FEV1</w:t>
      </w:r>
      <w:r w:rsidR="005E3545">
        <w:t>)</w:t>
      </w:r>
      <w:r w:rsidRPr="005D7A92">
        <w:t xml:space="preserve"> by 0.16 L and improves asthma symptoms in patients with severe asthma with frequent exacerbations and/</w:t>
      </w:r>
      <w:r w:rsidR="00F511F9" w:rsidRPr="005D7A92">
        <w:t xml:space="preserve">or </w:t>
      </w:r>
      <w:r w:rsidR="00F511F9">
        <w:t>oral corticosteroid</w:t>
      </w:r>
      <w:r w:rsidR="00F511F9" w:rsidRPr="005D7A92">
        <w:t xml:space="preserve"> </w:t>
      </w:r>
      <w:r w:rsidR="00F511F9">
        <w:t>(</w:t>
      </w:r>
      <w:r w:rsidRPr="005D7A92">
        <w:t>OCS</w:t>
      </w:r>
      <w:r w:rsidR="00F511F9">
        <w:t>)</w:t>
      </w:r>
      <w:r w:rsidRPr="005D7A92">
        <w:t xml:space="preserve"> use.</w:t>
      </w:r>
      <w:r w:rsidR="00F971ED">
        <w:t xml:space="preserve"> </w:t>
      </w:r>
      <w:r w:rsidRPr="005D7A92">
        <w:t>Study D3250C00017 (SIROCCO</w:t>
      </w:r>
      <w:r w:rsidR="00AD6903">
        <w:t xml:space="preserve"> trial</w:t>
      </w:r>
      <w:r w:rsidRPr="005D7A92">
        <w:t>) and Study D3250C00018 (CALIMA</w:t>
      </w:r>
      <w:r w:rsidR="00AD6903">
        <w:t xml:space="preserve"> trial</w:t>
      </w:r>
      <w:r w:rsidRPr="005D7A92">
        <w:t>) demonstrated the decrease in the rate of asthma exacerbations in patients with severe asthma (requiring maximum ICS and LABA) with frequent exacerbations (</w:t>
      </w:r>
      <w:r w:rsidR="00367960">
        <w:t xml:space="preserve">≥ 2 per </w:t>
      </w:r>
      <w:r w:rsidRPr="005D7A92">
        <w:t xml:space="preserve">year) and/or OCS use, and </w:t>
      </w:r>
      <w:r w:rsidRPr="006E6793">
        <w:t xml:space="preserve">eosinophils </w:t>
      </w:r>
      <w:r w:rsidR="007504A5" w:rsidRPr="006E6793">
        <w:t xml:space="preserve">≥ </w:t>
      </w:r>
      <w:r w:rsidRPr="006E6793">
        <w:t>300 /µL.</w:t>
      </w:r>
      <w:r w:rsidR="00F971ED" w:rsidRPr="006E6793">
        <w:t xml:space="preserve"> </w:t>
      </w:r>
      <w:r w:rsidRPr="006E6793">
        <w:t>Efficacy was demonstrated for both the Q4W and Q8W regimens, with no significant differences between these groups.</w:t>
      </w:r>
      <w:r w:rsidR="00F971ED" w:rsidRPr="006E6793">
        <w:t xml:space="preserve"> </w:t>
      </w:r>
      <w:r w:rsidRPr="006E6793">
        <w:t xml:space="preserve">There were modest improvements in morning and evening </w:t>
      </w:r>
      <w:r w:rsidR="00F511F9" w:rsidRPr="006E6793">
        <w:t>peak expiratory flow (</w:t>
      </w:r>
      <w:r w:rsidRPr="006E6793">
        <w:t>PEF</w:t>
      </w:r>
      <w:r w:rsidR="00F511F9" w:rsidRPr="006E6793">
        <w:t>)</w:t>
      </w:r>
      <w:r w:rsidRPr="006E6793">
        <w:t xml:space="preserve"> in the benralizumab groups compared to placebo.</w:t>
      </w:r>
      <w:r w:rsidR="00F971ED" w:rsidRPr="006E6793">
        <w:t xml:space="preserve"> </w:t>
      </w:r>
      <w:r w:rsidRPr="006E6793">
        <w:t>Improvement in asthma symptoms, as measured by asthma scores, was demonstrated for the Q8W regimen.</w:t>
      </w:r>
      <w:r w:rsidR="00F971ED" w:rsidRPr="006E6793">
        <w:t xml:space="preserve"> </w:t>
      </w:r>
      <w:r w:rsidRPr="006E6793">
        <w:t>Improvement in quality of life measures was demonstrated for the Q8W regimen.</w:t>
      </w:r>
      <w:r w:rsidR="00F971ED" w:rsidRPr="006E6793">
        <w:t xml:space="preserve"> </w:t>
      </w:r>
      <w:r w:rsidRPr="006E6793">
        <w:t>There may be some decrease in healthcare utilisation but no hypothesis tests were provided to demonstrate this.</w:t>
      </w:r>
    </w:p>
    <w:p w14:paraId="7D198611" w14:textId="77777777" w:rsidR="005D7A92" w:rsidRPr="006E6793" w:rsidRDefault="005D7A92" w:rsidP="005D7A92">
      <w:r w:rsidRPr="006E6793">
        <w:lastRenderedPageBreak/>
        <w:t>The decrease in exacerbations of 40% is clinically significant.</w:t>
      </w:r>
      <w:r w:rsidR="00F971ED" w:rsidRPr="006E6793">
        <w:t xml:space="preserve"> </w:t>
      </w:r>
      <w:r w:rsidRPr="006E6793">
        <w:t xml:space="preserve">The improvement in FEV1 represents a 10% improvement from baseline, which is likely to be noticed by patients, and is therefore, in the opinion of the </w:t>
      </w:r>
      <w:r w:rsidR="00367960" w:rsidRPr="006E6793">
        <w:t>e</w:t>
      </w:r>
      <w:r w:rsidRPr="006E6793">
        <w:t>valuator, clinically significant.</w:t>
      </w:r>
      <w:r w:rsidR="00F971ED" w:rsidRPr="006E6793">
        <w:t xml:space="preserve"> </w:t>
      </w:r>
      <w:r w:rsidRPr="006E6793">
        <w:t xml:space="preserve">The improvement in asthma scores are also 10% on baseline, and in the opinion of the </w:t>
      </w:r>
      <w:r w:rsidR="00367960" w:rsidRPr="006E6793">
        <w:t>e</w:t>
      </w:r>
      <w:r w:rsidRPr="006E6793">
        <w:t>valuator would be unlikely to be noticed by patients, and therefore not clinically significant.</w:t>
      </w:r>
    </w:p>
    <w:p w14:paraId="573943F8" w14:textId="7C66775B" w:rsidR="005D7A92" w:rsidRPr="006E6793" w:rsidRDefault="005D7A92" w:rsidP="005D7A92">
      <w:r w:rsidRPr="006E6793">
        <w:t xml:space="preserve">Benefit was not demonstrated for patents with eosinophilia </w:t>
      </w:r>
      <w:r w:rsidR="007504A5" w:rsidRPr="006E6793">
        <w:t xml:space="preserve">&lt; </w:t>
      </w:r>
      <w:r w:rsidRPr="006E6793">
        <w:t>300 /µL.</w:t>
      </w:r>
      <w:r w:rsidR="00F971ED" w:rsidRPr="006E6793">
        <w:t xml:space="preserve"> </w:t>
      </w:r>
      <w:r w:rsidRPr="006E6793">
        <w:t xml:space="preserve">Subgroup analysis suggested lack of efficacy in the 12 to </w:t>
      </w:r>
      <w:r w:rsidR="007504A5" w:rsidRPr="006E6793">
        <w:t xml:space="preserve">&lt; </w:t>
      </w:r>
      <w:r w:rsidRPr="006E6793">
        <w:t xml:space="preserve">18 years age group and </w:t>
      </w:r>
      <w:r w:rsidR="007F2111">
        <w:t>in B</w:t>
      </w:r>
      <w:r w:rsidR="00825F08">
        <w:t>lack</w:t>
      </w:r>
      <w:r w:rsidR="00FE7DC0">
        <w:t xml:space="preserve"> or </w:t>
      </w:r>
      <w:r w:rsidRPr="006E6793">
        <w:t>African Americans.</w:t>
      </w:r>
    </w:p>
    <w:p w14:paraId="4AF15C6E" w14:textId="3B98BC46" w:rsidR="005D7A92" w:rsidRPr="006E6793" w:rsidRDefault="005D7A92" w:rsidP="005D7A92">
      <w:r w:rsidRPr="006E6793">
        <w:t>Benralizumab 30 mg Q8W decreases the OCS dose in patients with severe asthma who are OCS dependent.</w:t>
      </w:r>
      <w:r w:rsidR="00F971ED" w:rsidRPr="006E6793">
        <w:t xml:space="preserve"> </w:t>
      </w:r>
      <w:r w:rsidRPr="006E6793">
        <w:t>Study D3250C00020 (ZONDA</w:t>
      </w:r>
      <w:r w:rsidR="00AD6903">
        <w:t xml:space="preserve"> trial</w:t>
      </w:r>
      <w:r w:rsidRPr="006E6793">
        <w:t>) demonstrated a decrease in OCS dose, and a decreased rate of exacerbations, in patients who were steroid dependent and on maximum anti-asthma treatment.</w:t>
      </w:r>
      <w:r w:rsidR="00F971ED" w:rsidRPr="006E6793">
        <w:t xml:space="preserve"> </w:t>
      </w:r>
      <w:r w:rsidRPr="006E6793">
        <w:t>These patients represent the most severe group of patients with asthma.</w:t>
      </w:r>
      <w:r w:rsidR="00F971ED" w:rsidRPr="006E6793">
        <w:t xml:space="preserve"> </w:t>
      </w:r>
      <w:r w:rsidRPr="006E6793">
        <w:t>The improvements were clinically and statistically significant.</w:t>
      </w:r>
      <w:r w:rsidR="00F971ED" w:rsidRPr="006E6793">
        <w:t xml:space="preserve"> </w:t>
      </w:r>
      <w:r w:rsidRPr="006E6793">
        <w:t>However, no significant differences were demonstrated in measures of lung function, asthma symptom scores or quality of life measures.</w:t>
      </w:r>
    </w:p>
    <w:p w14:paraId="2873D1E9" w14:textId="77777777" w:rsidR="005D7A92" w:rsidRPr="006E6793" w:rsidRDefault="005D7A92" w:rsidP="005D7A92">
      <w:r w:rsidRPr="006E6793">
        <w:t>The results were inconsistent between the Q4W and Q8W for lung function and asthma symptoms.</w:t>
      </w:r>
      <w:r w:rsidR="00F971ED" w:rsidRPr="006E6793">
        <w:t xml:space="preserve"> </w:t>
      </w:r>
      <w:r w:rsidRPr="006E6793">
        <w:t>The Q8W regiment demonstrated improvement but this was not convincingly demonstrated for Q4W.</w:t>
      </w:r>
      <w:r w:rsidR="00F971ED" w:rsidRPr="006E6793">
        <w:t xml:space="preserve"> </w:t>
      </w:r>
      <w:r w:rsidRPr="006E6793">
        <w:t>These results are inconsistent because it would be expected that the more frequent dosing would have equal or greater efficacy.</w:t>
      </w:r>
    </w:p>
    <w:p w14:paraId="7E48AB56" w14:textId="77777777" w:rsidR="005D7A92" w:rsidRPr="005D7A92" w:rsidRDefault="005D7A92" w:rsidP="005D7A92">
      <w:r w:rsidRPr="006E6793">
        <w:t>Benralizumab did not result in significant improvement in patients with mild or moderate asthma.</w:t>
      </w:r>
      <w:r w:rsidR="00F971ED" w:rsidRPr="006E6793">
        <w:t xml:space="preserve"> </w:t>
      </w:r>
      <w:r w:rsidRPr="006E6793">
        <w:t>Study D3250C00032 was conducted in patients with mild to moderate persistent</w:t>
      </w:r>
      <w:r w:rsidRPr="005D7A92">
        <w:t xml:space="preserve"> asthma and although there was an 80 mL improvement in FEV1 the secondary efficacy outcome measures did not demonstrate benefit.</w:t>
      </w:r>
      <w:r w:rsidR="00F971ED">
        <w:t xml:space="preserve"> </w:t>
      </w:r>
      <w:r w:rsidRPr="005D7A92">
        <w:t>This amount of benefit would not be clinically significant in this patient group.</w:t>
      </w:r>
    </w:p>
    <w:p w14:paraId="44E1FE53" w14:textId="5660F285" w:rsidR="005D7A92" w:rsidRPr="00367960" w:rsidRDefault="005D7A92" w:rsidP="005D7A92">
      <w:r w:rsidRPr="005D7A92">
        <w:t xml:space="preserve">The statistical analysis for some of the outcome measures (lung function and asthma scores) was </w:t>
      </w:r>
      <w:r w:rsidR="005E3545">
        <w:t>mixed-effect model for repeated measures</w:t>
      </w:r>
      <w:r w:rsidR="005E3545" w:rsidRPr="005D7A92">
        <w:t xml:space="preserve"> </w:t>
      </w:r>
      <w:r w:rsidR="005E3545">
        <w:t>(</w:t>
      </w:r>
      <w:r w:rsidRPr="005D7A92">
        <w:t>MMRM</w:t>
      </w:r>
      <w:r w:rsidR="005E3545">
        <w:t>)</w:t>
      </w:r>
      <w:r w:rsidRPr="005D7A92">
        <w:t xml:space="preserve"> which is an extremely powerful statistical technique.</w:t>
      </w:r>
      <w:r w:rsidR="00F971ED">
        <w:t xml:space="preserve"> </w:t>
      </w:r>
      <w:r w:rsidRPr="005D7A92">
        <w:t>All of the measures taken during the study period would have been included in the analysis, resulting in much greater power than using measures from a single time-point.</w:t>
      </w:r>
      <w:r w:rsidR="00F971ED">
        <w:t xml:space="preserve"> </w:t>
      </w:r>
      <w:r w:rsidRPr="005D7A92">
        <w:t xml:space="preserve">Hence, the precision of some the estimates, as measured by 95% </w:t>
      </w:r>
      <w:r w:rsidR="002A4756">
        <w:t>confidence interval</w:t>
      </w:r>
      <w:r w:rsidR="002A4756" w:rsidRPr="005D7A92">
        <w:t xml:space="preserve"> </w:t>
      </w:r>
      <w:r w:rsidR="002A4756">
        <w:t>(</w:t>
      </w:r>
      <w:r w:rsidRPr="005D7A92">
        <w:t>CI</w:t>
      </w:r>
      <w:r w:rsidR="002A4756">
        <w:t>)</w:t>
      </w:r>
      <w:r w:rsidRPr="005D7A92">
        <w:t xml:space="preserve"> and p values, should be interpreted with caution.</w:t>
      </w:r>
      <w:r w:rsidR="00F971ED">
        <w:t xml:space="preserve"> </w:t>
      </w:r>
      <w:r w:rsidRPr="005D7A92">
        <w:t>This can be illustrated by comparing the results of the 95% CIs at each study visit with the results of the MMRM analysis as in Study D3250C00017 (SIROCCO</w:t>
      </w:r>
      <w:r w:rsidR="00AD6903">
        <w:t xml:space="preserve"> trial</w:t>
      </w:r>
      <w:r w:rsidRPr="005D7A92">
        <w:t xml:space="preserve">) with </w:t>
      </w:r>
      <w:hyperlink w:anchor="Figure_7_2_1_4" w:history="1">
        <w:r w:rsidRPr="00367960">
          <w:rPr>
            <w:rStyle w:val="Hyperlink"/>
            <w:color w:val="auto"/>
            <w:u w:val="none"/>
          </w:rPr>
          <w:t xml:space="preserve">Figure </w:t>
        </w:r>
        <w:r w:rsidR="004D70B4">
          <w:rPr>
            <w:rStyle w:val="Hyperlink"/>
            <w:color w:val="auto"/>
            <w:u w:val="none"/>
          </w:rPr>
          <w:t>1</w:t>
        </w:r>
      </w:hyperlink>
      <w:r w:rsidRPr="00367960">
        <w:t xml:space="preserve"> and </w:t>
      </w:r>
      <w:hyperlink w:anchor="Figure_7_2_1_5" w:history="1">
        <w:r w:rsidR="004D70B4">
          <w:rPr>
            <w:rStyle w:val="Hyperlink"/>
            <w:color w:val="auto"/>
            <w:u w:val="none"/>
          </w:rPr>
          <w:t>Figure 2</w:t>
        </w:r>
      </w:hyperlink>
      <w:r w:rsidRPr="00367960">
        <w:t>; and Study D3250C00018 (CALIMA</w:t>
      </w:r>
      <w:r w:rsidR="00AD6903">
        <w:t xml:space="preserve"> trial</w:t>
      </w:r>
      <w:r w:rsidRPr="00367960">
        <w:t xml:space="preserve">) with </w:t>
      </w:r>
      <w:hyperlink w:anchor="Figure_7_2_2_4" w:history="1">
        <w:r w:rsidRPr="00367960">
          <w:rPr>
            <w:rStyle w:val="Hyperlink"/>
            <w:color w:val="auto"/>
            <w:u w:val="none"/>
          </w:rPr>
          <w:t xml:space="preserve">Figure </w:t>
        </w:r>
        <w:r w:rsidR="004D70B4">
          <w:rPr>
            <w:rStyle w:val="Hyperlink"/>
            <w:color w:val="auto"/>
            <w:u w:val="none"/>
          </w:rPr>
          <w:t>3</w:t>
        </w:r>
      </w:hyperlink>
      <w:r w:rsidRPr="00367960">
        <w:t xml:space="preserve"> and </w:t>
      </w:r>
      <w:hyperlink w:anchor="Figure_7_2_2_5" w:history="1">
        <w:r w:rsidRPr="00367960">
          <w:rPr>
            <w:rStyle w:val="Hyperlink"/>
            <w:color w:val="auto"/>
            <w:u w:val="none"/>
          </w:rPr>
          <w:t xml:space="preserve">Figure </w:t>
        </w:r>
        <w:r w:rsidR="004D70B4">
          <w:rPr>
            <w:rStyle w:val="Hyperlink"/>
            <w:color w:val="auto"/>
            <w:u w:val="none"/>
          </w:rPr>
          <w:t>4</w:t>
        </w:r>
      </w:hyperlink>
      <w:r w:rsidRPr="00367960">
        <w:t>.</w:t>
      </w:r>
    </w:p>
    <w:p w14:paraId="2CE68833" w14:textId="2C7D1940" w:rsidR="00F33FCE" w:rsidRDefault="004D70B4" w:rsidP="00F33FCE">
      <w:pPr>
        <w:pStyle w:val="FigureTitle"/>
      </w:pPr>
      <w:r>
        <w:lastRenderedPageBreak/>
        <w:t xml:space="preserve">Figure 1: </w:t>
      </w:r>
      <w:r w:rsidR="00F33FCE" w:rsidRPr="00EC5B1A">
        <w:t xml:space="preserve">Change from </w:t>
      </w:r>
      <w:r w:rsidR="002809EA">
        <w:t>B</w:t>
      </w:r>
      <w:r w:rsidR="00F33FCE" w:rsidRPr="00EC5B1A">
        <w:t xml:space="preserve">aseline in pre-bronchodilator FEV1 (L) by </w:t>
      </w:r>
      <w:r w:rsidR="00367960" w:rsidRPr="00EC5B1A">
        <w:t>time point</w:t>
      </w:r>
      <w:r w:rsidR="00F33FCE" w:rsidRPr="00EC5B1A">
        <w:t xml:space="preserve"> (Full</w:t>
      </w:r>
      <w:r w:rsidR="002809EA">
        <w:t> </w:t>
      </w:r>
      <w:r w:rsidR="00F33FCE" w:rsidRPr="00EC5B1A">
        <w:t xml:space="preserve">analysis set, baseline blood eosinophils </w:t>
      </w:r>
      <w:r w:rsidR="007504A5">
        <w:t xml:space="preserve">≥ </w:t>
      </w:r>
      <w:r w:rsidR="00F33FCE" w:rsidRPr="00EC5B1A">
        <w:t>300/</w:t>
      </w:r>
      <w:r w:rsidR="00D81D13">
        <w:t>µ</w:t>
      </w:r>
      <w:r w:rsidR="00F33FCE" w:rsidRPr="00EC5B1A">
        <w:t>L) (</w:t>
      </w:r>
      <w:r w:rsidR="00367960">
        <w:t>Study D3250C00017</w:t>
      </w:r>
      <w:r w:rsidR="00816DE9">
        <w:t xml:space="preserve"> (</w:t>
      </w:r>
      <w:r w:rsidR="00816DE9" w:rsidRPr="005D7A92">
        <w:t>SIROCCO</w:t>
      </w:r>
      <w:r w:rsidR="00AD6903">
        <w:t xml:space="preserve"> trial</w:t>
      </w:r>
      <w:r w:rsidR="00816DE9">
        <w:t>)</w:t>
      </w:r>
      <w:r w:rsidR="00F33FCE" w:rsidRPr="00367EAA">
        <w:t>)</w:t>
      </w:r>
    </w:p>
    <w:p w14:paraId="2303E266" w14:textId="77777777" w:rsidR="00F33FCE" w:rsidRDefault="00F33FCE" w:rsidP="005D7A92">
      <w:r>
        <w:rPr>
          <w:noProof/>
          <w:lang w:eastAsia="en-AU"/>
        </w:rPr>
        <w:drawing>
          <wp:inline distT="0" distB="0" distL="0" distR="0" wp14:anchorId="7F5F638C" wp14:editId="097AF763">
            <wp:extent cx="5400040" cy="3636373"/>
            <wp:effectExtent l="0" t="0" r="0" b="2540"/>
            <wp:docPr id="2" name="Picture 2" descr="Figure 1: Change from baseline in pre-bronchodilator FEV1 (L) by time point (Full analysis set, baseline blood eosinophils ≥ 300/μL) (Study D3250C00017 (SI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636373"/>
                    </a:xfrm>
                    <a:prstGeom prst="rect">
                      <a:avLst/>
                    </a:prstGeom>
                  </pic:spPr>
                </pic:pic>
              </a:graphicData>
            </a:graphic>
          </wp:inline>
        </w:drawing>
      </w:r>
    </w:p>
    <w:p w14:paraId="67111CAC" w14:textId="364C41CE" w:rsidR="00F33FCE" w:rsidRDefault="004D70B4" w:rsidP="00F33FCE">
      <w:pPr>
        <w:pStyle w:val="FigureTitle"/>
      </w:pPr>
      <w:r>
        <w:t xml:space="preserve">Figure 2: </w:t>
      </w:r>
      <w:r w:rsidR="00F33FCE" w:rsidRPr="00BC4EA8">
        <w:t xml:space="preserve">Change from </w:t>
      </w:r>
      <w:r w:rsidR="002809EA">
        <w:t>B</w:t>
      </w:r>
      <w:r w:rsidR="002809EA" w:rsidRPr="00BC4EA8">
        <w:t xml:space="preserve">aseline </w:t>
      </w:r>
      <w:r w:rsidR="00F33FCE" w:rsidRPr="00BC4EA8">
        <w:t>in total asthma symptom score by time</w:t>
      </w:r>
      <w:r w:rsidR="00367960">
        <w:t xml:space="preserve"> </w:t>
      </w:r>
      <w:r w:rsidR="00F33FCE" w:rsidRPr="00BC4EA8">
        <w:t xml:space="preserve">point (Full analysis set, baseline blood eosinophils </w:t>
      </w:r>
      <w:r w:rsidR="007504A5">
        <w:t xml:space="preserve">≥ </w:t>
      </w:r>
      <w:r w:rsidR="00F33FCE" w:rsidRPr="00BC4EA8">
        <w:t>300/</w:t>
      </w:r>
      <w:r w:rsidR="00D81D13">
        <w:t>µ</w:t>
      </w:r>
      <w:r w:rsidR="00F33FCE" w:rsidRPr="00BC4EA8">
        <w:t>L) (</w:t>
      </w:r>
      <w:r w:rsidR="00367960">
        <w:t>Study D3250C00017</w:t>
      </w:r>
      <w:r w:rsidR="00816DE9">
        <w:t xml:space="preserve"> (SIROCCO</w:t>
      </w:r>
      <w:r w:rsidR="00AD6903">
        <w:t xml:space="preserve"> trial</w:t>
      </w:r>
      <w:r w:rsidR="00816DE9">
        <w:t>)</w:t>
      </w:r>
      <w:r w:rsidR="00F33FCE" w:rsidRPr="00367EAA">
        <w:t>)</w:t>
      </w:r>
    </w:p>
    <w:p w14:paraId="1685E67A" w14:textId="77777777" w:rsidR="00F33FCE" w:rsidRDefault="00F33FCE" w:rsidP="005D7A92">
      <w:r>
        <w:rPr>
          <w:noProof/>
          <w:lang w:eastAsia="en-AU"/>
        </w:rPr>
        <w:drawing>
          <wp:inline distT="0" distB="0" distL="0" distR="0" wp14:anchorId="4D713874" wp14:editId="0B8F896B">
            <wp:extent cx="5400040" cy="3632335"/>
            <wp:effectExtent l="0" t="0" r="0" b="6350"/>
            <wp:docPr id="3" name="Picture 3" descr="Figure 2: Change from baseline in total asthma symptom score by time point (Full analysis set, baseline blood eosinophils ≥ 300/μL) (Study D3250C00017 (SI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632335"/>
                    </a:xfrm>
                    <a:prstGeom prst="rect">
                      <a:avLst/>
                    </a:prstGeom>
                  </pic:spPr>
                </pic:pic>
              </a:graphicData>
            </a:graphic>
          </wp:inline>
        </w:drawing>
      </w:r>
    </w:p>
    <w:p w14:paraId="29E790B1" w14:textId="199D19B7" w:rsidR="00F33FCE" w:rsidRDefault="004D70B4" w:rsidP="00F33FCE">
      <w:pPr>
        <w:pStyle w:val="FigureTitle"/>
      </w:pPr>
      <w:r>
        <w:lastRenderedPageBreak/>
        <w:t xml:space="preserve">Figure 3: </w:t>
      </w:r>
      <w:r w:rsidR="00F33FCE" w:rsidRPr="00887B51">
        <w:t xml:space="preserve">Change from </w:t>
      </w:r>
      <w:r w:rsidR="002809EA">
        <w:t>B</w:t>
      </w:r>
      <w:r w:rsidR="00F33FCE" w:rsidRPr="00887B51">
        <w:t>aseline in pre-bronchodilator FEV1 (L) by time</w:t>
      </w:r>
      <w:r w:rsidR="00367960">
        <w:t xml:space="preserve"> </w:t>
      </w:r>
      <w:r w:rsidR="00F33FCE" w:rsidRPr="00887B51">
        <w:t>point (Full</w:t>
      </w:r>
      <w:r w:rsidR="002809EA">
        <w:t> </w:t>
      </w:r>
      <w:r w:rsidR="00F33FCE" w:rsidRPr="00887B51">
        <w:t xml:space="preserve">analysis set, baseline blood eosinophils </w:t>
      </w:r>
      <w:r w:rsidR="007504A5">
        <w:t xml:space="preserve">≥ </w:t>
      </w:r>
      <w:r w:rsidR="00F33FCE" w:rsidRPr="00887B51">
        <w:t>300/</w:t>
      </w:r>
      <w:r w:rsidR="00D81D13">
        <w:t>µ</w:t>
      </w:r>
      <w:r w:rsidR="00F33FCE" w:rsidRPr="00887B51">
        <w:t xml:space="preserve">L, </w:t>
      </w:r>
      <w:r w:rsidR="00596091">
        <w:t>high dose</w:t>
      </w:r>
      <w:r w:rsidR="00F33FCE" w:rsidRPr="00887B51">
        <w:t xml:space="preserve"> ICS) (</w:t>
      </w:r>
      <w:r w:rsidR="00F33FCE" w:rsidRPr="00FC4182">
        <w:t>Study</w:t>
      </w:r>
      <w:r w:rsidR="002809EA">
        <w:t> </w:t>
      </w:r>
      <w:r w:rsidR="00F33FCE" w:rsidRPr="00FC4182">
        <w:t>D3250C00018</w:t>
      </w:r>
      <w:r w:rsidR="00816DE9">
        <w:t xml:space="preserve"> (CALIMA)</w:t>
      </w:r>
      <w:r w:rsidR="00F33FCE" w:rsidRPr="00FC4182">
        <w:t>)</w:t>
      </w:r>
    </w:p>
    <w:p w14:paraId="33A69CE2" w14:textId="77777777" w:rsidR="00F33FCE" w:rsidRDefault="00F33FCE" w:rsidP="005D7A92">
      <w:r>
        <w:rPr>
          <w:noProof/>
          <w:lang w:eastAsia="en-AU"/>
        </w:rPr>
        <w:drawing>
          <wp:inline distT="0" distB="0" distL="0" distR="0" wp14:anchorId="1C978818" wp14:editId="7C4CB95C">
            <wp:extent cx="5400040" cy="3765028"/>
            <wp:effectExtent l="0" t="0" r="0" b="6985"/>
            <wp:docPr id="4" name="Picture 4" descr="Figure 3: Change from baseline in pre-bronchodilator FEV1 (L) by time point (Full analysis set, baseline blood eosinophils ≥ 300/μL, high dose ICS) (Study D3250C00018 (CA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765028"/>
                    </a:xfrm>
                    <a:prstGeom prst="rect">
                      <a:avLst/>
                    </a:prstGeom>
                  </pic:spPr>
                </pic:pic>
              </a:graphicData>
            </a:graphic>
          </wp:inline>
        </w:drawing>
      </w:r>
    </w:p>
    <w:p w14:paraId="5DEB1F3D" w14:textId="3739FD8E" w:rsidR="00F33FCE" w:rsidRDefault="004D70B4" w:rsidP="00F33FCE">
      <w:pPr>
        <w:pStyle w:val="FigureTitle"/>
      </w:pPr>
      <w:bookmarkStart w:id="123" w:name="Figure_7_2_2_5"/>
      <w:r>
        <w:t>Figure 4:</w:t>
      </w:r>
      <w:r w:rsidR="00F33FCE" w:rsidRPr="00F33FCE">
        <w:t xml:space="preserve"> </w:t>
      </w:r>
      <w:bookmarkEnd w:id="123"/>
      <w:r w:rsidR="00F33FCE" w:rsidRPr="00D53044">
        <w:t xml:space="preserve">Change from </w:t>
      </w:r>
      <w:r w:rsidR="002809EA">
        <w:t>B</w:t>
      </w:r>
      <w:r w:rsidR="002809EA" w:rsidRPr="00D53044">
        <w:t xml:space="preserve">aseline </w:t>
      </w:r>
      <w:r w:rsidR="00F33FCE" w:rsidRPr="00D53044">
        <w:t>in total asthma symptom score by time</w:t>
      </w:r>
      <w:r w:rsidR="00367960">
        <w:t xml:space="preserve"> </w:t>
      </w:r>
      <w:r w:rsidR="00F33FCE" w:rsidRPr="00D53044">
        <w:t xml:space="preserve">point (Full analysis set, baseline blood eosinophils </w:t>
      </w:r>
      <w:r w:rsidR="007504A5">
        <w:t xml:space="preserve">≥ </w:t>
      </w:r>
      <w:r w:rsidR="00F33FCE" w:rsidRPr="00D53044">
        <w:t>300/</w:t>
      </w:r>
      <w:r w:rsidR="00D81D13">
        <w:t>µ</w:t>
      </w:r>
      <w:r w:rsidR="00F33FCE" w:rsidRPr="00D53044">
        <w:t xml:space="preserve">L, </w:t>
      </w:r>
      <w:r w:rsidR="00596091">
        <w:t>high dose</w:t>
      </w:r>
      <w:r w:rsidR="00F33FCE" w:rsidRPr="00D53044">
        <w:t xml:space="preserve"> ICS) (</w:t>
      </w:r>
      <w:r w:rsidR="00367960">
        <w:t>Study</w:t>
      </w:r>
      <w:r w:rsidR="002809EA">
        <w:t> </w:t>
      </w:r>
      <w:r w:rsidR="00367960">
        <w:t>D3250C00018</w:t>
      </w:r>
      <w:r w:rsidR="00816DE9">
        <w:t xml:space="preserve"> (CALIMA)</w:t>
      </w:r>
      <w:r w:rsidR="00F33FCE" w:rsidRPr="00FC4182">
        <w:t>)</w:t>
      </w:r>
    </w:p>
    <w:p w14:paraId="201A4832" w14:textId="77777777" w:rsidR="00F33FCE" w:rsidRPr="005D7A92" w:rsidRDefault="00F33FCE" w:rsidP="005D7A92">
      <w:r>
        <w:rPr>
          <w:noProof/>
          <w:lang w:eastAsia="en-AU"/>
        </w:rPr>
        <w:drawing>
          <wp:inline distT="0" distB="0" distL="0" distR="0" wp14:anchorId="26700AEA" wp14:editId="335F7CAA">
            <wp:extent cx="5400040" cy="3701566"/>
            <wp:effectExtent l="0" t="0" r="0" b="0"/>
            <wp:docPr id="5" name="Picture 5" descr="Figure 4: Change from baseline in total asthma symptom score by time point (Full analysis set, baseline blood eosinophils ≥ 300/μL, high dose ICS) (Study D3250C00018 (CA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701566"/>
                    </a:xfrm>
                    <a:prstGeom prst="rect">
                      <a:avLst/>
                    </a:prstGeom>
                  </pic:spPr>
                </pic:pic>
              </a:graphicData>
            </a:graphic>
          </wp:inline>
        </w:drawing>
      </w:r>
    </w:p>
    <w:p w14:paraId="2B506242" w14:textId="77777777" w:rsidR="005D7A92" w:rsidRPr="00EF1D9A" w:rsidRDefault="005D7A92" w:rsidP="00EF1D9A">
      <w:r w:rsidRPr="00EF1D9A">
        <w:lastRenderedPageBreak/>
        <w:t>The pivotal studies were double blind, but investigators may have been alerted to treatment group by a decrease in eosinophil count in the benralizumab treated patients.</w:t>
      </w:r>
      <w:r w:rsidR="00F971ED">
        <w:t xml:space="preserve"> </w:t>
      </w:r>
      <w:r w:rsidR="00367960">
        <w:t>It is not clear how i</w:t>
      </w:r>
      <w:r w:rsidRPr="00EF1D9A">
        <w:t>nvestigators could have been prevented from unblinding patients using eosinophil counts.</w:t>
      </w:r>
    </w:p>
    <w:p w14:paraId="45D64B61" w14:textId="77777777" w:rsidR="005D7A92" w:rsidRPr="00EF1D9A" w:rsidRDefault="005D7A92" w:rsidP="00EF1D9A">
      <w:r w:rsidRPr="00EF1D9A">
        <w:t>The proposed therapeutic indication does not fully reflect the patient group for whom efficacy has been demonstrated.</w:t>
      </w:r>
      <w:r w:rsidR="00F971ED">
        <w:t xml:space="preserve"> </w:t>
      </w:r>
      <w:r w:rsidRPr="00EF1D9A">
        <w:t>The proposed therapeutic indication is:</w:t>
      </w:r>
    </w:p>
    <w:p w14:paraId="49169411" w14:textId="77777777" w:rsidR="005D7A92" w:rsidRPr="006E6793" w:rsidRDefault="00367960" w:rsidP="00EF1D9A">
      <w:pPr>
        <w:ind w:left="720"/>
        <w:rPr>
          <w:i/>
        </w:rPr>
      </w:pPr>
      <w:r>
        <w:rPr>
          <w:i/>
        </w:rPr>
        <w:t>Fasenra</w:t>
      </w:r>
      <w:r w:rsidR="005D7A92" w:rsidRPr="00EF1D9A">
        <w:rPr>
          <w:i/>
        </w:rPr>
        <w:t xml:space="preserve"> is indicated as an add-on maintenance treatment for severe asthma in </w:t>
      </w:r>
      <w:r w:rsidR="005D7A92" w:rsidRPr="006E6793">
        <w:rPr>
          <w:i/>
        </w:rPr>
        <w:t>patients with an eosinophilic phenotype.</w:t>
      </w:r>
    </w:p>
    <w:p w14:paraId="023B2320" w14:textId="77777777" w:rsidR="005D7A92" w:rsidRPr="006E6793" w:rsidRDefault="005D7A92" w:rsidP="00EF1D9A">
      <w:r w:rsidRPr="006E6793">
        <w:t xml:space="preserve">This does not adequately describe the patient groups where efficacy has been demonstrated, which were: patients who had </w:t>
      </w:r>
      <w:r w:rsidR="00367960" w:rsidRPr="006E6793">
        <w:t>≥</w:t>
      </w:r>
      <w:r w:rsidR="007504A5" w:rsidRPr="006E6793">
        <w:t xml:space="preserve"> </w:t>
      </w:r>
      <w:r w:rsidRPr="006E6793">
        <w:t>2 exacerbations per year and/or were OCS dependent.</w:t>
      </w:r>
    </w:p>
    <w:p w14:paraId="31BF3906" w14:textId="77777777" w:rsidR="005D7A92" w:rsidRPr="00EF1D9A" w:rsidRDefault="005D7A92" w:rsidP="00EF1D9A">
      <w:r w:rsidRPr="006E6793">
        <w:t>The proposed dosing recommendations are the same as those demonstrated to be effective in the pivotal studies.</w:t>
      </w:r>
      <w:r w:rsidR="00F971ED" w:rsidRPr="006E6793">
        <w:t xml:space="preserve"> </w:t>
      </w:r>
      <w:r w:rsidRPr="006E6793">
        <w:t>The proposed dosing recommendations are:</w:t>
      </w:r>
    </w:p>
    <w:p w14:paraId="0FFB7014" w14:textId="77777777" w:rsidR="005D7A92" w:rsidRPr="00EF1D9A" w:rsidRDefault="005236C7" w:rsidP="00EF1D9A">
      <w:pPr>
        <w:ind w:left="720"/>
      </w:pPr>
      <w:r>
        <w:t>‘</w:t>
      </w:r>
      <w:r w:rsidR="005D7A92" w:rsidRPr="00EF1D9A">
        <w:t>Adults (18 years and over)</w:t>
      </w:r>
    </w:p>
    <w:p w14:paraId="3C077207" w14:textId="77777777" w:rsidR="005D7A92" w:rsidRPr="00EF1D9A" w:rsidRDefault="005D7A92" w:rsidP="00EF1D9A">
      <w:pPr>
        <w:ind w:left="720"/>
      </w:pPr>
      <w:r w:rsidRPr="00EF1D9A">
        <w:t xml:space="preserve">The recommended dose is 30 mg of </w:t>
      </w:r>
      <w:r w:rsidR="00367960">
        <w:t>Fasenra</w:t>
      </w:r>
      <w:r w:rsidRPr="00EF1D9A">
        <w:t xml:space="preserve"> by subcutaneous injection every 4 weeks for the first 3 doses, and then every 8 weeks thereafter.</w:t>
      </w:r>
    </w:p>
    <w:p w14:paraId="04AE4A51" w14:textId="77777777" w:rsidR="005D7A92" w:rsidRPr="00EF1D9A" w:rsidRDefault="00367960" w:rsidP="00EF1D9A">
      <w:pPr>
        <w:ind w:left="720"/>
      </w:pPr>
      <w:r>
        <w:t>Fasenra</w:t>
      </w:r>
      <w:r w:rsidR="005D7A92" w:rsidRPr="00EF1D9A">
        <w:t xml:space="preserve"> (benralizumab) is intended to be administered as a subcutaneous injection by a healthcare professional into the upper arm, thighs or abdomen.</w:t>
      </w:r>
      <w:r w:rsidR="005236C7">
        <w:t>’</w:t>
      </w:r>
    </w:p>
    <w:p w14:paraId="2D65BBC0" w14:textId="01087BC0" w:rsidR="005D7A92" w:rsidRPr="00EF1D9A" w:rsidRDefault="005D7A92" w:rsidP="00EF1D9A">
      <w:r w:rsidRPr="00EF1D9A">
        <w:t>This dosing recommendation is the same as that used for the Q8W regimen in the pivotal studies.</w:t>
      </w:r>
      <w:r w:rsidR="00F971ED">
        <w:t xml:space="preserve"> </w:t>
      </w:r>
      <w:r w:rsidRPr="00EF1D9A">
        <w:t xml:space="preserve">Study D3250C00029 confirmed the useability of the </w:t>
      </w:r>
      <w:r w:rsidR="00250D0A">
        <w:t>acces</w:t>
      </w:r>
      <w:r w:rsidR="009D3BE5">
        <w:t>s</w:t>
      </w:r>
      <w:r w:rsidR="00250D0A">
        <w:t>orised</w:t>
      </w:r>
      <w:r w:rsidR="002A4756">
        <w:t xml:space="preserve"> pre filled syringe</w:t>
      </w:r>
      <w:r w:rsidR="002A4756" w:rsidRPr="00EF1D9A">
        <w:t xml:space="preserve"> </w:t>
      </w:r>
      <w:r w:rsidR="002A4756">
        <w:t>(</w:t>
      </w:r>
      <w:r w:rsidRPr="00EF1D9A">
        <w:t>APFS</w:t>
      </w:r>
      <w:r w:rsidR="002A4756">
        <w:t>)</w:t>
      </w:r>
      <w:r w:rsidRPr="00EF1D9A">
        <w:t xml:space="preserve"> device.</w:t>
      </w:r>
    </w:p>
    <w:p w14:paraId="32E082AD" w14:textId="77777777" w:rsidR="005D7A92" w:rsidRPr="00EF1D9A" w:rsidRDefault="005D7A92" w:rsidP="00EF1D9A">
      <w:r w:rsidRPr="00EF1D9A">
        <w:t>The pivotal studies were conducted in accordance with the Guideline</w:t>
      </w:r>
      <w:r w:rsidR="00367960">
        <w:t>.</w:t>
      </w:r>
      <w:r w:rsidR="00367960">
        <w:rPr>
          <w:rStyle w:val="FootnoteReference"/>
        </w:rPr>
        <w:footnoteReference w:id="15"/>
      </w:r>
      <w:r w:rsidR="00F971ED">
        <w:t xml:space="preserve"> </w:t>
      </w:r>
      <w:r w:rsidRPr="00EF1D9A">
        <w:t>Specifically, the choice of patient population, stratification of randomisation and choice of outcome measures are in accordance with the guideline.</w:t>
      </w:r>
    </w:p>
    <w:p w14:paraId="6A01FD16" w14:textId="77777777" w:rsidR="008E7846" w:rsidRPr="002E238E" w:rsidRDefault="008E7846" w:rsidP="008E7846">
      <w:pPr>
        <w:pStyle w:val="Heading3"/>
      </w:pPr>
      <w:bookmarkStart w:id="124" w:name="_Toc1653593"/>
      <w:r w:rsidRPr="002E238E">
        <w:t>Safety</w:t>
      </w:r>
      <w:bookmarkEnd w:id="119"/>
      <w:bookmarkEnd w:id="120"/>
      <w:bookmarkEnd w:id="121"/>
      <w:bookmarkEnd w:id="122"/>
      <w:bookmarkEnd w:id="124"/>
    </w:p>
    <w:p w14:paraId="695737D1" w14:textId="77777777" w:rsidR="00605AD4" w:rsidRDefault="00605AD4" w:rsidP="00605AD4">
      <w:pPr>
        <w:pStyle w:val="Heading4"/>
      </w:pPr>
      <w:bookmarkStart w:id="125" w:name="_Toc247691524"/>
      <w:bookmarkStart w:id="126" w:name="_Toc314842508"/>
      <w:bookmarkStart w:id="127" w:name="_Toc196046504"/>
      <w:bookmarkStart w:id="128" w:name="_Toc163441390"/>
      <w:r w:rsidRPr="00605AD4">
        <w:t>Studies providing safety data</w:t>
      </w:r>
    </w:p>
    <w:p w14:paraId="52052C4F" w14:textId="77777777" w:rsidR="00EF1D9A" w:rsidRPr="00545B14" w:rsidRDefault="00EF1D9A" w:rsidP="00EF1D9A">
      <w:pPr>
        <w:pStyle w:val="Heading5"/>
      </w:pPr>
      <w:r w:rsidRPr="00545B14">
        <w:t xml:space="preserve">Pivotal </w:t>
      </w:r>
      <w:r>
        <w:t xml:space="preserve">and/or main </w:t>
      </w:r>
      <w:r w:rsidRPr="00545B14">
        <w:t>efficacy studies</w:t>
      </w:r>
    </w:p>
    <w:p w14:paraId="2B81B54E" w14:textId="77777777" w:rsidR="00EF1D9A" w:rsidRPr="00EF1D9A" w:rsidRDefault="00EF1D9A" w:rsidP="00EF1D9A">
      <w:bookmarkStart w:id="129" w:name="_Toc421005277"/>
      <w:bookmarkStart w:id="130" w:name="_Toc432079159"/>
      <w:bookmarkStart w:id="131" w:name="_Toc432080732"/>
      <w:r w:rsidRPr="00EF1D9A">
        <w:t xml:space="preserve">The pivotal studies included data on </w:t>
      </w:r>
      <w:r w:rsidR="002A4756">
        <w:t>adverse events</w:t>
      </w:r>
      <w:r w:rsidR="002A4756" w:rsidRPr="00EF1D9A">
        <w:t xml:space="preserve"> </w:t>
      </w:r>
      <w:r w:rsidR="002A4756">
        <w:t>(</w:t>
      </w:r>
      <w:r w:rsidRPr="00EF1D9A">
        <w:t>AEs</w:t>
      </w:r>
      <w:r w:rsidR="002A4756">
        <w:t>)</w:t>
      </w:r>
      <w:r w:rsidRPr="00EF1D9A">
        <w:t>, AEs of special interest (infection, hypersensitivity, malignancy and cardiovascular), laboratory tests, ECGs and vital signs.</w:t>
      </w:r>
      <w:r w:rsidR="00F971ED">
        <w:t xml:space="preserve"> </w:t>
      </w:r>
      <w:r w:rsidRPr="00EF1D9A">
        <w:t>The pivotal studies were:</w:t>
      </w:r>
    </w:p>
    <w:p w14:paraId="2A154CAD" w14:textId="6C731506" w:rsidR="00EF1D9A" w:rsidRPr="00EF1D9A" w:rsidRDefault="00EF1D9A" w:rsidP="00EF1D9A">
      <w:pPr>
        <w:pStyle w:val="ListBullet"/>
      </w:pPr>
      <w:r w:rsidRPr="00EF1D9A">
        <w:t>Study D3250C00017 (SIROCCO</w:t>
      </w:r>
      <w:r w:rsidR="002809EA">
        <w:t xml:space="preserve"> trial</w:t>
      </w:r>
      <w:r w:rsidRPr="00EF1D9A">
        <w:t>)</w:t>
      </w:r>
    </w:p>
    <w:p w14:paraId="0E2B4C70" w14:textId="15FA6584" w:rsidR="00EF1D9A" w:rsidRPr="00EF1D9A" w:rsidRDefault="00EF1D9A" w:rsidP="00EF1D9A">
      <w:pPr>
        <w:pStyle w:val="ListBullet"/>
      </w:pPr>
      <w:r w:rsidRPr="00EF1D9A">
        <w:t>Study D3250C00018 (CALIMA</w:t>
      </w:r>
      <w:r w:rsidR="002809EA">
        <w:t xml:space="preserve"> trial</w:t>
      </w:r>
      <w:r w:rsidRPr="00EF1D9A">
        <w:t>)</w:t>
      </w:r>
    </w:p>
    <w:p w14:paraId="2E201205" w14:textId="421546CE" w:rsidR="00EF1D9A" w:rsidRPr="00EF1D9A" w:rsidRDefault="00EF1D9A" w:rsidP="00EF1D9A">
      <w:pPr>
        <w:pStyle w:val="ListBullet"/>
      </w:pPr>
      <w:r w:rsidRPr="00EF1D9A">
        <w:t>Study D3250C00020 (ZONDA</w:t>
      </w:r>
      <w:r w:rsidR="002809EA">
        <w:t xml:space="preserve"> trial</w:t>
      </w:r>
      <w:r w:rsidRPr="00EF1D9A">
        <w:t>)</w:t>
      </w:r>
      <w:r w:rsidR="00D81D13">
        <w:t>.</w:t>
      </w:r>
    </w:p>
    <w:p w14:paraId="1F601F89" w14:textId="77777777" w:rsidR="00EF1D9A" w:rsidRDefault="00EF1D9A" w:rsidP="00EF1D9A">
      <w:pPr>
        <w:pStyle w:val="Heading5"/>
      </w:pPr>
      <w:r>
        <w:t>Other</w:t>
      </w:r>
      <w:r w:rsidRPr="00545B14">
        <w:t xml:space="preserve"> studies</w:t>
      </w:r>
      <w:bookmarkEnd w:id="129"/>
      <w:bookmarkEnd w:id="130"/>
      <w:bookmarkEnd w:id="131"/>
    </w:p>
    <w:p w14:paraId="45A69CD1" w14:textId="77777777" w:rsidR="00EF1D9A" w:rsidRPr="00073FEC" w:rsidRDefault="00EF1D9A" w:rsidP="00EF1D9A">
      <w:pPr>
        <w:pStyle w:val="Heading6"/>
      </w:pPr>
      <w:r w:rsidRPr="00073FEC">
        <w:t>Other efficacy studies</w:t>
      </w:r>
    </w:p>
    <w:p w14:paraId="23DAD3CC" w14:textId="77777777" w:rsidR="00EF1D9A" w:rsidRPr="00EF1D9A" w:rsidRDefault="00EF1D9A" w:rsidP="00EF1D9A">
      <w:r w:rsidRPr="00EF1D9A">
        <w:t>The other efficacy studies included data on AEs, laboratory tests, ECGs and vital signs.</w:t>
      </w:r>
      <w:r w:rsidR="00F971ED">
        <w:t xml:space="preserve"> </w:t>
      </w:r>
      <w:r w:rsidRPr="00EF1D9A">
        <w:t>The other efficacy studies were:</w:t>
      </w:r>
    </w:p>
    <w:p w14:paraId="1CFBF2BB" w14:textId="77777777" w:rsidR="00EF1D9A" w:rsidRPr="00EF1D9A" w:rsidRDefault="00EF1D9A" w:rsidP="00EF1D9A">
      <w:pPr>
        <w:pStyle w:val="ListBullet"/>
      </w:pPr>
      <w:r w:rsidRPr="00EF1D9A">
        <w:t>Study MI-CP186</w:t>
      </w:r>
    </w:p>
    <w:p w14:paraId="089BBD90" w14:textId="77777777" w:rsidR="00EF1D9A" w:rsidRPr="00EF1D9A" w:rsidRDefault="00EF1D9A" w:rsidP="00EF1D9A">
      <w:pPr>
        <w:pStyle w:val="ListBullet"/>
      </w:pPr>
      <w:r w:rsidRPr="00EF1D9A">
        <w:t>Study MI-CP197</w:t>
      </w:r>
    </w:p>
    <w:p w14:paraId="59C3F7AE" w14:textId="77777777" w:rsidR="00EF1D9A" w:rsidRPr="00EF1D9A" w:rsidRDefault="00EF1D9A" w:rsidP="00EF1D9A">
      <w:pPr>
        <w:pStyle w:val="ListBullet"/>
      </w:pPr>
      <w:r w:rsidRPr="00EF1D9A">
        <w:lastRenderedPageBreak/>
        <w:t>Study MI-CP220</w:t>
      </w:r>
    </w:p>
    <w:p w14:paraId="4E01BB28" w14:textId="77777777" w:rsidR="00EF1D9A" w:rsidRPr="00EF1D9A" w:rsidRDefault="00EF1D9A" w:rsidP="00EF1D9A">
      <w:pPr>
        <w:pStyle w:val="ListBullet"/>
      </w:pPr>
      <w:r w:rsidRPr="00EF1D9A">
        <w:t>Study D3250C00016</w:t>
      </w:r>
    </w:p>
    <w:p w14:paraId="3375CB6B" w14:textId="77777777" w:rsidR="00EF1D9A" w:rsidRPr="00EF1D9A" w:rsidRDefault="00EF1D9A" w:rsidP="00EF1D9A">
      <w:pPr>
        <w:pStyle w:val="ListBullet"/>
      </w:pPr>
      <w:r w:rsidRPr="00EF1D9A">
        <w:t>Study D3250C00029</w:t>
      </w:r>
    </w:p>
    <w:p w14:paraId="49099233" w14:textId="450261C2" w:rsidR="00EF1D9A" w:rsidRPr="00EF1D9A" w:rsidRDefault="00EF1D9A" w:rsidP="00EF1D9A">
      <w:pPr>
        <w:pStyle w:val="ListBullet"/>
      </w:pPr>
      <w:r w:rsidRPr="00EF1D9A">
        <w:t>Study D3250C00032</w:t>
      </w:r>
      <w:r w:rsidR="00D81D13">
        <w:t>.</w:t>
      </w:r>
    </w:p>
    <w:p w14:paraId="0F3A8F90" w14:textId="77777777" w:rsidR="00EF1D9A" w:rsidRPr="00073FEC" w:rsidRDefault="00EF1D9A" w:rsidP="00EF1D9A">
      <w:pPr>
        <w:pStyle w:val="Heading6"/>
      </w:pPr>
      <w:r w:rsidRPr="00073FEC">
        <w:t>Studies with evaluable safety data</w:t>
      </w:r>
      <w:r w:rsidR="00367960">
        <w:t>: dose finding and pharmacology</w:t>
      </w:r>
    </w:p>
    <w:p w14:paraId="54A24367" w14:textId="75BFB485" w:rsidR="00EF1D9A" w:rsidRPr="00EF1D9A" w:rsidRDefault="00EF1D9A" w:rsidP="00EF1D9A">
      <w:r w:rsidRPr="00EF1D9A">
        <w:t xml:space="preserve">The </w:t>
      </w:r>
      <w:r w:rsidR="007504A5">
        <w:t>Phase I</w:t>
      </w:r>
      <w:r w:rsidRPr="00EF1D9A">
        <w:t xml:space="preserve"> studies included data on AEs, laboratory tests, ECGs and vital signs.</w:t>
      </w:r>
      <w:r w:rsidR="00F971ED">
        <w:t xml:space="preserve"> </w:t>
      </w:r>
      <w:proofErr w:type="gramStart"/>
      <w:r w:rsidR="007504A5">
        <w:t>Phase</w:t>
      </w:r>
      <w:proofErr w:type="gramEnd"/>
      <w:r w:rsidR="002809EA">
        <w:t> </w:t>
      </w:r>
      <w:r w:rsidR="007504A5">
        <w:t>I</w:t>
      </w:r>
      <w:r w:rsidR="002809EA">
        <w:t> </w:t>
      </w:r>
      <w:r w:rsidRPr="00EF1D9A">
        <w:t>studies were:</w:t>
      </w:r>
    </w:p>
    <w:p w14:paraId="7000BA2E" w14:textId="77777777" w:rsidR="00EF1D9A" w:rsidRPr="00EF1D9A" w:rsidRDefault="00EF1D9A" w:rsidP="00EF1D9A">
      <w:pPr>
        <w:pStyle w:val="ListBullet"/>
      </w:pPr>
      <w:r w:rsidRPr="00EF1D9A">
        <w:t>Study MI-CP158</w:t>
      </w:r>
    </w:p>
    <w:p w14:paraId="66F368E6" w14:textId="30F869DF" w:rsidR="00EF1D9A" w:rsidRPr="00EF1D9A" w:rsidRDefault="00EF1D9A" w:rsidP="00EF1D9A">
      <w:pPr>
        <w:pStyle w:val="ListBullet"/>
      </w:pPr>
      <w:r w:rsidRPr="00EF1D9A">
        <w:t>Study MI-CP166</w:t>
      </w:r>
      <w:r w:rsidR="00D81D13">
        <w:t>.</w:t>
      </w:r>
    </w:p>
    <w:p w14:paraId="230C38DE" w14:textId="77777777" w:rsidR="00EF1D9A" w:rsidRDefault="00EF1D9A" w:rsidP="00EF1D9A">
      <w:pPr>
        <w:pStyle w:val="Heading5"/>
        <w:numPr>
          <w:ilvl w:val="3"/>
          <w:numId w:val="0"/>
        </w:numPr>
        <w:tabs>
          <w:tab w:val="num" w:pos="3176"/>
        </w:tabs>
        <w:ind w:left="1304" w:hanging="1077"/>
      </w:pPr>
      <w:r w:rsidRPr="00073FEC">
        <w:t>Studies evaluable for safety only</w:t>
      </w:r>
    </w:p>
    <w:p w14:paraId="26EE530C" w14:textId="77777777" w:rsidR="00EF1D9A" w:rsidRDefault="00EF1D9A" w:rsidP="00EF1D9A">
      <w:pPr>
        <w:rPr>
          <w:lang w:eastAsia="ja-JP"/>
        </w:rPr>
      </w:pPr>
      <w:r>
        <w:rPr>
          <w:lang w:eastAsia="ja-JP"/>
        </w:rPr>
        <w:t>There were no completed studies evaluable for safety only.</w:t>
      </w:r>
      <w:r w:rsidR="00F971ED">
        <w:rPr>
          <w:lang w:eastAsia="ja-JP"/>
        </w:rPr>
        <w:t xml:space="preserve"> </w:t>
      </w:r>
      <w:r>
        <w:rPr>
          <w:lang w:eastAsia="ja-JP"/>
        </w:rPr>
        <w:t>There are two ongoing long</w:t>
      </w:r>
      <w:r w:rsidR="00F971ED">
        <w:rPr>
          <w:lang w:eastAsia="ja-JP"/>
        </w:rPr>
        <w:t xml:space="preserve"> t</w:t>
      </w:r>
      <w:r>
        <w:rPr>
          <w:lang w:eastAsia="ja-JP"/>
        </w:rPr>
        <w:t>erm safety studies.</w:t>
      </w:r>
    </w:p>
    <w:p w14:paraId="1FF4C841" w14:textId="77777777" w:rsidR="00605AD4" w:rsidRDefault="00605AD4" w:rsidP="00605AD4">
      <w:pPr>
        <w:pStyle w:val="Heading4"/>
      </w:pPr>
      <w:r w:rsidRPr="00605AD4">
        <w:t>Patient exposure</w:t>
      </w:r>
    </w:p>
    <w:p w14:paraId="0CB337BD" w14:textId="567D38F8" w:rsidR="00EF1D9A" w:rsidRPr="00EF1D9A" w:rsidRDefault="00EF1D9A" w:rsidP="00EF1D9A">
      <w:bookmarkStart w:id="132" w:name="_Toc453839423"/>
      <w:r w:rsidRPr="00EF1D9A">
        <w:t xml:space="preserve">In the RMP analysis the </w:t>
      </w:r>
      <w:r w:rsidR="007504A5">
        <w:t>sponsor</w:t>
      </w:r>
      <w:r w:rsidRPr="00EF1D9A">
        <w:t xml:space="preserve"> included three </w:t>
      </w:r>
      <w:r w:rsidR="007504A5">
        <w:t>Phase II</w:t>
      </w:r>
      <w:r w:rsidRPr="00EF1D9A">
        <w:t xml:space="preserve"> studies and six </w:t>
      </w:r>
      <w:r w:rsidR="007504A5">
        <w:t>Phase III</w:t>
      </w:r>
      <w:r w:rsidRPr="00EF1D9A">
        <w:t xml:space="preserve"> studies.</w:t>
      </w:r>
      <w:r w:rsidR="00F971ED">
        <w:t xml:space="preserve"> </w:t>
      </w:r>
      <w:r w:rsidRPr="00EF1D9A">
        <w:t>The two Phase I studies were excluded.</w:t>
      </w:r>
      <w:r w:rsidR="00F971ED">
        <w:t xml:space="preserve"> </w:t>
      </w:r>
      <w:r w:rsidRPr="00EF1D9A">
        <w:t>Overall there were 2</w:t>
      </w:r>
      <w:r w:rsidR="00367960">
        <w:t>,</w:t>
      </w:r>
      <w:r w:rsidRPr="00EF1D9A">
        <w:t>398 patients exposed to benralizumab, with 2</w:t>
      </w:r>
      <w:r w:rsidR="00367960">
        <w:t>,</w:t>
      </w:r>
      <w:r w:rsidRPr="00EF1D9A">
        <w:t>025 exposed for 6 months and 786 for 12 months.</w:t>
      </w:r>
      <w:r w:rsidR="00F971ED">
        <w:t xml:space="preserve"> </w:t>
      </w:r>
      <w:r w:rsidRPr="00EF1D9A">
        <w:t>There were 1</w:t>
      </w:r>
      <w:r w:rsidR="00367960">
        <w:t>,</w:t>
      </w:r>
      <w:r w:rsidRPr="00EF1D9A">
        <w:t>138</w:t>
      </w:r>
      <w:r w:rsidR="00D81D13">
        <w:t> </w:t>
      </w:r>
      <w:r w:rsidRPr="00EF1D9A">
        <w:t>patients exposed to 30 mg Q4W and 900 to 30 mg Q8W.</w:t>
      </w:r>
      <w:r w:rsidR="00F971ED">
        <w:t xml:space="preserve"> </w:t>
      </w:r>
      <w:r w:rsidRPr="00EF1D9A">
        <w:t xml:space="preserve">There were 62 patients in the 12 to </w:t>
      </w:r>
      <w:r w:rsidR="007504A5">
        <w:t xml:space="preserve">&lt; </w:t>
      </w:r>
      <w:r w:rsidRPr="00EF1D9A">
        <w:t>18 year age group.</w:t>
      </w:r>
      <w:r w:rsidR="00F971ED">
        <w:t xml:space="preserve"> </w:t>
      </w:r>
      <w:r w:rsidRPr="00EF1D9A">
        <w:t xml:space="preserve">There were 278 aged </w:t>
      </w:r>
      <w:r w:rsidR="007504A5">
        <w:t xml:space="preserve">≥ </w:t>
      </w:r>
      <w:r w:rsidRPr="00EF1D9A">
        <w:t xml:space="preserve">65 years and nine aged </w:t>
      </w:r>
      <w:r w:rsidR="007504A5">
        <w:t xml:space="preserve">≥ </w:t>
      </w:r>
      <w:r w:rsidRPr="00EF1D9A">
        <w:t>75 years.</w:t>
      </w:r>
      <w:r w:rsidR="00F971ED">
        <w:t xml:space="preserve"> </w:t>
      </w:r>
      <w:r w:rsidRPr="00EF1D9A">
        <w:t>There were 19 patients with renal impairment, 37 with hepatic impairment and 140 with cardiac impairment.</w:t>
      </w:r>
    </w:p>
    <w:bookmarkEnd w:id="132"/>
    <w:p w14:paraId="526E0422" w14:textId="77777777" w:rsidR="00EF1D9A" w:rsidRPr="00EF1D9A" w:rsidRDefault="00F33FCE" w:rsidP="00EF1D9A">
      <w:pPr>
        <w:pStyle w:val="ListBullet"/>
      </w:pPr>
      <w:r>
        <w:t xml:space="preserve">In Study MI-CP158 </w:t>
      </w:r>
      <w:r w:rsidR="00EF1D9A" w:rsidRPr="00EF1D9A">
        <w:t>there were 44 volunteers exposed to benralizumab.</w:t>
      </w:r>
    </w:p>
    <w:p w14:paraId="61A16836" w14:textId="77777777" w:rsidR="00EF1D9A" w:rsidRPr="00EF1D9A" w:rsidRDefault="00EF1D9A" w:rsidP="00EF1D9A">
      <w:pPr>
        <w:pStyle w:val="ListBullet"/>
      </w:pPr>
      <w:r w:rsidRPr="00EF1D9A">
        <w:t>In Study MI</w:t>
      </w:r>
      <w:r w:rsidR="00F33FCE">
        <w:t>-CP166</w:t>
      </w:r>
      <w:r w:rsidRPr="00EF1D9A">
        <w:t xml:space="preserve"> there were 27 patients exposed to benralizumab.</w:t>
      </w:r>
    </w:p>
    <w:p w14:paraId="0827D3FC" w14:textId="77777777" w:rsidR="00EF1D9A" w:rsidRPr="00EF1D9A" w:rsidRDefault="00EF1D9A" w:rsidP="00EF1D9A">
      <w:pPr>
        <w:pStyle w:val="ListBullet"/>
      </w:pPr>
      <w:r w:rsidRPr="00EF1D9A">
        <w:t>In Study MI-CP186 there were 36 patients exposed to a single dose of benralizumab 0.3 mg/kg, 36 to 1.0 mg/kg and 38 to placebo.</w:t>
      </w:r>
    </w:p>
    <w:p w14:paraId="7AFC2164" w14:textId="77777777" w:rsidR="00EF1D9A" w:rsidRPr="00EF1D9A" w:rsidRDefault="00EF1D9A" w:rsidP="00EF1D9A">
      <w:pPr>
        <w:pStyle w:val="ListBullet"/>
      </w:pPr>
      <w:r w:rsidRPr="00EF1D9A">
        <w:t>In Study MI-CP197</w:t>
      </w:r>
      <w:r w:rsidR="00F971ED">
        <w:t xml:space="preserve"> </w:t>
      </w:r>
      <w:r w:rsidRPr="00EF1D9A">
        <w:t>there were seven patients exposed to benralizumab 25 mg SC, six to 100 mg SC and six to 200 mg SC for up to three doses.</w:t>
      </w:r>
      <w:r w:rsidR="00F971ED">
        <w:t xml:space="preserve"> </w:t>
      </w:r>
      <w:r w:rsidRPr="00EF1D9A">
        <w:t>Six patients were exposed to placebo.</w:t>
      </w:r>
    </w:p>
    <w:p w14:paraId="3599F808" w14:textId="77777777" w:rsidR="00EF1D9A" w:rsidRPr="00EF1D9A" w:rsidRDefault="00EF1D9A" w:rsidP="00EF1D9A">
      <w:pPr>
        <w:pStyle w:val="ListBullet"/>
      </w:pPr>
      <w:r w:rsidRPr="00EF1D9A">
        <w:t>In Study MI-CP220</w:t>
      </w:r>
      <w:r w:rsidR="00F971ED">
        <w:t xml:space="preserve"> </w:t>
      </w:r>
      <w:r w:rsidRPr="00EF1D9A">
        <w:t>there were 81 patients exposed to benralizumab 2 mg, 81 to 20 mg and 223 to 100 mg for up to 7 doses over 1 year, and 221 to placebo.</w:t>
      </w:r>
    </w:p>
    <w:p w14:paraId="6ECD2ABD" w14:textId="77777777" w:rsidR="00EF1D9A" w:rsidRPr="00EF1D9A" w:rsidRDefault="00EF1D9A" w:rsidP="00EF1D9A">
      <w:pPr>
        <w:pStyle w:val="ListBullet"/>
      </w:pPr>
      <w:r w:rsidRPr="00EF1D9A">
        <w:t>In Study D3250C00016 (PAMPERO) eight patients were exposed to at least one dose of benralizumab 30 mg SC.</w:t>
      </w:r>
    </w:p>
    <w:p w14:paraId="4FED7AB6" w14:textId="77777777" w:rsidR="00EF1D9A" w:rsidRPr="00EF1D9A" w:rsidRDefault="00EF1D9A" w:rsidP="00EF1D9A">
      <w:pPr>
        <w:pStyle w:val="ListBullet"/>
      </w:pPr>
      <w:r w:rsidRPr="00EF1D9A">
        <w:t>In Study D3250C00017 (SIROCCO) there were 403 patients exposed to benralizumab 30 mg Q4W, 394 to 30 mg Q8W and 407 to placebo.</w:t>
      </w:r>
      <w:r w:rsidR="00F971ED">
        <w:t xml:space="preserve"> </w:t>
      </w:r>
      <w:r w:rsidRPr="00EF1D9A">
        <w:t>Treatment duration was 48 weeks.</w:t>
      </w:r>
    </w:p>
    <w:p w14:paraId="6489813D" w14:textId="77777777" w:rsidR="00EF1D9A" w:rsidRPr="00EF1D9A" w:rsidRDefault="00EF1D9A" w:rsidP="00EF1D9A">
      <w:pPr>
        <w:pStyle w:val="ListBullet"/>
      </w:pPr>
      <w:r w:rsidRPr="00EF1D9A">
        <w:t>In Study D3250C00018 (CALIMA) there were 438 patients exposed to benralizumab 30 mg Q4W, 428 to 30 mg Q8W and 440 to placebo.</w:t>
      </w:r>
      <w:r w:rsidR="00F971ED">
        <w:t xml:space="preserve"> </w:t>
      </w:r>
      <w:r w:rsidRPr="00EF1D9A">
        <w:t>Treatment duration was 48 weeks.</w:t>
      </w:r>
    </w:p>
    <w:p w14:paraId="0A2FFB4C" w14:textId="77777777" w:rsidR="00EF1D9A" w:rsidRPr="00EF1D9A" w:rsidRDefault="00EF1D9A" w:rsidP="00EF1D9A">
      <w:pPr>
        <w:pStyle w:val="ListBullet"/>
      </w:pPr>
      <w:r w:rsidRPr="00EF1D9A">
        <w:t>In Study D3250C00020 (ZONDA) there were 72 pati</w:t>
      </w:r>
      <w:r w:rsidR="00B62CD5">
        <w:t>ents exposed to benralizumab 30 </w:t>
      </w:r>
      <w:r w:rsidRPr="00EF1D9A">
        <w:t>mg Q4W, 73 to Q4W for three doses then Q8W and 75 to placebo for up to 28 weeks.</w:t>
      </w:r>
    </w:p>
    <w:p w14:paraId="6DC848EE" w14:textId="77777777" w:rsidR="00EF1D9A" w:rsidRPr="00EF1D9A" w:rsidRDefault="00EF1D9A" w:rsidP="00EF1D9A">
      <w:pPr>
        <w:pStyle w:val="ListBullet"/>
      </w:pPr>
      <w:r w:rsidRPr="00EF1D9A">
        <w:t>In Study D3250C00032</w:t>
      </w:r>
      <w:r w:rsidR="00F971ED">
        <w:t xml:space="preserve"> </w:t>
      </w:r>
      <w:r w:rsidRPr="00EF1D9A">
        <w:t>106 patients were exposed to three doses of 30 mg benralizumab over 12 weeks and 105 to placebo.</w:t>
      </w:r>
    </w:p>
    <w:p w14:paraId="37A2C6C0" w14:textId="77777777" w:rsidR="00500337" w:rsidRPr="00500337" w:rsidRDefault="00EF1D9A" w:rsidP="00500337">
      <w:pPr>
        <w:pStyle w:val="ListBullet"/>
      </w:pPr>
      <w:r w:rsidRPr="00EF1D9A">
        <w:t>In Study D3250C00029 116 patients were exposed to 30 mg benralizumab Q4W over 16 weeks (4 doses).</w:t>
      </w:r>
    </w:p>
    <w:p w14:paraId="7AAF89FD" w14:textId="77777777" w:rsidR="00605AD4" w:rsidRDefault="00605AD4" w:rsidP="00605AD4">
      <w:pPr>
        <w:pStyle w:val="Heading4"/>
      </w:pPr>
      <w:r w:rsidRPr="00605AD4">
        <w:lastRenderedPageBreak/>
        <w:t>Safety issues with the potential for major regulatory impact</w:t>
      </w:r>
    </w:p>
    <w:p w14:paraId="3B4DB1BC" w14:textId="77777777" w:rsidR="00EF1D9A" w:rsidRPr="00545B14" w:rsidRDefault="00EF1D9A" w:rsidP="00367960">
      <w:pPr>
        <w:pStyle w:val="Heading5"/>
      </w:pPr>
      <w:bookmarkStart w:id="133" w:name="_Toc272414669"/>
      <w:bookmarkStart w:id="134" w:name="_Toc290888533"/>
      <w:bookmarkStart w:id="135" w:name="_Toc416353749"/>
      <w:bookmarkStart w:id="136" w:name="_Toc421005292"/>
      <w:bookmarkStart w:id="137" w:name="_Toc432079169"/>
      <w:bookmarkStart w:id="138" w:name="_Toc432080742"/>
      <w:r w:rsidRPr="00545B14">
        <w:t>Liver function</w:t>
      </w:r>
      <w:bookmarkEnd w:id="133"/>
      <w:bookmarkEnd w:id="134"/>
      <w:bookmarkEnd w:id="135"/>
      <w:bookmarkEnd w:id="136"/>
      <w:r>
        <w:t xml:space="preserve"> and liver toxicity</w:t>
      </w:r>
      <w:bookmarkEnd w:id="137"/>
      <w:bookmarkEnd w:id="138"/>
    </w:p>
    <w:p w14:paraId="2EA858D5" w14:textId="77777777" w:rsidR="00EF1D9A" w:rsidRPr="00C2074B" w:rsidRDefault="00EF1D9A" w:rsidP="00367960">
      <w:pPr>
        <w:pStyle w:val="Heading6"/>
      </w:pPr>
      <w:r w:rsidRPr="00C2074B">
        <w:t>Pivotal and/or main efficacy studies</w:t>
      </w:r>
    </w:p>
    <w:p w14:paraId="0B64AD90" w14:textId="4916FBD0" w:rsidR="00EF1D9A" w:rsidRDefault="00EF1D9A" w:rsidP="00EF1D9A">
      <w:r>
        <w:t>In Study D3250C00017 (SIROCCO</w:t>
      </w:r>
      <w:r w:rsidR="00AD6903">
        <w:t xml:space="preserve"> trial</w:t>
      </w:r>
      <w:r>
        <w:t xml:space="preserve">) elevated </w:t>
      </w:r>
      <w:r w:rsidR="002A4756">
        <w:t>alanine aminotransferase (</w:t>
      </w:r>
      <w:r>
        <w:t>ALT</w:t>
      </w:r>
      <w:r w:rsidR="002A4756">
        <w:t>)</w:t>
      </w:r>
      <w:r>
        <w:t xml:space="preserve"> was reported for one (0.2%) patients in the benralizumab 30 mg Q4W group, three (0.8%) in the 30 mg Q8W and two (0.5%) in the placebo.</w:t>
      </w:r>
      <w:r w:rsidR="00F971ED">
        <w:t xml:space="preserve"> </w:t>
      </w:r>
      <w:r>
        <w:t xml:space="preserve">Elevated </w:t>
      </w:r>
      <w:r w:rsidR="002A4756">
        <w:t>aspartate aminotransferase (</w:t>
      </w:r>
      <w:r>
        <w:t>AST</w:t>
      </w:r>
      <w:r w:rsidR="002A4756">
        <w:t>)</w:t>
      </w:r>
      <w:r>
        <w:t xml:space="preserve"> was reported for one (0.2%) </w:t>
      </w:r>
      <w:r w:rsidR="00B62CD5">
        <w:t>patients in the benralizumab 30 </w:t>
      </w:r>
      <w:r>
        <w:t>mg Q4W group, two (0.5%) in the 30 mg Q8W and two (0.5%) in the placebo.</w:t>
      </w:r>
    </w:p>
    <w:p w14:paraId="30631A0C" w14:textId="77777777" w:rsidR="00EF1D9A" w:rsidRDefault="00EF1D9A" w:rsidP="00EF1D9A">
      <w:r>
        <w:t>In Study D3250C00018 (CALIMA) elevated ALT was reported for two (0.5%) patients in the benralizumab 30 mg Q4W group, two (0.5%) in the 30 mg Q8W and two (0.5%) in the placebo.</w:t>
      </w:r>
      <w:r w:rsidR="00F971ED">
        <w:t xml:space="preserve"> </w:t>
      </w:r>
      <w:r>
        <w:t>Elevated AST was reported for one (0.2%) patients in the benralizumab 30 mg Q4W group, five (1.2%) in the 30 mg Q8W and none in the placebo.</w:t>
      </w:r>
    </w:p>
    <w:p w14:paraId="64EB02B1" w14:textId="77777777" w:rsidR="00EF1D9A" w:rsidRDefault="00F33FCE" w:rsidP="00EF1D9A">
      <w:r>
        <w:t xml:space="preserve">In Study D3250C00020 (ZONDA) </w:t>
      </w:r>
      <w:r w:rsidR="00EF1D9A">
        <w:t>there were no reports of elevated ALT or AST.</w:t>
      </w:r>
    </w:p>
    <w:p w14:paraId="26D33351" w14:textId="77777777" w:rsidR="00EF1D9A" w:rsidRPr="00EC3AE0" w:rsidRDefault="00EF1D9A" w:rsidP="00EF1D9A">
      <w:pPr>
        <w:pStyle w:val="Heading6"/>
      </w:pPr>
      <w:r w:rsidRPr="00EC3AE0">
        <w:t>Other efficacy studies</w:t>
      </w:r>
    </w:p>
    <w:p w14:paraId="0F647D4D" w14:textId="77777777" w:rsidR="00EF1D9A" w:rsidRDefault="00EF1D9A" w:rsidP="00EF1D9A">
      <w:pPr>
        <w:rPr>
          <w:lang w:eastAsia="ja-JP"/>
        </w:rPr>
      </w:pPr>
      <w:r>
        <w:t xml:space="preserve">In Study MI-CP186 and </w:t>
      </w:r>
      <w:r>
        <w:rPr>
          <w:lang w:eastAsia="ja-JP"/>
        </w:rPr>
        <w:t>Study MI-CP197</w:t>
      </w:r>
      <w:r w:rsidR="00F971ED">
        <w:rPr>
          <w:lang w:eastAsia="ja-JP"/>
        </w:rPr>
        <w:t xml:space="preserve"> </w:t>
      </w:r>
      <w:r>
        <w:t>there were no clinically significant abnormalities in hepatic function.</w:t>
      </w:r>
    </w:p>
    <w:p w14:paraId="1D27A268" w14:textId="77777777" w:rsidR="00EF1D9A" w:rsidRDefault="00EF1D9A" w:rsidP="00EF1D9A">
      <w:pPr>
        <w:rPr>
          <w:lang w:eastAsia="ja-JP"/>
        </w:rPr>
      </w:pPr>
      <w:r>
        <w:rPr>
          <w:lang w:eastAsia="ja-JP"/>
        </w:rPr>
        <w:t>In Study MI-CP220 no patients met the criteria for Hy’s Law.</w:t>
      </w:r>
    </w:p>
    <w:p w14:paraId="148E2270" w14:textId="77777777" w:rsidR="00EF1D9A" w:rsidRDefault="00EF1D9A" w:rsidP="00EF1D9A">
      <w:pPr>
        <w:rPr>
          <w:lang w:eastAsia="ja-JP"/>
        </w:rPr>
      </w:pPr>
      <w:r>
        <w:t xml:space="preserve">In </w:t>
      </w:r>
      <w:r w:rsidRPr="00887787">
        <w:t>Study D3250C00032</w:t>
      </w:r>
      <w:r w:rsidR="00F971ED">
        <w:t xml:space="preserve"> </w:t>
      </w:r>
      <w:r>
        <w:t>and Study D3250C00029</w:t>
      </w:r>
      <w:r w:rsidR="00F971ED">
        <w:t xml:space="preserve"> </w:t>
      </w:r>
      <w:r>
        <w:t xml:space="preserve">no patient had ALT </w:t>
      </w:r>
      <w:r w:rsidR="005028A8">
        <w:t xml:space="preserve">&gt; </w:t>
      </w:r>
      <w:r>
        <w:t>3</w:t>
      </w:r>
      <w:r w:rsidR="00367960">
        <w:t xml:space="preserve"> </w:t>
      </w:r>
      <w:r>
        <w:t>x</w:t>
      </w:r>
      <w:r w:rsidR="00367960">
        <w:t xml:space="preserve"> </w:t>
      </w:r>
      <w:r w:rsidR="00F511F9">
        <w:t>upper limit of normal (</w:t>
      </w:r>
      <w:r>
        <w:t>ULN</w:t>
      </w:r>
      <w:r w:rsidR="00F511F9">
        <w:t>)</w:t>
      </w:r>
      <w:r>
        <w:t xml:space="preserve"> and no patient fulfilled the criteria of Hy’s Law.</w:t>
      </w:r>
    </w:p>
    <w:p w14:paraId="2BCBCE13" w14:textId="77777777" w:rsidR="00EF1D9A" w:rsidRPr="00545B14" w:rsidRDefault="00EF1D9A" w:rsidP="00367960">
      <w:pPr>
        <w:pStyle w:val="Heading5"/>
      </w:pPr>
      <w:bookmarkStart w:id="139" w:name="_Toc272414670"/>
      <w:bookmarkStart w:id="140" w:name="_Toc290888534"/>
      <w:bookmarkStart w:id="141" w:name="_Toc416353750"/>
      <w:bookmarkStart w:id="142" w:name="_Toc421005293"/>
      <w:bookmarkStart w:id="143" w:name="_Toc432079170"/>
      <w:bookmarkStart w:id="144" w:name="_Toc432080743"/>
      <w:r>
        <w:t xml:space="preserve">Renal </w:t>
      </w:r>
      <w:r w:rsidRPr="00545B14">
        <w:t>function</w:t>
      </w:r>
      <w:bookmarkEnd w:id="139"/>
      <w:bookmarkEnd w:id="140"/>
      <w:bookmarkEnd w:id="141"/>
      <w:bookmarkEnd w:id="142"/>
      <w:r>
        <w:t xml:space="preserve"> and renal toxicity</w:t>
      </w:r>
      <w:bookmarkEnd w:id="143"/>
      <w:bookmarkEnd w:id="144"/>
    </w:p>
    <w:p w14:paraId="44AD68E6" w14:textId="77777777" w:rsidR="00EF1D9A" w:rsidRPr="00C2074B" w:rsidRDefault="00EF1D9A" w:rsidP="00367960">
      <w:pPr>
        <w:pStyle w:val="Heading6"/>
      </w:pPr>
      <w:r w:rsidRPr="00C2074B">
        <w:t>Pivotal and/or main efficacy studies</w:t>
      </w:r>
    </w:p>
    <w:p w14:paraId="4B9E09A9" w14:textId="77777777" w:rsidR="00367960" w:rsidRDefault="00EF1D9A" w:rsidP="00EF1D9A">
      <w:r>
        <w:t>In Study D3250C00017 (SIROCCO) elevated plasma creatinine was reported for one (0.2%) patients in the benralizumab 30 mg Q4W group, none in the 30 mg Q8W and three (0.7%) in the placebo</w:t>
      </w:r>
      <w:r w:rsidR="00367960">
        <w:t>.</w:t>
      </w:r>
    </w:p>
    <w:p w14:paraId="08E56486" w14:textId="77777777" w:rsidR="00EF1D9A" w:rsidRDefault="00EF1D9A" w:rsidP="00EF1D9A">
      <w:r>
        <w:t>In Study D3250C00018 (CALIMA) elevated plasma creatinine was reported for one (0.2%) patients in the benralizumab 30 mg Q4W group, none in the 30 mg Q8W and one (0.2%) in the placebo.</w:t>
      </w:r>
      <w:r w:rsidR="00F971ED">
        <w:t xml:space="preserve"> </w:t>
      </w:r>
      <w:r>
        <w:t>There were no patients who met the criteria for Hy’s Law.</w:t>
      </w:r>
    </w:p>
    <w:p w14:paraId="634E3122" w14:textId="77777777" w:rsidR="00EF1D9A" w:rsidRDefault="00EF1D9A" w:rsidP="00EF1D9A">
      <w:r>
        <w:t>In Study D3250C00020 (ZONDA) elevated plasma creatinine was reported for one (1.4%) patient in the Q8W group.</w:t>
      </w:r>
    </w:p>
    <w:p w14:paraId="49BFD7FE" w14:textId="77777777" w:rsidR="00EF1D9A" w:rsidRPr="00EC3AE0" w:rsidRDefault="00EF1D9A" w:rsidP="00EF1D9A">
      <w:pPr>
        <w:pStyle w:val="Heading6"/>
      </w:pPr>
      <w:r w:rsidRPr="00EC3AE0">
        <w:t>Other efficacy studies</w:t>
      </w:r>
    </w:p>
    <w:p w14:paraId="5FCE01AA" w14:textId="77777777" w:rsidR="00EF1D9A" w:rsidRDefault="00EF1D9A" w:rsidP="00EF1D9A">
      <w:pPr>
        <w:rPr>
          <w:lang w:eastAsia="ja-JP"/>
        </w:rPr>
      </w:pPr>
      <w:r>
        <w:t xml:space="preserve">In Study MI-CP186, </w:t>
      </w:r>
      <w:r w:rsidR="00F33FCE">
        <w:rPr>
          <w:lang w:eastAsia="ja-JP"/>
        </w:rPr>
        <w:t>Study MI-CP197,</w:t>
      </w:r>
      <w:r>
        <w:rPr>
          <w:lang w:eastAsia="ja-JP"/>
        </w:rPr>
        <w:t xml:space="preserve"> Study MI-CP220 and </w:t>
      </w:r>
      <w:r w:rsidR="00F33FCE">
        <w:t>Study D3250C00029</w:t>
      </w:r>
      <w:r>
        <w:rPr>
          <w:lang w:eastAsia="ja-JP"/>
        </w:rPr>
        <w:t xml:space="preserve"> </w:t>
      </w:r>
      <w:r>
        <w:t>there were no clinically significant abnormalities in renal function.</w:t>
      </w:r>
    </w:p>
    <w:p w14:paraId="7D22C127" w14:textId="77777777" w:rsidR="00EF1D9A" w:rsidRDefault="00EF1D9A" w:rsidP="00367960">
      <w:pPr>
        <w:pStyle w:val="Heading5"/>
      </w:pPr>
      <w:bookmarkStart w:id="145" w:name="_Toc272414671"/>
      <w:bookmarkStart w:id="146" w:name="_Toc290888535"/>
      <w:bookmarkStart w:id="147" w:name="_Toc416353751"/>
      <w:bookmarkStart w:id="148" w:name="_Toc421005294"/>
      <w:bookmarkStart w:id="149" w:name="_Toc432079171"/>
      <w:bookmarkStart w:id="150" w:name="_Toc432080744"/>
      <w:r w:rsidRPr="00545B14">
        <w:t>Other clinical chemistry</w:t>
      </w:r>
      <w:bookmarkEnd w:id="145"/>
      <w:bookmarkEnd w:id="146"/>
      <w:bookmarkEnd w:id="147"/>
      <w:bookmarkEnd w:id="148"/>
      <w:bookmarkEnd w:id="149"/>
      <w:bookmarkEnd w:id="150"/>
    </w:p>
    <w:p w14:paraId="3958F2AC" w14:textId="77777777" w:rsidR="00EF1D9A" w:rsidRPr="00C2074B" w:rsidRDefault="00EF1D9A" w:rsidP="00367960">
      <w:pPr>
        <w:pStyle w:val="Heading6"/>
      </w:pPr>
      <w:r w:rsidRPr="00C2074B">
        <w:t>Pivotal and/or main efficacy studies</w:t>
      </w:r>
    </w:p>
    <w:p w14:paraId="246293EB" w14:textId="1CFF5617" w:rsidR="00367960" w:rsidRDefault="00EF1D9A" w:rsidP="00EF1D9A">
      <w:r>
        <w:t>In Study D3250C00017 (SIROCCO), Study D3250C00018 (CALIMA) and Study</w:t>
      </w:r>
      <w:r w:rsidR="00D81D13">
        <w:t> </w:t>
      </w:r>
      <w:r>
        <w:t>D3250C00020 (ZONDA) there were no clinically significant abnormalities in other clinical chemistry</w:t>
      </w:r>
      <w:r w:rsidR="00367960">
        <w:t>.</w:t>
      </w:r>
    </w:p>
    <w:p w14:paraId="74D15344" w14:textId="77777777" w:rsidR="00EF1D9A" w:rsidRPr="00545B14" w:rsidRDefault="00EF1D9A" w:rsidP="00367960">
      <w:pPr>
        <w:pStyle w:val="Heading5"/>
      </w:pPr>
      <w:bookmarkStart w:id="151" w:name="_Toc272414672"/>
      <w:bookmarkStart w:id="152" w:name="_Toc290888536"/>
      <w:bookmarkStart w:id="153" w:name="_Toc416353752"/>
      <w:bookmarkStart w:id="154" w:name="_Toc421005295"/>
      <w:bookmarkStart w:id="155" w:name="_Toc432079172"/>
      <w:bookmarkStart w:id="156" w:name="_Toc432080745"/>
      <w:r w:rsidRPr="00545B14">
        <w:t>Haematology</w:t>
      </w:r>
      <w:bookmarkEnd w:id="151"/>
      <w:bookmarkEnd w:id="152"/>
      <w:bookmarkEnd w:id="153"/>
      <w:bookmarkEnd w:id="154"/>
      <w:r>
        <w:t xml:space="preserve"> and haematological toxicity</w:t>
      </w:r>
      <w:bookmarkEnd w:id="155"/>
      <w:bookmarkEnd w:id="156"/>
    </w:p>
    <w:p w14:paraId="1D74610D" w14:textId="77777777" w:rsidR="00EF1D9A" w:rsidRPr="00C2074B" w:rsidRDefault="00EF1D9A" w:rsidP="00367960">
      <w:pPr>
        <w:pStyle w:val="Heading6"/>
      </w:pPr>
      <w:r w:rsidRPr="00C2074B">
        <w:t>Pivotal and/or main efficacy studies</w:t>
      </w:r>
    </w:p>
    <w:p w14:paraId="14BBE141" w14:textId="77777777" w:rsidR="00EF1D9A" w:rsidRDefault="00EF1D9A" w:rsidP="00EF1D9A">
      <w:pPr>
        <w:rPr>
          <w:lang w:eastAsia="ja-JP"/>
        </w:rPr>
      </w:pPr>
      <w:r>
        <w:rPr>
          <w:lang w:eastAsia="ja-JP"/>
        </w:rPr>
        <w:t>In Study D3250C00017 (SIROCCO) mean basophil count was reduced by approximately one third in the benralizumab groups.</w:t>
      </w:r>
      <w:r w:rsidR="00F971ED">
        <w:rPr>
          <w:lang w:eastAsia="ja-JP"/>
        </w:rPr>
        <w:t xml:space="preserve"> </w:t>
      </w:r>
      <w:r>
        <w:rPr>
          <w:lang w:eastAsia="ja-JP"/>
        </w:rPr>
        <w:t xml:space="preserve">There was no significant change in overall mean </w:t>
      </w:r>
      <w:r w:rsidR="00F511F9">
        <w:rPr>
          <w:lang w:eastAsia="ja-JP"/>
        </w:rPr>
        <w:t>white cell count (</w:t>
      </w:r>
      <w:r>
        <w:rPr>
          <w:lang w:eastAsia="ja-JP"/>
        </w:rPr>
        <w:t>WCC</w:t>
      </w:r>
      <w:r w:rsidR="00F511F9">
        <w:rPr>
          <w:lang w:eastAsia="ja-JP"/>
        </w:rPr>
        <w:t>)</w:t>
      </w:r>
      <w:r>
        <w:rPr>
          <w:lang w:eastAsia="ja-JP"/>
        </w:rPr>
        <w:t>.</w:t>
      </w:r>
      <w:r w:rsidR="00F971ED">
        <w:rPr>
          <w:lang w:eastAsia="ja-JP"/>
        </w:rPr>
        <w:t xml:space="preserve"> </w:t>
      </w:r>
      <w:r>
        <w:rPr>
          <w:lang w:eastAsia="ja-JP"/>
        </w:rPr>
        <w:t>One patient in the Q8W group developed neutropenia that resolved on treatment.</w:t>
      </w:r>
    </w:p>
    <w:p w14:paraId="06BD3091" w14:textId="77777777" w:rsidR="00EF1D9A" w:rsidRDefault="00EF1D9A" w:rsidP="00EF1D9A">
      <w:pPr>
        <w:rPr>
          <w:lang w:eastAsia="ja-JP"/>
        </w:rPr>
      </w:pPr>
      <w:r>
        <w:lastRenderedPageBreak/>
        <w:t>In Study D3250C00018 (CALIMA) mean basophil count was reduced by approximately one third in the benralizumab groups.</w:t>
      </w:r>
      <w:r w:rsidR="00F971ED">
        <w:t xml:space="preserve"> </w:t>
      </w:r>
      <w:r>
        <w:rPr>
          <w:lang w:eastAsia="ja-JP"/>
        </w:rPr>
        <w:t>There was no significant change in overall mean WCC.</w:t>
      </w:r>
      <w:r w:rsidR="00F971ED">
        <w:rPr>
          <w:lang w:eastAsia="ja-JP"/>
        </w:rPr>
        <w:t xml:space="preserve"> </w:t>
      </w:r>
      <w:r>
        <w:rPr>
          <w:lang w:eastAsia="ja-JP"/>
        </w:rPr>
        <w:t xml:space="preserve">Decreased WCC was reported as a </w:t>
      </w:r>
      <w:r w:rsidR="00F511F9">
        <w:t>treatment-emergent adverse event</w:t>
      </w:r>
      <w:r w:rsidR="00F511F9">
        <w:rPr>
          <w:lang w:eastAsia="ja-JP"/>
        </w:rPr>
        <w:t xml:space="preserve"> (</w:t>
      </w:r>
      <w:r>
        <w:rPr>
          <w:lang w:eastAsia="ja-JP"/>
        </w:rPr>
        <w:t>TEAE</w:t>
      </w:r>
      <w:r w:rsidR="00F511F9">
        <w:rPr>
          <w:lang w:eastAsia="ja-JP"/>
        </w:rPr>
        <w:t>)</w:t>
      </w:r>
      <w:r>
        <w:rPr>
          <w:lang w:eastAsia="ja-JP"/>
        </w:rPr>
        <w:t xml:space="preserve"> for one (0.2%) patient in the Q4W group.</w:t>
      </w:r>
    </w:p>
    <w:p w14:paraId="22FCD5C3" w14:textId="77777777" w:rsidR="00EF1D9A" w:rsidRDefault="00EF1D9A" w:rsidP="00EF1D9A">
      <w:pPr>
        <w:rPr>
          <w:lang w:eastAsia="ja-JP"/>
        </w:rPr>
      </w:pPr>
      <w:r>
        <w:t>In Study D3250C00020 (ZONDA) basophil count was reduced by approximately one half in the benralizumab groups.</w:t>
      </w:r>
      <w:r w:rsidR="00F971ED">
        <w:t xml:space="preserve"> </w:t>
      </w:r>
      <w:r>
        <w:t>Mean WCC decreased by approximately one quarter in the benralizumab groups.</w:t>
      </w:r>
      <w:r w:rsidR="00F971ED">
        <w:t xml:space="preserve"> </w:t>
      </w:r>
      <w:r>
        <w:t>There was no consistent change in neutrophil counts.</w:t>
      </w:r>
      <w:r w:rsidR="00F971ED">
        <w:t xml:space="preserve"> </w:t>
      </w:r>
      <w:r>
        <w:t>There were no haematology related TEAEs in the benralizumab groups.</w:t>
      </w:r>
    </w:p>
    <w:p w14:paraId="58A15E53" w14:textId="77777777" w:rsidR="00EF1D9A" w:rsidRPr="00EC3AE0" w:rsidRDefault="00EF1D9A" w:rsidP="00EF1D9A">
      <w:pPr>
        <w:pStyle w:val="Heading6"/>
      </w:pPr>
      <w:r w:rsidRPr="00EC3AE0">
        <w:t>Other efficacy studies</w:t>
      </w:r>
    </w:p>
    <w:p w14:paraId="41AC70BE" w14:textId="32A47774" w:rsidR="00367960" w:rsidRDefault="00EF1D9A" w:rsidP="00EF1D9A">
      <w:r>
        <w:t xml:space="preserve">In Study MI-CP186 </w:t>
      </w:r>
      <w:r w:rsidR="002A4756">
        <w:t>absolute neutrophil count (</w:t>
      </w:r>
      <w:r>
        <w:t>ANC</w:t>
      </w:r>
      <w:r w:rsidR="002A4756">
        <w:t>)</w:t>
      </w:r>
      <w:r>
        <w:t xml:space="preserve"> </w:t>
      </w:r>
      <w:r w:rsidR="007504A5">
        <w:t xml:space="preserve">&lt; </w:t>
      </w:r>
      <w:r>
        <w:t>1.5</w:t>
      </w:r>
      <w:r w:rsidR="00367960">
        <w:t xml:space="preserve"> </w:t>
      </w:r>
      <w:r>
        <w:t>x</w:t>
      </w:r>
      <w:r w:rsidR="00367960">
        <w:t xml:space="preserve"> </w:t>
      </w:r>
      <w:r>
        <w:t>10</w:t>
      </w:r>
      <w:r w:rsidRPr="00880FCA">
        <w:rPr>
          <w:vertAlign w:val="superscript"/>
        </w:rPr>
        <w:t>3</w:t>
      </w:r>
      <w:r>
        <w:t>/</w:t>
      </w:r>
      <w:r w:rsidR="00D81D13">
        <w:t>µ</w:t>
      </w:r>
      <w:r>
        <w:t>L was reported in ei</w:t>
      </w:r>
      <w:r w:rsidR="00367960">
        <w:t>ght (22.2%) patients in the 0.3 </w:t>
      </w:r>
      <w:r>
        <w:t>mg/kg group, one (2.8%) in the 1.0 mg/kg and none in the placebo</w:t>
      </w:r>
      <w:r w:rsidR="00367960">
        <w:t>.</w:t>
      </w:r>
    </w:p>
    <w:p w14:paraId="0F6DF3A8" w14:textId="77777777" w:rsidR="00EF1D9A" w:rsidRDefault="00EF1D9A" w:rsidP="00EF1D9A">
      <w:pPr>
        <w:rPr>
          <w:lang w:eastAsia="ja-JP"/>
        </w:rPr>
      </w:pPr>
      <w:r>
        <w:rPr>
          <w:lang w:eastAsia="ja-JP"/>
        </w:rPr>
        <w:t xml:space="preserve">In Study MI-CP197 </w:t>
      </w:r>
      <w:r>
        <w:t xml:space="preserve">ANC </w:t>
      </w:r>
      <w:r w:rsidR="007504A5">
        <w:t xml:space="preserve">&lt; </w:t>
      </w:r>
      <w:r>
        <w:t>1.5</w:t>
      </w:r>
      <w:r w:rsidR="00367960">
        <w:t xml:space="preserve"> </w:t>
      </w:r>
      <w:r>
        <w:t>x</w:t>
      </w:r>
      <w:r w:rsidR="00367960">
        <w:t xml:space="preserve"> </w:t>
      </w:r>
      <w:r>
        <w:t>10</w:t>
      </w:r>
      <w:r w:rsidRPr="00880FCA">
        <w:rPr>
          <w:vertAlign w:val="superscript"/>
        </w:rPr>
        <w:t>3</w:t>
      </w:r>
      <w:r>
        <w:t>/</w:t>
      </w:r>
      <w:proofErr w:type="spellStart"/>
      <w:r>
        <w:t>μL</w:t>
      </w:r>
      <w:proofErr w:type="spellEnd"/>
      <w:r>
        <w:t xml:space="preserve"> was</w:t>
      </w:r>
      <w:r>
        <w:rPr>
          <w:lang w:eastAsia="ja-JP"/>
        </w:rPr>
        <w:t xml:space="preserve"> reported in two (28.6%) patients in the 25 mg group, two (33.3%) in the 100 mg, none in the 200 mg and two (33.3%) in the placebo.</w:t>
      </w:r>
    </w:p>
    <w:p w14:paraId="08292437" w14:textId="77777777" w:rsidR="00EF1D9A" w:rsidRDefault="00EF1D9A" w:rsidP="00EF1D9A">
      <w:pPr>
        <w:rPr>
          <w:lang w:eastAsia="ja-JP"/>
        </w:rPr>
      </w:pPr>
      <w:r>
        <w:rPr>
          <w:lang w:eastAsia="ja-JP"/>
        </w:rPr>
        <w:t>In Study MI-CP220</w:t>
      </w:r>
      <w:r w:rsidR="00F971ED">
        <w:rPr>
          <w:lang w:eastAsia="ja-JP"/>
        </w:rPr>
        <w:t xml:space="preserve"> </w:t>
      </w:r>
      <w:r>
        <w:rPr>
          <w:lang w:eastAsia="ja-JP"/>
        </w:rPr>
        <w:t>Grade 3/4 haematology laboratory abnormalities were reported in 16 (7.2%) patients in the placebo group and 31 (8.1%) in the benralizumab.</w:t>
      </w:r>
    </w:p>
    <w:p w14:paraId="2D5EFD97" w14:textId="77777777" w:rsidR="00EF1D9A" w:rsidRDefault="00EF1D9A" w:rsidP="00EF1D9A">
      <w:pPr>
        <w:rPr>
          <w:lang w:eastAsia="ja-JP"/>
        </w:rPr>
      </w:pPr>
      <w:r>
        <w:t xml:space="preserve">In </w:t>
      </w:r>
      <w:r w:rsidRPr="00887787">
        <w:t>Study D3250C00032</w:t>
      </w:r>
      <w:r>
        <w:t xml:space="preserve"> one patient in the Q4W group had pancytopenia as a </w:t>
      </w:r>
      <w:r w:rsidR="00F511F9">
        <w:t>serious adverse event (</w:t>
      </w:r>
      <w:r>
        <w:t>SAE</w:t>
      </w:r>
      <w:r w:rsidR="00F511F9">
        <w:t>)</w:t>
      </w:r>
      <w:r>
        <w:t xml:space="preserve"> resulting in death.</w:t>
      </w:r>
    </w:p>
    <w:p w14:paraId="303358C2" w14:textId="77777777" w:rsidR="00EF1D9A" w:rsidRDefault="00EF1D9A" w:rsidP="00EF1D9A">
      <w:pPr>
        <w:rPr>
          <w:lang w:eastAsia="ja-JP"/>
        </w:rPr>
      </w:pPr>
      <w:r>
        <w:t>In Study D3250C00029 there were no TEAEs relating to haematological abnormalities.</w:t>
      </w:r>
    </w:p>
    <w:p w14:paraId="3CE0C838" w14:textId="77777777" w:rsidR="00EF1D9A" w:rsidRPr="00545B14" w:rsidRDefault="00EF1D9A" w:rsidP="00367960">
      <w:pPr>
        <w:pStyle w:val="Heading5"/>
      </w:pPr>
      <w:bookmarkStart w:id="157" w:name="_Toc272414674"/>
      <w:bookmarkStart w:id="158" w:name="_Toc290888538"/>
      <w:bookmarkStart w:id="159" w:name="_Toc416353753"/>
      <w:bookmarkStart w:id="160" w:name="_Toc421005296"/>
      <w:bookmarkStart w:id="161" w:name="_Toc432079173"/>
      <w:bookmarkStart w:id="162" w:name="_Toc432080746"/>
      <w:r w:rsidRPr="00545B14">
        <w:t>Other laboratory test</w:t>
      </w:r>
      <w:bookmarkEnd w:id="157"/>
      <w:bookmarkEnd w:id="158"/>
      <w:bookmarkEnd w:id="159"/>
      <w:bookmarkEnd w:id="160"/>
      <w:bookmarkEnd w:id="161"/>
      <w:bookmarkEnd w:id="162"/>
      <w:r>
        <w:t>s</w:t>
      </w:r>
    </w:p>
    <w:p w14:paraId="166DD999" w14:textId="77777777" w:rsidR="00EF1D9A" w:rsidRDefault="005E3545" w:rsidP="00EF1D9A">
      <w:pPr>
        <w:rPr>
          <w:lang w:eastAsia="ja-JP"/>
        </w:rPr>
      </w:pPr>
      <w:bookmarkStart w:id="163" w:name="_Toc272414675"/>
      <w:bookmarkStart w:id="164" w:name="_Toc290888539"/>
      <w:bookmarkStart w:id="165" w:name="_Toc416353754"/>
      <w:bookmarkStart w:id="166" w:name="_Toc421005297"/>
      <w:bookmarkStart w:id="167" w:name="_Toc432079174"/>
      <w:bookmarkStart w:id="168" w:name="_Toc432080747"/>
      <w:r>
        <w:t>Not Applicable</w:t>
      </w:r>
      <w:r w:rsidR="00EF1D9A">
        <w:rPr>
          <w:lang w:eastAsia="ja-JP"/>
        </w:rPr>
        <w:t>.</w:t>
      </w:r>
    </w:p>
    <w:p w14:paraId="0F41807A" w14:textId="77777777" w:rsidR="00EF1D9A" w:rsidRPr="00545B14" w:rsidRDefault="00EF1D9A" w:rsidP="00367960">
      <w:pPr>
        <w:pStyle w:val="Heading5"/>
      </w:pPr>
      <w:r w:rsidRPr="00545B14">
        <w:t>Electrocardiograph</w:t>
      </w:r>
      <w:bookmarkEnd w:id="163"/>
      <w:bookmarkEnd w:id="164"/>
      <w:bookmarkEnd w:id="165"/>
      <w:bookmarkEnd w:id="166"/>
      <w:r>
        <w:t xml:space="preserve"> findings and cardiovascular safety</w:t>
      </w:r>
      <w:bookmarkEnd w:id="167"/>
      <w:bookmarkEnd w:id="168"/>
    </w:p>
    <w:p w14:paraId="5EEA7D25" w14:textId="77777777" w:rsidR="00EF1D9A" w:rsidRPr="00C2074B" w:rsidRDefault="00EF1D9A" w:rsidP="00367960">
      <w:pPr>
        <w:pStyle w:val="Heading6"/>
      </w:pPr>
      <w:r w:rsidRPr="00C2074B">
        <w:t>Pivotal and/or main efficacy studies</w:t>
      </w:r>
    </w:p>
    <w:p w14:paraId="64CFD074" w14:textId="77777777" w:rsidR="00367960" w:rsidRDefault="00EF1D9A" w:rsidP="00EF1D9A">
      <w:r>
        <w:t>In Study D3250C00017 (SIROCCO) QT prolongation was reported for one (0.2%) patient in the benralizumab 30 mg Q4W group</w:t>
      </w:r>
      <w:r w:rsidR="00367960">
        <w:t>.</w:t>
      </w:r>
    </w:p>
    <w:p w14:paraId="137CCE15" w14:textId="77777777" w:rsidR="00367960" w:rsidRDefault="00EF1D9A" w:rsidP="00EF1D9A">
      <w:r>
        <w:t>In Study D3250C00018 (CALIMA) QT prolongation was reported for one (0.2%) patient in the benralizumab 30 mg Q8W group</w:t>
      </w:r>
      <w:r w:rsidR="00367960">
        <w:t>.</w:t>
      </w:r>
    </w:p>
    <w:p w14:paraId="35FAAA3C" w14:textId="77777777" w:rsidR="00EF1D9A" w:rsidRDefault="00EF1D9A" w:rsidP="00EF1D9A">
      <w:pPr>
        <w:rPr>
          <w:lang w:eastAsia="ja-JP"/>
        </w:rPr>
      </w:pPr>
      <w:r>
        <w:rPr>
          <w:lang w:eastAsia="ja-JP"/>
        </w:rPr>
        <w:t xml:space="preserve">In </w:t>
      </w:r>
      <w:r>
        <w:t>Study D3250C00020 (ZONDA) there were no clinically significant ECG abnormalities.</w:t>
      </w:r>
    </w:p>
    <w:p w14:paraId="6C6198E2" w14:textId="77777777" w:rsidR="00EF1D9A" w:rsidRPr="00EC3AE0" w:rsidRDefault="00EF1D9A" w:rsidP="00EF1D9A">
      <w:pPr>
        <w:pStyle w:val="Heading6"/>
      </w:pPr>
      <w:r w:rsidRPr="00EC3AE0">
        <w:t>Other efficacy studies</w:t>
      </w:r>
    </w:p>
    <w:p w14:paraId="7733152D" w14:textId="77777777" w:rsidR="00EF1D9A" w:rsidRDefault="00EF1D9A" w:rsidP="00EF1D9A">
      <w:pPr>
        <w:rPr>
          <w:lang w:eastAsia="ja-JP"/>
        </w:rPr>
      </w:pPr>
      <w:r>
        <w:rPr>
          <w:lang w:eastAsia="ja-JP"/>
        </w:rPr>
        <w:t xml:space="preserve">In Study MI-CP197, Study MI-CP220 and </w:t>
      </w:r>
      <w:r w:rsidRPr="00887787">
        <w:t>Study D3250C00032</w:t>
      </w:r>
      <w:r>
        <w:t xml:space="preserve"> </w:t>
      </w:r>
      <w:r>
        <w:rPr>
          <w:lang w:eastAsia="ja-JP"/>
        </w:rPr>
        <w:t>there were no clinically significant changes in ECGs.</w:t>
      </w:r>
    </w:p>
    <w:p w14:paraId="7DC061F2" w14:textId="77777777" w:rsidR="00EF1D9A" w:rsidRPr="00545B14" w:rsidRDefault="00EF1D9A" w:rsidP="00367960">
      <w:pPr>
        <w:pStyle w:val="Heading5"/>
      </w:pPr>
      <w:bookmarkStart w:id="169" w:name="_Toc272414676"/>
      <w:bookmarkStart w:id="170" w:name="_Toc290888540"/>
      <w:bookmarkStart w:id="171" w:name="_Toc416353755"/>
      <w:bookmarkStart w:id="172" w:name="_Toc421005298"/>
      <w:bookmarkStart w:id="173" w:name="_Toc432079175"/>
      <w:bookmarkStart w:id="174" w:name="_Toc432080748"/>
      <w:r w:rsidRPr="00545B14">
        <w:t>Vital signs</w:t>
      </w:r>
      <w:bookmarkEnd w:id="169"/>
      <w:bookmarkEnd w:id="170"/>
      <w:bookmarkEnd w:id="171"/>
      <w:bookmarkEnd w:id="172"/>
      <w:r>
        <w:t xml:space="preserve"> and clinical examination findings</w:t>
      </w:r>
      <w:bookmarkEnd w:id="173"/>
      <w:bookmarkEnd w:id="174"/>
    </w:p>
    <w:p w14:paraId="587A71D4" w14:textId="77777777" w:rsidR="00EF1D9A" w:rsidRPr="00C2074B" w:rsidRDefault="00EF1D9A" w:rsidP="00367960">
      <w:pPr>
        <w:pStyle w:val="Heading6"/>
      </w:pPr>
      <w:r w:rsidRPr="00C2074B">
        <w:t>Pivotal and/or main efficacy studies</w:t>
      </w:r>
    </w:p>
    <w:p w14:paraId="6C6DC806" w14:textId="77777777" w:rsidR="00EF1D9A" w:rsidRPr="00C2074B" w:rsidRDefault="00EF1D9A" w:rsidP="00367960">
      <w:r>
        <w:t>In Study D3250C00017 (SIROCCO), Study D3250C00018 (CALIMA) and Study D3250C00020 (ZONDA) there were no significant trends in vital signs</w:t>
      </w:r>
      <w:r w:rsidR="00367960">
        <w:t>.</w:t>
      </w:r>
    </w:p>
    <w:p w14:paraId="4A9F919B" w14:textId="77777777" w:rsidR="00EF1D9A" w:rsidRPr="00EC3AE0" w:rsidRDefault="00EF1D9A" w:rsidP="00EF1D9A">
      <w:pPr>
        <w:pStyle w:val="Heading6"/>
      </w:pPr>
      <w:r w:rsidRPr="00EC3AE0">
        <w:t>Other efficacy studies</w:t>
      </w:r>
    </w:p>
    <w:p w14:paraId="66A1B1DC" w14:textId="77777777" w:rsidR="00367960" w:rsidRDefault="00EF1D9A" w:rsidP="00EF1D9A">
      <w:r>
        <w:t>In Study MI-CP186 pyrexia was reported in two patients in the 0.3 mg/kg group, three in the 1.0 mg/kg and one in the placebo</w:t>
      </w:r>
      <w:r w:rsidR="00367960">
        <w:t>.</w:t>
      </w:r>
    </w:p>
    <w:p w14:paraId="64313ADB" w14:textId="77777777" w:rsidR="00EF1D9A" w:rsidRDefault="00EF1D9A" w:rsidP="00EF1D9A">
      <w:pPr>
        <w:rPr>
          <w:lang w:eastAsia="ja-JP"/>
        </w:rPr>
      </w:pPr>
      <w:r>
        <w:rPr>
          <w:lang w:eastAsia="ja-JP"/>
        </w:rPr>
        <w:t>In Study MI-CP197 pyrexia was reported in one patient in the 200 mg group.</w:t>
      </w:r>
    </w:p>
    <w:p w14:paraId="4FABE004" w14:textId="77777777" w:rsidR="00EF1D9A" w:rsidRDefault="00EF1D9A" w:rsidP="00EF1D9A">
      <w:pPr>
        <w:rPr>
          <w:lang w:eastAsia="ja-JP"/>
        </w:rPr>
      </w:pPr>
      <w:r>
        <w:rPr>
          <w:lang w:eastAsia="ja-JP"/>
        </w:rPr>
        <w:t>In Study MI-CP220 TEAEs of abnormalities in vital signs were reported in 11 (5.0%) patients in the placebo group and 41 (10.6%) in the benralizumab.</w:t>
      </w:r>
    </w:p>
    <w:p w14:paraId="0FBDC7FB" w14:textId="77777777" w:rsidR="00EF1D9A" w:rsidRDefault="00EF1D9A" w:rsidP="00EF1D9A">
      <w:pPr>
        <w:rPr>
          <w:lang w:eastAsia="ja-JP"/>
        </w:rPr>
      </w:pPr>
      <w:r>
        <w:t>In Study D3250C00029 there were no clinically significant changes in vital signs.</w:t>
      </w:r>
    </w:p>
    <w:p w14:paraId="7EADA971" w14:textId="77777777" w:rsidR="00EF1D9A" w:rsidRDefault="00EF1D9A" w:rsidP="00367960">
      <w:pPr>
        <w:pStyle w:val="Heading5"/>
      </w:pPr>
      <w:bookmarkStart w:id="175" w:name="_Toc432079176"/>
      <w:bookmarkStart w:id="176" w:name="_Toc432080749"/>
      <w:r>
        <w:lastRenderedPageBreak/>
        <w:t>Immunogenicity and immunological events</w:t>
      </w:r>
      <w:bookmarkEnd w:id="175"/>
      <w:bookmarkEnd w:id="176"/>
    </w:p>
    <w:p w14:paraId="674A5C45" w14:textId="77777777" w:rsidR="00EF1D9A" w:rsidRPr="00C2074B" w:rsidRDefault="00EF1D9A" w:rsidP="00367960">
      <w:pPr>
        <w:pStyle w:val="Heading6"/>
      </w:pPr>
      <w:r w:rsidRPr="00C2074B">
        <w:t>Pivotal and/or main efficacy studies</w:t>
      </w:r>
    </w:p>
    <w:p w14:paraId="2AC2A599" w14:textId="77777777" w:rsidR="00E14798" w:rsidRDefault="00EF1D9A" w:rsidP="00EF1D9A">
      <w:r>
        <w:t>In Study D3250C00017 (SIROCCO) hypersensitivity TEAEs were reported in 13 (3.2%) patients in the benralizumab 30 mg Q4W group, 11 (2.8%) in the 30 mg Q8W and 11 (2.7%) in the placebo.</w:t>
      </w:r>
      <w:r w:rsidR="00F971ED">
        <w:t xml:space="preserve"> </w:t>
      </w:r>
      <w:r w:rsidR="002A4756">
        <w:t>Anti-drug antibodies (</w:t>
      </w:r>
      <w:r>
        <w:t>ADAs</w:t>
      </w:r>
      <w:r w:rsidR="002A4756">
        <w:t>)</w:t>
      </w:r>
      <w:r>
        <w:t xml:space="preserve"> were reported in 47 (11.7%) patients in the benralizumab 30</w:t>
      </w:r>
      <w:r w:rsidR="00367960">
        <w:t> </w:t>
      </w:r>
      <w:r>
        <w:t>mg Q4W group, 58 (14.8%) in the 30 mg Q8W and 21 (5.2%) in the placebo.</w:t>
      </w:r>
      <w:r w:rsidR="00F971ED">
        <w:t xml:space="preserve"> </w:t>
      </w:r>
      <w:r>
        <w:t>Neutralising antibodies were reported in 31 (7.7%) patients in the benralizumab 30 mg Q4W group, 49 (12.5%) in the 30 mg Q8W and 11 (2.7%) in the placebo.</w:t>
      </w:r>
      <w:r w:rsidR="00F971ED">
        <w:t xml:space="preserve"> </w:t>
      </w:r>
      <w:r>
        <w:t>ADA did not appear to effect efficacy</w:t>
      </w:r>
      <w:r w:rsidR="00E14798">
        <w:t>.</w:t>
      </w:r>
    </w:p>
    <w:p w14:paraId="0857B2F4" w14:textId="77777777" w:rsidR="00367960" w:rsidRDefault="00EF1D9A" w:rsidP="00EF1D9A">
      <w:r>
        <w:t>In Study D3250C00018 (CALIMA) hypersensitivity TEAEs were reported for 13 (3.0%) patients in the benralizumab 30 mg Q4W group, 13 (3.0%) in the 30 mg Q8W and 17 (3.9%) in the placebo</w:t>
      </w:r>
      <w:r w:rsidR="00367960">
        <w:t>.</w:t>
      </w:r>
    </w:p>
    <w:p w14:paraId="27790259" w14:textId="77777777" w:rsidR="00367960" w:rsidRDefault="00EF1D9A" w:rsidP="00EF1D9A">
      <w:r>
        <w:t>In Study D3250C00020 (ZONDA)</w:t>
      </w:r>
      <w:r w:rsidR="00F33FCE">
        <w:t xml:space="preserve"> </w:t>
      </w:r>
      <w:r>
        <w:t>hypersensitivity TEAEs were reported for one (1.4%) patients in the benralizumab 30 mg Q4W group, two (2.7%) in the 30 mg Q8W and one (1.3%) in the placebo.</w:t>
      </w:r>
      <w:r w:rsidR="00F971ED">
        <w:t xml:space="preserve"> </w:t>
      </w:r>
      <w:r>
        <w:t>Post-baseline ADAs were detected in five (7.0%) patients in the Q4W group, six (8.6%) in the Q8W and three (4.0%) in the placebo.</w:t>
      </w:r>
      <w:r w:rsidR="00F971ED">
        <w:t xml:space="preserve"> </w:t>
      </w:r>
      <w:r>
        <w:t>Neutralising ADAs were detected in four (5.6%) patients in the Q4W group, six (8.2%) in the Q8W and three (4.0%) in the placebo</w:t>
      </w:r>
      <w:r w:rsidR="00367960">
        <w:t>.</w:t>
      </w:r>
    </w:p>
    <w:p w14:paraId="685BE3A6" w14:textId="77777777" w:rsidR="00EF1D9A" w:rsidRPr="00EC3AE0" w:rsidRDefault="00EF1D9A" w:rsidP="00EF1D9A">
      <w:pPr>
        <w:pStyle w:val="Heading6"/>
      </w:pPr>
      <w:bookmarkStart w:id="177" w:name="_Other_efficacy_studies_2"/>
      <w:bookmarkEnd w:id="177"/>
      <w:r w:rsidRPr="00EC3AE0">
        <w:t>Other efficacy studies</w:t>
      </w:r>
    </w:p>
    <w:p w14:paraId="283956E9" w14:textId="77777777" w:rsidR="00EF1D9A" w:rsidRDefault="00EF1D9A" w:rsidP="00EF1D9A">
      <w:pPr>
        <w:rPr>
          <w:lang w:eastAsia="ja-JP"/>
        </w:rPr>
      </w:pPr>
      <w:r>
        <w:rPr>
          <w:lang w:eastAsia="ja-JP"/>
        </w:rPr>
        <w:t>In Study MI-CP186 in patients treated with 0.3 mg/kg or 1.0 mg/kg single dose IV, six (9.2%) subjects had positive ADA on Day 84.</w:t>
      </w:r>
    </w:p>
    <w:p w14:paraId="3AC7E8EF" w14:textId="77777777" w:rsidR="00EF1D9A" w:rsidRDefault="00EF1D9A" w:rsidP="00EF1D9A">
      <w:pPr>
        <w:rPr>
          <w:lang w:eastAsia="ja-JP"/>
        </w:rPr>
      </w:pPr>
      <w:r>
        <w:rPr>
          <w:lang w:eastAsia="ja-JP"/>
        </w:rPr>
        <w:t>In Study MI-CP197 four (21.1%) patients treated with benralizumab had quantifiable ADA during the study.</w:t>
      </w:r>
    </w:p>
    <w:p w14:paraId="223FECD2" w14:textId="475BE8EF" w:rsidR="00EF1D9A" w:rsidRDefault="00EF1D9A" w:rsidP="00EF1D9A">
      <w:pPr>
        <w:rPr>
          <w:lang w:eastAsia="ja-JP"/>
        </w:rPr>
      </w:pPr>
      <w:r>
        <w:rPr>
          <w:lang w:eastAsia="ja-JP"/>
        </w:rPr>
        <w:t>In Study MI-CP220 the rate of ADA increased with dose over 1 year.</w:t>
      </w:r>
      <w:r w:rsidR="00F971ED">
        <w:rPr>
          <w:lang w:eastAsia="ja-JP"/>
        </w:rPr>
        <w:t xml:space="preserve"> </w:t>
      </w:r>
      <w:r>
        <w:rPr>
          <w:lang w:eastAsia="ja-JP"/>
        </w:rPr>
        <w:t xml:space="preserve">The rate of ADA was 42.0% at the 2 mg dose, 30.9% at the 20 mg and 25.6% at the 100 mg </w:t>
      </w:r>
      <w:r w:rsidRPr="00367960">
        <w:rPr>
          <w:lang w:eastAsia="ja-JP"/>
        </w:rPr>
        <w:t>(</w:t>
      </w:r>
      <w:r w:rsidR="00D81D13">
        <w:rPr>
          <w:lang w:eastAsia="ja-JP"/>
        </w:rPr>
        <w:t xml:space="preserve">see </w:t>
      </w:r>
      <w:r w:rsidR="006A44F0">
        <w:t>Table 8</w:t>
      </w:r>
      <w:r>
        <w:rPr>
          <w:lang w:eastAsia="ja-JP"/>
        </w:rPr>
        <w:t>).</w:t>
      </w:r>
      <w:r w:rsidR="00F971ED">
        <w:rPr>
          <w:lang w:eastAsia="ja-JP"/>
        </w:rPr>
        <w:t xml:space="preserve"> </w:t>
      </w:r>
      <w:r>
        <w:rPr>
          <w:lang w:eastAsia="ja-JP"/>
        </w:rPr>
        <w:t>Anaphylactic reactions were reported in one (0.5%) subject in the placebo group and two (0.5%) in the benralizumab.</w:t>
      </w:r>
    </w:p>
    <w:p w14:paraId="096CFF85" w14:textId="77777777" w:rsidR="00EF1D9A" w:rsidRDefault="00EF1D9A" w:rsidP="00EF1D9A">
      <w:r>
        <w:t xml:space="preserve">In </w:t>
      </w:r>
      <w:r w:rsidRPr="00887787">
        <w:t>Study D3250C00032</w:t>
      </w:r>
      <w:r w:rsidR="00F971ED">
        <w:t xml:space="preserve"> </w:t>
      </w:r>
      <w:r>
        <w:t>ADA were recorded in 14 (13.2%) patients in the benralizumab group.</w:t>
      </w:r>
      <w:r w:rsidR="00F971ED">
        <w:t xml:space="preserve"> </w:t>
      </w:r>
      <w:r>
        <w:t>Hypersensitivity events were reported for one (0.9%) patients in the Q4W group and two (1.9%) in the placebo.</w:t>
      </w:r>
    </w:p>
    <w:p w14:paraId="359352E1" w14:textId="77777777" w:rsidR="00EF1D9A" w:rsidRDefault="00EF1D9A" w:rsidP="00EF1D9A">
      <w:r>
        <w:t>In Study D3250C00029 ADA were recorded in 17 (14.7%) patients, and neutralising antibodies in 15 (12.9%).</w:t>
      </w:r>
      <w:r w:rsidR="00F971ED">
        <w:t xml:space="preserve"> </w:t>
      </w:r>
      <w:r>
        <w:t>Two patients were reported with urticaria.</w:t>
      </w:r>
    </w:p>
    <w:p w14:paraId="6FDF591A" w14:textId="7642CFED" w:rsidR="00F33FCE" w:rsidRDefault="006A44F0" w:rsidP="00F33FCE">
      <w:pPr>
        <w:pStyle w:val="TableTitle"/>
      </w:pPr>
      <w:bookmarkStart w:id="178" w:name="_Toc432079177"/>
      <w:bookmarkStart w:id="179" w:name="_Toc432080750"/>
      <w:r>
        <w:t xml:space="preserve">Table 8: </w:t>
      </w:r>
      <w:r w:rsidR="00F33FCE" w:rsidRPr="004949D0">
        <w:t xml:space="preserve">Incidence of ADA </w:t>
      </w:r>
      <w:r w:rsidR="00D81D13">
        <w:t>p</w:t>
      </w:r>
      <w:r w:rsidR="00D81D13" w:rsidRPr="004949D0">
        <w:t xml:space="preserve">ositive </w:t>
      </w:r>
      <w:r w:rsidR="00F33FCE" w:rsidRPr="004949D0">
        <w:t xml:space="preserve">in </w:t>
      </w:r>
      <w:r w:rsidR="00D81D13">
        <w:t>r</w:t>
      </w:r>
      <w:r w:rsidR="00D81D13" w:rsidRPr="004949D0">
        <w:t>andomi</w:t>
      </w:r>
      <w:r w:rsidR="00D81D13">
        <w:t>s</w:t>
      </w:r>
      <w:r w:rsidR="00D81D13" w:rsidRPr="004949D0">
        <w:t xml:space="preserve">ed </w:t>
      </w:r>
      <w:r w:rsidR="00D81D13">
        <w:t>s</w:t>
      </w:r>
      <w:r w:rsidR="00D81D13" w:rsidRPr="004949D0">
        <w:t xml:space="preserve">ubjects </w:t>
      </w:r>
      <w:r w:rsidR="00F33FCE" w:rsidRPr="004949D0">
        <w:t xml:space="preserve">by </w:t>
      </w:r>
      <w:r w:rsidR="00D81D13">
        <w:t>p</w:t>
      </w:r>
      <w:r w:rsidR="00D81D13" w:rsidRPr="004949D0">
        <w:t>rotocol</w:t>
      </w:r>
      <w:r w:rsidR="00F33FCE" w:rsidRPr="004949D0">
        <w:t xml:space="preserve">-defined </w:t>
      </w:r>
      <w:r w:rsidR="00D81D13">
        <w:t>e</w:t>
      </w:r>
      <w:r w:rsidR="00D81D13" w:rsidRPr="004949D0">
        <w:t xml:space="preserve">osinophil </w:t>
      </w:r>
      <w:r w:rsidR="00D81D13">
        <w:t>p</w:t>
      </w:r>
      <w:r w:rsidR="00D81D13" w:rsidRPr="004949D0">
        <w:t>henotype</w:t>
      </w:r>
      <w:r w:rsidR="00F33FCE" w:rsidRPr="004949D0">
        <w:t xml:space="preserve">, </w:t>
      </w:r>
      <w:proofErr w:type="spellStart"/>
      <w:r w:rsidR="00F33FCE" w:rsidRPr="004949D0">
        <w:t>mITT</w:t>
      </w:r>
      <w:proofErr w:type="spellEnd"/>
      <w:r w:rsidR="00F33FCE" w:rsidRPr="004949D0">
        <w:t xml:space="preserve"> Population (</w:t>
      </w:r>
      <w:r w:rsidR="00367960">
        <w:t>Study MI-CP220</w:t>
      </w:r>
      <w:r w:rsidR="00F33FCE" w:rsidRPr="004949D0">
        <w:t>)</w:t>
      </w:r>
    </w:p>
    <w:p w14:paraId="666A32B4" w14:textId="77777777" w:rsidR="00F33FCE" w:rsidRPr="00A6084F" w:rsidRDefault="00A6084F" w:rsidP="00A6084F">
      <w:r>
        <w:rPr>
          <w:noProof/>
          <w:lang w:eastAsia="en-AU"/>
        </w:rPr>
        <w:drawing>
          <wp:inline distT="0" distB="0" distL="0" distR="0" wp14:anchorId="713E4E70" wp14:editId="7E53FFDE">
            <wp:extent cx="5400040" cy="2203862"/>
            <wp:effectExtent l="0" t="0" r="0" b="6350"/>
            <wp:docPr id="6" name="Picture 6" descr="Table 8: Incidence of ADA Positive in Randomized Subjects by Protocol-defined Eosinophil Phenotype, mITT Population (Study MI-CP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203862"/>
                    </a:xfrm>
                    <a:prstGeom prst="rect">
                      <a:avLst/>
                    </a:prstGeom>
                  </pic:spPr>
                </pic:pic>
              </a:graphicData>
            </a:graphic>
          </wp:inline>
        </w:drawing>
      </w:r>
    </w:p>
    <w:p w14:paraId="132811C3" w14:textId="77777777" w:rsidR="00EF1D9A" w:rsidRPr="00E7113A" w:rsidRDefault="00EF1D9A" w:rsidP="00367960">
      <w:pPr>
        <w:pStyle w:val="Heading5"/>
      </w:pPr>
      <w:r w:rsidRPr="00E7113A">
        <w:lastRenderedPageBreak/>
        <w:t>Serious skin reactions</w:t>
      </w:r>
      <w:bookmarkEnd w:id="178"/>
      <w:bookmarkEnd w:id="179"/>
    </w:p>
    <w:p w14:paraId="033E2EAD" w14:textId="77777777" w:rsidR="00EF1D9A" w:rsidRDefault="00EF1D9A" w:rsidP="00EF1D9A">
      <w:pPr>
        <w:rPr>
          <w:lang w:eastAsia="ja-JP"/>
        </w:rPr>
      </w:pPr>
      <w:bookmarkStart w:id="180" w:name="_Toc272414678"/>
      <w:bookmarkStart w:id="181" w:name="_Toc290888542"/>
      <w:bookmarkStart w:id="182" w:name="_Toc416353757"/>
      <w:bookmarkStart w:id="183" w:name="_Toc421005300"/>
      <w:bookmarkStart w:id="184" w:name="_Toc432079178"/>
      <w:bookmarkStart w:id="185" w:name="_Toc432080751"/>
      <w:r>
        <w:rPr>
          <w:lang w:eastAsia="ja-JP"/>
        </w:rPr>
        <w:t>There were few serious skin</w:t>
      </w:r>
      <w:r w:rsidR="00A6084F">
        <w:rPr>
          <w:lang w:eastAsia="ja-JP"/>
        </w:rPr>
        <w:t xml:space="preserve"> reactions.</w:t>
      </w:r>
      <w:r w:rsidR="00F971ED">
        <w:rPr>
          <w:lang w:eastAsia="ja-JP"/>
        </w:rPr>
        <w:t xml:space="preserve"> </w:t>
      </w:r>
      <w:r w:rsidR="00A6084F">
        <w:rPr>
          <w:lang w:eastAsia="ja-JP"/>
        </w:rPr>
        <w:t xml:space="preserve">In Study MI-CP166 </w:t>
      </w:r>
      <w:r>
        <w:rPr>
          <w:lang w:eastAsia="ja-JP"/>
        </w:rPr>
        <w:t>ADA were detected post-dose in two (25%) patients in the benralizumab 1 mg/kg IV grou</w:t>
      </w:r>
      <w:r w:rsidR="00367960">
        <w:rPr>
          <w:lang w:eastAsia="ja-JP"/>
        </w:rPr>
        <w:t>p and one (11.1%) in the 200 mg </w:t>
      </w:r>
      <w:r>
        <w:rPr>
          <w:lang w:eastAsia="ja-JP"/>
        </w:rPr>
        <w:t>SC group.</w:t>
      </w:r>
    </w:p>
    <w:bookmarkEnd w:id="180"/>
    <w:bookmarkEnd w:id="181"/>
    <w:bookmarkEnd w:id="182"/>
    <w:bookmarkEnd w:id="183"/>
    <w:bookmarkEnd w:id="184"/>
    <w:bookmarkEnd w:id="185"/>
    <w:p w14:paraId="0391453E" w14:textId="77777777" w:rsidR="00EF1D9A" w:rsidRPr="00545B14" w:rsidRDefault="00EF1D9A" w:rsidP="00367960">
      <w:pPr>
        <w:pStyle w:val="Heading5"/>
      </w:pPr>
      <w:r>
        <w:t>Infections and infestations</w:t>
      </w:r>
    </w:p>
    <w:p w14:paraId="771A1D4F" w14:textId="77777777" w:rsidR="00EF1D9A" w:rsidRPr="002B7B05" w:rsidRDefault="00EF1D9A" w:rsidP="00367960">
      <w:pPr>
        <w:pStyle w:val="Heading6"/>
      </w:pPr>
      <w:r>
        <w:t>I</w:t>
      </w:r>
      <w:r w:rsidRPr="002B7B05">
        <w:t>ntegrated safety analyses</w:t>
      </w:r>
    </w:p>
    <w:p w14:paraId="3FE362F7" w14:textId="77777777" w:rsidR="00EF1D9A" w:rsidRDefault="00EF1D9A" w:rsidP="00EF1D9A">
      <w:pPr>
        <w:rPr>
          <w:lang w:eastAsia="ja-JP"/>
        </w:rPr>
      </w:pPr>
      <w:r>
        <w:rPr>
          <w:lang w:eastAsia="ja-JP"/>
        </w:rPr>
        <w:t xml:space="preserve">In the </w:t>
      </w:r>
      <w:r w:rsidR="007504A5">
        <w:rPr>
          <w:lang w:eastAsia="ja-JP"/>
        </w:rPr>
        <w:t>Phase III</w:t>
      </w:r>
      <w:r>
        <w:rPr>
          <w:lang w:eastAsia="ja-JP"/>
        </w:rPr>
        <w:t xml:space="preserve"> studies infections and infestations were reported in 445 (52.9%) patients in the benralizumab 30 mg Q4W group, 412 (50.1%) in the Q8W and 466 (55.0%) in the placebo.</w:t>
      </w:r>
    </w:p>
    <w:p w14:paraId="1158716E" w14:textId="77777777" w:rsidR="00EF1D9A" w:rsidRPr="00C2074B" w:rsidRDefault="00EF1D9A" w:rsidP="00367960">
      <w:pPr>
        <w:pStyle w:val="Heading6"/>
      </w:pPr>
      <w:r w:rsidRPr="00C2074B">
        <w:t>Pivotal and/or main efficacy studies</w:t>
      </w:r>
    </w:p>
    <w:p w14:paraId="09043852" w14:textId="77777777" w:rsidR="00EF1D9A" w:rsidRDefault="00EF1D9A" w:rsidP="00EF1D9A">
      <w:r>
        <w:t>In Study D3250C00017 (SIROCCO) infections and infestations as SAEs were reported in six (1.5%) patients in the benralizumab 30 mg Q4W group, ten (2.5%) in the 30 mg Q8W and eight (2.0%) in the placebo.</w:t>
      </w:r>
    </w:p>
    <w:p w14:paraId="01F14D7A" w14:textId="77777777" w:rsidR="00EF1D9A" w:rsidRDefault="00EF1D9A" w:rsidP="00EF1D9A">
      <w:r>
        <w:t>In Study D3250C00018 (CALIMA) infections and infestations as SAEs reported for six (1.4%) patients in the benralizumab 30 mg Q4W group, eight (1.9%) in the 30 mg Q8W and 11 (2.5%) in the placebo.</w:t>
      </w:r>
      <w:r w:rsidR="00F971ED">
        <w:t xml:space="preserve"> </w:t>
      </w:r>
      <w:r>
        <w:t>One patient in the Q4W group had herpes zoster affecting the face that was attributed to treatment.</w:t>
      </w:r>
    </w:p>
    <w:p w14:paraId="2135F0D4" w14:textId="77777777" w:rsidR="00367960" w:rsidRDefault="00EF1D9A" w:rsidP="00EF1D9A">
      <w:r>
        <w:t>In Study D3250C00020 (ZONDA) infections and infestations as SAEs reported for two (2.8%) patients in the benralizumab 30 mg Q4W group, two (2.7%) in the 30 mg Q8W and eight (10.7%) in the placebo</w:t>
      </w:r>
      <w:r w:rsidR="00367960">
        <w:t>.</w:t>
      </w:r>
    </w:p>
    <w:p w14:paraId="2D64AEA4" w14:textId="77777777" w:rsidR="00EF1D9A" w:rsidRPr="00EC3AE0" w:rsidRDefault="00EF1D9A" w:rsidP="00EF1D9A">
      <w:pPr>
        <w:pStyle w:val="Heading6"/>
      </w:pPr>
      <w:r w:rsidRPr="00EC3AE0">
        <w:t>Other efficacy studies</w:t>
      </w:r>
    </w:p>
    <w:p w14:paraId="0A8C87D9" w14:textId="77777777" w:rsidR="00EF1D9A" w:rsidRDefault="00EF1D9A" w:rsidP="00EF1D9A">
      <w:pPr>
        <w:rPr>
          <w:lang w:eastAsia="ja-JP"/>
        </w:rPr>
      </w:pPr>
      <w:r>
        <w:rPr>
          <w:lang w:eastAsia="ja-JP"/>
        </w:rPr>
        <w:t>In Study MI-CP220 infections and infestations were reported in a greater proportion of benralizumab treated patients: 38 (46.9%) patients in the 2 mg group, 33 (40.7%) in the 20 mg group, 99 (44.4%) in the 100 mg group and 87 (39.4%) in the placebo.</w:t>
      </w:r>
      <w:r w:rsidR="00F971ED">
        <w:rPr>
          <w:lang w:eastAsia="ja-JP"/>
        </w:rPr>
        <w:t xml:space="preserve"> </w:t>
      </w:r>
      <w:r>
        <w:rPr>
          <w:lang w:eastAsia="ja-JP"/>
        </w:rPr>
        <w:t xml:space="preserve">Two patients in the </w:t>
      </w:r>
      <w:proofErr w:type="spellStart"/>
      <w:r>
        <w:rPr>
          <w:lang w:eastAsia="ja-JP"/>
        </w:rPr>
        <w:t>benralizumab</w:t>
      </w:r>
      <w:proofErr w:type="spellEnd"/>
      <w:r>
        <w:rPr>
          <w:lang w:eastAsia="ja-JP"/>
        </w:rPr>
        <w:t xml:space="preserve"> group had </w:t>
      </w:r>
      <w:proofErr w:type="spellStart"/>
      <w:r>
        <w:rPr>
          <w:lang w:eastAsia="ja-JP"/>
        </w:rPr>
        <w:t>strongyloidiasis</w:t>
      </w:r>
      <w:proofErr w:type="spellEnd"/>
      <w:r>
        <w:rPr>
          <w:lang w:eastAsia="ja-JP"/>
        </w:rPr>
        <w:t>.</w:t>
      </w:r>
    </w:p>
    <w:p w14:paraId="4C444122" w14:textId="77777777" w:rsidR="00EF1D9A" w:rsidRDefault="00EF1D9A" w:rsidP="00EF1D9A">
      <w:pPr>
        <w:rPr>
          <w:lang w:eastAsia="ja-JP"/>
        </w:rPr>
      </w:pPr>
      <w:r>
        <w:t>In Study D3250C00029 one patient had a SAE of diverticulitis.</w:t>
      </w:r>
    </w:p>
    <w:p w14:paraId="7183A31E" w14:textId="77777777" w:rsidR="00EF1D9A" w:rsidRPr="006E6793" w:rsidRDefault="00EF1D9A" w:rsidP="00367960">
      <w:pPr>
        <w:pStyle w:val="Heading5"/>
      </w:pPr>
      <w:bookmarkStart w:id="186" w:name="_Neoplasia"/>
      <w:bookmarkEnd w:id="186"/>
      <w:r w:rsidRPr="006E6793">
        <w:t>Neoplasia</w:t>
      </w:r>
    </w:p>
    <w:p w14:paraId="6215BA12" w14:textId="77777777" w:rsidR="00EF1D9A" w:rsidRPr="006E6793" w:rsidRDefault="00EF1D9A" w:rsidP="00EF1D9A">
      <w:r w:rsidRPr="006E6793">
        <w:t>Overall, adjudicated cases of new neoplasia were reported in three (0.4%) patients treated with benralizumab 30 mg Q4W, one (0.1%) with Q</w:t>
      </w:r>
      <w:r w:rsidR="006A44F0" w:rsidRPr="006E6793">
        <w:t>8W and one (0.1%) with placebo (Table 9</w:t>
      </w:r>
      <w:r w:rsidRPr="006E6793">
        <w:t>).</w:t>
      </w:r>
    </w:p>
    <w:p w14:paraId="76902E43" w14:textId="77777777" w:rsidR="00EF1D9A" w:rsidRDefault="00EF1D9A" w:rsidP="00EF1D9A">
      <w:r w:rsidRPr="006E6793">
        <w:t>In Study D3250C00017 (SIROCCO) one patient in the Q4W group was diagnosed with a new malignancy: ovarian epithelial cancer.</w:t>
      </w:r>
    </w:p>
    <w:p w14:paraId="144BA57F" w14:textId="77777777" w:rsidR="00EF1D9A" w:rsidRDefault="00EF1D9A" w:rsidP="00EF1D9A">
      <w:r>
        <w:t>In Study D3250C00018 (CALIMA) new malignancy was reported for two (0.5%) patients in the Q4W group (gallbladder cancer, gastric cancer) and one (0.2%) in the placebo (breast cancer).</w:t>
      </w:r>
    </w:p>
    <w:p w14:paraId="3518B501" w14:textId="77777777" w:rsidR="00EF1D9A" w:rsidRDefault="00EF1D9A" w:rsidP="00EF1D9A">
      <w:pPr>
        <w:rPr>
          <w:lang w:eastAsia="ja-JP"/>
        </w:rPr>
      </w:pPr>
      <w:r>
        <w:rPr>
          <w:lang w:eastAsia="ja-JP"/>
        </w:rPr>
        <w:t>In Study MI-CP220</w:t>
      </w:r>
      <w:r w:rsidR="00F971ED">
        <w:rPr>
          <w:lang w:eastAsia="ja-JP"/>
        </w:rPr>
        <w:t xml:space="preserve"> </w:t>
      </w:r>
      <w:r>
        <w:rPr>
          <w:lang w:eastAsia="ja-JP"/>
        </w:rPr>
        <w:t>one patient in the benralizumab 100 mg group was diagnosed with malignant melanoma.</w:t>
      </w:r>
    </w:p>
    <w:p w14:paraId="0FE4C63A" w14:textId="77777777" w:rsidR="00EF1D9A" w:rsidRDefault="00EF1D9A" w:rsidP="00EF1D9A">
      <w:r>
        <w:t>In Study D3250C00029 one patient was diagnosed with papillary thyroid carcinoma.</w:t>
      </w:r>
    </w:p>
    <w:p w14:paraId="569550E6" w14:textId="77777777" w:rsidR="00A6084F" w:rsidRDefault="006A44F0" w:rsidP="00A6084F">
      <w:pPr>
        <w:pStyle w:val="TableTitle"/>
      </w:pPr>
      <w:r>
        <w:lastRenderedPageBreak/>
        <w:t xml:space="preserve">Table 9: </w:t>
      </w:r>
      <w:r w:rsidR="00A6084F" w:rsidRPr="00573CA7">
        <w:t xml:space="preserve">Adjudicated malignancies as determined by the </w:t>
      </w:r>
      <w:r w:rsidR="00F511F9">
        <w:t>Safety Endpoint Adjudication Committee</w:t>
      </w:r>
      <w:r w:rsidR="00F511F9" w:rsidRPr="00573CA7">
        <w:t xml:space="preserve"> </w:t>
      </w:r>
      <w:r w:rsidR="00F511F9">
        <w:t>(</w:t>
      </w:r>
      <w:r w:rsidR="00A6084F" w:rsidRPr="00573CA7">
        <w:t>SEAC</w:t>
      </w:r>
      <w:r w:rsidR="00F511F9">
        <w:t>)</w:t>
      </w:r>
      <w:r w:rsidR="00A6084F" w:rsidRPr="00573CA7">
        <w:t xml:space="preserve"> reported during the on-study period (Safety analysis set) (Summary of Clinical Safety)</w:t>
      </w:r>
    </w:p>
    <w:p w14:paraId="394D5961" w14:textId="7C2FB679" w:rsidR="00A6084F" w:rsidRDefault="00F07944" w:rsidP="0039213E">
      <w:r>
        <w:rPr>
          <w:noProof/>
          <w:lang w:eastAsia="en-AU"/>
        </w:rPr>
        <w:drawing>
          <wp:inline distT="0" distB="0" distL="0" distR="0" wp14:anchorId="658F71F2" wp14:editId="41378F63">
            <wp:extent cx="5400040" cy="2598481"/>
            <wp:effectExtent l="0" t="0" r="0" b="0"/>
            <wp:docPr id="29" name="Picture 29" descr="Table 9: Adjudicated malignancies as determined by the Safety Endpoint Adjudication Committee (SEAC) reported during the on-study period (Safety analysis set)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598481"/>
                    </a:xfrm>
                    <a:prstGeom prst="rect">
                      <a:avLst/>
                    </a:prstGeom>
                  </pic:spPr>
                </pic:pic>
              </a:graphicData>
            </a:graphic>
          </wp:inline>
        </w:drawing>
      </w:r>
    </w:p>
    <w:p w14:paraId="676A9F33" w14:textId="77777777" w:rsidR="00EF1D9A" w:rsidRDefault="00EF1D9A" w:rsidP="00367960">
      <w:pPr>
        <w:pStyle w:val="Heading5"/>
      </w:pPr>
      <w:r>
        <w:t>Major adverse cardiovascular events</w:t>
      </w:r>
    </w:p>
    <w:p w14:paraId="006A53E1" w14:textId="77777777" w:rsidR="00500337" w:rsidRPr="00500337" w:rsidRDefault="00EF1D9A" w:rsidP="00500337">
      <w:r w:rsidRPr="00EC7022">
        <w:t xml:space="preserve">In the Integrated Summary of Safety a total of 11 (0.4%) patients had </w:t>
      </w:r>
      <w:r w:rsidR="005E3545">
        <w:t>major adverse cardiac event</w:t>
      </w:r>
      <w:r w:rsidR="005E3545" w:rsidRPr="00EC7022">
        <w:t xml:space="preserve"> </w:t>
      </w:r>
      <w:r w:rsidR="005E3545">
        <w:t>(</w:t>
      </w:r>
      <w:r w:rsidRPr="00EC7022">
        <w:t>MACE</w:t>
      </w:r>
      <w:r w:rsidR="005E3545">
        <w:t>)</w:t>
      </w:r>
      <w:r w:rsidRPr="00EC7022">
        <w:t xml:space="preserve"> as determined by the </w:t>
      </w:r>
      <w:r w:rsidR="00F511F9">
        <w:t>Safety Endpoint Adjudication Committee</w:t>
      </w:r>
      <w:r w:rsidR="00F511F9" w:rsidRPr="00EC7022">
        <w:t xml:space="preserve"> </w:t>
      </w:r>
      <w:r w:rsidR="00F511F9">
        <w:t>(</w:t>
      </w:r>
      <w:r w:rsidRPr="00EC7022">
        <w:t>SEAC</w:t>
      </w:r>
      <w:r w:rsidR="00F511F9">
        <w:t>)</w:t>
      </w:r>
      <w:r w:rsidRPr="00EC7022">
        <w:t xml:space="preserve">; three (0.4%) in the benralizumab 30 mg Q4W group, four (0.5%) in the Q8W, </w:t>
      </w:r>
      <w:r w:rsidR="00A6084F">
        <w:t>and four (0.5%) in the placebo.</w:t>
      </w:r>
    </w:p>
    <w:p w14:paraId="0A2084E1" w14:textId="77777777" w:rsidR="00605AD4" w:rsidRDefault="00605AD4" w:rsidP="00605AD4">
      <w:pPr>
        <w:pStyle w:val="Heading4"/>
      </w:pPr>
      <w:r w:rsidRPr="00605AD4">
        <w:t>Post</w:t>
      </w:r>
      <w:r w:rsidR="00367960">
        <w:t>-</w:t>
      </w:r>
      <w:r w:rsidRPr="00605AD4">
        <w:t>marketing data</w:t>
      </w:r>
    </w:p>
    <w:p w14:paraId="1C9670AD" w14:textId="77777777" w:rsidR="00500337" w:rsidRPr="00500337" w:rsidRDefault="00EF1D9A" w:rsidP="00500337">
      <w:r w:rsidRPr="00EF1D9A">
        <w:t>No post-marketing data were included in the dossier.</w:t>
      </w:r>
    </w:p>
    <w:p w14:paraId="526D6005" w14:textId="77777777" w:rsidR="00605AD4" w:rsidRPr="00605AD4" w:rsidRDefault="00605AD4" w:rsidP="00605AD4">
      <w:pPr>
        <w:pStyle w:val="Heading4"/>
      </w:pPr>
      <w:r w:rsidRPr="00605AD4">
        <w:t>Evaluator’s conclusions on safety</w:t>
      </w:r>
    </w:p>
    <w:p w14:paraId="490986BB" w14:textId="77777777" w:rsidR="00367960" w:rsidRDefault="00386406" w:rsidP="00386406">
      <w:r w:rsidRPr="00386406">
        <w:t>The overall rate and patterns of TEAEs were similar for benralizumab and for placebo.</w:t>
      </w:r>
      <w:r w:rsidR="00F971ED">
        <w:t xml:space="preserve"> </w:t>
      </w:r>
      <w:r w:rsidRPr="00386406">
        <w:t>The commonest TEAEs were upper respiratory tract infections and these were not reported more frequently with benralizumab than placebo</w:t>
      </w:r>
      <w:r w:rsidR="00367960">
        <w:t>.</w:t>
      </w:r>
    </w:p>
    <w:p w14:paraId="0D828D1A" w14:textId="75DD623C" w:rsidR="00386406" w:rsidRPr="00386406" w:rsidRDefault="00386406" w:rsidP="00386406">
      <w:r w:rsidRPr="00C55AE5">
        <w:t>In the pivotal studies</w:t>
      </w:r>
      <w:r w:rsidRPr="00841257">
        <w:t xml:space="preserve">, there </w:t>
      </w:r>
      <w:r w:rsidR="00841257" w:rsidRPr="00841257">
        <w:t xml:space="preserve">were more </w:t>
      </w:r>
      <w:r w:rsidRPr="00C55AE5">
        <w:t>deaths in the benralizumab groups compared with placebo: five with Q4W, six with Q8W and three with placebo.</w:t>
      </w:r>
      <w:r w:rsidR="00F971ED" w:rsidRPr="00C55AE5">
        <w:t xml:space="preserve"> </w:t>
      </w:r>
      <w:r w:rsidRPr="00C55AE5">
        <w:t>Two of the deaths in the Q8W group were from causes that are of interest with benralizumab: colon carcinoma and pneumonia.</w:t>
      </w:r>
      <w:r w:rsidR="00F971ED" w:rsidRPr="00C55AE5">
        <w:t xml:space="preserve"> </w:t>
      </w:r>
      <w:r w:rsidRPr="00C55AE5">
        <w:t>There was one death in Study</w:t>
      </w:r>
      <w:r w:rsidR="00D81D13">
        <w:t> </w:t>
      </w:r>
      <w:r w:rsidRPr="00C55AE5">
        <w:t>D3250C00032 in the Q4W group due to pancytop</w:t>
      </w:r>
      <w:r w:rsidR="00D81D13">
        <w:t>a</w:t>
      </w:r>
      <w:r w:rsidRPr="00C55AE5">
        <w:t>enia.</w:t>
      </w:r>
      <w:r w:rsidR="00F971ED" w:rsidRPr="00C55AE5">
        <w:t xml:space="preserve"> </w:t>
      </w:r>
      <w:r w:rsidRPr="00C55AE5">
        <w:t>This was attributed to amiodarone rather than benralizumab.</w:t>
      </w:r>
      <w:r w:rsidR="00F971ED" w:rsidRPr="00C55AE5">
        <w:t xml:space="preserve"> </w:t>
      </w:r>
      <w:r w:rsidRPr="00C55AE5">
        <w:t>Aplastic anaemia is a listed adverse drug reaction for amiodarone, but would also be of interest with benralizumab.</w:t>
      </w:r>
    </w:p>
    <w:p w14:paraId="646BD7C3" w14:textId="4711608D" w:rsidR="00386406" w:rsidRPr="00386406" w:rsidRDefault="00386406" w:rsidP="00386406">
      <w:r w:rsidRPr="00386406">
        <w:t>The mode of action of benralizumab is to deplete circulating eosinophils.</w:t>
      </w:r>
      <w:r w:rsidR="00F971ED">
        <w:t xml:space="preserve"> </w:t>
      </w:r>
      <w:r w:rsidRPr="00386406">
        <w:t>The normal functions of eosinophils</w:t>
      </w:r>
      <w:r w:rsidR="002809EA">
        <w:t>;</w:t>
      </w:r>
      <w:r w:rsidR="002809EA">
        <w:rPr>
          <w:rStyle w:val="FootnoteReference"/>
        </w:rPr>
        <w:footnoteReference w:id="16"/>
      </w:r>
      <w:r w:rsidRPr="00386406">
        <w:t xml:space="preserve"> include</w:t>
      </w:r>
      <w:r w:rsidR="002809EA">
        <w:t xml:space="preserve"> the following</w:t>
      </w:r>
      <w:r w:rsidRPr="00386406">
        <w:t>:</w:t>
      </w:r>
    </w:p>
    <w:p w14:paraId="18415252" w14:textId="00B1E0E9" w:rsidR="00386406" w:rsidRPr="00386406" w:rsidRDefault="00386406" w:rsidP="00386406">
      <w:pPr>
        <w:pStyle w:val="ListBullet"/>
      </w:pPr>
      <w:r w:rsidRPr="00386406">
        <w:t>Host defence against parasites: eosinophils can mediate ADCC against helminths</w:t>
      </w:r>
      <w:r w:rsidR="002809EA">
        <w:t>.</w:t>
      </w:r>
    </w:p>
    <w:p w14:paraId="1CFFDEA5" w14:textId="430DFC66" w:rsidR="00386406" w:rsidRPr="00386406" w:rsidRDefault="00386406" w:rsidP="00386406">
      <w:pPr>
        <w:pStyle w:val="ListBullet"/>
      </w:pPr>
      <w:r w:rsidRPr="00386406">
        <w:t>Defence against single-stranded RNA viruses via ribonuclease activity; viruses including rhinovirus, respiratory syncytial</w:t>
      </w:r>
      <w:r w:rsidR="00367960">
        <w:t xml:space="preserve"> virus, and parainfluenza virus</w:t>
      </w:r>
      <w:r w:rsidR="002809EA">
        <w:t>.</w:t>
      </w:r>
    </w:p>
    <w:p w14:paraId="1F0D2507" w14:textId="0A989FEA" w:rsidR="00386406" w:rsidRPr="00386406" w:rsidRDefault="00386406" w:rsidP="00386406">
      <w:pPr>
        <w:pStyle w:val="ListBullet"/>
      </w:pPr>
      <w:r w:rsidRPr="00386406">
        <w:t>Innate immune response during bacterial sepsis originating from an intestinal source</w:t>
      </w:r>
      <w:r w:rsidR="002809EA">
        <w:t>.</w:t>
      </w:r>
    </w:p>
    <w:p w14:paraId="56524326" w14:textId="1C3B7E32" w:rsidR="00386406" w:rsidRPr="00386406" w:rsidRDefault="00386406" w:rsidP="00386406">
      <w:pPr>
        <w:pStyle w:val="ListBullet"/>
      </w:pPr>
      <w:r w:rsidRPr="00386406">
        <w:lastRenderedPageBreak/>
        <w:t xml:space="preserve">Interaction with various innate immune cells </w:t>
      </w:r>
      <w:r w:rsidR="00F971ED">
        <w:t>for example</w:t>
      </w:r>
      <w:r w:rsidRPr="00386406">
        <w:t xml:space="preserve"> mast cells, myeloid-derived dendritic cells and adaptive immune cells (primarily T cells)</w:t>
      </w:r>
      <w:r w:rsidR="002809EA">
        <w:t>.</w:t>
      </w:r>
    </w:p>
    <w:p w14:paraId="2CE6FF31" w14:textId="77777777" w:rsidR="00386406" w:rsidRPr="00386406" w:rsidRDefault="00386406" w:rsidP="00386406">
      <w:pPr>
        <w:pStyle w:val="ListBullet"/>
      </w:pPr>
      <w:r w:rsidRPr="00386406">
        <w:t>Antitumor cytotoxic responses</w:t>
      </w:r>
      <w:r w:rsidR="00367960">
        <w:t>.</w:t>
      </w:r>
    </w:p>
    <w:p w14:paraId="34D8D457" w14:textId="77777777" w:rsidR="00386406" w:rsidRPr="00386406" w:rsidRDefault="00386406" w:rsidP="00386406">
      <w:r w:rsidRPr="00386406">
        <w:t>The safety data do not indicate an increased risk of parasitic infections.</w:t>
      </w:r>
      <w:r w:rsidR="00F971ED">
        <w:t xml:space="preserve"> </w:t>
      </w:r>
      <w:r w:rsidRPr="00386406">
        <w:t>The rate of respiratory tract infections was not increased with benralizumab.</w:t>
      </w:r>
      <w:r w:rsidR="00F971ED">
        <w:t xml:space="preserve"> </w:t>
      </w:r>
      <w:r w:rsidRPr="00386406">
        <w:t>Bacterial infections did not appear to be increased with benralizumab.</w:t>
      </w:r>
    </w:p>
    <w:p w14:paraId="7D56E9C4" w14:textId="4B73F7E7" w:rsidR="00386406" w:rsidRPr="00C55AE5" w:rsidRDefault="00386406" w:rsidP="00386406">
      <w:r w:rsidRPr="00C55AE5">
        <w:t xml:space="preserve">There appears to be </w:t>
      </w:r>
      <w:r w:rsidR="00841257" w:rsidRPr="00841257">
        <w:t>more</w:t>
      </w:r>
      <w:r w:rsidRPr="00C55AE5">
        <w:t xml:space="preserve"> reports of neoplasia with benralizumab compared to placebo.</w:t>
      </w:r>
      <w:r w:rsidR="00F971ED" w:rsidRPr="00C55AE5">
        <w:t xml:space="preserve"> </w:t>
      </w:r>
      <w:r w:rsidRPr="00C55AE5">
        <w:t>Overall, adjudicated cases of new neoplasia were reported in three (0.4%) patients treated with benralizumab 30 mg Q4W, one (0.1%) with Q8W and one (0.1%) with placebo (</w:t>
      </w:r>
      <w:r w:rsidR="006A44F0" w:rsidRPr="00C55AE5">
        <w:t>Table 9</w:t>
      </w:r>
      <w:r w:rsidRPr="00C55AE5">
        <w:t>).</w:t>
      </w:r>
      <w:r w:rsidR="00F971ED" w:rsidRPr="00C55AE5">
        <w:t xml:space="preserve"> </w:t>
      </w:r>
      <w:r w:rsidRPr="00C55AE5">
        <w:t>However, the lead time required for development of neoplasia complicates the interpretation of this issue.</w:t>
      </w:r>
      <w:r w:rsidR="00F971ED" w:rsidRPr="00C55AE5">
        <w:t xml:space="preserve"> </w:t>
      </w:r>
      <w:r w:rsidRPr="00C55AE5">
        <w:t>The long</w:t>
      </w:r>
      <w:r w:rsidR="00F971ED" w:rsidRPr="00C55AE5">
        <w:t xml:space="preserve"> t</w:t>
      </w:r>
      <w:r w:rsidRPr="00C55AE5">
        <w:t>erm safety data may help clarify whether benralizumab results in a greater risk of neoplasia.</w:t>
      </w:r>
    </w:p>
    <w:p w14:paraId="0A52EE15" w14:textId="77777777" w:rsidR="00386406" w:rsidRPr="00C55AE5" w:rsidRDefault="00386406" w:rsidP="00386406">
      <w:r w:rsidRPr="00C55AE5">
        <w:t>The rate of major adverse cardiovascular events was similar for benralizumab and placebo.</w:t>
      </w:r>
    </w:p>
    <w:p w14:paraId="2A844212" w14:textId="77777777" w:rsidR="00386406" w:rsidRPr="00C55AE5" w:rsidRDefault="00386406" w:rsidP="00386406">
      <w:r w:rsidRPr="00C55AE5">
        <w:t>Benralizumab was not associated with hepatic or renal injury.</w:t>
      </w:r>
    </w:p>
    <w:p w14:paraId="2EE766FC" w14:textId="77777777" w:rsidR="00386406" w:rsidRPr="00C55AE5" w:rsidRDefault="00386406" w:rsidP="00386406">
      <w:r w:rsidRPr="00C55AE5">
        <w:t>Benralizumab resulted in a decrease in basophil count.</w:t>
      </w:r>
    </w:p>
    <w:p w14:paraId="7E669F18" w14:textId="77777777" w:rsidR="00386406" w:rsidRPr="00C55AE5" w:rsidRDefault="00386406" w:rsidP="00386406">
      <w:r w:rsidRPr="00C55AE5">
        <w:t>Benralizumab was not associated with ECG changes or abnormalities in vital signs.</w:t>
      </w:r>
    </w:p>
    <w:p w14:paraId="41F25BD9" w14:textId="77777777" w:rsidR="00386406" w:rsidRPr="00C55AE5" w:rsidRDefault="00386406" w:rsidP="00386406">
      <w:r w:rsidRPr="00C55AE5">
        <w:t>There is a high rate of ADA with benralizumab with the majority of patients with ADA having neutralising antibodies.</w:t>
      </w:r>
      <w:r w:rsidR="00F971ED" w:rsidRPr="00C55AE5">
        <w:t xml:space="preserve"> </w:t>
      </w:r>
      <w:r w:rsidRPr="00C55AE5">
        <w:t>However, presence of ADA did not decrease efficacy.</w:t>
      </w:r>
      <w:r w:rsidR="00F971ED" w:rsidRPr="00C55AE5">
        <w:t xml:space="preserve"> </w:t>
      </w:r>
      <w:r w:rsidRPr="00C55AE5">
        <w:t>Hypersensitivity reactions did not occur more frequently with benralizumab than with placebo.</w:t>
      </w:r>
    </w:p>
    <w:p w14:paraId="09BA5EB0" w14:textId="77777777" w:rsidR="00605AD4" w:rsidRPr="00605AD4" w:rsidRDefault="00386406" w:rsidP="00605AD4">
      <w:r w:rsidRPr="00C55AE5">
        <w:t>The submission did not contain any long</w:t>
      </w:r>
      <w:r w:rsidR="00F971ED" w:rsidRPr="00C55AE5">
        <w:t xml:space="preserve"> t</w:t>
      </w:r>
      <w:r w:rsidRPr="00C55AE5">
        <w:t>erm safety data.</w:t>
      </w:r>
      <w:r w:rsidR="00F971ED" w:rsidRPr="00C55AE5">
        <w:t xml:space="preserve"> </w:t>
      </w:r>
      <w:r w:rsidRPr="00C55AE5">
        <w:t xml:space="preserve">The number of patients treated for </w:t>
      </w:r>
      <w:r w:rsidR="007504A5" w:rsidRPr="00C55AE5">
        <w:t xml:space="preserve">≥ </w:t>
      </w:r>
      <w:r w:rsidRPr="00C55AE5">
        <w:t>1 year was not reported.</w:t>
      </w:r>
    </w:p>
    <w:p w14:paraId="4DCF4B05" w14:textId="30CAEB49" w:rsidR="00605AD4" w:rsidRPr="00605AD4" w:rsidRDefault="00605AD4" w:rsidP="00605AD4">
      <w:pPr>
        <w:pStyle w:val="Heading3"/>
        <w:rPr>
          <w:rFonts w:eastAsia="Cambria"/>
        </w:rPr>
      </w:pPr>
      <w:bookmarkStart w:id="187" w:name="_Toc1653594"/>
      <w:r w:rsidRPr="00605AD4">
        <w:rPr>
          <w:rFonts w:eastAsia="Cambria"/>
        </w:rPr>
        <w:t xml:space="preserve">First </w:t>
      </w:r>
      <w:r w:rsidR="0039213E" w:rsidRPr="00605AD4">
        <w:rPr>
          <w:rFonts w:eastAsia="Cambria"/>
        </w:rPr>
        <w:t>round benefit-risk assessment</w:t>
      </w:r>
      <w:bookmarkEnd w:id="187"/>
    </w:p>
    <w:p w14:paraId="247DEACA" w14:textId="77777777" w:rsidR="00605AD4" w:rsidRDefault="00605AD4" w:rsidP="00605AD4">
      <w:pPr>
        <w:pStyle w:val="Heading4"/>
      </w:pPr>
      <w:r w:rsidRPr="00605AD4">
        <w:t>First round assessment of benefits</w:t>
      </w:r>
    </w:p>
    <w:p w14:paraId="316501C2" w14:textId="312CA438" w:rsidR="002809EA" w:rsidRPr="002809EA" w:rsidRDefault="002809EA" w:rsidP="002809EA">
      <w:r>
        <w:t>Table 10 summarises the assessment of benefits of Fasenra benralizumab for the proposed indication, along with strengths and uncertainties of these benefits at the first round.</w:t>
      </w:r>
    </w:p>
    <w:p w14:paraId="0DA51769" w14:textId="77777777" w:rsidR="00386406" w:rsidRPr="00386406" w:rsidRDefault="006A44F0" w:rsidP="00596091">
      <w:pPr>
        <w:pStyle w:val="TableTitle"/>
      </w:pPr>
      <w:r>
        <w:t>Table 10</w:t>
      </w:r>
      <w:r w:rsidR="00596091">
        <w:t xml:space="preserve">: </w:t>
      </w:r>
      <w:r w:rsidR="00596091" w:rsidRPr="00605AD4">
        <w:t>First round assessment of benefits</w:t>
      </w:r>
    </w:p>
    <w:tbl>
      <w:tblPr>
        <w:tblStyle w:val="TableTGAblue"/>
        <w:tblW w:w="0" w:type="auto"/>
        <w:tblLook w:val="04A0" w:firstRow="1" w:lastRow="0" w:firstColumn="1" w:lastColumn="0" w:noHBand="0" w:noVBand="1"/>
      </w:tblPr>
      <w:tblGrid>
        <w:gridCol w:w="4418"/>
        <w:gridCol w:w="4194"/>
      </w:tblGrid>
      <w:tr w:rsidR="00386406" w:rsidRPr="00C37A1D" w14:paraId="7A495F26" w14:textId="77777777" w:rsidTr="00386406">
        <w:trPr>
          <w:cnfStyle w:val="100000000000" w:firstRow="1" w:lastRow="0" w:firstColumn="0" w:lastColumn="0" w:oddVBand="0" w:evenVBand="0" w:oddHBand="0" w:evenHBand="0" w:firstRowFirstColumn="0" w:firstRowLastColumn="0" w:lastRowFirstColumn="0" w:lastRowLastColumn="0"/>
        </w:trPr>
        <w:tc>
          <w:tcPr>
            <w:tcW w:w="4418" w:type="dxa"/>
          </w:tcPr>
          <w:p w14:paraId="117FCA53" w14:textId="77777777" w:rsidR="00386406" w:rsidRPr="0013182D" w:rsidRDefault="00386406" w:rsidP="00793C8B">
            <w:pPr>
              <w:rPr>
                <w:rFonts w:asciiTheme="minorHAnsi" w:hAnsiTheme="minorHAnsi"/>
                <w:b w:val="0"/>
                <w:szCs w:val="22"/>
              </w:rPr>
            </w:pPr>
            <w:r w:rsidRPr="0013182D">
              <w:rPr>
                <w:rFonts w:asciiTheme="minorHAnsi" w:hAnsiTheme="minorHAnsi"/>
                <w:szCs w:val="22"/>
              </w:rPr>
              <w:t>Benefits</w:t>
            </w:r>
          </w:p>
        </w:tc>
        <w:tc>
          <w:tcPr>
            <w:tcW w:w="4194" w:type="dxa"/>
          </w:tcPr>
          <w:p w14:paraId="6E8187F3" w14:textId="77777777" w:rsidR="00386406" w:rsidRPr="0013182D" w:rsidRDefault="00386406" w:rsidP="00793C8B">
            <w:pPr>
              <w:rPr>
                <w:rFonts w:asciiTheme="minorHAnsi" w:hAnsiTheme="minorHAnsi"/>
                <w:b w:val="0"/>
                <w:szCs w:val="22"/>
              </w:rPr>
            </w:pPr>
            <w:r w:rsidRPr="0013182D">
              <w:rPr>
                <w:rFonts w:asciiTheme="minorHAnsi" w:hAnsiTheme="minorHAnsi"/>
                <w:szCs w:val="22"/>
              </w:rPr>
              <w:t>Strengths and Uncertainties</w:t>
            </w:r>
          </w:p>
        </w:tc>
      </w:tr>
      <w:tr w:rsidR="00386406" w:rsidRPr="00C37A1D" w14:paraId="52D2FEA7" w14:textId="77777777" w:rsidTr="00386406">
        <w:tc>
          <w:tcPr>
            <w:tcW w:w="4418" w:type="dxa"/>
          </w:tcPr>
          <w:p w14:paraId="6BD427F8" w14:textId="77777777" w:rsidR="00367960" w:rsidRPr="00C55AE5" w:rsidRDefault="00386406" w:rsidP="00793C8B">
            <w:pPr>
              <w:rPr>
                <w:lang w:eastAsia="ja-JP"/>
              </w:rPr>
            </w:pPr>
            <w:r w:rsidRPr="00C55AE5">
              <w:rPr>
                <w:lang w:eastAsia="ja-JP"/>
              </w:rPr>
              <w:t>Benralizumab 30 mg Q8W reduces the rate of exacerbations by 40%, improves FEV1 by 0.16 L and improves asthma symptoms in patients with severe asthma with frequent exacerbations</w:t>
            </w:r>
            <w:r w:rsidR="00367960" w:rsidRPr="00C55AE5">
              <w:rPr>
                <w:lang w:eastAsia="ja-JP"/>
              </w:rPr>
              <w:t>.</w:t>
            </w:r>
          </w:p>
          <w:p w14:paraId="450E35FA" w14:textId="77777777" w:rsidR="00367960" w:rsidRPr="00C55AE5" w:rsidRDefault="00386406" w:rsidP="00793C8B">
            <w:pPr>
              <w:rPr>
                <w:lang w:eastAsia="ja-JP"/>
              </w:rPr>
            </w:pPr>
            <w:r w:rsidRPr="00C55AE5">
              <w:rPr>
                <w:lang w:eastAsia="ja-JP"/>
              </w:rPr>
              <w:t xml:space="preserve">Improvement in asthma symptoms, as measured by asthma </w:t>
            </w:r>
            <w:r w:rsidR="005236C7" w:rsidRPr="00C55AE5">
              <w:rPr>
                <w:lang w:eastAsia="ja-JP"/>
              </w:rPr>
              <w:t>scores</w:t>
            </w:r>
            <w:r w:rsidRPr="00C55AE5">
              <w:rPr>
                <w:lang w:eastAsia="ja-JP"/>
              </w:rPr>
              <w:t xml:space="preserve"> and improvement in quality of life measures was demonstrated for the Q8W regimen but not for the Q4W regimen</w:t>
            </w:r>
            <w:r w:rsidR="00367960" w:rsidRPr="00C55AE5">
              <w:rPr>
                <w:lang w:eastAsia="ja-JP"/>
              </w:rPr>
              <w:t>.</w:t>
            </w:r>
          </w:p>
          <w:p w14:paraId="4D398C6A" w14:textId="77777777" w:rsidR="00367960" w:rsidRPr="00C55AE5" w:rsidRDefault="00386406" w:rsidP="00793C8B">
            <w:r w:rsidRPr="00C55AE5">
              <w:t xml:space="preserve">Benralizumab 30 mg Q8W decreases the OCS dose in patients with severe asthma </w:t>
            </w:r>
            <w:r w:rsidRPr="00C55AE5">
              <w:lastRenderedPageBreak/>
              <w:t>who are OCS dependent</w:t>
            </w:r>
            <w:r w:rsidR="00367960" w:rsidRPr="00C55AE5">
              <w:t>.</w:t>
            </w:r>
          </w:p>
          <w:p w14:paraId="33CC9B1F" w14:textId="2DECB1F5" w:rsidR="00386406" w:rsidRPr="00C55AE5" w:rsidRDefault="00386406" w:rsidP="00793C8B">
            <w:pPr>
              <w:rPr>
                <w:rFonts w:asciiTheme="minorHAnsi" w:hAnsiTheme="minorHAnsi" w:cstheme="minorHAnsi"/>
                <w:i/>
                <w:szCs w:val="22"/>
              </w:rPr>
            </w:pPr>
            <w:r w:rsidRPr="00C55AE5">
              <w:rPr>
                <w:lang w:eastAsia="ja-JP"/>
              </w:rPr>
              <w:t xml:space="preserve">The patient groups where efficacy has been demonstrated were patients with severe asthma who had </w:t>
            </w:r>
            <w:r w:rsidR="007504A5" w:rsidRPr="00C55AE5">
              <w:rPr>
                <w:lang w:eastAsia="ja-JP"/>
              </w:rPr>
              <w:t>≥</w:t>
            </w:r>
            <w:r w:rsidR="002809EA">
              <w:rPr>
                <w:lang w:eastAsia="ja-JP"/>
              </w:rPr>
              <w:t> </w:t>
            </w:r>
            <w:r w:rsidRPr="00C55AE5">
              <w:rPr>
                <w:lang w:eastAsia="ja-JP"/>
              </w:rPr>
              <w:t>2</w:t>
            </w:r>
            <w:r w:rsidR="002809EA">
              <w:rPr>
                <w:lang w:eastAsia="ja-JP"/>
              </w:rPr>
              <w:t> </w:t>
            </w:r>
            <w:r w:rsidRPr="00C55AE5">
              <w:rPr>
                <w:lang w:eastAsia="ja-JP"/>
              </w:rPr>
              <w:t>exacerbations per year and/or were OCS dependent.</w:t>
            </w:r>
          </w:p>
        </w:tc>
        <w:tc>
          <w:tcPr>
            <w:tcW w:w="4194" w:type="dxa"/>
          </w:tcPr>
          <w:p w14:paraId="4B67BB38" w14:textId="77777777" w:rsidR="00386406" w:rsidRPr="00C55AE5" w:rsidRDefault="00386406" w:rsidP="00793C8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lastRenderedPageBreak/>
              <w:t>The efficacy findings were demonstrated in appropriately conducted randomised controlled trials conducted over either 48 or 28 weeks.</w:t>
            </w:r>
          </w:p>
          <w:p w14:paraId="65862DB5" w14:textId="77777777" w:rsidR="00386406" w:rsidRPr="00C55AE5" w:rsidRDefault="00386406" w:rsidP="00793C8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The improvements in FEV1 and asthma scores were of uncertain statistical and clinical significance.</w:t>
            </w:r>
            <w:r w:rsidR="00F971ED" w:rsidRPr="00C55AE5">
              <w:rPr>
                <w:rFonts w:asciiTheme="minorHAnsi" w:hAnsiTheme="minorHAnsi" w:cstheme="minorHAnsi"/>
                <w:szCs w:val="22"/>
              </w:rPr>
              <w:t xml:space="preserve"> </w:t>
            </w:r>
            <w:r w:rsidRPr="00C55AE5">
              <w:rPr>
                <w:rFonts w:asciiTheme="minorHAnsi" w:hAnsiTheme="minorHAnsi" w:cstheme="minorHAnsi"/>
                <w:szCs w:val="22"/>
              </w:rPr>
              <w:t>These improvements were 10% from baseline and were statistically significant using MMRM but not on confidence interval analysis.</w:t>
            </w:r>
          </w:p>
          <w:p w14:paraId="679454D7" w14:textId="77777777" w:rsidR="00386406" w:rsidRPr="00C55AE5" w:rsidRDefault="00386406" w:rsidP="00793C8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 xml:space="preserve">Efficacy was not demonstrated for mild </w:t>
            </w:r>
            <w:r w:rsidRPr="00C55AE5">
              <w:rPr>
                <w:rFonts w:asciiTheme="minorHAnsi" w:hAnsiTheme="minorHAnsi" w:cstheme="minorHAnsi"/>
                <w:szCs w:val="22"/>
              </w:rPr>
              <w:lastRenderedPageBreak/>
              <w:t>or moderate asthma.</w:t>
            </w:r>
          </w:p>
          <w:p w14:paraId="40879F03" w14:textId="3261189A" w:rsidR="00386406" w:rsidRPr="00C55AE5" w:rsidRDefault="00386406" w:rsidP="00793C8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 xml:space="preserve">The subgroup analysis suggested lack of efficacy in patients aged 12 to </w:t>
            </w:r>
            <w:r w:rsidR="007504A5" w:rsidRPr="00C55AE5">
              <w:rPr>
                <w:rFonts w:asciiTheme="minorHAnsi" w:hAnsiTheme="minorHAnsi" w:cstheme="minorHAnsi"/>
                <w:szCs w:val="22"/>
              </w:rPr>
              <w:t xml:space="preserve">&lt; </w:t>
            </w:r>
            <w:r w:rsidRPr="00C55AE5">
              <w:rPr>
                <w:rFonts w:asciiTheme="minorHAnsi" w:hAnsiTheme="minorHAnsi" w:cstheme="minorHAnsi"/>
                <w:szCs w:val="22"/>
              </w:rPr>
              <w:t xml:space="preserve">18 years and in </w:t>
            </w:r>
            <w:r w:rsidR="00F07944">
              <w:rPr>
                <w:rFonts w:asciiTheme="minorHAnsi" w:hAnsiTheme="minorHAnsi" w:cstheme="minorHAnsi"/>
                <w:szCs w:val="22"/>
              </w:rPr>
              <w:t>B</w:t>
            </w:r>
            <w:r w:rsidR="00FE7DC0">
              <w:rPr>
                <w:rFonts w:asciiTheme="minorHAnsi" w:hAnsiTheme="minorHAnsi" w:cstheme="minorHAnsi"/>
                <w:szCs w:val="22"/>
              </w:rPr>
              <w:t xml:space="preserve">lack or </w:t>
            </w:r>
            <w:r w:rsidRPr="00C55AE5">
              <w:rPr>
                <w:rFonts w:asciiTheme="minorHAnsi" w:hAnsiTheme="minorHAnsi" w:cstheme="minorHAnsi"/>
                <w:szCs w:val="22"/>
              </w:rPr>
              <w:t>African Americans.</w:t>
            </w:r>
          </w:p>
          <w:p w14:paraId="2DEC06F0" w14:textId="77777777" w:rsidR="00386406" w:rsidRPr="00B055D6" w:rsidRDefault="00386406" w:rsidP="00793C8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The studies were designed as double blind but patients treated with benralizumab could potentially be unblinded by their eosinophil count.</w:t>
            </w:r>
          </w:p>
        </w:tc>
      </w:tr>
    </w:tbl>
    <w:p w14:paraId="659FE2EA" w14:textId="77777777" w:rsidR="00605AD4" w:rsidRDefault="00605AD4" w:rsidP="002809EA">
      <w:pPr>
        <w:pStyle w:val="Heading4"/>
      </w:pPr>
      <w:r w:rsidRPr="00605AD4">
        <w:lastRenderedPageBreak/>
        <w:t>First round assessment of risks</w:t>
      </w:r>
    </w:p>
    <w:p w14:paraId="05F228D2" w14:textId="66365FC7" w:rsidR="002809EA" w:rsidRPr="002809EA" w:rsidRDefault="002809EA" w:rsidP="002809EA">
      <w:pPr>
        <w:keepNext/>
      </w:pPr>
      <w:r>
        <w:t>Table 11 summarises the assessment of risks of Fasenra benralizumab for the proposed indication, along with strengths and uncertainties of these benefits at the first round.</w:t>
      </w:r>
    </w:p>
    <w:p w14:paraId="41D11DB9" w14:textId="77777777" w:rsidR="00386406" w:rsidRPr="00386406" w:rsidRDefault="006A44F0" w:rsidP="002809EA">
      <w:pPr>
        <w:pStyle w:val="TableTitle"/>
      </w:pPr>
      <w:r>
        <w:t>Table 11</w:t>
      </w:r>
      <w:r w:rsidR="00596091">
        <w:t xml:space="preserve">: </w:t>
      </w:r>
      <w:r w:rsidR="00596091" w:rsidRPr="00605AD4">
        <w:t>First round assessment of risks</w:t>
      </w:r>
    </w:p>
    <w:tbl>
      <w:tblPr>
        <w:tblStyle w:val="TableTGAblue"/>
        <w:tblW w:w="0" w:type="auto"/>
        <w:tblLook w:val="04A0" w:firstRow="1" w:lastRow="0" w:firstColumn="1" w:lastColumn="0" w:noHBand="0" w:noVBand="1"/>
      </w:tblPr>
      <w:tblGrid>
        <w:gridCol w:w="4362"/>
        <w:gridCol w:w="4358"/>
      </w:tblGrid>
      <w:tr w:rsidR="00386406" w:rsidRPr="00C37A1D" w14:paraId="5CDEDF28" w14:textId="77777777" w:rsidTr="00386406">
        <w:trPr>
          <w:cnfStyle w:val="100000000000" w:firstRow="1" w:lastRow="0" w:firstColumn="0" w:lastColumn="0" w:oddVBand="0" w:evenVBand="0" w:oddHBand="0" w:evenHBand="0" w:firstRowFirstColumn="0" w:firstRowLastColumn="0" w:lastRowFirstColumn="0" w:lastRowLastColumn="0"/>
        </w:trPr>
        <w:tc>
          <w:tcPr>
            <w:tcW w:w="4395" w:type="dxa"/>
          </w:tcPr>
          <w:p w14:paraId="0E6E1F92" w14:textId="77777777" w:rsidR="00386406" w:rsidRPr="0013182D" w:rsidRDefault="00386406" w:rsidP="002809EA">
            <w:pPr>
              <w:rPr>
                <w:rFonts w:asciiTheme="minorHAnsi" w:hAnsiTheme="minorHAnsi"/>
                <w:b w:val="0"/>
                <w:szCs w:val="22"/>
              </w:rPr>
            </w:pPr>
            <w:r w:rsidRPr="0013182D">
              <w:rPr>
                <w:rFonts w:asciiTheme="minorHAnsi" w:hAnsiTheme="minorHAnsi"/>
                <w:szCs w:val="22"/>
              </w:rPr>
              <w:t>Risks</w:t>
            </w:r>
          </w:p>
        </w:tc>
        <w:tc>
          <w:tcPr>
            <w:tcW w:w="4394" w:type="dxa"/>
          </w:tcPr>
          <w:p w14:paraId="31BDE3F4" w14:textId="77777777" w:rsidR="00386406" w:rsidRPr="0013182D" w:rsidRDefault="00386406" w:rsidP="002809EA">
            <w:pPr>
              <w:rPr>
                <w:rFonts w:asciiTheme="minorHAnsi" w:hAnsiTheme="minorHAnsi"/>
                <w:b w:val="0"/>
                <w:szCs w:val="22"/>
              </w:rPr>
            </w:pPr>
            <w:r w:rsidRPr="0013182D">
              <w:rPr>
                <w:rFonts w:asciiTheme="minorHAnsi" w:hAnsiTheme="minorHAnsi"/>
                <w:szCs w:val="22"/>
              </w:rPr>
              <w:t>Strengths and Uncertainties</w:t>
            </w:r>
          </w:p>
        </w:tc>
      </w:tr>
      <w:tr w:rsidR="00386406" w:rsidRPr="00C55AE5" w14:paraId="515EAD44" w14:textId="77777777" w:rsidTr="00386406">
        <w:tc>
          <w:tcPr>
            <w:tcW w:w="4395" w:type="dxa"/>
          </w:tcPr>
          <w:p w14:paraId="6D23E15D" w14:textId="77777777" w:rsidR="00367960" w:rsidRPr="00C55AE5" w:rsidRDefault="00386406" w:rsidP="002809EA">
            <w:pPr>
              <w:keepNext/>
              <w:rPr>
                <w:lang w:eastAsia="ja-JP"/>
              </w:rPr>
            </w:pPr>
            <w:r w:rsidRPr="00C55AE5">
              <w:rPr>
                <w:lang w:eastAsia="ja-JP"/>
              </w:rPr>
              <w:t>The overall rate and patterns of TEAEs were similar for benralizumab and for placebo.</w:t>
            </w:r>
            <w:r w:rsidR="00F971ED" w:rsidRPr="00C55AE5">
              <w:rPr>
                <w:lang w:eastAsia="ja-JP"/>
              </w:rPr>
              <w:t xml:space="preserve"> </w:t>
            </w:r>
            <w:r w:rsidRPr="00C55AE5">
              <w:rPr>
                <w:lang w:eastAsia="ja-JP"/>
              </w:rPr>
              <w:t>The commonest TEAEs were upper respiratory tract infections and these were not reported more frequently with benralizumab than placebo</w:t>
            </w:r>
            <w:r w:rsidR="00367960" w:rsidRPr="00C55AE5">
              <w:rPr>
                <w:lang w:eastAsia="ja-JP"/>
              </w:rPr>
              <w:t>.</w:t>
            </w:r>
          </w:p>
          <w:p w14:paraId="148992D7" w14:textId="1D346436" w:rsidR="00386406" w:rsidRPr="00C55AE5" w:rsidRDefault="00386406" w:rsidP="002809EA">
            <w:pPr>
              <w:keepNext/>
              <w:rPr>
                <w:lang w:eastAsia="ja-JP"/>
              </w:rPr>
            </w:pPr>
            <w:r w:rsidRPr="008D28C4">
              <w:rPr>
                <w:lang w:eastAsia="ja-JP"/>
              </w:rPr>
              <w:t xml:space="preserve">In the pivotal studies there </w:t>
            </w:r>
            <w:r w:rsidR="006303D4" w:rsidRPr="008D28C4">
              <w:rPr>
                <w:lang w:eastAsia="ja-JP"/>
              </w:rPr>
              <w:t>were more</w:t>
            </w:r>
            <w:r w:rsidR="000E01A3" w:rsidRPr="008D28C4">
              <w:rPr>
                <w:lang w:eastAsia="ja-JP"/>
              </w:rPr>
              <w:t xml:space="preserve"> </w:t>
            </w:r>
            <w:r w:rsidRPr="008D28C4">
              <w:rPr>
                <w:lang w:eastAsia="ja-JP"/>
              </w:rPr>
              <w:t>deaths in the benralizumab groups compared with placebo.</w:t>
            </w:r>
          </w:p>
          <w:p w14:paraId="7CD304DD" w14:textId="77777777" w:rsidR="00386406" w:rsidRPr="00C55AE5" w:rsidRDefault="00386406" w:rsidP="002809EA">
            <w:pPr>
              <w:keepNext/>
              <w:rPr>
                <w:lang w:eastAsia="ja-JP"/>
              </w:rPr>
            </w:pPr>
            <w:r w:rsidRPr="00C55AE5">
              <w:rPr>
                <w:lang w:eastAsia="ja-JP"/>
              </w:rPr>
              <w:t>The safety data do not indicate an increased risk of parasitic infections.</w:t>
            </w:r>
            <w:r w:rsidR="00F971ED" w:rsidRPr="00C55AE5">
              <w:rPr>
                <w:lang w:eastAsia="ja-JP"/>
              </w:rPr>
              <w:t xml:space="preserve"> </w:t>
            </w:r>
            <w:r w:rsidRPr="00C55AE5">
              <w:rPr>
                <w:lang w:eastAsia="ja-JP"/>
              </w:rPr>
              <w:t>The rate of respiratory tract infections was not increased with benralizumab.</w:t>
            </w:r>
            <w:r w:rsidR="00F971ED" w:rsidRPr="00C55AE5">
              <w:rPr>
                <w:lang w:eastAsia="ja-JP"/>
              </w:rPr>
              <w:t xml:space="preserve"> </w:t>
            </w:r>
            <w:r w:rsidRPr="00C55AE5">
              <w:rPr>
                <w:lang w:eastAsia="ja-JP"/>
              </w:rPr>
              <w:t>Bacterial infections did not appear to be increased with benralizumab.</w:t>
            </w:r>
          </w:p>
          <w:p w14:paraId="466E8C6B" w14:textId="4126959C" w:rsidR="00367960" w:rsidRPr="00C55AE5" w:rsidRDefault="00386406" w:rsidP="002809EA">
            <w:pPr>
              <w:keepNext/>
              <w:rPr>
                <w:lang w:eastAsia="ja-JP"/>
              </w:rPr>
            </w:pPr>
            <w:r w:rsidRPr="00C55AE5">
              <w:rPr>
                <w:lang w:eastAsia="ja-JP"/>
              </w:rPr>
              <w:t xml:space="preserve">There </w:t>
            </w:r>
            <w:r w:rsidRPr="008D28C4">
              <w:rPr>
                <w:lang w:eastAsia="ja-JP"/>
              </w:rPr>
              <w:t xml:space="preserve">appears to be </w:t>
            </w:r>
            <w:r w:rsidR="006303D4" w:rsidRPr="008D28C4">
              <w:rPr>
                <w:lang w:eastAsia="ja-JP"/>
              </w:rPr>
              <w:t>more</w:t>
            </w:r>
            <w:r w:rsidRPr="008D28C4">
              <w:rPr>
                <w:lang w:eastAsia="ja-JP"/>
              </w:rPr>
              <w:t xml:space="preserve"> reports</w:t>
            </w:r>
            <w:r w:rsidRPr="00C55AE5">
              <w:rPr>
                <w:lang w:eastAsia="ja-JP"/>
              </w:rPr>
              <w:t xml:space="preserve"> of malignancy with benralizumab compared to placebo</w:t>
            </w:r>
            <w:r w:rsidR="00367960" w:rsidRPr="00C55AE5">
              <w:rPr>
                <w:lang w:eastAsia="ja-JP"/>
              </w:rPr>
              <w:t>.</w:t>
            </w:r>
          </w:p>
          <w:p w14:paraId="1A0DC1B6" w14:textId="77777777" w:rsidR="00386406" w:rsidRPr="00C55AE5" w:rsidRDefault="00386406" w:rsidP="002809EA">
            <w:pPr>
              <w:keepNext/>
              <w:rPr>
                <w:lang w:eastAsia="ja-JP"/>
              </w:rPr>
            </w:pPr>
            <w:r w:rsidRPr="00C55AE5">
              <w:rPr>
                <w:lang w:eastAsia="ja-JP"/>
              </w:rPr>
              <w:t>There is a high rate of ADA with benralizumab with the majority of patients with ADA having neutralising antibodies.</w:t>
            </w:r>
            <w:r w:rsidR="00F971ED" w:rsidRPr="00C55AE5">
              <w:rPr>
                <w:lang w:eastAsia="ja-JP"/>
              </w:rPr>
              <w:t xml:space="preserve"> </w:t>
            </w:r>
            <w:r w:rsidRPr="00C55AE5">
              <w:rPr>
                <w:lang w:eastAsia="ja-JP"/>
              </w:rPr>
              <w:t>Hypersensitivity reactions did not occur more frequently with benralizumab than with placebo.</w:t>
            </w:r>
          </w:p>
        </w:tc>
        <w:tc>
          <w:tcPr>
            <w:tcW w:w="4394" w:type="dxa"/>
          </w:tcPr>
          <w:p w14:paraId="1CCD189E" w14:textId="77777777" w:rsidR="00386406" w:rsidRPr="00C55AE5" w:rsidRDefault="00386406" w:rsidP="002809EA">
            <w:pPr>
              <w:keepNext/>
              <w:rPr>
                <w:lang w:eastAsia="ja-JP"/>
              </w:rPr>
            </w:pPr>
            <w:r w:rsidRPr="00C55AE5">
              <w:rPr>
                <w:lang w:eastAsia="ja-JP"/>
              </w:rPr>
              <w:t>The submission did not contain any long</w:t>
            </w:r>
            <w:r w:rsidR="00F971ED" w:rsidRPr="00C55AE5">
              <w:rPr>
                <w:lang w:eastAsia="ja-JP"/>
              </w:rPr>
              <w:t xml:space="preserve"> t</w:t>
            </w:r>
            <w:r w:rsidRPr="00C55AE5">
              <w:rPr>
                <w:lang w:eastAsia="ja-JP"/>
              </w:rPr>
              <w:t>erm safety data.</w:t>
            </w:r>
            <w:r w:rsidR="00F971ED" w:rsidRPr="00C55AE5">
              <w:rPr>
                <w:lang w:eastAsia="ja-JP"/>
              </w:rPr>
              <w:t xml:space="preserve"> </w:t>
            </w:r>
            <w:r w:rsidRPr="00C55AE5">
              <w:rPr>
                <w:lang w:eastAsia="ja-JP"/>
              </w:rPr>
              <w:t xml:space="preserve">The number of patients treated for </w:t>
            </w:r>
            <w:r w:rsidR="007504A5" w:rsidRPr="00C55AE5">
              <w:rPr>
                <w:lang w:eastAsia="ja-JP"/>
              </w:rPr>
              <w:t xml:space="preserve">≥ </w:t>
            </w:r>
            <w:r w:rsidRPr="00C55AE5">
              <w:rPr>
                <w:lang w:eastAsia="ja-JP"/>
              </w:rPr>
              <w:t>1 year was not reported.</w:t>
            </w:r>
          </w:p>
          <w:p w14:paraId="03363367" w14:textId="77777777" w:rsidR="00386406" w:rsidRPr="00C55AE5" w:rsidRDefault="00386406" w:rsidP="002809EA">
            <w:pPr>
              <w:keepNext/>
              <w:rPr>
                <w:lang w:eastAsia="ja-JP"/>
              </w:rPr>
            </w:pPr>
            <w:r w:rsidRPr="00C55AE5">
              <w:rPr>
                <w:lang w:eastAsia="ja-JP"/>
              </w:rPr>
              <w:t>The long</w:t>
            </w:r>
            <w:r w:rsidR="00F971ED" w:rsidRPr="00C55AE5">
              <w:rPr>
                <w:lang w:eastAsia="ja-JP"/>
              </w:rPr>
              <w:t xml:space="preserve"> t</w:t>
            </w:r>
            <w:r w:rsidRPr="00C55AE5">
              <w:rPr>
                <w:lang w:eastAsia="ja-JP"/>
              </w:rPr>
              <w:t>erm safety data, such as 2 year</w:t>
            </w:r>
            <w:r w:rsidR="00F971ED" w:rsidRPr="00C55AE5">
              <w:rPr>
                <w:lang w:eastAsia="ja-JP"/>
              </w:rPr>
              <w:t xml:space="preserve"> </w:t>
            </w:r>
            <w:r w:rsidRPr="00C55AE5">
              <w:rPr>
                <w:lang w:eastAsia="ja-JP"/>
              </w:rPr>
              <w:t xml:space="preserve">exposure data in </w:t>
            </w:r>
            <w:r w:rsidR="005028A8" w:rsidRPr="00C55AE5">
              <w:rPr>
                <w:lang w:eastAsia="ja-JP"/>
              </w:rPr>
              <w:t xml:space="preserve">&gt; </w:t>
            </w:r>
            <w:r w:rsidRPr="00C55AE5">
              <w:rPr>
                <w:lang w:eastAsia="ja-JP"/>
              </w:rPr>
              <w:t>100 patients, may help to clarify whether there is an increased risk of malignancy with benralizumab.</w:t>
            </w:r>
          </w:p>
        </w:tc>
      </w:tr>
    </w:tbl>
    <w:p w14:paraId="39D1B6C2" w14:textId="77777777" w:rsidR="00605AD4" w:rsidRPr="00C55AE5" w:rsidRDefault="00605AD4" w:rsidP="00605AD4">
      <w:pPr>
        <w:pStyle w:val="Heading4"/>
      </w:pPr>
      <w:r w:rsidRPr="00C55AE5">
        <w:t>First round assessment of benefit-risk balance</w:t>
      </w:r>
    </w:p>
    <w:p w14:paraId="3D5D067F" w14:textId="77777777" w:rsidR="00386406" w:rsidRPr="00386406" w:rsidRDefault="00386406" w:rsidP="00386406">
      <w:r w:rsidRPr="00C55AE5">
        <w:t>The benefit-risk for benralizumab 30 mg in 1 mL solution for injection prefilled syringe is unfavourable.</w:t>
      </w:r>
      <w:r w:rsidR="00F971ED" w:rsidRPr="00C55AE5">
        <w:t xml:space="preserve"> </w:t>
      </w:r>
      <w:r w:rsidRPr="00C55AE5">
        <w:t xml:space="preserve">While benralizumab, in patients with severe asthma, decreases the rate of </w:t>
      </w:r>
      <w:r w:rsidRPr="00C55AE5">
        <w:lastRenderedPageBreak/>
        <w:t>exacerbations and decreases the dose of OCS, there may be an increased risk of malignancy and an overall greater mortality.</w:t>
      </w:r>
    </w:p>
    <w:p w14:paraId="34CEFDB2" w14:textId="77777777" w:rsidR="00386406" w:rsidRPr="00C55AE5" w:rsidRDefault="00386406" w:rsidP="00386406">
      <w:r w:rsidRPr="00C55AE5">
        <w:t>The decrease in exacerbations of 40% is clinically significant.</w:t>
      </w:r>
      <w:r w:rsidR="00F971ED" w:rsidRPr="00C55AE5">
        <w:t xml:space="preserve"> </w:t>
      </w:r>
      <w:r w:rsidRPr="00C55AE5">
        <w:t xml:space="preserve">The improvement in FEV1 represents a 10% improvement from baseline, which is likely to be noticed by patients, and is therefore, in the opinion of the </w:t>
      </w:r>
      <w:r w:rsidR="00596091" w:rsidRPr="00C55AE5">
        <w:t>evaluator</w:t>
      </w:r>
      <w:r w:rsidRPr="00C55AE5">
        <w:t>, clinically significant.</w:t>
      </w:r>
      <w:r w:rsidR="00F971ED" w:rsidRPr="00C55AE5">
        <w:t xml:space="preserve"> </w:t>
      </w:r>
      <w:r w:rsidRPr="00C55AE5">
        <w:t xml:space="preserve">The improvement in asthma scores are also 10% on baseline, and in the opinion of the </w:t>
      </w:r>
      <w:r w:rsidR="00596091" w:rsidRPr="00C55AE5">
        <w:t>evaluator</w:t>
      </w:r>
      <w:r w:rsidRPr="00C55AE5">
        <w:t xml:space="preserve"> would be unlikely to be noticed by patients, and therefore not clinically significant.</w:t>
      </w:r>
      <w:r w:rsidR="00F971ED" w:rsidRPr="00C55AE5">
        <w:t xml:space="preserve"> </w:t>
      </w:r>
      <w:r w:rsidRPr="00C55AE5">
        <w:t xml:space="preserve">In </w:t>
      </w:r>
      <w:r w:rsidR="00596091" w:rsidRPr="00C55AE5">
        <w:t>patients</w:t>
      </w:r>
      <w:r w:rsidRPr="00C55AE5">
        <w:t xml:space="preserve"> who are OCS dependent, the resulting decrease in OCS dose is clinically significant.</w:t>
      </w:r>
    </w:p>
    <w:p w14:paraId="03E75B0D" w14:textId="77777777" w:rsidR="00605AD4" w:rsidRPr="00C55AE5" w:rsidRDefault="00386406" w:rsidP="00605AD4">
      <w:r w:rsidRPr="00C55AE5">
        <w:t>However, the potential for increased malignancy requires further investigation with long</w:t>
      </w:r>
      <w:r w:rsidR="00F971ED" w:rsidRPr="00C55AE5">
        <w:t xml:space="preserve"> t</w:t>
      </w:r>
      <w:r w:rsidRPr="00C55AE5">
        <w:t>erm safety studies in order to clarify the benefit-risk balance.</w:t>
      </w:r>
    </w:p>
    <w:p w14:paraId="5D9CBCD7" w14:textId="4C6D1B52" w:rsidR="00605AD4" w:rsidRPr="00C55AE5" w:rsidRDefault="00605AD4" w:rsidP="00605AD4">
      <w:pPr>
        <w:pStyle w:val="Heading3"/>
        <w:rPr>
          <w:rFonts w:eastAsia="Cambria"/>
        </w:rPr>
      </w:pPr>
      <w:bookmarkStart w:id="188" w:name="_Toc1653595"/>
      <w:r w:rsidRPr="00C55AE5">
        <w:rPr>
          <w:rFonts w:eastAsia="Cambria"/>
        </w:rPr>
        <w:t xml:space="preserve">First </w:t>
      </w:r>
      <w:r w:rsidR="0039213E" w:rsidRPr="00C55AE5">
        <w:rPr>
          <w:rFonts w:eastAsia="Cambria"/>
        </w:rPr>
        <w:t>round recommendation regarding authorisation</w:t>
      </w:r>
      <w:bookmarkEnd w:id="188"/>
    </w:p>
    <w:p w14:paraId="61056A02" w14:textId="77777777" w:rsidR="00386406" w:rsidRPr="00C55AE5" w:rsidRDefault="00386406" w:rsidP="00386406">
      <w:r w:rsidRPr="00C55AE5">
        <w:t>The application for approval of benralizumab 30 mg in 1 mL solution for injection prefilled syringe should be rejected because of an unfavourable benefit-risk balance.</w:t>
      </w:r>
      <w:r w:rsidR="00F971ED" w:rsidRPr="00C55AE5">
        <w:t xml:space="preserve"> </w:t>
      </w:r>
      <w:r w:rsidRPr="00C55AE5">
        <w:t>While benralizumab, in patients with severe asthma, decreases the rate of exacerbations and decreases the dose of OCS, there may be an increased risk of malignancy and an overall greater mortality.</w:t>
      </w:r>
    </w:p>
    <w:p w14:paraId="27C0A9C4" w14:textId="77777777" w:rsidR="00386406" w:rsidRPr="00C55AE5" w:rsidRDefault="00386406" w:rsidP="00386406">
      <w:r w:rsidRPr="00C55AE5">
        <w:t>In addition, the proposed therapeutic indication does not fully reflect the patient group for whom efficacy has been demonstrated.</w:t>
      </w:r>
      <w:r w:rsidR="00F971ED" w:rsidRPr="00C55AE5">
        <w:t xml:space="preserve"> </w:t>
      </w:r>
      <w:r w:rsidRPr="00C55AE5">
        <w:t>The proposed therapeutic indication is:</w:t>
      </w:r>
    </w:p>
    <w:p w14:paraId="253D9248" w14:textId="77777777" w:rsidR="00386406" w:rsidRPr="00C55AE5" w:rsidRDefault="00596091" w:rsidP="00386406">
      <w:pPr>
        <w:ind w:left="720"/>
        <w:rPr>
          <w:i/>
        </w:rPr>
      </w:pPr>
      <w:r w:rsidRPr="00C55AE5">
        <w:rPr>
          <w:i/>
        </w:rPr>
        <w:t>Fasenra</w:t>
      </w:r>
      <w:r w:rsidR="00386406" w:rsidRPr="00C55AE5">
        <w:rPr>
          <w:i/>
        </w:rPr>
        <w:t xml:space="preserve"> is indicated as an add-on maintenance treatment for severe asthma in patients with an eosinophilic phenotype.</w:t>
      </w:r>
    </w:p>
    <w:p w14:paraId="462191F9" w14:textId="77777777" w:rsidR="00605AD4" w:rsidRDefault="00386406" w:rsidP="00605AD4">
      <w:r w:rsidRPr="00C55AE5">
        <w:t xml:space="preserve">This does not adequately describe the patient groups where efficacy has been demonstrated, which were: patients with severe asthma with </w:t>
      </w:r>
      <w:proofErr w:type="gramStart"/>
      <w:r w:rsidRPr="00C55AE5">
        <w:t xml:space="preserve">an eosinophilic phenotype, who had </w:t>
      </w:r>
      <w:r w:rsidR="005236C7" w:rsidRPr="00C55AE5">
        <w:t>≥</w:t>
      </w:r>
      <w:r w:rsidR="007504A5" w:rsidRPr="00C55AE5">
        <w:t xml:space="preserve"> </w:t>
      </w:r>
      <w:r w:rsidRPr="00C55AE5">
        <w:t>2 exacerbations per year and/or were</w:t>
      </w:r>
      <w:proofErr w:type="gramEnd"/>
      <w:r w:rsidRPr="00C55AE5">
        <w:t xml:space="preserve"> OCS dependent.</w:t>
      </w:r>
    </w:p>
    <w:p w14:paraId="10E9D1AE" w14:textId="137E7C03" w:rsidR="00605AD4" w:rsidRDefault="002F5122" w:rsidP="00605AD4">
      <w:pPr>
        <w:pStyle w:val="Heading3"/>
        <w:rPr>
          <w:rFonts w:eastAsia="Cambria"/>
        </w:rPr>
      </w:pPr>
      <w:bookmarkStart w:id="189" w:name="_Toc1653596"/>
      <w:r w:rsidRPr="002F5122">
        <w:t xml:space="preserve">Clinical </w:t>
      </w:r>
      <w:r w:rsidR="0039213E" w:rsidRPr="002F5122">
        <w:t>questions</w:t>
      </w:r>
      <w:r w:rsidR="0039213E">
        <w:t xml:space="preserve"> and </w:t>
      </w:r>
      <w:r w:rsidR="0039213E" w:rsidRPr="00605AD4">
        <w:rPr>
          <w:rFonts w:eastAsia="Cambria"/>
        </w:rPr>
        <w:t>second round evaluation</w:t>
      </w:r>
      <w:bookmarkEnd w:id="189"/>
    </w:p>
    <w:p w14:paraId="4CA8119B" w14:textId="1CF64FD0" w:rsidR="0031776E" w:rsidRPr="0031776E" w:rsidRDefault="00984AE1" w:rsidP="0031776E">
      <w:r>
        <w:t>The following provides details of the main clinical questions and responses.</w:t>
      </w:r>
    </w:p>
    <w:p w14:paraId="33C71A7B" w14:textId="77777777" w:rsidR="002809EA" w:rsidRDefault="00386406" w:rsidP="00596091">
      <w:pPr>
        <w:pStyle w:val="Heading4"/>
      </w:pPr>
      <w:r w:rsidRPr="00596091">
        <w:t>Pharmacokinetics</w:t>
      </w:r>
    </w:p>
    <w:p w14:paraId="0833502A" w14:textId="3060A6B8" w:rsidR="00596091" w:rsidRPr="00596091" w:rsidRDefault="00386406" w:rsidP="002809EA">
      <w:pPr>
        <w:pStyle w:val="Heading5"/>
      </w:pPr>
      <w:r w:rsidRPr="00596091">
        <w:t>Question 1</w:t>
      </w:r>
    </w:p>
    <w:p w14:paraId="3397237D" w14:textId="77777777" w:rsidR="00386406" w:rsidRPr="00F84445" w:rsidRDefault="00386406" w:rsidP="00F84445">
      <w:pPr>
        <w:ind w:left="720"/>
        <w:rPr>
          <w:i/>
        </w:rPr>
      </w:pPr>
      <w:r w:rsidRPr="00F84445">
        <w:rPr>
          <w:i/>
        </w:rPr>
        <w:t>In the population pharmacokinetic data, was there any evidence of accumulation with either the Q4W and/or the Q8W dosing regimens?</w:t>
      </w:r>
    </w:p>
    <w:p w14:paraId="48395025" w14:textId="77777777" w:rsidR="00E76BE9" w:rsidRDefault="00596091" w:rsidP="00F84445">
      <w:pPr>
        <w:pStyle w:val="Heading6"/>
      </w:pPr>
      <w:r>
        <w:t>Sponsor’s response</w:t>
      </w:r>
    </w:p>
    <w:p w14:paraId="59C47E32" w14:textId="77777777" w:rsidR="00386406" w:rsidRPr="00386406" w:rsidRDefault="00386406" w:rsidP="00386406">
      <w:r w:rsidRPr="00386406">
        <w:t>The accumulation ratio for the Q4W dosing regimen was 1.47 and for the Q8W regimen was 1.1.</w:t>
      </w:r>
    </w:p>
    <w:p w14:paraId="622A2D70" w14:textId="77777777" w:rsidR="00E76BE9" w:rsidRDefault="00596091" w:rsidP="00F84445">
      <w:pPr>
        <w:pStyle w:val="Heading6"/>
      </w:pPr>
      <w:r>
        <w:t>Evaluator’s comment</w:t>
      </w:r>
    </w:p>
    <w:p w14:paraId="071E0366" w14:textId="77777777" w:rsidR="00386406" w:rsidRPr="00404587" w:rsidRDefault="00386406" w:rsidP="00386406">
      <w:r w:rsidRPr="00386406">
        <w:t xml:space="preserve">The </w:t>
      </w:r>
      <w:r w:rsidR="007504A5">
        <w:t>sponsor</w:t>
      </w:r>
      <w:r w:rsidRPr="00386406">
        <w:t>’s response is satisfactory.</w:t>
      </w:r>
      <w:r w:rsidR="00F971ED">
        <w:t xml:space="preserve"> </w:t>
      </w:r>
      <w:r w:rsidRPr="00386406">
        <w:t>There is no significant accumulation with the proposed dosing regimen</w:t>
      </w:r>
      <w:r>
        <w:t>.</w:t>
      </w:r>
    </w:p>
    <w:p w14:paraId="5C794ED0" w14:textId="77777777" w:rsidR="00F84445" w:rsidRDefault="00596091" w:rsidP="00F84445">
      <w:pPr>
        <w:pStyle w:val="Heading4"/>
      </w:pPr>
      <w:r w:rsidRPr="00596091">
        <w:t>Efficacy</w:t>
      </w:r>
    </w:p>
    <w:p w14:paraId="25750E23" w14:textId="28D8C28D" w:rsidR="00596091" w:rsidRPr="00596091" w:rsidRDefault="00596091" w:rsidP="00F84445">
      <w:pPr>
        <w:pStyle w:val="Heading5"/>
      </w:pPr>
      <w:r w:rsidRPr="00596091">
        <w:t xml:space="preserve">Question </w:t>
      </w:r>
      <w:r w:rsidR="00F84445">
        <w:t>2</w:t>
      </w:r>
    </w:p>
    <w:p w14:paraId="16AC2364" w14:textId="437A8D81" w:rsidR="00386406" w:rsidRPr="00F84445" w:rsidRDefault="00386406" w:rsidP="00F84445">
      <w:pPr>
        <w:ind w:left="720"/>
        <w:rPr>
          <w:i/>
        </w:rPr>
      </w:pPr>
      <w:r w:rsidRPr="00F84445">
        <w:rPr>
          <w:i/>
        </w:rPr>
        <w:t xml:space="preserve">Can the </w:t>
      </w:r>
      <w:r w:rsidR="007504A5" w:rsidRPr="00F84445">
        <w:rPr>
          <w:i/>
        </w:rPr>
        <w:t>sponsor</w:t>
      </w:r>
      <w:r w:rsidRPr="00F84445">
        <w:rPr>
          <w:i/>
        </w:rPr>
        <w:t xml:space="preserve"> provide a full explanation as to why Study D3250C00016 (PAMPERO</w:t>
      </w:r>
      <w:r w:rsidR="00F84445">
        <w:rPr>
          <w:i/>
        </w:rPr>
        <w:t xml:space="preserve"> trial</w:t>
      </w:r>
      <w:r w:rsidRPr="00F84445">
        <w:rPr>
          <w:i/>
        </w:rPr>
        <w:t>) was terminated early?</w:t>
      </w:r>
    </w:p>
    <w:p w14:paraId="64D68287" w14:textId="77777777" w:rsidR="00596091" w:rsidRDefault="00386406" w:rsidP="00F84445">
      <w:pPr>
        <w:pStyle w:val="Heading6"/>
      </w:pPr>
      <w:r w:rsidRPr="00386406">
        <w:lastRenderedPageBreak/>
        <w:t>Sponsor’s response</w:t>
      </w:r>
    </w:p>
    <w:p w14:paraId="145A4EA9" w14:textId="4F93671A" w:rsidR="00386406" w:rsidRPr="00386406" w:rsidRDefault="00386406" w:rsidP="00386406">
      <w:r w:rsidRPr="00386406">
        <w:t>Study D3250C00016 (PAMPERO</w:t>
      </w:r>
      <w:r w:rsidR="00F84445">
        <w:t xml:space="preserve"> trial</w:t>
      </w:r>
      <w:r w:rsidRPr="00386406">
        <w:t xml:space="preserve">) was terminated early because of poor recruitment, a screen failure rate of 90% and the </w:t>
      </w:r>
      <w:r w:rsidR="007504A5">
        <w:t>sponsor</w:t>
      </w:r>
      <w:r w:rsidRPr="00386406">
        <w:t xml:space="preserve"> deciding to focus on patients with </w:t>
      </w:r>
      <w:r w:rsidR="00596091">
        <w:t>high dose</w:t>
      </w:r>
      <w:r w:rsidRPr="00386406">
        <w:t xml:space="preserve"> ICS.</w:t>
      </w:r>
    </w:p>
    <w:p w14:paraId="67886629" w14:textId="77777777" w:rsidR="00596091" w:rsidRDefault="00386406" w:rsidP="00F84445">
      <w:pPr>
        <w:pStyle w:val="Heading6"/>
      </w:pPr>
      <w:r w:rsidRPr="00386406">
        <w:t>Evaluator’s comment</w:t>
      </w:r>
    </w:p>
    <w:p w14:paraId="76C418A5" w14:textId="15398E14" w:rsidR="00386406" w:rsidRPr="00386406" w:rsidRDefault="00386406" w:rsidP="00386406">
      <w:r w:rsidRPr="00386406">
        <w:t xml:space="preserve">The </w:t>
      </w:r>
      <w:r w:rsidR="007504A5">
        <w:t>sponsor</w:t>
      </w:r>
      <w:r w:rsidRPr="00386406">
        <w:t>’s response is satisfactory.</w:t>
      </w:r>
      <w:r w:rsidR="00F971ED">
        <w:t xml:space="preserve"> </w:t>
      </w:r>
      <w:r w:rsidRPr="00386406">
        <w:t>Study D3250C00016 (PAMPERO</w:t>
      </w:r>
      <w:r w:rsidR="00F84445">
        <w:t xml:space="preserve"> </w:t>
      </w:r>
      <w:proofErr w:type="gramStart"/>
      <w:r w:rsidR="00F84445">
        <w:t xml:space="preserve">trial </w:t>
      </w:r>
      <w:r w:rsidRPr="00386406">
        <w:t>)</w:t>
      </w:r>
      <w:proofErr w:type="gramEnd"/>
      <w:r w:rsidRPr="00386406">
        <w:t xml:space="preserve"> was not terminated because of safety concerns.</w:t>
      </w:r>
    </w:p>
    <w:p w14:paraId="7915E681" w14:textId="5595C0B4" w:rsidR="00596091" w:rsidRPr="00596091" w:rsidRDefault="00596091" w:rsidP="00F84445">
      <w:pPr>
        <w:pStyle w:val="Heading5"/>
      </w:pPr>
      <w:r w:rsidRPr="00596091">
        <w:t xml:space="preserve">Question </w:t>
      </w:r>
      <w:r w:rsidR="00F84445">
        <w:t>3</w:t>
      </w:r>
    </w:p>
    <w:p w14:paraId="5838E0AB" w14:textId="36210F65" w:rsidR="00386406" w:rsidRPr="00F84445" w:rsidRDefault="00386406" w:rsidP="00F84445">
      <w:pPr>
        <w:ind w:firstLine="720"/>
        <w:rPr>
          <w:i/>
        </w:rPr>
      </w:pPr>
      <w:r w:rsidRPr="00F84445">
        <w:rPr>
          <w:i/>
        </w:rPr>
        <w:t>In Study D3250C00020 (ZONDA</w:t>
      </w:r>
      <w:r w:rsidR="00F84445" w:rsidRPr="00F84445">
        <w:rPr>
          <w:i/>
        </w:rPr>
        <w:t xml:space="preserve"> trial</w:t>
      </w:r>
      <w:r w:rsidRPr="00F84445">
        <w:rPr>
          <w:i/>
        </w:rPr>
        <w:t>) how were missing data imputed?</w:t>
      </w:r>
    </w:p>
    <w:p w14:paraId="190FD910" w14:textId="77777777" w:rsidR="00596091" w:rsidRDefault="00386406" w:rsidP="00F84445">
      <w:pPr>
        <w:pStyle w:val="Heading6"/>
      </w:pPr>
      <w:r w:rsidRPr="00386406">
        <w:t>Sponsor’s response</w:t>
      </w:r>
    </w:p>
    <w:p w14:paraId="10070598" w14:textId="77777777" w:rsidR="00386406" w:rsidRPr="00386406" w:rsidRDefault="00386406" w:rsidP="00386406">
      <w:r w:rsidRPr="00386406">
        <w:t xml:space="preserve">The </w:t>
      </w:r>
      <w:r w:rsidR="007504A5">
        <w:t>sponsor</w:t>
      </w:r>
      <w:r w:rsidRPr="00386406">
        <w:t xml:space="preserve"> states </w:t>
      </w:r>
      <w:r w:rsidR="005236C7">
        <w:t>‘</w:t>
      </w:r>
      <w:r w:rsidRPr="00386406">
        <w:t xml:space="preserve">Derivation of the primary endpoint, percentage change in the final </w:t>
      </w:r>
      <w:r w:rsidR="00196E43">
        <w:t>OCS</w:t>
      </w:r>
      <w:r w:rsidRPr="00386406">
        <w:t xml:space="preserve"> dose, incorporated imputation for missing data (for patients who prematurely discontinued), as outlined in </w:t>
      </w:r>
      <w:r w:rsidR="00A6084F">
        <w:t>the Statistical Analysis Plan</w:t>
      </w:r>
      <w:r w:rsidRPr="00386406">
        <w:t>. Percent reduction from baseline in final OCS dose was derived based on the OCS dose at baseline and at Week 28 (Visit 14). If a patient discontinued fro</w:t>
      </w:r>
      <w:r w:rsidR="00196E43">
        <w:t>m the study during a given dose reduction period prior to Visit </w:t>
      </w:r>
      <w:r w:rsidRPr="00386406">
        <w:t xml:space="preserve">14, then the patient’s final OCS dose was imputed as 1 dose level higher than the dose at which the discontinuation occurred. For example, if a patient had completed a previous dose reduction phase while receiving 10 mg daily and was in a subsequent dose reduction period receiving 5 mg daily, but withdrew before completing that period, the patient’s final dose would be imputed as 10 mg daily because the patient had not completed the period in which 5 mg was used. If a patient experienced </w:t>
      </w:r>
      <w:proofErr w:type="gramStart"/>
      <w:r w:rsidRPr="00386406">
        <w:t>an asthma</w:t>
      </w:r>
      <w:proofErr w:type="gramEnd"/>
      <w:r w:rsidRPr="00386406">
        <w:t xml:space="preserve"> exacerbation or AE treated with OCS immediately prior to discontinuation, the final OCS dose was imputed as 1 dose level higher than the dose at which the exacerbation or AE started.</w:t>
      </w:r>
    </w:p>
    <w:p w14:paraId="786E5655" w14:textId="77777777" w:rsidR="00386406" w:rsidRPr="00386406" w:rsidRDefault="00386406" w:rsidP="00386406">
      <w:r w:rsidRPr="00386406">
        <w:t>There was no imputation for missing data in the negative binomial analyses of annual exacerbation rate. The logarithm of the patient’s corresponding follow-up time was used as an offset variable in the model to adjust for patients having different follow-up time (</w:t>
      </w:r>
      <w:r w:rsidR="00196E43">
        <w:t>for example</w:t>
      </w:r>
      <w:r w:rsidRPr="00386406">
        <w:t>, due to premature discontinuation from the trial).</w:t>
      </w:r>
    </w:p>
    <w:p w14:paraId="3BF2EAF9" w14:textId="6D0EA270" w:rsidR="00386406" w:rsidRPr="00386406" w:rsidRDefault="00386406" w:rsidP="00386406">
      <w:r w:rsidRPr="00386406">
        <w:t xml:space="preserve">No implicit imputation was done for missing data on continuous secondary endpoints. Repeated measures endpoints were analysed using a mixed model for repeated measures (MMRM) analysis (including the analysis of FEV1, </w:t>
      </w:r>
      <w:r w:rsidR="002A4756">
        <w:t>Asthma Control Questionnaire-6 (</w:t>
      </w:r>
      <w:r w:rsidRPr="002A4756">
        <w:t>ACQ</w:t>
      </w:r>
      <w:r w:rsidR="00F84445">
        <w:noBreakHyphen/>
      </w:r>
      <w:r w:rsidRPr="002A4756">
        <w:t>6</w:t>
      </w:r>
      <w:r w:rsidR="002A4756" w:rsidRPr="002A4756">
        <w:t>)</w:t>
      </w:r>
      <w:r w:rsidRPr="002A4756">
        <w:t>,</w:t>
      </w:r>
      <w:r w:rsidRPr="00386406">
        <w:t xml:space="preserve"> total asthma symptom score, and </w:t>
      </w:r>
      <w:r w:rsidR="002A4756" w:rsidRPr="002A4756">
        <w:t>Asthma Quality of Life Questionnaire (</w:t>
      </w:r>
      <w:r w:rsidRPr="002A4756">
        <w:t>AQLQ</w:t>
      </w:r>
      <w:r w:rsidR="002A4756" w:rsidRPr="002A4756">
        <w:t>)</w:t>
      </w:r>
      <w:r w:rsidRPr="002A4756">
        <w:t>). The</w:t>
      </w:r>
      <w:r w:rsidRPr="00386406">
        <w:t xml:space="preserve"> MMRM analysis accounts for the missing data under the assumption that data are missing at random. All patients with a baseline</w:t>
      </w:r>
      <w:r w:rsidR="00196E43">
        <w:t xml:space="preserve"> value and at least 1 post </w:t>
      </w:r>
      <w:r w:rsidRPr="00386406">
        <w:t>baseline value were included in the analysis, regardless of whether they discontinued early or had missing observations during the study.</w:t>
      </w:r>
    </w:p>
    <w:p w14:paraId="712D221A" w14:textId="77777777" w:rsidR="00386406" w:rsidRPr="00386406" w:rsidRDefault="00386406" w:rsidP="00386406">
      <w:r w:rsidRPr="00386406">
        <w:t xml:space="preserve">For daily diary endpoints such as </w:t>
      </w:r>
      <w:r w:rsidR="00196E43">
        <w:t xml:space="preserve">asthma symptom scores, the post </w:t>
      </w:r>
      <w:r w:rsidRPr="00386406">
        <w:t>randomisation bi-weekly means were c</w:t>
      </w:r>
      <w:r w:rsidR="00196E43">
        <w:t xml:space="preserve">alculated as the sum of all non </w:t>
      </w:r>
      <w:r w:rsidRPr="00386406">
        <w:t>missing da</w:t>
      </w:r>
      <w:r w:rsidR="00196E43">
        <w:t xml:space="preserve">ily measures/scores over the 14 </w:t>
      </w:r>
      <w:r w:rsidRPr="00386406">
        <w:t>day wind</w:t>
      </w:r>
      <w:r w:rsidR="00196E43">
        <w:t xml:space="preserve">ow divided by the number of non </w:t>
      </w:r>
      <w:r w:rsidRPr="00386406">
        <w:t>missing daily measures/scores. This approach assumes that the average from the observed days during any period is representative of what the average would have been over the entire bi-weekly time interval. If more than 7 daily measures/scores (</w:t>
      </w:r>
      <w:r w:rsidR="005028A8">
        <w:t xml:space="preserve">&gt; </w:t>
      </w:r>
      <w:r w:rsidRPr="00386406">
        <w:t>50%) within that window were missing, then the mean daily measure/score for that period was set to missing.</w:t>
      </w:r>
    </w:p>
    <w:p w14:paraId="6B8242DE" w14:textId="77777777" w:rsidR="00386406" w:rsidRPr="00386406" w:rsidRDefault="00386406" w:rsidP="00386406">
      <w:r w:rsidRPr="00386406">
        <w:t>For responder endpoints, such as ACQ-6 responders at Week 28, patients with missing or non-evaluable score at Week 28 were imputed as non-responders for analysis.</w:t>
      </w:r>
      <w:r w:rsidR="005236C7">
        <w:t>’</w:t>
      </w:r>
    </w:p>
    <w:p w14:paraId="7F4C2F90" w14:textId="77777777" w:rsidR="00596091" w:rsidRDefault="00386406" w:rsidP="00F84445">
      <w:pPr>
        <w:pStyle w:val="Heading6"/>
      </w:pPr>
      <w:r w:rsidRPr="00386406">
        <w:t>Evaluator’s comment</w:t>
      </w:r>
    </w:p>
    <w:p w14:paraId="696F51E1" w14:textId="71811FC2" w:rsidR="0048512C" w:rsidRPr="0031776E" w:rsidRDefault="0048512C" w:rsidP="0048512C">
      <w:r>
        <w:t xml:space="preserve">The </w:t>
      </w:r>
      <w:r w:rsidR="00AD0C54">
        <w:t>sponsor’s</w:t>
      </w:r>
      <w:r>
        <w:t xml:space="preserve"> response is not satisfactory. </w:t>
      </w:r>
      <w:r w:rsidR="0031776E" w:rsidRPr="0031776E">
        <w:t>T</w:t>
      </w:r>
      <w:r w:rsidRPr="0031776E">
        <w:t>he sponsor used complex methods to impute missing data. The sponsor did not test the assumptions in the imputation methods by reanalysing the data without imputation and/or by using worst case scenarios.</w:t>
      </w:r>
    </w:p>
    <w:p w14:paraId="36EC2641" w14:textId="25A8E6BD" w:rsidR="00386406" w:rsidRPr="00386406" w:rsidRDefault="0048512C" w:rsidP="0048512C">
      <w:r w:rsidRPr="0031776E">
        <w:lastRenderedPageBreak/>
        <w:t>However, t</w:t>
      </w:r>
      <w:r w:rsidR="00386406" w:rsidRPr="0031776E">
        <w:t xml:space="preserve">he imputation methods used for the primary efficacy outcome measures were appropriate and the </w:t>
      </w:r>
      <w:r w:rsidR="00596091" w:rsidRPr="0031776E">
        <w:t>evaluator</w:t>
      </w:r>
      <w:r w:rsidR="00386406" w:rsidRPr="0031776E">
        <w:t xml:space="preserve">’s conclusions with regard to benefits are not altered by the </w:t>
      </w:r>
      <w:r w:rsidR="007504A5" w:rsidRPr="0031776E">
        <w:t>sponsor</w:t>
      </w:r>
      <w:r w:rsidR="00386406" w:rsidRPr="0031776E">
        <w:t>’s response.</w:t>
      </w:r>
    </w:p>
    <w:p w14:paraId="1C846F7F" w14:textId="6C148D68" w:rsidR="00596091" w:rsidRPr="00596091" w:rsidRDefault="00596091" w:rsidP="00F84445">
      <w:pPr>
        <w:pStyle w:val="Heading5"/>
      </w:pPr>
      <w:r w:rsidRPr="00596091">
        <w:t xml:space="preserve">Question </w:t>
      </w:r>
      <w:r w:rsidR="00F84445">
        <w:t>4</w:t>
      </w:r>
    </w:p>
    <w:p w14:paraId="1FB6137C" w14:textId="6FEBAE3E" w:rsidR="00386406" w:rsidRPr="00F84445" w:rsidRDefault="00386406" w:rsidP="00F84445">
      <w:pPr>
        <w:ind w:left="720"/>
        <w:rPr>
          <w:i/>
        </w:rPr>
      </w:pPr>
      <w:r w:rsidRPr="00F84445">
        <w:rPr>
          <w:i/>
        </w:rPr>
        <w:t>In Study D3250C00020 (ZONDA</w:t>
      </w:r>
      <w:r w:rsidR="00F84445" w:rsidRPr="00F84445">
        <w:rPr>
          <w:i/>
        </w:rPr>
        <w:t xml:space="preserve"> trial</w:t>
      </w:r>
      <w:r w:rsidRPr="00F84445">
        <w:rPr>
          <w:i/>
        </w:rPr>
        <w:t>) how was multiplicity addressed for the secondary efficacy outcome variables?</w:t>
      </w:r>
    </w:p>
    <w:p w14:paraId="2716464D" w14:textId="77777777" w:rsidR="00596091" w:rsidRDefault="00386406" w:rsidP="00F84445">
      <w:pPr>
        <w:pStyle w:val="Heading6"/>
      </w:pPr>
      <w:r w:rsidRPr="00386406">
        <w:t>Sponsor’s response</w:t>
      </w:r>
    </w:p>
    <w:p w14:paraId="1C93D20A" w14:textId="77777777" w:rsidR="00386406" w:rsidRPr="00386406" w:rsidRDefault="00386406" w:rsidP="00386406">
      <w:r w:rsidRPr="00386406">
        <w:t xml:space="preserve">The </w:t>
      </w:r>
      <w:r w:rsidR="007504A5">
        <w:t>sponsor</w:t>
      </w:r>
      <w:r w:rsidRPr="00386406">
        <w:t xml:space="preserve"> did not address multiplicity in the analysis of the secondary efficacy outcome variables.</w:t>
      </w:r>
    </w:p>
    <w:p w14:paraId="6DED89D8" w14:textId="77777777" w:rsidR="00596091" w:rsidRDefault="00386406" w:rsidP="00F84445">
      <w:pPr>
        <w:pStyle w:val="Heading6"/>
      </w:pPr>
      <w:r w:rsidRPr="00386406">
        <w:t>Evaluator’s response</w:t>
      </w:r>
    </w:p>
    <w:p w14:paraId="4CCE16DC" w14:textId="621192E4" w:rsidR="00386406" w:rsidRPr="00386406" w:rsidRDefault="0048512C" w:rsidP="00386406">
      <w:r w:rsidRPr="002D6728">
        <w:t>In the opinion of the evaluator, the failure to address multiplicity was a design flaw. With regard the results of the secondary efficacy outcome variables, m</w:t>
      </w:r>
      <w:r w:rsidR="00386406" w:rsidRPr="002D6728">
        <w:t>ost of the findings were highly significant, and the difference between benralizumab and placebo were clinically significant.</w:t>
      </w:r>
      <w:r w:rsidR="00F971ED" w:rsidRPr="002D6728">
        <w:t xml:space="preserve"> </w:t>
      </w:r>
      <w:r w:rsidR="00386406" w:rsidRPr="002D6728">
        <w:t xml:space="preserve">Hence, the failure to address multiplicity does not alter the </w:t>
      </w:r>
      <w:r w:rsidR="00596091" w:rsidRPr="002D6728">
        <w:t>evaluator</w:t>
      </w:r>
      <w:r w:rsidR="00386406" w:rsidRPr="002D6728">
        <w:t>’s conclusions with regard to benefits.</w:t>
      </w:r>
    </w:p>
    <w:p w14:paraId="194FC546" w14:textId="6064F9E1" w:rsidR="00596091" w:rsidRPr="00596091" w:rsidRDefault="00596091" w:rsidP="00F84445">
      <w:pPr>
        <w:pStyle w:val="Heading5"/>
      </w:pPr>
      <w:r w:rsidRPr="00596091">
        <w:t xml:space="preserve">Question </w:t>
      </w:r>
      <w:r w:rsidR="00F84445">
        <w:t>5</w:t>
      </w:r>
    </w:p>
    <w:p w14:paraId="244FCF9F" w14:textId="77777777" w:rsidR="00386406" w:rsidRPr="00F84445" w:rsidRDefault="00386406" w:rsidP="00F84445">
      <w:pPr>
        <w:ind w:left="720"/>
        <w:rPr>
          <w:i/>
        </w:rPr>
      </w:pPr>
      <w:r w:rsidRPr="00F84445">
        <w:rPr>
          <w:i/>
        </w:rPr>
        <w:t xml:space="preserve">Can the </w:t>
      </w:r>
      <w:r w:rsidR="007504A5" w:rsidRPr="00F84445">
        <w:rPr>
          <w:i/>
        </w:rPr>
        <w:t>sponsor</w:t>
      </w:r>
      <w:r w:rsidRPr="00F84445">
        <w:rPr>
          <w:i/>
        </w:rPr>
        <w:t xml:space="preserve"> please provide summary tabulations for the results of the following analyses from Study D3250C00020 (ZONDA)</w:t>
      </w:r>
      <w:proofErr w:type="gramStart"/>
      <w:r w:rsidRPr="00F84445">
        <w:rPr>
          <w:i/>
        </w:rPr>
        <w:t>:</w:t>
      </w:r>
      <w:proofErr w:type="gramEnd"/>
    </w:p>
    <w:p w14:paraId="24DCBB4A" w14:textId="77777777" w:rsidR="00386406" w:rsidRPr="00F84445" w:rsidRDefault="00386406" w:rsidP="00F84445">
      <w:pPr>
        <w:pStyle w:val="ListBullet"/>
        <w:ind w:left="1080"/>
        <w:rPr>
          <w:i/>
        </w:rPr>
      </w:pPr>
      <w:r w:rsidRPr="00F84445">
        <w:rPr>
          <w:i/>
        </w:rPr>
        <w:t>The time to first exacerbation requiring hospitalisation</w:t>
      </w:r>
    </w:p>
    <w:p w14:paraId="4309C606" w14:textId="1CD32753" w:rsidR="00386406" w:rsidRPr="00F84445" w:rsidRDefault="00386406" w:rsidP="00F84445">
      <w:pPr>
        <w:pStyle w:val="ListBullet"/>
        <w:ind w:left="1080"/>
        <w:rPr>
          <w:i/>
        </w:rPr>
      </w:pPr>
      <w:r w:rsidRPr="00F84445">
        <w:rPr>
          <w:i/>
        </w:rPr>
        <w:t>Mean number of days with OCS taken for exacerbations</w:t>
      </w:r>
      <w:r w:rsidR="00F84445">
        <w:rPr>
          <w:i/>
        </w:rPr>
        <w:t>?</w:t>
      </w:r>
    </w:p>
    <w:p w14:paraId="68FE9A3C" w14:textId="77777777" w:rsidR="00596091" w:rsidRDefault="00386406" w:rsidP="00F84445">
      <w:pPr>
        <w:pStyle w:val="Heading6"/>
      </w:pPr>
      <w:r w:rsidRPr="00386406">
        <w:t>Sponsor’s response</w:t>
      </w:r>
    </w:p>
    <w:p w14:paraId="0A6FE9A2" w14:textId="3E3CFFC1" w:rsidR="00367960" w:rsidRDefault="00386406" w:rsidP="00386406">
      <w:r w:rsidRPr="00386406">
        <w:t xml:space="preserve">In </w:t>
      </w:r>
      <w:r w:rsidR="00F84445">
        <w:t xml:space="preserve">the </w:t>
      </w:r>
      <w:r w:rsidRPr="00386406">
        <w:t xml:space="preserve">ZONDA </w:t>
      </w:r>
      <w:r w:rsidR="00F84445">
        <w:t xml:space="preserve">trial </w:t>
      </w:r>
      <w:r w:rsidRPr="00386406">
        <w:t>there were few patients with exacerbations associated with hospitalisation: three in the Q4W group, one in the Q8W group and six in the placebo.</w:t>
      </w:r>
      <w:r w:rsidR="00F971ED">
        <w:t xml:space="preserve"> </w:t>
      </w:r>
      <w:r w:rsidRPr="00386406">
        <w:t xml:space="preserve">The </w:t>
      </w:r>
      <w:r w:rsidR="007504A5">
        <w:t>sponsor</w:t>
      </w:r>
      <w:r w:rsidRPr="00386406">
        <w:t xml:space="preserve"> has also provided a Kaplan-Meier plot for time to first exacerbation requiring hospitalisation </w:t>
      </w:r>
      <w:r w:rsidRPr="004D70B4">
        <w:t>(</w:t>
      </w:r>
      <w:hyperlink w:anchor="Figure_14_1" w:history="1">
        <w:r w:rsidRPr="004D70B4">
          <w:rPr>
            <w:rStyle w:val="Hyperlink"/>
            <w:color w:val="auto"/>
            <w:u w:val="none"/>
          </w:rPr>
          <w:t xml:space="preserve">Figure </w:t>
        </w:r>
        <w:r w:rsidR="004D70B4" w:rsidRPr="004D70B4">
          <w:rPr>
            <w:rStyle w:val="Hyperlink"/>
            <w:color w:val="auto"/>
            <w:u w:val="none"/>
          </w:rPr>
          <w:t>5</w:t>
        </w:r>
      </w:hyperlink>
      <w:r w:rsidRPr="004D70B4">
        <w:t>)</w:t>
      </w:r>
      <w:r w:rsidR="00367960" w:rsidRPr="004D70B4">
        <w:t>.</w:t>
      </w:r>
    </w:p>
    <w:p w14:paraId="0262ACAB" w14:textId="77777777" w:rsidR="00386406" w:rsidRDefault="00386406" w:rsidP="00386406">
      <w:r w:rsidRPr="00386406">
        <w:t>The mean (SD) number of days with asthma exacerbations was 13.789 (9.992) in the Q4W group, 17.588 (19.726) in the Q8W and 22.447 (22.915) in the placebo.</w:t>
      </w:r>
    </w:p>
    <w:p w14:paraId="1E86D42B" w14:textId="6B9854EB" w:rsidR="00A6084F" w:rsidRDefault="004D70B4" w:rsidP="00A6084F">
      <w:pPr>
        <w:pStyle w:val="FigureTitle"/>
      </w:pPr>
      <w:r>
        <w:lastRenderedPageBreak/>
        <w:t xml:space="preserve">Figure 5: </w:t>
      </w:r>
      <w:r w:rsidR="00A6084F" w:rsidRPr="004A28F0">
        <w:t xml:space="preserve">Time to first asthma exacerbation requiring </w:t>
      </w:r>
      <w:r w:rsidR="00F84445" w:rsidRPr="004A28F0">
        <w:t>hospitali</w:t>
      </w:r>
      <w:r w:rsidR="00F84445">
        <w:t>s</w:t>
      </w:r>
      <w:r w:rsidR="00F84445" w:rsidRPr="004A28F0">
        <w:t>ation</w:t>
      </w:r>
      <w:r w:rsidR="00A6084F" w:rsidRPr="004A28F0">
        <w:t>, Kaplan-Meier cumulative incidence c</w:t>
      </w:r>
      <w:r w:rsidR="00196E43">
        <w:t>urve (ZONDA</w:t>
      </w:r>
      <w:r w:rsidR="00F84445">
        <w:t xml:space="preserve"> trial</w:t>
      </w:r>
      <w:r w:rsidR="00196E43">
        <w:t xml:space="preserve">, </w:t>
      </w:r>
      <w:proofErr w:type="gramStart"/>
      <w:r w:rsidR="00196E43">
        <w:t>Full</w:t>
      </w:r>
      <w:proofErr w:type="gramEnd"/>
      <w:r w:rsidR="00196E43">
        <w:t xml:space="preserve"> analysis set)</w:t>
      </w:r>
    </w:p>
    <w:p w14:paraId="35864A5E" w14:textId="77777777" w:rsidR="00A6084F" w:rsidRPr="00A6084F" w:rsidRDefault="00A6084F" w:rsidP="00A6084F">
      <w:r w:rsidRPr="004A28F0">
        <w:rPr>
          <w:noProof/>
          <w:lang w:eastAsia="en-AU"/>
        </w:rPr>
        <w:drawing>
          <wp:inline distT="0" distB="0" distL="0" distR="0" wp14:anchorId="44BF8BF2" wp14:editId="0368920B">
            <wp:extent cx="5400040" cy="3483762"/>
            <wp:effectExtent l="0" t="0" r="0" b="2540"/>
            <wp:docPr id="161" name="Picture 161" descr="Figure 5: Time to first asthma exacerbation requiring hospitalization, Kaplan-Meier cumulative incidence curve (ZONDA,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483762"/>
                    </a:xfrm>
                    <a:prstGeom prst="rect">
                      <a:avLst/>
                    </a:prstGeom>
                    <a:noFill/>
                    <a:ln>
                      <a:noFill/>
                    </a:ln>
                  </pic:spPr>
                </pic:pic>
              </a:graphicData>
            </a:graphic>
          </wp:inline>
        </w:drawing>
      </w:r>
    </w:p>
    <w:p w14:paraId="7BDFD355" w14:textId="77777777" w:rsidR="00596091" w:rsidRDefault="00386406" w:rsidP="00F84445">
      <w:pPr>
        <w:pStyle w:val="Heading6"/>
      </w:pPr>
      <w:r w:rsidRPr="00386406">
        <w:t>Evaluator’s comments</w:t>
      </w:r>
    </w:p>
    <w:p w14:paraId="54BB6641" w14:textId="77777777" w:rsidR="00386406" w:rsidRPr="00386406" w:rsidRDefault="00386406" w:rsidP="00386406">
      <w:r w:rsidRPr="00386406">
        <w:t xml:space="preserve">The </w:t>
      </w:r>
      <w:r w:rsidR="007504A5">
        <w:t>sponsor</w:t>
      </w:r>
      <w:r w:rsidRPr="00386406">
        <w:t>’s response is satisfactory.</w:t>
      </w:r>
      <w:r w:rsidR="00F971ED">
        <w:t xml:space="preserve"> </w:t>
      </w:r>
      <w:proofErr w:type="gramStart"/>
      <w:r w:rsidRPr="00386406">
        <w:t>The additional data to not change the conclusions with regard to benefits.</w:t>
      </w:r>
      <w:proofErr w:type="gramEnd"/>
    </w:p>
    <w:p w14:paraId="344EA78D" w14:textId="40B0E51A" w:rsidR="00596091" w:rsidRPr="00596091" w:rsidRDefault="00596091" w:rsidP="00F84445">
      <w:pPr>
        <w:pStyle w:val="Heading5"/>
      </w:pPr>
      <w:r w:rsidRPr="00596091">
        <w:t xml:space="preserve">Question </w:t>
      </w:r>
      <w:r w:rsidR="00F84445">
        <w:t>6</w:t>
      </w:r>
    </w:p>
    <w:p w14:paraId="487EA131" w14:textId="5D51DDC7" w:rsidR="00386406" w:rsidRPr="00F84445" w:rsidRDefault="00386406" w:rsidP="00F84445">
      <w:pPr>
        <w:ind w:left="720"/>
        <w:rPr>
          <w:i/>
        </w:rPr>
      </w:pPr>
      <w:r w:rsidRPr="00F84445">
        <w:rPr>
          <w:i/>
        </w:rPr>
        <w:t xml:space="preserve">In the pivotal studies, how were </w:t>
      </w:r>
      <w:r w:rsidR="00F84445">
        <w:rPr>
          <w:i/>
        </w:rPr>
        <w:t>i</w:t>
      </w:r>
      <w:r w:rsidRPr="00F84445">
        <w:rPr>
          <w:i/>
        </w:rPr>
        <w:t>nvestigators prevented from unblinding patients using eosinophil counts?</w:t>
      </w:r>
    </w:p>
    <w:p w14:paraId="3CFAADE4" w14:textId="77777777" w:rsidR="00596091" w:rsidRDefault="00386406" w:rsidP="00F84445">
      <w:pPr>
        <w:pStyle w:val="Heading6"/>
      </w:pPr>
      <w:r w:rsidRPr="00386406">
        <w:t>Sponsor’s response</w:t>
      </w:r>
    </w:p>
    <w:p w14:paraId="77EDDC8A" w14:textId="77777777" w:rsidR="00386406" w:rsidRPr="00386406" w:rsidRDefault="00386406" w:rsidP="00386406">
      <w:r w:rsidRPr="00386406">
        <w:t xml:space="preserve">The </w:t>
      </w:r>
      <w:r w:rsidR="007504A5">
        <w:t>sponsor</w:t>
      </w:r>
      <w:r w:rsidRPr="00386406">
        <w:t xml:space="preserve"> states the following steps were taken to maintain blinding:</w:t>
      </w:r>
    </w:p>
    <w:p w14:paraId="7B329CBB" w14:textId="77777777" w:rsidR="00386406" w:rsidRPr="00386406" w:rsidRDefault="005236C7" w:rsidP="00386406">
      <w:r>
        <w:t>‘</w:t>
      </w:r>
      <w:r w:rsidR="00386406" w:rsidRPr="00386406">
        <w:t xml:space="preserve">Except for the Visit 1 screening eosinophil count (local laboratory), per protocol </w:t>
      </w:r>
      <w:r w:rsidR="00196E43" w:rsidRPr="00386406">
        <w:t>haematology</w:t>
      </w:r>
      <w:r w:rsidR="00386406" w:rsidRPr="00386406">
        <w:t xml:space="preserve"> was run by the central laboratory with eosinophil and basophil counts redacted from the laboratory report (other than the Visit 1 laboratory report). Because complete knowledge of the remaining cell types could have permitted deduction of the ‘eosinophil</w:t>
      </w:r>
      <w:r w:rsidR="00196E43">
        <w:t xml:space="preserve"> </w:t>
      </w:r>
      <w:r w:rsidR="00386406" w:rsidRPr="00386406">
        <w:t>+</w:t>
      </w:r>
      <w:r w:rsidR="00196E43">
        <w:t xml:space="preserve"> </w:t>
      </w:r>
      <w:r w:rsidR="00386406" w:rsidRPr="00386406">
        <w:t xml:space="preserve">basophil’ compartment, monocyte counts were also redacted from the report, and as such were not made available to the site or </w:t>
      </w:r>
      <w:r w:rsidR="007504A5">
        <w:t>sponsor</w:t>
      </w:r>
      <w:r w:rsidR="00386406" w:rsidRPr="00386406">
        <w:t>.</w:t>
      </w:r>
    </w:p>
    <w:p w14:paraId="5FB3A2D9" w14:textId="77777777" w:rsidR="00386406" w:rsidRPr="00386406" w:rsidRDefault="00386406" w:rsidP="00386406">
      <w:r w:rsidRPr="00386406">
        <w:t>If the Investigator ordered any local safety laboratory assessments, the requested tests were to be restricted to the ques</w:t>
      </w:r>
      <w:r w:rsidR="00196E43">
        <w:t xml:space="preserve">tion at hand. For example, if </w:t>
      </w:r>
      <w:r w:rsidRPr="00386406">
        <w:t>haemoglobin was desired, the Investigator was to avoid ordering a complete blood cell count with differential.</w:t>
      </w:r>
    </w:p>
    <w:p w14:paraId="097B54D9" w14:textId="77777777" w:rsidR="00386406" w:rsidRPr="00386406" w:rsidRDefault="00386406" w:rsidP="00386406">
      <w:r w:rsidRPr="00386406">
        <w:t>Handling of labs obtained during the treatment period but ordered outside of the clinical trial: Centre staff who were directly involved in the patient’s management were to remain blinded to any eosinophil, basophil, and monocyte results included as part of outside lab reports. To help ensure this, each investigational centre designated an individual (</w:t>
      </w:r>
      <w:r w:rsidR="00196E43">
        <w:t>for example</w:t>
      </w:r>
      <w:r w:rsidRPr="00386406">
        <w:t xml:space="preserve">, administrator or another ancillary person) not directly involved in patient management, to receive and blind any eosinophil, basophil, and monocyte results prior to the report being handed over to the centre staff involved in the patient’s management and prior to filing as a source document. Similarly, eosinophil and basophil results were redacted from all communications with the </w:t>
      </w:r>
      <w:r w:rsidR="007504A5">
        <w:t>sponsor</w:t>
      </w:r>
      <w:r w:rsidRPr="00386406">
        <w:t>.</w:t>
      </w:r>
    </w:p>
    <w:p w14:paraId="5B72BF87" w14:textId="77777777" w:rsidR="00386406" w:rsidRPr="00386406" w:rsidRDefault="00386406" w:rsidP="00386406">
      <w:r w:rsidRPr="00386406">
        <w:lastRenderedPageBreak/>
        <w:t>In cases where the Investigator required an eosinophil, basophil, or monocyte count for managing safety issues, he or she was allowed to order these tests, but AstraZeneca was to be notified of the reason, while remaining blind to the test results.</w:t>
      </w:r>
      <w:r w:rsidR="005236C7">
        <w:t>’</w:t>
      </w:r>
    </w:p>
    <w:p w14:paraId="5C2A8ECF" w14:textId="77777777" w:rsidR="00596091" w:rsidRDefault="00386406" w:rsidP="00F84445">
      <w:pPr>
        <w:pStyle w:val="Heading6"/>
      </w:pPr>
      <w:r w:rsidRPr="00386406">
        <w:t>Evaluator’s comments</w:t>
      </w:r>
    </w:p>
    <w:p w14:paraId="67B58333" w14:textId="77777777" w:rsidR="00386406" w:rsidRPr="00C55AE5" w:rsidRDefault="00386406" w:rsidP="00386406">
      <w:r w:rsidRPr="00C55AE5">
        <w:t xml:space="preserve">The </w:t>
      </w:r>
      <w:r w:rsidR="007504A5" w:rsidRPr="00C55AE5">
        <w:t>sponsor</w:t>
      </w:r>
      <w:r w:rsidRPr="00C55AE5">
        <w:t>’s response is satisfactory.</w:t>
      </w:r>
      <w:r w:rsidR="00F971ED" w:rsidRPr="00C55AE5">
        <w:t xml:space="preserve"> </w:t>
      </w:r>
      <w:r w:rsidRPr="00C55AE5">
        <w:t xml:space="preserve">The </w:t>
      </w:r>
      <w:r w:rsidR="00596091" w:rsidRPr="00C55AE5">
        <w:t>evaluator</w:t>
      </w:r>
      <w:r w:rsidRPr="00C55AE5">
        <w:t xml:space="preserve"> is satisfied that the </w:t>
      </w:r>
      <w:r w:rsidR="007504A5" w:rsidRPr="00C55AE5">
        <w:t>sponsor</w:t>
      </w:r>
      <w:r w:rsidRPr="00C55AE5">
        <w:t xml:space="preserve"> took all reasonable steps to avoid unintentionally breaking the blinding through eosinophil counts.</w:t>
      </w:r>
      <w:r w:rsidR="00F971ED" w:rsidRPr="00C55AE5">
        <w:t xml:space="preserve"> </w:t>
      </w:r>
      <w:r w:rsidRPr="00C55AE5">
        <w:t xml:space="preserve">However, the </w:t>
      </w:r>
      <w:r w:rsidR="00596091" w:rsidRPr="00C55AE5">
        <w:t>evaluator</w:t>
      </w:r>
      <w:r w:rsidRPr="00C55AE5">
        <w:t xml:space="preserve"> also notes that the blinding could have been broken intentionally by the patient or their medical practitioner by obtaining an eosinophil count outside of the study.</w:t>
      </w:r>
      <w:r w:rsidR="00F971ED" w:rsidRPr="00C55AE5">
        <w:t xml:space="preserve"> </w:t>
      </w:r>
      <w:r w:rsidRPr="00C55AE5">
        <w:t xml:space="preserve">The </w:t>
      </w:r>
      <w:r w:rsidR="00596091" w:rsidRPr="00C55AE5">
        <w:t>evaluator</w:t>
      </w:r>
      <w:r w:rsidRPr="00C55AE5">
        <w:t xml:space="preserve"> also notes that the participant flow data do not indicate an increased rate of dropout in the placebo groups.</w:t>
      </w:r>
      <w:r w:rsidR="00F971ED" w:rsidRPr="00C55AE5">
        <w:t xml:space="preserve"> </w:t>
      </w:r>
      <w:r w:rsidRPr="00C55AE5">
        <w:t>The evaluator concludes that unblinding was unlikely and does not appear to have affected the results.</w:t>
      </w:r>
    </w:p>
    <w:p w14:paraId="7F62428D" w14:textId="77777777" w:rsidR="00F84445" w:rsidRPr="00F84445" w:rsidRDefault="00596091" w:rsidP="00F84445">
      <w:pPr>
        <w:pStyle w:val="Heading4"/>
      </w:pPr>
      <w:r w:rsidRPr="00C55AE5">
        <w:t>Safety</w:t>
      </w:r>
    </w:p>
    <w:p w14:paraId="397719DD" w14:textId="6716F032" w:rsidR="00596091" w:rsidRPr="00596091" w:rsidRDefault="00596091" w:rsidP="00F84445">
      <w:pPr>
        <w:pStyle w:val="Heading5"/>
      </w:pPr>
      <w:r w:rsidRPr="00C55AE5">
        <w:t xml:space="preserve">Question </w:t>
      </w:r>
      <w:r w:rsidR="00F84445">
        <w:t>7</w:t>
      </w:r>
    </w:p>
    <w:p w14:paraId="29280110" w14:textId="77777777" w:rsidR="00386406" w:rsidRPr="00F84445" w:rsidRDefault="00386406" w:rsidP="00F84445">
      <w:pPr>
        <w:ind w:firstLine="720"/>
        <w:rPr>
          <w:i/>
        </w:rPr>
      </w:pPr>
      <w:r w:rsidRPr="00F84445">
        <w:rPr>
          <w:i/>
        </w:rPr>
        <w:t>How many patients have been exposed to benralizumab for one year or more?</w:t>
      </w:r>
    </w:p>
    <w:p w14:paraId="7EBD8B1D" w14:textId="77777777" w:rsidR="00596091" w:rsidRDefault="00386406" w:rsidP="00F84445">
      <w:pPr>
        <w:pStyle w:val="Heading6"/>
      </w:pPr>
      <w:r w:rsidRPr="00386406">
        <w:t>Sponsor’s response</w:t>
      </w:r>
    </w:p>
    <w:p w14:paraId="488EE29A" w14:textId="77777777" w:rsidR="00367960" w:rsidRDefault="00386406" w:rsidP="00386406">
      <w:r w:rsidRPr="00386406">
        <w:t xml:space="preserve">The </w:t>
      </w:r>
      <w:r w:rsidR="007504A5">
        <w:t>sponsor</w:t>
      </w:r>
      <w:r w:rsidRPr="00386406">
        <w:t xml:space="preserve"> has provided updated summary data on exposure to benralizumab.</w:t>
      </w:r>
      <w:r w:rsidR="00F971ED">
        <w:t xml:space="preserve"> </w:t>
      </w:r>
      <w:r w:rsidRPr="00386406">
        <w:t xml:space="preserve">There have been 709 patients exposed to benralizumab Q8W for </w:t>
      </w:r>
      <w:r w:rsidR="007504A5">
        <w:t xml:space="preserve">≥ </w:t>
      </w:r>
      <w:r w:rsidRPr="00386406">
        <w:t xml:space="preserve">52 weeks and 368 for </w:t>
      </w:r>
      <w:r w:rsidR="007504A5">
        <w:t xml:space="preserve">≥ </w:t>
      </w:r>
      <w:r w:rsidRPr="00386406">
        <w:t>104 weeks.</w:t>
      </w:r>
      <w:r w:rsidR="00F971ED">
        <w:t xml:space="preserve"> </w:t>
      </w:r>
      <w:r w:rsidRPr="00386406">
        <w:t xml:space="preserve">In addition, there have been 739 patients exposed to benralizumab Q4W for </w:t>
      </w:r>
      <w:r w:rsidR="007504A5">
        <w:t xml:space="preserve">≥ </w:t>
      </w:r>
      <w:r w:rsidRPr="00386406">
        <w:t xml:space="preserve">52 weeks and 363 for </w:t>
      </w:r>
      <w:r w:rsidR="007504A5">
        <w:t xml:space="preserve">≥ </w:t>
      </w:r>
      <w:r w:rsidRPr="00386406">
        <w:t>104 weeks (</w:t>
      </w:r>
      <w:hyperlink w:anchor="Table_14_1" w:history="1">
        <w:r w:rsidRPr="00196E43">
          <w:rPr>
            <w:rStyle w:val="Hyperlink"/>
            <w:color w:val="auto"/>
            <w:u w:val="none"/>
          </w:rPr>
          <w:t xml:space="preserve">Table </w:t>
        </w:r>
        <w:r w:rsidR="006A44F0">
          <w:rPr>
            <w:rStyle w:val="Hyperlink"/>
            <w:color w:val="auto"/>
            <w:u w:val="none"/>
          </w:rPr>
          <w:t>12</w:t>
        </w:r>
      </w:hyperlink>
      <w:r w:rsidRPr="00386406">
        <w:t>)</w:t>
      </w:r>
      <w:r w:rsidR="00367960">
        <w:t>.</w:t>
      </w:r>
    </w:p>
    <w:p w14:paraId="2C980C95" w14:textId="77777777" w:rsidR="00A6084F" w:rsidRPr="00FD2FC0" w:rsidRDefault="006A44F0" w:rsidP="00A6084F">
      <w:pPr>
        <w:pStyle w:val="TableTitle"/>
      </w:pPr>
      <w:r>
        <w:t xml:space="preserve">Table 12: </w:t>
      </w:r>
      <w:r w:rsidR="00A6084F" w:rsidRPr="00FD2FC0">
        <w:t>Duration of exposure to active benralizumab by treatment arm in the predeces</w:t>
      </w:r>
      <w:r w:rsidR="00196E43">
        <w:t>sor study (Safety analysis set)</w:t>
      </w:r>
    </w:p>
    <w:p w14:paraId="6027736A" w14:textId="77777777" w:rsidR="00A6084F" w:rsidRPr="00386406" w:rsidRDefault="00A6084F" w:rsidP="00386406">
      <w:r w:rsidRPr="00FD2FC0">
        <w:rPr>
          <w:noProof/>
          <w:lang w:eastAsia="en-AU"/>
        </w:rPr>
        <w:drawing>
          <wp:inline distT="0" distB="0" distL="0" distR="0" wp14:anchorId="5DB75C47" wp14:editId="5E5BF70B">
            <wp:extent cx="5400040" cy="2608717"/>
            <wp:effectExtent l="0" t="0" r="0" b="1270"/>
            <wp:docPr id="162" name="Picture 162" descr="Table 12: Duration of exposure to active benralizumab by treatment arm in the predecessor stud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0" y="0"/>
                      <a:ext cx="5400040" cy="2608717"/>
                    </a:xfrm>
                    <a:prstGeom prst="rect">
                      <a:avLst/>
                    </a:prstGeom>
                    <a:noFill/>
                    <a:ln>
                      <a:noFill/>
                    </a:ln>
                  </pic:spPr>
                </pic:pic>
              </a:graphicData>
            </a:graphic>
          </wp:inline>
        </w:drawing>
      </w:r>
    </w:p>
    <w:p w14:paraId="648387B1" w14:textId="77777777" w:rsidR="00596091" w:rsidRDefault="00386406" w:rsidP="00F84445">
      <w:pPr>
        <w:pStyle w:val="Heading6"/>
      </w:pPr>
      <w:r w:rsidRPr="00386406">
        <w:t>Evaluator’s comments</w:t>
      </w:r>
    </w:p>
    <w:p w14:paraId="24F97781" w14:textId="77777777" w:rsidR="00386406" w:rsidRPr="00386406" w:rsidRDefault="00386406" w:rsidP="00386406">
      <w:r w:rsidRPr="00386406">
        <w:t xml:space="preserve">The </w:t>
      </w:r>
      <w:r w:rsidR="007504A5">
        <w:t>sponsor</w:t>
      </w:r>
      <w:r w:rsidRPr="00386406">
        <w:t>’s response is satisfactory.</w:t>
      </w:r>
      <w:r w:rsidR="00F971ED">
        <w:t xml:space="preserve"> </w:t>
      </w:r>
      <w:r w:rsidRPr="00386406">
        <w:t>There have been sufficient numbers of patients exposed to benralizumab to satisfy the usual regulatory requirement for long</w:t>
      </w:r>
      <w:r w:rsidR="00F971ED">
        <w:t xml:space="preserve"> t</w:t>
      </w:r>
      <w:r w:rsidRPr="00386406">
        <w:t>erm safety.</w:t>
      </w:r>
      <w:r w:rsidR="00F971ED">
        <w:t xml:space="preserve"> </w:t>
      </w:r>
      <w:r w:rsidRPr="00C55AE5">
        <w:t xml:space="preserve">However, in the opinion of the </w:t>
      </w:r>
      <w:r w:rsidR="00596091" w:rsidRPr="00C55AE5">
        <w:t>evaluator</w:t>
      </w:r>
      <w:r w:rsidRPr="00C55AE5">
        <w:t>, the issue of malignancy requires special consideration.</w:t>
      </w:r>
    </w:p>
    <w:p w14:paraId="116A606A" w14:textId="6EA076B1" w:rsidR="00596091" w:rsidRPr="00596091" w:rsidRDefault="00596091" w:rsidP="00F84445">
      <w:pPr>
        <w:pStyle w:val="Heading5"/>
      </w:pPr>
      <w:r w:rsidRPr="00596091">
        <w:t xml:space="preserve">Question </w:t>
      </w:r>
      <w:r w:rsidR="00F84445">
        <w:t>8</w:t>
      </w:r>
    </w:p>
    <w:p w14:paraId="3901801A" w14:textId="77777777" w:rsidR="00386406" w:rsidRPr="00596091" w:rsidRDefault="00386406" w:rsidP="00596091">
      <w:pPr>
        <w:rPr>
          <w:b/>
          <w:i/>
        </w:rPr>
      </w:pPr>
      <w:r w:rsidRPr="00596091">
        <w:rPr>
          <w:b/>
          <w:i/>
        </w:rPr>
        <w:t xml:space="preserve">Does the </w:t>
      </w:r>
      <w:r w:rsidR="007504A5" w:rsidRPr="00596091">
        <w:rPr>
          <w:b/>
          <w:i/>
        </w:rPr>
        <w:t>sponsor</w:t>
      </w:r>
      <w:r w:rsidRPr="00596091">
        <w:rPr>
          <w:b/>
          <w:i/>
        </w:rPr>
        <w:t xml:space="preserve"> have long</w:t>
      </w:r>
      <w:r w:rsidR="00F971ED" w:rsidRPr="00596091">
        <w:rPr>
          <w:b/>
          <w:i/>
        </w:rPr>
        <w:t xml:space="preserve"> t</w:t>
      </w:r>
      <w:r w:rsidRPr="00596091">
        <w:rPr>
          <w:b/>
          <w:i/>
        </w:rPr>
        <w:t>erm safety data that address the risks of malignancy and/or mortality?</w:t>
      </w:r>
    </w:p>
    <w:p w14:paraId="099C24C3" w14:textId="77777777" w:rsidR="00596091" w:rsidRDefault="00386406" w:rsidP="00F84445">
      <w:pPr>
        <w:pStyle w:val="Heading6"/>
      </w:pPr>
      <w:r w:rsidRPr="00386406">
        <w:lastRenderedPageBreak/>
        <w:t>Sponsor’s response</w:t>
      </w:r>
    </w:p>
    <w:p w14:paraId="463B12F9" w14:textId="61834DE6" w:rsidR="00386406" w:rsidRPr="00386406" w:rsidRDefault="00386406" w:rsidP="00386406">
      <w:r w:rsidRPr="00386406">
        <w:t xml:space="preserve">The </w:t>
      </w:r>
      <w:r w:rsidR="007504A5">
        <w:t>sponsor</w:t>
      </w:r>
      <w:r w:rsidRPr="00386406">
        <w:t xml:space="preserve"> considers that the usual definition of long</w:t>
      </w:r>
      <w:r w:rsidR="00F971ED">
        <w:t xml:space="preserve"> t</w:t>
      </w:r>
      <w:r w:rsidRPr="00386406">
        <w:t xml:space="preserve">erm safety should apply, which is exposure </w:t>
      </w:r>
      <w:r w:rsidR="007504A5">
        <w:t xml:space="preserve">≥ </w:t>
      </w:r>
      <w:r w:rsidRPr="00386406">
        <w:t>52 weeks.</w:t>
      </w:r>
      <w:r w:rsidR="00F971ED">
        <w:t xml:space="preserve"> </w:t>
      </w:r>
      <w:r w:rsidRPr="00386406">
        <w:t xml:space="preserve">The </w:t>
      </w:r>
      <w:r w:rsidR="007504A5">
        <w:t>sponsor</w:t>
      </w:r>
      <w:r w:rsidRPr="00386406">
        <w:t xml:space="preserve"> states that an additional case of prostatic cancer was disclosed during the long</w:t>
      </w:r>
      <w:r w:rsidR="00F971ED">
        <w:t xml:space="preserve"> t</w:t>
      </w:r>
      <w:r w:rsidRPr="00386406">
        <w:t xml:space="preserve">erm </w:t>
      </w:r>
      <w:r w:rsidR="008D28C4" w:rsidRPr="00386406">
        <w:t>extension BORA</w:t>
      </w:r>
      <w:r w:rsidR="00F84445">
        <w:t xml:space="preserve"> trial</w:t>
      </w:r>
      <w:r w:rsidR="00196E43" w:rsidRPr="00386406">
        <w:t xml:space="preserve"> that</w:t>
      </w:r>
      <w:r w:rsidRPr="00386406">
        <w:t xml:space="preserve"> was considered to have originated during placebo treatment in CALIMA.</w:t>
      </w:r>
      <w:r w:rsidR="00F971ED">
        <w:t xml:space="preserve"> </w:t>
      </w:r>
      <w:r w:rsidRPr="00386406">
        <w:t>This additional case would adjust the numbers (proportions) of patients with malignancy to four (0.24%) with benralizumab and two (0.24%) with placebo.</w:t>
      </w:r>
    </w:p>
    <w:p w14:paraId="6353B4E5" w14:textId="77777777" w:rsidR="00386406" w:rsidRPr="00386406" w:rsidRDefault="00386406" w:rsidP="00386406">
      <w:r w:rsidRPr="00386406">
        <w:t xml:space="preserve">The narrative for this case in the CALIMA CSR Addendum states: </w:t>
      </w:r>
      <w:r w:rsidR="005236C7">
        <w:t>‘</w:t>
      </w:r>
      <w:r w:rsidRPr="00386406">
        <w:t>The prostatic cancer was confirmed in the patient’s medical recor</w:t>
      </w:r>
      <w:r w:rsidR="00196E43">
        <w:t xml:space="preserve">d from </w:t>
      </w:r>
      <w:proofErr w:type="gramStart"/>
      <w:r w:rsidR="00196E43">
        <w:t>a</w:t>
      </w:r>
      <w:proofErr w:type="gramEnd"/>
      <w:r w:rsidR="00196E43">
        <w:t xml:space="preserve"> urologist’s report on 7 April </w:t>
      </w:r>
      <w:r w:rsidRPr="00386406">
        <w:t>2015. The pathological report indicated that the Gleason score w</w:t>
      </w:r>
      <w:r w:rsidR="00196E43">
        <w:t>as 3+3, with 2 mm cancer of 147 </w:t>
      </w:r>
      <w:r w:rsidRPr="00386406">
        <w:t xml:space="preserve">mm biopsy and palpable </w:t>
      </w:r>
      <w:r w:rsidR="00196E43" w:rsidRPr="00386406">
        <w:t>tumour</w:t>
      </w:r>
      <w:r w:rsidRPr="00386406">
        <w:t xml:space="preserve"> of stage T1C. The patient is being followed with active surveillance of PSA value every 3 months.</w:t>
      </w:r>
      <w:r w:rsidR="00F971ED">
        <w:t xml:space="preserve"> </w:t>
      </w:r>
      <w:r w:rsidRPr="00386406">
        <w:t>The patient’s PSA va</w:t>
      </w:r>
      <w:r w:rsidR="008A4A1D">
        <w:t xml:space="preserve">lue in March 2015 was </w:t>
      </w:r>
      <w:proofErr w:type="gramStart"/>
      <w:r w:rsidR="008A4A1D">
        <w:t>7.7 ng/mL</w:t>
      </w:r>
      <w:proofErr w:type="gramEnd"/>
      <w:r w:rsidR="008A4A1D">
        <w:t xml:space="preserve"> and 9 ng/mL</w:t>
      </w:r>
      <w:r w:rsidRPr="00386406">
        <w:t xml:space="preserve"> in August 2016.</w:t>
      </w:r>
      <w:r w:rsidR="005236C7">
        <w:t>’</w:t>
      </w:r>
    </w:p>
    <w:p w14:paraId="1D4F9840" w14:textId="77777777" w:rsidR="00386406" w:rsidRPr="00386406" w:rsidRDefault="00386406" w:rsidP="00386406">
      <w:r w:rsidRPr="00386406">
        <w:t xml:space="preserve">The </w:t>
      </w:r>
      <w:r w:rsidR="007504A5">
        <w:t>sponsor</w:t>
      </w:r>
      <w:r w:rsidRPr="00386406">
        <w:t xml:space="preserve"> is currently exploring how to monitor the risk of malignancy in post-marketing studies, in consultation with the EU Pharmacovigilance Risk Assessment Committee (PRAC).</w:t>
      </w:r>
    </w:p>
    <w:p w14:paraId="119087AD" w14:textId="77777777" w:rsidR="00386406" w:rsidRPr="00386406" w:rsidRDefault="00386406" w:rsidP="00386406">
      <w:r w:rsidRPr="00386406">
        <w:t xml:space="preserve">The </w:t>
      </w:r>
      <w:r w:rsidR="007504A5">
        <w:t>sponsor</w:t>
      </w:r>
      <w:r w:rsidRPr="00386406">
        <w:t xml:space="preserve"> also states: </w:t>
      </w:r>
      <w:r w:rsidR="005236C7">
        <w:t>‘</w:t>
      </w:r>
      <w:r w:rsidRPr="00386406">
        <w:t xml:space="preserve">The </w:t>
      </w:r>
      <w:r w:rsidR="007504A5">
        <w:t>sponsor</w:t>
      </w:r>
      <w:r w:rsidRPr="00386406">
        <w:t xml:space="preserve"> considers malignancy as an Important Potential Risk and will continue to review and monitor the data from the ongoing studies BORA and MELTEMI and from routine pharmacovigilance. The </w:t>
      </w:r>
      <w:r w:rsidR="007504A5">
        <w:t>sponsor</w:t>
      </w:r>
      <w:r w:rsidRPr="00386406">
        <w:t xml:space="preserve"> is committed to developing a post-authorisation measure to further characterise the risk of malignancy.</w:t>
      </w:r>
      <w:r w:rsidR="005236C7">
        <w:t>’</w:t>
      </w:r>
    </w:p>
    <w:p w14:paraId="70B1A2B4" w14:textId="77777777" w:rsidR="00386406" w:rsidRPr="00386406" w:rsidRDefault="00386406" w:rsidP="00386406">
      <w:r w:rsidRPr="00386406">
        <w:t>In addition to the 14 deaths already noted in the development program there are an additional six deaths recorded during BORA.</w:t>
      </w:r>
      <w:r w:rsidR="00F971ED">
        <w:t xml:space="preserve"> </w:t>
      </w:r>
      <w:r w:rsidRPr="00386406">
        <w:t>The pattern of deaths does not indicate any new issues with benralizumab.</w:t>
      </w:r>
    </w:p>
    <w:p w14:paraId="69BBCFB2" w14:textId="77777777" w:rsidR="00596091" w:rsidRDefault="00386406" w:rsidP="00F84445">
      <w:pPr>
        <w:pStyle w:val="Heading6"/>
      </w:pPr>
      <w:r w:rsidRPr="00386406">
        <w:t>Evaluator’s comments</w:t>
      </w:r>
    </w:p>
    <w:p w14:paraId="651BC6B0" w14:textId="77777777" w:rsidR="00367960" w:rsidRDefault="00386406" w:rsidP="00386406">
      <w:r w:rsidRPr="00386406">
        <w:t xml:space="preserve">The </w:t>
      </w:r>
      <w:r w:rsidR="007504A5">
        <w:t>sponsor</w:t>
      </w:r>
      <w:r w:rsidRPr="00386406">
        <w:t>’s response with regard to malignancy is satisfactory.</w:t>
      </w:r>
      <w:r w:rsidR="00F971ED">
        <w:t xml:space="preserve"> </w:t>
      </w:r>
      <w:r w:rsidRPr="00386406">
        <w:t>The additional case of prostatic cancer was reported during the long</w:t>
      </w:r>
      <w:r w:rsidR="00F971ED">
        <w:t xml:space="preserve"> t</w:t>
      </w:r>
      <w:r w:rsidRPr="00386406">
        <w:t xml:space="preserve">erm extension study BORA, and after the patient had been exposed to benralizumab, but the </w:t>
      </w:r>
      <w:r w:rsidR="007504A5">
        <w:t>sponsor</w:t>
      </w:r>
      <w:r w:rsidRPr="00386406">
        <w:t xml:space="preserve"> has provided a patient summary for this case.</w:t>
      </w:r>
      <w:r w:rsidR="00F971ED">
        <w:t xml:space="preserve"> </w:t>
      </w:r>
      <w:r w:rsidRPr="00386406">
        <w:t>This patient summary states there is documentation that the prostatic cancer was diagnosed during CALIMA</w:t>
      </w:r>
      <w:r w:rsidR="00367960">
        <w:t>.</w:t>
      </w:r>
    </w:p>
    <w:p w14:paraId="75A244C5" w14:textId="78CC221D" w:rsidR="00386406" w:rsidRPr="00C55AE5" w:rsidRDefault="00386406" w:rsidP="00386406">
      <w:r w:rsidRPr="00C55AE5">
        <w:t xml:space="preserve">With regard mortality, the </w:t>
      </w:r>
      <w:r w:rsidR="00596091" w:rsidRPr="00C55AE5">
        <w:t>evaluator</w:t>
      </w:r>
      <w:r w:rsidRPr="00C55AE5">
        <w:t>’s comments are unchanged.</w:t>
      </w:r>
      <w:r w:rsidR="00F971ED" w:rsidRPr="00C55AE5">
        <w:t xml:space="preserve"> </w:t>
      </w:r>
      <w:r w:rsidRPr="00C55AE5">
        <w:t xml:space="preserve">In the pivotal studies, there </w:t>
      </w:r>
      <w:proofErr w:type="gramStart"/>
      <w:r w:rsidRPr="00C55AE5">
        <w:t>was</w:t>
      </w:r>
      <w:proofErr w:type="gramEnd"/>
      <w:r w:rsidRPr="00C55AE5">
        <w:t xml:space="preserve"> </w:t>
      </w:r>
      <w:r w:rsidR="000E01A3">
        <w:t xml:space="preserve">a </w:t>
      </w:r>
      <w:r w:rsidR="008310BB">
        <w:t>greater number</w:t>
      </w:r>
      <w:r w:rsidRPr="00C55AE5">
        <w:t xml:space="preserve"> of deaths in the benralizumab groups compared with placebo: five with Q4W, six with Q8W and three with placebo.</w:t>
      </w:r>
      <w:r w:rsidR="00F971ED" w:rsidRPr="00C55AE5">
        <w:t xml:space="preserve"> </w:t>
      </w:r>
      <w:r w:rsidRPr="00C55AE5">
        <w:t>Two of the deaths in the Q8W group were from causes that are of interest with benralizumab: colon carcinoma and pneumonia.</w:t>
      </w:r>
      <w:r w:rsidR="00F971ED" w:rsidRPr="00C55AE5">
        <w:t xml:space="preserve"> </w:t>
      </w:r>
      <w:r w:rsidRPr="00C55AE5">
        <w:t>There was one death in Study D3250C00032 in the Q4W group due to pancytopenia.</w:t>
      </w:r>
      <w:r w:rsidR="00F971ED" w:rsidRPr="00C55AE5">
        <w:t xml:space="preserve"> </w:t>
      </w:r>
      <w:r w:rsidRPr="00C55AE5">
        <w:t>This was attributed to amiodarone rather than benralizumab.</w:t>
      </w:r>
      <w:r w:rsidR="00F971ED" w:rsidRPr="00C55AE5">
        <w:t xml:space="preserve"> </w:t>
      </w:r>
      <w:r w:rsidRPr="00C55AE5">
        <w:t>Aplastic anaemia is a listed adverse drug reaction for amiodarone, but would also be of interest with benralizumab.</w:t>
      </w:r>
    </w:p>
    <w:p w14:paraId="6D353CEA" w14:textId="24A1009A" w:rsidR="00596091" w:rsidRPr="00C55AE5" w:rsidRDefault="00386406" w:rsidP="00F84445">
      <w:pPr>
        <w:pStyle w:val="Heading5"/>
      </w:pPr>
      <w:r w:rsidRPr="00C55AE5">
        <w:t>Question</w:t>
      </w:r>
      <w:r w:rsidR="00E76BE9" w:rsidRPr="00C55AE5">
        <w:t xml:space="preserve"> </w:t>
      </w:r>
      <w:r w:rsidR="00F84445">
        <w:t>9</w:t>
      </w:r>
    </w:p>
    <w:p w14:paraId="2E6EC6E2" w14:textId="77777777" w:rsidR="00386406" w:rsidRPr="00F84445" w:rsidRDefault="00386406" w:rsidP="00F84445">
      <w:pPr>
        <w:ind w:left="720"/>
        <w:rPr>
          <w:i/>
        </w:rPr>
      </w:pPr>
      <w:r w:rsidRPr="00F84445">
        <w:rPr>
          <w:i/>
        </w:rPr>
        <w:t>Study D3250C00029 demonstrated that the APFS can be used by patients and carers.</w:t>
      </w:r>
      <w:r w:rsidR="00F971ED" w:rsidRPr="00F84445">
        <w:rPr>
          <w:i/>
        </w:rPr>
        <w:t xml:space="preserve"> </w:t>
      </w:r>
      <w:r w:rsidRPr="00F84445">
        <w:rPr>
          <w:i/>
        </w:rPr>
        <w:t>Why does the dosing and administration section of th</w:t>
      </w:r>
      <w:r w:rsidR="00196E43" w:rsidRPr="00F84445">
        <w:rPr>
          <w:i/>
        </w:rPr>
        <w:t>e PI state that benralizumab 30 </w:t>
      </w:r>
      <w:r w:rsidRPr="00F84445">
        <w:rPr>
          <w:i/>
        </w:rPr>
        <w:t>mg in 1 mL solution for injection prefilled syringe should be administered by a health professional?</w:t>
      </w:r>
    </w:p>
    <w:p w14:paraId="6AD098E7" w14:textId="77777777" w:rsidR="00596091" w:rsidRPr="00C55AE5" w:rsidRDefault="00386406" w:rsidP="00F84445">
      <w:pPr>
        <w:pStyle w:val="Heading6"/>
      </w:pPr>
      <w:r w:rsidRPr="00C55AE5">
        <w:t>Sponsor’s response</w:t>
      </w:r>
    </w:p>
    <w:p w14:paraId="5F86B6B9" w14:textId="576CAF2C" w:rsidR="00386406" w:rsidRPr="00386406" w:rsidRDefault="00386406" w:rsidP="00386406">
      <w:r w:rsidRPr="00C55AE5">
        <w:t xml:space="preserve">The </w:t>
      </w:r>
      <w:r w:rsidR="007504A5" w:rsidRPr="00C55AE5">
        <w:t>sponsor</w:t>
      </w:r>
      <w:r w:rsidRPr="00C55AE5">
        <w:t xml:space="preserve"> states </w:t>
      </w:r>
      <w:r w:rsidR="005236C7" w:rsidRPr="00C55AE5">
        <w:t>‘</w:t>
      </w:r>
      <w:r w:rsidRPr="00C55AE5">
        <w:t xml:space="preserve">While </w:t>
      </w:r>
      <w:r w:rsidR="00F84445">
        <w:t>[the sponsor]</w:t>
      </w:r>
      <w:r w:rsidR="00F84445" w:rsidRPr="00C55AE5">
        <w:t xml:space="preserve"> </w:t>
      </w:r>
      <w:r w:rsidRPr="00C55AE5">
        <w:t xml:space="preserve">has not had direct interaction with any Health Authority on this topic, it is considered that regulatory expectations regarding the kinds of data necessary to support self-administration tend to vary from region to region. </w:t>
      </w:r>
      <w:r w:rsidR="00F84445">
        <w:t>[The sponsor]</w:t>
      </w:r>
      <w:r w:rsidR="00F84445" w:rsidRPr="00C55AE5">
        <w:t xml:space="preserve"> </w:t>
      </w:r>
      <w:r w:rsidRPr="00C55AE5">
        <w:t xml:space="preserve">anticipates being able to respond to these global expectations comprehensively in the near future, but at this time </w:t>
      </w:r>
      <w:r w:rsidR="00F84445">
        <w:t>[the sponsor]</w:t>
      </w:r>
      <w:r w:rsidR="00F84445" w:rsidRPr="00C55AE5">
        <w:t xml:space="preserve"> </w:t>
      </w:r>
      <w:r w:rsidRPr="00C55AE5">
        <w:t>is not seeking a labelled indication for benralizumab to be self-administered by patients or administered by carers.</w:t>
      </w:r>
      <w:r w:rsidR="005236C7" w:rsidRPr="00C55AE5">
        <w:t>’</w:t>
      </w:r>
    </w:p>
    <w:p w14:paraId="4E1CCB1F" w14:textId="77777777" w:rsidR="00596091" w:rsidRDefault="00386406" w:rsidP="00F84445">
      <w:pPr>
        <w:pStyle w:val="Heading6"/>
      </w:pPr>
      <w:r w:rsidRPr="00386406">
        <w:lastRenderedPageBreak/>
        <w:t>Evaluator’s comment</w:t>
      </w:r>
    </w:p>
    <w:p w14:paraId="41A93E07" w14:textId="77777777" w:rsidR="006136D7" w:rsidRPr="00605AD4" w:rsidRDefault="00386406" w:rsidP="006136D7">
      <w:r w:rsidRPr="00386406">
        <w:t xml:space="preserve">The </w:t>
      </w:r>
      <w:r w:rsidR="007504A5">
        <w:t>sponsor</w:t>
      </w:r>
      <w:r w:rsidRPr="00386406">
        <w:t>’s response is satisfactory.</w:t>
      </w:r>
    </w:p>
    <w:p w14:paraId="14BD5D40" w14:textId="02F53C96" w:rsidR="00605AD4" w:rsidRPr="00605AD4" w:rsidRDefault="00605AD4" w:rsidP="00546154">
      <w:pPr>
        <w:pStyle w:val="Heading3"/>
        <w:rPr>
          <w:rFonts w:eastAsia="Cambria"/>
        </w:rPr>
      </w:pPr>
      <w:bookmarkStart w:id="190" w:name="_Toc1653597"/>
      <w:r w:rsidRPr="00605AD4">
        <w:rPr>
          <w:rFonts w:eastAsia="Cambria"/>
        </w:rPr>
        <w:t xml:space="preserve">Second </w:t>
      </w:r>
      <w:r w:rsidR="0039213E" w:rsidRPr="00605AD4">
        <w:rPr>
          <w:rFonts w:eastAsia="Cambria"/>
        </w:rPr>
        <w:t>round benefit-risk assessment</w:t>
      </w:r>
      <w:bookmarkEnd w:id="190"/>
    </w:p>
    <w:p w14:paraId="3FAF1766" w14:textId="77777777" w:rsidR="00F33FCE" w:rsidRDefault="00F33FCE" w:rsidP="00F33FCE">
      <w:pPr>
        <w:pStyle w:val="Heading4"/>
      </w:pPr>
      <w:bookmarkStart w:id="191" w:name="_Toc272414709"/>
      <w:bookmarkStart w:id="192" w:name="_Toc290888575"/>
      <w:bookmarkStart w:id="193" w:name="_Toc416353792"/>
      <w:bookmarkStart w:id="194" w:name="_Toc421005334"/>
      <w:bookmarkStart w:id="195" w:name="_Toc432079207"/>
      <w:bookmarkStart w:id="196" w:name="_Toc432080780"/>
      <w:bookmarkStart w:id="197" w:name="_Toc488077887"/>
      <w:r w:rsidRPr="00500C5C">
        <w:t>Second round assessment of benefits</w:t>
      </w:r>
      <w:bookmarkEnd w:id="191"/>
      <w:bookmarkEnd w:id="192"/>
      <w:bookmarkEnd w:id="193"/>
      <w:bookmarkEnd w:id="194"/>
      <w:bookmarkEnd w:id="195"/>
      <w:bookmarkEnd w:id="196"/>
      <w:bookmarkEnd w:id="197"/>
    </w:p>
    <w:p w14:paraId="50D9A952" w14:textId="76C63E8A" w:rsidR="00F84445" w:rsidRPr="00F84445" w:rsidRDefault="00F84445" w:rsidP="00F84445">
      <w:r>
        <w:t>Table 13 summarises the assessment of benefits of Fasenra benralizumab for the proposed indication, along with strengths and uncertainties of these benefits at the second round.</w:t>
      </w:r>
    </w:p>
    <w:p w14:paraId="3B2171E8" w14:textId="77777777" w:rsidR="00F33FCE" w:rsidRPr="00F33FCE" w:rsidRDefault="006A44F0" w:rsidP="00196E43">
      <w:pPr>
        <w:pStyle w:val="TableTitle"/>
      </w:pPr>
      <w:r>
        <w:t>Table 13:</w:t>
      </w:r>
      <w:r w:rsidR="00196E43" w:rsidRPr="00196E43">
        <w:t xml:space="preserve"> </w:t>
      </w:r>
      <w:r w:rsidR="00196E43" w:rsidRPr="00500C5C">
        <w:t>Second round assessment of benefits</w:t>
      </w:r>
    </w:p>
    <w:tbl>
      <w:tblPr>
        <w:tblStyle w:val="TableTGAblue"/>
        <w:tblW w:w="0" w:type="auto"/>
        <w:tblLook w:val="04A0" w:firstRow="1" w:lastRow="0" w:firstColumn="1" w:lastColumn="0" w:noHBand="0" w:noVBand="1"/>
      </w:tblPr>
      <w:tblGrid>
        <w:gridCol w:w="4418"/>
        <w:gridCol w:w="4194"/>
      </w:tblGrid>
      <w:tr w:rsidR="00F33FCE" w:rsidRPr="00C37A1D" w14:paraId="183C78A2" w14:textId="77777777" w:rsidTr="00F33FCE">
        <w:trPr>
          <w:cnfStyle w:val="100000000000" w:firstRow="1" w:lastRow="0" w:firstColumn="0" w:lastColumn="0" w:oddVBand="0" w:evenVBand="0" w:oddHBand="0" w:evenHBand="0" w:firstRowFirstColumn="0" w:firstRowLastColumn="0" w:lastRowFirstColumn="0" w:lastRowLastColumn="0"/>
        </w:trPr>
        <w:tc>
          <w:tcPr>
            <w:tcW w:w="4418" w:type="dxa"/>
          </w:tcPr>
          <w:p w14:paraId="0D1BA08F" w14:textId="77777777" w:rsidR="00F33FCE" w:rsidRPr="0013182D" w:rsidRDefault="00F33FCE" w:rsidP="00F33FCE">
            <w:pPr>
              <w:rPr>
                <w:rFonts w:asciiTheme="minorHAnsi" w:hAnsiTheme="minorHAnsi"/>
                <w:b w:val="0"/>
                <w:szCs w:val="22"/>
              </w:rPr>
            </w:pPr>
            <w:r w:rsidRPr="0013182D">
              <w:rPr>
                <w:rFonts w:asciiTheme="minorHAnsi" w:hAnsiTheme="minorHAnsi"/>
                <w:szCs w:val="22"/>
              </w:rPr>
              <w:t>Benefits</w:t>
            </w:r>
          </w:p>
        </w:tc>
        <w:tc>
          <w:tcPr>
            <w:tcW w:w="4194" w:type="dxa"/>
          </w:tcPr>
          <w:p w14:paraId="77EB482A" w14:textId="77777777" w:rsidR="00F33FCE" w:rsidRPr="0013182D" w:rsidRDefault="00F33FCE" w:rsidP="00F33FCE">
            <w:pPr>
              <w:rPr>
                <w:rFonts w:asciiTheme="minorHAnsi" w:hAnsiTheme="minorHAnsi"/>
                <w:b w:val="0"/>
                <w:szCs w:val="22"/>
              </w:rPr>
            </w:pPr>
            <w:r w:rsidRPr="0013182D">
              <w:rPr>
                <w:rFonts w:asciiTheme="minorHAnsi" w:hAnsiTheme="minorHAnsi"/>
                <w:szCs w:val="22"/>
              </w:rPr>
              <w:t>Strengths and Uncertainties</w:t>
            </w:r>
          </w:p>
        </w:tc>
      </w:tr>
      <w:tr w:rsidR="00F33FCE" w:rsidRPr="00C55AE5" w14:paraId="6700E218" w14:textId="77777777" w:rsidTr="00F33FCE">
        <w:tc>
          <w:tcPr>
            <w:tcW w:w="4418" w:type="dxa"/>
          </w:tcPr>
          <w:p w14:paraId="62EC9E9D" w14:textId="77777777" w:rsidR="00367960" w:rsidRPr="00C55AE5" w:rsidRDefault="00F33FCE" w:rsidP="00F33FCE">
            <w:pPr>
              <w:rPr>
                <w:lang w:eastAsia="ja-JP"/>
              </w:rPr>
            </w:pPr>
            <w:r w:rsidRPr="00C55AE5">
              <w:rPr>
                <w:lang w:eastAsia="ja-JP"/>
              </w:rPr>
              <w:t>Benralizumab 30 mg Q8W reduces the rate of exacerbations by 40%, improves FEV1 by 0.16 L and improves asthma symptoms in patients with severe asthma with frequent exacerbations</w:t>
            </w:r>
            <w:r w:rsidR="00367960" w:rsidRPr="00C55AE5">
              <w:rPr>
                <w:lang w:eastAsia="ja-JP"/>
              </w:rPr>
              <w:t>.</w:t>
            </w:r>
          </w:p>
          <w:p w14:paraId="2A8DDCFB" w14:textId="5334FCEC" w:rsidR="00367960" w:rsidRPr="00C55AE5" w:rsidRDefault="00F33FCE" w:rsidP="00F33FCE">
            <w:pPr>
              <w:rPr>
                <w:lang w:eastAsia="ja-JP"/>
              </w:rPr>
            </w:pPr>
            <w:r w:rsidRPr="00C55AE5">
              <w:rPr>
                <w:lang w:eastAsia="ja-JP"/>
              </w:rPr>
              <w:t xml:space="preserve">Improvement in asthma symptoms, as measured by asthma </w:t>
            </w:r>
            <w:r w:rsidR="008D28C4" w:rsidRPr="00C55AE5">
              <w:rPr>
                <w:lang w:eastAsia="ja-JP"/>
              </w:rPr>
              <w:t>scores</w:t>
            </w:r>
            <w:r w:rsidRPr="00C55AE5">
              <w:rPr>
                <w:lang w:eastAsia="ja-JP"/>
              </w:rPr>
              <w:t xml:space="preserve"> and improvement in quality of life measures was demonstrated for the Q8W regimen but not for the Q4W regimen</w:t>
            </w:r>
            <w:r w:rsidR="00367960" w:rsidRPr="00C55AE5">
              <w:rPr>
                <w:lang w:eastAsia="ja-JP"/>
              </w:rPr>
              <w:t>.</w:t>
            </w:r>
          </w:p>
          <w:p w14:paraId="1F634AE6" w14:textId="77777777" w:rsidR="00367960" w:rsidRPr="00C55AE5" w:rsidRDefault="00F33FCE" w:rsidP="00F33FCE">
            <w:r w:rsidRPr="00C55AE5">
              <w:t>Benralizumab 30 mg Q8W decreases the OCS dose in patients with severe asthma who are OCS dependent</w:t>
            </w:r>
            <w:r w:rsidR="00367960" w:rsidRPr="00C55AE5">
              <w:t>.</w:t>
            </w:r>
          </w:p>
          <w:p w14:paraId="3F3D187F" w14:textId="1B82040D" w:rsidR="00F33FCE" w:rsidRPr="00C55AE5" w:rsidRDefault="00F33FCE" w:rsidP="00F33FCE">
            <w:pPr>
              <w:rPr>
                <w:rFonts w:asciiTheme="minorHAnsi" w:hAnsiTheme="minorHAnsi" w:cstheme="minorHAnsi"/>
                <w:i/>
                <w:szCs w:val="22"/>
              </w:rPr>
            </w:pPr>
            <w:r w:rsidRPr="00C55AE5">
              <w:rPr>
                <w:lang w:eastAsia="ja-JP"/>
              </w:rPr>
              <w:t xml:space="preserve">The patient groups where efficacy has been demonstrated were patients with severe asthma who had </w:t>
            </w:r>
            <w:r w:rsidR="007504A5" w:rsidRPr="00C55AE5">
              <w:rPr>
                <w:lang w:eastAsia="ja-JP"/>
              </w:rPr>
              <w:t>≥</w:t>
            </w:r>
            <w:r w:rsidR="00F84445">
              <w:rPr>
                <w:lang w:eastAsia="ja-JP"/>
              </w:rPr>
              <w:t> </w:t>
            </w:r>
            <w:r w:rsidRPr="00C55AE5">
              <w:rPr>
                <w:lang w:eastAsia="ja-JP"/>
              </w:rPr>
              <w:t>2</w:t>
            </w:r>
            <w:r w:rsidR="00F84445">
              <w:rPr>
                <w:lang w:eastAsia="ja-JP"/>
              </w:rPr>
              <w:t> </w:t>
            </w:r>
            <w:r w:rsidRPr="00C55AE5">
              <w:rPr>
                <w:lang w:eastAsia="ja-JP"/>
              </w:rPr>
              <w:t>exacerbations per year and/or were OCS dependent.</w:t>
            </w:r>
          </w:p>
        </w:tc>
        <w:tc>
          <w:tcPr>
            <w:tcW w:w="4194" w:type="dxa"/>
          </w:tcPr>
          <w:p w14:paraId="25E189CB" w14:textId="77777777" w:rsidR="00F33FCE" w:rsidRPr="00C55AE5" w:rsidRDefault="00F33FCE" w:rsidP="00F33FC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The efficacy findings were demonstrated in appropriately conducted randomised controlled trials conducted over either 48 or 28 weeks.</w:t>
            </w:r>
          </w:p>
          <w:p w14:paraId="586FF96D" w14:textId="77777777" w:rsidR="00F33FCE" w:rsidRPr="00C55AE5" w:rsidRDefault="00F33FCE" w:rsidP="00F33FC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The improvements in FEV1 and asthma scores were of uncertain statistical and clinical significance.</w:t>
            </w:r>
            <w:r w:rsidR="00F971ED" w:rsidRPr="00C55AE5">
              <w:rPr>
                <w:rFonts w:asciiTheme="minorHAnsi" w:hAnsiTheme="minorHAnsi" w:cstheme="minorHAnsi"/>
                <w:szCs w:val="22"/>
              </w:rPr>
              <w:t xml:space="preserve"> </w:t>
            </w:r>
            <w:r w:rsidRPr="00C55AE5">
              <w:rPr>
                <w:rFonts w:asciiTheme="minorHAnsi" w:hAnsiTheme="minorHAnsi" w:cstheme="minorHAnsi"/>
                <w:szCs w:val="22"/>
              </w:rPr>
              <w:t>These improvements were 10% from baseline and were statistically significant using MMRM but not on confidence interval analysis.</w:t>
            </w:r>
          </w:p>
          <w:p w14:paraId="5AC0ABC7" w14:textId="77777777" w:rsidR="00F33FCE" w:rsidRPr="00C55AE5" w:rsidRDefault="00F33FCE" w:rsidP="00F33FC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Efficacy was not demonstrated for mild or moderate asthma.</w:t>
            </w:r>
          </w:p>
          <w:p w14:paraId="2C8AE1B0" w14:textId="1715E82C" w:rsidR="00F33FCE" w:rsidRPr="00C55AE5" w:rsidRDefault="00F33FCE" w:rsidP="00F33FC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Cs w:val="22"/>
              </w:rPr>
            </w:pPr>
            <w:r w:rsidRPr="00C55AE5">
              <w:rPr>
                <w:rFonts w:asciiTheme="minorHAnsi" w:hAnsiTheme="minorHAnsi" w:cstheme="minorHAnsi"/>
                <w:szCs w:val="22"/>
              </w:rPr>
              <w:t xml:space="preserve">The subgroup analysis suggested lack of efficacy in patients aged 12 to </w:t>
            </w:r>
            <w:r w:rsidR="007504A5" w:rsidRPr="00C55AE5">
              <w:rPr>
                <w:rFonts w:asciiTheme="minorHAnsi" w:hAnsiTheme="minorHAnsi" w:cstheme="minorHAnsi"/>
                <w:szCs w:val="22"/>
              </w:rPr>
              <w:t xml:space="preserve">&lt; </w:t>
            </w:r>
            <w:r w:rsidRPr="00C55AE5">
              <w:rPr>
                <w:rFonts w:asciiTheme="minorHAnsi" w:hAnsiTheme="minorHAnsi" w:cstheme="minorHAnsi"/>
                <w:szCs w:val="22"/>
              </w:rPr>
              <w:t xml:space="preserve">18 years and in </w:t>
            </w:r>
            <w:r w:rsidR="00AD0C54">
              <w:rPr>
                <w:rFonts w:asciiTheme="minorHAnsi" w:hAnsiTheme="minorHAnsi" w:cstheme="minorHAnsi"/>
                <w:szCs w:val="22"/>
              </w:rPr>
              <w:t>B</w:t>
            </w:r>
            <w:r w:rsidR="00FE7DC0">
              <w:rPr>
                <w:rFonts w:asciiTheme="minorHAnsi" w:hAnsiTheme="minorHAnsi" w:cstheme="minorHAnsi"/>
                <w:szCs w:val="22"/>
              </w:rPr>
              <w:t xml:space="preserve">lack or </w:t>
            </w:r>
            <w:r w:rsidRPr="00C55AE5">
              <w:rPr>
                <w:rFonts w:asciiTheme="minorHAnsi" w:hAnsiTheme="minorHAnsi" w:cstheme="minorHAnsi"/>
                <w:szCs w:val="22"/>
              </w:rPr>
              <w:t>African Americans.</w:t>
            </w:r>
          </w:p>
        </w:tc>
      </w:tr>
    </w:tbl>
    <w:p w14:paraId="0956104D" w14:textId="77777777" w:rsidR="00F33FCE" w:rsidRDefault="00F33FCE" w:rsidP="00F33FCE">
      <w:pPr>
        <w:pStyle w:val="Heading4"/>
      </w:pPr>
      <w:bookmarkStart w:id="198" w:name="_Toc272414710"/>
      <w:bookmarkStart w:id="199" w:name="_Toc290888576"/>
      <w:bookmarkStart w:id="200" w:name="_Toc416353793"/>
      <w:bookmarkStart w:id="201" w:name="_Toc421005335"/>
      <w:bookmarkStart w:id="202" w:name="_Toc432079208"/>
      <w:bookmarkStart w:id="203" w:name="_Toc432080781"/>
      <w:bookmarkStart w:id="204" w:name="_Toc488077888"/>
      <w:r w:rsidRPr="00C55AE5">
        <w:t>Second round assessment of risks</w:t>
      </w:r>
      <w:bookmarkEnd w:id="198"/>
      <w:bookmarkEnd w:id="199"/>
      <w:bookmarkEnd w:id="200"/>
      <w:bookmarkEnd w:id="201"/>
      <w:bookmarkEnd w:id="202"/>
      <w:bookmarkEnd w:id="203"/>
      <w:bookmarkEnd w:id="204"/>
    </w:p>
    <w:p w14:paraId="61C0387A" w14:textId="38B16FA5" w:rsidR="00F84445" w:rsidRPr="00F84445" w:rsidRDefault="00F84445" w:rsidP="00F84445">
      <w:r>
        <w:t>Table 14 summarises the assessment of risks of Fasenra benralizumab for the proposed indication, along with strengths and uncertainties of these benefits at the second round.</w:t>
      </w:r>
    </w:p>
    <w:p w14:paraId="45BC0D86" w14:textId="77777777" w:rsidR="00F33FCE" w:rsidRPr="00C55AE5" w:rsidRDefault="006A44F0" w:rsidP="00196E43">
      <w:pPr>
        <w:pStyle w:val="TableTitle"/>
      </w:pPr>
      <w:r w:rsidRPr="00C55AE5">
        <w:t>Table 14:</w:t>
      </w:r>
      <w:r w:rsidR="00196E43" w:rsidRPr="00C55AE5">
        <w:t xml:space="preserve"> Second round assessment of risks</w:t>
      </w:r>
    </w:p>
    <w:tbl>
      <w:tblPr>
        <w:tblStyle w:val="TableTGAblue"/>
        <w:tblW w:w="0" w:type="auto"/>
        <w:tblLook w:val="04A0" w:firstRow="1" w:lastRow="0" w:firstColumn="1" w:lastColumn="0" w:noHBand="0" w:noVBand="1"/>
      </w:tblPr>
      <w:tblGrid>
        <w:gridCol w:w="4362"/>
        <w:gridCol w:w="4358"/>
      </w:tblGrid>
      <w:tr w:rsidR="00F33FCE" w:rsidRPr="00C55AE5" w14:paraId="1A70A70D" w14:textId="77777777" w:rsidTr="00F33FCE">
        <w:trPr>
          <w:cnfStyle w:val="100000000000" w:firstRow="1" w:lastRow="0" w:firstColumn="0" w:lastColumn="0" w:oddVBand="0" w:evenVBand="0" w:oddHBand="0" w:evenHBand="0" w:firstRowFirstColumn="0" w:firstRowLastColumn="0" w:lastRowFirstColumn="0" w:lastRowLastColumn="0"/>
        </w:trPr>
        <w:tc>
          <w:tcPr>
            <w:tcW w:w="4395" w:type="dxa"/>
          </w:tcPr>
          <w:p w14:paraId="5A5FA652" w14:textId="77777777" w:rsidR="00F33FCE" w:rsidRPr="00C55AE5" w:rsidRDefault="00F33FCE" w:rsidP="00F33FCE">
            <w:pPr>
              <w:rPr>
                <w:rFonts w:asciiTheme="minorHAnsi" w:hAnsiTheme="minorHAnsi"/>
                <w:b w:val="0"/>
                <w:szCs w:val="22"/>
              </w:rPr>
            </w:pPr>
            <w:r w:rsidRPr="00C55AE5">
              <w:rPr>
                <w:rFonts w:asciiTheme="minorHAnsi" w:hAnsiTheme="minorHAnsi"/>
                <w:szCs w:val="22"/>
              </w:rPr>
              <w:t>Risks</w:t>
            </w:r>
          </w:p>
        </w:tc>
        <w:tc>
          <w:tcPr>
            <w:tcW w:w="4394" w:type="dxa"/>
          </w:tcPr>
          <w:p w14:paraId="227C6D0F" w14:textId="77777777" w:rsidR="00F33FCE" w:rsidRPr="00C55AE5" w:rsidRDefault="00F33FCE" w:rsidP="00F33FCE">
            <w:pPr>
              <w:rPr>
                <w:rFonts w:asciiTheme="minorHAnsi" w:hAnsiTheme="minorHAnsi"/>
                <w:b w:val="0"/>
                <w:szCs w:val="22"/>
              </w:rPr>
            </w:pPr>
            <w:r w:rsidRPr="00C55AE5">
              <w:rPr>
                <w:rFonts w:asciiTheme="minorHAnsi" w:hAnsiTheme="minorHAnsi"/>
                <w:szCs w:val="22"/>
              </w:rPr>
              <w:t>Strengths and Uncertainties</w:t>
            </w:r>
          </w:p>
        </w:tc>
      </w:tr>
      <w:tr w:rsidR="00F33FCE" w:rsidRPr="00C37A1D" w14:paraId="56A52861" w14:textId="77777777" w:rsidTr="00F33FCE">
        <w:tc>
          <w:tcPr>
            <w:tcW w:w="4395" w:type="dxa"/>
          </w:tcPr>
          <w:p w14:paraId="6EC565F3" w14:textId="77777777" w:rsidR="00367960" w:rsidRPr="00C55AE5" w:rsidRDefault="00F33FCE" w:rsidP="00F33FCE">
            <w:pPr>
              <w:rPr>
                <w:lang w:eastAsia="ja-JP"/>
              </w:rPr>
            </w:pPr>
            <w:r w:rsidRPr="00C55AE5">
              <w:rPr>
                <w:lang w:eastAsia="ja-JP"/>
              </w:rPr>
              <w:t>The overall rate and patterns of TEAEs were similar for benralizumab and for placebo.</w:t>
            </w:r>
            <w:r w:rsidR="00F971ED" w:rsidRPr="00C55AE5">
              <w:rPr>
                <w:lang w:eastAsia="ja-JP"/>
              </w:rPr>
              <w:t xml:space="preserve"> </w:t>
            </w:r>
            <w:r w:rsidRPr="00C55AE5">
              <w:rPr>
                <w:lang w:eastAsia="ja-JP"/>
              </w:rPr>
              <w:t>The commonest TEAEs were upper respiratory tract infections and these were not reported more frequently with benralizumab than placebo</w:t>
            </w:r>
            <w:r w:rsidR="00367960" w:rsidRPr="00C55AE5">
              <w:rPr>
                <w:lang w:eastAsia="ja-JP"/>
              </w:rPr>
              <w:t>.</w:t>
            </w:r>
          </w:p>
          <w:p w14:paraId="25E51F61" w14:textId="2E110854" w:rsidR="00F33FCE" w:rsidRPr="00C55AE5" w:rsidRDefault="00F33FCE" w:rsidP="00F33FCE">
            <w:pPr>
              <w:rPr>
                <w:lang w:eastAsia="ja-JP"/>
              </w:rPr>
            </w:pPr>
            <w:r w:rsidRPr="00C55AE5">
              <w:rPr>
                <w:lang w:eastAsia="ja-JP"/>
              </w:rPr>
              <w:t xml:space="preserve">In the pivotal studies there </w:t>
            </w:r>
            <w:proofErr w:type="gramStart"/>
            <w:r w:rsidRPr="00C55AE5">
              <w:rPr>
                <w:lang w:eastAsia="ja-JP"/>
              </w:rPr>
              <w:t>was</w:t>
            </w:r>
            <w:proofErr w:type="gramEnd"/>
            <w:r w:rsidRPr="00C55AE5">
              <w:rPr>
                <w:lang w:eastAsia="ja-JP"/>
              </w:rPr>
              <w:t xml:space="preserve"> </w:t>
            </w:r>
            <w:r w:rsidR="000E01A3">
              <w:rPr>
                <w:lang w:eastAsia="ja-JP"/>
              </w:rPr>
              <w:t xml:space="preserve">a </w:t>
            </w:r>
            <w:r w:rsidR="008310BB">
              <w:rPr>
                <w:lang w:eastAsia="ja-JP"/>
              </w:rPr>
              <w:t>greater number</w:t>
            </w:r>
            <w:r w:rsidRPr="00C55AE5">
              <w:rPr>
                <w:lang w:eastAsia="ja-JP"/>
              </w:rPr>
              <w:t xml:space="preserve"> of deaths in the </w:t>
            </w:r>
            <w:r w:rsidRPr="00C55AE5">
              <w:rPr>
                <w:lang w:eastAsia="ja-JP"/>
              </w:rPr>
              <w:lastRenderedPageBreak/>
              <w:t>benralizumab groups compared with placebo.</w:t>
            </w:r>
          </w:p>
          <w:p w14:paraId="61F188B4" w14:textId="77777777" w:rsidR="00F33FCE" w:rsidRPr="00C55AE5" w:rsidRDefault="00F33FCE" w:rsidP="00F33FCE">
            <w:pPr>
              <w:rPr>
                <w:lang w:eastAsia="ja-JP"/>
              </w:rPr>
            </w:pPr>
            <w:r w:rsidRPr="00C55AE5">
              <w:rPr>
                <w:lang w:eastAsia="ja-JP"/>
              </w:rPr>
              <w:t>The safety data do not indicate an increased risk of parasitic infections.</w:t>
            </w:r>
            <w:r w:rsidR="00F971ED" w:rsidRPr="00C55AE5">
              <w:rPr>
                <w:lang w:eastAsia="ja-JP"/>
              </w:rPr>
              <w:t xml:space="preserve"> </w:t>
            </w:r>
            <w:r w:rsidRPr="00C55AE5">
              <w:rPr>
                <w:lang w:eastAsia="ja-JP"/>
              </w:rPr>
              <w:t>The rate of respiratory tract infections was not increased with benralizumab.</w:t>
            </w:r>
            <w:r w:rsidR="00F971ED" w:rsidRPr="00C55AE5">
              <w:rPr>
                <w:lang w:eastAsia="ja-JP"/>
              </w:rPr>
              <w:t xml:space="preserve"> </w:t>
            </w:r>
            <w:r w:rsidRPr="00C55AE5">
              <w:rPr>
                <w:lang w:eastAsia="ja-JP"/>
              </w:rPr>
              <w:t>Bacterial infections did not appear to be increased with benralizumab.</w:t>
            </w:r>
          </w:p>
          <w:p w14:paraId="0A1651A3" w14:textId="77777777" w:rsidR="00F33FCE" w:rsidRPr="00C55AE5" w:rsidRDefault="00F33FCE" w:rsidP="00F33FCE">
            <w:pPr>
              <w:rPr>
                <w:lang w:eastAsia="ja-JP"/>
              </w:rPr>
            </w:pPr>
            <w:r w:rsidRPr="00C55AE5">
              <w:rPr>
                <w:lang w:eastAsia="ja-JP"/>
              </w:rPr>
              <w:t>There is a high rate of ADA with benralizumab with the majority of patients with ADA having neutralising antibodies.</w:t>
            </w:r>
            <w:r w:rsidR="00F971ED" w:rsidRPr="00C55AE5">
              <w:rPr>
                <w:lang w:eastAsia="ja-JP"/>
              </w:rPr>
              <w:t xml:space="preserve"> </w:t>
            </w:r>
            <w:r w:rsidRPr="00C55AE5">
              <w:rPr>
                <w:lang w:eastAsia="ja-JP"/>
              </w:rPr>
              <w:t>Hypersensitivity reactions did not occur more frequently with benralizumab than with placebo.</w:t>
            </w:r>
          </w:p>
        </w:tc>
        <w:tc>
          <w:tcPr>
            <w:tcW w:w="4394" w:type="dxa"/>
          </w:tcPr>
          <w:p w14:paraId="15469171" w14:textId="77777777" w:rsidR="00F33FCE" w:rsidRPr="00C55AE5" w:rsidRDefault="00F33FCE" w:rsidP="00F33FCE">
            <w:r w:rsidRPr="00C55AE5">
              <w:lastRenderedPageBreak/>
              <w:t>There are insufficient data to determine whether the rate of malignancy is increased with benralizumab</w:t>
            </w:r>
            <w:r w:rsidR="00196E43" w:rsidRPr="00C55AE5">
              <w:t>.</w:t>
            </w:r>
          </w:p>
          <w:p w14:paraId="4F464A81" w14:textId="77777777" w:rsidR="00F33FCE" w:rsidRPr="00111D0E" w:rsidRDefault="00F33FCE" w:rsidP="00F33FCE">
            <w:r w:rsidRPr="00C55AE5">
              <w:t>There are insufficient data to determine whether there is an increased mortality rate with benralizumab.</w:t>
            </w:r>
          </w:p>
        </w:tc>
      </w:tr>
    </w:tbl>
    <w:p w14:paraId="53FA43A7" w14:textId="77777777" w:rsidR="00F33FCE" w:rsidRPr="00C55AE5" w:rsidRDefault="00F33FCE" w:rsidP="00F33FCE">
      <w:pPr>
        <w:pStyle w:val="Heading4"/>
      </w:pPr>
      <w:bookmarkStart w:id="205" w:name="_Toc272414711"/>
      <w:bookmarkStart w:id="206" w:name="_Toc290888577"/>
      <w:bookmarkStart w:id="207" w:name="_Toc416353794"/>
      <w:bookmarkStart w:id="208" w:name="_Toc421005336"/>
      <w:bookmarkStart w:id="209" w:name="_Toc432079209"/>
      <w:bookmarkStart w:id="210" w:name="_Toc432080782"/>
      <w:bookmarkStart w:id="211" w:name="_Toc488077889"/>
      <w:r w:rsidRPr="00C55AE5">
        <w:lastRenderedPageBreak/>
        <w:t xml:space="preserve">Second round assessment of benefit-risk </w:t>
      </w:r>
      <w:bookmarkEnd w:id="205"/>
      <w:bookmarkEnd w:id="206"/>
      <w:bookmarkEnd w:id="207"/>
      <w:bookmarkEnd w:id="208"/>
      <w:r w:rsidRPr="00C55AE5">
        <w:t>balance</w:t>
      </w:r>
      <w:bookmarkEnd w:id="209"/>
      <w:bookmarkEnd w:id="210"/>
      <w:bookmarkEnd w:id="211"/>
    </w:p>
    <w:p w14:paraId="43022F31" w14:textId="77777777" w:rsidR="00F33FCE" w:rsidRPr="00C55AE5" w:rsidRDefault="00F33FCE" w:rsidP="00F33FCE">
      <w:r w:rsidRPr="00C55AE5">
        <w:t>The benefit-risk for benralizumab 30 mg in 1 mL solution for injection prefilled syringe is favourable.</w:t>
      </w:r>
      <w:r w:rsidR="00F971ED" w:rsidRPr="00C55AE5">
        <w:t xml:space="preserve"> </w:t>
      </w:r>
      <w:r w:rsidRPr="00C55AE5">
        <w:t>Benralizumab, in patients with severe asthma, decreases the rate of exacerbations and decreases the dose of OCS.</w:t>
      </w:r>
      <w:r w:rsidR="00F971ED" w:rsidRPr="00C55AE5">
        <w:t xml:space="preserve"> </w:t>
      </w:r>
      <w:r w:rsidRPr="00C55AE5">
        <w:t>While there are concerns regarding an increased risk of malignancy and an overall greater mortality the available data do not confirm these risks.</w:t>
      </w:r>
    </w:p>
    <w:p w14:paraId="45D93641" w14:textId="77777777" w:rsidR="00F33FCE" w:rsidRPr="00C55AE5" w:rsidRDefault="00F33FCE" w:rsidP="00F33FCE">
      <w:r w:rsidRPr="00C55AE5">
        <w:t>The decrease in exacerbations of 40% is clinically significant.</w:t>
      </w:r>
      <w:r w:rsidR="00F971ED" w:rsidRPr="00C55AE5">
        <w:t xml:space="preserve"> </w:t>
      </w:r>
      <w:r w:rsidRPr="00C55AE5">
        <w:t xml:space="preserve">The improvement in FEV1 represents a 10% improvement from baseline, which is likely to be noticed by patients, and is therefore, in the opinion of the </w:t>
      </w:r>
      <w:r w:rsidR="00596091" w:rsidRPr="00C55AE5">
        <w:t>evaluator</w:t>
      </w:r>
      <w:r w:rsidRPr="00C55AE5">
        <w:t>, clinically significant.</w:t>
      </w:r>
      <w:r w:rsidR="00F971ED" w:rsidRPr="00C55AE5">
        <w:t xml:space="preserve"> </w:t>
      </w:r>
      <w:r w:rsidRPr="00C55AE5">
        <w:t xml:space="preserve">The improvement in asthma scores are also 10% on baseline, and in the opinion of the </w:t>
      </w:r>
      <w:r w:rsidR="00596091" w:rsidRPr="00C55AE5">
        <w:t>evaluator</w:t>
      </w:r>
      <w:r w:rsidRPr="00C55AE5">
        <w:t xml:space="preserve"> would be unlikely to be noticed by patients, and therefore not clinically significant.</w:t>
      </w:r>
      <w:r w:rsidR="00F971ED" w:rsidRPr="00C55AE5">
        <w:t xml:space="preserve"> </w:t>
      </w:r>
      <w:r w:rsidRPr="00C55AE5">
        <w:t xml:space="preserve">In </w:t>
      </w:r>
      <w:r w:rsidR="00196E43" w:rsidRPr="00C55AE5">
        <w:t>patients</w:t>
      </w:r>
      <w:r w:rsidRPr="00C55AE5">
        <w:t xml:space="preserve"> who are OCS dependent, the resulting decrease in OCS dose is clinically significant.</w:t>
      </w:r>
    </w:p>
    <w:p w14:paraId="39033215" w14:textId="77777777" w:rsidR="00F33FCE" w:rsidRPr="00C55AE5" w:rsidRDefault="00F33FCE" w:rsidP="00F33FCE">
      <w:r w:rsidRPr="00C55AE5">
        <w:t>The potential for increased malignancy requires ongoing monitoring.</w:t>
      </w:r>
    </w:p>
    <w:p w14:paraId="4AA51AA2" w14:textId="77777777" w:rsidR="00F33FCE" w:rsidRPr="00C55AE5" w:rsidRDefault="00F33FCE" w:rsidP="00F33FCE">
      <w:pPr>
        <w:pStyle w:val="Heading4"/>
      </w:pPr>
      <w:bookmarkStart w:id="212" w:name="_Toc488077890"/>
      <w:r w:rsidRPr="00C55AE5">
        <w:t>Second round recommendation regarding authorisation</w:t>
      </w:r>
      <w:bookmarkEnd w:id="212"/>
    </w:p>
    <w:p w14:paraId="3AFB8BDF" w14:textId="77777777" w:rsidR="00F33FCE" w:rsidRPr="00C55AE5" w:rsidRDefault="00F33FCE" w:rsidP="00F33FCE">
      <w:r w:rsidRPr="00C55AE5">
        <w:t xml:space="preserve">The application for approval of </w:t>
      </w:r>
      <w:r w:rsidR="00E14798" w:rsidRPr="00C55AE5">
        <w:t>Fasenra</w:t>
      </w:r>
      <w:r w:rsidRPr="00C55AE5">
        <w:t xml:space="preserve"> (benralizumab) 30 mg in 1 mL solution for injection prefilled syringe should be rejected because the proposed therapeutic indication does not fully reflect the patient group for whom efficacy has been demonstrated.</w:t>
      </w:r>
      <w:r w:rsidR="00F971ED" w:rsidRPr="00C55AE5">
        <w:t xml:space="preserve"> </w:t>
      </w:r>
      <w:r w:rsidRPr="00C55AE5">
        <w:t>The proposed therapeutic indication is:</w:t>
      </w:r>
    </w:p>
    <w:p w14:paraId="5F31CDBD" w14:textId="77777777" w:rsidR="00F33FCE" w:rsidRPr="00C55AE5" w:rsidRDefault="00E14798" w:rsidP="00F33FCE">
      <w:pPr>
        <w:ind w:left="720"/>
        <w:rPr>
          <w:i/>
        </w:rPr>
      </w:pPr>
      <w:r w:rsidRPr="00C55AE5">
        <w:rPr>
          <w:i/>
        </w:rPr>
        <w:t>Fasenra</w:t>
      </w:r>
      <w:r w:rsidR="00F33FCE" w:rsidRPr="00C55AE5">
        <w:rPr>
          <w:i/>
        </w:rPr>
        <w:t xml:space="preserve"> is indicated as an add-on maintenance treatment for severe asthma in patients with an eosinophilic phenotype (see Clinical Trials).</w:t>
      </w:r>
    </w:p>
    <w:p w14:paraId="14AEC2CD" w14:textId="77777777" w:rsidR="00F33FCE" w:rsidRPr="00C55AE5" w:rsidRDefault="00F33FCE" w:rsidP="00F33FCE">
      <w:r w:rsidRPr="00C55AE5">
        <w:t xml:space="preserve">This does not adequately describe the patient groups where efficacy has been demonstrated, which were: patients with severe asthma with </w:t>
      </w:r>
      <w:proofErr w:type="gramStart"/>
      <w:r w:rsidRPr="00C55AE5">
        <w:t xml:space="preserve">an eosinophilic phenotype, who had </w:t>
      </w:r>
      <w:r w:rsidR="007504A5" w:rsidRPr="00C55AE5">
        <w:t xml:space="preserve">≥ </w:t>
      </w:r>
      <w:r w:rsidRPr="00C55AE5">
        <w:t>2 exacerbations per year and/or were</w:t>
      </w:r>
      <w:proofErr w:type="gramEnd"/>
      <w:r w:rsidRPr="00C55AE5">
        <w:t xml:space="preserve"> OCS dependent.</w:t>
      </w:r>
    </w:p>
    <w:p w14:paraId="0F73DE9C" w14:textId="77777777" w:rsidR="00F33FCE" w:rsidRPr="00C55AE5" w:rsidRDefault="00F33FCE" w:rsidP="00F33FCE">
      <w:r w:rsidRPr="00C55AE5">
        <w:t>A suitable alternative indication is:</w:t>
      </w:r>
    </w:p>
    <w:p w14:paraId="6B2FB99F" w14:textId="77777777" w:rsidR="00F33FCE" w:rsidRPr="00F33FCE" w:rsidRDefault="00E14798" w:rsidP="00F33FCE">
      <w:pPr>
        <w:ind w:left="720"/>
        <w:rPr>
          <w:i/>
        </w:rPr>
      </w:pPr>
      <w:r w:rsidRPr="00C55AE5">
        <w:rPr>
          <w:i/>
        </w:rPr>
        <w:t>Fasenra</w:t>
      </w:r>
      <w:r w:rsidR="00F33FCE" w:rsidRPr="00C55AE5">
        <w:rPr>
          <w:i/>
        </w:rPr>
        <w:t xml:space="preserve"> is indicated as an add-on maintenance treatment for severe asthma in patients with an eosinophilic phenotype, with two or more exacerbations per year and who are inadequately controlled despite </w:t>
      </w:r>
      <w:r w:rsidR="00596091" w:rsidRPr="00C55AE5">
        <w:rPr>
          <w:i/>
        </w:rPr>
        <w:t>high dose</w:t>
      </w:r>
      <w:r w:rsidR="00F33FCE" w:rsidRPr="00C55AE5">
        <w:rPr>
          <w:i/>
        </w:rPr>
        <w:t xml:space="preserve"> inhaled corticosteroids plus long acting β-agonists (see Clinical Trials).</w:t>
      </w:r>
    </w:p>
    <w:p w14:paraId="20F0F662" w14:textId="77777777" w:rsidR="008E7846" w:rsidRPr="00E41208" w:rsidRDefault="008E7846" w:rsidP="00546154">
      <w:pPr>
        <w:pStyle w:val="Heading2"/>
      </w:pPr>
      <w:bookmarkStart w:id="213" w:name="_Toc1653598"/>
      <w:r w:rsidRPr="00E41208">
        <w:lastRenderedPageBreak/>
        <w:t>V</w:t>
      </w:r>
      <w:r w:rsidR="00500337">
        <w:t>I</w:t>
      </w:r>
      <w:r w:rsidRPr="00E41208">
        <w:t xml:space="preserve">. Pharmacovigilance </w:t>
      </w:r>
      <w:r>
        <w:t>f</w:t>
      </w:r>
      <w:r w:rsidRPr="00E41208">
        <w:t>indings</w:t>
      </w:r>
      <w:bookmarkEnd w:id="125"/>
      <w:bookmarkEnd w:id="126"/>
      <w:bookmarkEnd w:id="213"/>
    </w:p>
    <w:p w14:paraId="5728DD8D" w14:textId="77777777" w:rsidR="008E7846" w:rsidRDefault="00386150" w:rsidP="008E7846">
      <w:pPr>
        <w:pStyle w:val="Heading3"/>
        <w:rPr>
          <w:lang w:eastAsia="en-AU"/>
        </w:rPr>
      </w:pPr>
      <w:bookmarkStart w:id="214" w:name="_Toc247691526"/>
      <w:bookmarkStart w:id="215" w:name="_Toc314842509"/>
      <w:bookmarkStart w:id="216" w:name="_Toc1653599"/>
      <w:r>
        <w:rPr>
          <w:lang w:eastAsia="en-AU"/>
        </w:rPr>
        <w:t>Risk m</w:t>
      </w:r>
      <w:r w:rsidR="008E7846">
        <w:rPr>
          <w:lang w:eastAsia="en-AU"/>
        </w:rPr>
        <w:t xml:space="preserve">anagement </w:t>
      </w:r>
      <w:r>
        <w:rPr>
          <w:lang w:eastAsia="en-AU"/>
        </w:rPr>
        <w:t>p</w:t>
      </w:r>
      <w:r w:rsidR="008E7846">
        <w:rPr>
          <w:lang w:eastAsia="en-AU"/>
        </w:rPr>
        <w:t>lan</w:t>
      </w:r>
      <w:bookmarkEnd w:id="214"/>
      <w:bookmarkEnd w:id="215"/>
      <w:bookmarkEnd w:id="216"/>
    </w:p>
    <w:p w14:paraId="55C83CCB" w14:textId="77777777" w:rsidR="00196E43" w:rsidRPr="00196E43" w:rsidRDefault="00196E43" w:rsidP="00196E43">
      <w:pPr>
        <w:pStyle w:val="Heading4"/>
        <w:rPr>
          <w:lang w:eastAsia="en-AU"/>
        </w:rPr>
      </w:pPr>
      <w:r>
        <w:rPr>
          <w:lang w:eastAsia="en-AU"/>
        </w:rPr>
        <w:t>Summary of RMP evaluation</w:t>
      </w:r>
      <w:r>
        <w:rPr>
          <w:rStyle w:val="FootnoteReference"/>
          <w:lang w:eastAsia="en-AU"/>
        </w:rPr>
        <w:footnoteReference w:id="17"/>
      </w:r>
    </w:p>
    <w:p w14:paraId="7DD11807" w14:textId="342F6750" w:rsidR="005A79C9" w:rsidRDefault="00F84445" w:rsidP="005A79C9">
      <w:pPr>
        <w:pStyle w:val="ListBullet"/>
      </w:pPr>
      <w:bookmarkStart w:id="217" w:name="_Toc247691527"/>
      <w:bookmarkStart w:id="218" w:name="_Toc314842510"/>
      <w:r>
        <w:t>The sponsor</w:t>
      </w:r>
      <w:r w:rsidR="005A79C9" w:rsidRPr="00482EE0">
        <w:t xml:space="preserve"> has submitted EU-RMP version 1.0 (dated 10</w:t>
      </w:r>
      <w:r>
        <w:t> </w:t>
      </w:r>
      <w:r w:rsidR="005A79C9" w:rsidRPr="00482EE0">
        <w:t>November 2016;</w:t>
      </w:r>
      <w:r w:rsidR="005A79C9" w:rsidRPr="005A79C9">
        <w:t xml:space="preserve"> </w:t>
      </w:r>
      <w:r>
        <w:t>data lock point (</w:t>
      </w:r>
      <w:r w:rsidR="005A79C9" w:rsidRPr="005A79C9">
        <w:t>DLP</w:t>
      </w:r>
      <w:r>
        <w:t>)</w:t>
      </w:r>
      <w:r w:rsidR="005A79C9" w:rsidRPr="005A79C9">
        <w:t xml:space="preserve"> 29 September 2016) and </w:t>
      </w:r>
      <w:r w:rsidR="00196E43">
        <w:t>Australian Specific Annex (</w:t>
      </w:r>
      <w:r w:rsidR="005A79C9" w:rsidRPr="005A79C9">
        <w:t>ASA</w:t>
      </w:r>
      <w:r w:rsidR="00196E43">
        <w:t>)</w:t>
      </w:r>
      <w:r w:rsidR="005A79C9" w:rsidRPr="005A79C9">
        <w:t xml:space="preserve"> version 1.0 (dated 15 February 2017) in support of this application. In its </w:t>
      </w:r>
      <w:r>
        <w:t>post-first round</w:t>
      </w:r>
      <w:r w:rsidR="005A79C9" w:rsidRPr="005A79C9">
        <w:t xml:space="preserve"> response, the </w:t>
      </w:r>
      <w:r w:rsidR="007504A5">
        <w:t>sponsor</w:t>
      </w:r>
      <w:r w:rsidR="005A79C9" w:rsidRPr="005A79C9">
        <w:t xml:space="preserve"> has submitted EU</w:t>
      </w:r>
      <w:r>
        <w:noBreakHyphen/>
      </w:r>
      <w:r w:rsidR="005A79C9" w:rsidRPr="005A79C9">
        <w:t>RMP version 1.0 Edition Number 3.0 (dated 28 September 2017; DLP 29 September 2016) and ASA version 2.0 (dated 15 October 2017) in support of this application.</w:t>
      </w:r>
    </w:p>
    <w:p w14:paraId="5493B76C" w14:textId="77B660B3" w:rsidR="008B19F1" w:rsidRPr="00482EE0" w:rsidRDefault="001F346F" w:rsidP="005A79C9">
      <w:pPr>
        <w:pStyle w:val="ListBullet"/>
      </w:pPr>
      <w:r>
        <w:t>Following the</w:t>
      </w:r>
      <w:r w:rsidRPr="00590421">
        <w:t xml:space="preserve"> </w:t>
      </w:r>
      <w:r w:rsidR="008B19F1" w:rsidRPr="00590421">
        <w:t>ACM</w:t>
      </w:r>
      <w:r>
        <w:t xml:space="preserve"> meeting</w:t>
      </w:r>
      <w:r w:rsidR="008B19F1" w:rsidRPr="00590421">
        <w:t xml:space="preserve">, the </w:t>
      </w:r>
      <w:r>
        <w:t>s</w:t>
      </w:r>
      <w:r w:rsidRPr="00590421">
        <w:t xml:space="preserve">ponsor </w:t>
      </w:r>
      <w:r w:rsidR="008B19F1" w:rsidRPr="00590421">
        <w:t xml:space="preserve">submitted EU-RMP version 1.0 </w:t>
      </w:r>
      <w:r>
        <w:t>e</w:t>
      </w:r>
      <w:r w:rsidRPr="00590421">
        <w:t xml:space="preserve">dition </w:t>
      </w:r>
      <w:r w:rsidR="008B19F1" w:rsidRPr="00590421">
        <w:t>4.0 (dated 14 November 2017; DLP 29 September 2016.) and ASA version 3.0 (dated 8 March 2018).</w:t>
      </w:r>
    </w:p>
    <w:p w14:paraId="5993AE0A" w14:textId="77777777" w:rsidR="005A79C9" w:rsidRDefault="005A79C9" w:rsidP="005A79C9">
      <w:pPr>
        <w:pStyle w:val="ListBullet"/>
      </w:pPr>
      <w:r w:rsidRPr="00482EE0">
        <w:t>The proposed Summary</w:t>
      </w:r>
      <w:r w:rsidRPr="005A79C9">
        <w:t xml:space="preserve"> of Safety Concerns and their associated risk monitoring and mitigation strategies are summarised below </w:t>
      </w:r>
      <w:r w:rsidR="006A44F0">
        <w:t>in Table 15</w:t>
      </w:r>
      <w:r w:rsidR="00196E43">
        <w:t>.</w:t>
      </w:r>
    </w:p>
    <w:p w14:paraId="1188AC3F" w14:textId="77777777" w:rsidR="00196E43" w:rsidRDefault="006A44F0" w:rsidP="00196E43">
      <w:pPr>
        <w:pStyle w:val="TableTitle"/>
      </w:pPr>
      <w:r>
        <w:t>Table 15:</w:t>
      </w:r>
      <w:r w:rsidR="00196E43" w:rsidRPr="00196E43">
        <w:t xml:space="preserve"> </w:t>
      </w:r>
      <w:r w:rsidR="00196E43" w:rsidRPr="005A79C9">
        <w:t>Summary of Safety Concerns and their associated risk monitoring and mitigation strategies</w:t>
      </w:r>
    </w:p>
    <w:tbl>
      <w:tblPr>
        <w:tblStyle w:val="TableTGAblue"/>
        <w:tblW w:w="8534" w:type="dxa"/>
        <w:tblLayout w:type="fixed"/>
        <w:tblLook w:val="04A0" w:firstRow="1" w:lastRow="0" w:firstColumn="1" w:lastColumn="0" w:noHBand="0" w:noVBand="1"/>
      </w:tblPr>
      <w:tblGrid>
        <w:gridCol w:w="1196"/>
        <w:gridCol w:w="3245"/>
        <w:gridCol w:w="894"/>
        <w:gridCol w:w="1150"/>
        <w:gridCol w:w="894"/>
        <w:gridCol w:w="1155"/>
      </w:tblGrid>
      <w:tr w:rsidR="005A79C9" w:rsidRPr="005A79C9" w14:paraId="576E2D2D" w14:textId="77777777" w:rsidTr="00196E43">
        <w:trPr>
          <w:cnfStyle w:val="100000000000" w:firstRow="1" w:lastRow="0" w:firstColumn="0" w:lastColumn="0" w:oddVBand="0" w:evenVBand="0" w:oddHBand="0" w:evenHBand="0" w:firstRowFirstColumn="0" w:firstRowLastColumn="0" w:lastRowFirstColumn="0" w:lastRowLastColumn="0"/>
          <w:trHeight w:val="130"/>
        </w:trPr>
        <w:tc>
          <w:tcPr>
            <w:tcW w:w="4441" w:type="dxa"/>
            <w:gridSpan w:val="2"/>
            <w:vMerge w:val="restart"/>
          </w:tcPr>
          <w:p w14:paraId="4344B4F8" w14:textId="77777777" w:rsidR="005A79C9" w:rsidRPr="005A79C9" w:rsidRDefault="005A79C9" w:rsidP="005A79C9">
            <w:pPr>
              <w:ind w:left="0" w:right="0"/>
              <w:rPr>
                <w:sz w:val="20"/>
                <w:szCs w:val="20"/>
              </w:rPr>
            </w:pPr>
            <w:r w:rsidRPr="005A79C9">
              <w:rPr>
                <w:sz w:val="20"/>
                <w:szCs w:val="20"/>
              </w:rPr>
              <w:t>Summary of safety concerns</w:t>
            </w:r>
          </w:p>
        </w:tc>
        <w:tc>
          <w:tcPr>
            <w:tcW w:w="2044" w:type="dxa"/>
            <w:gridSpan w:val="2"/>
          </w:tcPr>
          <w:p w14:paraId="3DDF5DE5" w14:textId="77777777" w:rsidR="005A79C9" w:rsidRPr="005A79C9" w:rsidRDefault="005A79C9" w:rsidP="005A79C9">
            <w:pPr>
              <w:ind w:left="0" w:right="0"/>
              <w:rPr>
                <w:sz w:val="20"/>
                <w:szCs w:val="20"/>
              </w:rPr>
            </w:pPr>
            <w:r w:rsidRPr="005A79C9">
              <w:rPr>
                <w:sz w:val="20"/>
                <w:szCs w:val="20"/>
              </w:rPr>
              <w:t>Pharmacovigilance</w:t>
            </w:r>
          </w:p>
        </w:tc>
        <w:tc>
          <w:tcPr>
            <w:tcW w:w="2049" w:type="dxa"/>
            <w:gridSpan w:val="2"/>
          </w:tcPr>
          <w:p w14:paraId="3D21DED4" w14:textId="77777777" w:rsidR="005A79C9" w:rsidRPr="005A79C9" w:rsidRDefault="005A79C9" w:rsidP="005A79C9">
            <w:pPr>
              <w:ind w:left="0" w:right="0"/>
              <w:rPr>
                <w:sz w:val="20"/>
                <w:szCs w:val="20"/>
              </w:rPr>
            </w:pPr>
            <w:r w:rsidRPr="005A79C9">
              <w:rPr>
                <w:sz w:val="20"/>
                <w:szCs w:val="20"/>
              </w:rPr>
              <w:t>Risk Minimisation</w:t>
            </w:r>
          </w:p>
        </w:tc>
      </w:tr>
      <w:tr w:rsidR="005A79C9" w:rsidRPr="005A79C9" w14:paraId="29B380D3" w14:textId="77777777" w:rsidTr="00196E43">
        <w:trPr>
          <w:trHeight w:val="149"/>
        </w:trPr>
        <w:tc>
          <w:tcPr>
            <w:tcW w:w="4441" w:type="dxa"/>
            <w:gridSpan w:val="2"/>
            <w:vMerge/>
          </w:tcPr>
          <w:p w14:paraId="38C80019" w14:textId="77777777" w:rsidR="005A79C9" w:rsidRPr="005A79C9" w:rsidRDefault="005A79C9" w:rsidP="005A79C9">
            <w:pPr>
              <w:ind w:left="0" w:right="0"/>
              <w:rPr>
                <w:sz w:val="20"/>
                <w:szCs w:val="20"/>
              </w:rPr>
            </w:pPr>
          </w:p>
        </w:tc>
        <w:tc>
          <w:tcPr>
            <w:tcW w:w="894" w:type="dxa"/>
          </w:tcPr>
          <w:p w14:paraId="6BB8965F" w14:textId="77777777" w:rsidR="005A79C9" w:rsidRPr="005A79C9" w:rsidRDefault="005A79C9" w:rsidP="005A79C9">
            <w:pPr>
              <w:ind w:left="0" w:right="0"/>
              <w:rPr>
                <w:sz w:val="20"/>
                <w:szCs w:val="20"/>
              </w:rPr>
            </w:pPr>
            <w:r w:rsidRPr="005A79C9">
              <w:rPr>
                <w:sz w:val="20"/>
                <w:szCs w:val="20"/>
              </w:rPr>
              <w:t>Routine</w:t>
            </w:r>
          </w:p>
        </w:tc>
        <w:tc>
          <w:tcPr>
            <w:tcW w:w="1150" w:type="dxa"/>
          </w:tcPr>
          <w:p w14:paraId="236DABCE" w14:textId="77777777" w:rsidR="005A79C9" w:rsidRPr="005A79C9" w:rsidRDefault="005A79C9" w:rsidP="005A79C9">
            <w:pPr>
              <w:ind w:left="0" w:right="0"/>
              <w:rPr>
                <w:sz w:val="20"/>
                <w:szCs w:val="20"/>
              </w:rPr>
            </w:pPr>
            <w:r w:rsidRPr="005A79C9">
              <w:rPr>
                <w:sz w:val="20"/>
                <w:szCs w:val="20"/>
              </w:rPr>
              <w:t>Additional</w:t>
            </w:r>
          </w:p>
        </w:tc>
        <w:tc>
          <w:tcPr>
            <w:tcW w:w="894" w:type="dxa"/>
          </w:tcPr>
          <w:p w14:paraId="4164C9E3" w14:textId="77777777" w:rsidR="005A79C9" w:rsidRPr="005A79C9" w:rsidRDefault="005A79C9" w:rsidP="005A79C9">
            <w:pPr>
              <w:ind w:left="0" w:right="0"/>
              <w:rPr>
                <w:sz w:val="20"/>
                <w:szCs w:val="20"/>
              </w:rPr>
            </w:pPr>
            <w:r w:rsidRPr="005A79C9">
              <w:rPr>
                <w:sz w:val="20"/>
                <w:szCs w:val="20"/>
              </w:rPr>
              <w:t>Routine</w:t>
            </w:r>
          </w:p>
        </w:tc>
        <w:tc>
          <w:tcPr>
            <w:tcW w:w="1154" w:type="dxa"/>
          </w:tcPr>
          <w:p w14:paraId="52A1F151" w14:textId="77777777" w:rsidR="005A79C9" w:rsidRPr="005A79C9" w:rsidRDefault="005A79C9" w:rsidP="005A79C9">
            <w:pPr>
              <w:ind w:left="0" w:right="0"/>
              <w:rPr>
                <w:sz w:val="20"/>
                <w:szCs w:val="20"/>
              </w:rPr>
            </w:pPr>
            <w:r w:rsidRPr="005A79C9">
              <w:rPr>
                <w:sz w:val="20"/>
                <w:szCs w:val="20"/>
              </w:rPr>
              <w:t>Additional</w:t>
            </w:r>
          </w:p>
        </w:tc>
      </w:tr>
      <w:tr w:rsidR="005A79C9" w:rsidRPr="005A79C9" w14:paraId="2FE7AE83" w14:textId="77777777" w:rsidTr="00196E43">
        <w:trPr>
          <w:trHeight w:val="136"/>
        </w:trPr>
        <w:tc>
          <w:tcPr>
            <w:tcW w:w="1196" w:type="dxa"/>
          </w:tcPr>
          <w:p w14:paraId="6661F4AB" w14:textId="77777777" w:rsidR="005A79C9" w:rsidRPr="005A79C9" w:rsidRDefault="005A79C9" w:rsidP="005A79C9">
            <w:pPr>
              <w:ind w:left="0" w:right="0"/>
              <w:rPr>
                <w:sz w:val="20"/>
                <w:szCs w:val="20"/>
              </w:rPr>
            </w:pPr>
            <w:r w:rsidRPr="005A79C9">
              <w:rPr>
                <w:sz w:val="20"/>
                <w:szCs w:val="20"/>
              </w:rPr>
              <w:t>Important identified risks</w:t>
            </w:r>
          </w:p>
        </w:tc>
        <w:tc>
          <w:tcPr>
            <w:tcW w:w="3245" w:type="dxa"/>
          </w:tcPr>
          <w:p w14:paraId="56F4320A" w14:textId="77777777" w:rsidR="005A79C9" w:rsidRPr="005A79C9" w:rsidRDefault="005A79C9" w:rsidP="005A79C9">
            <w:pPr>
              <w:ind w:left="0" w:right="0"/>
              <w:rPr>
                <w:sz w:val="20"/>
                <w:szCs w:val="20"/>
              </w:rPr>
            </w:pPr>
            <w:r w:rsidRPr="005A79C9">
              <w:rPr>
                <w:sz w:val="20"/>
                <w:szCs w:val="20"/>
              </w:rPr>
              <w:t>None</w:t>
            </w:r>
          </w:p>
        </w:tc>
        <w:tc>
          <w:tcPr>
            <w:tcW w:w="894" w:type="dxa"/>
          </w:tcPr>
          <w:p w14:paraId="71309561" w14:textId="77777777" w:rsidR="005A79C9" w:rsidRPr="005A79C9" w:rsidRDefault="005A79C9" w:rsidP="005A79C9">
            <w:pPr>
              <w:ind w:left="0" w:right="0"/>
              <w:rPr>
                <w:sz w:val="20"/>
                <w:szCs w:val="20"/>
              </w:rPr>
            </w:pPr>
            <w:r w:rsidRPr="005A79C9">
              <w:rPr>
                <w:sz w:val="20"/>
                <w:szCs w:val="20"/>
              </w:rPr>
              <w:t>–</w:t>
            </w:r>
          </w:p>
        </w:tc>
        <w:tc>
          <w:tcPr>
            <w:tcW w:w="1150" w:type="dxa"/>
          </w:tcPr>
          <w:p w14:paraId="6FDF8BB8" w14:textId="77777777" w:rsidR="005A79C9" w:rsidRPr="005A79C9" w:rsidRDefault="005A79C9" w:rsidP="005A79C9">
            <w:pPr>
              <w:ind w:left="0" w:right="0"/>
              <w:rPr>
                <w:sz w:val="20"/>
                <w:szCs w:val="20"/>
              </w:rPr>
            </w:pPr>
            <w:r w:rsidRPr="005A79C9">
              <w:rPr>
                <w:sz w:val="20"/>
                <w:szCs w:val="20"/>
              </w:rPr>
              <w:t>–</w:t>
            </w:r>
          </w:p>
        </w:tc>
        <w:tc>
          <w:tcPr>
            <w:tcW w:w="894" w:type="dxa"/>
          </w:tcPr>
          <w:p w14:paraId="6DFFF7D2" w14:textId="77777777" w:rsidR="005A79C9" w:rsidRPr="005A79C9" w:rsidRDefault="005A79C9" w:rsidP="005A79C9">
            <w:pPr>
              <w:ind w:left="0" w:right="0"/>
              <w:rPr>
                <w:sz w:val="20"/>
                <w:szCs w:val="20"/>
              </w:rPr>
            </w:pPr>
            <w:r w:rsidRPr="005A79C9">
              <w:rPr>
                <w:sz w:val="20"/>
                <w:szCs w:val="20"/>
              </w:rPr>
              <w:t>–</w:t>
            </w:r>
          </w:p>
        </w:tc>
        <w:tc>
          <w:tcPr>
            <w:tcW w:w="1154" w:type="dxa"/>
          </w:tcPr>
          <w:p w14:paraId="0FD31560" w14:textId="77777777" w:rsidR="005A79C9" w:rsidRPr="005A79C9" w:rsidRDefault="005A79C9" w:rsidP="005A79C9">
            <w:pPr>
              <w:ind w:left="0" w:right="0"/>
              <w:rPr>
                <w:sz w:val="20"/>
                <w:szCs w:val="20"/>
              </w:rPr>
            </w:pPr>
            <w:r w:rsidRPr="005A79C9">
              <w:rPr>
                <w:sz w:val="20"/>
                <w:szCs w:val="20"/>
              </w:rPr>
              <w:t>–</w:t>
            </w:r>
          </w:p>
        </w:tc>
      </w:tr>
      <w:tr w:rsidR="005A79C9" w:rsidRPr="005A79C9" w14:paraId="474D48F0" w14:textId="77777777" w:rsidTr="00196E43">
        <w:trPr>
          <w:trHeight w:val="158"/>
        </w:trPr>
        <w:tc>
          <w:tcPr>
            <w:tcW w:w="1196" w:type="dxa"/>
            <w:vMerge w:val="restart"/>
          </w:tcPr>
          <w:p w14:paraId="661E98A0" w14:textId="77777777" w:rsidR="005A79C9" w:rsidRPr="005A79C9" w:rsidRDefault="005A79C9" w:rsidP="005A79C9">
            <w:pPr>
              <w:ind w:left="0" w:right="0"/>
              <w:rPr>
                <w:sz w:val="20"/>
                <w:szCs w:val="20"/>
              </w:rPr>
            </w:pPr>
            <w:r w:rsidRPr="005A79C9">
              <w:rPr>
                <w:sz w:val="20"/>
                <w:szCs w:val="20"/>
              </w:rPr>
              <w:t>Important potential risks</w:t>
            </w:r>
          </w:p>
        </w:tc>
        <w:tc>
          <w:tcPr>
            <w:tcW w:w="3245" w:type="dxa"/>
          </w:tcPr>
          <w:p w14:paraId="3ED22571" w14:textId="77777777" w:rsidR="005A79C9" w:rsidRPr="005A79C9" w:rsidRDefault="005A79C9" w:rsidP="005A79C9">
            <w:pPr>
              <w:ind w:left="0" w:right="0"/>
              <w:rPr>
                <w:sz w:val="20"/>
                <w:szCs w:val="20"/>
              </w:rPr>
            </w:pPr>
            <w:r w:rsidRPr="005A79C9">
              <w:rPr>
                <w:sz w:val="20"/>
                <w:szCs w:val="20"/>
              </w:rPr>
              <w:t>Serious infections</w:t>
            </w:r>
          </w:p>
        </w:tc>
        <w:tc>
          <w:tcPr>
            <w:tcW w:w="894" w:type="dxa"/>
          </w:tcPr>
          <w:p w14:paraId="1EF3286F" w14:textId="77777777" w:rsidR="005A79C9" w:rsidRPr="005A79C9" w:rsidRDefault="005A79C9" w:rsidP="005A79C9">
            <w:pPr>
              <w:ind w:left="0" w:right="0"/>
              <w:rPr>
                <w:sz w:val="20"/>
                <w:szCs w:val="20"/>
              </w:rPr>
            </w:pPr>
            <w:r w:rsidRPr="005A79C9">
              <w:rPr>
                <w:sz w:val="20"/>
                <w:szCs w:val="20"/>
              </w:rPr>
              <w:sym w:font="Wingdings" w:char="F0FC"/>
            </w:r>
          </w:p>
        </w:tc>
        <w:tc>
          <w:tcPr>
            <w:tcW w:w="1150" w:type="dxa"/>
          </w:tcPr>
          <w:p w14:paraId="7162EFA1" w14:textId="77777777" w:rsidR="005A79C9" w:rsidRPr="005A79C9" w:rsidRDefault="005A79C9" w:rsidP="005A79C9">
            <w:pPr>
              <w:ind w:left="0" w:right="0"/>
              <w:rPr>
                <w:sz w:val="20"/>
                <w:szCs w:val="20"/>
              </w:rPr>
            </w:pPr>
            <w:r w:rsidRPr="005A79C9">
              <w:rPr>
                <w:sz w:val="20"/>
                <w:szCs w:val="20"/>
              </w:rPr>
              <w:t>–</w:t>
            </w:r>
          </w:p>
        </w:tc>
        <w:tc>
          <w:tcPr>
            <w:tcW w:w="894" w:type="dxa"/>
          </w:tcPr>
          <w:p w14:paraId="7B8FF45D" w14:textId="77777777" w:rsidR="005A79C9" w:rsidRPr="005A79C9" w:rsidRDefault="005A79C9" w:rsidP="005A79C9">
            <w:pPr>
              <w:ind w:left="0" w:right="0"/>
              <w:rPr>
                <w:sz w:val="20"/>
                <w:szCs w:val="20"/>
              </w:rPr>
            </w:pPr>
            <w:r w:rsidRPr="005A79C9">
              <w:rPr>
                <w:sz w:val="20"/>
                <w:szCs w:val="20"/>
              </w:rPr>
              <w:t>–</w:t>
            </w:r>
          </w:p>
        </w:tc>
        <w:tc>
          <w:tcPr>
            <w:tcW w:w="1154" w:type="dxa"/>
          </w:tcPr>
          <w:p w14:paraId="5C9E7DCF" w14:textId="77777777" w:rsidR="005A79C9" w:rsidRPr="005A79C9" w:rsidRDefault="005A79C9" w:rsidP="005A79C9">
            <w:pPr>
              <w:ind w:left="0" w:right="0"/>
              <w:rPr>
                <w:sz w:val="20"/>
                <w:szCs w:val="20"/>
              </w:rPr>
            </w:pPr>
            <w:r w:rsidRPr="005A79C9">
              <w:rPr>
                <w:sz w:val="20"/>
                <w:szCs w:val="20"/>
              </w:rPr>
              <w:t>–</w:t>
            </w:r>
          </w:p>
        </w:tc>
      </w:tr>
      <w:tr w:rsidR="005A79C9" w:rsidRPr="005A79C9" w14:paraId="3A2B6EF3" w14:textId="77777777" w:rsidTr="00196E43">
        <w:trPr>
          <w:trHeight w:val="120"/>
        </w:trPr>
        <w:tc>
          <w:tcPr>
            <w:tcW w:w="1196" w:type="dxa"/>
            <w:vMerge/>
          </w:tcPr>
          <w:p w14:paraId="7AF3F7C0" w14:textId="77777777" w:rsidR="005A79C9" w:rsidRPr="005A79C9" w:rsidRDefault="005A79C9" w:rsidP="005A79C9">
            <w:pPr>
              <w:ind w:left="0" w:right="0"/>
              <w:rPr>
                <w:sz w:val="20"/>
                <w:szCs w:val="20"/>
              </w:rPr>
            </w:pPr>
          </w:p>
        </w:tc>
        <w:tc>
          <w:tcPr>
            <w:tcW w:w="3245" w:type="dxa"/>
          </w:tcPr>
          <w:p w14:paraId="7C747569" w14:textId="77777777" w:rsidR="005A79C9" w:rsidRPr="005A79C9" w:rsidRDefault="005A79C9" w:rsidP="005A79C9">
            <w:pPr>
              <w:ind w:left="0" w:right="0"/>
              <w:rPr>
                <w:sz w:val="20"/>
                <w:szCs w:val="20"/>
              </w:rPr>
            </w:pPr>
            <w:r w:rsidRPr="005A79C9">
              <w:rPr>
                <w:sz w:val="20"/>
                <w:szCs w:val="20"/>
              </w:rPr>
              <w:t>Helminth infections</w:t>
            </w:r>
          </w:p>
        </w:tc>
        <w:tc>
          <w:tcPr>
            <w:tcW w:w="894" w:type="dxa"/>
          </w:tcPr>
          <w:p w14:paraId="1AC9364E" w14:textId="77777777" w:rsidR="005A79C9" w:rsidRPr="005A79C9" w:rsidRDefault="005A79C9" w:rsidP="005A79C9">
            <w:pPr>
              <w:ind w:left="0" w:right="0"/>
              <w:rPr>
                <w:sz w:val="20"/>
                <w:szCs w:val="20"/>
              </w:rPr>
            </w:pPr>
            <w:r w:rsidRPr="005A79C9">
              <w:rPr>
                <w:sz w:val="20"/>
                <w:szCs w:val="20"/>
              </w:rPr>
              <w:sym w:font="Wingdings" w:char="F0FC"/>
            </w:r>
          </w:p>
        </w:tc>
        <w:tc>
          <w:tcPr>
            <w:tcW w:w="1150" w:type="dxa"/>
          </w:tcPr>
          <w:p w14:paraId="34351D3D" w14:textId="77777777" w:rsidR="005A79C9" w:rsidRPr="005A79C9" w:rsidRDefault="005A79C9" w:rsidP="005A79C9">
            <w:pPr>
              <w:ind w:left="0" w:right="0"/>
              <w:rPr>
                <w:sz w:val="20"/>
                <w:szCs w:val="20"/>
              </w:rPr>
            </w:pPr>
            <w:r w:rsidRPr="005A79C9">
              <w:rPr>
                <w:sz w:val="20"/>
                <w:szCs w:val="20"/>
              </w:rPr>
              <w:t>–</w:t>
            </w:r>
          </w:p>
        </w:tc>
        <w:tc>
          <w:tcPr>
            <w:tcW w:w="894" w:type="dxa"/>
          </w:tcPr>
          <w:p w14:paraId="74AF6AE6" w14:textId="77777777" w:rsidR="005A79C9" w:rsidRPr="005A79C9" w:rsidRDefault="005A79C9" w:rsidP="005A79C9">
            <w:pPr>
              <w:ind w:left="0" w:right="0"/>
              <w:rPr>
                <w:sz w:val="20"/>
                <w:szCs w:val="20"/>
              </w:rPr>
            </w:pPr>
            <w:r w:rsidRPr="005A79C9">
              <w:rPr>
                <w:sz w:val="20"/>
                <w:szCs w:val="20"/>
              </w:rPr>
              <w:sym w:font="Wingdings" w:char="F0FC"/>
            </w:r>
          </w:p>
        </w:tc>
        <w:tc>
          <w:tcPr>
            <w:tcW w:w="1154" w:type="dxa"/>
          </w:tcPr>
          <w:p w14:paraId="08A4ED2C" w14:textId="77777777" w:rsidR="005A79C9" w:rsidRPr="005A79C9" w:rsidRDefault="005A79C9" w:rsidP="005A79C9">
            <w:pPr>
              <w:ind w:left="0" w:right="0"/>
              <w:rPr>
                <w:sz w:val="20"/>
                <w:szCs w:val="20"/>
              </w:rPr>
            </w:pPr>
            <w:r w:rsidRPr="005A79C9">
              <w:rPr>
                <w:sz w:val="20"/>
                <w:szCs w:val="20"/>
              </w:rPr>
              <w:t>–</w:t>
            </w:r>
          </w:p>
        </w:tc>
      </w:tr>
      <w:tr w:rsidR="005A79C9" w:rsidRPr="005A79C9" w14:paraId="348482C2" w14:textId="77777777" w:rsidTr="00196E43">
        <w:trPr>
          <w:trHeight w:val="159"/>
        </w:trPr>
        <w:tc>
          <w:tcPr>
            <w:tcW w:w="1196" w:type="dxa"/>
            <w:vMerge/>
          </w:tcPr>
          <w:p w14:paraId="2F4C426F" w14:textId="77777777" w:rsidR="005A79C9" w:rsidRPr="005A79C9" w:rsidRDefault="005A79C9" w:rsidP="005A79C9">
            <w:pPr>
              <w:ind w:left="0" w:right="0"/>
              <w:rPr>
                <w:sz w:val="20"/>
                <w:szCs w:val="20"/>
              </w:rPr>
            </w:pPr>
          </w:p>
        </w:tc>
        <w:tc>
          <w:tcPr>
            <w:tcW w:w="3245" w:type="dxa"/>
          </w:tcPr>
          <w:p w14:paraId="1B9D7438" w14:textId="77777777" w:rsidR="005A79C9" w:rsidRPr="005A79C9" w:rsidRDefault="005A79C9" w:rsidP="005A79C9">
            <w:pPr>
              <w:ind w:left="0" w:right="0"/>
              <w:rPr>
                <w:sz w:val="20"/>
                <w:szCs w:val="20"/>
              </w:rPr>
            </w:pPr>
            <w:r w:rsidRPr="005A79C9">
              <w:rPr>
                <w:sz w:val="20"/>
                <w:szCs w:val="20"/>
              </w:rPr>
              <w:t>Serious hypersensitivity reactions including anaphylaxis/anaphylactic reactions</w:t>
            </w:r>
          </w:p>
        </w:tc>
        <w:tc>
          <w:tcPr>
            <w:tcW w:w="894" w:type="dxa"/>
          </w:tcPr>
          <w:p w14:paraId="02803E4C" w14:textId="77777777" w:rsidR="005A79C9" w:rsidRPr="005A79C9" w:rsidRDefault="005A79C9" w:rsidP="005A79C9">
            <w:pPr>
              <w:ind w:left="0" w:right="0"/>
              <w:rPr>
                <w:sz w:val="20"/>
                <w:szCs w:val="20"/>
              </w:rPr>
            </w:pPr>
            <w:r w:rsidRPr="005A79C9">
              <w:rPr>
                <w:sz w:val="20"/>
                <w:szCs w:val="20"/>
              </w:rPr>
              <w:sym w:font="Wingdings" w:char="F0FC"/>
            </w:r>
          </w:p>
        </w:tc>
        <w:tc>
          <w:tcPr>
            <w:tcW w:w="1150" w:type="dxa"/>
          </w:tcPr>
          <w:p w14:paraId="0CE294B2" w14:textId="77777777" w:rsidR="005A79C9" w:rsidRPr="005A79C9" w:rsidRDefault="005A79C9" w:rsidP="005A79C9">
            <w:pPr>
              <w:ind w:left="0" w:right="0"/>
              <w:rPr>
                <w:sz w:val="20"/>
                <w:szCs w:val="20"/>
              </w:rPr>
            </w:pPr>
            <w:r w:rsidRPr="005A79C9">
              <w:rPr>
                <w:sz w:val="20"/>
                <w:szCs w:val="20"/>
              </w:rPr>
              <w:t>–</w:t>
            </w:r>
          </w:p>
        </w:tc>
        <w:tc>
          <w:tcPr>
            <w:tcW w:w="894" w:type="dxa"/>
          </w:tcPr>
          <w:p w14:paraId="6B6F3526" w14:textId="77777777" w:rsidR="005A79C9" w:rsidRPr="005A79C9" w:rsidRDefault="005A79C9" w:rsidP="005A79C9">
            <w:pPr>
              <w:ind w:left="0" w:right="0"/>
              <w:rPr>
                <w:sz w:val="20"/>
                <w:szCs w:val="20"/>
              </w:rPr>
            </w:pPr>
            <w:r w:rsidRPr="005A79C9">
              <w:rPr>
                <w:sz w:val="20"/>
                <w:szCs w:val="20"/>
              </w:rPr>
              <w:sym w:font="Wingdings" w:char="F0FC"/>
            </w:r>
          </w:p>
        </w:tc>
        <w:tc>
          <w:tcPr>
            <w:tcW w:w="1154" w:type="dxa"/>
          </w:tcPr>
          <w:p w14:paraId="2456E463" w14:textId="77777777" w:rsidR="005A79C9" w:rsidRPr="005A79C9" w:rsidRDefault="005A79C9" w:rsidP="005A79C9">
            <w:pPr>
              <w:ind w:left="0" w:right="0"/>
              <w:rPr>
                <w:sz w:val="20"/>
                <w:szCs w:val="20"/>
              </w:rPr>
            </w:pPr>
          </w:p>
        </w:tc>
      </w:tr>
      <w:tr w:rsidR="005A79C9" w:rsidRPr="005A79C9" w14:paraId="59C8018D" w14:textId="77777777" w:rsidTr="00196E43">
        <w:trPr>
          <w:trHeight w:val="112"/>
        </w:trPr>
        <w:tc>
          <w:tcPr>
            <w:tcW w:w="1196" w:type="dxa"/>
            <w:vMerge/>
          </w:tcPr>
          <w:p w14:paraId="5A990951" w14:textId="77777777" w:rsidR="005A79C9" w:rsidRPr="005A79C9" w:rsidRDefault="005A79C9" w:rsidP="005A79C9">
            <w:pPr>
              <w:ind w:left="0" w:right="0"/>
              <w:rPr>
                <w:sz w:val="20"/>
                <w:szCs w:val="20"/>
              </w:rPr>
            </w:pPr>
          </w:p>
        </w:tc>
        <w:tc>
          <w:tcPr>
            <w:tcW w:w="3245" w:type="dxa"/>
          </w:tcPr>
          <w:p w14:paraId="3C075526" w14:textId="77777777" w:rsidR="005A79C9" w:rsidRPr="005A79C9" w:rsidRDefault="005A79C9" w:rsidP="005A79C9">
            <w:pPr>
              <w:ind w:left="0" w:right="0"/>
              <w:rPr>
                <w:sz w:val="20"/>
                <w:szCs w:val="20"/>
              </w:rPr>
            </w:pPr>
            <w:r w:rsidRPr="005A79C9">
              <w:rPr>
                <w:sz w:val="20"/>
                <w:szCs w:val="20"/>
              </w:rPr>
              <w:t>Malignancies</w:t>
            </w:r>
          </w:p>
        </w:tc>
        <w:tc>
          <w:tcPr>
            <w:tcW w:w="894" w:type="dxa"/>
          </w:tcPr>
          <w:p w14:paraId="005A5BCA" w14:textId="77777777" w:rsidR="005A79C9" w:rsidRPr="005A79C9" w:rsidRDefault="005A79C9" w:rsidP="005A79C9">
            <w:pPr>
              <w:ind w:left="0" w:right="0"/>
              <w:rPr>
                <w:sz w:val="20"/>
                <w:szCs w:val="20"/>
              </w:rPr>
            </w:pPr>
            <w:r w:rsidRPr="005A79C9">
              <w:rPr>
                <w:sz w:val="20"/>
                <w:szCs w:val="20"/>
              </w:rPr>
              <w:sym w:font="Wingdings" w:char="F0FC"/>
            </w:r>
          </w:p>
        </w:tc>
        <w:tc>
          <w:tcPr>
            <w:tcW w:w="1150" w:type="dxa"/>
          </w:tcPr>
          <w:p w14:paraId="258004B7" w14:textId="77777777" w:rsidR="005A79C9" w:rsidRPr="005A79C9" w:rsidRDefault="005A79C9" w:rsidP="005A79C9">
            <w:pPr>
              <w:ind w:left="0" w:right="0"/>
              <w:rPr>
                <w:sz w:val="20"/>
                <w:szCs w:val="20"/>
              </w:rPr>
            </w:pPr>
            <w:r w:rsidRPr="005A79C9">
              <w:rPr>
                <w:sz w:val="20"/>
                <w:szCs w:val="20"/>
              </w:rPr>
              <w:sym w:font="Wingdings" w:char="F0FC"/>
            </w:r>
          </w:p>
        </w:tc>
        <w:tc>
          <w:tcPr>
            <w:tcW w:w="894" w:type="dxa"/>
          </w:tcPr>
          <w:p w14:paraId="3B419A07" w14:textId="77777777" w:rsidR="005A79C9" w:rsidRPr="005A79C9" w:rsidRDefault="005A79C9" w:rsidP="005A79C9">
            <w:pPr>
              <w:ind w:left="0" w:right="0"/>
              <w:rPr>
                <w:sz w:val="20"/>
                <w:szCs w:val="20"/>
              </w:rPr>
            </w:pPr>
            <w:r w:rsidRPr="005A79C9">
              <w:rPr>
                <w:sz w:val="20"/>
                <w:szCs w:val="20"/>
              </w:rPr>
              <w:t>–</w:t>
            </w:r>
          </w:p>
        </w:tc>
        <w:tc>
          <w:tcPr>
            <w:tcW w:w="1154" w:type="dxa"/>
          </w:tcPr>
          <w:p w14:paraId="5EBED396" w14:textId="77777777" w:rsidR="005A79C9" w:rsidRPr="005A79C9" w:rsidRDefault="005A79C9" w:rsidP="005A79C9">
            <w:pPr>
              <w:ind w:left="0" w:right="0"/>
              <w:rPr>
                <w:sz w:val="20"/>
                <w:szCs w:val="20"/>
              </w:rPr>
            </w:pPr>
            <w:r w:rsidRPr="005A79C9">
              <w:rPr>
                <w:sz w:val="20"/>
                <w:szCs w:val="20"/>
              </w:rPr>
              <w:t>–</w:t>
            </w:r>
          </w:p>
        </w:tc>
      </w:tr>
      <w:tr w:rsidR="005A79C9" w:rsidRPr="005A79C9" w14:paraId="0B7C1700" w14:textId="77777777" w:rsidTr="00196E43">
        <w:trPr>
          <w:trHeight w:val="177"/>
        </w:trPr>
        <w:tc>
          <w:tcPr>
            <w:tcW w:w="1196" w:type="dxa"/>
            <w:vMerge w:val="restart"/>
          </w:tcPr>
          <w:p w14:paraId="68F052D1" w14:textId="77777777" w:rsidR="005A79C9" w:rsidRPr="005A79C9" w:rsidRDefault="005A79C9" w:rsidP="005A79C9">
            <w:pPr>
              <w:ind w:left="0" w:right="0"/>
              <w:rPr>
                <w:sz w:val="20"/>
                <w:szCs w:val="20"/>
              </w:rPr>
            </w:pPr>
            <w:r w:rsidRPr="005A79C9">
              <w:rPr>
                <w:sz w:val="20"/>
                <w:szCs w:val="20"/>
              </w:rPr>
              <w:t>Missing informatio</w:t>
            </w:r>
            <w:r w:rsidRPr="005A79C9">
              <w:rPr>
                <w:sz w:val="20"/>
                <w:szCs w:val="20"/>
              </w:rPr>
              <w:lastRenderedPageBreak/>
              <w:t>n</w:t>
            </w:r>
          </w:p>
        </w:tc>
        <w:tc>
          <w:tcPr>
            <w:tcW w:w="3245" w:type="dxa"/>
          </w:tcPr>
          <w:p w14:paraId="66A5F889" w14:textId="77777777" w:rsidR="005A79C9" w:rsidRPr="005A79C9" w:rsidRDefault="005A79C9" w:rsidP="005A79C9">
            <w:pPr>
              <w:ind w:left="0" w:right="0"/>
              <w:rPr>
                <w:sz w:val="20"/>
                <w:szCs w:val="20"/>
              </w:rPr>
            </w:pPr>
            <w:r w:rsidRPr="005A79C9">
              <w:rPr>
                <w:sz w:val="20"/>
                <w:szCs w:val="20"/>
              </w:rPr>
              <w:lastRenderedPageBreak/>
              <w:t>Safety profile in pregnant and lactating women</w:t>
            </w:r>
          </w:p>
        </w:tc>
        <w:tc>
          <w:tcPr>
            <w:tcW w:w="894" w:type="dxa"/>
          </w:tcPr>
          <w:p w14:paraId="083C8D18" w14:textId="77777777" w:rsidR="005A79C9" w:rsidRPr="005A79C9" w:rsidRDefault="005A79C9" w:rsidP="005A79C9">
            <w:pPr>
              <w:ind w:left="0" w:right="0"/>
              <w:rPr>
                <w:sz w:val="20"/>
                <w:szCs w:val="20"/>
              </w:rPr>
            </w:pPr>
            <w:r w:rsidRPr="005A79C9">
              <w:rPr>
                <w:sz w:val="20"/>
                <w:szCs w:val="20"/>
              </w:rPr>
              <w:sym w:font="Wingdings" w:char="F0FC"/>
            </w:r>
          </w:p>
        </w:tc>
        <w:tc>
          <w:tcPr>
            <w:tcW w:w="1150" w:type="dxa"/>
          </w:tcPr>
          <w:p w14:paraId="15FD85B9" w14:textId="77777777" w:rsidR="005A79C9" w:rsidRPr="005A79C9" w:rsidRDefault="005A79C9" w:rsidP="005A79C9">
            <w:pPr>
              <w:ind w:left="0" w:right="0"/>
              <w:rPr>
                <w:sz w:val="20"/>
                <w:szCs w:val="20"/>
              </w:rPr>
            </w:pPr>
            <w:r w:rsidRPr="005A79C9">
              <w:rPr>
                <w:sz w:val="20"/>
                <w:szCs w:val="20"/>
              </w:rPr>
              <w:sym w:font="Wingdings" w:char="F0FC"/>
            </w:r>
          </w:p>
        </w:tc>
        <w:tc>
          <w:tcPr>
            <w:tcW w:w="894" w:type="dxa"/>
          </w:tcPr>
          <w:p w14:paraId="39FFBFEE" w14:textId="77777777" w:rsidR="005A79C9" w:rsidRPr="005A79C9" w:rsidRDefault="005A79C9" w:rsidP="005A79C9">
            <w:pPr>
              <w:ind w:left="0" w:right="0"/>
              <w:rPr>
                <w:sz w:val="20"/>
                <w:szCs w:val="20"/>
              </w:rPr>
            </w:pPr>
            <w:r w:rsidRPr="005A79C9">
              <w:rPr>
                <w:sz w:val="20"/>
                <w:szCs w:val="20"/>
              </w:rPr>
              <w:sym w:font="Wingdings" w:char="F0FC"/>
            </w:r>
          </w:p>
        </w:tc>
        <w:tc>
          <w:tcPr>
            <w:tcW w:w="1154" w:type="dxa"/>
          </w:tcPr>
          <w:p w14:paraId="2372F05E" w14:textId="77777777" w:rsidR="005A79C9" w:rsidRPr="005A79C9" w:rsidRDefault="005A79C9" w:rsidP="005A79C9">
            <w:pPr>
              <w:ind w:left="0" w:right="0"/>
              <w:rPr>
                <w:sz w:val="20"/>
                <w:szCs w:val="20"/>
              </w:rPr>
            </w:pPr>
            <w:r w:rsidRPr="005A79C9">
              <w:rPr>
                <w:sz w:val="20"/>
                <w:szCs w:val="20"/>
              </w:rPr>
              <w:t>–</w:t>
            </w:r>
          </w:p>
        </w:tc>
      </w:tr>
      <w:tr w:rsidR="005A79C9" w:rsidRPr="005A79C9" w14:paraId="6D24D163" w14:textId="77777777" w:rsidTr="00196E43">
        <w:trPr>
          <w:trHeight w:val="139"/>
        </w:trPr>
        <w:tc>
          <w:tcPr>
            <w:tcW w:w="1196" w:type="dxa"/>
            <w:vMerge/>
          </w:tcPr>
          <w:p w14:paraId="328B0E1A" w14:textId="77777777" w:rsidR="005A79C9" w:rsidRPr="005A79C9" w:rsidRDefault="005A79C9" w:rsidP="005A79C9">
            <w:pPr>
              <w:ind w:left="0" w:right="0"/>
              <w:rPr>
                <w:sz w:val="20"/>
                <w:szCs w:val="20"/>
              </w:rPr>
            </w:pPr>
          </w:p>
        </w:tc>
        <w:tc>
          <w:tcPr>
            <w:tcW w:w="3245" w:type="dxa"/>
          </w:tcPr>
          <w:p w14:paraId="1BA8D0A4" w14:textId="77777777" w:rsidR="005A79C9" w:rsidRPr="005A79C9" w:rsidRDefault="005A79C9" w:rsidP="005A79C9">
            <w:pPr>
              <w:ind w:left="0" w:right="0"/>
              <w:rPr>
                <w:sz w:val="20"/>
                <w:szCs w:val="20"/>
              </w:rPr>
            </w:pPr>
            <w:r w:rsidRPr="005A79C9">
              <w:rPr>
                <w:sz w:val="20"/>
                <w:szCs w:val="20"/>
              </w:rPr>
              <w:t>Safety profile of long</w:t>
            </w:r>
            <w:r w:rsidR="00F971ED">
              <w:rPr>
                <w:sz w:val="20"/>
                <w:szCs w:val="20"/>
              </w:rPr>
              <w:t xml:space="preserve"> t</w:t>
            </w:r>
            <w:r w:rsidRPr="005A79C9">
              <w:rPr>
                <w:sz w:val="20"/>
                <w:szCs w:val="20"/>
              </w:rPr>
              <w:t>erm use of benralizumab 30 mg SC</w:t>
            </w:r>
          </w:p>
        </w:tc>
        <w:tc>
          <w:tcPr>
            <w:tcW w:w="894" w:type="dxa"/>
          </w:tcPr>
          <w:p w14:paraId="3658EB36" w14:textId="77777777" w:rsidR="005A79C9" w:rsidRPr="005A79C9" w:rsidRDefault="005A79C9" w:rsidP="005A79C9">
            <w:pPr>
              <w:ind w:left="0" w:right="0"/>
              <w:rPr>
                <w:sz w:val="20"/>
                <w:szCs w:val="20"/>
              </w:rPr>
            </w:pPr>
            <w:r w:rsidRPr="005A79C9">
              <w:rPr>
                <w:sz w:val="20"/>
                <w:szCs w:val="20"/>
              </w:rPr>
              <w:sym w:font="Wingdings" w:char="F0FC"/>
            </w:r>
          </w:p>
        </w:tc>
        <w:tc>
          <w:tcPr>
            <w:tcW w:w="1150" w:type="dxa"/>
          </w:tcPr>
          <w:p w14:paraId="0C4442F9" w14:textId="77777777" w:rsidR="005A79C9" w:rsidRPr="005A79C9" w:rsidRDefault="005A79C9" w:rsidP="005A79C9">
            <w:pPr>
              <w:ind w:left="0" w:right="0"/>
              <w:rPr>
                <w:sz w:val="20"/>
                <w:szCs w:val="20"/>
              </w:rPr>
            </w:pPr>
            <w:r w:rsidRPr="005A79C9">
              <w:rPr>
                <w:sz w:val="20"/>
                <w:szCs w:val="20"/>
              </w:rPr>
              <w:sym w:font="Wingdings" w:char="F0FC"/>
            </w:r>
          </w:p>
        </w:tc>
        <w:tc>
          <w:tcPr>
            <w:tcW w:w="894" w:type="dxa"/>
          </w:tcPr>
          <w:p w14:paraId="31CA0175" w14:textId="77777777" w:rsidR="005A79C9" w:rsidRPr="005A79C9" w:rsidRDefault="005A79C9" w:rsidP="005A79C9">
            <w:pPr>
              <w:ind w:left="0" w:right="0"/>
              <w:rPr>
                <w:sz w:val="20"/>
                <w:szCs w:val="20"/>
              </w:rPr>
            </w:pPr>
            <w:r w:rsidRPr="005A79C9">
              <w:rPr>
                <w:sz w:val="20"/>
                <w:szCs w:val="20"/>
              </w:rPr>
              <w:sym w:font="Wingdings" w:char="F0FC"/>
            </w:r>
          </w:p>
        </w:tc>
        <w:tc>
          <w:tcPr>
            <w:tcW w:w="1154" w:type="dxa"/>
          </w:tcPr>
          <w:p w14:paraId="2DA6A56B" w14:textId="77777777" w:rsidR="005A79C9" w:rsidRPr="005A79C9" w:rsidRDefault="005A79C9" w:rsidP="005A79C9">
            <w:pPr>
              <w:ind w:left="0" w:right="0"/>
              <w:rPr>
                <w:sz w:val="20"/>
                <w:szCs w:val="20"/>
              </w:rPr>
            </w:pPr>
            <w:r w:rsidRPr="005A79C9">
              <w:rPr>
                <w:sz w:val="20"/>
                <w:szCs w:val="20"/>
              </w:rPr>
              <w:t>–</w:t>
            </w:r>
          </w:p>
        </w:tc>
      </w:tr>
    </w:tbl>
    <w:p w14:paraId="604F523C" w14:textId="77777777" w:rsidR="005A79C9" w:rsidRPr="005A79C9" w:rsidRDefault="005A79C9" w:rsidP="005A79C9">
      <w:pPr>
        <w:pStyle w:val="ListBullet"/>
      </w:pPr>
      <w:r w:rsidRPr="005A79C9">
        <w:lastRenderedPageBreak/>
        <w:t>Additional pharmacovigilance activities include two ongoing clinical trials (BORA and MELTEMI) which will provide information regarding the safety profile of long term use of benralizumab and a planned Post-Marketing Surveillance Study (VAMPSS) which will study safety in pregnant and lactating women.</w:t>
      </w:r>
    </w:p>
    <w:p w14:paraId="5E12B7BD" w14:textId="2AA89B1B" w:rsidR="005A79C9" w:rsidRPr="005A79C9" w:rsidRDefault="005A79C9" w:rsidP="005A79C9">
      <w:pPr>
        <w:pStyle w:val="ListBullet"/>
      </w:pPr>
      <w:r w:rsidRPr="005A79C9">
        <w:t xml:space="preserve">At </w:t>
      </w:r>
      <w:r w:rsidR="00196E43">
        <w:t>the second round</w:t>
      </w:r>
      <w:r w:rsidRPr="005A79C9">
        <w:t xml:space="preserve">, there is an additional pharmacovigilance activity, a planned post approval measure, which aims to </w:t>
      </w:r>
      <w:r w:rsidR="00AD6903" w:rsidRPr="005A79C9">
        <w:t>characteri</w:t>
      </w:r>
      <w:r w:rsidR="00AD6903">
        <w:t>s</w:t>
      </w:r>
      <w:r w:rsidR="00AD6903" w:rsidRPr="005A79C9">
        <w:t xml:space="preserve">e </w:t>
      </w:r>
      <w:r w:rsidRPr="005A79C9">
        <w:t>t</w:t>
      </w:r>
      <w:r w:rsidR="00196E43">
        <w:t xml:space="preserve">he risk of malignancy in a real </w:t>
      </w:r>
      <w:r w:rsidRPr="005A79C9">
        <w:t>world setting. A protocol by end Q2/2018 is expected for PRAC/CHMP agreement.</w:t>
      </w:r>
    </w:p>
    <w:p w14:paraId="0F1FB5BD" w14:textId="77777777" w:rsidR="005A79C9" w:rsidRPr="005A79C9" w:rsidRDefault="005A79C9" w:rsidP="005A79C9">
      <w:pPr>
        <w:pStyle w:val="ListBullet"/>
      </w:pPr>
      <w:r w:rsidRPr="005A79C9">
        <w:t>There are no additional risk minimisation activities. This is consistent with the risk minimisation requirements for similar products. Routine risk minimisation is not proposed for the potential risks of serious infections and malignancies</w:t>
      </w:r>
      <w:r w:rsidR="00196E43">
        <w:t>.</w:t>
      </w:r>
    </w:p>
    <w:p w14:paraId="4E8BD299" w14:textId="77777777" w:rsidR="00456765" w:rsidRDefault="00456765" w:rsidP="00456765">
      <w:pPr>
        <w:pStyle w:val="Heading4"/>
      </w:pPr>
      <w:bookmarkStart w:id="219" w:name="_Toc477354123"/>
      <w:r>
        <w:t>New and outstanding recommendations from second round evaluation</w:t>
      </w:r>
      <w:bookmarkEnd w:id="219"/>
    </w:p>
    <w:p w14:paraId="651B2799" w14:textId="22D06B5D" w:rsidR="005A79C9" w:rsidRPr="005A79C9" w:rsidRDefault="005A79C9" w:rsidP="00196E43">
      <w:r w:rsidRPr="005A79C9">
        <w:t xml:space="preserve">The </w:t>
      </w:r>
      <w:proofErr w:type="gramStart"/>
      <w:r w:rsidRPr="005A79C9">
        <w:t xml:space="preserve">recommendations made in the </w:t>
      </w:r>
      <w:r w:rsidR="00196E43">
        <w:t>first round</w:t>
      </w:r>
      <w:r w:rsidRPr="005A79C9">
        <w:t xml:space="preserve"> evaluation,</w:t>
      </w:r>
      <w:r>
        <w:t xml:space="preserve"> </w:t>
      </w:r>
      <w:r w:rsidRPr="005A79C9">
        <w:t xml:space="preserve">along with consideration of the </w:t>
      </w:r>
      <w:r w:rsidR="007504A5">
        <w:t>sponsor</w:t>
      </w:r>
      <w:r w:rsidRPr="005A79C9">
        <w:t xml:space="preserve"> response, </w:t>
      </w:r>
      <w:r>
        <w:t>was</w:t>
      </w:r>
      <w:proofErr w:type="gramEnd"/>
      <w:r>
        <w:t xml:space="preserve"> provided</w:t>
      </w:r>
      <w:r w:rsidRPr="005A79C9">
        <w:t>.</w:t>
      </w:r>
    </w:p>
    <w:p w14:paraId="366C3EC8" w14:textId="6F1F5B1B" w:rsidR="00F1018F" w:rsidRPr="00F1018F" w:rsidRDefault="00F1018F" w:rsidP="00F1018F">
      <w:pPr>
        <w:pStyle w:val="Heading4"/>
      </w:pPr>
      <w:bookmarkStart w:id="220" w:name="_Toc477354124"/>
      <w:r w:rsidRPr="00F1018F">
        <w:t>Proposed wording for conditions of registration</w:t>
      </w:r>
      <w:bookmarkEnd w:id="220"/>
    </w:p>
    <w:p w14:paraId="71B15CC3" w14:textId="77777777" w:rsidR="00E14798" w:rsidRDefault="00F1018F" w:rsidP="00F1018F">
      <w:r w:rsidRPr="00F1018F">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E14798">
        <w:t>.</w:t>
      </w:r>
    </w:p>
    <w:p w14:paraId="3C40AA70" w14:textId="77777777" w:rsidR="00196E43" w:rsidRDefault="00F1018F" w:rsidP="00196E43">
      <w:r w:rsidRPr="009D7ED7">
        <w:t>The suggested wording is</w:t>
      </w:r>
      <w:r w:rsidR="00196E43">
        <w:t>:</w:t>
      </w:r>
    </w:p>
    <w:p w14:paraId="01153936" w14:textId="71EF5221" w:rsidR="002F6581" w:rsidRPr="001F346F" w:rsidRDefault="002F6581" w:rsidP="001F346F">
      <w:pPr>
        <w:ind w:left="720"/>
        <w:rPr>
          <w:i/>
        </w:rPr>
      </w:pPr>
      <w:r w:rsidRPr="001F346F">
        <w:rPr>
          <w:i/>
        </w:rPr>
        <w:t>The Fasenra EU-Risk Management Plan (RMP) (version 1.0 Edition 4.0, dated 14 November 2017, data lock point 29 September 2016), with Australian Specific Annex (version 3.0, dated 8 March 2018), included with submission PM-2016-04636-1-5, and any subsequent revisions, as agreed with the TGA will be implemented in Australia.</w:t>
      </w:r>
    </w:p>
    <w:p w14:paraId="2640778E" w14:textId="77777777" w:rsidR="002F6581" w:rsidRPr="00940FEE" w:rsidRDefault="002F6581" w:rsidP="002F6581">
      <w:pPr>
        <w:pStyle w:val="Standard"/>
      </w:pPr>
      <w:r w:rsidRPr="00940FEE">
        <w:t>The following wording is recommended for the PSUR requirement:</w:t>
      </w:r>
    </w:p>
    <w:p w14:paraId="12373923" w14:textId="77777777" w:rsidR="002F6581" w:rsidRPr="001F346F" w:rsidRDefault="002F6581" w:rsidP="001F346F">
      <w:pPr>
        <w:ind w:left="567"/>
        <w:rPr>
          <w:i/>
        </w:rPr>
      </w:pPr>
      <w:r w:rsidRPr="001F346F">
        <w:rPr>
          <w:i/>
        </w:rPr>
        <w:t>An obligatory component of risk management plans is routine pharmacovigilance. Routine pharmacovigilance includes the submission of Periodic Safety Update Reports (PSURs).</w:t>
      </w:r>
    </w:p>
    <w:p w14:paraId="6B97BBAE" w14:textId="77777777" w:rsidR="002F6581" w:rsidRPr="001F346F" w:rsidRDefault="002F6581" w:rsidP="001F346F">
      <w:pPr>
        <w:ind w:left="567"/>
        <w:rPr>
          <w:i/>
        </w:rPr>
      </w:pPr>
      <w:r w:rsidRPr="001F346F">
        <w:rPr>
          <w:i/>
        </w:rPr>
        <w:t>Reports are to be provided in line with the current published list of EU reference dates and frequency of submission of PSURs until the period covered by such reports is not less than three years from the date of this approval letter.</w:t>
      </w:r>
    </w:p>
    <w:p w14:paraId="3708011A" w14:textId="77777777" w:rsidR="002F6581" w:rsidRPr="001F346F" w:rsidRDefault="002F6581" w:rsidP="001F346F">
      <w:pPr>
        <w:ind w:left="567"/>
        <w:rPr>
          <w:i/>
        </w:rPr>
      </w:pPr>
      <w:r w:rsidRPr="001F346F">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91F207B" w14:textId="77777777" w:rsidR="002F6581" w:rsidRPr="001F346F" w:rsidRDefault="002F6581" w:rsidP="001F346F">
      <w:r w:rsidRPr="001F346F">
        <w:t xml:space="preserve">As Fasenra is new biological entity it should be included in the Black Triangle Scheme as a condition of registration. The following wording is recommended for the condition of registration: </w:t>
      </w:r>
    </w:p>
    <w:p w14:paraId="4A2DE6F3" w14:textId="052EB334" w:rsidR="002F6581" w:rsidRPr="001F346F" w:rsidRDefault="002F6581" w:rsidP="001F346F">
      <w:pPr>
        <w:ind w:left="720"/>
        <w:rPr>
          <w:i/>
        </w:rPr>
      </w:pPr>
      <w:r w:rsidRPr="001F346F">
        <w:rPr>
          <w:i/>
        </w:rPr>
        <w:lastRenderedPageBreak/>
        <w:t>Fasenra (benralizumab) is to be included in the Black Triangle Scheme. The PI and CMI for Fasenra must include the black triangle symbol and mandatory accompanying text for five years, which starts from the date that the sponsor notifies the TGA of supply of the product.</w:t>
      </w:r>
    </w:p>
    <w:p w14:paraId="62EB5C72" w14:textId="33533483" w:rsidR="008E7846" w:rsidRPr="00792A32" w:rsidRDefault="008E7846" w:rsidP="008E7846">
      <w:pPr>
        <w:pStyle w:val="Heading2"/>
      </w:pPr>
      <w:bookmarkStart w:id="221" w:name="_Toc1653600"/>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7"/>
      <w:bookmarkEnd w:id="217"/>
      <w:bookmarkEnd w:id="218"/>
      <w:bookmarkEnd w:id="221"/>
    </w:p>
    <w:p w14:paraId="7A467CD1" w14:textId="77777777" w:rsidR="008E7846" w:rsidRDefault="008E7846" w:rsidP="008E7846">
      <w:bookmarkStart w:id="222" w:name="_Toc247691528"/>
      <w:r>
        <w:t xml:space="preserve">The submission was summarised in the following </w:t>
      </w:r>
      <w:r w:rsidR="00CF0D26">
        <w:t>Delegate</w:t>
      </w:r>
      <w:r w:rsidRPr="00EF5C48">
        <w:t xml:space="preserve">’s </w:t>
      </w:r>
      <w:r>
        <w:t>overview</w:t>
      </w:r>
      <w:r w:rsidRPr="00EF5C48">
        <w:t xml:space="preserve"> and recommendation</w:t>
      </w:r>
      <w:r>
        <w:t>s:</w:t>
      </w:r>
    </w:p>
    <w:p w14:paraId="7D2F6458" w14:textId="77777777" w:rsidR="00EC4D39" w:rsidRPr="00196E43" w:rsidRDefault="00EC4D39" w:rsidP="00196E43">
      <w:pPr>
        <w:pStyle w:val="Heading3"/>
      </w:pPr>
      <w:bookmarkStart w:id="223" w:name="_Toc1653601"/>
      <w:r w:rsidRPr="00196E43">
        <w:t>Background</w:t>
      </w:r>
      <w:bookmarkEnd w:id="223"/>
    </w:p>
    <w:p w14:paraId="1E297F14" w14:textId="77777777" w:rsidR="00EC4D39" w:rsidRPr="00196E43" w:rsidRDefault="00EC4D39" w:rsidP="00196E43">
      <w:pPr>
        <w:rPr>
          <w:rFonts w:asciiTheme="minorHAnsi" w:eastAsiaTheme="minorHAnsi" w:hAnsiTheme="minorHAnsi" w:cs="Cambria"/>
        </w:rPr>
      </w:pPr>
      <w:r w:rsidRPr="000667F2">
        <w:rPr>
          <w:w w:val="102"/>
        </w:rPr>
        <w:t xml:space="preserve">Benralizumab is a fully humanised </w:t>
      </w:r>
      <w:proofErr w:type="spellStart"/>
      <w:r w:rsidRPr="000667F2">
        <w:rPr>
          <w:w w:val="102"/>
        </w:rPr>
        <w:t>afucosylated</w:t>
      </w:r>
      <w:proofErr w:type="spellEnd"/>
      <w:r w:rsidRPr="000667F2">
        <w:rPr>
          <w:w w:val="102"/>
        </w:rPr>
        <w:t xml:space="preserve"> IgG1κ </w:t>
      </w:r>
      <w:proofErr w:type="spellStart"/>
      <w:r w:rsidRPr="000667F2">
        <w:rPr>
          <w:w w:val="102"/>
        </w:rPr>
        <w:t>mAb</w:t>
      </w:r>
      <w:proofErr w:type="spellEnd"/>
      <w:r w:rsidRPr="000667F2">
        <w:rPr>
          <w:w w:val="102"/>
        </w:rPr>
        <w:t xml:space="preserve"> that binds to an epitope on IL-5Rα. </w:t>
      </w:r>
      <w:r w:rsidRPr="00196E43">
        <w:t xml:space="preserve">This is in close proximity to the IL-5 binding site and thus inhibits IL-5R signalling, independent of ligand. </w:t>
      </w:r>
      <w:proofErr w:type="spellStart"/>
      <w:r w:rsidRPr="00196E43">
        <w:t>Afucosylation</w:t>
      </w:r>
      <w:proofErr w:type="spellEnd"/>
      <w:r w:rsidRPr="00196E43">
        <w:t xml:space="preserve"> enhances the interaction of benralizumab with its binding site</w:t>
      </w:r>
      <w:r w:rsidR="00E14798" w:rsidRPr="00196E43">
        <w:t>.</w:t>
      </w:r>
      <w:r w:rsidR="00E14798" w:rsidRPr="00196E43">
        <w:rPr>
          <w:vertAlign w:val="superscript"/>
        </w:rPr>
        <w:footnoteReference w:id="18"/>
      </w:r>
      <w:r w:rsidRPr="00196E43">
        <w:t xml:space="preserve"> Interleukin-5 (IL-5) is</w:t>
      </w:r>
      <w:r w:rsidRPr="000667F2">
        <w:rPr>
          <w:w w:val="102"/>
        </w:rPr>
        <w:t xml:space="preserve"> predominantly a T-cell derived cytokine. IL-5 </w:t>
      </w:r>
      <w:r w:rsidRPr="000667F2">
        <w:t>is known to play a pivotal role in promoting the growth, differentiation, and maturation of eosinophils in bone marrow and the recruitment, activation, and survival of this cell type in tissues</w:t>
      </w:r>
      <w:r w:rsidR="00E14798">
        <w:t>.</w:t>
      </w:r>
      <w:r w:rsidR="00E14798">
        <w:rPr>
          <w:rStyle w:val="FootnoteReference"/>
          <w:sz w:val="21"/>
          <w:szCs w:val="21"/>
        </w:rPr>
        <w:footnoteReference w:id="19"/>
      </w:r>
      <w:r w:rsidRPr="000667F2">
        <w:t xml:space="preserve"> Accumulation of eosinophils in the airway is a </w:t>
      </w:r>
      <w:r w:rsidR="008A4A1D">
        <w:t>well-defined</w:t>
      </w:r>
      <w:r w:rsidRPr="000667F2">
        <w:t xml:space="preserve"> feature in asthmatics. Around 50% of asthmatics have an eosinophilic </w:t>
      </w:r>
      <w:r w:rsidR="008A4A1D">
        <w:t xml:space="preserve">phenotype. They release granule </w:t>
      </w:r>
      <w:r w:rsidRPr="000667F2">
        <w:t>derived basic proteins, lipid mediators, cytokines, and chemokines that potentiate airway inflammation, contribute to lung tissue remodelling, and are associated with severe asthma exacerbations</w:t>
      </w:r>
      <w:r w:rsidR="00E14798">
        <w:t>.</w:t>
      </w:r>
      <w:r w:rsidR="00E14798">
        <w:rPr>
          <w:rStyle w:val="FootnoteReference"/>
          <w:sz w:val="21"/>
          <w:szCs w:val="21"/>
        </w:rPr>
        <w:footnoteReference w:id="20"/>
      </w:r>
    </w:p>
    <w:p w14:paraId="38FCE687" w14:textId="1506B957" w:rsidR="00E14798" w:rsidRDefault="00EC4D39" w:rsidP="00196E43">
      <w:r w:rsidRPr="00F0660D">
        <w:t>When a diagnosis of asthma is confirmed and comorbidities have been addressed, severe asthma is defined as ‘‘asthma which requires treatment with high dose inhaled corticosteroids (ICS) plus a second controller (and/or systemic corticosteroids) to prevent it from becoming ‘uncontrolled’ or which remains ‘uncontrolled’ despite this therapy</w:t>
      </w:r>
      <w:r w:rsidR="005236C7">
        <w:t>’</w:t>
      </w:r>
      <w:r w:rsidR="00E14798">
        <w:t>.</w:t>
      </w:r>
      <w:bookmarkStart w:id="224" w:name="_Ref530131334"/>
      <w:r w:rsidR="00E14798">
        <w:rPr>
          <w:rStyle w:val="FootnoteReference"/>
          <w:i/>
        </w:rPr>
        <w:footnoteReference w:id="21"/>
      </w:r>
      <w:bookmarkEnd w:id="224"/>
      <w:r>
        <w:t xml:space="preserve"> </w:t>
      </w:r>
      <w:r w:rsidRPr="001840BB">
        <w:t>In Australia, 1 in 10 individuals are estimated to have asthma. Globally, 10% of asthmatics are estimated to have severe asthma.</w:t>
      </w:r>
      <w:r>
        <w:t xml:space="preserve"> </w:t>
      </w:r>
      <w:r w:rsidRPr="00F0660D">
        <w:t xml:space="preserve">Current treatment regimen for severe asthma consists of high dose </w:t>
      </w:r>
      <w:r w:rsidR="00196E43">
        <w:t>ICS</w:t>
      </w:r>
      <w:r w:rsidRPr="00F0660D">
        <w:t xml:space="preserve">, </w:t>
      </w:r>
      <w:r w:rsidR="00833817">
        <w:t>o</w:t>
      </w:r>
      <w:r w:rsidR="00833817" w:rsidRPr="00F0660D">
        <w:t xml:space="preserve">ral </w:t>
      </w:r>
      <w:r w:rsidR="00833817">
        <w:t>c</w:t>
      </w:r>
      <w:r w:rsidR="00833817" w:rsidRPr="00F0660D">
        <w:t xml:space="preserve">orticosteroids </w:t>
      </w:r>
      <w:r w:rsidRPr="00F0660D">
        <w:t xml:space="preserve">(OCS), short and long acting beta-2 agonists, slow release theophylline, leukotriene pathway modifiers and long acting muscarinic agonists. In the absence of validated surrogate markers to differentiate </w:t>
      </w:r>
      <w:proofErr w:type="spellStart"/>
      <w:r w:rsidRPr="00F0660D">
        <w:t>endotypes</w:t>
      </w:r>
      <w:proofErr w:type="spellEnd"/>
      <w:r w:rsidRPr="00F0660D">
        <w:t>, achieving optimal response to treatment is a challenge. Moreover, treating this patient cohort with high dose ICS/OCS for extended period of time to attain asthma control exposes them to a mu</w:t>
      </w:r>
      <w:r w:rsidR="00196E43">
        <w:t xml:space="preserve">ltitude of steroid related side </w:t>
      </w:r>
      <w:r w:rsidRPr="00F0660D">
        <w:t>effects</w:t>
      </w:r>
      <w:r w:rsidR="00E14798">
        <w:t>.</w:t>
      </w:r>
    </w:p>
    <w:p w14:paraId="59248EBA" w14:textId="39E5E43B" w:rsidR="00EC4D39" w:rsidRDefault="00EC4D39" w:rsidP="00196E43">
      <w:r>
        <w:t>Emerging e</w:t>
      </w:r>
      <w:r w:rsidRPr="00F0660D">
        <w:t xml:space="preserve">vidence to suggest an association between increased blood eosinophil level in asthma and future exacerbations, decline in lung function, </w:t>
      </w:r>
      <w:r>
        <w:t>and asthma control</w:t>
      </w:r>
      <w:r w:rsidR="00833817">
        <w:t>;</w:t>
      </w:r>
      <w:r w:rsidR="00E14798">
        <w:rPr>
          <w:rStyle w:val="FootnoteReference"/>
        </w:rPr>
        <w:footnoteReference w:id="22"/>
      </w:r>
      <w:r>
        <w:t xml:space="preserve"> </w:t>
      </w:r>
      <w:r w:rsidRPr="00F0660D">
        <w:t xml:space="preserve">has led to use of </w:t>
      </w:r>
      <w:r>
        <w:t xml:space="preserve">blood eosinophil level </w:t>
      </w:r>
      <w:r w:rsidRPr="00F0660D">
        <w:t>as one of the first and readily available biomarkers in the treatment of severe asthma</w:t>
      </w:r>
      <w:r>
        <w:t>.</w:t>
      </w:r>
    </w:p>
    <w:p w14:paraId="6A844C8F" w14:textId="2B75361A" w:rsidR="00EC4D39" w:rsidRPr="008F32C9" w:rsidRDefault="00EC4D39" w:rsidP="00196E43">
      <w:pPr>
        <w:pStyle w:val="TableTitle"/>
      </w:pPr>
      <w:r w:rsidRPr="008F32C9">
        <w:lastRenderedPageBreak/>
        <w:t xml:space="preserve">Table </w:t>
      </w:r>
      <w:r w:rsidR="005B2C53">
        <w:fldChar w:fldCharType="begin"/>
      </w:r>
      <w:r w:rsidR="005B2C53">
        <w:instrText xml:space="preserve"> SEQ Table \* ARABIC </w:instrText>
      </w:r>
      <w:r w:rsidR="005B2C53">
        <w:fldChar w:fldCharType="separate"/>
      </w:r>
      <w:r w:rsidR="00E02FD3">
        <w:rPr>
          <w:noProof/>
        </w:rPr>
        <w:t>1</w:t>
      </w:r>
      <w:r w:rsidR="005B2C53">
        <w:rPr>
          <w:noProof/>
        </w:rPr>
        <w:fldChar w:fldCharType="end"/>
      </w:r>
      <w:r w:rsidR="006A44F0">
        <w:rPr>
          <w:noProof/>
        </w:rPr>
        <w:t>6</w:t>
      </w:r>
      <w:r w:rsidRPr="008F32C9">
        <w:t xml:space="preserve">: TGA approved </w:t>
      </w:r>
      <w:r w:rsidRPr="00C44A07">
        <w:t>anti</w:t>
      </w:r>
      <w:r w:rsidRPr="008F32C9">
        <w:t>-IL</w:t>
      </w:r>
      <w:r w:rsidR="00833817">
        <w:t> </w:t>
      </w:r>
      <w:r w:rsidRPr="008F32C9">
        <w:t>5 monoclonal antibodies</w:t>
      </w:r>
    </w:p>
    <w:tbl>
      <w:tblPr>
        <w:tblStyle w:val="TableTGAblue"/>
        <w:tblW w:w="0" w:type="auto"/>
        <w:tblLook w:val="04A0" w:firstRow="1" w:lastRow="0" w:firstColumn="1" w:lastColumn="0" w:noHBand="0" w:noVBand="1"/>
      </w:tblPr>
      <w:tblGrid>
        <w:gridCol w:w="1587"/>
        <w:gridCol w:w="1439"/>
        <w:gridCol w:w="1651"/>
        <w:gridCol w:w="1969"/>
        <w:gridCol w:w="2074"/>
      </w:tblGrid>
      <w:tr w:rsidR="00196E43" w:rsidRPr="008A4A1D" w14:paraId="3F08E3D5" w14:textId="77777777" w:rsidTr="00196E43">
        <w:trPr>
          <w:cnfStyle w:val="100000000000" w:firstRow="1" w:lastRow="0" w:firstColumn="0" w:lastColumn="0" w:oddVBand="0" w:evenVBand="0" w:oddHBand="0" w:evenHBand="0" w:firstRowFirstColumn="0" w:firstRowLastColumn="0" w:lastRowFirstColumn="0" w:lastRowLastColumn="0"/>
        </w:trPr>
        <w:tc>
          <w:tcPr>
            <w:tcW w:w="0" w:type="auto"/>
          </w:tcPr>
          <w:p w14:paraId="707A05BA" w14:textId="77777777" w:rsidR="00EC4D39" w:rsidRPr="008A4A1D" w:rsidRDefault="00EC4D39" w:rsidP="00196E43">
            <w:pPr>
              <w:ind w:left="0"/>
              <w:rPr>
                <w:sz w:val="20"/>
                <w:szCs w:val="20"/>
              </w:rPr>
            </w:pPr>
          </w:p>
        </w:tc>
        <w:tc>
          <w:tcPr>
            <w:tcW w:w="0" w:type="auto"/>
          </w:tcPr>
          <w:p w14:paraId="143AB379" w14:textId="77777777" w:rsidR="00EC4D39" w:rsidRPr="008A4A1D" w:rsidRDefault="00EC4D39" w:rsidP="00196E43">
            <w:pPr>
              <w:ind w:left="0"/>
              <w:rPr>
                <w:sz w:val="20"/>
                <w:szCs w:val="20"/>
              </w:rPr>
            </w:pPr>
            <w:r w:rsidRPr="008A4A1D">
              <w:rPr>
                <w:sz w:val="20"/>
                <w:szCs w:val="20"/>
              </w:rPr>
              <w:t>Regulatory status</w:t>
            </w:r>
          </w:p>
        </w:tc>
        <w:tc>
          <w:tcPr>
            <w:tcW w:w="0" w:type="auto"/>
          </w:tcPr>
          <w:p w14:paraId="2B03E906" w14:textId="77777777" w:rsidR="00EC4D39" w:rsidRPr="008A4A1D" w:rsidRDefault="00EC4D39" w:rsidP="00196E43">
            <w:pPr>
              <w:ind w:left="0"/>
              <w:rPr>
                <w:sz w:val="20"/>
                <w:szCs w:val="20"/>
              </w:rPr>
            </w:pPr>
            <w:r w:rsidRPr="008A4A1D">
              <w:rPr>
                <w:sz w:val="20"/>
                <w:szCs w:val="20"/>
              </w:rPr>
              <w:t>Mechanism of action</w:t>
            </w:r>
          </w:p>
        </w:tc>
        <w:tc>
          <w:tcPr>
            <w:tcW w:w="0" w:type="auto"/>
          </w:tcPr>
          <w:p w14:paraId="500F4A45" w14:textId="77777777" w:rsidR="00EC4D39" w:rsidRPr="008A4A1D" w:rsidRDefault="00EC4D39" w:rsidP="00196E43">
            <w:pPr>
              <w:ind w:left="0"/>
              <w:rPr>
                <w:sz w:val="20"/>
                <w:szCs w:val="20"/>
              </w:rPr>
            </w:pPr>
            <w:r w:rsidRPr="008A4A1D">
              <w:rPr>
                <w:sz w:val="20"/>
                <w:szCs w:val="20"/>
              </w:rPr>
              <w:t>Indication</w:t>
            </w:r>
          </w:p>
        </w:tc>
        <w:tc>
          <w:tcPr>
            <w:tcW w:w="0" w:type="auto"/>
          </w:tcPr>
          <w:p w14:paraId="75A110A8" w14:textId="77777777" w:rsidR="00EC4D39" w:rsidRPr="008A4A1D" w:rsidRDefault="00EC4D39" w:rsidP="00196E43">
            <w:pPr>
              <w:ind w:left="0"/>
              <w:rPr>
                <w:sz w:val="20"/>
                <w:szCs w:val="20"/>
              </w:rPr>
            </w:pPr>
            <w:r w:rsidRPr="008A4A1D">
              <w:rPr>
                <w:sz w:val="20"/>
                <w:szCs w:val="20"/>
              </w:rPr>
              <w:t>Dosage and administration</w:t>
            </w:r>
          </w:p>
        </w:tc>
      </w:tr>
      <w:tr w:rsidR="00EC4D39" w:rsidRPr="008A4A1D" w14:paraId="05260EBF" w14:textId="77777777" w:rsidTr="00196E43">
        <w:tc>
          <w:tcPr>
            <w:tcW w:w="0" w:type="auto"/>
          </w:tcPr>
          <w:p w14:paraId="5319444F" w14:textId="3E01021E" w:rsidR="00EC4D39" w:rsidRPr="008A4A1D" w:rsidRDefault="00EC4D39" w:rsidP="00833817">
            <w:pPr>
              <w:ind w:left="0"/>
              <w:rPr>
                <w:sz w:val="20"/>
                <w:szCs w:val="20"/>
              </w:rPr>
            </w:pPr>
            <w:r w:rsidRPr="008A4A1D">
              <w:rPr>
                <w:sz w:val="20"/>
                <w:szCs w:val="20"/>
              </w:rPr>
              <w:t>Mepolizumab (Nucala)</w:t>
            </w:r>
            <w:r w:rsidR="00196E43" w:rsidRPr="008A4A1D">
              <w:rPr>
                <w:sz w:val="20"/>
                <w:szCs w:val="20"/>
              </w:rPr>
              <w:t xml:space="preserve"> </w:t>
            </w:r>
            <w:r w:rsidR="00833817">
              <w:rPr>
                <w:sz w:val="20"/>
                <w:szCs w:val="20"/>
              </w:rPr>
              <w:t>h</w:t>
            </w:r>
            <w:r w:rsidR="00833817" w:rsidRPr="008A4A1D">
              <w:rPr>
                <w:sz w:val="20"/>
                <w:szCs w:val="20"/>
              </w:rPr>
              <w:t xml:space="preserve">umanised </w:t>
            </w:r>
            <w:r w:rsidRPr="008A4A1D">
              <w:rPr>
                <w:sz w:val="20"/>
                <w:szCs w:val="20"/>
              </w:rPr>
              <w:t>anti-IL5 monoclonal antibody</w:t>
            </w:r>
          </w:p>
        </w:tc>
        <w:tc>
          <w:tcPr>
            <w:tcW w:w="0" w:type="auto"/>
          </w:tcPr>
          <w:p w14:paraId="0B5E740D" w14:textId="77777777" w:rsidR="00EC4D39" w:rsidRPr="008A4A1D" w:rsidRDefault="00196E43" w:rsidP="00196E43">
            <w:pPr>
              <w:ind w:left="0"/>
              <w:rPr>
                <w:sz w:val="20"/>
                <w:szCs w:val="20"/>
              </w:rPr>
            </w:pPr>
            <w:r w:rsidRPr="008A4A1D">
              <w:rPr>
                <w:sz w:val="20"/>
                <w:szCs w:val="20"/>
              </w:rPr>
              <w:t xml:space="preserve">ARTG ID: 232028. </w:t>
            </w:r>
            <w:r w:rsidR="00EC4D39" w:rsidRPr="008A4A1D">
              <w:rPr>
                <w:sz w:val="20"/>
                <w:szCs w:val="20"/>
              </w:rPr>
              <w:t>Approved on 02/2016</w:t>
            </w:r>
          </w:p>
        </w:tc>
        <w:tc>
          <w:tcPr>
            <w:tcW w:w="0" w:type="auto"/>
          </w:tcPr>
          <w:p w14:paraId="4196D909" w14:textId="77777777" w:rsidR="00EC4D39" w:rsidRPr="008A4A1D" w:rsidRDefault="00EC4D39" w:rsidP="00196E43">
            <w:pPr>
              <w:ind w:left="0"/>
              <w:rPr>
                <w:sz w:val="20"/>
                <w:szCs w:val="20"/>
              </w:rPr>
            </w:pPr>
            <w:r w:rsidRPr="008A4A1D">
              <w:rPr>
                <w:sz w:val="20"/>
                <w:szCs w:val="20"/>
              </w:rPr>
              <w:t>Mepolizumab binds to IL-5 ligand with high affinity and specificity and inhibits its bioactivity, thereby inhibiting IL-5 signalling and reducing the production and survival of eosinophils</w:t>
            </w:r>
            <w:r w:rsidR="00196E43" w:rsidRPr="008A4A1D">
              <w:rPr>
                <w:sz w:val="20"/>
                <w:szCs w:val="20"/>
              </w:rPr>
              <w:t>.</w:t>
            </w:r>
          </w:p>
        </w:tc>
        <w:tc>
          <w:tcPr>
            <w:tcW w:w="0" w:type="auto"/>
          </w:tcPr>
          <w:p w14:paraId="5310FE98" w14:textId="77777777" w:rsidR="00EC4D39" w:rsidRPr="008A4A1D" w:rsidRDefault="00EC4D39" w:rsidP="00196E43">
            <w:pPr>
              <w:ind w:left="0"/>
              <w:rPr>
                <w:sz w:val="20"/>
                <w:szCs w:val="20"/>
              </w:rPr>
            </w:pPr>
            <w:r w:rsidRPr="008A4A1D">
              <w:rPr>
                <w:sz w:val="20"/>
                <w:szCs w:val="20"/>
              </w:rPr>
              <w:t>N</w:t>
            </w:r>
            <w:r w:rsidR="00196E43" w:rsidRPr="008A4A1D">
              <w:rPr>
                <w:sz w:val="20"/>
                <w:szCs w:val="20"/>
              </w:rPr>
              <w:t xml:space="preserve">ucala is Indicated as </w:t>
            </w:r>
            <w:r w:rsidRPr="008A4A1D">
              <w:rPr>
                <w:sz w:val="20"/>
                <w:szCs w:val="20"/>
              </w:rPr>
              <w:t>a</w:t>
            </w:r>
            <w:r w:rsidR="00196E43" w:rsidRPr="008A4A1D">
              <w:rPr>
                <w:sz w:val="20"/>
                <w:szCs w:val="20"/>
              </w:rPr>
              <w:t>n add – on treatment for severe refractory eosinophilic asthma in patients aged 12 years and over</w:t>
            </w:r>
          </w:p>
        </w:tc>
        <w:tc>
          <w:tcPr>
            <w:tcW w:w="0" w:type="auto"/>
          </w:tcPr>
          <w:p w14:paraId="4E03DC44" w14:textId="77777777" w:rsidR="00EC4D39" w:rsidRPr="008A4A1D" w:rsidRDefault="00EC4D39" w:rsidP="00196E43">
            <w:pPr>
              <w:ind w:left="0"/>
              <w:rPr>
                <w:sz w:val="20"/>
                <w:szCs w:val="20"/>
              </w:rPr>
            </w:pPr>
            <w:r w:rsidRPr="008A4A1D">
              <w:rPr>
                <w:sz w:val="20"/>
                <w:szCs w:val="20"/>
              </w:rPr>
              <w:t>N</w:t>
            </w:r>
            <w:r w:rsidR="00196E43" w:rsidRPr="008A4A1D">
              <w:rPr>
                <w:sz w:val="20"/>
                <w:szCs w:val="20"/>
              </w:rPr>
              <w:t>ucala</w:t>
            </w:r>
            <w:r w:rsidRPr="008A4A1D">
              <w:rPr>
                <w:sz w:val="20"/>
                <w:szCs w:val="20"/>
              </w:rPr>
              <w:t xml:space="preserve"> is a sterile lyophilised powder for injection</w:t>
            </w:r>
            <w:r w:rsidR="00F971ED" w:rsidRPr="008A4A1D">
              <w:rPr>
                <w:sz w:val="20"/>
                <w:szCs w:val="20"/>
              </w:rPr>
              <w:t xml:space="preserve"> </w:t>
            </w:r>
            <w:r w:rsidRPr="008A4A1D">
              <w:rPr>
                <w:sz w:val="20"/>
                <w:szCs w:val="20"/>
              </w:rPr>
              <w:t>in a single – use vial. Each vial contains mepolizumab 100 mg (100 mg/ml after reconstitution). N</w:t>
            </w:r>
            <w:r w:rsidR="00196E43" w:rsidRPr="008A4A1D">
              <w:rPr>
                <w:sz w:val="20"/>
                <w:szCs w:val="20"/>
              </w:rPr>
              <w:t>ucala</w:t>
            </w:r>
            <w:r w:rsidRPr="008A4A1D">
              <w:rPr>
                <w:sz w:val="20"/>
                <w:szCs w:val="20"/>
              </w:rPr>
              <w:t xml:space="preserve"> should be reconstituted to 1ml solution and</w:t>
            </w:r>
            <w:r w:rsidR="00F971ED" w:rsidRPr="008A4A1D">
              <w:rPr>
                <w:sz w:val="20"/>
                <w:szCs w:val="20"/>
              </w:rPr>
              <w:t xml:space="preserve"> </w:t>
            </w:r>
            <w:r w:rsidRPr="008A4A1D">
              <w:rPr>
                <w:sz w:val="20"/>
                <w:szCs w:val="20"/>
              </w:rPr>
              <w:t>administered by a health care professional. The recommended dose is 1</w:t>
            </w:r>
            <w:r w:rsidR="00196E43" w:rsidRPr="008A4A1D">
              <w:rPr>
                <w:sz w:val="20"/>
                <w:szCs w:val="20"/>
              </w:rPr>
              <w:t>00 mg of Nucala administered by SC injection once every 4 weeks.</w:t>
            </w:r>
          </w:p>
        </w:tc>
      </w:tr>
      <w:tr w:rsidR="00EC4D39" w:rsidRPr="008A4A1D" w14:paraId="2A443D74" w14:textId="77777777" w:rsidTr="00196E43">
        <w:tc>
          <w:tcPr>
            <w:tcW w:w="0" w:type="auto"/>
          </w:tcPr>
          <w:p w14:paraId="20107A66" w14:textId="77777777" w:rsidR="00EC4D39" w:rsidRPr="008A4A1D" w:rsidRDefault="00EC4D39" w:rsidP="00196E43">
            <w:pPr>
              <w:ind w:left="0"/>
              <w:rPr>
                <w:sz w:val="20"/>
                <w:szCs w:val="20"/>
              </w:rPr>
            </w:pPr>
            <w:r w:rsidRPr="008A4A1D">
              <w:rPr>
                <w:sz w:val="20"/>
                <w:szCs w:val="20"/>
              </w:rPr>
              <w:t>Reslizumab (C</w:t>
            </w:r>
            <w:r w:rsidR="00196E43" w:rsidRPr="008A4A1D">
              <w:rPr>
                <w:sz w:val="20"/>
                <w:szCs w:val="20"/>
              </w:rPr>
              <w:t>inqair</w:t>
            </w:r>
            <w:r w:rsidRPr="008A4A1D">
              <w:rPr>
                <w:sz w:val="20"/>
                <w:szCs w:val="20"/>
              </w:rPr>
              <w:t xml:space="preserve"> and C</w:t>
            </w:r>
            <w:r w:rsidR="00196E43" w:rsidRPr="008A4A1D">
              <w:rPr>
                <w:sz w:val="20"/>
                <w:szCs w:val="20"/>
              </w:rPr>
              <w:t>inqaero</w:t>
            </w:r>
            <w:r w:rsidRPr="008A4A1D">
              <w:rPr>
                <w:sz w:val="20"/>
                <w:szCs w:val="20"/>
              </w:rPr>
              <w:t>) Humanised anti-IL5 monoclonal antibo</w:t>
            </w:r>
            <w:r w:rsidR="008A4A1D">
              <w:rPr>
                <w:sz w:val="20"/>
                <w:szCs w:val="20"/>
              </w:rPr>
              <w:t>dy.</w:t>
            </w:r>
          </w:p>
        </w:tc>
        <w:tc>
          <w:tcPr>
            <w:tcW w:w="0" w:type="auto"/>
          </w:tcPr>
          <w:p w14:paraId="333459B2" w14:textId="77777777" w:rsidR="00EC4D39" w:rsidRPr="009A1BFB" w:rsidRDefault="00EC4D39" w:rsidP="00196E43">
            <w:pPr>
              <w:ind w:left="0"/>
              <w:rPr>
                <w:sz w:val="20"/>
                <w:szCs w:val="20"/>
              </w:rPr>
            </w:pPr>
            <w:r w:rsidRPr="009A1BFB">
              <w:rPr>
                <w:sz w:val="20"/>
                <w:szCs w:val="20"/>
              </w:rPr>
              <w:t>ARTG ID: 277278 (C</w:t>
            </w:r>
            <w:r w:rsidR="00196E43" w:rsidRPr="009A1BFB">
              <w:rPr>
                <w:sz w:val="20"/>
                <w:szCs w:val="20"/>
              </w:rPr>
              <w:t>inqair</w:t>
            </w:r>
            <w:r w:rsidRPr="009A1BFB">
              <w:rPr>
                <w:sz w:val="20"/>
                <w:szCs w:val="20"/>
              </w:rPr>
              <w:t>) and 277279 (C</w:t>
            </w:r>
            <w:r w:rsidR="00196E43" w:rsidRPr="009A1BFB">
              <w:rPr>
                <w:sz w:val="20"/>
                <w:szCs w:val="20"/>
              </w:rPr>
              <w:t xml:space="preserve">inqaero) </w:t>
            </w:r>
            <w:r w:rsidRPr="009A1BFB">
              <w:rPr>
                <w:sz w:val="20"/>
                <w:szCs w:val="20"/>
              </w:rPr>
              <w:t>Approved on 07/2017</w:t>
            </w:r>
          </w:p>
        </w:tc>
        <w:tc>
          <w:tcPr>
            <w:tcW w:w="0" w:type="auto"/>
          </w:tcPr>
          <w:p w14:paraId="7A61D5CE" w14:textId="77777777" w:rsidR="00EC4D39" w:rsidRPr="008A4A1D" w:rsidRDefault="00EC4D39" w:rsidP="00196E43">
            <w:pPr>
              <w:ind w:left="0"/>
              <w:rPr>
                <w:sz w:val="20"/>
                <w:szCs w:val="20"/>
              </w:rPr>
            </w:pPr>
            <w:r w:rsidRPr="008A4A1D">
              <w:rPr>
                <w:sz w:val="20"/>
                <w:szCs w:val="20"/>
              </w:rPr>
              <w:t>Reslizumab binds specifically to IL-5 and blocks its biological function, thereby reducing the survival and activity of eosinophils</w:t>
            </w:r>
          </w:p>
        </w:tc>
        <w:tc>
          <w:tcPr>
            <w:tcW w:w="0" w:type="auto"/>
          </w:tcPr>
          <w:p w14:paraId="16543F5E" w14:textId="77777777" w:rsidR="00EC4D39" w:rsidRPr="008A4A1D" w:rsidRDefault="00EC4D39" w:rsidP="00196E43">
            <w:pPr>
              <w:ind w:left="0"/>
              <w:rPr>
                <w:sz w:val="20"/>
                <w:szCs w:val="20"/>
              </w:rPr>
            </w:pPr>
            <w:r w:rsidRPr="008A4A1D">
              <w:rPr>
                <w:sz w:val="20"/>
                <w:szCs w:val="20"/>
              </w:rPr>
              <w:t>C</w:t>
            </w:r>
            <w:r w:rsidR="00196E43" w:rsidRPr="008A4A1D">
              <w:rPr>
                <w:sz w:val="20"/>
                <w:szCs w:val="20"/>
              </w:rPr>
              <w:t>inqaero</w:t>
            </w:r>
            <w:r w:rsidRPr="008A4A1D">
              <w:rPr>
                <w:sz w:val="20"/>
                <w:szCs w:val="20"/>
              </w:rPr>
              <w:t>/C</w:t>
            </w:r>
            <w:r w:rsidR="00196E43" w:rsidRPr="008A4A1D">
              <w:rPr>
                <w:sz w:val="20"/>
                <w:szCs w:val="20"/>
              </w:rPr>
              <w:t>inqair</w:t>
            </w:r>
            <w:r w:rsidR="00F971ED" w:rsidRPr="008A4A1D">
              <w:rPr>
                <w:sz w:val="20"/>
                <w:szCs w:val="20"/>
              </w:rPr>
              <w:t xml:space="preserve"> </w:t>
            </w:r>
            <w:r w:rsidRPr="008A4A1D">
              <w:rPr>
                <w:sz w:val="20"/>
                <w:szCs w:val="20"/>
              </w:rPr>
              <w:t>is indicated as add-on therapy in adult patients with severe eosinophilic asthma (blood eosinophil coun</w:t>
            </w:r>
            <w:r w:rsidR="00196E43" w:rsidRPr="008A4A1D">
              <w:rPr>
                <w:sz w:val="20"/>
                <w:szCs w:val="20"/>
              </w:rPr>
              <w:t>t greater than or equal to 400 cells/</w:t>
            </w:r>
            <w:proofErr w:type="spellStart"/>
            <w:r w:rsidR="00196E43" w:rsidRPr="008A4A1D">
              <w:rPr>
                <w:sz w:val="20"/>
                <w:szCs w:val="20"/>
              </w:rPr>
              <w:t>μL</w:t>
            </w:r>
            <w:proofErr w:type="spellEnd"/>
            <w:r w:rsidR="00196E43" w:rsidRPr="008A4A1D">
              <w:rPr>
                <w:sz w:val="20"/>
                <w:szCs w:val="20"/>
              </w:rPr>
              <w:t>)</w:t>
            </w:r>
          </w:p>
        </w:tc>
        <w:tc>
          <w:tcPr>
            <w:tcW w:w="0" w:type="auto"/>
          </w:tcPr>
          <w:p w14:paraId="390FB29F" w14:textId="7100F974" w:rsidR="00EC4D39" w:rsidRPr="008A4A1D" w:rsidRDefault="00EC4D39" w:rsidP="00196E43">
            <w:pPr>
              <w:ind w:left="0"/>
              <w:rPr>
                <w:sz w:val="20"/>
                <w:szCs w:val="20"/>
              </w:rPr>
            </w:pPr>
            <w:r w:rsidRPr="008A4A1D">
              <w:rPr>
                <w:sz w:val="20"/>
                <w:szCs w:val="20"/>
              </w:rPr>
              <w:t>C</w:t>
            </w:r>
            <w:r w:rsidR="00196E43" w:rsidRPr="008A4A1D">
              <w:rPr>
                <w:sz w:val="20"/>
                <w:szCs w:val="20"/>
              </w:rPr>
              <w:t>inqair</w:t>
            </w:r>
            <w:r w:rsidRPr="008A4A1D">
              <w:rPr>
                <w:sz w:val="20"/>
                <w:szCs w:val="20"/>
              </w:rPr>
              <w:t>/C</w:t>
            </w:r>
            <w:r w:rsidR="00196E43" w:rsidRPr="008A4A1D">
              <w:rPr>
                <w:sz w:val="20"/>
                <w:szCs w:val="20"/>
              </w:rPr>
              <w:t>inqaero</w:t>
            </w:r>
            <w:r w:rsidRPr="008A4A1D">
              <w:rPr>
                <w:sz w:val="20"/>
                <w:szCs w:val="20"/>
              </w:rPr>
              <w:t xml:space="preserve"> is a concentrated solution in a vial and administered as an intravenous infusion after mixing with 50 mL sodium chloride 9</w:t>
            </w:r>
            <w:r w:rsidR="00833817">
              <w:rPr>
                <w:sz w:val="20"/>
                <w:szCs w:val="20"/>
              </w:rPr>
              <w:t> </w:t>
            </w:r>
            <w:r w:rsidRPr="008A4A1D">
              <w:rPr>
                <w:sz w:val="20"/>
                <w:szCs w:val="20"/>
              </w:rPr>
              <w:t>mg/</w:t>
            </w:r>
            <w:proofErr w:type="spellStart"/>
            <w:r w:rsidRPr="008A4A1D">
              <w:rPr>
                <w:sz w:val="20"/>
                <w:szCs w:val="20"/>
              </w:rPr>
              <w:t>mL.</w:t>
            </w:r>
            <w:proofErr w:type="spellEnd"/>
            <w:r w:rsidRPr="008A4A1D">
              <w:rPr>
                <w:sz w:val="20"/>
                <w:szCs w:val="20"/>
              </w:rPr>
              <w:t xml:space="preserve"> The recommended</w:t>
            </w:r>
            <w:r w:rsidR="00F971ED" w:rsidRPr="008A4A1D">
              <w:rPr>
                <w:sz w:val="20"/>
                <w:szCs w:val="20"/>
              </w:rPr>
              <w:t xml:space="preserve"> </w:t>
            </w:r>
            <w:r w:rsidRPr="008A4A1D">
              <w:rPr>
                <w:sz w:val="20"/>
                <w:szCs w:val="20"/>
              </w:rPr>
              <w:t>dose is 3.0 mg/kg, once every 4 weeks.</w:t>
            </w:r>
          </w:p>
        </w:tc>
      </w:tr>
    </w:tbl>
    <w:p w14:paraId="0211AAF3" w14:textId="77777777" w:rsidR="008E7846" w:rsidRDefault="008E7846" w:rsidP="008E7846">
      <w:pPr>
        <w:pStyle w:val="Heading3"/>
      </w:pPr>
      <w:bookmarkStart w:id="225" w:name="_Toc314842511"/>
      <w:bookmarkStart w:id="226" w:name="_Toc1653602"/>
      <w:r>
        <w:t>Quality</w:t>
      </w:r>
      <w:bookmarkEnd w:id="222"/>
      <w:bookmarkEnd w:id="225"/>
      <w:bookmarkEnd w:id="226"/>
    </w:p>
    <w:p w14:paraId="7AD7EAD7" w14:textId="1B96C644" w:rsidR="00EC4D39" w:rsidRPr="00F0660D" w:rsidRDefault="00EC4D39" w:rsidP="00196E43">
      <w:r w:rsidRPr="00F0660D">
        <w:t xml:space="preserve">There </w:t>
      </w:r>
      <w:r w:rsidR="00C04E72">
        <w:t>were</w:t>
      </w:r>
      <w:r w:rsidR="00C04E72" w:rsidRPr="00F0660D">
        <w:t xml:space="preserve"> </w:t>
      </w:r>
      <w:r w:rsidRPr="00F0660D">
        <w:t>outstanding issue</w:t>
      </w:r>
      <w:r w:rsidR="00DA6533">
        <w:t>s</w:t>
      </w:r>
      <w:r w:rsidRPr="00F0660D">
        <w:t xml:space="preserve"> with pharmaceutical chemistry</w:t>
      </w:r>
      <w:r w:rsidR="00525235">
        <w:t xml:space="preserve"> </w:t>
      </w:r>
      <w:r w:rsidR="002734CC" w:rsidRPr="00F0660D">
        <w:t>and the evaluator has made the following recommendations:</w:t>
      </w:r>
    </w:p>
    <w:p w14:paraId="68527842" w14:textId="5E3B14B8" w:rsidR="002734CC" w:rsidRPr="002734CC" w:rsidRDefault="00EC4D39" w:rsidP="002734CC">
      <w:pPr>
        <w:pStyle w:val="ListBullet"/>
      </w:pPr>
      <w:r w:rsidRPr="000A527E">
        <w:rPr>
          <w:rFonts w:asciiTheme="minorHAnsi" w:hAnsiTheme="minorHAnsi"/>
          <w:sz w:val="21"/>
          <w:szCs w:val="21"/>
        </w:rPr>
        <w:t>.</w:t>
      </w:r>
      <w:r w:rsidR="002734CC" w:rsidRPr="002734CC">
        <w:t xml:space="preserve"> Temperature excursion during shipping to Australia is not allowed due to the lack of supporting data, as per TGA guideline. Hence, any shipment exposed to temperatures outside of the long term storage condition of 2°C to 8°C will have to be referred to TGA for endorsement to supply via a variation application. This condition need not preclude approval of the product.</w:t>
      </w:r>
    </w:p>
    <w:p w14:paraId="3EDC6F71" w14:textId="645EEE7A" w:rsidR="002734CC" w:rsidRPr="002734CC" w:rsidRDefault="002734CC" w:rsidP="002734CC">
      <w:pPr>
        <w:pStyle w:val="ListBullet"/>
      </w:pPr>
      <w:r w:rsidRPr="002734CC">
        <w:t>Potency specification for the drug product will have to be tightened as the proposed limit has not been clinically qualified. This condition need not delay the registration process and can be resolved prior to the issue of the approval letter.</w:t>
      </w:r>
    </w:p>
    <w:p w14:paraId="29AC185F" w14:textId="28EFBA54" w:rsidR="002734CC" w:rsidRPr="000A527E" w:rsidRDefault="002734CC" w:rsidP="00833817">
      <w:r w:rsidRPr="000A527E">
        <w:lastRenderedPageBreak/>
        <w:t>It is expected that these issues will be resolved and should not prevent registration.</w:t>
      </w:r>
      <w:r>
        <w:rPr>
          <w:rStyle w:val="FootnoteReference"/>
          <w:rFonts w:asciiTheme="minorHAnsi" w:hAnsiTheme="minorHAnsi"/>
          <w:sz w:val="21"/>
          <w:szCs w:val="21"/>
        </w:rPr>
        <w:footnoteReference w:id="23"/>
      </w:r>
    </w:p>
    <w:p w14:paraId="37EC8B33" w14:textId="77777777" w:rsidR="00EC4D39" w:rsidRPr="00196E43" w:rsidRDefault="00EC4D39" w:rsidP="00196E43">
      <w:pPr>
        <w:pStyle w:val="Heading4"/>
      </w:pPr>
      <w:r w:rsidRPr="00196E43">
        <w:t>Formulation</w:t>
      </w:r>
    </w:p>
    <w:p w14:paraId="08A5034A" w14:textId="77777777" w:rsidR="00EC4D39" w:rsidRPr="00EC4D39" w:rsidRDefault="00E14798" w:rsidP="00196E43">
      <w:r>
        <w:t>Fasenra</w:t>
      </w:r>
      <w:r w:rsidR="00EC4D39" w:rsidRPr="00996D35">
        <w:t xml:space="preserve"> is a clear to opalescent and colourless to yellow solution for injection in a prefilled syringe and administered as a subcutaneous injection. Eac</w:t>
      </w:r>
      <w:r w:rsidR="00196E43">
        <w:t>h prefilled syringe contains 30 </w:t>
      </w:r>
      <w:r w:rsidR="00EC4D39" w:rsidRPr="00996D35">
        <w:t xml:space="preserve">mg benralizumab in 1 mL (30 mg/mL). </w:t>
      </w:r>
      <w:r>
        <w:t>Fasenra</w:t>
      </w:r>
      <w:r w:rsidR="00EC4D39" w:rsidRPr="00996D35">
        <w:t xml:space="preserve"> also contains the excipients histidine, histidine hydrochloride monohydrate, trehalose, polysorbate 20 and water for injections. The pivotal clinical study used the formulation proposed for marketing. </w:t>
      </w:r>
      <w:r w:rsidR="00EC4D39">
        <w:t>The drug is administered by health care professional.</w:t>
      </w:r>
    </w:p>
    <w:p w14:paraId="3D7BE69B" w14:textId="77777777" w:rsidR="008E7846" w:rsidRPr="00196E43" w:rsidRDefault="008E7846" w:rsidP="00196E43">
      <w:pPr>
        <w:pStyle w:val="Heading3"/>
      </w:pPr>
      <w:bookmarkStart w:id="227" w:name="_Toc314842512"/>
      <w:bookmarkStart w:id="228" w:name="_Toc1653603"/>
      <w:r w:rsidRPr="00196E43">
        <w:t>Nonclinical</w:t>
      </w:r>
      <w:bookmarkEnd w:id="227"/>
      <w:bookmarkEnd w:id="228"/>
    </w:p>
    <w:p w14:paraId="554A8F0A" w14:textId="77777777" w:rsidR="00E14798" w:rsidRDefault="008A4A1D" w:rsidP="00196E43">
      <w:r>
        <w:t>The non</w:t>
      </w:r>
      <w:r w:rsidR="00EC4D39" w:rsidRPr="00F0660D">
        <w:t>clinical evaluator has recommended approval, conditional to the suggested changes in the PI</w:t>
      </w:r>
      <w:r w:rsidR="00E14798">
        <w:t>.</w:t>
      </w:r>
    </w:p>
    <w:p w14:paraId="285E5E75" w14:textId="77777777" w:rsidR="00E14798" w:rsidRDefault="00EC4D39" w:rsidP="00196E43">
      <w:pPr>
        <w:pStyle w:val="ListBullet"/>
      </w:pPr>
      <w:r w:rsidRPr="00833817">
        <w:rPr>
          <w:lang w:val="en-US"/>
        </w:rPr>
        <w:t>In</w:t>
      </w:r>
      <w:r w:rsidR="00196E43" w:rsidRPr="00833817">
        <w:rPr>
          <w:lang w:val="en-US"/>
        </w:rPr>
        <w:t xml:space="preserve"> </w:t>
      </w:r>
      <w:r w:rsidRPr="00833817">
        <w:rPr>
          <w:lang w:val="en-US"/>
        </w:rPr>
        <w:t>vitro</w:t>
      </w:r>
      <w:r w:rsidRPr="00196E43">
        <w:rPr>
          <w:lang w:val="en-US"/>
        </w:rPr>
        <w:t xml:space="preserve"> studies</w:t>
      </w:r>
      <w:r w:rsidRPr="000667F2">
        <w:rPr>
          <w:b/>
          <w:lang w:val="en-US"/>
        </w:rPr>
        <w:t xml:space="preserve"> </w:t>
      </w:r>
      <w:r w:rsidRPr="00F0660D">
        <w:t>established that benralizumab binds to human IL-5Rα with high affinity (</w:t>
      </w:r>
      <w:r w:rsidRPr="00196E43">
        <w:t>K</w:t>
      </w:r>
      <w:r w:rsidRPr="00196E43">
        <w:rPr>
          <w:vertAlign w:val="subscript"/>
        </w:rPr>
        <w:t>D</w:t>
      </w:r>
      <w:r w:rsidRPr="00F0660D">
        <w:t xml:space="preserve">, 16 </w:t>
      </w:r>
      <w:proofErr w:type="spellStart"/>
      <w:r w:rsidRPr="00F0660D">
        <w:t>pM</w:t>
      </w:r>
      <w:proofErr w:type="spellEnd"/>
      <w:r w:rsidRPr="00F0660D">
        <w:t xml:space="preserve">). The findings that the monoclonal antibody inhibits IL-5 receptor signalling, and induces </w:t>
      </w:r>
      <w:r w:rsidR="00E14798">
        <w:t xml:space="preserve">antibody dependent </w:t>
      </w:r>
      <w:r w:rsidRPr="00F0660D">
        <w:t>cell-mediated cytotoxicity (ADCC) of human eosinophils and basophils (the cell types that express IL-5Rα), reaffirms the mechanism of action of benralizumab</w:t>
      </w:r>
      <w:r w:rsidR="00E14798">
        <w:t>.</w:t>
      </w:r>
    </w:p>
    <w:p w14:paraId="475A7097" w14:textId="77777777" w:rsidR="00EC4D39" w:rsidRPr="00196E43" w:rsidRDefault="00EC4D39" w:rsidP="00196E43">
      <w:pPr>
        <w:pStyle w:val="ListBullet"/>
      </w:pPr>
      <w:r w:rsidRPr="00196E43">
        <w:t xml:space="preserve">Animal models demonstrated the high specificity for binding. PK studies in monkeys revealed similar results to that of humans: long half-life of approximately 2 weeks and low volume in distribution. The reduction of circulating eosinophils following SC or IV administration of benralizumab was marked and long-lasting. In monkey models of eosinophilia, </w:t>
      </w:r>
      <w:r w:rsidR="00F971ED" w:rsidRPr="00196E43">
        <w:t>single dose</w:t>
      </w:r>
      <w:r w:rsidRPr="00196E43">
        <w:t xml:space="preserve"> administration of an antibody similar to benralizumab (same sequence and equivalent affinity and in vitro activity, but produced from a different cell culture system) reduced peak peripheral eosinophils induced by repeated treatment with IL-5 (at 0.3 mg/kg IV) and significantly attenuated infiltration of airway eosinophils and airway hyper-responsiveness induced by allergen challenge (at 1 mg/kg IV).</w:t>
      </w:r>
    </w:p>
    <w:p w14:paraId="739E32A2" w14:textId="77777777" w:rsidR="00EC4D39" w:rsidRPr="00196E43" w:rsidRDefault="00EC4D39" w:rsidP="00196E43">
      <w:pPr>
        <w:pStyle w:val="ListBullet"/>
      </w:pPr>
      <w:r w:rsidRPr="00196E43">
        <w:t xml:space="preserve">Repeat dose toxicity was examined in monkeys, which demonstrated good tolerance and marked reduction in circulating eosinophils. The pivotal </w:t>
      </w:r>
      <w:r w:rsidR="00F971ED" w:rsidRPr="00196E43">
        <w:t>repeat dose</w:t>
      </w:r>
      <w:r w:rsidRPr="00196E43">
        <w:t xml:space="preserve"> study was of 9 months duration. IV and SC routes of administration were employed with doses much higher (10 and 25 mg/kg IV and 30 mg/kg SC in monkeys </w:t>
      </w:r>
      <w:r w:rsidR="00CF0D26">
        <w:t>versus</w:t>
      </w:r>
      <w:r w:rsidRPr="00196E43">
        <w:t xml:space="preserve"> 30 mg SC in human) than in human studies and subsequently achieved high multiples of human exposure</w:t>
      </w:r>
      <w:r w:rsidR="00E14798" w:rsidRPr="00196E43">
        <w:t>.</w:t>
      </w:r>
    </w:p>
    <w:p w14:paraId="170972A1" w14:textId="6A04F8E1" w:rsidR="00EC4D39" w:rsidRPr="00196E43" w:rsidRDefault="00EC4D39" w:rsidP="00196E43">
      <w:pPr>
        <w:pStyle w:val="ListBullet"/>
      </w:pPr>
      <w:r w:rsidRPr="00196E43">
        <w:t>No genotoxicity or carcinogenicity studies were conducted with benralizumab and as per ICH S6 (R1) guideline</w:t>
      </w:r>
      <w:proofErr w:type="gramStart"/>
      <w:r w:rsidRPr="00196E43">
        <w:t>;</w:t>
      </w:r>
      <w:proofErr w:type="gramEnd"/>
      <w:r w:rsidR="00A712FA" w:rsidRPr="00A712FA">
        <w:rPr>
          <w:vertAlign w:val="superscript"/>
        </w:rPr>
        <w:fldChar w:fldCharType="begin"/>
      </w:r>
      <w:r w:rsidR="00A712FA" w:rsidRPr="00A712FA">
        <w:rPr>
          <w:vertAlign w:val="superscript"/>
        </w:rPr>
        <w:instrText xml:space="preserve"> NOTEREF _Ref530134239 \h </w:instrText>
      </w:r>
      <w:r w:rsidR="00A712FA">
        <w:rPr>
          <w:vertAlign w:val="superscript"/>
        </w:rPr>
        <w:instrText xml:space="preserve"> \* MERGEFORMAT </w:instrText>
      </w:r>
      <w:r w:rsidR="00A712FA" w:rsidRPr="00A712FA">
        <w:rPr>
          <w:vertAlign w:val="superscript"/>
        </w:rPr>
      </w:r>
      <w:r w:rsidR="00A712FA" w:rsidRPr="00A712FA">
        <w:rPr>
          <w:vertAlign w:val="superscript"/>
        </w:rPr>
        <w:fldChar w:fldCharType="separate"/>
      </w:r>
      <w:r w:rsidR="00A712FA" w:rsidRPr="00A712FA">
        <w:rPr>
          <w:vertAlign w:val="superscript"/>
        </w:rPr>
        <w:t>3</w:t>
      </w:r>
      <w:r w:rsidR="00A712FA" w:rsidRPr="00A712FA">
        <w:rPr>
          <w:vertAlign w:val="superscript"/>
        </w:rPr>
        <w:fldChar w:fldCharType="end"/>
      </w:r>
      <w:r w:rsidRPr="00196E43">
        <w:t xml:space="preserve"> this was considered acceptable by the evaluator. The evaluator considers that the lack of proliferative lesions in monkeys in </w:t>
      </w:r>
      <w:r w:rsidR="00F971ED" w:rsidRPr="00196E43">
        <w:t>repeat dose</w:t>
      </w:r>
      <w:r w:rsidRPr="00196E43">
        <w:t xml:space="preserve"> toxicity studies, the non-proliferative nature of the active drug and the inhibition of eosinophil activation that was not expected to initiate altered bone marrow response were adequate to substantiate the lack of carcinogenicity studies.</w:t>
      </w:r>
    </w:p>
    <w:p w14:paraId="607F550A" w14:textId="0C5E99CA" w:rsidR="00EC4D39" w:rsidRPr="00C55AE5" w:rsidRDefault="00EC4D39" w:rsidP="00196E43">
      <w:pPr>
        <w:pStyle w:val="ListBullet"/>
      </w:pPr>
      <w:r w:rsidRPr="00C55AE5">
        <w:t>Pregnancy classification: The evaluator considers that there is a potential for impaired immunity to parasites and other pathogens in the newborn. However, eosinophil depletion is not of such a serious concern as to be regarded as harmful. Pregnancy classification B1</w:t>
      </w:r>
      <w:proofErr w:type="gramStart"/>
      <w:r w:rsidR="00A712FA">
        <w:t>;</w:t>
      </w:r>
      <w:proofErr w:type="gramEnd"/>
      <w:r w:rsidR="00A712FA" w:rsidRPr="003A02E6">
        <w:rPr>
          <w:vertAlign w:val="superscript"/>
        </w:rPr>
        <w:fldChar w:fldCharType="begin"/>
      </w:r>
      <w:r w:rsidR="00A712FA" w:rsidRPr="003A02E6">
        <w:rPr>
          <w:vertAlign w:val="superscript"/>
        </w:rPr>
        <w:instrText xml:space="preserve"> NOTEREF _Ref1235215 \h </w:instrText>
      </w:r>
      <w:r w:rsidR="003A02E6">
        <w:rPr>
          <w:vertAlign w:val="superscript"/>
        </w:rPr>
        <w:instrText xml:space="preserve"> \* MERGEFORMAT </w:instrText>
      </w:r>
      <w:r w:rsidR="00A712FA" w:rsidRPr="003A02E6">
        <w:rPr>
          <w:vertAlign w:val="superscript"/>
        </w:rPr>
      </w:r>
      <w:r w:rsidR="00A712FA" w:rsidRPr="003A02E6">
        <w:rPr>
          <w:vertAlign w:val="superscript"/>
        </w:rPr>
        <w:fldChar w:fldCharType="separate"/>
      </w:r>
      <w:r w:rsidR="00A712FA" w:rsidRPr="003A02E6">
        <w:rPr>
          <w:vertAlign w:val="superscript"/>
        </w:rPr>
        <w:t>8</w:t>
      </w:r>
      <w:r w:rsidR="00A712FA" w:rsidRPr="003A02E6">
        <w:rPr>
          <w:vertAlign w:val="superscript"/>
        </w:rPr>
        <w:fldChar w:fldCharType="end"/>
      </w:r>
      <w:r w:rsidRPr="00C55AE5">
        <w:t xml:space="preserve"> proposed by the sponsor was considered as adequate by the evaluator. Mepolizumab and </w:t>
      </w:r>
      <w:r w:rsidR="00196E43" w:rsidRPr="00C55AE5">
        <w:t>r</w:t>
      </w:r>
      <w:r w:rsidRPr="00C55AE5">
        <w:t>eslizumab are allocated with pregnancy classification category B1</w:t>
      </w:r>
      <w:r w:rsidR="00E14798" w:rsidRPr="00C55AE5">
        <w:t>.</w:t>
      </w:r>
    </w:p>
    <w:p w14:paraId="0FEE5693" w14:textId="77777777" w:rsidR="00EC4D39" w:rsidRPr="00196E43" w:rsidRDefault="00EC4D39" w:rsidP="00196E43">
      <w:r w:rsidRPr="00196E43">
        <w:lastRenderedPageBreak/>
        <w:t>The PI amendments recommended by the evaluator have been incorporated by the sponsor.</w:t>
      </w:r>
    </w:p>
    <w:p w14:paraId="457BF522" w14:textId="77777777" w:rsidR="008E7846" w:rsidRDefault="008E7846" w:rsidP="008E7846">
      <w:pPr>
        <w:pStyle w:val="Heading3"/>
      </w:pPr>
      <w:bookmarkStart w:id="229" w:name="_Toc247691530"/>
      <w:bookmarkStart w:id="230" w:name="_Toc314842513"/>
      <w:bookmarkStart w:id="231" w:name="_Toc1653604"/>
      <w:r>
        <w:t>Clinical</w:t>
      </w:r>
      <w:bookmarkEnd w:id="229"/>
      <w:bookmarkEnd w:id="230"/>
      <w:bookmarkEnd w:id="231"/>
    </w:p>
    <w:p w14:paraId="3F77E7E0" w14:textId="77777777" w:rsidR="00EC4D39" w:rsidRPr="00737C83" w:rsidRDefault="00EC4D39" w:rsidP="00737C83">
      <w:pPr>
        <w:pStyle w:val="Heading4"/>
      </w:pPr>
      <w:bookmarkStart w:id="232" w:name="_Toc314842514"/>
      <w:r w:rsidRPr="00737C83">
        <w:t>Pharmacology</w:t>
      </w:r>
    </w:p>
    <w:p w14:paraId="760763FF" w14:textId="77777777" w:rsidR="00367960" w:rsidRDefault="00EC4D39" w:rsidP="00737C83">
      <w:r w:rsidRPr="00996D35">
        <w:t xml:space="preserve">The clinical pharmacology programme consisted of 10 completed clinical studies (two </w:t>
      </w:r>
      <w:r w:rsidR="00737C83">
        <w:t>Phase I, three Phase II and five Phase III</w:t>
      </w:r>
      <w:r w:rsidRPr="00996D35">
        <w:t xml:space="preserve"> studies). Benralizumab demonstrated a </w:t>
      </w:r>
      <w:r w:rsidR="00F971ED">
        <w:t>dose proportional</w:t>
      </w:r>
      <w:r w:rsidRPr="00996D35">
        <w:t xml:space="preserve"> PK, with a wide rang</w:t>
      </w:r>
      <w:r w:rsidR="00737C83">
        <w:t xml:space="preserve">e of doses across studies (0.03 to 3.0 mg/kg IV and 25 to </w:t>
      </w:r>
      <w:r w:rsidRPr="00996D35">
        <w:t>200 mg SC) and exhibited linear PK characteristics</w:t>
      </w:r>
      <w:r w:rsidR="00367960">
        <w:t>.</w:t>
      </w:r>
    </w:p>
    <w:p w14:paraId="149435DC" w14:textId="77777777" w:rsidR="00EC4D39" w:rsidRPr="00737C83" w:rsidRDefault="00EC4D39" w:rsidP="00737C83">
      <w:pPr>
        <w:pStyle w:val="Heading5"/>
      </w:pPr>
      <w:r w:rsidRPr="00737C83">
        <w:t>Absorption</w:t>
      </w:r>
    </w:p>
    <w:p w14:paraId="14E2F518" w14:textId="77777777" w:rsidR="00EC4D39" w:rsidRPr="00996D35" w:rsidRDefault="00EC4D39" w:rsidP="00737C83">
      <w:r w:rsidRPr="00996D35">
        <w:t>In healthy subjects, sub cutaneous absorption was consistent with first order absorption kinetics.</w:t>
      </w:r>
      <w:r w:rsidR="00F971ED">
        <w:t xml:space="preserve"> </w:t>
      </w:r>
      <w:r w:rsidR="00F511F9">
        <w:t>Time to maximum plasma concentration</w:t>
      </w:r>
      <w:r w:rsidR="00F511F9" w:rsidRPr="00996D35">
        <w:t xml:space="preserve"> </w:t>
      </w:r>
      <w:r w:rsidR="00F511F9">
        <w:t>(</w:t>
      </w:r>
      <w:r w:rsidRPr="00996D35">
        <w:t>T</w:t>
      </w:r>
      <w:r w:rsidRPr="00996D35">
        <w:rPr>
          <w:vertAlign w:val="subscript"/>
        </w:rPr>
        <w:t>max</w:t>
      </w:r>
      <w:r w:rsidR="00F511F9">
        <w:t>)</w:t>
      </w:r>
      <w:r w:rsidRPr="00996D35">
        <w:t xml:space="preserve"> was 7 days with SC administration.</w:t>
      </w:r>
      <w:r w:rsidR="00F971ED">
        <w:t xml:space="preserve"> </w:t>
      </w:r>
      <w:r w:rsidRPr="00996D35">
        <w:t>Site of administration did not affect absorption. Following SC administration, the relative bioavailability for Benralizumab was 57.9%, with an absorption half-life of 3.59 days.</w:t>
      </w:r>
    </w:p>
    <w:p w14:paraId="61E147B9" w14:textId="77777777" w:rsidR="00EC4D39" w:rsidRPr="00737C83" w:rsidRDefault="00EC4D39" w:rsidP="00737C83">
      <w:pPr>
        <w:pStyle w:val="Heading5"/>
      </w:pPr>
      <w:r w:rsidRPr="00737C83">
        <w:t>Distribution</w:t>
      </w:r>
    </w:p>
    <w:p w14:paraId="1A897248" w14:textId="1FD8A814" w:rsidR="00E14798" w:rsidRDefault="00EC4D39" w:rsidP="00737C83">
      <w:pPr>
        <w:rPr>
          <w:lang w:val="en-US"/>
        </w:rPr>
      </w:pPr>
      <w:r w:rsidRPr="00996D35">
        <w:rPr>
          <w:lang w:val="en-US"/>
        </w:rPr>
        <w:t>In a two-compartment model, for a 70 kg individual, the peripheral and central volumes of distribution were 2.5L and 3.2 respectively. The lower peripheral volume of distribution indicate relatively lower extravascular/tissue concentration. This observation is similar to that reported with previous anti IL-5 m</w:t>
      </w:r>
      <w:r w:rsidR="005236C7">
        <w:rPr>
          <w:lang w:val="en-US"/>
        </w:rPr>
        <w:t xml:space="preserve">onoclonal </w:t>
      </w:r>
      <w:r w:rsidR="00A712FA">
        <w:rPr>
          <w:lang w:val="en-US"/>
        </w:rPr>
        <w:t>antibodie</w:t>
      </w:r>
      <w:r w:rsidR="00A712FA" w:rsidRPr="00996D35">
        <w:rPr>
          <w:lang w:val="en-US"/>
        </w:rPr>
        <w:t>s</w:t>
      </w:r>
      <w:r w:rsidRPr="00996D35">
        <w:rPr>
          <w:lang w:val="en-US"/>
        </w:rPr>
        <w:t>.</w:t>
      </w:r>
      <w:r w:rsidR="007504A5">
        <w:rPr>
          <w:lang w:val="en-US"/>
        </w:rPr>
        <w:t xml:space="preserve"> </w:t>
      </w:r>
      <w:r>
        <w:rPr>
          <w:lang w:val="en-US"/>
        </w:rPr>
        <w:t>Half-</w:t>
      </w:r>
      <w:r w:rsidRPr="00996D35">
        <w:rPr>
          <w:lang w:val="en-US"/>
        </w:rPr>
        <w:t xml:space="preserve">life ranged from 7.3 to 18.6 days. In </w:t>
      </w:r>
      <w:r w:rsidR="00A712FA">
        <w:rPr>
          <w:lang w:val="en-US"/>
        </w:rPr>
        <w:t xml:space="preserve">the </w:t>
      </w:r>
      <w:r w:rsidRPr="00996D35">
        <w:rPr>
          <w:lang w:val="en-US"/>
        </w:rPr>
        <w:t xml:space="preserve">SIROCCO </w:t>
      </w:r>
      <w:r w:rsidR="00A712FA">
        <w:rPr>
          <w:lang w:val="en-US"/>
        </w:rPr>
        <w:t>trial</w:t>
      </w:r>
      <w:r w:rsidRPr="00996D35">
        <w:rPr>
          <w:lang w:val="en-US"/>
        </w:rPr>
        <w:t xml:space="preserve">, the steady state </w:t>
      </w:r>
      <w:r w:rsidR="005E3545">
        <w:t>trough concentration</w:t>
      </w:r>
      <w:r w:rsidR="005E3545" w:rsidRPr="00996D35">
        <w:rPr>
          <w:lang w:val="en-US"/>
        </w:rPr>
        <w:t xml:space="preserve"> </w:t>
      </w:r>
      <w:r w:rsidR="005E3545">
        <w:rPr>
          <w:lang w:val="en-US"/>
        </w:rPr>
        <w:t>(</w:t>
      </w:r>
      <w:r w:rsidRPr="00996D35">
        <w:rPr>
          <w:lang w:val="en-US"/>
        </w:rPr>
        <w:t>C</w:t>
      </w:r>
      <w:r w:rsidRPr="00857591">
        <w:rPr>
          <w:vertAlign w:val="subscript"/>
          <w:lang w:val="en-US"/>
        </w:rPr>
        <w:t>trough</w:t>
      </w:r>
      <w:r w:rsidR="005E3545">
        <w:rPr>
          <w:lang w:val="en-US"/>
        </w:rPr>
        <w:t>)</w:t>
      </w:r>
      <w:r w:rsidRPr="00996D35">
        <w:rPr>
          <w:lang w:val="en-US"/>
        </w:rPr>
        <w:t xml:space="preserve"> was higher for Q4W (1024 to 967 ng/mL), compared to Q8W (251 to 157 ng/mL)</w:t>
      </w:r>
      <w:r w:rsidR="00E14798">
        <w:rPr>
          <w:lang w:val="en-US"/>
        </w:rPr>
        <w:t>.</w:t>
      </w:r>
    </w:p>
    <w:p w14:paraId="25F1E11D" w14:textId="77777777" w:rsidR="00EC4D39" w:rsidRPr="00737C83" w:rsidRDefault="00EC4D39" w:rsidP="00737C83">
      <w:pPr>
        <w:pStyle w:val="Heading5"/>
      </w:pPr>
      <w:r w:rsidRPr="00737C83">
        <w:t>Elimination</w:t>
      </w:r>
    </w:p>
    <w:p w14:paraId="4B55EEC6" w14:textId="55B4C5A4" w:rsidR="00EC4D39" w:rsidRPr="00996D35" w:rsidRDefault="00EC4D39" w:rsidP="00737C83">
      <w:r w:rsidRPr="00996D35">
        <w:t>Benralizumab exhibited linear pharmacokinetics and CL ranged from 3.63 to 6.68</w:t>
      </w:r>
      <w:r w:rsidR="00A712FA">
        <w:t> </w:t>
      </w:r>
      <w:r w:rsidRPr="00996D35">
        <w:t>mL/kg/day. Following SC administration, the elimination</w:t>
      </w:r>
      <w:r>
        <w:t xml:space="preserve"> half-</w:t>
      </w:r>
      <w:r w:rsidR="00737C83">
        <w:t>life was approximately 15 days.</w:t>
      </w:r>
    </w:p>
    <w:p w14:paraId="3AB60895" w14:textId="130F19E2" w:rsidR="00EC4D39" w:rsidRPr="00737C83" w:rsidRDefault="00EC4D39" w:rsidP="00737C83">
      <w:pPr>
        <w:pStyle w:val="Heading5"/>
      </w:pPr>
      <w:r w:rsidRPr="00737C83">
        <w:t>Drug-</w:t>
      </w:r>
      <w:r w:rsidR="00A712FA">
        <w:t>d</w:t>
      </w:r>
      <w:r w:rsidR="00A712FA" w:rsidRPr="00737C83">
        <w:t xml:space="preserve">rug </w:t>
      </w:r>
      <w:r w:rsidRPr="00737C83">
        <w:t>interaction studies</w:t>
      </w:r>
    </w:p>
    <w:p w14:paraId="7474101F" w14:textId="77777777" w:rsidR="00EC4D39" w:rsidRPr="00996D35" w:rsidRDefault="00EC4D39" w:rsidP="00737C83">
      <w:r w:rsidRPr="00996D35">
        <w:t>No formal drug-drug interaction studies were performed. From population studies, there were no apparent signals to suggest potential interaction with common classes of drugs used by this patient population. Mechanistically, benralizumab is targeted only at IL-5Rα receptor and hence no effects on other cells and/or tissues are anticipated.</w:t>
      </w:r>
    </w:p>
    <w:p w14:paraId="239B66DB" w14:textId="271456C0" w:rsidR="00EC4D39" w:rsidRPr="00737C83" w:rsidRDefault="00EC4D39" w:rsidP="00737C83">
      <w:pPr>
        <w:pStyle w:val="Heading4"/>
      </w:pPr>
      <w:r w:rsidRPr="00737C83">
        <w:t>P</w:t>
      </w:r>
      <w:r w:rsidR="00737C83">
        <w:t>opulation</w:t>
      </w:r>
      <w:r w:rsidRPr="00737C83">
        <w:t xml:space="preserve"> </w:t>
      </w:r>
      <w:r w:rsidR="00A712FA">
        <w:t>pharmacokinetics</w:t>
      </w:r>
    </w:p>
    <w:p w14:paraId="1BC5A120" w14:textId="5250D2F3" w:rsidR="00E14798" w:rsidRDefault="00EC4D39" w:rsidP="00737C83">
      <w:pPr>
        <w:rPr>
          <w:lang w:val="en-US"/>
        </w:rPr>
      </w:pPr>
      <w:r w:rsidRPr="00996D35">
        <w:rPr>
          <w:lang w:val="en-US"/>
        </w:rPr>
        <w:t>Body weight and anti-drug antibodies (ADA) were identified as determinants of PK covariates for benralizumab. Body weight had an inverse relationship with C</w:t>
      </w:r>
      <w:r w:rsidR="00A712FA">
        <w:rPr>
          <w:lang w:val="en-US"/>
        </w:rPr>
        <w:t>L</w:t>
      </w:r>
      <w:r w:rsidRPr="00996D35">
        <w:rPr>
          <w:lang w:val="en-US"/>
        </w:rPr>
        <w:t xml:space="preserve">, </w:t>
      </w:r>
      <w:proofErr w:type="spellStart"/>
      <w:proofErr w:type="gramStart"/>
      <w:r w:rsidRPr="00996D35">
        <w:rPr>
          <w:lang w:val="en-US"/>
        </w:rPr>
        <w:t>V</w:t>
      </w:r>
      <w:r w:rsidRPr="00A712FA">
        <w:rPr>
          <w:vertAlign w:val="subscript"/>
          <w:lang w:val="en-US"/>
        </w:rPr>
        <w:t>c</w:t>
      </w:r>
      <w:proofErr w:type="spellEnd"/>
      <w:proofErr w:type="gramEnd"/>
      <w:r w:rsidRPr="00996D35">
        <w:rPr>
          <w:lang w:val="en-US"/>
        </w:rPr>
        <w:t xml:space="preserve"> and </w:t>
      </w:r>
      <w:proofErr w:type="spellStart"/>
      <w:r w:rsidRPr="00996D35">
        <w:rPr>
          <w:lang w:val="en-US"/>
        </w:rPr>
        <w:t>V</w:t>
      </w:r>
      <w:r w:rsidRPr="00A712FA">
        <w:rPr>
          <w:vertAlign w:val="subscript"/>
          <w:lang w:val="en-US"/>
        </w:rPr>
        <w:t>p</w:t>
      </w:r>
      <w:proofErr w:type="spellEnd"/>
      <w:r w:rsidRPr="00996D35">
        <w:rPr>
          <w:lang w:val="en-US"/>
        </w:rPr>
        <w:t>. Presence of ADA increased benralizumab CL by 121%. However, based on population modelling, these variables were not found to have effect on asthma exacerbation and pre-bronchodilator FEV1 response</w:t>
      </w:r>
      <w:r w:rsidR="00E14798">
        <w:rPr>
          <w:lang w:val="en-US"/>
        </w:rPr>
        <w:t>.</w:t>
      </w:r>
    </w:p>
    <w:p w14:paraId="07C2F9A2" w14:textId="77777777" w:rsidR="00EC4D39" w:rsidRPr="00996D35" w:rsidRDefault="00EC4D39" w:rsidP="00737C83">
      <w:pPr>
        <w:rPr>
          <w:b/>
          <w:u w:val="single"/>
        </w:rPr>
      </w:pPr>
      <w:r w:rsidRPr="00996D35">
        <w:rPr>
          <w:lang w:val="en-US"/>
        </w:rPr>
        <w:t>PK charact</w:t>
      </w:r>
      <w:r w:rsidR="00737C83">
        <w:rPr>
          <w:lang w:val="en-US"/>
        </w:rPr>
        <w:t xml:space="preserve">eristics in adolescents aged 12 to </w:t>
      </w:r>
      <w:r w:rsidRPr="00996D35">
        <w:rPr>
          <w:lang w:val="en-US"/>
        </w:rPr>
        <w:t>17 years were consistent with adults.</w:t>
      </w:r>
    </w:p>
    <w:p w14:paraId="5DEF6762" w14:textId="77777777" w:rsidR="00EC4D39" w:rsidRPr="00737C83" w:rsidRDefault="00EC4D39" w:rsidP="00737C83">
      <w:pPr>
        <w:pStyle w:val="Heading5"/>
      </w:pPr>
      <w:r w:rsidRPr="00737C83">
        <w:t>PK-PD correlation</w:t>
      </w:r>
    </w:p>
    <w:p w14:paraId="445E08E5" w14:textId="77777777" w:rsidR="00EC4D39" w:rsidRPr="00737C83" w:rsidRDefault="008A4A1D" w:rsidP="00737C83">
      <w:r>
        <w:t xml:space="preserve">A dose </w:t>
      </w:r>
      <w:r w:rsidR="00EC4D39" w:rsidRPr="00996D35">
        <w:t>dependent effect on depletion of peripheral blood eosinophils was demonstrated with IV doses ranging from 0.0003 to 3.0 mg/kg and sub-cutaneous dose ranging from 2 to 100 mg</w:t>
      </w:r>
      <w:r w:rsidR="00EC4D39">
        <w:t>.</w:t>
      </w:r>
    </w:p>
    <w:p w14:paraId="6688216A" w14:textId="77777777" w:rsidR="00737C83" w:rsidRDefault="00EC4D39" w:rsidP="00737C83">
      <w:pPr>
        <w:pStyle w:val="Heading5"/>
        <w:rPr>
          <w:lang w:val="en-US"/>
        </w:rPr>
      </w:pPr>
      <w:r w:rsidRPr="00996D35">
        <w:rPr>
          <w:lang w:val="en-US"/>
        </w:rPr>
        <w:lastRenderedPageBreak/>
        <w:t>30</w:t>
      </w:r>
      <w:r w:rsidR="00B62CD5">
        <w:rPr>
          <w:lang w:val="en-US"/>
        </w:rPr>
        <w:t xml:space="preserve"> mg</w:t>
      </w:r>
      <w:r w:rsidRPr="00996D35">
        <w:rPr>
          <w:lang w:val="en-US"/>
        </w:rPr>
        <w:t xml:space="preserve"> Q8W and 30 mg Q4W regimens</w:t>
      </w:r>
    </w:p>
    <w:p w14:paraId="0F76D2C0" w14:textId="02000AC3" w:rsidR="00E14798" w:rsidRDefault="00EC4D39" w:rsidP="00737C83">
      <w:pPr>
        <w:rPr>
          <w:lang w:val="en-US"/>
        </w:rPr>
      </w:pPr>
      <w:r w:rsidRPr="00996D35">
        <w:rPr>
          <w:lang w:val="en-US"/>
        </w:rPr>
        <w:t xml:space="preserve">Pooled asthma exacerbation rate and FEV1 data from </w:t>
      </w:r>
      <w:r w:rsidR="00AD6903">
        <w:rPr>
          <w:lang w:val="en-US"/>
        </w:rPr>
        <w:t xml:space="preserve">the </w:t>
      </w:r>
      <w:r w:rsidRPr="00996D35">
        <w:rPr>
          <w:lang w:val="en-US"/>
        </w:rPr>
        <w:t xml:space="preserve">SIROCCO and CALIMA </w:t>
      </w:r>
      <w:r w:rsidR="00AD6903">
        <w:rPr>
          <w:lang w:val="en-US"/>
        </w:rPr>
        <w:t>trials</w:t>
      </w:r>
      <w:r w:rsidR="00AD6903" w:rsidRPr="00996D35">
        <w:rPr>
          <w:lang w:val="en-US"/>
        </w:rPr>
        <w:t xml:space="preserve"> </w:t>
      </w:r>
      <w:r w:rsidRPr="00996D35">
        <w:rPr>
          <w:lang w:val="en-US"/>
        </w:rPr>
        <w:t xml:space="preserve">did not show any difference in these outcomes. However, </w:t>
      </w:r>
      <w:r w:rsidRPr="00996D35">
        <w:t xml:space="preserve">in the </w:t>
      </w:r>
      <w:r w:rsidR="00A712FA" w:rsidRPr="00996D35">
        <w:t xml:space="preserve">exposure response study </w:t>
      </w:r>
      <w:r w:rsidRPr="00996D35">
        <w:t xml:space="preserve">(Post-hoc analysis of data from pivotal studies: SIROCCO and CALIMA) the estimated </w:t>
      </w:r>
      <w:r w:rsidR="00A712FA">
        <w:t>90% effective concentration (</w:t>
      </w:r>
      <w:r w:rsidRPr="00996D35">
        <w:t>EC</w:t>
      </w:r>
      <w:r w:rsidRPr="00A712FA">
        <w:rPr>
          <w:vertAlign w:val="subscript"/>
        </w:rPr>
        <w:t>90</w:t>
      </w:r>
      <w:r w:rsidR="00A712FA">
        <w:t xml:space="preserve">) </w:t>
      </w:r>
      <w:r w:rsidRPr="00996D35">
        <w:t xml:space="preserve">was 927 ng/mL which was close to the typical </w:t>
      </w:r>
      <w:proofErr w:type="spellStart"/>
      <w:r w:rsidRPr="00996D35">
        <w:t>C</w:t>
      </w:r>
      <w:r w:rsidRPr="00996D35">
        <w:rPr>
          <w:vertAlign w:val="subscript"/>
        </w:rPr>
        <w:t>average</w:t>
      </w:r>
      <w:proofErr w:type="spellEnd"/>
      <w:r w:rsidRPr="00996D35">
        <w:t xml:space="preserve"> 1066</w:t>
      </w:r>
      <w:r w:rsidR="00A712FA">
        <w:t> </w:t>
      </w:r>
      <w:r w:rsidRPr="00996D35">
        <w:t xml:space="preserve">ng/mL with the proposed dosing regimen: 30 mg SC Q8W. </w:t>
      </w:r>
      <w:r w:rsidR="008A4A1D">
        <w:rPr>
          <w:lang w:val="en-US"/>
        </w:rPr>
        <w:t xml:space="preserve">A flat exposure </w:t>
      </w:r>
      <w:r w:rsidRPr="00996D35">
        <w:rPr>
          <w:lang w:val="en-US"/>
        </w:rPr>
        <w:t>response relationship for FEV1 suggested that the efficacy plateau was reached at 30 mg Q8W</w:t>
      </w:r>
      <w:r w:rsidR="00E14798">
        <w:rPr>
          <w:lang w:val="en-US"/>
        </w:rPr>
        <w:t>.</w:t>
      </w:r>
    </w:p>
    <w:p w14:paraId="5C7FD129" w14:textId="77777777" w:rsidR="00EC4D39" w:rsidRPr="00737C83" w:rsidRDefault="00EC4D39" w:rsidP="00737C83">
      <w:pPr>
        <w:pStyle w:val="Heading4"/>
      </w:pPr>
      <w:r w:rsidRPr="00737C83">
        <w:t>Pharmacodynamics</w:t>
      </w:r>
    </w:p>
    <w:p w14:paraId="2E8801B0" w14:textId="77777777" w:rsidR="00E14798" w:rsidRDefault="00EC4D39" w:rsidP="00737C83">
      <w:r w:rsidRPr="00996D35">
        <w:t xml:space="preserve">Data related to </w:t>
      </w:r>
      <w:r w:rsidR="008A4A1D">
        <w:t>PD endpoints were largely from P</w:t>
      </w:r>
      <w:r w:rsidRPr="00996D35">
        <w:t>hase I and II studies conducted in patients with mild</w:t>
      </w:r>
      <w:r w:rsidR="008A4A1D">
        <w:t xml:space="preserve"> </w:t>
      </w:r>
      <w:r>
        <w:t>moderate</w:t>
      </w:r>
      <w:r w:rsidRPr="00996D35">
        <w:t xml:space="preserve"> asthm</w:t>
      </w:r>
      <w:r w:rsidR="00737C83">
        <w:t>a or with history of asthma. A P</w:t>
      </w:r>
      <w:r w:rsidRPr="00996D35">
        <w:t xml:space="preserve">hase </w:t>
      </w:r>
      <w:proofErr w:type="spellStart"/>
      <w:r w:rsidRPr="00996D35">
        <w:t>IIb</w:t>
      </w:r>
      <w:proofErr w:type="spellEnd"/>
      <w:r w:rsidRPr="00996D35">
        <w:t xml:space="preserve"> study was conducted in patients with severe asthma</w:t>
      </w:r>
      <w:r w:rsidR="00E14798">
        <w:t>.</w:t>
      </w:r>
    </w:p>
    <w:p w14:paraId="32B59714" w14:textId="77777777" w:rsidR="00EC4D39" w:rsidRPr="00737C83" w:rsidRDefault="00EC4D39" w:rsidP="00737C83">
      <w:pPr>
        <w:pStyle w:val="Heading5"/>
      </w:pPr>
      <w:r w:rsidRPr="00737C83">
        <w:t>Blood eosinophil count</w:t>
      </w:r>
    </w:p>
    <w:p w14:paraId="7B71A172" w14:textId="77777777" w:rsidR="00EC4D39" w:rsidRPr="00996D35" w:rsidRDefault="00EC4D39" w:rsidP="00737C83">
      <w:r w:rsidRPr="00996D35">
        <w:t xml:space="preserve">Across all PD studies, there was </w:t>
      </w:r>
      <w:r w:rsidR="005028A8">
        <w:t xml:space="preserve">&gt; </w:t>
      </w:r>
      <w:r w:rsidRPr="00996D35">
        <w:t xml:space="preserve">95% </w:t>
      </w:r>
      <w:proofErr w:type="gramStart"/>
      <w:r w:rsidRPr="00996D35">
        <w:t>reductio</w:t>
      </w:r>
      <w:r w:rsidR="008A4A1D">
        <w:t>n in blood eosinophil count</w:t>
      </w:r>
      <w:proofErr w:type="gramEnd"/>
      <w:r w:rsidR="008A4A1D">
        <w:t xml:space="preserve"> by D</w:t>
      </w:r>
      <w:r w:rsidRPr="00996D35">
        <w:t>ay 7 and persisted for up to Day80 and Day 120 following IV and SC administration respectively. The blood eosinophil count recovered (</w:t>
      </w:r>
      <w:r w:rsidR="007504A5">
        <w:t xml:space="preserve">≥ </w:t>
      </w:r>
      <w:r w:rsidRPr="00996D35">
        <w:t>20% of baseline) by 6 months in around 75% of patients and in all patients by around 240 days. A decrease in segmented eosinophils was observed in the bone marrow at Day 28. No other cell types seem to be affected.</w:t>
      </w:r>
    </w:p>
    <w:p w14:paraId="514B81AF" w14:textId="56A99894" w:rsidR="00EC4D39" w:rsidRPr="00996D35" w:rsidRDefault="00EC4D39" w:rsidP="00737C83">
      <w:r w:rsidRPr="00996D35">
        <w:t xml:space="preserve">In </w:t>
      </w:r>
      <w:r w:rsidR="00A712FA">
        <w:t xml:space="preserve">the </w:t>
      </w:r>
      <w:r w:rsidRPr="00996D35">
        <w:t xml:space="preserve">SIROCCO </w:t>
      </w:r>
      <w:r w:rsidR="00AD6903">
        <w:t>trial</w:t>
      </w:r>
      <w:r w:rsidRPr="00996D35">
        <w:t xml:space="preserve">, asthmatics with a baseline blood eosinophil level </w:t>
      </w:r>
      <w:r w:rsidR="007504A5">
        <w:t xml:space="preserve">≥ </w:t>
      </w:r>
      <w:r w:rsidRPr="00996D35">
        <w:t>300/µL</w:t>
      </w:r>
      <w:r>
        <w:t>,</w:t>
      </w:r>
      <w:r w:rsidRPr="00996D35">
        <w:t xml:space="preserve"> achieved </w:t>
      </w:r>
      <w:r w:rsidR="00737C83">
        <w:t>≥ </w:t>
      </w:r>
      <w:r w:rsidRPr="00996D35">
        <w:t>90% depletion of blood eosinophils at Week 4 of treatment period a</w:t>
      </w:r>
      <w:r>
        <w:t>nd was sustained until Week 48.</w:t>
      </w:r>
    </w:p>
    <w:p w14:paraId="58BAE65F" w14:textId="77777777" w:rsidR="00EC4D39" w:rsidRPr="00737C83" w:rsidRDefault="00EC4D39" w:rsidP="00737C83">
      <w:pPr>
        <w:pStyle w:val="Heading5"/>
      </w:pPr>
      <w:r w:rsidRPr="00737C83">
        <w:t>Sputum eosinophil count</w:t>
      </w:r>
    </w:p>
    <w:p w14:paraId="1524B583" w14:textId="77777777" w:rsidR="00E14798" w:rsidRDefault="00EC4D39" w:rsidP="00737C83">
      <w:r w:rsidRPr="00996D35">
        <w:t>A 75%, 87.5% and 64.8% reduction in sput</w:t>
      </w:r>
      <w:r>
        <w:t xml:space="preserve">um eosinophils was </w:t>
      </w:r>
      <w:r w:rsidRPr="00996D35">
        <w:t xml:space="preserve">observed in a </w:t>
      </w:r>
      <w:r w:rsidR="008A4A1D">
        <w:t>Phase</w:t>
      </w:r>
      <w:r w:rsidRPr="00996D35">
        <w:t xml:space="preserve"> I study in asthmatics following benralizumab 100</w:t>
      </w:r>
      <w:r w:rsidR="00737C83">
        <w:t xml:space="preserve"> </w:t>
      </w:r>
      <w:r w:rsidRPr="00996D35">
        <w:t>mg and 200</w:t>
      </w:r>
      <w:r w:rsidR="00737C83">
        <w:t xml:space="preserve"> </w:t>
      </w:r>
      <w:r w:rsidRPr="00996D35">
        <w:t>mg SC administration and in placebo</w:t>
      </w:r>
      <w:r>
        <w:t xml:space="preserve"> respectively</w:t>
      </w:r>
      <w:r w:rsidRPr="00996D35">
        <w:t>. However, this was not associated with significant changes in spirometry or peak flow measures. There was a decrease in exhaled nitric oxide measure in benralizumab 100</w:t>
      </w:r>
      <w:r w:rsidR="00737C83">
        <w:t xml:space="preserve"> m</w:t>
      </w:r>
      <w:r w:rsidRPr="00996D35">
        <w:t>g SC group, suggestive of decreased airway inflammation; but not with other groups</w:t>
      </w:r>
      <w:r w:rsidR="00E14798">
        <w:t>.</w:t>
      </w:r>
    </w:p>
    <w:p w14:paraId="3C5424C1" w14:textId="77777777" w:rsidR="00EC4D39" w:rsidRDefault="00EC4D39" w:rsidP="00737C83">
      <w:pPr>
        <w:pStyle w:val="Heading4"/>
        <w:rPr>
          <w:rFonts w:asciiTheme="minorHAnsi" w:hAnsiTheme="minorHAnsi"/>
          <w:szCs w:val="22"/>
        </w:rPr>
      </w:pPr>
      <w:r w:rsidRPr="003F08CF">
        <w:t>Efficacy</w:t>
      </w:r>
    </w:p>
    <w:p w14:paraId="0312C281" w14:textId="2320BE8D" w:rsidR="00EC4D39" w:rsidRDefault="00EC4D39" w:rsidP="00EC4D39">
      <w:pPr>
        <w:pStyle w:val="FigureTitle"/>
      </w:pPr>
      <w:r>
        <w:t xml:space="preserve">Figure </w:t>
      </w:r>
      <w:r w:rsidR="004D70B4">
        <w:t>6</w:t>
      </w:r>
      <w:r w:rsidR="00737C83">
        <w:t xml:space="preserve">: </w:t>
      </w:r>
      <w:r w:rsidR="00A712FA">
        <w:t xml:space="preserve">Submitted benralizumab </w:t>
      </w:r>
      <w:r w:rsidR="00737C83">
        <w:t>Phase III studies</w:t>
      </w:r>
    </w:p>
    <w:p w14:paraId="01BC7FCC" w14:textId="77777777" w:rsidR="00EC4D39" w:rsidRDefault="00EC4D39" w:rsidP="007B6132">
      <w:r>
        <w:rPr>
          <w:noProof/>
          <w:lang w:eastAsia="en-AU"/>
        </w:rPr>
        <w:drawing>
          <wp:inline distT="0" distB="0" distL="0" distR="0" wp14:anchorId="09214661" wp14:editId="5C95A17F">
            <wp:extent cx="5400040" cy="2163478"/>
            <wp:effectExtent l="0" t="0" r="0" b="8255"/>
            <wp:docPr id="1" name="Picture 1" descr="Figure 6: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163478"/>
                    </a:xfrm>
                    <a:prstGeom prst="rect">
                      <a:avLst/>
                    </a:prstGeom>
                  </pic:spPr>
                </pic:pic>
              </a:graphicData>
            </a:graphic>
          </wp:inline>
        </w:drawing>
      </w:r>
    </w:p>
    <w:p w14:paraId="377F59AD" w14:textId="77777777" w:rsidR="00EC4D39" w:rsidRPr="00CF10F7" w:rsidRDefault="00EC4D39" w:rsidP="00737C83">
      <w:pPr>
        <w:pStyle w:val="Heading5"/>
      </w:pPr>
      <w:r w:rsidRPr="00CF10F7">
        <w:t>Rational</w:t>
      </w:r>
      <w:r w:rsidR="00737C83">
        <w:t>e for the proposed dose</w:t>
      </w:r>
    </w:p>
    <w:p w14:paraId="2BA024E6" w14:textId="77777777" w:rsidR="00EC4D39" w:rsidRPr="00CF10F7" w:rsidRDefault="00EC4D39" w:rsidP="00737C83">
      <w:pPr>
        <w:pStyle w:val="Heading6"/>
        <w:rPr>
          <w:lang w:val="en-US"/>
        </w:rPr>
      </w:pPr>
      <w:r w:rsidRPr="00CF10F7">
        <w:rPr>
          <w:lang w:val="en-US"/>
        </w:rPr>
        <w:t>Dose ranging studies</w:t>
      </w:r>
    </w:p>
    <w:p w14:paraId="39B462B2" w14:textId="77777777" w:rsidR="00EC4D39" w:rsidRPr="00737C83" w:rsidRDefault="00737C83" w:rsidP="00737C83">
      <w:pPr>
        <w:rPr>
          <w:lang w:val="en-US"/>
        </w:rPr>
      </w:pPr>
      <w:r>
        <w:rPr>
          <w:lang w:val="en-US"/>
        </w:rPr>
        <w:t>Study MI-CP220 (P</w:t>
      </w:r>
      <w:r w:rsidR="00EC4D39" w:rsidRPr="00CF10F7">
        <w:rPr>
          <w:lang w:val="en-US"/>
        </w:rPr>
        <w:t>hase II) examined 2, 20 and 100 mg SC Q8W regimens in adult patients with uncontrolled</w:t>
      </w:r>
      <w:r>
        <w:rPr>
          <w:lang w:val="en-US"/>
        </w:rPr>
        <w:t xml:space="preserve"> asthma and treated with medium </w:t>
      </w:r>
      <w:r w:rsidR="00EC4D39" w:rsidRPr="00CF10F7">
        <w:rPr>
          <w:lang w:val="en-US"/>
        </w:rPr>
        <w:t xml:space="preserve">high dose ICS-LABA and having blood </w:t>
      </w:r>
      <w:r w:rsidR="00EC4D39" w:rsidRPr="00CF10F7">
        <w:rPr>
          <w:lang w:val="en-US"/>
        </w:rPr>
        <w:lastRenderedPageBreak/>
        <w:t xml:space="preserve">eosinophil </w:t>
      </w:r>
      <w:r w:rsidR="005028A8">
        <w:rPr>
          <w:lang w:val="en-US"/>
        </w:rPr>
        <w:t xml:space="preserve">&gt; </w:t>
      </w:r>
      <w:r w:rsidR="00EC4D39" w:rsidRPr="00CF10F7">
        <w:rPr>
          <w:lang w:val="en-US"/>
        </w:rPr>
        <w:t>300/µL.</w:t>
      </w:r>
      <w:r w:rsidR="00F971ED">
        <w:rPr>
          <w:lang w:val="en-US"/>
        </w:rPr>
        <w:t xml:space="preserve"> </w:t>
      </w:r>
      <w:r w:rsidR="00EC4D39" w:rsidRPr="00CF10F7">
        <w:rPr>
          <w:lang w:val="en-US"/>
        </w:rPr>
        <w:t>100</w:t>
      </w:r>
      <w:r w:rsidR="00B62CD5">
        <w:rPr>
          <w:lang w:val="en-US"/>
        </w:rPr>
        <w:t xml:space="preserve"> mg</w:t>
      </w:r>
      <w:r w:rsidR="00EC4D39" w:rsidRPr="00CF10F7">
        <w:rPr>
          <w:lang w:val="en-US"/>
        </w:rPr>
        <w:t xml:space="preserve"> SC Q8W group achieved a 41% reduction in exacerbation rate, compared to placebo; however it was not statistically significant. Meanwhile, patients on 20</w:t>
      </w:r>
      <w:r w:rsidR="00B62CD5">
        <w:rPr>
          <w:lang w:val="en-US"/>
        </w:rPr>
        <w:t xml:space="preserve"> mg</w:t>
      </w:r>
      <w:r w:rsidR="00EC4D39" w:rsidRPr="00CF10F7">
        <w:rPr>
          <w:lang w:val="en-US"/>
        </w:rPr>
        <w:t xml:space="preserve"> SC Q8W achieved a statistically significant and greater (57%) reduction in exacerbation rate, compared to placebo. The 30</w:t>
      </w:r>
      <w:r w:rsidR="00B62CD5">
        <w:rPr>
          <w:lang w:val="en-US"/>
        </w:rPr>
        <w:t xml:space="preserve"> mg</w:t>
      </w:r>
      <w:r w:rsidR="00EC4D39" w:rsidRPr="00CF10F7">
        <w:rPr>
          <w:lang w:val="en-US"/>
        </w:rPr>
        <w:t xml:space="preserve"> SC dose chosen in pivotal study was based on this observation</w:t>
      </w:r>
      <w:r w:rsidR="00E14798">
        <w:rPr>
          <w:lang w:val="en-US"/>
        </w:rPr>
        <w:t>.</w:t>
      </w:r>
    </w:p>
    <w:p w14:paraId="583B2A05" w14:textId="4310B6C0" w:rsidR="00E14798" w:rsidRDefault="00EC4D39" w:rsidP="00737C83">
      <w:pPr>
        <w:rPr>
          <w:lang w:val="en-US"/>
        </w:rPr>
      </w:pPr>
      <w:r w:rsidRPr="00CF10F7">
        <w:rPr>
          <w:lang w:val="en-US"/>
        </w:rPr>
        <w:t xml:space="preserve">In </w:t>
      </w:r>
      <w:r w:rsidR="00A712FA">
        <w:rPr>
          <w:lang w:val="en-US"/>
        </w:rPr>
        <w:t xml:space="preserve">the </w:t>
      </w:r>
      <w:r w:rsidRPr="00CF10F7">
        <w:rPr>
          <w:lang w:val="en-US"/>
        </w:rPr>
        <w:t>SIROCCO and CALIMA</w:t>
      </w:r>
      <w:r w:rsidR="003A02E6">
        <w:rPr>
          <w:lang w:val="en-US"/>
        </w:rPr>
        <w:t xml:space="preserve"> </w:t>
      </w:r>
      <w:r w:rsidR="00AD6903">
        <w:rPr>
          <w:lang w:val="en-US"/>
        </w:rPr>
        <w:t>trial</w:t>
      </w:r>
      <w:r w:rsidR="003A02E6">
        <w:rPr>
          <w:lang w:val="en-US"/>
        </w:rPr>
        <w:t>s</w:t>
      </w:r>
      <w:r w:rsidRPr="00CF10F7">
        <w:rPr>
          <w:lang w:val="en-US"/>
        </w:rPr>
        <w:t>, there was no inclusion criteria based on blood eosinophil count</w:t>
      </w:r>
      <w:r>
        <w:rPr>
          <w:lang w:val="en-US"/>
        </w:rPr>
        <w:t>. P</w:t>
      </w:r>
      <w:r w:rsidRPr="00CF10F7">
        <w:rPr>
          <w:lang w:val="en-US"/>
        </w:rPr>
        <w:t xml:space="preserve">atients were stratified as those with </w:t>
      </w:r>
      <w:r w:rsidR="007504A5">
        <w:rPr>
          <w:lang w:val="en-US"/>
        </w:rPr>
        <w:t xml:space="preserve">&lt; </w:t>
      </w:r>
      <w:r w:rsidRPr="00CF10F7">
        <w:rPr>
          <w:lang w:val="en-US"/>
        </w:rPr>
        <w:t>300</w:t>
      </w:r>
      <w:r w:rsidR="00737C83">
        <w:rPr>
          <w:lang w:val="en-US"/>
        </w:rPr>
        <w:t xml:space="preserve"> </w:t>
      </w:r>
      <w:r w:rsidRPr="00CF10F7">
        <w:rPr>
          <w:lang w:val="en-US"/>
        </w:rPr>
        <w:t xml:space="preserve">cells/µL and </w:t>
      </w:r>
      <w:r w:rsidR="005028A8">
        <w:rPr>
          <w:lang w:val="en-US"/>
        </w:rPr>
        <w:t xml:space="preserve">&gt; </w:t>
      </w:r>
      <w:r w:rsidRPr="00CF10F7">
        <w:rPr>
          <w:lang w:val="en-US"/>
        </w:rPr>
        <w:t xml:space="preserve">300cells/µL. </w:t>
      </w:r>
      <w:r w:rsidRPr="008A4A1D">
        <w:rPr>
          <w:lang w:val="en-US"/>
        </w:rPr>
        <w:t xml:space="preserve">The </w:t>
      </w:r>
      <w:r w:rsidR="00A712FA">
        <w:t>intention to treat</w:t>
      </w:r>
      <w:r w:rsidR="00A712FA" w:rsidRPr="008A4A1D">
        <w:rPr>
          <w:lang w:val="en-US"/>
        </w:rPr>
        <w:t xml:space="preserve"> </w:t>
      </w:r>
      <w:r w:rsidR="005E3545">
        <w:rPr>
          <w:lang w:val="en-US"/>
        </w:rPr>
        <w:t>(</w:t>
      </w:r>
      <w:r w:rsidRPr="008A4A1D">
        <w:rPr>
          <w:lang w:val="en-US"/>
        </w:rPr>
        <w:t>ITT</w:t>
      </w:r>
      <w:r w:rsidR="005E3545">
        <w:rPr>
          <w:lang w:val="en-US"/>
        </w:rPr>
        <w:t>)</w:t>
      </w:r>
      <w:r w:rsidRPr="008A4A1D">
        <w:rPr>
          <w:lang w:val="en-US"/>
        </w:rPr>
        <w:t xml:space="preserve"> population was patients on high dose ICS and with blood eosinophil count </w:t>
      </w:r>
      <w:r w:rsidR="005028A8" w:rsidRPr="008A4A1D">
        <w:rPr>
          <w:lang w:val="en-US"/>
        </w:rPr>
        <w:t xml:space="preserve">&gt; </w:t>
      </w:r>
      <w:r w:rsidRPr="008A4A1D">
        <w:rPr>
          <w:lang w:val="en-US"/>
        </w:rPr>
        <w:t>300</w:t>
      </w:r>
      <w:r w:rsidR="00737C83" w:rsidRPr="008A4A1D">
        <w:rPr>
          <w:lang w:val="en-US"/>
        </w:rPr>
        <w:t xml:space="preserve"> </w:t>
      </w:r>
      <w:r w:rsidRPr="008A4A1D">
        <w:rPr>
          <w:lang w:val="en-US"/>
        </w:rPr>
        <w:t>cells/µL</w:t>
      </w:r>
      <w:r w:rsidRPr="00857591">
        <w:rPr>
          <w:i/>
          <w:lang w:val="en-US"/>
        </w:rPr>
        <w:t>.</w:t>
      </w:r>
      <w:r w:rsidRPr="00CF10F7">
        <w:rPr>
          <w:lang w:val="en-US"/>
        </w:rPr>
        <w:t xml:space="preserve"> Benralizumab was administered as Q4W and Q8W regimens and treatment outcomes were compared across treatment groups</w:t>
      </w:r>
      <w:r w:rsidR="00E14798">
        <w:rPr>
          <w:lang w:val="en-US"/>
        </w:rPr>
        <w:t>.</w:t>
      </w:r>
    </w:p>
    <w:p w14:paraId="70C7D61C" w14:textId="77777777" w:rsidR="00EC4D39" w:rsidRPr="008A4A1D" w:rsidRDefault="00EC4D39" w:rsidP="00737C83">
      <w:pPr>
        <w:rPr>
          <w:lang w:val="en-US"/>
        </w:rPr>
      </w:pPr>
      <w:r w:rsidRPr="008A4A1D">
        <w:rPr>
          <w:lang w:val="en-US"/>
        </w:rPr>
        <w:t>Q8W is the proposed dose for marketing and hence efficacy and safety parameters are discussed for patients included in this regimen.</w:t>
      </w:r>
    </w:p>
    <w:p w14:paraId="3D6DD746" w14:textId="70225279" w:rsidR="00EC4D39" w:rsidRPr="00DA1E68" w:rsidRDefault="00EC4D39" w:rsidP="00737C83">
      <w:pPr>
        <w:pStyle w:val="Heading5"/>
      </w:pPr>
      <w:r>
        <w:t>Pivotal</w:t>
      </w:r>
      <w:r w:rsidR="008A4A1D">
        <w:t xml:space="preserve"> </w:t>
      </w:r>
      <w:r w:rsidR="00A712FA">
        <w:t xml:space="preserve">Study </w:t>
      </w:r>
      <w:r w:rsidRPr="00DA1E68">
        <w:t>D3250C00017 (SIROCCO</w:t>
      </w:r>
      <w:r w:rsidR="00A712FA">
        <w:t xml:space="preserve"> trial</w:t>
      </w:r>
      <w:r w:rsidRPr="00DA1E68">
        <w:t>)</w:t>
      </w:r>
    </w:p>
    <w:p w14:paraId="39E86FDF" w14:textId="77777777" w:rsidR="00737C83" w:rsidRPr="008A4A1D" w:rsidRDefault="00EC4D39" w:rsidP="00737C83">
      <w:pPr>
        <w:pStyle w:val="Heading6"/>
        <w:rPr>
          <w:i w:val="0"/>
        </w:rPr>
      </w:pPr>
      <w:r w:rsidRPr="00737C83">
        <w:rPr>
          <w:rStyle w:val="Heading6Char"/>
        </w:rPr>
        <w:t>Study design</w:t>
      </w:r>
    </w:p>
    <w:p w14:paraId="251896E1" w14:textId="6FC2D7C7" w:rsidR="00E14798" w:rsidRDefault="00A712FA" w:rsidP="00EC4D39">
      <w:pPr>
        <w:pStyle w:val="Body"/>
        <w:tabs>
          <w:tab w:val="left" w:pos="346"/>
        </w:tabs>
        <w:spacing w:before="0" w:after="0" w:line="240" w:lineRule="auto"/>
        <w:contextualSpacing/>
        <w:jc w:val="both"/>
        <w:rPr>
          <w:lang w:eastAsia="ja-JP"/>
        </w:rPr>
      </w:pPr>
      <w:r>
        <w:rPr>
          <w:lang w:eastAsia="ja-JP"/>
        </w:rPr>
        <w:t>This was a m</w:t>
      </w:r>
      <w:r w:rsidR="008A4A1D">
        <w:rPr>
          <w:lang w:eastAsia="ja-JP"/>
        </w:rPr>
        <w:t xml:space="preserve">ulticentre, randomised, double </w:t>
      </w:r>
      <w:r w:rsidR="00EC4D39" w:rsidRPr="00DA1E68">
        <w:rPr>
          <w:lang w:eastAsia="ja-JP"/>
        </w:rPr>
        <w:t>blind, parallel group, placebo controlled study</w:t>
      </w:r>
      <w:r w:rsidR="00E14798">
        <w:rPr>
          <w:lang w:eastAsia="ja-JP"/>
        </w:rPr>
        <w:t>.</w:t>
      </w:r>
    </w:p>
    <w:p w14:paraId="3B60F98D" w14:textId="20DCD5D2" w:rsidR="00EC4D39" w:rsidRDefault="00EC4D39" w:rsidP="00EC4D39">
      <w:pPr>
        <w:pStyle w:val="FigureTitle"/>
      </w:pPr>
      <w:r>
        <w:t xml:space="preserve">Figure </w:t>
      </w:r>
      <w:r w:rsidR="004D70B4">
        <w:t>7</w:t>
      </w:r>
      <w:r>
        <w:t xml:space="preserve">: </w:t>
      </w:r>
      <w:r w:rsidR="00A712FA">
        <w:t xml:space="preserve">Study </w:t>
      </w:r>
      <w:r w:rsidR="008A4A1D" w:rsidRPr="00DA1E68">
        <w:t>D3250C00017 (SIROCCO</w:t>
      </w:r>
      <w:r w:rsidR="00A712FA">
        <w:t xml:space="preserve"> trial</w:t>
      </w:r>
      <w:r w:rsidR="008A4A1D" w:rsidRPr="00DA1E68">
        <w:t>)</w:t>
      </w:r>
      <w:r w:rsidR="008A4A1D">
        <w:t xml:space="preserve"> </w:t>
      </w:r>
      <w:r>
        <w:t>design</w:t>
      </w:r>
    </w:p>
    <w:p w14:paraId="12525876" w14:textId="77777777" w:rsidR="0037586C" w:rsidRDefault="0037586C" w:rsidP="0039213E">
      <w:r>
        <w:rPr>
          <w:noProof/>
          <w:lang w:eastAsia="en-AU"/>
        </w:rPr>
        <w:drawing>
          <wp:inline distT="0" distB="0" distL="0" distR="0" wp14:anchorId="7361700E" wp14:editId="7C14D101">
            <wp:extent cx="5400040" cy="2321556"/>
            <wp:effectExtent l="0" t="0" r="0" b="3175"/>
            <wp:docPr id="8" name="Picture 8" descr="Figure 7: D3250C00017 (SIROCCO) Study design&#10;There were 2681 patients enrolled, 2232 entered screening/run-in and 1205 were randomised: 400 to Q4W, 398 to Q8W and 407 to placebo Of the randomised patients 810 had eosinophil count ≥300 /µL: 276 in the Q4W group, 267 in the Q8W and 267 in the placebo.  There were 1069 patients who completed the study: 349 (87.3%) in the Q4W group, 358 (89.9%) in the Q8W and 362 (88.9%) in the placebo.  Few patients discontinued because of AE: 22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321556"/>
                    </a:xfrm>
                    <a:prstGeom prst="rect">
                      <a:avLst/>
                    </a:prstGeom>
                  </pic:spPr>
                </pic:pic>
              </a:graphicData>
            </a:graphic>
          </wp:inline>
        </w:drawing>
      </w:r>
    </w:p>
    <w:p w14:paraId="7C187038" w14:textId="77777777" w:rsidR="00737C83" w:rsidRDefault="00737C83" w:rsidP="00737C83">
      <w:pPr>
        <w:pStyle w:val="Heading6"/>
        <w:rPr>
          <w:lang w:val="en-US"/>
        </w:rPr>
      </w:pPr>
      <w:r>
        <w:rPr>
          <w:lang w:val="en-US"/>
        </w:rPr>
        <w:t>Primary objective</w:t>
      </w:r>
    </w:p>
    <w:p w14:paraId="50960DE0" w14:textId="77777777" w:rsidR="0037586C" w:rsidRPr="00700727" w:rsidRDefault="0037586C" w:rsidP="00700727">
      <w:r w:rsidRPr="00700727">
        <w:t xml:space="preserve">To evaluate the effect of 2 dosing regimens of benralizumab on asthma exacerbations in patients on </w:t>
      </w:r>
      <w:r w:rsidR="00596091" w:rsidRPr="00700727">
        <w:t>high dose</w:t>
      </w:r>
      <w:r w:rsidRPr="00700727">
        <w:t xml:space="preserve"> ICS-LABA with uncontrolled asthma</w:t>
      </w:r>
    </w:p>
    <w:p w14:paraId="279F3C31" w14:textId="77777777" w:rsidR="00737C83" w:rsidRDefault="0037586C" w:rsidP="00737C83">
      <w:pPr>
        <w:pStyle w:val="Heading6"/>
        <w:rPr>
          <w:lang w:val="en-US"/>
        </w:rPr>
      </w:pPr>
      <w:r w:rsidRPr="0050720A">
        <w:rPr>
          <w:lang w:val="en-US"/>
        </w:rPr>
        <w:t>Key secondary objectives</w:t>
      </w:r>
    </w:p>
    <w:p w14:paraId="22D4FA45" w14:textId="77777777" w:rsidR="0037586C" w:rsidRPr="0050720A" w:rsidRDefault="0037586C" w:rsidP="00737C83">
      <w:pPr>
        <w:rPr>
          <w:lang w:val="en-US"/>
        </w:rPr>
      </w:pPr>
      <w:r w:rsidRPr="0050720A">
        <w:t xml:space="preserve">To assess the effect of 2 dosing regimens of </w:t>
      </w:r>
      <w:r w:rsidRPr="0050720A">
        <w:rPr>
          <w:lang w:val="en-US"/>
        </w:rPr>
        <w:t>benralizumab on:</w:t>
      </w:r>
    </w:p>
    <w:p w14:paraId="5F91F411" w14:textId="77777777" w:rsidR="0037586C" w:rsidRPr="0050720A" w:rsidRDefault="0037586C" w:rsidP="00737C83">
      <w:pPr>
        <w:pStyle w:val="ListBullet"/>
        <w:rPr>
          <w:lang w:val="en-US"/>
        </w:rPr>
      </w:pPr>
      <w:r w:rsidRPr="0050720A">
        <w:rPr>
          <w:lang w:val="en-US"/>
        </w:rPr>
        <w:t>pulmonary function</w:t>
      </w:r>
    </w:p>
    <w:p w14:paraId="7D4D298E" w14:textId="77777777" w:rsidR="0037586C" w:rsidRPr="0050720A" w:rsidRDefault="0037586C" w:rsidP="00737C83">
      <w:pPr>
        <w:pStyle w:val="ListBullet"/>
        <w:rPr>
          <w:rFonts w:asciiTheme="minorHAnsi" w:hAnsiTheme="minorHAnsi"/>
          <w:lang w:val="en-US"/>
        </w:rPr>
      </w:pPr>
      <w:r w:rsidRPr="0050720A">
        <w:rPr>
          <w:rFonts w:asciiTheme="minorHAnsi" w:hAnsiTheme="minorHAnsi"/>
          <w:lang w:val="en-US"/>
        </w:rPr>
        <w:t>asthma exacerbations</w:t>
      </w:r>
    </w:p>
    <w:p w14:paraId="144036AF" w14:textId="77777777" w:rsidR="0037586C" w:rsidRPr="0050720A" w:rsidRDefault="0037586C" w:rsidP="00737C83">
      <w:pPr>
        <w:pStyle w:val="ListBullet"/>
        <w:rPr>
          <w:rFonts w:asciiTheme="minorHAnsi" w:hAnsiTheme="minorHAnsi"/>
          <w:lang w:val="en-US"/>
        </w:rPr>
      </w:pPr>
      <w:r w:rsidRPr="0050720A">
        <w:rPr>
          <w:rFonts w:asciiTheme="minorHAnsi" w:hAnsiTheme="minorHAnsi"/>
          <w:lang w:val="en-US"/>
        </w:rPr>
        <w:t>asthma-related and general quality of life</w:t>
      </w:r>
    </w:p>
    <w:p w14:paraId="7E7E820E" w14:textId="77777777" w:rsidR="0037586C" w:rsidRPr="00737C83" w:rsidRDefault="0037586C" w:rsidP="00737C83">
      <w:pPr>
        <w:pStyle w:val="ListBullet"/>
        <w:rPr>
          <w:rFonts w:asciiTheme="minorHAnsi" w:hAnsiTheme="minorHAnsi"/>
          <w:lang w:val="en-US"/>
        </w:rPr>
      </w:pPr>
      <w:r w:rsidRPr="0050720A">
        <w:rPr>
          <w:rFonts w:asciiTheme="minorHAnsi" w:hAnsiTheme="minorHAnsi"/>
          <w:lang w:val="en-US"/>
        </w:rPr>
        <w:t>hospital visits due to asthma</w:t>
      </w:r>
    </w:p>
    <w:p w14:paraId="565052EA" w14:textId="77777777" w:rsidR="0037586C" w:rsidRPr="0050720A" w:rsidRDefault="00737C83" w:rsidP="00737C83">
      <w:pPr>
        <w:pStyle w:val="Heading6"/>
        <w:rPr>
          <w:lang w:val="en-US"/>
        </w:rPr>
      </w:pPr>
      <w:r>
        <w:rPr>
          <w:lang w:val="en-US"/>
        </w:rPr>
        <w:t>Key inclusion criteria</w:t>
      </w:r>
    </w:p>
    <w:p w14:paraId="6289B059" w14:textId="77777777" w:rsidR="0037586C" w:rsidRPr="0050720A" w:rsidRDefault="00737C83" w:rsidP="00737C83">
      <w:pPr>
        <w:pStyle w:val="ListBullet"/>
      </w:pPr>
      <w:r>
        <w:t>Age: 12 years to</w:t>
      </w:r>
      <w:r w:rsidR="0037586C" w:rsidRPr="0050720A">
        <w:t xml:space="preserve"> 75 years</w:t>
      </w:r>
    </w:p>
    <w:p w14:paraId="573F4243" w14:textId="77777777" w:rsidR="0037586C" w:rsidRPr="0050720A" w:rsidRDefault="00737C83" w:rsidP="00737C83">
      <w:pPr>
        <w:pStyle w:val="ListBullet"/>
      </w:pPr>
      <w:r>
        <w:t xml:space="preserve">History of physician </w:t>
      </w:r>
      <w:r w:rsidR="0037586C" w:rsidRPr="0050720A">
        <w:t>diagnosed asthma requiring treatment with medium</w:t>
      </w:r>
      <w:r w:rsidR="00F971ED">
        <w:t xml:space="preserve"> t</w:t>
      </w:r>
      <w:r>
        <w:t xml:space="preserve">o </w:t>
      </w:r>
      <w:r w:rsidR="0037586C" w:rsidRPr="0050720A">
        <w:t>high dose ICS (</w:t>
      </w:r>
      <w:r w:rsidR="005028A8">
        <w:t xml:space="preserve">&gt; </w:t>
      </w:r>
      <w:r w:rsidR="0037586C" w:rsidRPr="0050720A">
        <w:t>250μg fluticasone dry powder formulation equivalents total daily dose) and a LABA, for at least 12 months prior to Visit 1.</w:t>
      </w:r>
    </w:p>
    <w:p w14:paraId="30DDEED0" w14:textId="77777777" w:rsidR="0037586C" w:rsidRPr="0050720A" w:rsidRDefault="0037586C" w:rsidP="00737C83">
      <w:pPr>
        <w:pStyle w:val="ListBullet"/>
      </w:pPr>
      <w:r w:rsidRPr="0050720A">
        <w:lastRenderedPageBreak/>
        <w:t>Pre-bronchod</w:t>
      </w:r>
      <w:r>
        <w:t xml:space="preserve">ilator FEV1 of </w:t>
      </w:r>
      <w:r w:rsidR="007504A5">
        <w:t xml:space="preserve">&lt; </w:t>
      </w:r>
      <w:r>
        <w:t>80% predicted. However, FEV1</w:t>
      </w:r>
      <w:r w:rsidR="007504A5">
        <w:t xml:space="preserve">&lt; </w:t>
      </w:r>
      <w:r w:rsidRPr="0050720A">
        <w:t xml:space="preserve">90% predicted </w:t>
      </w:r>
      <w:r>
        <w:t xml:space="preserve">was the cut-off </w:t>
      </w:r>
      <w:r w:rsidRPr="0050720A">
        <w:t>for</w:t>
      </w:r>
      <w:r>
        <w:t xml:space="preserve"> patients 12 to 17 years of age, which might have included asthmatics with milder disease severity.</w:t>
      </w:r>
    </w:p>
    <w:p w14:paraId="4D1F7FAC" w14:textId="77777777" w:rsidR="0037586C" w:rsidRPr="00737C83" w:rsidRDefault="0037586C" w:rsidP="00737C83">
      <w:pPr>
        <w:pStyle w:val="ListBullet"/>
        <w:rPr>
          <w:rFonts w:asciiTheme="minorHAnsi" w:hAnsiTheme="minorHAnsi"/>
          <w:sz w:val="21"/>
          <w:szCs w:val="21"/>
        </w:rPr>
      </w:pPr>
      <w:r w:rsidRPr="0050720A">
        <w:rPr>
          <w:rFonts w:asciiTheme="minorHAnsi" w:hAnsiTheme="minorHAnsi"/>
          <w:sz w:val="21"/>
          <w:szCs w:val="21"/>
        </w:rPr>
        <w:t xml:space="preserve">Two </w:t>
      </w:r>
      <w:r>
        <w:rPr>
          <w:rFonts w:asciiTheme="minorHAnsi" w:hAnsiTheme="minorHAnsi"/>
          <w:sz w:val="21"/>
          <w:szCs w:val="21"/>
        </w:rPr>
        <w:t xml:space="preserve">or more </w:t>
      </w:r>
      <w:r w:rsidRPr="0050720A">
        <w:rPr>
          <w:rFonts w:asciiTheme="minorHAnsi" w:hAnsiTheme="minorHAnsi"/>
          <w:sz w:val="21"/>
          <w:szCs w:val="21"/>
        </w:rPr>
        <w:t>documented asthma exacerbations in the 12 months prior to enrolment in to the study that required use of a systemic corticosteroid or a temporary increase from the patient’s usual maintenance dose of OCS.</w:t>
      </w:r>
    </w:p>
    <w:p w14:paraId="4C71C8B8" w14:textId="77777777" w:rsidR="0037586C" w:rsidRPr="000A527E" w:rsidRDefault="0037586C" w:rsidP="00737C83">
      <w:pPr>
        <w:pStyle w:val="Heading6"/>
      </w:pPr>
      <w:r>
        <w:t>Key exclusion criteria</w:t>
      </w:r>
    </w:p>
    <w:p w14:paraId="442E0F83" w14:textId="77777777" w:rsidR="0037586C" w:rsidRDefault="0037586C" w:rsidP="00737C83">
      <w:pPr>
        <w:pStyle w:val="ListBullet"/>
      </w:pPr>
      <w:r>
        <w:t>P</w:t>
      </w:r>
      <w:r w:rsidRPr="00071D28">
        <w:t>ulmonary or systemic disease, other than asthma, that was associated with elevated</w:t>
      </w:r>
      <w:r w:rsidR="00737C83">
        <w:t xml:space="preserve"> </w:t>
      </w:r>
      <w:r w:rsidRPr="00071D28">
        <w:t>peripheral eosinophil counts (</w:t>
      </w:r>
      <w:r w:rsidR="00737C83">
        <w:t>for example</w:t>
      </w:r>
      <w:r w:rsidRPr="00071D28">
        <w:t>, allergic bronchop</w:t>
      </w:r>
      <w:r w:rsidR="00737C83">
        <w:t xml:space="preserve">ulmonary aspergillosis/mycosis, </w:t>
      </w:r>
      <w:proofErr w:type="spellStart"/>
      <w:r w:rsidRPr="00071D28">
        <w:t>Churg</w:t>
      </w:r>
      <w:proofErr w:type="spellEnd"/>
      <w:r w:rsidRPr="00071D28">
        <w:t xml:space="preserve">-Strauss syndrome, </w:t>
      </w:r>
      <w:proofErr w:type="spellStart"/>
      <w:r w:rsidRPr="00071D28">
        <w:t>hypereosinophilic</w:t>
      </w:r>
      <w:proofErr w:type="spellEnd"/>
      <w:r w:rsidRPr="00071D28">
        <w:t xml:space="preserve"> syndrome).</w:t>
      </w:r>
    </w:p>
    <w:p w14:paraId="3615F82C" w14:textId="77777777" w:rsidR="00E14798" w:rsidRDefault="0037586C" w:rsidP="00737C83">
      <w:pPr>
        <w:pStyle w:val="ListBullet"/>
      </w:pPr>
      <w:r w:rsidRPr="0050720A">
        <w:t>History of cancer: Patients with history of cancer were eligible, provided they were in remission and curative therapy was completed at least 5 years prior to recruitment</w:t>
      </w:r>
      <w:r w:rsidR="00E14798">
        <w:t>.</w:t>
      </w:r>
    </w:p>
    <w:p w14:paraId="03DE72D3" w14:textId="77777777" w:rsidR="0037586C" w:rsidRPr="0050720A" w:rsidRDefault="0037586C" w:rsidP="00737C83">
      <w:pPr>
        <w:pStyle w:val="ListBullet"/>
      </w:pPr>
      <w:r w:rsidRPr="0050720A">
        <w:t>Positive hepatitis B surface antigen, or hepatitis C virus antibody serology, or a positive medical history for hepatitis B or C.</w:t>
      </w:r>
    </w:p>
    <w:p w14:paraId="07E7BD08" w14:textId="77777777" w:rsidR="0037586C" w:rsidRPr="00737C83" w:rsidRDefault="0037586C" w:rsidP="00737C83">
      <w:pPr>
        <w:pStyle w:val="ListBullet"/>
      </w:pPr>
      <w:r w:rsidRPr="0050720A">
        <w:t>A helminth parasitic infection diagnosed within 24 weeks prior to the date informed consent and had been not treated with or has failed to respond to treatment.</w:t>
      </w:r>
    </w:p>
    <w:p w14:paraId="604B8E1B" w14:textId="77777777" w:rsidR="00737C83" w:rsidRDefault="00737C83" w:rsidP="00737C83">
      <w:pPr>
        <w:pStyle w:val="Heading6"/>
        <w:rPr>
          <w:lang w:val="en-US"/>
        </w:rPr>
      </w:pPr>
      <w:r>
        <w:rPr>
          <w:lang w:val="en-US"/>
        </w:rPr>
        <w:t>Patient population</w:t>
      </w:r>
    </w:p>
    <w:p w14:paraId="4D979679" w14:textId="77777777" w:rsidR="0037586C" w:rsidRPr="00737C83" w:rsidRDefault="0037586C" w:rsidP="00737C83">
      <w:r w:rsidRPr="0050720A">
        <w:t>A total of 1</w:t>
      </w:r>
      <w:r w:rsidR="008A4A1D">
        <w:t>,</w:t>
      </w:r>
      <w:r w:rsidRPr="0050720A">
        <w:t>069 (88.7%) patients completed treatment with study drug. The proportion of patients who discontinued treatment was similar across the groups, and due to AE was around 2% across treatment arms</w:t>
      </w:r>
      <w:r w:rsidR="00E14798">
        <w:t>.</w:t>
      </w:r>
    </w:p>
    <w:p w14:paraId="4B7472AD" w14:textId="77777777" w:rsidR="00737C83" w:rsidRDefault="0037586C" w:rsidP="00737C83">
      <w:pPr>
        <w:pStyle w:val="Heading6"/>
        <w:rPr>
          <w:lang w:val="en-US"/>
        </w:rPr>
      </w:pPr>
      <w:r w:rsidRPr="0050720A">
        <w:rPr>
          <w:lang w:val="en-US"/>
        </w:rPr>
        <w:t>Baseline characteristics</w:t>
      </w:r>
    </w:p>
    <w:p w14:paraId="4D604511" w14:textId="23C980E6" w:rsidR="0037586C" w:rsidRPr="00737C83" w:rsidRDefault="0037586C" w:rsidP="00737C83">
      <w:r w:rsidRPr="0050720A">
        <w:t xml:space="preserve">The patient population of interest was the sub-group with baseline blood eosinophil </w:t>
      </w:r>
      <w:r w:rsidR="00FB5559">
        <w:t>≥ </w:t>
      </w:r>
      <w:r w:rsidRPr="0050720A">
        <w:t xml:space="preserve">300µL and on </w:t>
      </w:r>
      <w:r>
        <w:t xml:space="preserve">benralizumab </w:t>
      </w:r>
      <w:r w:rsidRPr="0050720A">
        <w:t>30</w:t>
      </w:r>
      <w:r w:rsidR="00B62CD5">
        <w:t xml:space="preserve"> mg</w:t>
      </w:r>
      <w:r w:rsidRPr="0050720A">
        <w:t xml:space="preserve">Q8W. </w:t>
      </w:r>
      <w:r w:rsidRPr="0050720A">
        <w:rPr>
          <w:lang w:val="en-US"/>
        </w:rPr>
        <w:t xml:space="preserve">The mean age of asthmatics was around 45 years </w:t>
      </w:r>
      <w:r>
        <w:rPr>
          <w:lang w:val="en-US"/>
        </w:rPr>
        <w:t>M</w:t>
      </w:r>
      <w:r w:rsidRPr="0050720A">
        <w:rPr>
          <w:lang w:val="en-US"/>
        </w:rPr>
        <w:t xml:space="preserve">ean ACQ </w:t>
      </w:r>
      <w:proofErr w:type="gramStart"/>
      <w:r w:rsidRPr="0050720A">
        <w:rPr>
          <w:lang w:val="en-US"/>
        </w:rPr>
        <w:t>of 2.8 reflected uncontrolled asthma</w:t>
      </w:r>
      <w:proofErr w:type="gramEnd"/>
      <w:r w:rsidRPr="0050720A">
        <w:rPr>
          <w:lang w:val="en-US"/>
        </w:rPr>
        <w:t xml:space="preserve">. The mean </w:t>
      </w:r>
      <w:r w:rsidR="00E53A6B">
        <w:t>percent predicted FEV1 (</w:t>
      </w:r>
      <w:r w:rsidRPr="0050720A">
        <w:rPr>
          <w:lang w:val="en-US"/>
        </w:rPr>
        <w:t>ppFEV1</w:t>
      </w:r>
      <w:r w:rsidR="00E53A6B">
        <w:rPr>
          <w:lang w:val="en-US"/>
        </w:rPr>
        <w:t>)</w:t>
      </w:r>
      <w:r w:rsidRPr="0050720A">
        <w:rPr>
          <w:lang w:val="en-US"/>
        </w:rPr>
        <w:t xml:space="preserve"> of 55.5 indicates poor lung function. However, bronchodilator reversibility, which is a characteristic feature of asthma was only observed in around 27% of patients, which suggests that majority had </w:t>
      </w:r>
      <w:r>
        <w:rPr>
          <w:lang w:val="en-US"/>
        </w:rPr>
        <w:t xml:space="preserve">either well controlled asthma or </w:t>
      </w:r>
      <w:r w:rsidRPr="0050720A">
        <w:rPr>
          <w:lang w:val="en-US"/>
        </w:rPr>
        <w:t>fixed airway obstruction</w:t>
      </w:r>
      <w:r>
        <w:rPr>
          <w:lang w:val="en-US"/>
        </w:rPr>
        <w:t xml:space="preserve"> due to airway remodeling</w:t>
      </w:r>
      <w:r w:rsidRPr="0050720A">
        <w:rPr>
          <w:lang w:val="en-US"/>
        </w:rPr>
        <w:t>. The mean baseline blood eosinophil count was 620cells/µL.</w:t>
      </w:r>
      <w:r w:rsidR="00F971ED">
        <w:rPr>
          <w:lang w:val="en-US"/>
        </w:rPr>
        <w:t xml:space="preserve"> </w:t>
      </w:r>
      <w:r w:rsidRPr="0050720A">
        <w:rPr>
          <w:lang w:val="en-US"/>
        </w:rPr>
        <w:t xml:space="preserve">The </w:t>
      </w:r>
      <w:r>
        <w:rPr>
          <w:lang w:val="en-US"/>
        </w:rPr>
        <w:t>annual rate</w:t>
      </w:r>
      <w:r w:rsidRPr="0050720A">
        <w:rPr>
          <w:lang w:val="en-US"/>
        </w:rPr>
        <w:t xml:space="preserve"> of exacerbation</w:t>
      </w:r>
      <w:r>
        <w:rPr>
          <w:lang w:val="en-US"/>
        </w:rPr>
        <w:t>s in the year</w:t>
      </w:r>
      <w:r w:rsidRPr="0050720A">
        <w:rPr>
          <w:lang w:val="en-US"/>
        </w:rPr>
        <w:t xml:space="preserve"> prior to </w:t>
      </w:r>
      <w:proofErr w:type="spellStart"/>
      <w:r w:rsidR="00AD6903" w:rsidRPr="0050720A">
        <w:rPr>
          <w:lang w:val="en-US"/>
        </w:rPr>
        <w:t>randomi</w:t>
      </w:r>
      <w:r w:rsidR="00AD6903">
        <w:rPr>
          <w:lang w:val="en-US"/>
        </w:rPr>
        <w:t>s</w:t>
      </w:r>
      <w:r w:rsidR="00AD6903" w:rsidRPr="0050720A">
        <w:rPr>
          <w:lang w:val="en-US"/>
        </w:rPr>
        <w:t>ation</w:t>
      </w:r>
      <w:proofErr w:type="spellEnd"/>
      <w:r w:rsidR="00AD6903" w:rsidRPr="0050720A">
        <w:rPr>
          <w:lang w:val="en-US"/>
        </w:rPr>
        <w:t xml:space="preserve"> </w:t>
      </w:r>
      <w:r w:rsidRPr="0050720A">
        <w:rPr>
          <w:lang w:val="en-US"/>
        </w:rPr>
        <w:t xml:space="preserve">was 2.8. 73% of patients did not require hospitalisation for asthma exacerbation in the previous year of </w:t>
      </w:r>
      <w:proofErr w:type="spellStart"/>
      <w:r w:rsidR="00AD6903" w:rsidRPr="0050720A">
        <w:rPr>
          <w:lang w:val="en-US"/>
        </w:rPr>
        <w:t>randomi</w:t>
      </w:r>
      <w:r w:rsidR="00AD6903">
        <w:rPr>
          <w:lang w:val="en-US"/>
        </w:rPr>
        <w:t>s</w:t>
      </w:r>
      <w:r w:rsidR="00AD6903" w:rsidRPr="0050720A">
        <w:rPr>
          <w:lang w:val="en-US"/>
        </w:rPr>
        <w:t>ation</w:t>
      </w:r>
      <w:proofErr w:type="spellEnd"/>
      <w:r w:rsidRPr="0050720A">
        <w:rPr>
          <w:lang w:val="en-US"/>
        </w:rPr>
        <w:t xml:space="preserve">. Also, only 16.4% (one hospital admission) and 6.9% (two hospital admissions) of patients had </w:t>
      </w:r>
      <w:r w:rsidR="005236C7">
        <w:rPr>
          <w:lang w:val="en-US"/>
        </w:rPr>
        <w:t>‘</w:t>
      </w:r>
      <w:r w:rsidRPr="0050720A">
        <w:rPr>
          <w:lang w:val="en-US"/>
        </w:rPr>
        <w:t>uncontrolled asthma</w:t>
      </w:r>
      <w:r w:rsidR="005236C7">
        <w:rPr>
          <w:lang w:val="en-US"/>
        </w:rPr>
        <w:t>’</w:t>
      </w:r>
      <w:r w:rsidRPr="0050720A">
        <w:rPr>
          <w:lang w:val="en-US"/>
        </w:rPr>
        <w:t xml:space="preserve">, as </w:t>
      </w:r>
      <w:r w:rsidRPr="0050720A">
        <w:t xml:space="preserve">per </w:t>
      </w:r>
      <w:r w:rsidR="002A4756">
        <w:t>American Thoracic Society / the European Respiratory Society</w:t>
      </w:r>
      <w:r w:rsidR="002A4756" w:rsidRPr="0050720A">
        <w:t xml:space="preserve"> </w:t>
      </w:r>
      <w:r w:rsidR="002A4756">
        <w:t>(</w:t>
      </w:r>
      <w:r w:rsidRPr="0050720A">
        <w:t>ATS/ERS</w:t>
      </w:r>
      <w:r w:rsidR="002A4756">
        <w:t>)</w:t>
      </w:r>
      <w:r w:rsidRPr="0050720A">
        <w:t xml:space="preserve"> guidelines</w:t>
      </w:r>
      <w:r w:rsidR="00E14798">
        <w:t>.</w:t>
      </w:r>
      <w:r w:rsidR="00FB5559" w:rsidRPr="00FB5559">
        <w:rPr>
          <w:highlight w:val="yellow"/>
          <w:vertAlign w:val="superscript"/>
        </w:rPr>
        <w:fldChar w:fldCharType="begin"/>
      </w:r>
      <w:r w:rsidR="00FB5559" w:rsidRPr="00FB5559">
        <w:rPr>
          <w:vertAlign w:val="superscript"/>
        </w:rPr>
        <w:instrText xml:space="preserve"> NOTEREF _Ref530569396 \h </w:instrText>
      </w:r>
      <w:r w:rsidR="00FB5559" w:rsidRPr="00FB5559">
        <w:rPr>
          <w:highlight w:val="yellow"/>
          <w:vertAlign w:val="superscript"/>
        </w:rPr>
        <w:instrText xml:space="preserve"> \* MERGEFORMAT </w:instrText>
      </w:r>
      <w:r w:rsidR="00FB5559" w:rsidRPr="00FB5559">
        <w:rPr>
          <w:highlight w:val="yellow"/>
          <w:vertAlign w:val="superscript"/>
        </w:rPr>
      </w:r>
      <w:r w:rsidR="00FB5559" w:rsidRPr="00FB5559">
        <w:rPr>
          <w:highlight w:val="yellow"/>
          <w:vertAlign w:val="superscript"/>
        </w:rPr>
        <w:fldChar w:fldCharType="separate"/>
      </w:r>
      <w:r w:rsidR="00E02FD3">
        <w:rPr>
          <w:vertAlign w:val="superscript"/>
        </w:rPr>
        <w:t>50</w:t>
      </w:r>
      <w:r w:rsidR="00FB5559" w:rsidRPr="00FB5559">
        <w:rPr>
          <w:highlight w:val="yellow"/>
          <w:vertAlign w:val="superscript"/>
        </w:rPr>
        <w:fldChar w:fldCharType="end"/>
      </w:r>
      <w:r w:rsidRPr="0050720A">
        <w:t xml:space="preserve"> The mean ICS total daily dose of around 900 µg is below the lower threshold for high dose ICS in sev</w:t>
      </w:r>
      <w:r>
        <w:t>ere asthma (ATS/ERS guidelines). These baseline characteristics suggest</w:t>
      </w:r>
      <w:r w:rsidR="00FB5559">
        <w:t xml:space="preserve"> well </w:t>
      </w:r>
      <w:r w:rsidRPr="0050720A">
        <w:t>controlled disease status in this patient cohort</w:t>
      </w:r>
    </w:p>
    <w:p w14:paraId="01467E70" w14:textId="77777777" w:rsidR="00737C83" w:rsidRDefault="00737C83" w:rsidP="00737C83">
      <w:pPr>
        <w:pStyle w:val="Heading6"/>
        <w:rPr>
          <w:lang w:val="en-US"/>
        </w:rPr>
      </w:pPr>
      <w:r>
        <w:rPr>
          <w:lang w:val="en-US"/>
        </w:rPr>
        <w:t>Statistics</w:t>
      </w:r>
    </w:p>
    <w:p w14:paraId="086D3953" w14:textId="77777777" w:rsidR="0037586C" w:rsidRPr="00737C83" w:rsidRDefault="00737C83" w:rsidP="0037586C">
      <w:pPr>
        <w:tabs>
          <w:tab w:val="left" w:pos="0"/>
        </w:tabs>
        <w:spacing w:before="0" w:after="0" w:line="240" w:lineRule="auto"/>
        <w:contextualSpacing/>
        <w:jc w:val="both"/>
        <w:rPr>
          <w:rFonts w:asciiTheme="minorHAnsi" w:hAnsiTheme="minorHAnsi"/>
          <w:sz w:val="21"/>
          <w:szCs w:val="21"/>
          <w:lang w:val="en-US"/>
        </w:rPr>
      </w:pPr>
      <w:r>
        <w:rPr>
          <w:rFonts w:asciiTheme="minorHAnsi" w:hAnsiTheme="minorHAnsi"/>
          <w:sz w:val="21"/>
          <w:szCs w:val="21"/>
          <w:lang w:val="en-US"/>
        </w:rPr>
        <w:t>These were described in the clinical evaluation report.</w:t>
      </w:r>
    </w:p>
    <w:p w14:paraId="613CE631" w14:textId="77777777" w:rsidR="0037586C" w:rsidRPr="0050720A" w:rsidRDefault="0037586C" w:rsidP="00737C83">
      <w:pPr>
        <w:pStyle w:val="Heading6"/>
        <w:rPr>
          <w:lang w:val="en-US"/>
        </w:rPr>
      </w:pPr>
      <w:r w:rsidRPr="0050720A">
        <w:rPr>
          <w:lang w:val="en-US"/>
        </w:rPr>
        <w:t>Primary efficacy endpoint</w:t>
      </w:r>
    </w:p>
    <w:p w14:paraId="7857BE40" w14:textId="77777777" w:rsidR="0037586C" w:rsidRPr="00737C83" w:rsidRDefault="0037586C" w:rsidP="00737C83">
      <w:r w:rsidRPr="0050720A">
        <w:t>A 51% reduction in annualised exacerbation rate was achieved fo</w:t>
      </w:r>
      <w:r>
        <w:t>r patients in benralizumab arm 30 mg Q8W</w:t>
      </w:r>
      <w:r w:rsidRPr="0050720A">
        <w:t xml:space="preserve">, compared to placebo </w:t>
      </w:r>
      <w:r w:rsidRPr="006A44F0">
        <w:t xml:space="preserve">arm </w:t>
      </w:r>
      <w:r w:rsidR="006A44F0" w:rsidRPr="006A44F0">
        <w:t>(Table 17</w:t>
      </w:r>
      <w:r w:rsidRPr="006A44F0">
        <w:t>).</w:t>
      </w:r>
      <w:r w:rsidRPr="0050720A">
        <w:t xml:space="preserve"> At </w:t>
      </w:r>
      <w:r w:rsidR="00B62CD5">
        <w:t>Week</w:t>
      </w:r>
      <w:r w:rsidRPr="0050720A">
        <w:t xml:space="preserve"> 48, the treatment difference when compared to placeb</w:t>
      </w:r>
      <w:r>
        <w:t xml:space="preserve">o was </w:t>
      </w:r>
      <w:r w:rsidR="00737C83">
        <w:t xml:space="preserve">statistically significant. The </w:t>
      </w:r>
      <w:r w:rsidR="00CF0D26">
        <w:t>Delegate</w:t>
      </w:r>
      <w:r>
        <w:t xml:space="preserve"> has calculated the absolute risk reduction as 0.78 exacerbation/y</w:t>
      </w:r>
      <w:r w:rsidR="00737C83">
        <w:t>ea</w:t>
      </w:r>
      <w:r>
        <w:t xml:space="preserve">r, relative risk reduction of 0.57 and </w:t>
      </w:r>
      <w:r w:rsidRPr="00F511F9">
        <w:t>NNT</w:t>
      </w:r>
      <w:r>
        <w:t xml:space="preserve"> as 1.28</w:t>
      </w:r>
      <w:r w:rsidR="00E14798">
        <w:t>.</w:t>
      </w:r>
    </w:p>
    <w:p w14:paraId="592A9AAE" w14:textId="77777777" w:rsidR="0037586C" w:rsidRPr="0050720A" w:rsidRDefault="0037586C" w:rsidP="00737C83">
      <w:pPr>
        <w:pStyle w:val="Heading6"/>
        <w:rPr>
          <w:lang w:val="en-US"/>
        </w:rPr>
      </w:pPr>
      <w:r w:rsidRPr="0050720A">
        <w:rPr>
          <w:lang w:val="en-US"/>
        </w:rPr>
        <w:t>Key secondary efficacy endpoints</w:t>
      </w:r>
    </w:p>
    <w:p w14:paraId="527CE1BF" w14:textId="77777777" w:rsidR="0037586C" w:rsidRPr="0050720A" w:rsidRDefault="0037586C" w:rsidP="00737C83">
      <w:pPr>
        <w:rPr>
          <w:b/>
        </w:rPr>
      </w:pPr>
      <w:r w:rsidRPr="0050720A">
        <w:t xml:space="preserve">A statistically significant </w:t>
      </w:r>
      <w:r w:rsidR="005E3545">
        <w:t>least squares</w:t>
      </w:r>
      <w:r w:rsidR="005E3545" w:rsidRPr="0050720A">
        <w:t xml:space="preserve"> </w:t>
      </w:r>
      <w:r w:rsidR="005E3545">
        <w:t>(</w:t>
      </w:r>
      <w:r w:rsidRPr="0050720A">
        <w:t>LS</w:t>
      </w:r>
      <w:r w:rsidR="005E3545">
        <w:t>)</w:t>
      </w:r>
      <w:r w:rsidRPr="0050720A">
        <w:t xml:space="preserve"> mean change in pre-bronchodilator FEV1 was ob</w:t>
      </w:r>
      <w:r>
        <w:t>served for the benralizumab 30</w:t>
      </w:r>
      <w:r w:rsidR="00FB5559">
        <w:t xml:space="preserve"> mg</w:t>
      </w:r>
      <w:r w:rsidRPr="0050720A">
        <w:t xml:space="preserve"> Q8W (0.159</w:t>
      </w:r>
      <w:r w:rsidR="00FB5559">
        <w:t xml:space="preserve"> </w:t>
      </w:r>
      <w:r w:rsidRPr="0050720A">
        <w:t>L), compared to placebo.</w:t>
      </w:r>
    </w:p>
    <w:p w14:paraId="1BED42BE" w14:textId="77777777" w:rsidR="00EC4D39" w:rsidRDefault="0037586C" w:rsidP="004D70B4">
      <w:pPr>
        <w:tabs>
          <w:tab w:val="left" w:pos="6663"/>
        </w:tabs>
      </w:pPr>
      <w:r w:rsidRPr="00A0495F">
        <w:lastRenderedPageBreak/>
        <w:t xml:space="preserve">The improvement in LS mean change in asthma symptom score across treatment arms was -1.3 and -1.04 units for </w:t>
      </w:r>
      <w:r w:rsidRPr="00CA40D6">
        <w:t>benralizumab</w:t>
      </w:r>
      <w:r w:rsidRPr="00A0495F">
        <w:t xml:space="preserve"> and placebo arms respectively. There was a statistically significant treatment difference in asthma symptom score for patients in benralizumab arms, compared to </w:t>
      </w:r>
      <w:r w:rsidRPr="004D70B4">
        <w:t>placebo (</w:t>
      </w:r>
      <w:r w:rsidR="00B62CD5" w:rsidRPr="004D70B4">
        <w:t>Figure</w:t>
      </w:r>
      <w:r w:rsidR="004D70B4" w:rsidRPr="004D70B4">
        <w:t xml:space="preserve"> 8</w:t>
      </w:r>
      <w:r w:rsidRPr="004D70B4">
        <w:t>).</w:t>
      </w:r>
      <w:r>
        <w:t xml:space="preserve"> However, absence of</w:t>
      </w:r>
      <w:r w:rsidR="005E3545">
        <w:t xml:space="preserve"> minimally clinically important difference (</w:t>
      </w:r>
      <w:r>
        <w:t>MCID</w:t>
      </w:r>
      <w:r w:rsidR="005E3545">
        <w:t>)</w:t>
      </w:r>
      <w:r>
        <w:t xml:space="preserve"> limits the ability to assess clinical significance</w:t>
      </w:r>
    </w:p>
    <w:p w14:paraId="78262B24" w14:textId="0462C3FC" w:rsidR="0037586C" w:rsidRDefault="0037586C" w:rsidP="0037586C">
      <w:pPr>
        <w:pStyle w:val="TableTitle"/>
      </w:pPr>
      <w:r w:rsidRPr="0050720A">
        <w:t>Table</w:t>
      </w:r>
      <w:r w:rsidR="006A44F0">
        <w:t xml:space="preserve"> 17</w:t>
      </w:r>
      <w:r>
        <w:t xml:space="preserve">: Key efficacy results (Full analysis set, baseline blood eosinophils </w:t>
      </w:r>
      <w:r w:rsidR="006A44F0">
        <w:t>≥ </w:t>
      </w:r>
      <w:r>
        <w:t>300/</w:t>
      </w:r>
      <w:r w:rsidR="00700727">
        <w:t>µ</w:t>
      </w:r>
      <w:r>
        <w:t>L)</w:t>
      </w:r>
    </w:p>
    <w:p w14:paraId="6B520627" w14:textId="77777777" w:rsidR="00EC4D39" w:rsidRDefault="0037586C" w:rsidP="007B6132">
      <w:r>
        <w:rPr>
          <w:noProof/>
          <w:lang w:eastAsia="en-AU"/>
        </w:rPr>
        <w:drawing>
          <wp:inline distT="0" distB="0" distL="0" distR="0" wp14:anchorId="45A30062" wp14:editId="19529488">
            <wp:extent cx="4776825" cy="4295061"/>
            <wp:effectExtent l="0" t="0" r="5080" b="0"/>
            <wp:docPr id="9" name="Picture 9" descr="Table 17: Key efficacy results (Full analysis set, baseline blood eosinophils ≥ 300/μ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78084" cy="4296193"/>
                    </a:xfrm>
                    <a:prstGeom prst="rect">
                      <a:avLst/>
                    </a:prstGeom>
                  </pic:spPr>
                </pic:pic>
              </a:graphicData>
            </a:graphic>
          </wp:inline>
        </w:drawing>
      </w:r>
    </w:p>
    <w:p w14:paraId="44C2EC98" w14:textId="5C055883" w:rsidR="0037586C" w:rsidRPr="00737C83" w:rsidRDefault="0037586C" w:rsidP="00737C83">
      <w:pPr>
        <w:pStyle w:val="FigureTitle"/>
      </w:pPr>
      <w:r w:rsidRPr="00737C83">
        <w:lastRenderedPageBreak/>
        <w:t>Figure</w:t>
      </w:r>
      <w:r w:rsidR="004D70B4">
        <w:t xml:space="preserve"> 8</w:t>
      </w:r>
      <w:r w:rsidRPr="00737C83">
        <w:t xml:space="preserve">: FEV1 change from baseline </w:t>
      </w:r>
      <w:r w:rsidR="007E6A94" w:rsidRPr="00737C83">
        <w:t>in pre-bronchodilator FEV1 (L) by time</w:t>
      </w:r>
      <w:r w:rsidR="00737C83">
        <w:t xml:space="preserve"> </w:t>
      </w:r>
      <w:r w:rsidR="007E6A94" w:rsidRPr="00737C83">
        <w:t xml:space="preserve">point (Full analysis set, baseline blood eosinophils </w:t>
      </w:r>
      <w:r w:rsidR="00737C83">
        <w:t>≥</w:t>
      </w:r>
      <w:r w:rsidR="007504A5" w:rsidRPr="00737C83">
        <w:rPr>
          <w:rFonts w:hint="eastAsia"/>
        </w:rPr>
        <w:t xml:space="preserve"> </w:t>
      </w:r>
      <w:r w:rsidR="007E6A94" w:rsidRPr="00737C83">
        <w:t>300/</w:t>
      </w:r>
      <w:r w:rsidR="00700727">
        <w:t>µ</w:t>
      </w:r>
      <w:r w:rsidR="007E6A94" w:rsidRPr="00737C83">
        <w:t>L)</w:t>
      </w:r>
    </w:p>
    <w:p w14:paraId="04FB68C0" w14:textId="77777777" w:rsidR="0037586C" w:rsidRDefault="007E6A94" w:rsidP="007B6132">
      <w:r>
        <w:rPr>
          <w:noProof/>
          <w:lang w:eastAsia="en-AU"/>
        </w:rPr>
        <w:drawing>
          <wp:inline distT="0" distB="0" distL="0" distR="0" wp14:anchorId="1018F296" wp14:editId="281F1B6B">
            <wp:extent cx="5400040" cy="3613873"/>
            <wp:effectExtent l="0" t="0" r="0" b="5715"/>
            <wp:docPr id="10" name="Picture 10" descr="Figure 8: FEV1 change from baseline in pre-bronchodilator FEV1 (L) by time point (Full analysis set, baseline blood eosinophils ≥ 300/μ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613873"/>
                    </a:xfrm>
                    <a:prstGeom prst="rect">
                      <a:avLst/>
                    </a:prstGeom>
                  </pic:spPr>
                </pic:pic>
              </a:graphicData>
            </a:graphic>
          </wp:inline>
        </w:drawing>
      </w:r>
    </w:p>
    <w:p w14:paraId="3BEE45F2" w14:textId="77777777" w:rsidR="007E6A94" w:rsidRPr="0050720A" w:rsidRDefault="007E6A94" w:rsidP="00737C83">
      <w:pPr>
        <w:pStyle w:val="Heading6"/>
      </w:pPr>
      <w:r w:rsidRPr="0050720A">
        <w:t>Other efficacy outcomes</w:t>
      </w:r>
    </w:p>
    <w:p w14:paraId="3EFE3798" w14:textId="77777777" w:rsidR="007E6A94" w:rsidRPr="0050720A" w:rsidRDefault="007E6A94" w:rsidP="00737C83">
      <w:pPr>
        <w:pStyle w:val="ListBullet"/>
      </w:pPr>
      <w:r w:rsidRPr="0050720A">
        <w:t xml:space="preserve">A </w:t>
      </w:r>
      <w:r>
        <w:t xml:space="preserve">statistically significant </w:t>
      </w:r>
      <w:r w:rsidRPr="0050720A">
        <w:t xml:space="preserve">reduction </w:t>
      </w:r>
      <w:r>
        <w:t xml:space="preserve">was noted </w:t>
      </w:r>
      <w:r w:rsidRPr="0050720A">
        <w:t xml:space="preserve">in annual rate of exacerbations that required hospitalisation </w:t>
      </w:r>
      <w:r>
        <w:t xml:space="preserve">and/or </w:t>
      </w:r>
      <w:r w:rsidR="005E3545">
        <w:t>emergency room (</w:t>
      </w:r>
      <w:r>
        <w:t>ER</w:t>
      </w:r>
      <w:r w:rsidR="005E3545">
        <w:t>)</w:t>
      </w:r>
      <w:r>
        <w:t xml:space="preserve"> visits for patients in </w:t>
      </w:r>
      <w:r w:rsidRPr="00CA40D6">
        <w:t>benralizumab</w:t>
      </w:r>
      <w:r>
        <w:t xml:space="preserve"> arm, compared to placebo.</w:t>
      </w:r>
    </w:p>
    <w:p w14:paraId="39A7A486" w14:textId="77777777" w:rsidR="007E6A94" w:rsidRPr="00B9227B" w:rsidRDefault="007E6A94" w:rsidP="00737C83">
      <w:pPr>
        <w:pStyle w:val="ListBullet"/>
        <w:rPr>
          <w:rFonts w:asciiTheme="minorHAnsi" w:hAnsiTheme="minorHAnsi"/>
          <w:b/>
        </w:rPr>
      </w:pPr>
      <w:r w:rsidRPr="000E3400">
        <w:t xml:space="preserve">Patients in </w:t>
      </w:r>
      <w:r w:rsidRPr="00CA40D6">
        <w:t>benralizumab</w:t>
      </w:r>
      <w:r w:rsidRPr="000E3400">
        <w:t xml:space="preserve"> arm achieved a statistically significant improvement in ACQ-6 </w:t>
      </w:r>
      <w:r w:rsidRPr="001F1D1F">
        <w:t>and</w:t>
      </w:r>
      <w:r w:rsidR="00B62CD5">
        <w:t xml:space="preserve"> health </w:t>
      </w:r>
      <w:r>
        <w:t>related quality of life. MCID for ACQ (0.5 points) was achieved.</w:t>
      </w:r>
    </w:p>
    <w:p w14:paraId="6F5F8E81" w14:textId="77777777" w:rsidR="00E14798" w:rsidRDefault="007E6A94" w:rsidP="00737C83">
      <w:pPr>
        <w:pStyle w:val="ListBullet"/>
      </w:pPr>
      <w:r w:rsidRPr="000E3400">
        <w:t>There was a reduction in the use of rescue medication across benralizumab treatment arms and placebo</w:t>
      </w:r>
      <w:r w:rsidR="00E14798">
        <w:t>.</w:t>
      </w:r>
    </w:p>
    <w:p w14:paraId="3FEAE54C" w14:textId="77777777" w:rsidR="007E6A94" w:rsidRDefault="007E6A94" w:rsidP="00737C83">
      <w:pPr>
        <w:pStyle w:val="Heading6"/>
      </w:pPr>
      <w:r>
        <w:t>Sub group efficacy analysis</w:t>
      </w:r>
    </w:p>
    <w:p w14:paraId="316B66F5" w14:textId="77777777" w:rsidR="007E6A94" w:rsidRDefault="007E6A94" w:rsidP="00737C83">
      <w:pPr>
        <w:pStyle w:val="ListBullet"/>
      </w:pPr>
      <w:r>
        <w:t xml:space="preserve">Decreased treatment response with </w:t>
      </w:r>
      <w:r w:rsidR="007504A5">
        <w:t xml:space="preserve">&lt; </w:t>
      </w:r>
      <w:r>
        <w:t xml:space="preserve">18 years age group of asthmatics and in individuals with </w:t>
      </w:r>
      <w:r w:rsidR="002A4756">
        <w:t>body mass index (</w:t>
      </w:r>
      <w:r>
        <w:t>BMI</w:t>
      </w:r>
      <w:r w:rsidR="002A4756">
        <w:t>)</w:t>
      </w:r>
      <w:r>
        <w:t xml:space="preserve"> </w:t>
      </w:r>
      <w:r w:rsidR="007504A5">
        <w:t xml:space="preserve">&lt; </w:t>
      </w:r>
      <w:r>
        <w:t>35 kg/m</w:t>
      </w:r>
      <w:r>
        <w:rPr>
          <w:vertAlign w:val="superscript"/>
        </w:rPr>
        <w:t>2</w:t>
      </w:r>
    </w:p>
    <w:p w14:paraId="00599063" w14:textId="77777777" w:rsidR="007E6A94" w:rsidRDefault="007E6A94" w:rsidP="00737C83">
      <w:pPr>
        <w:pStyle w:val="ListBullet"/>
      </w:pPr>
      <w:r>
        <w:t>Increased r</w:t>
      </w:r>
      <w:r w:rsidR="00737C83">
        <w:t xml:space="preserve">esponse with patients who had 3 to </w:t>
      </w:r>
      <w:r w:rsidR="005028A8">
        <w:t xml:space="preserve">&gt; </w:t>
      </w:r>
      <w:r>
        <w:t>4 exacerbations in the previous year and with raised IgE.</w:t>
      </w:r>
    </w:p>
    <w:p w14:paraId="0704CF1B" w14:textId="2BEA4E1B" w:rsidR="00F437D0" w:rsidRPr="00F437D0" w:rsidRDefault="004D70B4" w:rsidP="00F437D0">
      <w:pPr>
        <w:pStyle w:val="FigureTitle"/>
      </w:pPr>
      <w:r>
        <w:lastRenderedPageBreak/>
        <w:t xml:space="preserve">Figure 9: </w:t>
      </w:r>
      <w:r w:rsidR="00F437D0" w:rsidRPr="009C2CD8">
        <w:t>Annual asthma exacerbation rate ratio over 48 weeks by subgroup, benralizumab 30 mg Q8W versus placebo</w:t>
      </w:r>
      <w:r w:rsidR="00700727">
        <w:t xml:space="preserve">; </w:t>
      </w:r>
      <w:r w:rsidR="00F437D0" w:rsidRPr="009C2CD8">
        <w:t xml:space="preserve">Forest plot (Full analysis set, baseline blood eosinophils </w:t>
      </w:r>
      <w:r w:rsidR="007504A5">
        <w:t xml:space="preserve">≥ </w:t>
      </w:r>
      <w:r w:rsidR="00F437D0" w:rsidRPr="009C2CD8">
        <w:t>300/</w:t>
      </w:r>
      <w:r w:rsidR="00700727">
        <w:t>µ</w:t>
      </w:r>
      <w:r w:rsidR="00F437D0" w:rsidRPr="009C2CD8">
        <w:t>L)</w:t>
      </w:r>
    </w:p>
    <w:p w14:paraId="5E89E792" w14:textId="77777777" w:rsidR="0037586C" w:rsidRDefault="00F437D0" w:rsidP="007B6132">
      <w:r>
        <w:rPr>
          <w:noProof/>
          <w:lang w:eastAsia="en-AU"/>
        </w:rPr>
        <w:drawing>
          <wp:inline distT="0" distB="0" distL="0" distR="0" wp14:anchorId="4C6B90D1" wp14:editId="559F7D90">
            <wp:extent cx="5400040" cy="3451179"/>
            <wp:effectExtent l="0" t="0" r="0" b="0"/>
            <wp:docPr id="11" name="Picture 11" descr="Figure 9: Annual asthma exacerbation rate ratio over 48 weeks by subgroup, benralizumab 30 mg Q8W versus placebo – Forest plot (Full analysis set, baseline blood eosinophils ≥ 300/μ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451179"/>
                    </a:xfrm>
                    <a:prstGeom prst="rect">
                      <a:avLst/>
                    </a:prstGeom>
                  </pic:spPr>
                </pic:pic>
              </a:graphicData>
            </a:graphic>
          </wp:inline>
        </w:drawing>
      </w:r>
    </w:p>
    <w:p w14:paraId="6B85AD0F" w14:textId="5C205A6E" w:rsidR="00F437D0" w:rsidRPr="00737C83" w:rsidRDefault="00F437D0" w:rsidP="00737C83">
      <w:pPr>
        <w:pStyle w:val="Heading5"/>
      </w:pPr>
      <w:r>
        <w:t xml:space="preserve">Study </w:t>
      </w:r>
      <w:r w:rsidRPr="009825B7">
        <w:rPr>
          <w:rFonts w:eastAsia="TimesNewRoman"/>
        </w:rPr>
        <w:t xml:space="preserve">D3250C00018 </w:t>
      </w:r>
      <w:r w:rsidR="00B62CD5">
        <w:rPr>
          <w:rFonts w:eastAsia="TimesNewRoman"/>
        </w:rPr>
        <w:t>(</w:t>
      </w:r>
      <w:r w:rsidRPr="009825B7">
        <w:rPr>
          <w:rFonts w:eastAsia="TimesNewRoman"/>
        </w:rPr>
        <w:t>CALIMA</w:t>
      </w:r>
      <w:r w:rsidR="00700727">
        <w:rPr>
          <w:rFonts w:eastAsia="TimesNewRoman"/>
        </w:rPr>
        <w:t xml:space="preserve"> trial</w:t>
      </w:r>
      <w:r w:rsidR="00B62CD5">
        <w:rPr>
          <w:rFonts w:eastAsia="TimesNewRoman"/>
        </w:rPr>
        <w:t>)</w:t>
      </w:r>
    </w:p>
    <w:p w14:paraId="024D11FD" w14:textId="77777777" w:rsidR="00737C83" w:rsidRDefault="00737C83" w:rsidP="00737C83">
      <w:pPr>
        <w:pStyle w:val="Heading6"/>
        <w:rPr>
          <w:lang w:val="en-US"/>
        </w:rPr>
      </w:pPr>
      <w:r>
        <w:rPr>
          <w:lang w:val="en-US"/>
        </w:rPr>
        <w:t>Study design</w:t>
      </w:r>
    </w:p>
    <w:p w14:paraId="61B7BBFF" w14:textId="56C33341" w:rsidR="0037586C" w:rsidRDefault="00700727" w:rsidP="007B6132">
      <w:pPr>
        <w:rPr>
          <w:b/>
          <w:lang w:val="en-US"/>
        </w:rPr>
      </w:pPr>
      <w:r>
        <w:t>This was a m</w:t>
      </w:r>
      <w:r w:rsidR="00F437D0" w:rsidRPr="0050720A">
        <w:t xml:space="preserve">ulticentre, randomised, </w:t>
      </w:r>
      <w:r w:rsidR="00B62CD5">
        <w:t xml:space="preserve">double </w:t>
      </w:r>
      <w:r w:rsidR="00F437D0" w:rsidRPr="0050720A">
        <w:t>blind, parallel group, placebo controlled trial.</w:t>
      </w:r>
    </w:p>
    <w:p w14:paraId="60B42278" w14:textId="19922F77" w:rsidR="00737C83" w:rsidRPr="00737C83" w:rsidRDefault="00737C83" w:rsidP="00737C83">
      <w:pPr>
        <w:pStyle w:val="FigureTitle"/>
        <w:rPr>
          <w:lang w:val="en-US"/>
        </w:rPr>
      </w:pPr>
      <w:r>
        <w:rPr>
          <w:lang w:val="en-US"/>
        </w:rPr>
        <w:t>Figure 1</w:t>
      </w:r>
      <w:r w:rsidR="004D70B4">
        <w:rPr>
          <w:lang w:val="en-US"/>
        </w:rPr>
        <w:t>0:</w:t>
      </w:r>
      <w:r>
        <w:rPr>
          <w:lang w:val="en-US"/>
        </w:rPr>
        <w:t xml:space="preserve"> Study </w:t>
      </w:r>
      <w:r w:rsidRPr="009825B7">
        <w:t xml:space="preserve">D3250C00018 </w:t>
      </w:r>
      <w:r w:rsidR="00B62CD5">
        <w:t>(</w:t>
      </w:r>
      <w:r w:rsidRPr="009825B7">
        <w:t>CALIMA</w:t>
      </w:r>
      <w:r w:rsidR="00700727">
        <w:t xml:space="preserve"> trial</w:t>
      </w:r>
      <w:r w:rsidR="00B62CD5">
        <w:t>)</w:t>
      </w:r>
      <w:r w:rsidR="00700727">
        <w:t xml:space="preserve"> design</w:t>
      </w:r>
    </w:p>
    <w:p w14:paraId="799B3799" w14:textId="77777777" w:rsidR="0037586C" w:rsidRDefault="00F437D0" w:rsidP="007B6132">
      <w:r>
        <w:rPr>
          <w:noProof/>
          <w:lang w:eastAsia="en-AU"/>
        </w:rPr>
        <w:drawing>
          <wp:inline distT="0" distB="0" distL="0" distR="0" wp14:anchorId="62A0DCC5" wp14:editId="50425B24">
            <wp:extent cx="5400040" cy="2026746"/>
            <wp:effectExtent l="0" t="0" r="0" b="0"/>
            <wp:docPr id="12" name="Picture 12" descr="Figure 10: Study Design D3250C00018 (CALIMA)1,306 patients were randomised to receive treatment with benralizumab 30 mg Q4W, Q8W, or placebo. The proportion of patients who discontinued treatment was similar across groups and around 2%, which is similar to that of SIROCCO. Baseline characteristics of the patient group on high ICS+ Benralizumab 30 mg Q8W were largely comparable to the corresponding patient population in SI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026746"/>
                    </a:xfrm>
                    <a:prstGeom prst="rect">
                      <a:avLst/>
                    </a:prstGeom>
                  </pic:spPr>
                </pic:pic>
              </a:graphicData>
            </a:graphic>
          </wp:inline>
        </w:drawing>
      </w:r>
    </w:p>
    <w:p w14:paraId="52B0D8E6" w14:textId="18339C75" w:rsidR="00F437D0" w:rsidRPr="0050720A" w:rsidRDefault="00F437D0" w:rsidP="00737C83">
      <w:pPr>
        <w:rPr>
          <w:lang w:val="en-US"/>
        </w:rPr>
      </w:pPr>
      <w:r>
        <w:rPr>
          <w:lang w:val="en-US"/>
        </w:rPr>
        <w:t>The study objectives, inclusion and exclusion criteria were identical to</w:t>
      </w:r>
      <w:r w:rsidRPr="0050720A">
        <w:rPr>
          <w:lang w:val="en-US"/>
        </w:rPr>
        <w:t xml:space="preserve"> </w:t>
      </w:r>
      <w:r w:rsidR="00700727">
        <w:rPr>
          <w:lang w:val="en-US"/>
        </w:rPr>
        <w:t xml:space="preserve">the </w:t>
      </w:r>
      <w:r w:rsidRPr="0050720A">
        <w:rPr>
          <w:lang w:val="en-US"/>
        </w:rPr>
        <w:t>SIROCCO</w:t>
      </w:r>
      <w:r>
        <w:rPr>
          <w:lang w:val="en-US"/>
        </w:rPr>
        <w:t xml:space="preserve"> </w:t>
      </w:r>
      <w:r w:rsidR="00AD6903">
        <w:rPr>
          <w:lang w:val="en-US"/>
        </w:rPr>
        <w:t>trial</w:t>
      </w:r>
      <w:r>
        <w:rPr>
          <w:lang w:val="en-US"/>
        </w:rPr>
        <w:t>.</w:t>
      </w:r>
    </w:p>
    <w:p w14:paraId="657DD42E" w14:textId="77777777" w:rsidR="00F437D0" w:rsidRPr="0050720A" w:rsidRDefault="00F437D0" w:rsidP="00737C83">
      <w:pPr>
        <w:pStyle w:val="Heading6"/>
        <w:rPr>
          <w:lang w:val="en-US"/>
        </w:rPr>
      </w:pPr>
      <w:r w:rsidRPr="0050720A">
        <w:rPr>
          <w:lang w:val="en-US"/>
        </w:rPr>
        <w:t>Study population</w:t>
      </w:r>
    </w:p>
    <w:p w14:paraId="2741E6BE" w14:textId="77777777" w:rsidR="00737C83" w:rsidRPr="00737C83" w:rsidRDefault="00F437D0" w:rsidP="00737C83">
      <w:pPr>
        <w:pStyle w:val="Heading7"/>
        <w:rPr>
          <w:sz w:val="22"/>
        </w:rPr>
      </w:pPr>
      <w:r w:rsidRPr="00737C83">
        <w:rPr>
          <w:sz w:val="22"/>
        </w:rPr>
        <w:t>Dispositio</w:t>
      </w:r>
      <w:r w:rsidR="00737C83" w:rsidRPr="00737C83">
        <w:rPr>
          <w:sz w:val="22"/>
        </w:rPr>
        <w:t>n</w:t>
      </w:r>
    </w:p>
    <w:p w14:paraId="263DCE6F" w14:textId="0F05FF23" w:rsidR="00F437D0" w:rsidRPr="00737C83" w:rsidRDefault="00F437D0" w:rsidP="00737C83">
      <w:pPr>
        <w:rPr>
          <w:lang w:val="en-US"/>
        </w:rPr>
      </w:pPr>
      <w:r w:rsidRPr="0050720A">
        <w:t>1</w:t>
      </w:r>
      <w:r w:rsidR="00B62CD5">
        <w:t>,</w:t>
      </w:r>
      <w:r w:rsidRPr="0050720A">
        <w:t xml:space="preserve">306 patients were </w:t>
      </w:r>
      <w:r w:rsidRPr="0050720A">
        <w:rPr>
          <w:lang w:val="en-US"/>
        </w:rPr>
        <w:t xml:space="preserve">randomised to receive treatment with benralizumab 30 mg Q4W, Q8W, or placebo. </w:t>
      </w:r>
      <w:r w:rsidRPr="0050720A">
        <w:t>The proportion of patients</w:t>
      </w:r>
      <w:r>
        <w:t xml:space="preserve"> who discontinued treatment was</w:t>
      </w:r>
      <w:r w:rsidRPr="0050720A">
        <w:t xml:space="preserve"> similar across groups and around 2%, which is similar to that of </w:t>
      </w:r>
      <w:r w:rsidR="00AD6903">
        <w:t xml:space="preserve">the </w:t>
      </w:r>
      <w:r w:rsidRPr="0050720A">
        <w:t>SIROCCO</w:t>
      </w:r>
      <w:r w:rsidR="00AD6903">
        <w:t xml:space="preserve"> trial</w:t>
      </w:r>
      <w:r w:rsidRPr="0050720A">
        <w:t>.</w:t>
      </w:r>
      <w:r w:rsidRPr="0050720A">
        <w:rPr>
          <w:lang w:val="en-US"/>
        </w:rPr>
        <w:t xml:space="preserve"> Baseline characteristics of the patient group on high ICS+ </w:t>
      </w:r>
      <w:r w:rsidR="00700727">
        <w:rPr>
          <w:lang w:val="en-US"/>
        </w:rPr>
        <w:t>b</w:t>
      </w:r>
      <w:r w:rsidR="00700727" w:rsidRPr="0050720A">
        <w:rPr>
          <w:lang w:val="en-US"/>
        </w:rPr>
        <w:t xml:space="preserve">enralizumab </w:t>
      </w:r>
      <w:r w:rsidRPr="0050720A">
        <w:rPr>
          <w:lang w:val="en-US"/>
        </w:rPr>
        <w:t>30</w:t>
      </w:r>
      <w:r w:rsidR="00737C83">
        <w:rPr>
          <w:lang w:val="en-US"/>
        </w:rPr>
        <w:t xml:space="preserve"> </w:t>
      </w:r>
      <w:r w:rsidRPr="0050720A">
        <w:rPr>
          <w:lang w:val="en-US"/>
        </w:rPr>
        <w:t xml:space="preserve">mg Q8W were largely comparable to the corresponding patient population in SIROCCO. The mean exacerbation </w:t>
      </w:r>
      <w:r w:rsidRPr="0050720A">
        <w:rPr>
          <w:lang w:val="en-US"/>
        </w:rPr>
        <w:lastRenderedPageBreak/>
        <w:t>rate was 2.8/year and the total daily ICS dose was 1002</w:t>
      </w:r>
      <w:r w:rsidR="00737C83">
        <w:rPr>
          <w:lang w:val="en-US"/>
        </w:rPr>
        <w:t xml:space="preserve"> </w:t>
      </w:r>
      <w:r w:rsidRPr="0050720A">
        <w:rPr>
          <w:lang w:val="en-US"/>
        </w:rPr>
        <w:t>µg of fluticasone equivalent, which is within the high dose ICS cut-off as per ATS/ERS guidelines</w:t>
      </w:r>
      <w:r w:rsidR="00E14798">
        <w:rPr>
          <w:lang w:val="en-US"/>
        </w:rPr>
        <w:t>.</w:t>
      </w:r>
    </w:p>
    <w:p w14:paraId="2C252FC6" w14:textId="77777777" w:rsidR="00F437D0" w:rsidRPr="0050720A" w:rsidRDefault="00F437D0" w:rsidP="00737C83">
      <w:pPr>
        <w:pStyle w:val="Heading6"/>
        <w:rPr>
          <w:lang w:val="en-US"/>
        </w:rPr>
      </w:pPr>
      <w:r w:rsidRPr="0050720A">
        <w:rPr>
          <w:lang w:val="en-US"/>
        </w:rPr>
        <w:t>Statistics</w:t>
      </w:r>
    </w:p>
    <w:p w14:paraId="29A6824B" w14:textId="741991E4" w:rsidR="00F437D0" w:rsidRPr="00737C83" w:rsidRDefault="00F437D0" w:rsidP="00737C83">
      <w:r>
        <w:t xml:space="preserve">The analysis was identical to </w:t>
      </w:r>
      <w:r w:rsidR="00AD6903">
        <w:t xml:space="preserve">the </w:t>
      </w:r>
      <w:r>
        <w:t xml:space="preserve">SIROCCO </w:t>
      </w:r>
      <w:r w:rsidR="00AD6903">
        <w:t>trial</w:t>
      </w:r>
      <w:r w:rsidR="00E14798">
        <w:t>.</w:t>
      </w:r>
    </w:p>
    <w:p w14:paraId="73E13608" w14:textId="77777777" w:rsidR="00F437D0" w:rsidRPr="0050720A" w:rsidRDefault="00F437D0" w:rsidP="00737C83">
      <w:pPr>
        <w:pStyle w:val="Heading6"/>
        <w:rPr>
          <w:lang w:val="en-US"/>
        </w:rPr>
      </w:pPr>
      <w:r w:rsidRPr="0050720A">
        <w:rPr>
          <w:lang w:val="en-US"/>
        </w:rPr>
        <w:t>Primary efficacy endpoint</w:t>
      </w:r>
    </w:p>
    <w:p w14:paraId="21E2D95A" w14:textId="77777777" w:rsidR="00F437D0" w:rsidRPr="0050720A" w:rsidRDefault="00F437D0" w:rsidP="00737C83">
      <w:proofErr w:type="gramStart"/>
      <w:r w:rsidRPr="0050720A">
        <w:t>Annual rate of asthma exacerbations</w:t>
      </w:r>
      <w:r w:rsidR="00B62CD5">
        <w:t>.</w:t>
      </w:r>
      <w:proofErr w:type="gramEnd"/>
    </w:p>
    <w:p w14:paraId="16B922B2" w14:textId="13FED02A" w:rsidR="00367960" w:rsidRDefault="00F437D0" w:rsidP="00737C83">
      <w:pPr>
        <w:rPr>
          <w:lang w:val="en-US"/>
        </w:rPr>
      </w:pPr>
      <w:r>
        <w:t xml:space="preserve">A </w:t>
      </w:r>
      <w:r w:rsidRPr="0050720A">
        <w:t xml:space="preserve">28% reduction in exacerbations in the </w:t>
      </w:r>
      <w:r w:rsidRPr="00CA40D6">
        <w:t>benralizumab</w:t>
      </w:r>
      <w:r>
        <w:t xml:space="preserve"> arm was observed</w:t>
      </w:r>
      <w:r w:rsidRPr="0050720A">
        <w:t xml:space="preserve">, which is </w:t>
      </w:r>
      <w:r>
        <w:t xml:space="preserve">approximately half of that achieved in </w:t>
      </w:r>
      <w:r w:rsidR="00AD6903">
        <w:t xml:space="preserve">the </w:t>
      </w:r>
      <w:r w:rsidRPr="0050720A">
        <w:t>SIROCCO</w:t>
      </w:r>
      <w:r>
        <w:t xml:space="preserve"> </w:t>
      </w:r>
      <w:r w:rsidR="00AD6903">
        <w:t>trial</w:t>
      </w:r>
      <w:r w:rsidRPr="0050720A">
        <w:t>.</w:t>
      </w:r>
      <w:r>
        <w:t xml:space="preserve"> </w:t>
      </w:r>
      <w:r w:rsidRPr="0050720A">
        <w:rPr>
          <w:lang w:val="en-US"/>
        </w:rPr>
        <w:t xml:space="preserve">The annualised rate of exacerbations (95% CI) was 0.66 (0.54 to 0.82) in the </w:t>
      </w:r>
      <w:r>
        <w:rPr>
          <w:lang w:val="en-US"/>
        </w:rPr>
        <w:t>benralizumab arm and 0.93 in the placebo arm</w:t>
      </w:r>
      <w:r w:rsidRPr="0050720A">
        <w:rPr>
          <w:lang w:val="en-US"/>
        </w:rPr>
        <w:t xml:space="preserve"> (0.77 to 1.12))</w:t>
      </w:r>
      <w:r w:rsidR="00367960">
        <w:rPr>
          <w:lang w:val="en-US"/>
        </w:rPr>
        <w:t>.</w:t>
      </w:r>
    </w:p>
    <w:p w14:paraId="5774C7B3" w14:textId="3184AA29" w:rsidR="00F437D0" w:rsidRDefault="00F437D0" w:rsidP="00F437D0">
      <w:pPr>
        <w:pStyle w:val="TableTitle"/>
        <w:rPr>
          <w:lang w:val="en-US"/>
        </w:rPr>
      </w:pPr>
      <w:r w:rsidRPr="0050720A">
        <w:t>Table</w:t>
      </w:r>
      <w:r w:rsidR="006A44F0">
        <w:t xml:space="preserve"> 18</w:t>
      </w:r>
      <w:r w:rsidRPr="0050720A">
        <w:t xml:space="preserve">: Annual rate of exacerbations over 56 weeks of treatment </w:t>
      </w:r>
      <w:proofErr w:type="spellStart"/>
      <w:r w:rsidRPr="0050720A">
        <w:t>period</w:t>
      </w:r>
      <w:proofErr w:type="gramStart"/>
      <w:r w:rsidR="00AE0CC2">
        <w:t>;</w:t>
      </w:r>
      <w:r w:rsidR="00B62CD5" w:rsidRPr="009825B7">
        <w:t>CALIMA</w:t>
      </w:r>
      <w:proofErr w:type="spellEnd"/>
      <w:proofErr w:type="gramEnd"/>
      <w:r w:rsidR="00AE0CC2">
        <w:t xml:space="preserve"> trial</w:t>
      </w:r>
    </w:p>
    <w:p w14:paraId="361E1158" w14:textId="77777777" w:rsidR="0037586C" w:rsidRDefault="00F437D0" w:rsidP="007B6132">
      <w:r>
        <w:rPr>
          <w:noProof/>
          <w:lang w:eastAsia="en-AU"/>
        </w:rPr>
        <w:drawing>
          <wp:inline distT="0" distB="0" distL="0" distR="0" wp14:anchorId="1CAF4B4C" wp14:editId="0BE86693">
            <wp:extent cx="5400040" cy="1853091"/>
            <wp:effectExtent l="0" t="0" r="0" b="0"/>
            <wp:docPr id="13" name="Picture 13" descr="Table 18: Annual rate of exacerbations over 56 weeks of treatment period. Study CA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1853091"/>
                    </a:xfrm>
                    <a:prstGeom prst="rect">
                      <a:avLst/>
                    </a:prstGeom>
                  </pic:spPr>
                </pic:pic>
              </a:graphicData>
            </a:graphic>
          </wp:inline>
        </w:drawing>
      </w:r>
    </w:p>
    <w:p w14:paraId="3A8C255A" w14:textId="77777777" w:rsidR="00F437D0" w:rsidRPr="0050720A" w:rsidRDefault="00F437D0" w:rsidP="00737C83">
      <w:pPr>
        <w:pStyle w:val="Heading6"/>
        <w:rPr>
          <w:lang w:val="en-US"/>
        </w:rPr>
      </w:pPr>
      <w:r w:rsidRPr="0050720A">
        <w:rPr>
          <w:lang w:val="en-US"/>
        </w:rPr>
        <w:t>Key secondary efficacy endpoints</w:t>
      </w:r>
    </w:p>
    <w:p w14:paraId="2D81B301" w14:textId="4980A4A3" w:rsidR="00F437D0" w:rsidRPr="0050720A" w:rsidRDefault="00F437D0" w:rsidP="00737C83">
      <w:pPr>
        <w:pStyle w:val="ListBullet"/>
        <w:rPr>
          <w:b/>
        </w:rPr>
      </w:pPr>
      <w:r w:rsidRPr="0050720A">
        <w:t xml:space="preserve">At Week 56, </w:t>
      </w:r>
      <w:r>
        <w:t xml:space="preserve">a </w:t>
      </w:r>
      <w:r w:rsidRPr="0050720A">
        <w:t xml:space="preserve">statistically significant </w:t>
      </w:r>
      <w:r>
        <w:t>mean</w:t>
      </w:r>
      <w:r w:rsidRPr="0050720A">
        <w:t xml:space="preserve"> change from baseline in FEV1 was</w:t>
      </w:r>
      <w:r>
        <w:t xml:space="preserve"> observed for</w:t>
      </w:r>
      <w:r w:rsidRPr="0050720A">
        <w:t xml:space="preserve"> </w:t>
      </w:r>
      <w:r w:rsidRPr="00CA40D6">
        <w:t>benralizumab arm.</w:t>
      </w:r>
      <w:r w:rsidRPr="0050720A">
        <w:t xml:space="preserve"> However, in spite of the longer duration of treatment, the improvement in FEV1 was </w:t>
      </w:r>
      <w:r>
        <w:t>less than</w:t>
      </w:r>
      <w:r w:rsidRPr="0050720A">
        <w:t xml:space="preserve"> </w:t>
      </w:r>
      <w:r>
        <w:t xml:space="preserve">that observed in </w:t>
      </w:r>
      <w:r w:rsidR="00AD6903">
        <w:t xml:space="preserve">the </w:t>
      </w:r>
      <w:r>
        <w:t>SIR</w:t>
      </w:r>
      <w:r w:rsidRPr="0050720A">
        <w:t xml:space="preserve">OCCO </w:t>
      </w:r>
      <w:r w:rsidR="00AD6903">
        <w:t>trial</w:t>
      </w:r>
      <w:r w:rsidRPr="0050720A">
        <w:t>.</w:t>
      </w:r>
    </w:p>
    <w:p w14:paraId="63BD07E0" w14:textId="77777777" w:rsidR="00F437D0" w:rsidRPr="00A30CF1" w:rsidRDefault="00F437D0" w:rsidP="00737C83">
      <w:pPr>
        <w:pStyle w:val="ListBullet"/>
      </w:pPr>
      <w:r w:rsidRPr="00A30CF1">
        <w:t>The improvement in asthma symptom score across treatment arms was -1.4 and -1.16 for benralizumab arm and placebo respectively.</w:t>
      </w:r>
      <w:r w:rsidR="00F971ED">
        <w:t xml:space="preserve"> </w:t>
      </w:r>
      <w:r w:rsidRPr="00A30CF1">
        <w:t>Absence of MCID limits the ability to assess clinical significance.</w:t>
      </w:r>
    </w:p>
    <w:p w14:paraId="65E40666" w14:textId="6738CE77" w:rsidR="00F437D0" w:rsidRPr="00DA1E68" w:rsidRDefault="00F437D0" w:rsidP="00F437D0">
      <w:pPr>
        <w:pStyle w:val="TableTitle"/>
      </w:pPr>
      <w:r w:rsidRPr="00DA1E68">
        <w:t>Table</w:t>
      </w:r>
      <w:r w:rsidR="006A44F0">
        <w:t xml:space="preserve"> 19</w:t>
      </w:r>
      <w:r w:rsidRPr="00DA1E68">
        <w:t>: Key secondary endpoints</w:t>
      </w:r>
      <w:r w:rsidR="00AE0CC2">
        <w:t xml:space="preserve"> (</w:t>
      </w:r>
      <w:r w:rsidR="006A44F0" w:rsidRPr="009825B7">
        <w:t>CALIMA</w:t>
      </w:r>
      <w:r w:rsidR="00AE0CC2">
        <w:t xml:space="preserve"> trial)</w:t>
      </w:r>
    </w:p>
    <w:p w14:paraId="77D651B7" w14:textId="77777777" w:rsidR="0037586C" w:rsidRDefault="00F437D0" w:rsidP="007B6132">
      <w:r>
        <w:rPr>
          <w:noProof/>
          <w:lang w:eastAsia="en-AU"/>
        </w:rPr>
        <w:drawing>
          <wp:inline distT="0" distB="0" distL="0" distR="0" wp14:anchorId="6DB3BF36" wp14:editId="23BB6218">
            <wp:extent cx="5400040" cy="2697135"/>
            <wp:effectExtent l="0" t="0" r="0" b="8255"/>
            <wp:docPr id="14" name="Picture 14" descr="Table 19: Key secondary endpoints. Study CA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2697135"/>
                    </a:xfrm>
                    <a:prstGeom prst="rect">
                      <a:avLst/>
                    </a:prstGeom>
                  </pic:spPr>
                </pic:pic>
              </a:graphicData>
            </a:graphic>
          </wp:inline>
        </w:drawing>
      </w:r>
    </w:p>
    <w:p w14:paraId="7409D170" w14:textId="326E633C" w:rsidR="00F437D0" w:rsidRPr="00C63F2D" w:rsidRDefault="00F437D0" w:rsidP="00C63F2D">
      <w:pPr>
        <w:pStyle w:val="FigureTitle"/>
      </w:pPr>
      <w:r w:rsidRPr="00C63F2D">
        <w:lastRenderedPageBreak/>
        <w:t xml:space="preserve">Figure </w:t>
      </w:r>
      <w:r w:rsidR="004D70B4">
        <w:t>11</w:t>
      </w:r>
      <w:r w:rsidRPr="00C63F2D">
        <w:t xml:space="preserve">: Change from </w:t>
      </w:r>
      <w:r w:rsidR="00AE0CC2">
        <w:t>B</w:t>
      </w:r>
      <w:r w:rsidR="00AE0CC2" w:rsidRPr="00C63F2D">
        <w:t xml:space="preserve">aseline </w:t>
      </w:r>
      <w:r w:rsidRPr="00C63F2D">
        <w:t>in pre-bronchodilator FEV1 (L) by time</w:t>
      </w:r>
      <w:r w:rsidR="004D70B4">
        <w:t>-</w:t>
      </w:r>
      <w:r w:rsidRPr="00C63F2D">
        <w:t>point</w:t>
      </w:r>
      <w:r w:rsidR="00C63F2D" w:rsidRPr="00C63F2D">
        <w:t xml:space="preserve"> </w:t>
      </w:r>
      <w:r w:rsidRPr="00C63F2D">
        <w:t xml:space="preserve">(Full analysis set, baseline blood eosinophils </w:t>
      </w:r>
      <w:r w:rsidR="007504A5">
        <w:t xml:space="preserve">≥ </w:t>
      </w:r>
      <w:r w:rsidRPr="00C63F2D">
        <w:t>300/</w:t>
      </w:r>
      <w:r w:rsidR="00AE0CC2">
        <w:t>µ</w:t>
      </w:r>
      <w:r w:rsidRPr="00C63F2D">
        <w:t xml:space="preserve">L, </w:t>
      </w:r>
      <w:r w:rsidR="00596091">
        <w:t>high dose</w:t>
      </w:r>
      <w:r w:rsidRPr="00C63F2D">
        <w:t xml:space="preserve"> ICS)</w:t>
      </w:r>
    </w:p>
    <w:p w14:paraId="37B4AE8C" w14:textId="77777777" w:rsidR="00F437D0" w:rsidRDefault="00C63F2D" w:rsidP="007B6132">
      <w:r>
        <w:rPr>
          <w:noProof/>
          <w:lang w:eastAsia="en-AU"/>
        </w:rPr>
        <w:drawing>
          <wp:inline distT="0" distB="0" distL="0" distR="0" wp14:anchorId="66AF06B6" wp14:editId="63A165B5">
            <wp:extent cx="5400040" cy="3740220"/>
            <wp:effectExtent l="0" t="0" r="0" b="0"/>
            <wp:docPr id="15" name="Picture 15" descr="Figure 11: Change from baseline in pre-bronchodilator FEV1 (L) by time-point (Full analysis set, baseline blood eosinophils ≥ 300/μL, high dose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3740220"/>
                    </a:xfrm>
                    <a:prstGeom prst="rect">
                      <a:avLst/>
                    </a:prstGeom>
                  </pic:spPr>
                </pic:pic>
              </a:graphicData>
            </a:graphic>
          </wp:inline>
        </w:drawing>
      </w:r>
    </w:p>
    <w:p w14:paraId="29990A40" w14:textId="77777777" w:rsidR="00C63F2D" w:rsidRPr="0050720A" w:rsidRDefault="00C63F2D" w:rsidP="00737C83">
      <w:pPr>
        <w:pStyle w:val="Heading6"/>
      </w:pPr>
      <w:r w:rsidRPr="0050720A">
        <w:t>Other efficacy endpoints</w:t>
      </w:r>
    </w:p>
    <w:p w14:paraId="6F2B0779" w14:textId="77777777" w:rsidR="00E14798" w:rsidRDefault="00C63F2D" w:rsidP="00737C83">
      <w:pPr>
        <w:pStyle w:val="ListBullet"/>
      </w:pPr>
      <w:r w:rsidRPr="001D3F58">
        <w:t xml:space="preserve">At </w:t>
      </w:r>
      <w:r w:rsidR="00B62CD5">
        <w:t>Week</w:t>
      </w:r>
      <w:r w:rsidRPr="001D3F58">
        <w:t xml:space="preserve"> 56, there was no significant difference in the change from baseline in asthma rescue medication use </w:t>
      </w:r>
      <w:r w:rsidRPr="001F1D1F">
        <w:t xml:space="preserve">between </w:t>
      </w:r>
      <w:r w:rsidRPr="00CA40D6">
        <w:t>benralizumab</w:t>
      </w:r>
      <w:r>
        <w:t xml:space="preserve"> arm</w:t>
      </w:r>
      <w:r w:rsidRPr="001F1D1F">
        <w:t xml:space="preserve"> and placebo at -2.85 and</w:t>
      </w:r>
      <w:r w:rsidRPr="007A1B64">
        <w:t xml:space="preserve"> -</w:t>
      </w:r>
      <w:r w:rsidRPr="001D3F58">
        <w:t xml:space="preserve">2.13 respectively. Asthma exacerbations that required ER visits were comparable for patients in both </w:t>
      </w:r>
      <w:r w:rsidRPr="001F1D1F">
        <w:t xml:space="preserve">benralizumab and placebo </w:t>
      </w:r>
      <w:r w:rsidRPr="007A1B64">
        <w:t>arm</w:t>
      </w:r>
      <w:r w:rsidRPr="001D3F58">
        <w:t>s</w:t>
      </w:r>
      <w:r w:rsidR="00E14798">
        <w:t>.</w:t>
      </w:r>
    </w:p>
    <w:p w14:paraId="60CA9F12" w14:textId="77777777" w:rsidR="00C63F2D" w:rsidRPr="00737C83" w:rsidRDefault="00C63F2D" w:rsidP="00737C83">
      <w:pPr>
        <w:pStyle w:val="ListBullet"/>
      </w:pPr>
      <w:r w:rsidRPr="0050720A">
        <w:t xml:space="preserve">A greater LS mean difference (95% CI) for ACQ-6 </w:t>
      </w:r>
      <w:r>
        <w:t>was observed with benralizumab arm, compared to placebo.</w:t>
      </w:r>
      <w:r w:rsidRPr="0050720A">
        <w:t xml:space="preserve"> </w:t>
      </w:r>
      <w:r>
        <w:t>A MCID of 0.5 points was achieved. However, t</w:t>
      </w:r>
      <w:r w:rsidRPr="0050720A">
        <w:t>his finding is in contrast to the increased hospitalisations due to exacerbations reported in this study.</w:t>
      </w:r>
    </w:p>
    <w:p w14:paraId="584567F4" w14:textId="02050206" w:rsidR="00C63F2D" w:rsidRPr="0050720A" w:rsidRDefault="00C63F2D" w:rsidP="00737C83">
      <w:r>
        <w:t xml:space="preserve">In spite of the longer treatment duration, it is unclear why this study was less efficacious than </w:t>
      </w:r>
      <w:r w:rsidR="00CE466D">
        <w:t xml:space="preserve">the </w:t>
      </w:r>
      <w:r>
        <w:t>SIROCCO</w:t>
      </w:r>
      <w:r w:rsidR="00CE466D">
        <w:t xml:space="preserve"> trial</w:t>
      </w:r>
      <w:r>
        <w:t>.</w:t>
      </w:r>
    </w:p>
    <w:p w14:paraId="79B1E37D" w14:textId="0E615BFC" w:rsidR="00C63F2D" w:rsidRDefault="00C63F2D" w:rsidP="00737C83">
      <w:pPr>
        <w:pStyle w:val="Heading5"/>
      </w:pPr>
      <w:r w:rsidRPr="005632DC">
        <w:t xml:space="preserve">Study </w:t>
      </w:r>
      <w:r>
        <w:t>D3250C00020 (ZONDA</w:t>
      </w:r>
      <w:r w:rsidR="00AC2D04">
        <w:t xml:space="preserve"> trial</w:t>
      </w:r>
      <w:r>
        <w:t>)</w:t>
      </w:r>
    </w:p>
    <w:p w14:paraId="3871292C" w14:textId="77777777" w:rsidR="00C63F2D" w:rsidRPr="00E93DF4" w:rsidRDefault="00C63F2D" w:rsidP="00737C83">
      <w:pPr>
        <w:pStyle w:val="Heading6"/>
        <w:rPr>
          <w:lang w:val="en-US"/>
        </w:rPr>
      </w:pPr>
      <w:r w:rsidRPr="00E93DF4">
        <w:rPr>
          <w:lang w:val="en-US"/>
        </w:rPr>
        <w:t>Study design</w:t>
      </w:r>
    </w:p>
    <w:p w14:paraId="68455313" w14:textId="25147123" w:rsidR="00C63F2D" w:rsidRPr="00B62CD5" w:rsidRDefault="00AC2D04" w:rsidP="00737C83">
      <w:r>
        <w:t>A r</w:t>
      </w:r>
      <w:r w:rsidRPr="00E93DF4">
        <w:t>andomised</w:t>
      </w:r>
      <w:r w:rsidR="00C63F2D" w:rsidRPr="00E93DF4">
        <w:t xml:space="preserve">, double blind, parallel group, </w:t>
      </w:r>
      <w:r w:rsidR="00B62CD5" w:rsidRPr="00E93DF4">
        <w:t>and placebo</w:t>
      </w:r>
      <w:r w:rsidR="00C63F2D" w:rsidRPr="00E93DF4">
        <w:t xml:space="preserve"> controlled trial of two dosing regimens of benralizumab in patients with severe asthma: uncontrolled despite high dose ICS, LABA </w:t>
      </w:r>
      <w:r w:rsidR="00C63F2D" w:rsidRPr="00B62CD5">
        <w:t>and chronic oral corticosteroids.</w:t>
      </w:r>
    </w:p>
    <w:p w14:paraId="4690F4CA" w14:textId="4FC68C74" w:rsidR="00C63F2D" w:rsidRDefault="00C63F2D" w:rsidP="00C63F2D">
      <w:pPr>
        <w:pStyle w:val="FigureTitle"/>
      </w:pPr>
      <w:r>
        <w:lastRenderedPageBreak/>
        <w:t xml:space="preserve">Figure </w:t>
      </w:r>
      <w:r w:rsidR="004D70B4">
        <w:t>12</w:t>
      </w:r>
      <w:r>
        <w:t>: Study design</w:t>
      </w:r>
      <w:r w:rsidR="00737C83">
        <w:t xml:space="preserve"> </w:t>
      </w:r>
      <w:r w:rsidR="00737C83" w:rsidRPr="005632DC">
        <w:t xml:space="preserve">Study </w:t>
      </w:r>
      <w:r w:rsidR="00737C83">
        <w:t>D3250C00020 (ZONDA</w:t>
      </w:r>
      <w:r w:rsidR="00AC2D04">
        <w:t xml:space="preserve"> trial</w:t>
      </w:r>
      <w:r w:rsidR="00737C83">
        <w:t>)</w:t>
      </w:r>
    </w:p>
    <w:p w14:paraId="420BD102" w14:textId="77777777" w:rsidR="00C63F2D" w:rsidRDefault="00C63F2D" w:rsidP="0039213E">
      <w:r>
        <w:rPr>
          <w:noProof/>
          <w:lang w:eastAsia="en-AU"/>
        </w:rPr>
        <w:drawing>
          <wp:inline distT="0" distB="0" distL="0" distR="0" wp14:anchorId="41C7B8AE" wp14:editId="2604C294">
            <wp:extent cx="5400040" cy="2815405"/>
            <wp:effectExtent l="0" t="0" r="0" b="4445"/>
            <wp:docPr id="19" name="Picture 19" descr="Figure 12: Study design Study D3250C00020 (ZONDA)After enrolment and initial confirmation of entry criteria at Week  10, patients entered up to an 8-week run-in/OCS optimisation period (from Week  8 to Week 0), during which time the patient’s dose of OCS was titrated to the minimum effective dose without losing asthma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2815405"/>
                    </a:xfrm>
                    <a:prstGeom prst="rect">
                      <a:avLst/>
                    </a:prstGeom>
                  </pic:spPr>
                </pic:pic>
              </a:graphicData>
            </a:graphic>
          </wp:inline>
        </w:drawing>
      </w:r>
    </w:p>
    <w:p w14:paraId="5A5E1B95" w14:textId="77777777" w:rsidR="00E14798" w:rsidRDefault="00C63F2D" w:rsidP="00737C83">
      <w:r w:rsidRPr="00E93DF4">
        <w:t xml:space="preserve">After enrolment and initial confirmation of entry criteria at Week </w:t>
      </w:r>
      <w:r w:rsidR="00B62CD5">
        <w:noBreakHyphen/>
      </w:r>
      <w:r w:rsidRPr="00E93DF4">
        <w:t xml:space="preserve">10, patients entered up </w:t>
      </w:r>
      <w:r w:rsidRPr="00B62CD5">
        <w:t>to an 8-week run-in/OCS optimisation period (</w:t>
      </w:r>
      <w:r w:rsidR="00B62CD5">
        <w:t xml:space="preserve">from Week </w:t>
      </w:r>
      <w:r w:rsidR="00B62CD5">
        <w:noBreakHyphen/>
      </w:r>
      <w:r w:rsidRPr="00E93DF4">
        <w:t>8 to Week 0), during which time the patient’s dose of OCS was titrated to the minimum effective dose without losing asthma control</w:t>
      </w:r>
      <w:r w:rsidR="00E14798">
        <w:t>.</w:t>
      </w:r>
    </w:p>
    <w:p w14:paraId="67550582" w14:textId="77777777" w:rsidR="00C63F2D" w:rsidRPr="00E93DF4" w:rsidRDefault="00C63F2D" w:rsidP="00737C83">
      <w:r w:rsidRPr="00E93DF4">
        <w:t>The treatment period was divided into 3 phases:</w:t>
      </w:r>
    </w:p>
    <w:p w14:paraId="43C13906" w14:textId="77777777" w:rsidR="00C63F2D" w:rsidRPr="00E93DF4" w:rsidRDefault="00C63F2D" w:rsidP="00737C83">
      <w:pPr>
        <w:pStyle w:val="ListBullet"/>
      </w:pPr>
      <w:r w:rsidRPr="00E93DF4">
        <w:t>Induction (from Week 0 to Week 4; patients remained on the optimised OCS dose)</w:t>
      </w:r>
      <w:r w:rsidR="00B62CD5">
        <w:t>.</w:t>
      </w:r>
    </w:p>
    <w:p w14:paraId="66B56B20" w14:textId="77777777" w:rsidR="00C63F2D" w:rsidRPr="00E93DF4" w:rsidRDefault="00C63F2D" w:rsidP="00737C83">
      <w:pPr>
        <w:pStyle w:val="ListBullet"/>
      </w:pPr>
      <w:r w:rsidRPr="00E93DF4">
        <w:t>Reduction (from Week 4 to Week 24, inclusive; OCS dose reduction was initiated at Week 4 with dose reduction following at 4-week intervals)</w:t>
      </w:r>
      <w:r w:rsidR="00B62CD5">
        <w:t>.</w:t>
      </w:r>
    </w:p>
    <w:p w14:paraId="58DBA38F" w14:textId="77777777" w:rsidR="00C63F2D" w:rsidRPr="00A775CB" w:rsidRDefault="00C63F2D" w:rsidP="00737C83">
      <w:pPr>
        <w:pStyle w:val="ListBullet"/>
      </w:pPr>
      <w:r w:rsidRPr="00E93DF4">
        <w:t>Maintenance (after Week 24 to Week 28; the dose of OCS reached at Week 24 or complete elimination of OCS was maintained).</w:t>
      </w:r>
    </w:p>
    <w:p w14:paraId="7D1E853B" w14:textId="77777777" w:rsidR="00737C83" w:rsidRDefault="00737C83" w:rsidP="00737C83">
      <w:pPr>
        <w:pStyle w:val="Heading6"/>
        <w:rPr>
          <w:lang w:val="en-US"/>
        </w:rPr>
      </w:pPr>
      <w:r w:rsidRPr="00E93DF4">
        <w:rPr>
          <w:lang w:val="en-US"/>
        </w:rPr>
        <w:t>Inclusion criteria</w:t>
      </w:r>
    </w:p>
    <w:p w14:paraId="16EA11EF" w14:textId="1C4520B0" w:rsidR="00C63F2D" w:rsidRPr="00737C83" w:rsidRDefault="00C63F2D" w:rsidP="00737C83">
      <w:pPr>
        <w:rPr>
          <w:lang w:val="en-US"/>
        </w:rPr>
      </w:pPr>
      <w:r w:rsidRPr="00737C83">
        <w:rPr>
          <w:lang w:val="en-US"/>
        </w:rPr>
        <w:t xml:space="preserve">Inclusion criteria were largely similar to </w:t>
      </w:r>
      <w:r w:rsidR="00AC2D04">
        <w:rPr>
          <w:lang w:val="en-US"/>
        </w:rPr>
        <w:t xml:space="preserve">the </w:t>
      </w:r>
      <w:r w:rsidRPr="00737C83">
        <w:rPr>
          <w:lang w:val="en-US"/>
        </w:rPr>
        <w:t xml:space="preserve">SIROCCO and CALIMA </w:t>
      </w:r>
      <w:r w:rsidR="00AC2D04">
        <w:rPr>
          <w:lang w:val="en-US"/>
        </w:rPr>
        <w:t>trials</w:t>
      </w:r>
      <w:r w:rsidR="00AC2D04" w:rsidRPr="00737C83">
        <w:rPr>
          <w:lang w:val="en-US"/>
        </w:rPr>
        <w:t xml:space="preserve"> </w:t>
      </w:r>
      <w:r w:rsidRPr="00737C83">
        <w:rPr>
          <w:lang w:val="en-US"/>
        </w:rPr>
        <w:t>except:</w:t>
      </w:r>
    </w:p>
    <w:p w14:paraId="2CBECE13" w14:textId="2303B2AB" w:rsidR="00C63F2D" w:rsidRPr="00E93DF4" w:rsidRDefault="00C63F2D" w:rsidP="00737C83">
      <w:pPr>
        <w:pStyle w:val="ListBullet"/>
        <w:rPr>
          <w:lang w:val="en-US"/>
        </w:rPr>
      </w:pPr>
      <w:r w:rsidRPr="002D3BA0">
        <w:rPr>
          <w:lang w:val="en-US"/>
        </w:rPr>
        <w:t xml:space="preserve">Blood eosinophil count of </w:t>
      </w:r>
      <w:r w:rsidR="007504A5">
        <w:rPr>
          <w:lang w:val="en-US"/>
        </w:rPr>
        <w:t xml:space="preserve">≥ </w:t>
      </w:r>
      <w:proofErr w:type="gramStart"/>
      <w:r w:rsidRPr="002D3BA0">
        <w:rPr>
          <w:lang w:val="en-US"/>
        </w:rPr>
        <w:t>150 cells/µL</w:t>
      </w:r>
      <w:proofErr w:type="gramEnd"/>
      <w:r w:rsidRPr="002D3BA0">
        <w:rPr>
          <w:lang w:val="en-US"/>
        </w:rPr>
        <w:t xml:space="preserve"> and annual exacerbation rate of </w:t>
      </w:r>
      <w:r w:rsidR="007504A5">
        <w:rPr>
          <w:lang w:val="en-US"/>
        </w:rPr>
        <w:t xml:space="preserve">≥ </w:t>
      </w:r>
      <w:r w:rsidRPr="002D3BA0">
        <w:rPr>
          <w:lang w:val="en-US"/>
        </w:rPr>
        <w:t>1 episode,</w:t>
      </w:r>
      <w:r w:rsidRPr="00E93DF4">
        <w:rPr>
          <w:lang w:val="en-US"/>
        </w:rPr>
        <w:t xml:space="preserve"> which are lower than the corresponding inclusion criteria for </w:t>
      </w:r>
      <w:r w:rsidR="00AC2D04">
        <w:rPr>
          <w:lang w:val="en-US"/>
        </w:rPr>
        <w:t xml:space="preserve">the </w:t>
      </w:r>
      <w:r w:rsidRPr="00E93DF4">
        <w:rPr>
          <w:lang w:val="en-US"/>
        </w:rPr>
        <w:t xml:space="preserve">SIROCCO and CALIMA </w:t>
      </w:r>
      <w:r w:rsidR="00AC2D04">
        <w:rPr>
          <w:lang w:val="en-US"/>
        </w:rPr>
        <w:t>trials</w:t>
      </w:r>
      <w:r w:rsidRPr="00E93DF4">
        <w:rPr>
          <w:lang w:val="en-US"/>
        </w:rPr>
        <w:t>.</w:t>
      </w:r>
    </w:p>
    <w:p w14:paraId="2EF476FC" w14:textId="77777777" w:rsidR="00C63F2D" w:rsidRPr="00737C83" w:rsidRDefault="00C63F2D" w:rsidP="00737C83">
      <w:pPr>
        <w:pStyle w:val="ListBullet"/>
      </w:pPr>
      <w:r w:rsidRPr="00E93DF4">
        <w:t>Chronic OCS therapy for at least 6 continuous mon</w:t>
      </w:r>
      <w:r w:rsidR="00737C83">
        <w:t>ths directly preceding Visit 1.</w:t>
      </w:r>
    </w:p>
    <w:p w14:paraId="73857158" w14:textId="77777777" w:rsidR="00C63F2D" w:rsidRPr="00E93DF4" w:rsidRDefault="00C63F2D" w:rsidP="00737C83">
      <w:pPr>
        <w:pStyle w:val="Heading6"/>
        <w:rPr>
          <w:lang w:val="en-US"/>
        </w:rPr>
      </w:pPr>
      <w:r w:rsidRPr="00E93DF4">
        <w:rPr>
          <w:lang w:val="en-US"/>
        </w:rPr>
        <w:t>Primary objective</w:t>
      </w:r>
    </w:p>
    <w:p w14:paraId="615A27F7" w14:textId="77777777" w:rsidR="00C63F2D" w:rsidRPr="00E93DF4" w:rsidRDefault="00C63F2D" w:rsidP="00737C83">
      <w:pPr>
        <w:rPr>
          <w:lang w:val="en-US"/>
        </w:rPr>
      </w:pPr>
      <w:r w:rsidRPr="00E93DF4">
        <w:t xml:space="preserve">To compare the effect of 2 dosing regimens of benralizumab on percentage reduction of oral corticosteroid (OCS) dose in adult patients with </w:t>
      </w:r>
      <w:r w:rsidRPr="00E93DF4">
        <w:rPr>
          <w:lang w:val="en-US"/>
        </w:rPr>
        <w:t>uncontrolled asthma</w:t>
      </w:r>
      <w:r>
        <w:rPr>
          <w:lang w:val="en-US"/>
        </w:rPr>
        <w:t>.</w:t>
      </w:r>
    </w:p>
    <w:p w14:paraId="5ABC1741" w14:textId="77777777" w:rsidR="00C63F2D" w:rsidRPr="00E93DF4" w:rsidRDefault="00737C83" w:rsidP="00737C83">
      <w:pPr>
        <w:pStyle w:val="Heading6"/>
        <w:rPr>
          <w:lang w:val="en-US"/>
        </w:rPr>
      </w:pPr>
      <w:r>
        <w:rPr>
          <w:lang w:val="en-US"/>
        </w:rPr>
        <w:t>Key secondary objectives</w:t>
      </w:r>
    </w:p>
    <w:p w14:paraId="7CD5015C" w14:textId="77777777" w:rsidR="00C63F2D" w:rsidRPr="00E93DF4" w:rsidRDefault="00C63F2D" w:rsidP="00737C83">
      <w:pPr>
        <w:rPr>
          <w:lang w:val="en-US"/>
        </w:rPr>
      </w:pPr>
      <w:r w:rsidRPr="00E93DF4">
        <w:t xml:space="preserve">To assess the effect of 2 dosing regimens of benralizumab on baseline OCS dose and parameters associated with </w:t>
      </w:r>
      <w:r w:rsidRPr="00E93DF4">
        <w:rPr>
          <w:lang w:val="en-US"/>
        </w:rPr>
        <w:t>asthma exacerbations, pulmonary function and asthma control.</w:t>
      </w:r>
    </w:p>
    <w:p w14:paraId="12A22414" w14:textId="77777777" w:rsidR="00C63F2D" w:rsidRPr="00E93DF4" w:rsidRDefault="00C63F2D" w:rsidP="00737C83">
      <w:pPr>
        <w:pStyle w:val="Heading6"/>
        <w:rPr>
          <w:lang w:val="en-US"/>
        </w:rPr>
      </w:pPr>
      <w:r w:rsidRPr="00E93DF4">
        <w:rPr>
          <w:lang w:val="en-US"/>
        </w:rPr>
        <w:t>Study population</w:t>
      </w:r>
    </w:p>
    <w:p w14:paraId="714EDE44" w14:textId="2E878A32" w:rsidR="00E14798" w:rsidRDefault="00C63F2D" w:rsidP="00737C83">
      <w:pPr>
        <w:rPr>
          <w:lang w:eastAsia="ja-JP"/>
        </w:rPr>
      </w:pPr>
      <w:r w:rsidRPr="00E93DF4">
        <w:rPr>
          <w:lang w:val="en-US"/>
        </w:rPr>
        <w:t xml:space="preserve">220 patients were </w:t>
      </w:r>
      <w:r w:rsidR="00AC2D04" w:rsidRPr="00E93DF4">
        <w:rPr>
          <w:lang w:val="en-US"/>
        </w:rPr>
        <w:t>randomi</w:t>
      </w:r>
      <w:r w:rsidR="00AC2D04">
        <w:rPr>
          <w:lang w:val="en-US"/>
        </w:rPr>
        <w:t>s</w:t>
      </w:r>
      <w:r w:rsidR="00AC2D04" w:rsidRPr="00E93DF4">
        <w:rPr>
          <w:lang w:val="en-US"/>
        </w:rPr>
        <w:t xml:space="preserve">ed </w:t>
      </w:r>
      <w:r w:rsidRPr="00E93DF4">
        <w:rPr>
          <w:lang w:val="en-US"/>
        </w:rPr>
        <w:t xml:space="preserve">into three treatment groups. </w:t>
      </w:r>
      <w:r w:rsidRPr="00E93DF4">
        <w:rPr>
          <w:lang w:eastAsia="ja-JP"/>
        </w:rPr>
        <w:t xml:space="preserve">Patients were randomised 1:1:1 and stratified by blood eosinophil count: </w:t>
      </w:r>
      <w:r w:rsidR="007504A5">
        <w:rPr>
          <w:lang w:eastAsia="ja-JP"/>
        </w:rPr>
        <w:t xml:space="preserve">≥ </w:t>
      </w:r>
      <w:r w:rsidRPr="00E93DF4">
        <w:rPr>
          <w:lang w:eastAsia="ja-JP"/>
        </w:rPr>
        <w:t xml:space="preserve">150 /µL to </w:t>
      </w:r>
      <w:r w:rsidR="007504A5">
        <w:rPr>
          <w:lang w:eastAsia="ja-JP"/>
        </w:rPr>
        <w:t xml:space="preserve">&lt; </w:t>
      </w:r>
      <w:r w:rsidRPr="00E93DF4">
        <w:rPr>
          <w:lang w:eastAsia="ja-JP"/>
        </w:rPr>
        <w:t xml:space="preserve">300/µL and </w:t>
      </w:r>
      <w:r w:rsidR="007504A5">
        <w:rPr>
          <w:lang w:eastAsia="ja-JP"/>
        </w:rPr>
        <w:t>≥</w:t>
      </w:r>
      <w:r w:rsidR="00AC2D04">
        <w:rPr>
          <w:lang w:eastAsia="ja-JP"/>
        </w:rPr>
        <w:t> </w:t>
      </w:r>
      <w:r w:rsidRPr="00E93DF4">
        <w:rPr>
          <w:lang w:eastAsia="ja-JP"/>
        </w:rPr>
        <w:t>300 /µL. A</w:t>
      </w:r>
      <w:r w:rsidR="00737C83">
        <w:rPr>
          <w:lang w:eastAsia="ja-JP"/>
        </w:rPr>
        <w:t>bout</w:t>
      </w:r>
      <w:r w:rsidRPr="00E93DF4">
        <w:rPr>
          <w:lang w:eastAsia="ja-JP"/>
        </w:rPr>
        <w:t xml:space="preserve"> 94% of patients across treatment arms completed the study</w:t>
      </w:r>
      <w:r w:rsidR="00E14798">
        <w:rPr>
          <w:lang w:eastAsia="ja-JP"/>
        </w:rPr>
        <w:t>.</w:t>
      </w:r>
    </w:p>
    <w:p w14:paraId="79B1D015" w14:textId="20CD6AA5" w:rsidR="00C63F2D" w:rsidRPr="00737C83" w:rsidRDefault="00C63F2D" w:rsidP="00737C83">
      <w:pPr>
        <w:rPr>
          <w:lang w:eastAsia="ja-JP"/>
        </w:rPr>
      </w:pPr>
      <w:r w:rsidRPr="00E93DF4">
        <w:rPr>
          <w:lang w:eastAsia="ja-JP"/>
        </w:rPr>
        <w:lastRenderedPageBreak/>
        <w:t xml:space="preserve">A high proportion of patients were reported to have protocol deviations across </w:t>
      </w:r>
      <w:r w:rsidRPr="00CA40D6">
        <w:t>benralizumab</w:t>
      </w:r>
      <w:r>
        <w:t xml:space="preserve"> arm</w:t>
      </w:r>
      <w:r w:rsidRPr="00E93DF4">
        <w:rPr>
          <w:lang w:eastAsia="ja-JP"/>
        </w:rPr>
        <w:t xml:space="preserve"> (16.4%) and placebo (36%). This is almost 50% higher than that observed in </w:t>
      </w:r>
      <w:r w:rsidR="00AC2D04">
        <w:rPr>
          <w:lang w:eastAsia="ja-JP"/>
        </w:rPr>
        <w:t xml:space="preserve">the </w:t>
      </w:r>
      <w:r w:rsidRPr="00E93DF4">
        <w:rPr>
          <w:lang w:eastAsia="ja-JP"/>
        </w:rPr>
        <w:t>SIROCCO and ZONDA</w:t>
      </w:r>
      <w:r w:rsidR="00AC2D04">
        <w:rPr>
          <w:lang w:eastAsia="ja-JP"/>
        </w:rPr>
        <w:t xml:space="preserve"> trials</w:t>
      </w:r>
      <w:r w:rsidRPr="00E93DF4">
        <w:rPr>
          <w:lang w:eastAsia="ja-JP"/>
        </w:rPr>
        <w:t>. It is important to note that the most prevalent protocol deviation was related to down titration criteria for OCS, which could have impacted the final OCS do</w:t>
      </w:r>
      <w:r w:rsidR="00737C83">
        <w:rPr>
          <w:lang w:eastAsia="ja-JP"/>
        </w:rPr>
        <w:t>se and hence the study outcome.</w:t>
      </w:r>
    </w:p>
    <w:p w14:paraId="3588BFB9" w14:textId="77777777" w:rsidR="00C63F2D" w:rsidRPr="00E93DF4" w:rsidRDefault="00C63F2D" w:rsidP="00737C83">
      <w:pPr>
        <w:pStyle w:val="Heading6"/>
      </w:pPr>
      <w:r w:rsidRPr="00E93DF4">
        <w:t>Primary efficacy endpoint</w:t>
      </w:r>
    </w:p>
    <w:p w14:paraId="5A2FED0E" w14:textId="0381048D" w:rsidR="00E14798" w:rsidRDefault="00C63F2D" w:rsidP="00737C83">
      <w:r w:rsidRPr="00E93DF4">
        <w:t>A statistically significant reduction in OCS was achieved in both benralizumab groups compared to placebo. Around 55% reduction in baseline OCS dose was no</w:t>
      </w:r>
      <w:r>
        <w:t xml:space="preserve">ted in </w:t>
      </w:r>
      <w:r w:rsidR="00AC2D04">
        <w:t xml:space="preserve">the benralizumab </w:t>
      </w:r>
      <w:r>
        <w:t>group</w:t>
      </w:r>
      <w:r w:rsidRPr="00E93DF4">
        <w:t>, compared to 20% in placebo. The median reduction in daily OCS dose was 5</w:t>
      </w:r>
      <w:r w:rsidR="00B62CD5">
        <w:t xml:space="preserve"> mg</w:t>
      </w:r>
      <w:r w:rsidRPr="00E93DF4">
        <w:t>, which is considered as clinically meaningful by CHMP.</w:t>
      </w:r>
      <w:r w:rsidR="00F971ED">
        <w:t xml:space="preserve"> </w:t>
      </w:r>
      <w:r w:rsidRPr="00E93DF4">
        <w:t xml:space="preserve">At </w:t>
      </w:r>
      <w:r w:rsidR="00B62CD5">
        <w:t>Week</w:t>
      </w:r>
      <w:r w:rsidRPr="00E93DF4">
        <w:t xml:space="preserve"> 28, 37% of patients in </w:t>
      </w:r>
      <w:r>
        <w:t>benralizumab</w:t>
      </w:r>
      <w:r w:rsidR="00B62CD5">
        <w:t xml:space="preserve"> arm achieved 90 to </w:t>
      </w:r>
      <w:r w:rsidRPr="00E93DF4">
        <w:t>100% OCS dose reduction compared to 12% in placebo</w:t>
      </w:r>
      <w:r w:rsidR="00E14798">
        <w:t>.</w:t>
      </w:r>
    </w:p>
    <w:p w14:paraId="7BA60B8C" w14:textId="77777777" w:rsidR="00F437D0" w:rsidRPr="00E1525C" w:rsidRDefault="00C63F2D" w:rsidP="00E1525C">
      <w:pPr>
        <w:pStyle w:val="TableTitle"/>
      </w:pPr>
      <w:r w:rsidRPr="00E1525C">
        <w:t>Table</w:t>
      </w:r>
      <w:r w:rsidR="006A44F0">
        <w:t xml:space="preserve"> 20</w:t>
      </w:r>
      <w:r w:rsidRPr="00E1525C">
        <w:t>: Percent reduction in daily OCS dose at Week 28</w:t>
      </w:r>
      <w:r w:rsidR="00E1525C" w:rsidRPr="00E1525C">
        <w:t xml:space="preserve"> (Full</w:t>
      </w:r>
      <w:r w:rsidR="00E1525C">
        <w:t xml:space="preserve"> </w:t>
      </w:r>
      <w:r w:rsidR="00E1525C" w:rsidRPr="00E1525C">
        <w:t>analysis set)</w:t>
      </w:r>
    </w:p>
    <w:p w14:paraId="2C15F56B" w14:textId="77777777" w:rsidR="00F437D0" w:rsidRDefault="00E1525C" w:rsidP="007B6132">
      <w:r>
        <w:rPr>
          <w:noProof/>
          <w:lang w:eastAsia="en-AU"/>
        </w:rPr>
        <w:drawing>
          <wp:inline distT="0" distB="0" distL="0" distR="0" wp14:anchorId="1FA979AA" wp14:editId="43AD36B0">
            <wp:extent cx="5400040" cy="5725427"/>
            <wp:effectExtent l="0" t="0" r="0" b="8890"/>
            <wp:docPr id="20" name="Picture 20" descr="Table 20: Percent reduction in daily OCS dose at Week 2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5725427"/>
                    </a:xfrm>
                    <a:prstGeom prst="rect">
                      <a:avLst/>
                    </a:prstGeom>
                  </pic:spPr>
                </pic:pic>
              </a:graphicData>
            </a:graphic>
          </wp:inline>
        </w:drawing>
      </w:r>
    </w:p>
    <w:p w14:paraId="6174D193" w14:textId="77777777" w:rsidR="00610926" w:rsidRPr="00E93DF4" w:rsidRDefault="00610926" w:rsidP="00610926">
      <w:pPr>
        <w:pStyle w:val="Heading6"/>
      </w:pPr>
      <w:r>
        <w:lastRenderedPageBreak/>
        <w:t>Secondary efficacy outcomes</w:t>
      </w:r>
    </w:p>
    <w:p w14:paraId="5998EE16" w14:textId="77777777" w:rsidR="009F2FBC" w:rsidRPr="00E93DF4" w:rsidRDefault="009F2FBC" w:rsidP="00610926">
      <w:pPr>
        <w:pStyle w:val="ListBullet"/>
      </w:pPr>
      <w:r w:rsidRPr="00E93DF4">
        <w:t xml:space="preserve">The rate ratio (95% CI) for annual exacerbations between benralizumab and placebo was 0.45 (0.27 to 0.76), p = 0.003, for Q4W and 0.30 (0.17 to 0.53), p </w:t>
      </w:r>
      <w:r w:rsidR="007504A5">
        <w:t xml:space="preserve">&lt; </w:t>
      </w:r>
      <w:r w:rsidRPr="00E93DF4">
        <w:t xml:space="preserve">0.001, for </w:t>
      </w:r>
      <w:r w:rsidRPr="00CA40D6">
        <w:t>benralizumab</w:t>
      </w:r>
      <w:r>
        <w:t xml:space="preserve"> arm</w:t>
      </w:r>
      <w:r w:rsidRPr="00E93DF4">
        <w:t>.</w:t>
      </w:r>
    </w:p>
    <w:p w14:paraId="5AF29B3B" w14:textId="07984914" w:rsidR="009F2FBC" w:rsidRPr="00E93DF4" w:rsidRDefault="009F2FBC" w:rsidP="00610926">
      <w:pPr>
        <w:pStyle w:val="ListBullet"/>
      </w:pPr>
      <w:r w:rsidRPr="00E93DF4">
        <w:t xml:space="preserve">The mean (SD) change from baseline in pre-bronchodilator FEV1 was greater than that observed in </w:t>
      </w:r>
      <w:r w:rsidR="00CE466D">
        <w:t xml:space="preserve">the </w:t>
      </w:r>
      <w:r w:rsidRPr="00E93DF4">
        <w:t xml:space="preserve">SIROCCO and CALIMA </w:t>
      </w:r>
      <w:r w:rsidR="00CE466D">
        <w:t xml:space="preserve">trials </w:t>
      </w:r>
      <w:r w:rsidRPr="00E93DF4">
        <w:t xml:space="preserve">at 0.255 (0.508) L for </w:t>
      </w:r>
      <w:r w:rsidRPr="00CA40D6">
        <w:t>benralizumab</w:t>
      </w:r>
      <w:r>
        <w:t xml:space="preserve"> arm</w:t>
      </w:r>
      <w:r w:rsidRPr="00E93DF4">
        <w:t xml:space="preserve"> and 0.114 (0.401) L for placebo.</w:t>
      </w:r>
      <w:r w:rsidR="00F971ED">
        <w:t xml:space="preserve"> </w:t>
      </w:r>
      <w:r w:rsidRPr="00E93DF4">
        <w:t xml:space="preserve">The LS mean (95% CI) difference between </w:t>
      </w:r>
      <w:r w:rsidRPr="00CA40D6">
        <w:t>benralizumab</w:t>
      </w:r>
      <w:r>
        <w:t xml:space="preserve"> arm</w:t>
      </w:r>
      <w:r w:rsidRPr="00E93DF4">
        <w:t xml:space="preserve"> and placebo was not statistically significant at 0.112 (-0.033 to 0.258) L, p = 0.129.</w:t>
      </w:r>
    </w:p>
    <w:p w14:paraId="283A0D16" w14:textId="77777777" w:rsidR="009F2FBC" w:rsidRPr="00E93DF4" w:rsidRDefault="009F2FBC" w:rsidP="00610926">
      <w:pPr>
        <w:pStyle w:val="ListBullet"/>
      </w:pPr>
      <w:r w:rsidRPr="00E93DF4">
        <w:t xml:space="preserve">There was an improvement in </w:t>
      </w:r>
      <w:r w:rsidRPr="00E93DF4">
        <w:rPr>
          <w:rFonts w:hint="eastAsia"/>
        </w:rPr>
        <w:t>asthma symptom score</w:t>
      </w:r>
      <w:r w:rsidRPr="00E93DF4">
        <w:t xml:space="preserve"> </w:t>
      </w:r>
      <w:r w:rsidRPr="00E93DF4">
        <w:rPr>
          <w:rFonts w:hint="eastAsia"/>
        </w:rPr>
        <w:t>(total, daytime, and night time)</w:t>
      </w:r>
      <w:r w:rsidRPr="00E93DF4">
        <w:t xml:space="preserve"> and PEF, however the LS mean change from baseline was not statistically significant.</w:t>
      </w:r>
    </w:p>
    <w:p w14:paraId="5614D8FC" w14:textId="77777777" w:rsidR="009F2FBC" w:rsidRPr="00350ED5" w:rsidRDefault="009F2FBC" w:rsidP="00610926">
      <w:pPr>
        <w:pStyle w:val="Heading4"/>
      </w:pPr>
      <w:r w:rsidRPr="00350ED5">
        <w:t>Safety</w:t>
      </w:r>
    </w:p>
    <w:p w14:paraId="78D52D23" w14:textId="3B437FFA" w:rsidR="009F2FBC" w:rsidRPr="00E93DF4" w:rsidRDefault="009F2FBC" w:rsidP="00610926">
      <w:r w:rsidRPr="00E93DF4">
        <w:t xml:space="preserve">Safety outcomes were largely assessed based on data from </w:t>
      </w:r>
      <w:r w:rsidR="00CE466D">
        <w:t>the following:</w:t>
      </w:r>
    </w:p>
    <w:p w14:paraId="25317FA4" w14:textId="4A0FFBD0" w:rsidR="009F2FBC" w:rsidRPr="00E93DF4" w:rsidRDefault="009F2FBC" w:rsidP="00610926">
      <w:pPr>
        <w:pStyle w:val="ListBullet"/>
      </w:pPr>
      <w:r w:rsidRPr="00E93DF4">
        <w:t>Study D3250C00017 (SIROCCO</w:t>
      </w:r>
      <w:r w:rsidR="00AC2D04">
        <w:t xml:space="preserve"> trial</w:t>
      </w:r>
      <w:r w:rsidRPr="00E93DF4">
        <w:t>)</w:t>
      </w:r>
    </w:p>
    <w:p w14:paraId="76FA8E04" w14:textId="623C391F" w:rsidR="009F2FBC" w:rsidRPr="00E93DF4" w:rsidRDefault="009F2FBC" w:rsidP="00610926">
      <w:pPr>
        <w:pStyle w:val="ListBullet"/>
      </w:pPr>
      <w:r w:rsidRPr="00E93DF4">
        <w:t>Study D3250C00018 (CALIMA</w:t>
      </w:r>
      <w:r w:rsidR="00AC2D04">
        <w:t xml:space="preserve"> trial</w:t>
      </w:r>
      <w:r w:rsidRPr="00E93DF4">
        <w:t>)</w:t>
      </w:r>
    </w:p>
    <w:p w14:paraId="05272EAF" w14:textId="3B683CF1" w:rsidR="009F2FBC" w:rsidRPr="00610926" w:rsidRDefault="00610926" w:rsidP="00610926">
      <w:pPr>
        <w:pStyle w:val="ListBullet"/>
      </w:pPr>
      <w:r>
        <w:t>Study D3250C00020 (ZONDA</w:t>
      </w:r>
      <w:r w:rsidR="00AC2D04">
        <w:t xml:space="preserve"> trial</w:t>
      </w:r>
      <w:r>
        <w:t>)</w:t>
      </w:r>
    </w:p>
    <w:p w14:paraId="4B36B389" w14:textId="77777777" w:rsidR="00610926" w:rsidRDefault="00610926" w:rsidP="00610926">
      <w:pPr>
        <w:pStyle w:val="Heading5"/>
        <w:rPr>
          <w:rFonts w:eastAsia="TimesNewRoman"/>
        </w:rPr>
      </w:pPr>
      <w:r>
        <w:rPr>
          <w:rFonts w:eastAsia="TimesNewRoman"/>
        </w:rPr>
        <w:t>Patient exposure</w:t>
      </w:r>
    </w:p>
    <w:p w14:paraId="0C925EF2" w14:textId="1DFED9DF" w:rsidR="009F2FBC" w:rsidRDefault="009F2FBC" w:rsidP="00610926">
      <w:r w:rsidRPr="00E93DF4">
        <w:rPr>
          <w:rFonts w:asciiTheme="minorHAnsi" w:eastAsia="TimesNewRoman" w:hAnsiTheme="minorHAnsi" w:cs="TimesNewRoman"/>
        </w:rPr>
        <w:t>In the clinical development programme,</w:t>
      </w:r>
      <w:r w:rsidRPr="00E93DF4">
        <w:rPr>
          <w:rFonts w:asciiTheme="minorHAnsi" w:eastAsia="TimesNewRoman" w:hAnsiTheme="minorHAnsi" w:cs="TimesNewRoman"/>
          <w:b/>
        </w:rPr>
        <w:t xml:space="preserve"> </w:t>
      </w:r>
      <w:r w:rsidRPr="00E93DF4">
        <w:t>there were 900 patients exposed to benralizumab 30 mg Q8W.</w:t>
      </w:r>
      <w:r w:rsidR="00F971ED">
        <w:t xml:space="preserve"> </w:t>
      </w:r>
      <w:r w:rsidRPr="00E93DF4">
        <w:t xml:space="preserve">The number of patients in the 12 to 18 </w:t>
      </w:r>
      <w:r w:rsidR="00B62CD5">
        <w:t>year age group was low, with 62 </w:t>
      </w:r>
      <w:r w:rsidRPr="00E93DF4">
        <w:t>patients</w:t>
      </w:r>
      <w:r>
        <w:t xml:space="preserve"> (%)</w:t>
      </w:r>
      <w:r w:rsidRPr="00E93DF4">
        <w:t>.</w:t>
      </w:r>
      <w:r w:rsidR="00F971ED">
        <w:t xml:space="preserve"> </w:t>
      </w:r>
      <w:r w:rsidRPr="00E93DF4">
        <w:t xml:space="preserve">There were 278 patients aged </w:t>
      </w:r>
      <w:r w:rsidR="007504A5">
        <w:t xml:space="preserve">≥ </w:t>
      </w:r>
      <w:r w:rsidRPr="00E93DF4">
        <w:t xml:space="preserve">65 years and nine patients aged </w:t>
      </w:r>
      <w:r w:rsidR="007504A5">
        <w:t>≥</w:t>
      </w:r>
      <w:r w:rsidR="00AC2D04">
        <w:t> </w:t>
      </w:r>
      <w:r w:rsidRPr="00E93DF4">
        <w:t>75</w:t>
      </w:r>
      <w:r w:rsidR="00AC2D04">
        <w:t> </w:t>
      </w:r>
      <w:r w:rsidRPr="00E93DF4">
        <w:t>years.</w:t>
      </w:r>
      <w:r w:rsidR="00F971ED">
        <w:t xml:space="preserve"> </w:t>
      </w:r>
      <w:r w:rsidRPr="00E93DF4">
        <w:t>There were 19 patients with renal impairment, 37 with hepatic impairment and 140 with cardiac impairment.</w:t>
      </w:r>
    </w:p>
    <w:p w14:paraId="66512B06" w14:textId="77777777" w:rsidR="009F2FBC" w:rsidRPr="00610926" w:rsidRDefault="00610926" w:rsidP="00610926">
      <w:r>
        <w:t>Across P</w:t>
      </w:r>
      <w:r w:rsidR="009F2FBC" w:rsidRPr="00E93DF4">
        <w:t>hase III studies, the mean (SD) on</w:t>
      </w:r>
      <w:r w:rsidR="00F971ED">
        <w:t xml:space="preserve"> t</w:t>
      </w:r>
      <w:r w:rsidR="009F2FBC" w:rsidRPr="00E93DF4">
        <w:t>reatment durations were 339.7 (82.7), and 343.1 (77.1) days in the benralizumab 30 mg Q8W and placebo groups</w:t>
      </w:r>
      <w:r w:rsidR="009F2FBC">
        <w:t xml:space="preserve"> respectively, equating to a mean treatm</w:t>
      </w:r>
      <w:r>
        <w:t>ent period of less than a year.</w:t>
      </w:r>
    </w:p>
    <w:p w14:paraId="52EC7F76" w14:textId="77777777" w:rsidR="009F2FBC" w:rsidRDefault="009F2FBC" w:rsidP="00610926">
      <w:pPr>
        <w:pStyle w:val="Heading5"/>
      </w:pPr>
      <w:r w:rsidRPr="004441C0">
        <w:t>A</w:t>
      </w:r>
      <w:r w:rsidR="00610926">
        <w:t>dverse event</w:t>
      </w:r>
      <w:r w:rsidRPr="004441C0">
        <w:t>s</w:t>
      </w:r>
    </w:p>
    <w:p w14:paraId="55E2BC7D" w14:textId="1BC09378" w:rsidR="00E14798" w:rsidRDefault="009F2FBC" w:rsidP="00610926">
      <w:r w:rsidRPr="00E93DF4">
        <w:t xml:space="preserve">In </w:t>
      </w:r>
      <w:r w:rsidR="00AC2D04">
        <w:t xml:space="preserve">the </w:t>
      </w:r>
      <w:r w:rsidRPr="00E93DF4">
        <w:t>SIROCCO and CALIMA</w:t>
      </w:r>
      <w:r w:rsidR="00AC2D04">
        <w:t xml:space="preserve"> trials</w:t>
      </w:r>
      <w:r w:rsidRPr="00E93DF4">
        <w:t>, the pattern of TEAEs was comparable across treatment groups. The commonest AEs were asthma and respiratory infections, which were mild in intensity</w:t>
      </w:r>
      <w:r w:rsidR="00E14798">
        <w:t>.</w:t>
      </w:r>
    </w:p>
    <w:p w14:paraId="7665F374" w14:textId="77777777" w:rsidR="00E14798" w:rsidRPr="00610926" w:rsidRDefault="009F2FBC" w:rsidP="00610926">
      <w:r w:rsidRPr="00610926">
        <w:t>TEAEs that led to treatment discontinuation were higher in benralizumab arm</w:t>
      </w:r>
      <w:r w:rsidR="00610926" w:rsidRPr="00610926">
        <w:t xml:space="preserve"> </w:t>
      </w:r>
      <w:r w:rsidR="005236C7">
        <w:t>at around 2 </w:t>
      </w:r>
      <w:r w:rsidR="00610926" w:rsidRPr="00610926">
        <w:t xml:space="preserve">to 4%, compared to placebo at 0.7 to </w:t>
      </w:r>
      <w:r w:rsidRPr="00610926">
        <w:t>2.7%. No clear pattern of TEAEs that led to treatment discontinuation was noted</w:t>
      </w:r>
      <w:r w:rsidR="00E14798" w:rsidRPr="00610926">
        <w:t>.</w:t>
      </w:r>
    </w:p>
    <w:p w14:paraId="4039A67F" w14:textId="77777777" w:rsidR="009F2FBC" w:rsidRPr="0085721C" w:rsidRDefault="009F2FBC" w:rsidP="0085721C">
      <w:pPr>
        <w:pStyle w:val="Heading6"/>
      </w:pPr>
      <w:r w:rsidRPr="0085721C">
        <w:t>Deaths and Serious adverse events</w:t>
      </w:r>
    </w:p>
    <w:p w14:paraId="7EB52BA0" w14:textId="54F9101C" w:rsidR="009F2FBC" w:rsidRPr="0085721C" w:rsidRDefault="00610926" w:rsidP="0085721C">
      <w:r w:rsidRPr="0085721C">
        <w:t xml:space="preserve">In </w:t>
      </w:r>
      <w:r w:rsidR="0085721C">
        <w:t xml:space="preserve">the three </w:t>
      </w:r>
      <w:r w:rsidRPr="0085721C">
        <w:t>P</w:t>
      </w:r>
      <w:r w:rsidR="009F2FBC" w:rsidRPr="0085721C">
        <w:t xml:space="preserve">hase III studies six and three cases of deaths were reported in benralizumab </w:t>
      </w:r>
      <w:r w:rsidR="00EC7E2D" w:rsidRPr="0085721C">
        <w:t>Q8W</w:t>
      </w:r>
      <w:r w:rsidR="009F2FBC" w:rsidRPr="0085721C">
        <w:t xml:space="preserve"> and placebo arms</w:t>
      </w:r>
      <w:r w:rsidR="00EC7E2D" w:rsidRPr="0085721C">
        <w:t>,</w:t>
      </w:r>
      <w:r w:rsidR="009F2FBC" w:rsidRPr="0085721C">
        <w:t xml:space="preserve"> respectively. One fatal case (53 year old male) of pneumonia as TEAE was reported in benralizumab arm in </w:t>
      </w:r>
      <w:r w:rsidR="00AC2D04">
        <w:t xml:space="preserve">the </w:t>
      </w:r>
      <w:r w:rsidR="009F2FBC" w:rsidRPr="0085721C">
        <w:t xml:space="preserve">ZONDA </w:t>
      </w:r>
      <w:r w:rsidR="00AC2D04">
        <w:t>trial</w:t>
      </w:r>
      <w:r w:rsidR="009F2FBC" w:rsidRPr="0085721C">
        <w:t>, which was determined by PI as related to study drug. No clear pattern of events that led to death was noted.</w:t>
      </w:r>
    </w:p>
    <w:p w14:paraId="0757A2FF" w14:textId="766A43C4" w:rsidR="009F2FBC" w:rsidRDefault="009F2FBC" w:rsidP="0085721C">
      <w:r w:rsidRPr="0085721C">
        <w:t xml:space="preserve">Overall, the incidence of SAE was comparable across treatment arms with 95 (11.6%) and 119 (14%) events reported in benralizumab arm and placebo arms respectively. In </w:t>
      </w:r>
      <w:r w:rsidR="00AC2D04">
        <w:t xml:space="preserve">the </w:t>
      </w:r>
      <w:r w:rsidRPr="0085721C">
        <w:t>SIROCCO, CALIMA and ZONDA</w:t>
      </w:r>
      <w:r w:rsidR="00AC2D04">
        <w:t xml:space="preserve"> trials</w:t>
      </w:r>
      <w:r w:rsidRPr="0085721C">
        <w:t>, the incidence and types of SAEs were comparable across treatment arms (Table</w:t>
      </w:r>
      <w:r w:rsidR="006A44F0" w:rsidRPr="0085721C">
        <w:t xml:space="preserve"> 21</w:t>
      </w:r>
      <w:r w:rsidRPr="0085721C">
        <w:t>) and generally, lower than placebo. The most common SAEs were asthma and pneumonia</w:t>
      </w:r>
      <w:r w:rsidR="00610926" w:rsidRPr="0085721C">
        <w:t>.</w:t>
      </w:r>
    </w:p>
    <w:p w14:paraId="4814CC81" w14:textId="01640541" w:rsidR="00CF0D26" w:rsidRDefault="00CF0D26" w:rsidP="00F511F9">
      <w:pPr>
        <w:pStyle w:val="TableTitle"/>
        <w:tabs>
          <w:tab w:val="left" w:pos="2410"/>
        </w:tabs>
      </w:pPr>
      <w:bookmarkStart w:id="233" w:name="Table_8_3_3_3_1"/>
      <w:r w:rsidRPr="006A44F0">
        <w:lastRenderedPageBreak/>
        <w:t xml:space="preserve">Table </w:t>
      </w:r>
      <w:bookmarkEnd w:id="233"/>
      <w:r w:rsidR="006A44F0">
        <w:t xml:space="preserve">21: </w:t>
      </w:r>
      <w:r w:rsidRPr="00D47D66">
        <w:t xml:space="preserve">Most common SAEs (PT frequency of ≥ patients in any group) during the on-treatment period by </w:t>
      </w:r>
      <w:r w:rsidR="00F511F9">
        <w:t>System Order Class</w:t>
      </w:r>
      <w:r w:rsidR="00F511F9" w:rsidRPr="00D47D66">
        <w:t xml:space="preserve"> </w:t>
      </w:r>
      <w:r w:rsidR="00F511F9">
        <w:t>(</w:t>
      </w:r>
      <w:r w:rsidRPr="00D47D66">
        <w:t>SOC</w:t>
      </w:r>
      <w:r w:rsidR="00F511F9">
        <w:t>)</w:t>
      </w:r>
      <w:r w:rsidRPr="00D47D66">
        <w:t xml:space="preserve"> and </w:t>
      </w:r>
      <w:r w:rsidR="00AC2D04">
        <w:t>Preferred T</w:t>
      </w:r>
      <w:r w:rsidR="00F511F9">
        <w:t>erm (</w:t>
      </w:r>
      <w:r w:rsidRPr="00D47D66">
        <w:t>PT</w:t>
      </w:r>
      <w:r w:rsidR="00F511F9">
        <w:t>)</w:t>
      </w:r>
      <w:r w:rsidRPr="00D47D66">
        <w:t xml:space="preserve"> (Safety analysis set)</w:t>
      </w:r>
    </w:p>
    <w:p w14:paraId="60F64FB9" w14:textId="77777777" w:rsidR="00CF0D26" w:rsidRPr="00CF0D26" w:rsidRDefault="00CF0D26" w:rsidP="00CF0D26">
      <w:r>
        <w:rPr>
          <w:noProof/>
          <w:lang w:eastAsia="en-AU"/>
        </w:rPr>
        <w:drawing>
          <wp:inline distT="0" distB="0" distL="0" distR="0" wp14:anchorId="6717E629" wp14:editId="1AE5A623">
            <wp:extent cx="5400040" cy="4498560"/>
            <wp:effectExtent l="0" t="0" r="0" b="0"/>
            <wp:docPr id="17" name="Picture 17" descr="Table 21: Most common SAEs (PT frequency of ≥ patients in any group) during the on-treatment period by SOC and P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4498560"/>
                    </a:xfrm>
                    <a:prstGeom prst="rect">
                      <a:avLst/>
                    </a:prstGeom>
                  </pic:spPr>
                </pic:pic>
              </a:graphicData>
            </a:graphic>
          </wp:inline>
        </w:drawing>
      </w:r>
    </w:p>
    <w:p w14:paraId="645D4465" w14:textId="73AEA193" w:rsidR="009F2FBC" w:rsidRPr="00E93DF4" w:rsidRDefault="009F2FBC" w:rsidP="00610926">
      <w:r w:rsidRPr="00C55AE5">
        <w:t xml:space="preserve">There were two and one new cases of malignancies in benralizumab arm and placebo arms respectively. There was no increased incidence of any one type of malignancy, as previously observed (skin cancer) in studies with </w:t>
      </w:r>
      <w:r w:rsidR="00AC2D04">
        <w:t>r</w:t>
      </w:r>
      <w:r w:rsidR="00AC2D04" w:rsidRPr="00C55AE5">
        <w:t>eslizumab</w:t>
      </w:r>
      <w:r w:rsidRPr="00C55AE5">
        <w:t xml:space="preserve">. New cases of malignancies were reported in benralizumab arm, one case each of meningioma and colon neoplasm was reported in </w:t>
      </w:r>
      <w:r w:rsidR="00AC2D04">
        <w:t xml:space="preserve">the </w:t>
      </w:r>
      <w:r w:rsidRPr="00C55AE5">
        <w:t xml:space="preserve">SIROCCO and CALIMA </w:t>
      </w:r>
      <w:r w:rsidR="00AC2D04">
        <w:t>trials</w:t>
      </w:r>
      <w:r w:rsidR="00AC2D04" w:rsidRPr="00C55AE5">
        <w:t xml:space="preserve"> </w:t>
      </w:r>
      <w:r w:rsidRPr="00C55AE5">
        <w:t xml:space="preserve">respectively. In </w:t>
      </w:r>
      <w:r w:rsidR="00AC2D04">
        <w:t xml:space="preserve">the </w:t>
      </w:r>
      <w:r w:rsidRPr="00C55AE5">
        <w:t>CALIMA</w:t>
      </w:r>
      <w:r w:rsidR="00AC2D04">
        <w:t xml:space="preserve"> trial</w:t>
      </w:r>
      <w:r w:rsidRPr="00C55AE5">
        <w:t xml:space="preserve">, an event of breast cancer was reported in placebo arm. These events led to treatment discontinuation. The duration of studies is not considered adequate to examine whether these events are related to benralizumab. It is also important to note that </w:t>
      </w:r>
      <w:r w:rsidR="005236C7" w:rsidRPr="00C55AE5">
        <w:t>a malignancy with &lt; 5 years of remission was</w:t>
      </w:r>
      <w:r w:rsidRPr="00C55AE5">
        <w:t xml:space="preserve"> an exclusion criterion in these studies.</w:t>
      </w:r>
    </w:p>
    <w:p w14:paraId="6915CEE0" w14:textId="0D79776C" w:rsidR="009F2FBC" w:rsidRDefault="009F2FBC" w:rsidP="009F2FBC">
      <w:pPr>
        <w:pStyle w:val="TableTitle"/>
      </w:pPr>
      <w:r>
        <w:t xml:space="preserve">Table </w:t>
      </w:r>
      <w:r w:rsidR="006A44F0">
        <w:t>22</w:t>
      </w:r>
      <w:r>
        <w:t xml:space="preserve">: Overview of safety outcomes in </w:t>
      </w:r>
      <w:r w:rsidR="00AC2D04">
        <w:t xml:space="preserve">the </w:t>
      </w:r>
      <w:r>
        <w:t xml:space="preserve">SIROCCO and CALIMA </w:t>
      </w:r>
      <w:r w:rsidR="00AC2D04">
        <w:t xml:space="preserve">trials </w:t>
      </w:r>
      <w:r>
        <w:t>(Integrated safety analysis)</w:t>
      </w:r>
    </w:p>
    <w:tbl>
      <w:tblPr>
        <w:tblStyle w:val="TableTGAblue"/>
        <w:tblW w:w="0" w:type="auto"/>
        <w:tblLook w:val="04A0" w:firstRow="1" w:lastRow="0" w:firstColumn="1" w:lastColumn="0" w:noHBand="0" w:noVBand="1"/>
      </w:tblPr>
      <w:tblGrid>
        <w:gridCol w:w="2623"/>
        <w:gridCol w:w="2623"/>
        <w:gridCol w:w="2623"/>
      </w:tblGrid>
      <w:tr w:rsidR="009F2FBC" w14:paraId="3684DE2C" w14:textId="77777777" w:rsidTr="009F2FBC">
        <w:trPr>
          <w:cnfStyle w:val="100000000000" w:firstRow="1" w:lastRow="0" w:firstColumn="0" w:lastColumn="0" w:oddVBand="0" w:evenVBand="0" w:oddHBand="0" w:evenHBand="0" w:firstRowFirstColumn="0" w:firstRowLastColumn="0" w:lastRowFirstColumn="0" w:lastRowLastColumn="0"/>
          <w:trHeight w:val="540"/>
        </w:trPr>
        <w:tc>
          <w:tcPr>
            <w:tcW w:w="2623" w:type="dxa"/>
          </w:tcPr>
          <w:p w14:paraId="04AE4EB4" w14:textId="77777777" w:rsidR="009F2FBC" w:rsidRDefault="009F2FBC" w:rsidP="00664BEB">
            <w:pPr>
              <w:spacing w:before="0" w:after="0" w:line="240" w:lineRule="auto"/>
              <w:contextualSpacing/>
            </w:pPr>
            <w:r>
              <w:t>AE category</w:t>
            </w:r>
          </w:p>
        </w:tc>
        <w:tc>
          <w:tcPr>
            <w:tcW w:w="2623" w:type="dxa"/>
          </w:tcPr>
          <w:p w14:paraId="6C3D94E7" w14:textId="77777777" w:rsidR="00AC2D04" w:rsidRDefault="009F2FBC" w:rsidP="00664BEB">
            <w:pPr>
              <w:spacing w:before="0" w:after="0" w:line="240" w:lineRule="auto"/>
              <w:contextualSpacing/>
            </w:pPr>
            <w:r>
              <w:t>Benralizumab Q8W</w:t>
            </w:r>
          </w:p>
          <w:p w14:paraId="2E0E1560" w14:textId="07E716D2" w:rsidR="009F2FBC" w:rsidRDefault="009F2FBC" w:rsidP="00664BEB">
            <w:pPr>
              <w:spacing w:before="0" w:after="0" w:line="240" w:lineRule="auto"/>
              <w:contextualSpacing/>
            </w:pPr>
            <w:r>
              <w:t>(N</w:t>
            </w:r>
            <w:r w:rsidR="00AC2D04">
              <w:t xml:space="preserve"> </w:t>
            </w:r>
            <w:r>
              <w:t>=</w:t>
            </w:r>
            <w:r w:rsidR="00AC2D04">
              <w:t xml:space="preserve"> </w:t>
            </w:r>
            <w:r>
              <w:t>822)</w:t>
            </w:r>
          </w:p>
        </w:tc>
        <w:tc>
          <w:tcPr>
            <w:tcW w:w="2623" w:type="dxa"/>
          </w:tcPr>
          <w:p w14:paraId="51261B2F" w14:textId="77777777" w:rsidR="00AC2D04" w:rsidRDefault="009F2FBC" w:rsidP="00664BEB">
            <w:pPr>
              <w:spacing w:before="0" w:after="0" w:line="240" w:lineRule="auto"/>
              <w:contextualSpacing/>
            </w:pPr>
            <w:r>
              <w:t>Placebo</w:t>
            </w:r>
          </w:p>
          <w:p w14:paraId="6D56D060" w14:textId="47632CB0" w:rsidR="009F2FBC" w:rsidRDefault="009F2FBC" w:rsidP="00664BEB">
            <w:pPr>
              <w:spacing w:before="0" w:after="0" w:line="240" w:lineRule="auto"/>
              <w:contextualSpacing/>
            </w:pPr>
            <w:r>
              <w:t>(N</w:t>
            </w:r>
            <w:r w:rsidR="00AC2D04">
              <w:t xml:space="preserve"> </w:t>
            </w:r>
            <w:r>
              <w:t>=</w:t>
            </w:r>
            <w:r w:rsidR="00AC2D04">
              <w:t xml:space="preserve"> </w:t>
            </w:r>
            <w:r>
              <w:t>847)</w:t>
            </w:r>
          </w:p>
        </w:tc>
      </w:tr>
      <w:tr w:rsidR="009F2FBC" w14:paraId="33E11614" w14:textId="77777777" w:rsidTr="009F2FBC">
        <w:trPr>
          <w:trHeight w:val="274"/>
        </w:trPr>
        <w:tc>
          <w:tcPr>
            <w:tcW w:w="2623" w:type="dxa"/>
          </w:tcPr>
          <w:p w14:paraId="224C1C06" w14:textId="77777777" w:rsidR="009F2FBC" w:rsidRDefault="009F2FBC" w:rsidP="00664BEB">
            <w:pPr>
              <w:spacing w:before="0" w:after="0" w:line="240" w:lineRule="auto"/>
              <w:contextualSpacing/>
            </w:pPr>
            <w:r>
              <w:t>AEs</w:t>
            </w:r>
          </w:p>
        </w:tc>
        <w:tc>
          <w:tcPr>
            <w:tcW w:w="2623" w:type="dxa"/>
          </w:tcPr>
          <w:p w14:paraId="5CDBC415" w14:textId="77777777" w:rsidR="009F2FBC" w:rsidRDefault="009F2FBC" w:rsidP="00664BEB">
            <w:pPr>
              <w:spacing w:before="0" w:after="0" w:line="240" w:lineRule="auto"/>
              <w:contextualSpacing/>
            </w:pPr>
            <w:r>
              <w:t>601 (73.1%)</w:t>
            </w:r>
          </w:p>
        </w:tc>
        <w:tc>
          <w:tcPr>
            <w:tcW w:w="2623" w:type="dxa"/>
          </w:tcPr>
          <w:p w14:paraId="75FE326A" w14:textId="77777777" w:rsidR="009F2FBC" w:rsidRDefault="009F2FBC" w:rsidP="00664BEB">
            <w:pPr>
              <w:spacing w:before="0" w:after="0" w:line="240" w:lineRule="auto"/>
              <w:contextualSpacing/>
            </w:pPr>
            <w:r>
              <w:t>653 (77.1%)</w:t>
            </w:r>
          </w:p>
        </w:tc>
      </w:tr>
      <w:tr w:rsidR="009F2FBC" w14:paraId="45761269" w14:textId="77777777" w:rsidTr="009F2FBC">
        <w:trPr>
          <w:trHeight w:val="274"/>
        </w:trPr>
        <w:tc>
          <w:tcPr>
            <w:tcW w:w="2623" w:type="dxa"/>
          </w:tcPr>
          <w:p w14:paraId="5D18C39F" w14:textId="77777777" w:rsidR="009F2FBC" w:rsidRDefault="009F2FBC" w:rsidP="00664BEB">
            <w:pPr>
              <w:spacing w:before="0" w:after="0" w:line="240" w:lineRule="auto"/>
              <w:contextualSpacing/>
            </w:pPr>
            <w:r>
              <w:t xml:space="preserve">SAEs </w:t>
            </w:r>
          </w:p>
        </w:tc>
        <w:tc>
          <w:tcPr>
            <w:tcW w:w="2623" w:type="dxa"/>
          </w:tcPr>
          <w:p w14:paraId="1A159A1C" w14:textId="77777777" w:rsidR="009F2FBC" w:rsidRDefault="009F2FBC" w:rsidP="00664BEB">
            <w:pPr>
              <w:spacing w:before="0" w:after="0" w:line="240" w:lineRule="auto"/>
              <w:contextualSpacing/>
            </w:pPr>
            <w:r>
              <w:t>95 (11.6%)</w:t>
            </w:r>
          </w:p>
        </w:tc>
        <w:tc>
          <w:tcPr>
            <w:tcW w:w="2623" w:type="dxa"/>
          </w:tcPr>
          <w:p w14:paraId="49C5D480" w14:textId="77777777" w:rsidR="009F2FBC" w:rsidRDefault="009F2FBC" w:rsidP="00664BEB">
            <w:pPr>
              <w:spacing w:before="0" w:after="0" w:line="240" w:lineRule="auto"/>
              <w:contextualSpacing/>
            </w:pPr>
            <w:r>
              <w:t>119 (14.0%)</w:t>
            </w:r>
          </w:p>
        </w:tc>
      </w:tr>
      <w:tr w:rsidR="009F2FBC" w14:paraId="4BEF879D" w14:textId="77777777" w:rsidTr="009F2FBC">
        <w:trPr>
          <w:trHeight w:val="284"/>
        </w:trPr>
        <w:tc>
          <w:tcPr>
            <w:tcW w:w="2623" w:type="dxa"/>
          </w:tcPr>
          <w:p w14:paraId="5DAD0CCD" w14:textId="77777777" w:rsidR="009F2FBC" w:rsidRDefault="009F2FBC" w:rsidP="00664BEB">
            <w:pPr>
              <w:spacing w:before="0" w:after="0" w:line="240" w:lineRule="auto"/>
              <w:contextualSpacing/>
            </w:pPr>
            <w:r>
              <w:t>Deaths</w:t>
            </w:r>
          </w:p>
        </w:tc>
        <w:tc>
          <w:tcPr>
            <w:tcW w:w="2623" w:type="dxa"/>
          </w:tcPr>
          <w:p w14:paraId="52D0F953" w14:textId="77777777" w:rsidR="009F2FBC" w:rsidRDefault="009F2FBC" w:rsidP="00664BEB">
            <w:pPr>
              <w:spacing w:before="0" w:after="0" w:line="240" w:lineRule="auto"/>
              <w:contextualSpacing/>
            </w:pPr>
            <w:r>
              <w:t>4 (0.5%)</w:t>
            </w:r>
          </w:p>
        </w:tc>
        <w:tc>
          <w:tcPr>
            <w:tcW w:w="2623" w:type="dxa"/>
          </w:tcPr>
          <w:p w14:paraId="35F9D1B9" w14:textId="77777777" w:rsidR="009F2FBC" w:rsidRDefault="009F2FBC" w:rsidP="00664BEB">
            <w:pPr>
              <w:spacing w:before="0" w:after="0" w:line="240" w:lineRule="auto"/>
              <w:contextualSpacing/>
            </w:pPr>
            <w:r>
              <w:t>3 (0.4%)</w:t>
            </w:r>
          </w:p>
        </w:tc>
      </w:tr>
    </w:tbl>
    <w:p w14:paraId="3F3270F8" w14:textId="77777777" w:rsidR="009F2FBC" w:rsidRDefault="009F2FBC" w:rsidP="00610926">
      <w:pPr>
        <w:pStyle w:val="Heading6"/>
      </w:pPr>
      <w:r w:rsidRPr="00D547CD">
        <w:t>Infections and infestations</w:t>
      </w:r>
    </w:p>
    <w:p w14:paraId="0D24B942" w14:textId="42B630D5" w:rsidR="009F2FBC" w:rsidRPr="00E93DF4" w:rsidRDefault="009F2FBC" w:rsidP="00610926">
      <w:r w:rsidRPr="00E93DF4">
        <w:t>The overall incidence of infections was comparable across treatment arms and placebo at around 50% patients.</w:t>
      </w:r>
      <w:r w:rsidR="00F971ED">
        <w:t xml:space="preserve"> </w:t>
      </w:r>
      <w:r w:rsidRPr="00E93DF4">
        <w:t>There was a low incidence of infe</w:t>
      </w:r>
      <w:r w:rsidR="00CF0D26">
        <w:t>ctions and infestations (around </w:t>
      </w:r>
      <w:r w:rsidRPr="00E93DF4">
        <w:t xml:space="preserve">2%) that were reported as SAEs across treatment arms, compared to placebo in </w:t>
      </w:r>
      <w:r w:rsidR="008A4A1D" w:rsidRPr="00C55AE5">
        <w:lastRenderedPageBreak/>
        <w:t>Phase</w:t>
      </w:r>
      <w:r w:rsidRPr="00C55AE5">
        <w:t xml:space="preserve"> III studies. In </w:t>
      </w:r>
      <w:r w:rsidR="00AC2D04">
        <w:t xml:space="preserve">the </w:t>
      </w:r>
      <w:r w:rsidRPr="00C55AE5">
        <w:t>SIROCCO</w:t>
      </w:r>
      <w:r w:rsidR="00AC2D04">
        <w:t xml:space="preserve"> trial</w:t>
      </w:r>
      <w:r w:rsidRPr="00C55AE5">
        <w:t xml:space="preserve"> (0.4% </w:t>
      </w:r>
      <w:r w:rsidR="00CF0D26" w:rsidRPr="00C55AE5">
        <w:t>versus</w:t>
      </w:r>
      <w:r w:rsidRPr="00C55AE5">
        <w:t xml:space="preserve"> 0.7%) and </w:t>
      </w:r>
      <w:r w:rsidR="00AC2D04">
        <w:t xml:space="preserve">the </w:t>
      </w:r>
      <w:r w:rsidRPr="00C55AE5">
        <w:t xml:space="preserve">CALIMA </w:t>
      </w:r>
      <w:r w:rsidR="00AC2D04">
        <w:t xml:space="preserve">trial </w:t>
      </w:r>
      <w:r w:rsidRPr="00C55AE5">
        <w:t xml:space="preserve">(0 </w:t>
      </w:r>
      <w:r w:rsidR="00CF0D26" w:rsidRPr="00C55AE5">
        <w:t>versus</w:t>
      </w:r>
      <w:r w:rsidRPr="00C55AE5">
        <w:t xml:space="preserve"> 0.7), the percentage of patients with bacterial pneumonia was lower with when compared to placebo. One case of herpes zoster was reported in the benralizumab </w:t>
      </w:r>
      <w:r w:rsidR="00AC2D04">
        <w:t>h</w:t>
      </w:r>
      <w:r w:rsidR="00AC2D04" w:rsidRPr="00C55AE5">
        <w:t xml:space="preserve">erpes </w:t>
      </w:r>
      <w:r w:rsidRPr="00C55AE5">
        <w:t>zoster infections have been reported in previous studies with anti-IL5.</w:t>
      </w:r>
      <w:r w:rsidR="00F971ED" w:rsidRPr="00C55AE5">
        <w:t xml:space="preserve"> </w:t>
      </w:r>
      <w:r w:rsidRPr="00C55AE5">
        <w:t>Helminth infestations were not reported.</w:t>
      </w:r>
      <w:r w:rsidR="00F971ED" w:rsidRPr="00C55AE5">
        <w:t xml:space="preserve"> </w:t>
      </w:r>
      <w:r w:rsidRPr="00C55AE5">
        <w:t>However, patients with history of helminth infections were excluded from these studies.</w:t>
      </w:r>
    </w:p>
    <w:p w14:paraId="54E3C050" w14:textId="77777777" w:rsidR="009F2FBC" w:rsidRPr="00466D38" w:rsidRDefault="009F2FBC" w:rsidP="00610926">
      <w:pPr>
        <w:pStyle w:val="Heading6"/>
      </w:pPr>
      <w:r w:rsidRPr="00466D38">
        <w:t>Laboratory tests</w:t>
      </w:r>
    </w:p>
    <w:p w14:paraId="4055A4C3" w14:textId="627C2D80" w:rsidR="009F2FBC" w:rsidRPr="00610926" w:rsidRDefault="00610926" w:rsidP="00610926">
      <w:r>
        <w:t xml:space="preserve">A 30 to </w:t>
      </w:r>
      <w:r w:rsidR="009F2FBC" w:rsidRPr="00E93DF4">
        <w:t xml:space="preserve">50% reduction in basophil count was noted in </w:t>
      </w:r>
      <w:r>
        <w:t>benralizumab arms across Phase III</w:t>
      </w:r>
      <w:r w:rsidR="009F2FBC" w:rsidRPr="00E93DF4">
        <w:t xml:space="preserve"> studies. In </w:t>
      </w:r>
      <w:r w:rsidR="00AC2D04">
        <w:t xml:space="preserve">the </w:t>
      </w:r>
      <w:r w:rsidR="009F2FBC" w:rsidRPr="00E93DF4">
        <w:t xml:space="preserve">ZONDA </w:t>
      </w:r>
      <w:r w:rsidR="00AC2D04">
        <w:t>trial</w:t>
      </w:r>
      <w:r w:rsidR="009F2FBC" w:rsidRPr="00E93DF4">
        <w:t xml:space="preserve">, white cell count </w:t>
      </w:r>
      <w:r w:rsidR="009F2FBC">
        <w:t xml:space="preserve">was </w:t>
      </w:r>
      <w:r w:rsidR="009F2FBC" w:rsidRPr="00E93DF4">
        <w:t>also reduced by 25% in benralizumab groups</w:t>
      </w:r>
      <w:r w:rsidR="00E14798">
        <w:t>.</w:t>
      </w:r>
    </w:p>
    <w:p w14:paraId="309EB5AA" w14:textId="77777777" w:rsidR="009F2FBC" w:rsidRPr="00466D38" w:rsidRDefault="009F2FBC" w:rsidP="00610926">
      <w:pPr>
        <w:pStyle w:val="Heading6"/>
      </w:pPr>
      <w:r w:rsidRPr="007566E8">
        <w:rPr>
          <w:rStyle w:val="Heading4Char"/>
        </w:rPr>
        <w:t>Immunogenicity</w:t>
      </w:r>
    </w:p>
    <w:p w14:paraId="53AC1904" w14:textId="50EA6456" w:rsidR="008E7846" w:rsidRDefault="00610926" w:rsidP="008E7846">
      <w:r>
        <w:t>Across Phase III</w:t>
      </w:r>
      <w:r w:rsidR="009F2FBC" w:rsidRPr="00E93DF4">
        <w:t xml:space="preserve"> studies, incidence of hypersensitivity </w:t>
      </w:r>
      <w:r w:rsidR="009F2FBC">
        <w:t>was similar with benralizumab to placebo</w:t>
      </w:r>
      <w:r w:rsidR="009F2FBC" w:rsidRPr="00E93DF4">
        <w:t>. Injection site reactions were reported in around 3% of patients</w:t>
      </w:r>
      <w:r w:rsidR="009F2FBC">
        <w:t>.</w:t>
      </w:r>
      <w:r w:rsidR="009F2FBC" w:rsidRPr="00E93DF4">
        <w:t xml:space="preserve"> </w:t>
      </w:r>
      <w:r w:rsidR="009F2FBC">
        <w:t>Overall</w:t>
      </w:r>
      <w:r w:rsidR="009F2FBC" w:rsidRPr="00E93DF4">
        <w:t xml:space="preserve"> </w:t>
      </w:r>
      <w:r w:rsidR="00AC2D04">
        <w:t>i</w:t>
      </w:r>
      <w:r w:rsidR="009F2FBC" w:rsidRPr="00E93DF4">
        <w:t>ncidence of ADAs and neutralising antibodies were reported in around 10% patients</w:t>
      </w:r>
      <w:r w:rsidR="009F2FBC">
        <w:t xml:space="preserve"> in benralizumab arm, which is comparable to previously approved anti IL-5 </w:t>
      </w:r>
      <w:r w:rsidR="005236C7">
        <w:t>monoclonal antibodies (</w:t>
      </w:r>
      <w:proofErr w:type="spellStart"/>
      <w:r w:rsidR="009F2FBC">
        <w:t>mAbs</w:t>
      </w:r>
      <w:proofErr w:type="spellEnd"/>
      <w:r w:rsidR="005236C7">
        <w:t>)</w:t>
      </w:r>
      <w:r w:rsidR="009F2FBC" w:rsidRPr="00E93DF4">
        <w:t xml:space="preserve">. </w:t>
      </w:r>
      <w:r w:rsidR="009F2FBC">
        <w:t>No cases of anaphylaxis were reported.</w:t>
      </w:r>
      <w:bookmarkEnd w:id="232"/>
    </w:p>
    <w:p w14:paraId="0C489BA1" w14:textId="77777777" w:rsidR="008E7846" w:rsidRDefault="00AA0ED0" w:rsidP="008E7846">
      <w:pPr>
        <w:pStyle w:val="Heading3"/>
      </w:pPr>
      <w:bookmarkStart w:id="234" w:name="_Toc247691531"/>
      <w:bookmarkStart w:id="235" w:name="_Toc314842515"/>
      <w:bookmarkStart w:id="236" w:name="_Toc1653605"/>
      <w:bookmarkStart w:id="237" w:name="_Toc196046505"/>
      <w:bookmarkStart w:id="238" w:name="_Toc196046949"/>
      <w:r>
        <w:t>Risk-benefit a</w:t>
      </w:r>
      <w:r w:rsidR="008E7846">
        <w:t>nalysis</w:t>
      </w:r>
      <w:bookmarkEnd w:id="234"/>
      <w:bookmarkEnd w:id="235"/>
      <w:bookmarkEnd w:id="236"/>
    </w:p>
    <w:p w14:paraId="5887158D" w14:textId="4B18131B" w:rsidR="00D23139" w:rsidRPr="00610926" w:rsidRDefault="00CF0D26" w:rsidP="00610926">
      <w:pPr>
        <w:pStyle w:val="Heading4"/>
      </w:pPr>
      <w:r>
        <w:t>Delegate</w:t>
      </w:r>
      <w:r w:rsidR="00D23139" w:rsidRPr="00610926">
        <w:t>’s considerations</w:t>
      </w:r>
    </w:p>
    <w:p w14:paraId="5152A68D" w14:textId="77777777" w:rsidR="009F2FBC" w:rsidRPr="008175D4" w:rsidRDefault="009F2FBC" w:rsidP="00610926">
      <w:pPr>
        <w:pStyle w:val="Heading5"/>
      </w:pPr>
      <w:r w:rsidRPr="00E87023">
        <w:t>Efficacy</w:t>
      </w:r>
    </w:p>
    <w:p w14:paraId="6ACC5160" w14:textId="77777777" w:rsidR="00596091" w:rsidRDefault="009F2FBC" w:rsidP="00610926">
      <w:r w:rsidRPr="00E93DF4">
        <w:t xml:space="preserve">The </w:t>
      </w:r>
      <w:r>
        <w:t xml:space="preserve">studies submitted </w:t>
      </w:r>
      <w:r w:rsidRPr="00E93DF4">
        <w:t xml:space="preserve">demonstrated benefits of benralizumab in the treatment of asthmatics with moderate-severe disease severity </w:t>
      </w:r>
      <w:r>
        <w:t xml:space="preserve">and a blood </w:t>
      </w:r>
      <w:r w:rsidR="00CF0D26">
        <w:t>eosinophil</w:t>
      </w:r>
      <w:r>
        <w:t xml:space="preserve"> count </w:t>
      </w:r>
      <w:proofErr w:type="gramStart"/>
      <w:r>
        <w:t xml:space="preserve">of </w:t>
      </w:r>
      <w:r w:rsidR="00CF0D26">
        <w:t>≥ 300 </w:t>
      </w:r>
      <w:r>
        <w:t xml:space="preserve">cells/µL </w:t>
      </w:r>
      <w:r w:rsidRPr="00E93DF4">
        <w:t>for the following outcomes</w:t>
      </w:r>
      <w:proofErr w:type="gramEnd"/>
      <w:r w:rsidR="00596091">
        <w:t>:</w:t>
      </w:r>
    </w:p>
    <w:p w14:paraId="3B5ACE21" w14:textId="459CDEEF" w:rsidR="009F2FBC" w:rsidRPr="00610926" w:rsidRDefault="009F2FBC" w:rsidP="00610926">
      <w:pPr>
        <w:pStyle w:val="ListBullet"/>
      </w:pPr>
      <w:r w:rsidRPr="00E93DF4">
        <w:t>Asthmatics with moderate-severe disease s</w:t>
      </w:r>
      <w:r w:rsidR="00CF0D26">
        <w:t xml:space="preserve">everity were able to achieve 30 to </w:t>
      </w:r>
      <w:r w:rsidRPr="00E93DF4">
        <w:t xml:space="preserve">50% </w:t>
      </w:r>
      <w:r w:rsidRPr="00CF0D26">
        <w:t>reduction in exacerbations</w:t>
      </w:r>
      <w:r w:rsidRPr="00E93DF4">
        <w:t xml:space="preserve"> across the studies. This is comparable to the reduction in rate of exacerbations observed in studies with mepolizumab and reslizumab. In </w:t>
      </w:r>
      <w:r w:rsidR="00AC2D04">
        <w:t xml:space="preserve">the </w:t>
      </w:r>
      <w:r w:rsidRPr="00E93DF4">
        <w:t>SIROCCO</w:t>
      </w:r>
      <w:r w:rsidR="00AC2D04">
        <w:t xml:space="preserve"> trial</w:t>
      </w:r>
      <w:r w:rsidRPr="00E93DF4">
        <w:t xml:space="preserve">, there was a 50% reduction in </w:t>
      </w:r>
      <w:r w:rsidR="005236C7">
        <w:t>‘</w:t>
      </w:r>
      <w:r w:rsidRPr="00E93DF4">
        <w:t>serious exacerbations</w:t>
      </w:r>
      <w:r w:rsidR="005236C7">
        <w:t>’</w:t>
      </w:r>
      <w:r w:rsidRPr="00E93DF4">
        <w:t xml:space="preserve"> that required hospitalisation</w:t>
      </w:r>
      <w:r w:rsidR="00E14798">
        <w:t>.</w:t>
      </w:r>
    </w:p>
    <w:p w14:paraId="25A2A460" w14:textId="2E216366" w:rsidR="009F2FBC" w:rsidRDefault="009F2FBC" w:rsidP="009F2FBC">
      <w:pPr>
        <w:pStyle w:val="TableTitle"/>
      </w:pPr>
      <w:r>
        <w:t>Table</w:t>
      </w:r>
      <w:r w:rsidR="006A44F0">
        <w:t xml:space="preserve"> 23</w:t>
      </w:r>
      <w:r>
        <w:t>: Comparison of annual exacerbation rate across efficacy studies</w:t>
      </w:r>
      <w:r w:rsidR="00AC2D04">
        <w:t>/trials</w:t>
      </w:r>
    </w:p>
    <w:tbl>
      <w:tblPr>
        <w:tblStyle w:val="TableTGAblue"/>
        <w:tblW w:w="0" w:type="auto"/>
        <w:tblLook w:val="04A0" w:firstRow="1" w:lastRow="0" w:firstColumn="1" w:lastColumn="0" w:noHBand="0" w:noVBand="1"/>
      </w:tblPr>
      <w:tblGrid>
        <w:gridCol w:w="1604"/>
        <w:gridCol w:w="1631"/>
        <w:gridCol w:w="1612"/>
        <w:gridCol w:w="1595"/>
      </w:tblGrid>
      <w:tr w:rsidR="009F2FBC" w:rsidRPr="009F2FBC" w14:paraId="01B9A2DB" w14:textId="77777777" w:rsidTr="002E7899">
        <w:trPr>
          <w:cnfStyle w:val="100000000000" w:firstRow="1" w:lastRow="0" w:firstColumn="0" w:lastColumn="0" w:oddVBand="0" w:evenVBand="0" w:oddHBand="0" w:evenHBand="0" w:firstRowFirstColumn="0" w:firstRowLastColumn="0" w:lastRowFirstColumn="0" w:lastRowLastColumn="0"/>
          <w:trHeight w:val="990"/>
        </w:trPr>
        <w:tc>
          <w:tcPr>
            <w:tcW w:w="1604" w:type="dxa"/>
          </w:tcPr>
          <w:p w14:paraId="6B88CF4A" w14:textId="77777777" w:rsidR="009F2FBC" w:rsidRPr="009F2FBC" w:rsidRDefault="009F2FBC" w:rsidP="009F2FBC">
            <w:pPr>
              <w:rPr>
                <w:sz w:val="20"/>
                <w:szCs w:val="20"/>
              </w:rPr>
            </w:pPr>
            <w:r w:rsidRPr="009F2FBC">
              <w:rPr>
                <w:sz w:val="20"/>
                <w:szCs w:val="20"/>
              </w:rPr>
              <w:t>Patient group</w:t>
            </w:r>
          </w:p>
        </w:tc>
        <w:tc>
          <w:tcPr>
            <w:tcW w:w="1631" w:type="dxa"/>
          </w:tcPr>
          <w:p w14:paraId="7C2CA8FF" w14:textId="77777777" w:rsidR="00AC2D04" w:rsidRDefault="009F2FBC" w:rsidP="009F2FBC">
            <w:pPr>
              <w:rPr>
                <w:sz w:val="20"/>
                <w:szCs w:val="20"/>
              </w:rPr>
            </w:pPr>
            <w:r w:rsidRPr="009F2FBC">
              <w:rPr>
                <w:sz w:val="20"/>
                <w:szCs w:val="20"/>
              </w:rPr>
              <w:t>SIROCCO</w:t>
            </w:r>
          </w:p>
          <w:p w14:paraId="7A85309B" w14:textId="0BE90344" w:rsidR="009F2FBC" w:rsidRPr="009F2FBC" w:rsidRDefault="009F2FBC" w:rsidP="009F2FBC">
            <w:pPr>
              <w:rPr>
                <w:sz w:val="20"/>
                <w:szCs w:val="20"/>
              </w:rPr>
            </w:pPr>
            <w:r w:rsidRPr="009F2FBC">
              <w:rPr>
                <w:sz w:val="20"/>
                <w:szCs w:val="20"/>
              </w:rPr>
              <w:t>(48 weeks)</w:t>
            </w:r>
          </w:p>
        </w:tc>
        <w:tc>
          <w:tcPr>
            <w:tcW w:w="1612" w:type="dxa"/>
          </w:tcPr>
          <w:p w14:paraId="51368F55" w14:textId="77777777" w:rsidR="00AC2D04" w:rsidRDefault="009F2FBC" w:rsidP="009F2FBC">
            <w:pPr>
              <w:rPr>
                <w:sz w:val="20"/>
                <w:szCs w:val="20"/>
              </w:rPr>
            </w:pPr>
            <w:r w:rsidRPr="009F2FBC">
              <w:rPr>
                <w:sz w:val="20"/>
                <w:szCs w:val="20"/>
              </w:rPr>
              <w:t>CALIMA</w:t>
            </w:r>
          </w:p>
          <w:p w14:paraId="62A6ABB5" w14:textId="6359ED14" w:rsidR="009F2FBC" w:rsidRPr="009F2FBC" w:rsidRDefault="009F2FBC" w:rsidP="009F2FBC">
            <w:pPr>
              <w:rPr>
                <w:sz w:val="20"/>
                <w:szCs w:val="20"/>
              </w:rPr>
            </w:pPr>
            <w:r w:rsidRPr="009F2FBC">
              <w:rPr>
                <w:sz w:val="20"/>
                <w:szCs w:val="20"/>
              </w:rPr>
              <w:t>(56 weeks)</w:t>
            </w:r>
          </w:p>
        </w:tc>
        <w:tc>
          <w:tcPr>
            <w:tcW w:w="1595" w:type="dxa"/>
          </w:tcPr>
          <w:p w14:paraId="51EEFB19" w14:textId="77777777" w:rsidR="00AC2D04" w:rsidRDefault="009F2FBC" w:rsidP="009F2FBC">
            <w:pPr>
              <w:rPr>
                <w:sz w:val="20"/>
                <w:szCs w:val="20"/>
              </w:rPr>
            </w:pPr>
            <w:r w:rsidRPr="009F2FBC">
              <w:rPr>
                <w:sz w:val="20"/>
                <w:szCs w:val="20"/>
              </w:rPr>
              <w:t>ZONDA</w:t>
            </w:r>
          </w:p>
          <w:p w14:paraId="2F163345" w14:textId="3AD9D113" w:rsidR="009F2FBC" w:rsidRPr="009F2FBC" w:rsidRDefault="009F2FBC" w:rsidP="00AC2D04">
            <w:pPr>
              <w:ind w:left="0"/>
              <w:rPr>
                <w:sz w:val="20"/>
                <w:szCs w:val="20"/>
              </w:rPr>
            </w:pPr>
            <w:r w:rsidRPr="009F2FBC">
              <w:rPr>
                <w:sz w:val="20"/>
                <w:szCs w:val="20"/>
              </w:rPr>
              <w:t>(24</w:t>
            </w:r>
            <w:r w:rsidR="00AC2D04">
              <w:rPr>
                <w:sz w:val="20"/>
                <w:szCs w:val="20"/>
              </w:rPr>
              <w:t> </w:t>
            </w:r>
            <w:r w:rsidRPr="009F2FBC">
              <w:rPr>
                <w:sz w:val="20"/>
                <w:szCs w:val="20"/>
              </w:rPr>
              <w:t>weeks)</w:t>
            </w:r>
          </w:p>
        </w:tc>
      </w:tr>
      <w:tr w:rsidR="009F2FBC" w:rsidRPr="009F2FBC" w14:paraId="073B30E6" w14:textId="77777777" w:rsidTr="009F2FBC">
        <w:trPr>
          <w:trHeight w:val="256"/>
        </w:trPr>
        <w:tc>
          <w:tcPr>
            <w:tcW w:w="1604" w:type="dxa"/>
          </w:tcPr>
          <w:p w14:paraId="49A9554B" w14:textId="77777777" w:rsidR="009F2FBC" w:rsidRPr="009F2FBC" w:rsidRDefault="009F2FBC" w:rsidP="009F2FBC">
            <w:pPr>
              <w:rPr>
                <w:sz w:val="20"/>
                <w:szCs w:val="20"/>
              </w:rPr>
            </w:pPr>
            <w:r w:rsidRPr="009F2FBC">
              <w:rPr>
                <w:sz w:val="20"/>
                <w:szCs w:val="20"/>
              </w:rPr>
              <w:t>Q8W</w:t>
            </w:r>
          </w:p>
        </w:tc>
        <w:tc>
          <w:tcPr>
            <w:tcW w:w="1631" w:type="dxa"/>
          </w:tcPr>
          <w:p w14:paraId="0039FEC3" w14:textId="77777777" w:rsidR="009F2FBC" w:rsidRPr="009F2FBC" w:rsidRDefault="009F2FBC" w:rsidP="009F2FBC">
            <w:pPr>
              <w:rPr>
                <w:sz w:val="20"/>
                <w:szCs w:val="20"/>
              </w:rPr>
            </w:pPr>
            <w:r w:rsidRPr="009F2FBC">
              <w:rPr>
                <w:sz w:val="20"/>
                <w:szCs w:val="20"/>
              </w:rPr>
              <w:t>0.66</w:t>
            </w:r>
          </w:p>
        </w:tc>
        <w:tc>
          <w:tcPr>
            <w:tcW w:w="1612" w:type="dxa"/>
          </w:tcPr>
          <w:p w14:paraId="4BEF2128" w14:textId="77777777" w:rsidR="009F2FBC" w:rsidRPr="009F2FBC" w:rsidRDefault="009F2FBC" w:rsidP="009F2FBC">
            <w:pPr>
              <w:rPr>
                <w:sz w:val="20"/>
                <w:szCs w:val="20"/>
              </w:rPr>
            </w:pPr>
            <w:r w:rsidRPr="009F2FBC">
              <w:rPr>
                <w:sz w:val="20"/>
                <w:szCs w:val="20"/>
              </w:rPr>
              <w:t>0.6</w:t>
            </w:r>
          </w:p>
        </w:tc>
        <w:tc>
          <w:tcPr>
            <w:tcW w:w="1595" w:type="dxa"/>
          </w:tcPr>
          <w:p w14:paraId="2FD7DCB7" w14:textId="77777777" w:rsidR="009F2FBC" w:rsidRPr="009F2FBC" w:rsidRDefault="009F2FBC" w:rsidP="009F2FBC">
            <w:pPr>
              <w:rPr>
                <w:sz w:val="20"/>
                <w:szCs w:val="20"/>
              </w:rPr>
            </w:pPr>
            <w:r w:rsidRPr="009F2FBC">
              <w:rPr>
                <w:sz w:val="20"/>
                <w:szCs w:val="20"/>
              </w:rPr>
              <w:t>0.54</w:t>
            </w:r>
          </w:p>
        </w:tc>
      </w:tr>
      <w:tr w:rsidR="009F2FBC" w:rsidRPr="009F2FBC" w14:paraId="2E42CBB3" w14:textId="77777777" w:rsidTr="009F2FBC">
        <w:trPr>
          <w:trHeight w:val="92"/>
        </w:trPr>
        <w:tc>
          <w:tcPr>
            <w:tcW w:w="1604" w:type="dxa"/>
          </w:tcPr>
          <w:p w14:paraId="04CFA7EC" w14:textId="77777777" w:rsidR="009F2FBC" w:rsidRPr="009F2FBC" w:rsidRDefault="009F2FBC" w:rsidP="009F2FBC">
            <w:pPr>
              <w:rPr>
                <w:sz w:val="20"/>
                <w:szCs w:val="20"/>
              </w:rPr>
            </w:pPr>
            <w:r w:rsidRPr="009F2FBC">
              <w:rPr>
                <w:sz w:val="20"/>
                <w:szCs w:val="20"/>
              </w:rPr>
              <w:t>Placebo</w:t>
            </w:r>
          </w:p>
        </w:tc>
        <w:tc>
          <w:tcPr>
            <w:tcW w:w="1631" w:type="dxa"/>
          </w:tcPr>
          <w:p w14:paraId="2D69BD56" w14:textId="77777777" w:rsidR="009F2FBC" w:rsidRPr="009F2FBC" w:rsidRDefault="009F2FBC" w:rsidP="009F2FBC">
            <w:pPr>
              <w:rPr>
                <w:sz w:val="20"/>
                <w:szCs w:val="20"/>
              </w:rPr>
            </w:pPr>
            <w:r w:rsidRPr="009F2FBC">
              <w:rPr>
                <w:sz w:val="20"/>
                <w:szCs w:val="20"/>
              </w:rPr>
              <w:t>1.53</w:t>
            </w:r>
          </w:p>
        </w:tc>
        <w:tc>
          <w:tcPr>
            <w:tcW w:w="1612" w:type="dxa"/>
          </w:tcPr>
          <w:p w14:paraId="4C915359" w14:textId="77777777" w:rsidR="009F2FBC" w:rsidRPr="009F2FBC" w:rsidRDefault="009F2FBC" w:rsidP="009F2FBC">
            <w:pPr>
              <w:rPr>
                <w:sz w:val="20"/>
                <w:szCs w:val="20"/>
              </w:rPr>
            </w:pPr>
            <w:r w:rsidRPr="009F2FBC">
              <w:rPr>
                <w:sz w:val="20"/>
                <w:szCs w:val="20"/>
              </w:rPr>
              <w:t>0.9</w:t>
            </w:r>
          </w:p>
        </w:tc>
        <w:tc>
          <w:tcPr>
            <w:tcW w:w="1595" w:type="dxa"/>
          </w:tcPr>
          <w:p w14:paraId="7E3765A1" w14:textId="77777777" w:rsidR="009F2FBC" w:rsidRPr="009F2FBC" w:rsidRDefault="009F2FBC" w:rsidP="009F2FBC">
            <w:pPr>
              <w:rPr>
                <w:sz w:val="20"/>
                <w:szCs w:val="20"/>
              </w:rPr>
            </w:pPr>
            <w:r w:rsidRPr="009F2FBC">
              <w:rPr>
                <w:sz w:val="20"/>
                <w:szCs w:val="20"/>
              </w:rPr>
              <w:t>1.8</w:t>
            </w:r>
          </w:p>
        </w:tc>
      </w:tr>
    </w:tbl>
    <w:p w14:paraId="538D4F65" w14:textId="77777777" w:rsidR="009F2FBC" w:rsidRDefault="009F2FBC" w:rsidP="00610926">
      <w:pPr>
        <w:pStyle w:val="ListBullet"/>
      </w:pPr>
      <w:r>
        <w:t xml:space="preserve">A </w:t>
      </w:r>
      <w:r w:rsidRPr="00CF0D26">
        <w:t>consistent improvement in ppFEV1</w:t>
      </w:r>
      <w:r>
        <w:t xml:space="preserve"> was observed across </w:t>
      </w:r>
      <w:r w:rsidRPr="005236C7">
        <w:t>studies (Table 2</w:t>
      </w:r>
      <w:r w:rsidR="005236C7" w:rsidRPr="005236C7">
        <w:t>4</w:t>
      </w:r>
      <w:r w:rsidRPr="005236C7">
        <w:t>).</w:t>
      </w:r>
      <w:r>
        <w:t xml:space="preserve"> Treatment difference achieved statistical significance, when compared to placebo.</w:t>
      </w:r>
    </w:p>
    <w:p w14:paraId="6F2BA676" w14:textId="75A1C0CE" w:rsidR="009F2FBC" w:rsidRDefault="009F2FBC" w:rsidP="009F2FBC">
      <w:pPr>
        <w:pStyle w:val="TableTitle"/>
      </w:pPr>
      <w:r>
        <w:t>Table</w:t>
      </w:r>
      <w:r w:rsidR="006A44F0">
        <w:t xml:space="preserve"> 24</w:t>
      </w:r>
      <w:r>
        <w:t xml:space="preserve">: Change from </w:t>
      </w:r>
      <w:r w:rsidR="00CE466D">
        <w:t xml:space="preserve">Baseline </w:t>
      </w:r>
      <w:r>
        <w:t>in pre-bronchodilator FEV1</w:t>
      </w:r>
    </w:p>
    <w:tbl>
      <w:tblPr>
        <w:tblStyle w:val="TableTGAblue"/>
        <w:tblW w:w="0" w:type="auto"/>
        <w:tblLook w:val="04A0" w:firstRow="1" w:lastRow="0" w:firstColumn="1" w:lastColumn="0" w:noHBand="0" w:noVBand="1"/>
      </w:tblPr>
      <w:tblGrid>
        <w:gridCol w:w="3794"/>
        <w:gridCol w:w="3568"/>
      </w:tblGrid>
      <w:tr w:rsidR="009F2FBC" w:rsidRPr="009F2FBC" w14:paraId="2132E0AB" w14:textId="77777777" w:rsidTr="009F2FBC">
        <w:trPr>
          <w:cnfStyle w:val="100000000000" w:firstRow="1" w:lastRow="0" w:firstColumn="0" w:lastColumn="0" w:oddVBand="0" w:evenVBand="0" w:oddHBand="0" w:evenHBand="0" w:firstRowFirstColumn="0" w:firstRowLastColumn="0" w:lastRowFirstColumn="0" w:lastRowLastColumn="0"/>
        </w:trPr>
        <w:tc>
          <w:tcPr>
            <w:tcW w:w="3794" w:type="dxa"/>
          </w:tcPr>
          <w:p w14:paraId="789DF5B9" w14:textId="5263CC8F" w:rsidR="009F2FBC" w:rsidRPr="009F2FBC" w:rsidRDefault="009F2FBC" w:rsidP="009F2FBC">
            <w:pPr>
              <w:rPr>
                <w:sz w:val="20"/>
                <w:szCs w:val="20"/>
              </w:rPr>
            </w:pPr>
            <w:r w:rsidRPr="009F2FBC">
              <w:rPr>
                <w:sz w:val="20"/>
                <w:szCs w:val="20"/>
              </w:rPr>
              <w:t>Study</w:t>
            </w:r>
            <w:r w:rsidR="002E7899">
              <w:rPr>
                <w:sz w:val="20"/>
                <w:szCs w:val="20"/>
              </w:rPr>
              <w:t>/trial</w:t>
            </w:r>
          </w:p>
        </w:tc>
        <w:tc>
          <w:tcPr>
            <w:tcW w:w="3568" w:type="dxa"/>
          </w:tcPr>
          <w:p w14:paraId="5EE8B9F5" w14:textId="50D4CB96" w:rsidR="009F2FBC" w:rsidRPr="009F2FBC" w:rsidRDefault="009F2FBC" w:rsidP="002E7899">
            <w:pPr>
              <w:rPr>
                <w:sz w:val="20"/>
                <w:szCs w:val="20"/>
              </w:rPr>
            </w:pPr>
            <w:r w:rsidRPr="009F2FBC">
              <w:rPr>
                <w:sz w:val="20"/>
                <w:szCs w:val="20"/>
              </w:rPr>
              <w:t xml:space="preserve">LS </w:t>
            </w:r>
            <w:r w:rsidR="002E7899">
              <w:rPr>
                <w:sz w:val="20"/>
                <w:szCs w:val="20"/>
              </w:rPr>
              <w:t>m</w:t>
            </w:r>
            <w:r w:rsidR="002E7899" w:rsidRPr="009F2FBC">
              <w:rPr>
                <w:sz w:val="20"/>
                <w:szCs w:val="20"/>
              </w:rPr>
              <w:t xml:space="preserve">ean </w:t>
            </w:r>
            <w:r w:rsidRPr="009F2FBC">
              <w:rPr>
                <w:sz w:val="20"/>
                <w:szCs w:val="20"/>
              </w:rPr>
              <w:t>change in FEV1</w:t>
            </w:r>
          </w:p>
        </w:tc>
      </w:tr>
      <w:tr w:rsidR="009F2FBC" w:rsidRPr="009F2FBC" w14:paraId="747C0168" w14:textId="77777777" w:rsidTr="009F2FBC">
        <w:tc>
          <w:tcPr>
            <w:tcW w:w="3794" w:type="dxa"/>
          </w:tcPr>
          <w:p w14:paraId="37E1D2D8" w14:textId="77777777" w:rsidR="009F2FBC" w:rsidRPr="009F2FBC" w:rsidRDefault="009F2FBC" w:rsidP="009F2FBC">
            <w:pPr>
              <w:rPr>
                <w:sz w:val="20"/>
                <w:szCs w:val="20"/>
              </w:rPr>
            </w:pPr>
            <w:r w:rsidRPr="009F2FBC">
              <w:rPr>
                <w:sz w:val="20"/>
                <w:szCs w:val="20"/>
              </w:rPr>
              <w:t>SIROCCO (48 weeks)</w:t>
            </w:r>
          </w:p>
        </w:tc>
        <w:tc>
          <w:tcPr>
            <w:tcW w:w="3568" w:type="dxa"/>
          </w:tcPr>
          <w:p w14:paraId="6D627053" w14:textId="77777777" w:rsidR="009F2FBC" w:rsidRPr="009F2FBC" w:rsidRDefault="009F2FBC" w:rsidP="009F2FBC">
            <w:pPr>
              <w:rPr>
                <w:sz w:val="20"/>
                <w:szCs w:val="20"/>
              </w:rPr>
            </w:pPr>
            <w:r w:rsidRPr="009F2FBC">
              <w:rPr>
                <w:sz w:val="20"/>
                <w:szCs w:val="20"/>
              </w:rPr>
              <w:t>0.159 L</w:t>
            </w:r>
          </w:p>
        </w:tc>
      </w:tr>
      <w:tr w:rsidR="009F2FBC" w:rsidRPr="009F2FBC" w14:paraId="0F54454A" w14:textId="77777777" w:rsidTr="009F2FBC">
        <w:tc>
          <w:tcPr>
            <w:tcW w:w="3794" w:type="dxa"/>
          </w:tcPr>
          <w:p w14:paraId="544EEA4A" w14:textId="77777777" w:rsidR="009F2FBC" w:rsidRPr="009F2FBC" w:rsidRDefault="009F2FBC" w:rsidP="009F2FBC">
            <w:pPr>
              <w:rPr>
                <w:sz w:val="20"/>
                <w:szCs w:val="20"/>
              </w:rPr>
            </w:pPr>
            <w:r w:rsidRPr="009F2FBC">
              <w:rPr>
                <w:sz w:val="20"/>
                <w:szCs w:val="20"/>
              </w:rPr>
              <w:t>CALIMA (56 weeks)</w:t>
            </w:r>
          </w:p>
        </w:tc>
        <w:tc>
          <w:tcPr>
            <w:tcW w:w="3568" w:type="dxa"/>
          </w:tcPr>
          <w:p w14:paraId="727F0E4B" w14:textId="77777777" w:rsidR="009F2FBC" w:rsidRPr="009F2FBC" w:rsidRDefault="009F2FBC" w:rsidP="009F2FBC">
            <w:pPr>
              <w:rPr>
                <w:sz w:val="20"/>
                <w:szCs w:val="20"/>
              </w:rPr>
            </w:pPr>
            <w:r w:rsidRPr="009F2FBC">
              <w:rPr>
                <w:sz w:val="20"/>
                <w:szCs w:val="20"/>
              </w:rPr>
              <w:t>0.116 L</w:t>
            </w:r>
          </w:p>
        </w:tc>
      </w:tr>
      <w:tr w:rsidR="009F2FBC" w:rsidRPr="009F2FBC" w14:paraId="1D03524F" w14:textId="77777777" w:rsidTr="009F2FBC">
        <w:tc>
          <w:tcPr>
            <w:tcW w:w="3794" w:type="dxa"/>
          </w:tcPr>
          <w:p w14:paraId="2EF2ED0B" w14:textId="77777777" w:rsidR="009F2FBC" w:rsidRPr="009F2FBC" w:rsidRDefault="009F2FBC" w:rsidP="009F2FBC">
            <w:pPr>
              <w:rPr>
                <w:sz w:val="20"/>
                <w:szCs w:val="20"/>
              </w:rPr>
            </w:pPr>
            <w:r w:rsidRPr="009F2FBC">
              <w:rPr>
                <w:sz w:val="20"/>
                <w:szCs w:val="20"/>
              </w:rPr>
              <w:lastRenderedPageBreak/>
              <w:t>ZONDA</w:t>
            </w:r>
          </w:p>
        </w:tc>
        <w:tc>
          <w:tcPr>
            <w:tcW w:w="3568" w:type="dxa"/>
          </w:tcPr>
          <w:p w14:paraId="387C8B93" w14:textId="77777777" w:rsidR="009F2FBC" w:rsidRPr="009F2FBC" w:rsidRDefault="009F2FBC" w:rsidP="009F2FBC">
            <w:pPr>
              <w:rPr>
                <w:sz w:val="20"/>
                <w:szCs w:val="20"/>
              </w:rPr>
            </w:pPr>
            <w:r w:rsidRPr="009F2FBC">
              <w:rPr>
                <w:sz w:val="20"/>
                <w:szCs w:val="20"/>
              </w:rPr>
              <w:t>0.255L</w:t>
            </w:r>
          </w:p>
        </w:tc>
      </w:tr>
    </w:tbl>
    <w:p w14:paraId="23795441" w14:textId="596EA269" w:rsidR="009F2FBC" w:rsidRPr="00C55AE5" w:rsidRDefault="009F2FBC" w:rsidP="00610926">
      <w:r w:rsidRPr="00C55AE5">
        <w:t xml:space="preserve">A reduction in rescue medication use and OCS dose was observed in patients in benralizumab arms across studies. Improvement in asthma symptom score from baseline for benralizumab arm was comparable across </w:t>
      </w:r>
      <w:r w:rsidR="002E7899">
        <w:t xml:space="preserve">the </w:t>
      </w:r>
      <w:r w:rsidRPr="00C55AE5">
        <w:t xml:space="preserve">SIROCCO and CALIMA </w:t>
      </w:r>
      <w:r w:rsidR="002E7899">
        <w:t>trials</w:t>
      </w:r>
      <w:r w:rsidR="002E7899" w:rsidRPr="00C55AE5">
        <w:t xml:space="preserve"> </w:t>
      </w:r>
      <w:r w:rsidRPr="00C55AE5">
        <w:t xml:space="preserve">and the treatment difference, when compared to placebo was statistically significant. Absence of MCID limits the ability to ascertain clinical significance. A statistically significant and clinically relevant improvement in </w:t>
      </w:r>
      <w:r w:rsidR="00486E2D">
        <w:t>the Asthma Control Questionnaire (</w:t>
      </w:r>
      <w:r w:rsidRPr="00C55AE5">
        <w:t>ACQ</w:t>
      </w:r>
      <w:r w:rsidR="00486E2D">
        <w:t>) score</w:t>
      </w:r>
      <w:r w:rsidRPr="00C55AE5">
        <w:t xml:space="preserve"> was observed for patients in benralizumab arm, when compared to placebo across all studies.</w:t>
      </w:r>
    </w:p>
    <w:p w14:paraId="00A1F3E5" w14:textId="04596E7D" w:rsidR="009F2FBC" w:rsidRPr="00C55AE5" w:rsidRDefault="009F2FBC" w:rsidP="00610926">
      <w:r w:rsidRPr="00C55AE5">
        <w:t xml:space="preserve">Increased treatment response for asthmatics with </w:t>
      </w:r>
      <w:r w:rsidR="007504A5" w:rsidRPr="00C55AE5">
        <w:t xml:space="preserve">≥ </w:t>
      </w:r>
      <w:r w:rsidRPr="00C55AE5">
        <w:t xml:space="preserve">3 exacerbations in the previous year of randomisation, raised IgE and high dose OCS at baseline suggest severe asthmatics as the potential targeted patient population for treatment with benralizumab. </w:t>
      </w:r>
      <w:r w:rsidR="00486E2D">
        <w:t xml:space="preserve">The </w:t>
      </w:r>
      <w:r w:rsidRPr="00C55AE5">
        <w:t xml:space="preserve">ZONDA </w:t>
      </w:r>
      <w:r w:rsidR="00486E2D">
        <w:t>trial</w:t>
      </w:r>
      <w:r w:rsidR="00486E2D" w:rsidRPr="00C55AE5">
        <w:t xml:space="preserve"> </w:t>
      </w:r>
      <w:r w:rsidRPr="00C55AE5">
        <w:t>demonstrated a reduction in the need for oral corticosteroids. This is an important outcome as chronic use of oral steroids can have significant long term adverse effects.</w:t>
      </w:r>
    </w:p>
    <w:p w14:paraId="60164718" w14:textId="77777777" w:rsidR="009F2FBC" w:rsidRPr="00C55AE5" w:rsidRDefault="009F2FBC" w:rsidP="009F2FBC">
      <w:pPr>
        <w:pStyle w:val="TableTitle"/>
      </w:pPr>
      <w:r w:rsidRPr="00C55AE5">
        <w:t>Table</w:t>
      </w:r>
      <w:r w:rsidR="006A44F0" w:rsidRPr="00C55AE5">
        <w:t xml:space="preserve"> 24</w:t>
      </w:r>
      <w:r w:rsidRPr="00C55AE5">
        <w:t xml:space="preserve">: Comparison of primary efficacy outcomes across anti-IL-5 </w:t>
      </w:r>
      <w:proofErr w:type="spellStart"/>
      <w:r w:rsidRPr="00C55AE5">
        <w:t>mAbs</w:t>
      </w:r>
      <w:proofErr w:type="spellEnd"/>
    </w:p>
    <w:tbl>
      <w:tblPr>
        <w:tblStyle w:val="TableTGAblue"/>
        <w:tblW w:w="0" w:type="auto"/>
        <w:tblLook w:val="04A0" w:firstRow="1" w:lastRow="0" w:firstColumn="1" w:lastColumn="0" w:noHBand="0" w:noVBand="1"/>
      </w:tblPr>
      <w:tblGrid>
        <w:gridCol w:w="2075"/>
        <w:gridCol w:w="2068"/>
        <w:gridCol w:w="2050"/>
        <w:gridCol w:w="1960"/>
      </w:tblGrid>
      <w:tr w:rsidR="009F2FBC" w:rsidRPr="00C55AE5" w14:paraId="4309940B" w14:textId="77777777" w:rsidTr="009F2FBC">
        <w:trPr>
          <w:cnfStyle w:val="100000000000" w:firstRow="1" w:lastRow="0" w:firstColumn="0" w:lastColumn="0" w:oddVBand="0" w:evenVBand="0" w:oddHBand="0" w:evenHBand="0" w:firstRowFirstColumn="0" w:firstRowLastColumn="0" w:lastRowFirstColumn="0" w:lastRowLastColumn="0"/>
        </w:trPr>
        <w:tc>
          <w:tcPr>
            <w:tcW w:w="2075" w:type="dxa"/>
          </w:tcPr>
          <w:p w14:paraId="51B258AF" w14:textId="77777777" w:rsidR="009F2FBC" w:rsidRPr="00C55AE5" w:rsidRDefault="009F2FBC" w:rsidP="009F2FBC">
            <w:pPr>
              <w:rPr>
                <w:sz w:val="20"/>
                <w:szCs w:val="20"/>
              </w:rPr>
            </w:pPr>
            <w:r w:rsidRPr="00C55AE5">
              <w:rPr>
                <w:sz w:val="20"/>
                <w:szCs w:val="20"/>
              </w:rPr>
              <w:t>Primary efficacy parameters</w:t>
            </w:r>
          </w:p>
        </w:tc>
        <w:tc>
          <w:tcPr>
            <w:tcW w:w="2068" w:type="dxa"/>
          </w:tcPr>
          <w:p w14:paraId="42010545" w14:textId="77777777" w:rsidR="009F2FBC" w:rsidRPr="00C55AE5" w:rsidRDefault="009F2FBC" w:rsidP="009F2FBC">
            <w:pPr>
              <w:rPr>
                <w:sz w:val="20"/>
                <w:szCs w:val="20"/>
              </w:rPr>
            </w:pPr>
            <w:r w:rsidRPr="00C55AE5">
              <w:rPr>
                <w:sz w:val="20"/>
                <w:szCs w:val="20"/>
              </w:rPr>
              <w:t>Benralizumab</w:t>
            </w:r>
          </w:p>
        </w:tc>
        <w:tc>
          <w:tcPr>
            <w:tcW w:w="2050" w:type="dxa"/>
          </w:tcPr>
          <w:p w14:paraId="3C33FDC9" w14:textId="77777777" w:rsidR="009F2FBC" w:rsidRPr="00C55AE5" w:rsidRDefault="009F2FBC" w:rsidP="009F2FBC">
            <w:pPr>
              <w:rPr>
                <w:sz w:val="20"/>
                <w:szCs w:val="20"/>
              </w:rPr>
            </w:pPr>
            <w:r w:rsidRPr="00C55AE5">
              <w:rPr>
                <w:sz w:val="20"/>
                <w:szCs w:val="20"/>
              </w:rPr>
              <w:t>Mepolizumab</w:t>
            </w:r>
          </w:p>
        </w:tc>
        <w:tc>
          <w:tcPr>
            <w:tcW w:w="1960" w:type="dxa"/>
          </w:tcPr>
          <w:p w14:paraId="319BDA11" w14:textId="77777777" w:rsidR="009F2FBC" w:rsidRPr="00C55AE5" w:rsidRDefault="009F2FBC" w:rsidP="009F2FBC">
            <w:pPr>
              <w:rPr>
                <w:sz w:val="20"/>
                <w:szCs w:val="20"/>
              </w:rPr>
            </w:pPr>
            <w:r w:rsidRPr="00C55AE5">
              <w:rPr>
                <w:sz w:val="20"/>
                <w:szCs w:val="20"/>
              </w:rPr>
              <w:t>Reslizumab</w:t>
            </w:r>
          </w:p>
        </w:tc>
      </w:tr>
      <w:tr w:rsidR="009F2FBC" w:rsidRPr="00C55AE5" w14:paraId="526CC6D1" w14:textId="77777777" w:rsidTr="009F2FBC">
        <w:tc>
          <w:tcPr>
            <w:tcW w:w="2075" w:type="dxa"/>
          </w:tcPr>
          <w:p w14:paraId="618149FA" w14:textId="77777777" w:rsidR="009F2FBC" w:rsidRPr="00C55AE5" w:rsidRDefault="009F2FBC" w:rsidP="009F2FBC">
            <w:pPr>
              <w:rPr>
                <w:sz w:val="20"/>
                <w:szCs w:val="20"/>
              </w:rPr>
            </w:pPr>
            <w:r w:rsidRPr="00C55AE5">
              <w:rPr>
                <w:sz w:val="20"/>
                <w:szCs w:val="20"/>
              </w:rPr>
              <w:t>Reduction in Exacerbations</w:t>
            </w:r>
          </w:p>
        </w:tc>
        <w:tc>
          <w:tcPr>
            <w:tcW w:w="2068" w:type="dxa"/>
          </w:tcPr>
          <w:p w14:paraId="37FFEFCF" w14:textId="75F06ACD" w:rsidR="009F2FBC" w:rsidRPr="00C55AE5" w:rsidRDefault="009F2FBC" w:rsidP="009F2FBC">
            <w:pPr>
              <w:rPr>
                <w:sz w:val="20"/>
                <w:szCs w:val="20"/>
              </w:rPr>
            </w:pPr>
            <w:r w:rsidRPr="00C55AE5">
              <w:rPr>
                <w:sz w:val="20"/>
                <w:szCs w:val="20"/>
              </w:rPr>
              <w:t>30</w:t>
            </w:r>
            <w:r w:rsidR="00486E2D">
              <w:rPr>
                <w:sz w:val="20"/>
                <w:szCs w:val="20"/>
              </w:rPr>
              <w:t xml:space="preserve"> to </w:t>
            </w:r>
            <w:r w:rsidRPr="00C55AE5">
              <w:rPr>
                <w:sz w:val="20"/>
                <w:szCs w:val="20"/>
              </w:rPr>
              <w:t>50%</w:t>
            </w:r>
          </w:p>
        </w:tc>
        <w:tc>
          <w:tcPr>
            <w:tcW w:w="2050" w:type="dxa"/>
          </w:tcPr>
          <w:p w14:paraId="709FB8EE" w14:textId="233E3FEC" w:rsidR="009F2FBC" w:rsidRPr="00C55AE5" w:rsidRDefault="009F2FBC" w:rsidP="00486E2D">
            <w:pPr>
              <w:rPr>
                <w:sz w:val="20"/>
                <w:szCs w:val="20"/>
              </w:rPr>
            </w:pPr>
            <w:r w:rsidRPr="00C55AE5">
              <w:rPr>
                <w:sz w:val="20"/>
                <w:szCs w:val="20"/>
              </w:rPr>
              <w:t>50</w:t>
            </w:r>
            <w:r w:rsidR="00486E2D">
              <w:rPr>
                <w:sz w:val="20"/>
                <w:szCs w:val="20"/>
              </w:rPr>
              <w:t xml:space="preserve"> to </w:t>
            </w:r>
            <w:r w:rsidRPr="00C55AE5">
              <w:rPr>
                <w:sz w:val="20"/>
                <w:szCs w:val="20"/>
              </w:rPr>
              <w:t>60%</w:t>
            </w:r>
          </w:p>
        </w:tc>
        <w:tc>
          <w:tcPr>
            <w:tcW w:w="1960" w:type="dxa"/>
          </w:tcPr>
          <w:p w14:paraId="3A866F68" w14:textId="2627078B" w:rsidR="009F2FBC" w:rsidRPr="00C55AE5" w:rsidRDefault="009F2FBC" w:rsidP="009F2FBC">
            <w:pPr>
              <w:rPr>
                <w:sz w:val="20"/>
                <w:szCs w:val="20"/>
              </w:rPr>
            </w:pPr>
            <w:r w:rsidRPr="00C55AE5">
              <w:rPr>
                <w:sz w:val="20"/>
                <w:szCs w:val="20"/>
              </w:rPr>
              <w:t>50</w:t>
            </w:r>
            <w:r w:rsidR="00486E2D">
              <w:rPr>
                <w:sz w:val="20"/>
                <w:szCs w:val="20"/>
              </w:rPr>
              <w:t xml:space="preserve"> to </w:t>
            </w:r>
            <w:r w:rsidRPr="00C55AE5">
              <w:rPr>
                <w:sz w:val="20"/>
                <w:szCs w:val="20"/>
              </w:rPr>
              <w:t>60%</w:t>
            </w:r>
          </w:p>
        </w:tc>
      </w:tr>
      <w:tr w:rsidR="009F2FBC" w:rsidRPr="00C55AE5" w14:paraId="086988F8" w14:textId="77777777" w:rsidTr="009F2FBC">
        <w:tc>
          <w:tcPr>
            <w:tcW w:w="2075" w:type="dxa"/>
          </w:tcPr>
          <w:p w14:paraId="32141831" w14:textId="77777777" w:rsidR="009F2FBC" w:rsidRPr="00C55AE5" w:rsidRDefault="009F2FBC" w:rsidP="009F2FBC">
            <w:pPr>
              <w:rPr>
                <w:sz w:val="20"/>
                <w:szCs w:val="20"/>
              </w:rPr>
            </w:pPr>
            <w:r w:rsidRPr="00C55AE5">
              <w:rPr>
                <w:sz w:val="20"/>
                <w:szCs w:val="20"/>
              </w:rPr>
              <w:t>LS mean change in FEV1</w:t>
            </w:r>
          </w:p>
        </w:tc>
        <w:tc>
          <w:tcPr>
            <w:tcW w:w="2068" w:type="dxa"/>
          </w:tcPr>
          <w:p w14:paraId="47F0E897" w14:textId="760F580C" w:rsidR="009F2FBC" w:rsidRPr="00C55AE5" w:rsidRDefault="009F2FBC" w:rsidP="009F2FBC">
            <w:pPr>
              <w:rPr>
                <w:sz w:val="20"/>
                <w:szCs w:val="20"/>
              </w:rPr>
            </w:pPr>
            <w:r w:rsidRPr="00C55AE5">
              <w:rPr>
                <w:sz w:val="20"/>
                <w:szCs w:val="20"/>
              </w:rPr>
              <w:t>0.176</w:t>
            </w:r>
            <w:r w:rsidR="00486E2D">
              <w:rPr>
                <w:sz w:val="20"/>
                <w:szCs w:val="20"/>
              </w:rPr>
              <w:t xml:space="preserve"> </w:t>
            </w:r>
            <w:r w:rsidRPr="00C55AE5">
              <w:rPr>
                <w:sz w:val="20"/>
                <w:szCs w:val="20"/>
              </w:rPr>
              <w:t>L</w:t>
            </w:r>
          </w:p>
        </w:tc>
        <w:tc>
          <w:tcPr>
            <w:tcW w:w="2050" w:type="dxa"/>
          </w:tcPr>
          <w:p w14:paraId="0017CC11" w14:textId="648692FC" w:rsidR="009F2FBC" w:rsidRPr="00C55AE5" w:rsidRDefault="009F2FBC" w:rsidP="009F2FBC">
            <w:pPr>
              <w:rPr>
                <w:sz w:val="20"/>
                <w:szCs w:val="20"/>
              </w:rPr>
            </w:pPr>
            <w:r w:rsidRPr="00C55AE5">
              <w:rPr>
                <w:sz w:val="20"/>
                <w:szCs w:val="20"/>
              </w:rPr>
              <w:t>0.125</w:t>
            </w:r>
            <w:r w:rsidR="00486E2D">
              <w:rPr>
                <w:sz w:val="20"/>
                <w:szCs w:val="20"/>
              </w:rPr>
              <w:t xml:space="preserve"> </w:t>
            </w:r>
            <w:r w:rsidRPr="00C55AE5">
              <w:rPr>
                <w:sz w:val="20"/>
                <w:szCs w:val="20"/>
              </w:rPr>
              <w:t>L</w:t>
            </w:r>
          </w:p>
        </w:tc>
        <w:tc>
          <w:tcPr>
            <w:tcW w:w="1960" w:type="dxa"/>
          </w:tcPr>
          <w:p w14:paraId="2BFC482C" w14:textId="19C1BBEB" w:rsidR="009F2FBC" w:rsidRPr="00C55AE5" w:rsidRDefault="009F2FBC" w:rsidP="009F2FBC">
            <w:pPr>
              <w:rPr>
                <w:sz w:val="20"/>
                <w:szCs w:val="20"/>
              </w:rPr>
            </w:pPr>
            <w:r w:rsidRPr="00C55AE5">
              <w:rPr>
                <w:sz w:val="20"/>
                <w:szCs w:val="20"/>
              </w:rPr>
              <w:t>0.113</w:t>
            </w:r>
            <w:r w:rsidR="00486E2D">
              <w:rPr>
                <w:sz w:val="20"/>
                <w:szCs w:val="20"/>
              </w:rPr>
              <w:t xml:space="preserve"> </w:t>
            </w:r>
            <w:r w:rsidRPr="00C55AE5">
              <w:rPr>
                <w:sz w:val="20"/>
                <w:szCs w:val="20"/>
              </w:rPr>
              <w:t>L</w:t>
            </w:r>
          </w:p>
        </w:tc>
      </w:tr>
      <w:tr w:rsidR="009F2FBC" w:rsidRPr="00C55AE5" w14:paraId="68F8A08D" w14:textId="77777777" w:rsidTr="009F2FBC">
        <w:tc>
          <w:tcPr>
            <w:tcW w:w="2075" w:type="dxa"/>
          </w:tcPr>
          <w:p w14:paraId="53B8500F" w14:textId="77777777" w:rsidR="009F2FBC" w:rsidRPr="00C55AE5" w:rsidRDefault="009F2FBC" w:rsidP="009F2FBC">
            <w:pPr>
              <w:rPr>
                <w:sz w:val="20"/>
                <w:szCs w:val="20"/>
              </w:rPr>
            </w:pPr>
            <w:r w:rsidRPr="00C55AE5">
              <w:rPr>
                <w:sz w:val="20"/>
                <w:szCs w:val="20"/>
              </w:rPr>
              <w:t>Median reduction in daily OCS dose</w:t>
            </w:r>
          </w:p>
        </w:tc>
        <w:tc>
          <w:tcPr>
            <w:tcW w:w="2068" w:type="dxa"/>
          </w:tcPr>
          <w:p w14:paraId="60E4319B" w14:textId="77777777" w:rsidR="009F2FBC" w:rsidRPr="00C55AE5" w:rsidRDefault="009F2FBC" w:rsidP="009F2FBC">
            <w:pPr>
              <w:rPr>
                <w:sz w:val="20"/>
                <w:szCs w:val="20"/>
              </w:rPr>
            </w:pPr>
            <w:r w:rsidRPr="00C55AE5">
              <w:rPr>
                <w:sz w:val="20"/>
                <w:szCs w:val="20"/>
              </w:rPr>
              <w:t>5</w:t>
            </w:r>
            <w:r w:rsidR="00B62CD5" w:rsidRPr="00C55AE5">
              <w:rPr>
                <w:sz w:val="20"/>
                <w:szCs w:val="20"/>
              </w:rPr>
              <w:t xml:space="preserve"> mg</w:t>
            </w:r>
          </w:p>
        </w:tc>
        <w:tc>
          <w:tcPr>
            <w:tcW w:w="2050" w:type="dxa"/>
          </w:tcPr>
          <w:p w14:paraId="2D4FDF33" w14:textId="77777777" w:rsidR="009F2FBC" w:rsidRPr="00C55AE5" w:rsidRDefault="009F2FBC" w:rsidP="009F2FBC">
            <w:pPr>
              <w:rPr>
                <w:sz w:val="20"/>
                <w:szCs w:val="20"/>
              </w:rPr>
            </w:pPr>
            <w:r w:rsidRPr="00C55AE5">
              <w:rPr>
                <w:sz w:val="20"/>
                <w:szCs w:val="20"/>
              </w:rPr>
              <w:t>5</w:t>
            </w:r>
            <w:r w:rsidR="00B62CD5" w:rsidRPr="00C55AE5">
              <w:rPr>
                <w:sz w:val="20"/>
                <w:szCs w:val="20"/>
              </w:rPr>
              <w:t xml:space="preserve"> mg</w:t>
            </w:r>
          </w:p>
        </w:tc>
        <w:tc>
          <w:tcPr>
            <w:tcW w:w="1960" w:type="dxa"/>
          </w:tcPr>
          <w:p w14:paraId="6C3283D6" w14:textId="77777777" w:rsidR="009F2FBC" w:rsidRPr="00C55AE5" w:rsidRDefault="009F2FBC" w:rsidP="009F2FBC">
            <w:pPr>
              <w:rPr>
                <w:sz w:val="20"/>
                <w:szCs w:val="20"/>
              </w:rPr>
            </w:pPr>
          </w:p>
        </w:tc>
      </w:tr>
    </w:tbl>
    <w:p w14:paraId="25342C26" w14:textId="77777777" w:rsidR="009F2FBC" w:rsidRPr="00C55AE5" w:rsidRDefault="009F2FBC" w:rsidP="00610926">
      <w:pPr>
        <w:pStyle w:val="Heading6"/>
        <w:rPr>
          <w:sz w:val="21"/>
        </w:rPr>
      </w:pPr>
      <w:r w:rsidRPr="00C55AE5">
        <w:t>Limitations</w:t>
      </w:r>
    </w:p>
    <w:p w14:paraId="5D8E68FF" w14:textId="60AF66A5" w:rsidR="009F2FBC" w:rsidRPr="00610926" w:rsidRDefault="009F2FBC" w:rsidP="00610926">
      <w:r w:rsidRPr="00C55AE5">
        <w:t>Bronchodilator reversibility, which is a characteristic feature of asthma was demonstrated in only around 25% of patients, suggestive of either well-controlled asthma at baseline or fixed obstruction due to airway remodelling. In clinical practice, benralizumab is indicated only for asthmatics with increased disease severity, which is</w:t>
      </w:r>
      <w:r>
        <w:t xml:space="preserve"> not in accordance with the majority of study participants. Similarly, in </w:t>
      </w:r>
      <w:r w:rsidR="00486E2D">
        <w:t xml:space="preserve">the </w:t>
      </w:r>
      <w:r>
        <w:t>SIROCCO and CALIMA</w:t>
      </w:r>
      <w:r w:rsidR="00486E2D">
        <w:t xml:space="preserve"> trials</w:t>
      </w:r>
      <w:r>
        <w:t xml:space="preserve">, a higher ppFEV1 (90%) was chosen as inclusion criteria for patients </w:t>
      </w:r>
      <w:r w:rsidR="007504A5">
        <w:t xml:space="preserve">&lt; </w:t>
      </w:r>
      <w:r>
        <w:t>18 years of age that might have included asthmatics with milder disease severity. These factors limit the ability to extrapolate the efficacy outcomes from the clinical trial to the real world setting</w:t>
      </w:r>
      <w:r w:rsidR="00E14798">
        <w:t>.</w:t>
      </w:r>
    </w:p>
    <w:p w14:paraId="3B5EEB82" w14:textId="77777777" w:rsidR="009F2FBC" w:rsidRPr="00E93DF4" w:rsidRDefault="009F2FBC" w:rsidP="00610926">
      <w:r w:rsidRPr="00C55AE5">
        <w:t>The clinical development program did not adequately address:</w:t>
      </w:r>
    </w:p>
    <w:p w14:paraId="437DB125" w14:textId="77777777" w:rsidR="009F2FBC" w:rsidRDefault="009F2FBC" w:rsidP="00610926">
      <w:pPr>
        <w:pStyle w:val="ListBullet"/>
      </w:pPr>
      <w:r>
        <w:t>F</w:t>
      </w:r>
      <w:r w:rsidRPr="00E93DF4">
        <w:t>ollow-up data on rebound/absence of exacerbations after cessation of benralizumab injections.</w:t>
      </w:r>
    </w:p>
    <w:p w14:paraId="4801A6E4" w14:textId="77777777" w:rsidR="00E14798" w:rsidRDefault="009F2FBC" w:rsidP="00610926">
      <w:pPr>
        <w:pStyle w:val="ListBullet"/>
      </w:pPr>
      <w:r>
        <w:t>The duration of treatment that is required to maintain optimal asthma control</w:t>
      </w:r>
      <w:r w:rsidR="00E14798">
        <w:t>.</w:t>
      </w:r>
    </w:p>
    <w:p w14:paraId="026C597D" w14:textId="77777777" w:rsidR="009F2FBC" w:rsidRPr="00610926" w:rsidRDefault="009F2FBC" w:rsidP="00610926">
      <w:pPr>
        <w:pStyle w:val="ListBullet"/>
      </w:pPr>
      <w:r>
        <w:t>It is unclear if patients will be able to stop benralizumab after a period of good control, and if not, t</w:t>
      </w:r>
      <w:r w:rsidR="00CF0D26">
        <w:t xml:space="preserve">he long term efficacy. The post </w:t>
      </w:r>
      <w:r>
        <w:t>approval long term study is expected to provide evidence in this aspect.</w:t>
      </w:r>
    </w:p>
    <w:p w14:paraId="11B1D007" w14:textId="77777777" w:rsidR="009F2FBC" w:rsidRPr="00E93DF4" w:rsidRDefault="009F2FBC" w:rsidP="00610926">
      <w:pPr>
        <w:pStyle w:val="Heading5"/>
        <w:rPr>
          <w:sz w:val="21"/>
        </w:rPr>
      </w:pPr>
      <w:r w:rsidRPr="00A81B81">
        <w:t>Safety</w:t>
      </w:r>
    </w:p>
    <w:p w14:paraId="6D865830" w14:textId="42592BEC" w:rsidR="009F2FBC" w:rsidRPr="00C55AE5" w:rsidRDefault="009F2FBC" w:rsidP="00610926">
      <w:r w:rsidRPr="00E93DF4">
        <w:t>Majority of the types of AEs and TEAEs reported are similar to the disease manifestations of severe asthmatics and milder in intensity. TEAEs that led to discontinuation of treatment w</w:t>
      </w:r>
      <w:r>
        <w:t>ere higher with benralizumab.</w:t>
      </w:r>
      <w:r w:rsidRPr="00E93DF4">
        <w:t xml:space="preserve"> The </w:t>
      </w:r>
      <w:r>
        <w:t xml:space="preserve">low number, diverse nature, and short </w:t>
      </w:r>
      <w:r>
        <w:lastRenderedPageBreak/>
        <w:t>study duration make it difficult to determine if these were treatment related.</w:t>
      </w:r>
      <w:r w:rsidR="00CF0D26">
        <w:t xml:space="preserve"> A 30 to </w:t>
      </w:r>
      <w:r w:rsidRPr="00E93DF4">
        <w:t xml:space="preserve">50% reduction in basophils and 25% reduction in WCC in </w:t>
      </w:r>
      <w:r w:rsidR="00486E2D">
        <w:t xml:space="preserve">the </w:t>
      </w:r>
      <w:r w:rsidRPr="00E93DF4">
        <w:t xml:space="preserve">ZONDA </w:t>
      </w:r>
      <w:r w:rsidR="00486E2D">
        <w:t>trial</w:t>
      </w:r>
      <w:r w:rsidR="00486E2D" w:rsidRPr="00E93DF4">
        <w:t xml:space="preserve"> </w:t>
      </w:r>
      <w:r w:rsidRPr="00E93DF4">
        <w:t>were noted. The reduction in basophil count was not observed with current anti-IL-5 therapeutic options</w:t>
      </w:r>
      <w:r>
        <w:t>. P</w:t>
      </w:r>
      <w:r w:rsidRPr="00E93DF4">
        <w:t xml:space="preserve">atients with severe asthma </w:t>
      </w:r>
      <w:r>
        <w:t>are also often treated with</w:t>
      </w:r>
      <w:r w:rsidRPr="00E93DF4">
        <w:t xml:space="preserve"> high dose ICS and OCS, which</w:t>
      </w:r>
      <w:r>
        <w:t xml:space="preserve"> can also compromise</w:t>
      </w:r>
      <w:r w:rsidRPr="00E93DF4">
        <w:t xml:space="preserve"> immun</w:t>
      </w:r>
      <w:r>
        <w:t>ity.</w:t>
      </w:r>
      <w:r w:rsidR="00F971ED">
        <w:t xml:space="preserve"> </w:t>
      </w:r>
      <w:r>
        <w:t>The</w:t>
      </w:r>
      <w:r w:rsidRPr="00E93DF4">
        <w:t xml:space="preserve"> incidence of infection was comparable across </w:t>
      </w:r>
      <w:r>
        <w:t>benralizumab</w:t>
      </w:r>
      <w:r w:rsidRPr="00E93DF4">
        <w:t xml:space="preserve"> and placebo at around 50%,</w:t>
      </w:r>
      <w:r>
        <w:t xml:space="preserve"> thus despite the tendency to reduce basophils </w:t>
      </w:r>
      <w:r w:rsidRPr="00C55AE5">
        <w:t>and WBC, there is no firm clinical evidence of an increased risk of infection. This risk however requires ongoing vigilance</w:t>
      </w:r>
      <w:r w:rsidR="00E14798" w:rsidRPr="00C55AE5">
        <w:t>.</w:t>
      </w:r>
    </w:p>
    <w:p w14:paraId="55F20A65" w14:textId="09CF24AB" w:rsidR="009F2FBC" w:rsidRPr="00C55AE5" w:rsidRDefault="009F2FBC" w:rsidP="00610926">
      <w:r w:rsidRPr="0082779B">
        <w:t>The evaluator had concerns over a potential association between benralizumab, malignancy and death as there was an increase</w:t>
      </w:r>
      <w:r w:rsidR="005137F4" w:rsidRPr="0082779B">
        <w:t>d</w:t>
      </w:r>
      <w:r w:rsidRPr="0082779B">
        <w:t xml:space="preserve"> number of these events in benralizumab arm, compared to placebo. The types of malignancies and causes of death were common in the general adult population. The impact of lowering eosinophils with an anti-IL5 active substance on the development of malignancies is not known. Increased rate of malignancy was also seen with </w:t>
      </w:r>
      <w:r w:rsidR="0082779B" w:rsidRPr="0082779B">
        <w:t>another agent of this class (</w:t>
      </w:r>
      <w:r w:rsidRPr="0082779B">
        <w:t>reslizumab, but not with mepolizumab</w:t>
      </w:r>
      <w:r w:rsidR="0082779B" w:rsidRPr="0082779B">
        <w:t>)</w:t>
      </w:r>
      <w:r w:rsidRPr="0082779B">
        <w:t xml:space="preserve">. Based on pre-clinical study findings, no mechanistic reason for malignancy could be elucidated. There were no specific types of malignancies noted that would suggest an immunosuppressive mechanism. Taking these aspects in to consideration, together with the </w:t>
      </w:r>
      <w:r w:rsidR="00C7136E" w:rsidRPr="0082779B">
        <w:t xml:space="preserve">limited </w:t>
      </w:r>
      <w:r w:rsidRPr="0082779B">
        <w:t xml:space="preserve">duration of studies, the </w:t>
      </w:r>
      <w:r w:rsidR="00CF0D26" w:rsidRPr="0082779B">
        <w:t>Delegate</w:t>
      </w:r>
      <w:r w:rsidRPr="0082779B">
        <w:t xml:space="preserve"> considers that there is not enough evidence to suggest an</w:t>
      </w:r>
      <w:r w:rsidRPr="00C55AE5">
        <w:t xml:space="preserve"> association between benralizumab, events of malignancies and death reported in these studies. However, there is a need to monitor the long</w:t>
      </w:r>
      <w:r w:rsidR="00F971ED" w:rsidRPr="00C55AE5">
        <w:t xml:space="preserve"> t</w:t>
      </w:r>
      <w:r w:rsidRPr="00C55AE5">
        <w:t>erm incidence of malignancy, as there is a concern of potential immunomodulatory role for benralizumab. In this aspect, recommendations are made for changes to PI and RMP.</w:t>
      </w:r>
    </w:p>
    <w:p w14:paraId="4185A054" w14:textId="77777777" w:rsidR="009F2FBC" w:rsidRPr="00C55AE5" w:rsidRDefault="009F2FBC" w:rsidP="00610926">
      <w:pPr>
        <w:pStyle w:val="Heading6"/>
      </w:pPr>
      <w:r w:rsidRPr="00C55AE5">
        <w:t>Limitations</w:t>
      </w:r>
    </w:p>
    <w:p w14:paraId="3E6495FA" w14:textId="5A06B09E" w:rsidR="009F2FBC" w:rsidRPr="00C826C3" w:rsidRDefault="009F2FBC" w:rsidP="00610926">
      <w:r w:rsidRPr="00C55AE5">
        <w:t xml:space="preserve">There is lack of long term safety data with the mean treatment exposure for less than one year across </w:t>
      </w:r>
      <w:r w:rsidR="008A4A1D" w:rsidRPr="00C55AE5">
        <w:t>Phase</w:t>
      </w:r>
      <w:r w:rsidRPr="00C55AE5">
        <w:t xml:space="preserve"> III studies. A lower proportion of patients were recruited in </w:t>
      </w:r>
      <w:r w:rsidR="007504A5" w:rsidRPr="00C55AE5">
        <w:t xml:space="preserve">&lt; </w:t>
      </w:r>
      <w:r w:rsidRPr="00C55AE5">
        <w:t xml:space="preserve">18 years of age group (62 patients) and </w:t>
      </w:r>
      <w:r w:rsidR="005028A8" w:rsidRPr="00C55AE5">
        <w:t xml:space="preserve">&gt; </w:t>
      </w:r>
      <w:r w:rsidRPr="00C55AE5">
        <w:t xml:space="preserve">65 years of age group (278 patients), affecting the applicability of findings in this age group. The </w:t>
      </w:r>
      <w:r w:rsidR="00CF0D26" w:rsidRPr="00C55AE5">
        <w:t>Delegate</w:t>
      </w:r>
      <w:r w:rsidRPr="00C55AE5">
        <w:t xml:space="preserve"> has noted that malignancy has been included as an important potential risk in </w:t>
      </w:r>
      <w:r w:rsidR="00486E2D">
        <w:t xml:space="preserve">the </w:t>
      </w:r>
      <w:r w:rsidRPr="00C55AE5">
        <w:t xml:space="preserve">RMP. However, exclusion criteria related to malignancy adopted in </w:t>
      </w:r>
      <w:r w:rsidR="008A4A1D" w:rsidRPr="00C55AE5">
        <w:t>Phase</w:t>
      </w:r>
      <w:r w:rsidRPr="00C55AE5">
        <w:t xml:space="preserve"> III studies warrant</w:t>
      </w:r>
      <w:r w:rsidR="00CF0D26" w:rsidRPr="00C55AE5">
        <w:t xml:space="preserve">s </w:t>
      </w:r>
      <w:r w:rsidR="00486E2D">
        <w:t xml:space="preserve">a </w:t>
      </w:r>
      <w:r w:rsidR="00CF0D26" w:rsidRPr="00C55AE5">
        <w:t xml:space="preserve">precautionary statement in </w:t>
      </w:r>
      <w:r w:rsidR="00486E2D">
        <w:t xml:space="preserve">the </w:t>
      </w:r>
      <w:r w:rsidR="00CF0D26" w:rsidRPr="00C55AE5">
        <w:t xml:space="preserve">PI. Long term effects of near </w:t>
      </w:r>
      <w:r w:rsidRPr="00C55AE5">
        <w:t xml:space="preserve">complete depletion of eosinophils and around 50% reduction in basophils on immune function is unknown. It needs to be addressed in </w:t>
      </w:r>
      <w:r w:rsidR="00486E2D">
        <w:t xml:space="preserve">the </w:t>
      </w:r>
      <w:r w:rsidRPr="00C55AE5">
        <w:t xml:space="preserve">PI and </w:t>
      </w:r>
      <w:r w:rsidR="00486E2D">
        <w:t xml:space="preserve">the </w:t>
      </w:r>
      <w:r w:rsidRPr="00C55AE5">
        <w:t>RMP. As per EMA guidelines, the duration of study was adequate to demonstrate efficacy in</w:t>
      </w:r>
      <w:r w:rsidR="00CF0D26" w:rsidRPr="00C55AE5">
        <w:t xml:space="preserve"> </w:t>
      </w:r>
      <w:r w:rsidRPr="00C55AE5">
        <w:t>terms of reduction in exacerbations, however, not adequate to assess safety issues. The long term safety study (</w:t>
      </w:r>
      <w:r w:rsidR="00486E2D">
        <w:t xml:space="preserve">the </w:t>
      </w:r>
      <w:r w:rsidRPr="00C55AE5">
        <w:t>BORA</w:t>
      </w:r>
      <w:r w:rsidR="00486E2D">
        <w:t xml:space="preserve"> trial</w:t>
      </w:r>
      <w:r w:rsidRPr="00C55AE5">
        <w:t xml:space="preserve">) currently conducted by sponsor has patients who are rolled over from </w:t>
      </w:r>
      <w:r w:rsidR="00486E2D">
        <w:t xml:space="preserve">the </w:t>
      </w:r>
      <w:r w:rsidRPr="00C55AE5">
        <w:t>SIROCCO and CALIMA</w:t>
      </w:r>
      <w:r w:rsidR="00486E2D">
        <w:t xml:space="preserve"> trials</w:t>
      </w:r>
      <w:r w:rsidRPr="00C55AE5">
        <w:t>; which could address long term safety aspects of benralizumab.</w:t>
      </w:r>
    </w:p>
    <w:p w14:paraId="33DA5B08" w14:textId="77777777" w:rsidR="009F2FBC" w:rsidRDefault="009F2FBC" w:rsidP="00610926">
      <w:pPr>
        <w:pStyle w:val="Heading5"/>
      </w:pPr>
      <w:r>
        <w:t>Use in adolescents</w:t>
      </w:r>
    </w:p>
    <w:p w14:paraId="5AE3191F" w14:textId="77777777" w:rsidR="00E14798" w:rsidRDefault="00610926" w:rsidP="00610926">
      <w:r>
        <w:t xml:space="preserve">1 in 10 young Australians (12 to </w:t>
      </w:r>
      <w:r w:rsidR="009F2FBC" w:rsidRPr="0016274C">
        <w:t>25 years) suffer from asthma, of which 63% have poorly controlled asthma</w:t>
      </w:r>
      <w:r>
        <w:t>.</w:t>
      </w:r>
      <w:r>
        <w:rPr>
          <w:rStyle w:val="FootnoteReference"/>
        </w:rPr>
        <w:footnoteReference w:id="24"/>
      </w:r>
      <w:r w:rsidR="009F2FBC" w:rsidRPr="0016274C">
        <w:t xml:space="preserve"> Approval of benralizumab would benefit those with increased disease severity, who may otherwise be treated with off-label use of benralizumab. Currently, in Australia, mepolizumab is approved for severe asthmatics </w:t>
      </w:r>
      <w:r w:rsidR="005028A8">
        <w:t xml:space="preserve">&gt; </w:t>
      </w:r>
      <w:r w:rsidR="009F2FBC" w:rsidRPr="0016274C">
        <w:t>12 years. Meanwhile, reslizumab is approved for adults with severe asthma</w:t>
      </w:r>
      <w:r w:rsidR="00E14798">
        <w:t>.</w:t>
      </w:r>
    </w:p>
    <w:p w14:paraId="5547A496" w14:textId="6ABE5C95" w:rsidR="00E14798" w:rsidRDefault="009F2FBC" w:rsidP="00610926">
      <w:r w:rsidRPr="00DC01C3">
        <w:t>A decreased treatment response to benralizumab was obs</w:t>
      </w:r>
      <w:r w:rsidR="00CF0D26" w:rsidRPr="00DC01C3">
        <w:t>erved in sub-group analysis (12</w:t>
      </w:r>
      <w:r w:rsidR="00486E2D">
        <w:t> </w:t>
      </w:r>
      <w:r w:rsidR="00CF0D26" w:rsidRPr="00DC01C3">
        <w:t xml:space="preserve">to </w:t>
      </w:r>
      <w:r w:rsidRPr="00DC01C3">
        <w:t xml:space="preserve">18 years) of </w:t>
      </w:r>
      <w:r w:rsidR="008A4A1D" w:rsidRPr="00DC01C3">
        <w:t>Phase</w:t>
      </w:r>
      <w:r w:rsidRPr="00DC01C3">
        <w:t xml:space="preserve"> III studies. However, the study was not powered for this analysis. There were no specific safety signals that were noted in this age group. The </w:t>
      </w:r>
      <w:r w:rsidR="00CF0D26" w:rsidRPr="00DC01C3">
        <w:t>Delegate</w:t>
      </w:r>
      <w:r w:rsidRPr="00DC01C3">
        <w:t xml:space="preserve"> has concerns regarding the increased relative risk of malignancies in this age group, who will be exposed to the active drug for longer time due to early commencement of treatment</w:t>
      </w:r>
      <w:r w:rsidR="00E14798" w:rsidRPr="00DC01C3">
        <w:t>.</w:t>
      </w:r>
    </w:p>
    <w:p w14:paraId="3881DEAB" w14:textId="77777777" w:rsidR="009F2FBC" w:rsidRPr="006D5567" w:rsidRDefault="00610926" w:rsidP="00610926">
      <w:pPr>
        <w:pStyle w:val="Heading5"/>
      </w:pPr>
      <w:r>
        <w:lastRenderedPageBreak/>
        <w:t>Indications</w:t>
      </w:r>
    </w:p>
    <w:p w14:paraId="6948073B" w14:textId="77777777" w:rsidR="00610926" w:rsidRPr="00DC01C3" w:rsidRDefault="009F2FBC" w:rsidP="00610926">
      <w:r w:rsidRPr="00DC01C3">
        <w:t>The</w:t>
      </w:r>
      <w:r w:rsidR="00610926" w:rsidRPr="00DC01C3">
        <w:t xml:space="preserve"> sponsor’s proposed indication:</w:t>
      </w:r>
    </w:p>
    <w:p w14:paraId="0B4A5CB8" w14:textId="2D880B14" w:rsidR="00610926" w:rsidRPr="00DC01C3" w:rsidRDefault="009F2FBC" w:rsidP="00610926">
      <w:pPr>
        <w:ind w:left="720"/>
        <w:rPr>
          <w:i/>
        </w:rPr>
      </w:pPr>
      <w:r w:rsidRPr="00DC01C3">
        <w:rPr>
          <w:i/>
        </w:rPr>
        <w:t xml:space="preserve">Fasenra is indicated as an add-on maintenance treatment for severe asthma in patients </w:t>
      </w:r>
      <w:r w:rsidR="00610926" w:rsidRPr="00DC01C3">
        <w:rPr>
          <w:i/>
        </w:rPr>
        <w:t>with an eosinophilic phenotype</w:t>
      </w:r>
    </w:p>
    <w:p w14:paraId="3ED3C31B" w14:textId="77777777" w:rsidR="009F2FBC" w:rsidRPr="00DC01C3" w:rsidRDefault="009F2FBC" w:rsidP="009F2FBC">
      <w:pPr>
        <w:spacing w:before="0" w:after="0" w:line="240" w:lineRule="auto"/>
        <w:contextualSpacing/>
        <w:jc w:val="both"/>
        <w:rPr>
          <w:sz w:val="21"/>
          <w:szCs w:val="21"/>
        </w:rPr>
      </w:pPr>
      <w:proofErr w:type="gramStart"/>
      <w:r w:rsidRPr="00DC01C3">
        <w:rPr>
          <w:sz w:val="21"/>
          <w:szCs w:val="21"/>
        </w:rPr>
        <w:t>is</w:t>
      </w:r>
      <w:proofErr w:type="gramEnd"/>
      <w:r w:rsidRPr="00DC01C3">
        <w:rPr>
          <w:sz w:val="21"/>
          <w:szCs w:val="21"/>
        </w:rPr>
        <w:t xml:space="preserve"> inadequate in the following aspects:</w:t>
      </w:r>
    </w:p>
    <w:p w14:paraId="5CF0A87E" w14:textId="77777777" w:rsidR="009F2FBC" w:rsidRPr="00DC01C3" w:rsidRDefault="009F2FBC" w:rsidP="00610926">
      <w:pPr>
        <w:pStyle w:val="ListBullet"/>
      </w:pPr>
      <w:r w:rsidRPr="00DC01C3">
        <w:t>The clinical studies have consistently shown an increased benefit for patients with:</w:t>
      </w:r>
    </w:p>
    <w:p w14:paraId="177CC0C5" w14:textId="2E876472" w:rsidR="009F2FBC" w:rsidRPr="00DC01C3" w:rsidRDefault="009F2FBC" w:rsidP="00610926">
      <w:pPr>
        <w:pStyle w:val="ListBullet2"/>
      </w:pPr>
      <w:r w:rsidRPr="00DC01C3">
        <w:t xml:space="preserve">blood eosinophil level </w:t>
      </w:r>
      <w:r w:rsidR="005028A8" w:rsidRPr="00DC01C3">
        <w:t xml:space="preserve">&gt; </w:t>
      </w:r>
      <w:r w:rsidRPr="00DC01C3">
        <w:t>300</w:t>
      </w:r>
      <w:r w:rsidR="00486E2D">
        <w:t xml:space="preserve"> </w:t>
      </w:r>
      <w:r w:rsidRPr="00DC01C3">
        <w:t>cells/µL</w:t>
      </w:r>
      <w:r w:rsidR="00486E2D">
        <w:t>; and</w:t>
      </w:r>
    </w:p>
    <w:p w14:paraId="27FBF4A0" w14:textId="77777777" w:rsidR="009F2FBC" w:rsidRPr="00DC01C3" w:rsidRDefault="005028A8" w:rsidP="00610926">
      <w:pPr>
        <w:pStyle w:val="ListBullet2"/>
      </w:pPr>
      <w:r w:rsidRPr="00DC01C3">
        <w:t xml:space="preserve">&gt; </w:t>
      </w:r>
      <w:r w:rsidR="009F2FBC" w:rsidRPr="00DC01C3">
        <w:t xml:space="preserve">2 exacerbations in </w:t>
      </w:r>
      <w:r w:rsidR="00CF0D26" w:rsidRPr="00DC01C3">
        <w:t>the year prior to randomisation.</w:t>
      </w:r>
    </w:p>
    <w:p w14:paraId="07E4544D" w14:textId="1B25425B" w:rsidR="009F2FBC" w:rsidRPr="00DC01C3" w:rsidRDefault="00610926" w:rsidP="00610926">
      <w:r w:rsidRPr="00DC01C3">
        <w:t>Hence</w:t>
      </w:r>
      <w:r w:rsidR="00486E2D">
        <w:t>,</w:t>
      </w:r>
      <w:r w:rsidRPr="00DC01C3">
        <w:t xml:space="preserve"> the </w:t>
      </w:r>
      <w:r w:rsidR="00CF0D26" w:rsidRPr="00DC01C3">
        <w:t>Delegate</w:t>
      </w:r>
      <w:r w:rsidR="009F2FBC" w:rsidRPr="00DC01C3">
        <w:t xml:space="preserve"> recommends a modified indication</w:t>
      </w:r>
      <w:r w:rsidR="00CF0D26" w:rsidRPr="00DC01C3">
        <w:t>:</w:t>
      </w:r>
    </w:p>
    <w:p w14:paraId="5D82CDF6" w14:textId="571DBBC8" w:rsidR="00CF0D26" w:rsidRPr="00CF0D26" w:rsidRDefault="00CF0D26" w:rsidP="00CF0D26">
      <w:pPr>
        <w:ind w:left="720"/>
        <w:rPr>
          <w:i/>
        </w:rPr>
      </w:pPr>
      <w:r w:rsidRPr="00DC01C3">
        <w:rPr>
          <w:i/>
        </w:rPr>
        <w:t>Fasenra is indicated as an add-on maintenance treatment in patients aged &gt; 12 years with severe asthma, &gt; 2 exacerbations/year and with blood eosinophil count of &gt;</w:t>
      </w:r>
      <w:r w:rsidR="00486E2D">
        <w:rPr>
          <w:i/>
        </w:rPr>
        <w:t> </w:t>
      </w:r>
      <w:r w:rsidRPr="00DC01C3">
        <w:rPr>
          <w:i/>
        </w:rPr>
        <w:t>300</w:t>
      </w:r>
      <w:r w:rsidR="00486E2D">
        <w:rPr>
          <w:i/>
        </w:rPr>
        <w:t> </w:t>
      </w:r>
      <w:r w:rsidRPr="00DC01C3">
        <w:rPr>
          <w:i/>
        </w:rPr>
        <w:t>cells/µL.</w:t>
      </w:r>
    </w:p>
    <w:p w14:paraId="7E2434D9" w14:textId="33FBCE67" w:rsidR="00456765" w:rsidRDefault="00610926" w:rsidP="00456765">
      <w:r>
        <w:t xml:space="preserve">The </w:t>
      </w:r>
      <w:r w:rsidR="00CF0D26">
        <w:t>Delegate</w:t>
      </w:r>
      <w:r w:rsidR="009F2FBC" w:rsidRPr="00830F6C">
        <w:t xml:space="preserve"> is satisfied that quality has been established, and benralizumab is efficacious in lowering annual rate of asthma exacerbations, improving lung function and quality of life measures. The safety appears to be adequate for regulatory approval. However, the </w:t>
      </w:r>
      <w:r w:rsidR="00CF0D26">
        <w:t>Delegate</w:t>
      </w:r>
      <w:r w:rsidR="009F2FBC" w:rsidRPr="00830F6C">
        <w:t xml:space="preserve"> is concerned about the long</w:t>
      </w:r>
      <w:r w:rsidR="00F971ED">
        <w:t xml:space="preserve"> t</w:t>
      </w:r>
      <w:r w:rsidR="009F2FBC" w:rsidRPr="00830F6C">
        <w:t>erm safety of benralizumab in the treatme</w:t>
      </w:r>
      <w:r w:rsidR="009F2FBC">
        <w:t>nt of severe asthma and considers that</w:t>
      </w:r>
      <w:r w:rsidR="009F2FBC" w:rsidRPr="00830F6C">
        <w:t xml:space="preserve"> data from follow-up study (</w:t>
      </w:r>
      <w:r w:rsidR="00486E2D">
        <w:t xml:space="preserve">the </w:t>
      </w:r>
      <w:r w:rsidR="009F2FBC" w:rsidRPr="00830F6C">
        <w:t xml:space="preserve">BORA </w:t>
      </w:r>
      <w:r w:rsidR="00486E2D">
        <w:t>trial</w:t>
      </w:r>
      <w:r w:rsidR="009F2FBC" w:rsidRPr="00830F6C">
        <w:t xml:space="preserve">) </w:t>
      </w:r>
      <w:r w:rsidR="009F2FBC">
        <w:t xml:space="preserve">will enable </w:t>
      </w:r>
      <w:r w:rsidR="009F2FBC" w:rsidRPr="00830F6C">
        <w:t>to examine the long</w:t>
      </w:r>
      <w:r w:rsidR="00F971ED">
        <w:t xml:space="preserve"> t</w:t>
      </w:r>
      <w:r w:rsidR="009F2FBC" w:rsidRPr="00830F6C">
        <w:t>erm safety aspects.</w:t>
      </w:r>
      <w:r w:rsidR="00F971ED">
        <w:t xml:space="preserve"> </w:t>
      </w:r>
      <w:r w:rsidR="009F2FBC" w:rsidRPr="00830F6C">
        <w:t xml:space="preserve">The </w:t>
      </w:r>
      <w:r w:rsidR="00486E2D">
        <w:t>c</w:t>
      </w:r>
      <w:r w:rsidR="00486E2D" w:rsidRPr="00830F6C">
        <w:t xml:space="preserve">ommittee </w:t>
      </w:r>
      <w:r w:rsidR="009F2FBC" w:rsidRPr="00830F6C">
        <w:t>is requested to comment on the long term safety asp</w:t>
      </w:r>
      <w:r>
        <w:t xml:space="preserve">ect, particularly in the 12 to </w:t>
      </w:r>
      <w:r w:rsidR="009F2FBC" w:rsidRPr="00830F6C">
        <w:t>18 year age group.</w:t>
      </w:r>
    </w:p>
    <w:p w14:paraId="2AEC0D07" w14:textId="77777777" w:rsidR="00107A42" w:rsidRDefault="00107A42" w:rsidP="00107A42">
      <w:pPr>
        <w:pStyle w:val="Heading5"/>
      </w:pPr>
      <w:r>
        <w:t>Recommended changes to the PI, CMI and RMP</w:t>
      </w:r>
    </w:p>
    <w:p w14:paraId="0F4FE217" w14:textId="5E2A1F7B" w:rsidR="000423DF" w:rsidRDefault="00107A42" w:rsidP="000423DF">
      <w:r>
        <w:t xml:space="preserve">The Delegate recommended various changes to the PI, CMI and RMP however these </w:t>
      </w:r>
      <w:r w:rsidR="00486E2D">
        <w:t>are beyond the scope of this</w:t>
      </w:r>
      <w:r>
        <w:t xml:space="preserve"> AusPAR.</w:t>
      </w:r>
    </w:p>
    <w:p w14:paraId="4E0C6AE8" w14:textId="11069843" w:rsidR="009F2FBC" w:rsidRDefault="009F2FBC" w:rsidP="00F41AF6">
      <w:pPr>
        <w:pStyle w:val="Heading5"/>
      </w:pPr>
      <w:r>
        <w:t xml:space="preserve">Questions </w:t>
      </w:r>
      <w:r w:rsidR="00486E2D">
        <w:t>for the</w:t>
      </w:r>
      <w:r>
        <w:t xml:space="preserve"> </w:t>
      </w:r>
      <w:r w:rsidR="007504A5">
        <w:t>sponsor</w:t>
      </w:r>
    </w:p>
    <w:p w14:paraId="4D6E2CB5" w14:textId="450C0F5E" w:rsidR="009F2FBC" w:rsidRDefault="009F2FBC" w:rsidP="00610926">
      <w:pPr>
        <w:pStyle w:val="Numberbullet0"/>
      </w:pPr>
      <w:r>
        <w:t>In Australia, what is the prevalence of eosinophilic p</w:t>
      </w:r>
      <w:r w:rsidR="00CF0D26">
        <w:t xml:space="preserve">henotype of severe asthma in </w:t>
      </w:r>
      <w:r w:rsidR="00486E2D">
        <w:t xml:space="preserve">the </w:t>
      </w:r>
      <w:r w:rsidR="00CF0D26">
        <w:t>12</w:t>
      </w:r>
      <w:r w:rsidR="00486E2D">
        <w:t> </w:t>
      </w:r>
      <w:r w:rsidR="00CF0D26">
        <w:t>to 17</w:t>
      </w:r>
      <w:r w:rsidR="00486E2D">
        <w:t>,</w:t>
      </w:r>
      <w:r w:rsidR="00CF0D26">
        <w:t xml:space="preserve"> and 18 to </w:t>
      </w:r>
      <w:r>
        <w:t>75 year age group</w:t>
      </w:r>
      <w:r w:rsidR="00486E2D">
        <w:t>s</w:t>
      </w:r>
      <w:r>
        <w:t xml:space="preserve"> of asthmatics?</w:t>
      </w:r>
    </w:p>
    <w:p w14:paraId="16B60136" w14:textId="77777777" w:rsidR="009F2FBC" w:rsidRDefault="009F2FBC" w:rsidP="00610926">
      <w:pPr>
        <w:pStyle w:val="Numberbullet0"/>
      </w:pPr>
      <w:r>
        <w:t xml:space="preserve">Please explain the rationale for choosing the cut-off for blood eosinophil level </w:t>
      </w:r>
      <w:proofErr w:type="gramStart"/>
      <w:r>
        <w:t>as 300</w:t>
      </w:r>
      <w:r w:rsidR="00CF0D26">
        <w:t> </w:t>
      </w:r>
      <w:r>
        <w:t>cells/µL</w:t>
      </w:r>
      <w:proofErr w:type="gramEnd"/>
      <w:r>
        <w:t xml:space="preserve"> for the patient population of interest in pivotal studies.</w:t>
      </w:r>
    </w:p>
    <w:p w14:paraId="5F5925D8" w14:textId="20196F05" w:rsidR="009F2FBC" w:rsidRDefault="009F2FBC" w:rsidP="00610926">
      <w:pPr>
        <w:pStyle w:val="Numberbullet0"/>
      </w:pPr>
      <w:r>
        <w:t xml:space="preserve">In </w:t>
      </w:r>
      <w:r w:rsidR="00486E2D">
        <w:t xml:space="preserve">the </w:t>
      </w:r>
      <w:r>
        <w:t>SIROCCO</w:t>
      </w:r>
      <w:r w:rsidR="00486E2D">
        <w:t xml:space="preserve"> trial</w:t>
      </w:r>
      <w:r>
        <w:t>, ppF</w:t>
      </w:r>
      <w:r w:rsidR="00CF0D26">
        <w:t>EV</w:t>
      </w:r>
      <w:r>
        <w:t xml:space="preserve">1 was </w:t>
      </w:r>
      <w:r w:rsidR="00F41AF6">
        <w:t>≤</w:t>
      </w:r>
      <w:r w:rsidR="00F971ED">
        <w:t xml:space="preserve"> </w:t>
      </w:r>
      <w:r w:rsidR="00CF0D26">
        <w:t xml:space="preserve">90% as lower limit for 12 to </w:t>
      </w:r>
      <w:r>
        <w:t xml:space="preserve">17 years, which was different from </w:t>
      </w:r>
      <w:r w:rsidR="00F971ED">
        <w:t xml:space="preserve">≤ </w:t>
      </w:r>
      <w:r w:rsidR="00F41AF6">
        <w:t xml:space="preserve">80% for 18 to </w:t>
      </w:r>
      <w:r>
        <w:t>75 years. What was the rationale for this approach?</w:t>
      </w:r>
    </w:p>
    <w:p w14:paraId="7A0DB644" w14:textId="0AC4E8C3" w:rsidR="00E14798" w:rsidRDefault="009F2FBC" w:rsidP="00610926">
      <w:pPr>
        <w:pStyle w:val="Numberbullet0"/>
      </w:pPr>
      <w:r>
        <w:t>The range of ICS dose (</w:t>
      </w:r>
      <w:r w:rsidR="005028A8">
        <w:t xml:space="preserve">&gt; </w:t>
      </w:r>
      <w:r w:rsidR="00F41AF6">
        <w:t xml:space="preserve">500 to </w:t>
      </w:r>
      <w:r>
        <w:t>1000 µg/day) considered as high in the recruitment of patient to efficacy studies SIROCCO and CALIMA</w:t>
      </w:r>
      <w:r w:rsidR="00486E2D">
        <w:t xml:space="preserve"> trials</w:t>
      </w:r>
      <w:r>
        <w:t xml:space="preserve"> is not in line with </w:t>
      </w:r>
      <w:r w:rsidR="005028A8">
        <w:t xml:space="preserve">&gt; </w:t>
      </w:r>
      <w:r>
        <w:t>1000 µg/ day as the lower limit of threshold for high dose ICS as per ATS/ERS guidelines. Please clarify</w:t>
      </w:r>
      <w:r w:rsidR="00E14798">
        <w:t>.</w:t>
      </w:r>
    </w:p>
    <w:p w14:paraId="7B1656FF" w14:textId="77777777" w:rsidR="009F2FBC" w:rsidRDefault="009F2FBC" w:rsidP="00610926">
      <w:pPr>
        <w:pStyle w:val="Numberbullet0"/>
      </w:pPr>
      <w:r>
        <w:t xml:space="preserve">Are there studies to examine optimal treatment duration or to examine implications of weaning-off treatment in severe </w:t>
      </w:r>
      <w:r w:rsidR="00F41AF6">
        <w:t>asthmatics?</w:t>
      </w:r>
    </w:p>
    <w:p w14:paraId="23145E10" w14:textId="5DDDF627" w:rsidR="009F2FBC" w:rsidRDefault="009F2FBC" w:rsidP="00610926">
      <w:pPr>
        <w:pStyle w:val="Numberbullet0"/>
      </w:pPr>
      <w:r>
        <w:t xml:space="preserve">The inflammatory profile of airway may change in asthmatics, when they become obese or become affected with </w:t>
      </w:r>
      <w:r w:rsidR="00486E2D">
        <w:t xml:space="preserve">chronic obstructive pulmonary disease </w:t>
      </w:r>
      <w:r w:rsidR="002A4756">
        <w:t>(</w:t>
      </w:r>
      <w:r>
        <w:t>COPD</w:t>
      </w:r>
      <w:r w:rsidR="002A4756">
        <w:t>)</w:t>
      </w:r>
      <w:r>
        <w:t xml:space="preserve">. Is there any evidence for corresponding changes in blood </w:t>
      </w:r>
      <w:r w:rsidR="00F41AF6">
        <w:t>eosinophils, which</w:t>
      </w:r>
      <w:r>
        <w:t xml:space="preserve"> would indicate change in treatment that was initially based on blood level of </w:t>
      </w:r>
      <w:r w:rsidR="00F41AF6">
        <w:t>eosinophils?</w:t>
      </w:r>
    </w:p>
    <w:p w14:paraId="5F69552A" w14:textId="55F0CE53" w:rsidR="009F2FBC" w:rsidRDefault="009F2FBC" w:rsidP="00610926">
      <w:pPr>
        <w:pStyle w:val="Numberbullet0"/>
      </w:pPr>
      <w:r>
        <w:t xml:space="preserve">Why is it stated in </w:t>
      </w:r>
      <w:r w:rsidR="00486E2D">
        <w:t xml:space="preserve">the </w:t>
      </w:r>
      <w:r>
        <w:t>PI</w:t>
      </w:r>
      <w:r w:rsidR="00486E2D">
        <w:t>,</w:t>
      </w:r>
      <w:r>
        <w:t xml:space="preserve"> under </w:t>
      </w:r>
      <w:r w:rsidR="00486E2D">
        <w:t xml:space="preserve">Dosage </w:t>
      </w:r>
      <w:r>
        <w:t xml:space="preserve">and </w:t>
      </w:r>
      <w:r w:rsidR="00486E2D">
        <w:t xml:space="preserve">Administration </w:t>
      </w:r>
      <w:r>
        <w:t>as no dosing r</w:t>
      </w:r>
      <w:r w:rsidR="00F41AF6">
        <w:t xml:space="preserve">ecommendation can be made in 12 to </w:t>
      </w:r>
      <w:r>
        <w:t xml:space="preserve">17 year old patients, while the proposed indication was </w:t>
      </w:r>
      <w:r w:rsidRPr="00F41AF6">
        <w:t>for all</w:t>
      </w:r>
      <w:r>
        <w:t xml:space="preserve"> patients with severe </w:t>
      </w:r>
      <w:r w:rsidR="00F41AF6">
        <w:t>asthma?</w:t>
      </w:r>
    </w:p>
    <w:p w14:paraId="66F525CA" w14:textId="77777777" w:rsidR="009F2FBC" w:rsidRDefault="009F2FBC" w:rsidP="00456765">
      <w:pPr>
        <w:pStyle w:val="Numberbullet0"/>
      </w:pPr>
      <w:r>
        <w:t>In</w:t>
      </w:r>
      <w:r w:rsidR="00F41AF6">
        <w:t xml:space="preserve"> </w:t>
      </w:r>
      <w:r>
        <w:t xml:space="preserve">spite of the fewer injections, there was an increased efficacy observed with benralizumab Q8W regimen, compared with that </w:t>
      </w:r>
      <w:r w:rsidR="00610926">
        <w:t>of Q4W regimen, please explain.</w:t>
      </w:r>
    </w:p>
    <w:p w14:paraId="65B7A80C" w14:textId="28FF2C47" w:rsidR="009F2FBC" w:rsidRDefault="00AA6579" w:rsidP="00610926">
      <w:pPr>
        <w:pStyle w:val="Heading5"/>
      </w:pPr>
      <w:r>
        <w:lastRenderedPageBreak/>
        <w:t>Conclusion</w:t>
      </w:r>
    </w:p>
    <w:p w14:paraId="51B6C341" w14:textId="77777777" w:rsidR="00E14798" w:rsidRDefault="009F2FBC" w:rsidP="00610926">
      <w:pPr>
        <w:pStyle w:val="ListBullet"/>
      </w:pPr>
      <w:r>
        <w:t xml:space="preserve">Benralizumab is an anti-IL5 </w:t>
      </w:r>
      <w:proofErr w:type="spellStart"/>
      <w:r>
        <w:t>mAb</w:t>
      </w:r>
      <w:proofErr w:type="spellEnd"/>
      <w:r>
        <w:t xml:space="preserve"> for the treatment of severe asthma with an eosinophilic phenotype</w:t>
      </w:r>
      <w:r w:rsidR="00E14798">
        <w:t>.</w:t>
      </w:r>
    </w:p>
    <w:p w14:paraId="6B6D67DB" w14:textId="77777777" w:rsidR="00E14798" w:rsidRDefault="009F2FBC" w:rsidP="00610926">
      <w:pPr>
        <w:pStyle w:val="ListBullet"/>
      </w:pPr>
      <w:r>
        <w:t xml:space="preserve">It differs from mepolizumab and reslizumab, as it has greater affinity for binding to </w:t>
      </w:r>
      <w:r w:rsidR="00F41AF6">
        <w:rPr>
          <w:spacing w:val="2"/>
          <w:w w:val="102"/>
          <w:szCs w:val="21"/>
        </w:rPr>
        <w:t>IL</w:t>
      </w:r>
      <w:r w:rsidR="00F41AF6">
        <w:rPr>
          <w:spacing w:val="2"/>
          <w:w w:val="102"/>
          <w:szCs w:val="21"/>
        </w:rPr>
        <w:noBreakHyphen/>
      </w:r>
      <w:r w:rsidRPr="00F0660D">
        <w:rPr>
          <w:spacing w:val="2"/>
          <w:w w:val="102"/>
          <w:szCs w:val="21"/>
        </w:rPr>
        <w:t>5Rα</w:t>
      </w:r>
      <w:r>
        <w:t xml:space="preserve"> and greater efficacy in depletion of eosinophils in blood</w:t>
      </w:r>
      <w:r w:rsidR="00E14798">
        <w:t>.</w:t>
      </w:r>
    </w:p>
    <w:p w14:paraId="5F363531" w14:textId="77777777" w:rsidR="009F2FBC" w:rsidRDefault="009F2FBC" w:rsidP="00610926">
      <w:pPr>
        <w:pStyle w:val="ListBullet"/>
      </w:pPr>
      <w:r>
        <w:t>The clinical development program demonstrated efficacy on the following endpoints</w:t>
      </w:r>
    </w:p>
    <w:p w14:paraId="3DA383B9" w14:textId="77777777" w:rsidR="009F2FBC" w:rsidRDefault="009F2FBC" w:rsidP="00610926">
      <w:pPr>
        <w:pStyle w:val="ListBullet2"/>
      </w:pPr>
      <w:r>
        <w:t>Rate of exacerbations</w:t>
      </w:r>
    </w:p>
    <w:p w14:paraId="450131C4" w14:textId="77777777" w:rsidR="009F2FBC" w:rsidRDefault="009F2FBC" w:rsidP="00610926">
      <w:pPr>
        <w:pStyle w:val="ListBullet2"/>
      </w:pPr>
      <w:r>
        <w:t>FEV1</w:t>
      </w:r>
    </w:p>
    <w:p w14:paraId="59DEF2B6" w14:textId="77777777" w:rsidR="009F2FBC" w:rsidRDefault="009F2FBC" w:rsidP="00610926">
      <w:pPr>
        <w:pStyle w:val="ListBullet2"/>
      </w:pPr>
      <w:r>
        <w:t>Reduction in oral corticosteroid use</w:t>
      </w:r>
      <w:r w:rsidR="00F41AF6">
        <w:t>.</w:t>
      </w:r>
    </w:p>
    <w:p w14:paraId="59120708" w14:textId="77777777" w:rsidR="009F2FBC" w:rsidRDefault="009F2FBC" w:rsidP="00610926">
      <w:pPr>
        <w:pStyle w:val="ListBullet"/>
      </w:pPr>
      <w:r>
        <w:t>Phase III studies</w:t>
      </w:r>
      <w:r w:rsidR="00F41AF6">
        <w:t xml:space="preserve"> included patients aged 12 to </w:t>
      </w:r>
      <w:r>
        <w:t>75. In th</w:t>
      </w:r>
      <w:r w:rsidR="00F41AF6">
        <w:t xml:space="preserve">e subgroup analysis, for the 12 to </w:t>
      </w:r>
      <w:r>
        <w:t>18 age group, efficacy was less than that observed in adults. However, the study was not powered for this analysis. The safety in adolescents was consistent with that of adults.</w:t>
      </w:r>
    </w:p>
    <w:p w14:paraId="23A4B2B9" w14:textId="77777777" w:rsidR="00E14798" w:rsidRDefault="009F2FBC" w:rsidP="00610926">
      <w:pPr>
        <w:pStyle w:val="ListBullet"/>
      </w:pPr>
      <w:r>
        <w:t>There were no major safety concerns. However safety data was limited to study duration of 1 year</w:t>
      </w:r>
      <w:r w:rsidR="00E14798">
        <w:t>.</w:t>
      </w:r>
    </w:p>
    <w:p w14:paraId="00691D81" w14:textId="77777777" w:rsidR="009F2FBC" w:rsidRPr="00456765" w:rsidRDefault="009F2FBC" w:rsidP="00456765">
      <w:pPr>
        <w:pStyle w:val="ListBullet"/>
      </w:pPr>
      <w:r>
        <w:t>Considering the immunomodulatory effect, role of benralizumab in the cases of malignancies cannot be ruled out. However, no specific pattern or safety signals in toxicolo</w:t>
      </w:r>
      <w:r w:rsidR="00610926">
        <w:t>gy or clinical data were noted.</w:t>
      </w:r>
    </w:p>
    <w:p w14:paraId="5B9D9D7A" w14:textId="77777777" w:rsidR="00D23139" w:rsidRDefault="00D23139" w:rsidP="00D23139">
      <w:pPr>
        <w:pStyle w:val="Heading4"/>
      </w:pPr>
      <w:r w:rsidRPr="00D23139">
        <w:t>Proposed action</w:t>
      </w:r>
    </w:p>
    <w:p w14:paraId="48AF3354" w14:textId="77777777" w:rsidR="00456765" w:rsidRPr="00456765" w:rsidRDefault="00610926" w:rsidP="00610926">
      <w:r w:rsidRPr="00DC01C3">
        <w:t xml:space="preserve">The </w:t>
      </w:r>
      <w:r w:rsidR="00CF0D26" w:rsidRPr="00DC01C3">
        <w:t>Delegate</w:t>
      </w:r>
      <w:r w:rsidRPr="00DC01C3">
        <w:t xml:space="preserve"> had</w:t>
      </w:r>
      <w:r w:rsidR="009F2FBC" w:rsidRPr="00DC01C3">
        <w:t xml:space="preserve"> no reason to say, at this time, that the application for Fasenra for the treatment of severe asthma with eosinophilic phenotype should not be approved for registration.</w:t>
      </w:r>
    </w:p>
    <w:p w14:paraId="0450F5DC" w14:textId="77777777" w:rsidR="00D23139" w:rsidRPr="00610926" w:rsidRDefault="00A22D57" w:rsidP="00610926">
      <w:pPr>
        <w:pStyle w:val="Heading4"/>
      </w:pPr>
      <w:r w:rsidRPr="00610926">
        <w:t>Request for AC</w:t>
      </w:r>
      <w:r w:rsidR="00D23139" w:rsidRPr="00610926">
        <w:t>M advice</w:t>
      </w:r>
    </w:p>
    <w:p w14:paraId="30F4B251" w14:textId="77777777" w:rsidR="005A6226" w:rsidRPr="00BA65CD" w:rsidRDefault="005A6226" w:rsidP="00610926">
      <w:r w:rsidRPr="00BA65CD">
        <w:t>The committee is requested to provide advice on</w:t>
      </w:r>
      <w:r>
        <w:t>:</w:t>
      </w:r>
    </w:p>
    <w:p w14:paraId="3669AC83" w14:textId="77777777" w:rsidR="005A6226" w:rsidRDefault="005A6226" w:rsidP="00610926">
      <w:pPr>
        <w:pStyle w:val="Numberbullet0"/>
        <w:numPr>
          <w:ilvl w:val="0"/>
          <w:numId w:val="29"/>
        </w:numPr>
      </w:pPr>
      <w:r>
        <w:t>Please comment on the potential impact of long te</w:t>
      </w:r>
      <w:r w:rsidR="00610926">
        <w:t xml:space="preserve">rm near </w:t>
      </w:r>
      <w:r>
        <w:t>complete depletion of eosinophils on immune system, particularly in severe asthmatics.</w:t>
      </w:r>
    </w:p>
    <w:p w14:paraId="0F0BE453" w14:textId="77777777" w:rsidR="00456765" w:rsidRPr="00456765" w:rsidRDefault="005A6226" w:rsidP="00610926">
      <w:pPr>
        <w:pStyle w:val="Numberbullet0"/>
        <w:numPr>
          <w:ilvl w:val="0"/>
          <w:numId w:val="29"/>
        </w:numPr>
      </w:pPr>
      <w:r>
        <w:t xml:space="preserve">Please comment on the proposed age restriction of </w:t>
      </w:r>
      <w:r w:rsidR="005028A8">
        <w:t xml:space="preserve">&gt; </w:t>
      </w:r>
      <w:r>
        <w:t>12 years</w:t>
      </w:r>
    </w:p>
    <w:p w14:paraId="5643099C" w14:textId="72CCFDC7" w:rsidR="00D23139" w:rsidRDefault="00456765" w:rsidP="00610926">
      <w:pPr>
        <w:pStyle w:val="Heading4"/>
      </w:pPr>
      <w:r w:rsidRPr="00020D6D">
        <w:t xml:space="preserve">Response from </w:t>
      </w:r>
      <w:r w:rsidR="007504A5" w:rsidRPr="00020D6D">
        <w:t>sponsor</w:t>
      </w:r>
    </w:p>
    <w:p w14:paraId="7C55B5A9" w14:textId="6C7D89E1" w:rsidR="00C15F54" w:rsidRPr="00C15F54" w:rsidRDefault="008439E0" w:rsidP="00C15F54">
      <w:pPr>
        <w:pStyle w:val="Heading5"/>
      </w:pPr>
      <w:r>
        <w:t>Sponsor’s</w:t>
      </w:r>
      <w:r w:rsidR="00C15F54">
        <w:t xml:space="preserve"> re</w:t>
      </w:r>
      <w:r>
        <w:t xml:space="preserve">sponse to </w:t>
      </w:r>
      <w:r w:rsidR="00CF0D26">
        <w:t>Delegate</w:t>
      </w:r>
      <w:r>
        <w:t>’s request for</w:t>
      </w:r>
      <w:r w:rsidR="00C15F54">
        <w:t xml:space="preserve"> ACM advice</w:t>
      </w:r>
    </w:p>
    <w:p w14:paraId="7F270D7A" w14:textId="7D3A049B" w:rsidR="005A6226" w:rsidRPr="005A6226" w:rsidRDefault="005A6226" w:rsidP="005A6226">
      <w:r w:rsidRPr="005A6226">
        <w:t xml:space="preserve">AstraZeneca </w:t>
      </w:r>
      <w:r w:rsidR="00F424D1">
        <w:t>(the sponso</w:t>
      </w:r>
      <w:r w:rsidR="003A02E6">
        <w:t>r</w:t>
      </w:r>
      <w:r w:rsidR="00F424D1">
        <w:t xml:space="preserve">) </w:t>
      </w:r>
      <w:r w:rsidRPr="005A6226">
        <w:t xml:space="preserve">welcomes the </w:t>
      </w:r>
      <w:r w:rsidR="00CF0D26">
        <w:t>Delegate</w:t>
      </w:r>
      <w:r w:rsidRPr="005A6226">
        <w:t xml:space="preserve">’s preliminary assessment that there are no reasons that </w:t>
      </w:r>
      <w:r w:rsidR="00E14798">
        <w:t>Fasenra</w:t>
      </w:r>
      <w:r>
        <w:t xml:space="preserve"> </w:t>
      </w:r>
      <w:r w:rsidRPr="005A6226">
        <w:t>(benralizumab) 30 mg in 1 mL solution for injection prefilled syringes sh</w:t>
      </w:r>
      <w:r>
        <w:t xml:space="preserve">ould not be approved for use in </w:t>
      </w:r>
      <w:r w:rsidRPr="005A6226">
        <w:t xml:space="preserve">patients with severe eosinophilic asthma. This is consistent with </w:t>
      </w:r>
      <w:r>
        <w:t xml:space="preserve">the US FDA approval received in </w:t>
      </w:r>
      <w:r w:rsidRPr="005A6226">
        <w:t xml:space="preserve">November </w:t>
      </w:r>
      <w:r w:rsidRPr="00E91F99">
        <w:t xml:space="preserve">2017 and the EU EMA approval received in January 2018. </w:t>
      </w:r>
      <w:r w:rsidR="00F424D1">
        <w:t>The sponsor</w:t>
      </w:r>
      <w:r w:rsidR="00F424D1" w:rsidRPr="00E91F99">
        <w:t xml:space="preserve"> </w:t>
      </w:r>
      <w:r w:rsidRPr="00E91F99">
        <w:t>also welcomes the opportunity to provide comments below in relation to the advice sought from the ACM and specific</w:t>
      </w:r>
      <w:r>
        <w:t xml:space="preserve"> </w:t>
      </w:r>
      <w:r w:rsidRPr="005A6226">
        <w:t xml:space="preserve">issues for the </w:t>
      </w:r>
      <w:r w:rsidR="007504A5">
        <w:t>sponsor</w:t>
      </w:r>
      <w:r w:rsidRPr="005A6226">
        <w:t>. Please note where the advice sought and issu</w:t>
      </w:r>
      <w:r>
        <w:t xml:space="preserve">es for the </w:t>
      </w:r>
      <w:r w:rsidR="007504A5">
        <w:t>sponsor</w:t>
      </w:r>
      <w:r>
        <w:t xml:space="preserve"> overlap, the </w:t>
      </w:r>
      <w:r w:rsidRPr="005A6226">
        <w:t>discussion has been consolidated to reduce redundancy.</w:t>
      </w:r>
    </w:p>
    <w:p w14:paraId="183CEF8B" w14:textId="77777777" w:rsidR="005A6226" w:rsidRPr="005A6226" w:rsidRDefault="00405B1C" w:rsidP="00405B1C">
      <w:pPr>
        <w:pStyle w:val="Heading6"/>
      </w:pPr>
      <w:r w:rsidRPr="005A6226">
        <w:t>Proposed indication</w:t>
      </w:r>
    </w:p>
    <w:p w14:paraId="74BE6276" w14:textId="35CFAAD7" w:rsidR="00405B1C" w:rsidRDefault="00F424D1" w:rsidP="005A6226">
      <w:r>
        <w:t>The sponsor’s</w:t>
      </w:r>
      <w:r w:rsidRPr="005A6226">
        <w:t xml:space="preserve"> </w:t>
      </w:r>
      <w:r w:rsidR="005A6226" w:rsidRPr="005A6226">
        <w:t xml:space="preserve">proposed indication modified as part of the response </w:t>
      </w:r>
      <w:r w:rsidR="00405B1C">
        <w:t xml:space="preserve">to the first round evaluation </w:t>
      </w:r>
      <w:r w:rsidR="005A6226" w:rsidRPr="005A6226">
        <w:t>was</w:t>
      </w:r>
      <w:r w:rsidR="00405B1C">
        <w:t>:</w:t>
      </w:r>
    </w:p>
    <w:p w14:paraId="46D44732" w14:textId="77777777" w:rsidR="00405B1C" w:rsidRPr="00405B1C" w:rsidRDefault="00E14798" w:rsidP="00405B1C">
      <w:pPr>
        <w:ind w:left="720"/>
        <w:rPr>
          <w:i/>
        </w:rPr>
      </w:pPr>
      <w:r w:rsidRPr="00405B1C">
        <w:rPr>
          <w:i/>
        </w:rPr>
        <w:t>Fasenra</w:t>
      </w:r>
      <w:r w:rsidR="005A6226" w:rsidRPr="00405B1C">
        <w:rPr>
          <w:i/>
        </w:rPr>
        <w:t xml:space="preserve"> is indicated as an add-on maintenance treatment for severe asthma in patients with an eosinophilic ph</w:t>
      </w:r>
      <w:r w:rsidR="00405B1C" w:rsidRPr="00405B1C">
        <w:rPr>
          <w:i/>
        </w:rPr>
        <w:t>enotype (see Clinical Trials).</w:t>
      </w:r>
    </w:p>
    <w:p w14:paraId="58BC2C98" w14:textId="1C07F2C8" w:rsidR="00405B1C" w:rsidRDefault="005A6226" w:rsidP="005A6226">
      <w:r w:rsidRPr="005A6226">
        <w:lastRenderedPageBreak/>
        <w:t xml:space="preserve">The reference to </w:t>
      </w:r>
      <w:r w:rsidR="005236C7">
        <w:t>‘</w:t>
      </w:r>
      <w:r w:rsidRPr="005A6226">
        <w:t>see Clinical Trials</w:t>
      </w:r>
      <w:r w:rsidR="005236C7">
        <w:t>’</w:t>
      </w:r>
      <w:r>
        <w:t xml:space="preserve"> was added </w:t>
      </w:r>
      <w:r w:rsidR="00405B1C">
        <w:t>in</w:t>
      </w:r>
      <w:r>
        <w:t xml:space="preserve"> the </w:t>
      </w:r>
      <w:r w:rsidRPr="005A6226">
        <w:t xml:space="preserve">response </w:t>
      </w:r>
      <w:r w:rsidR="00405B1C">
        <w:t>to the first round evaluation,</w:t>
      </w:r>
      <w:r w:rsidRPr="005A6226">
        <w:t xml:space="preserve"> in response to the </w:t>
      </w:r>
      <w:r w:rsidR="00405B1C">
        <w:t>c</w:t>
      </w:r>
      <w:r w:rsidRPr="005A6226">
        <w:t xml:space="preserve">linical </w:t>
      </w:r>
      <w:r w:rsidR="00596091">
        <w:t>evaluator</w:t>
      </w:r>
      <w:r w:rsidRPr="005A6226">
        <w:t>’s comm</w:t>
      </w:r>
      <w:r>
        <w:t xml:space="preserve">ent that the indication did not </w:t>
      </w:r>
      <w:r w:rsidRPr="005A6226">
        <w:t>fully reflect the patient population studied. This proposal was in lin</w:t>
      </w:r>
      <w:r>
        <w:t>e with that approved for N</w:t>
      </w:r>
      <w:r w:rsidR="00405B1C">
        <w:t>ucala</w:t>
      </w:r>
      <w:r>
        <w:t xml:space="preserve"> </w:t>
      </w:r>
      <w:r w:rsidR="00F424D1">
        <w:t xml:space="preserve">(mepolizumab) </w:t>
      </w:r>
      <w:r w:rsidRPr="005A6226">
        <w:t xml:space="preserve">in Australia, as well as </w:t>
      </w:r>
      <w:r w:rsidR="00E14798">
        <w:t>Fasenra</w:t>
      </w:r>
      <w:r w:rsidR="00F424D1">
        <w:t xml:space="preserve"> (benralizumab)</w:t>
      </w:r>
      <w:r w:rsidRPr="005A6226">
        <w:t xml:space="preserve"> approved in the US and the EU wh</w:t>
      </w:r>
      <w:r>
        <w:t xml:space="preserve">ere the </w:t>
      </w:r>
      <w:r w:rsidR="00405B1C">
        <w:t>c</w:t>
      </w:r>
      <w:r>
        <w:t xml:space="preserve">linical trial sections </w:t>
      </w:r>
      <w:r w:rsidRPr="005A6226">
        <w:t>provide the Health Care Professional (HCP) with further detail on t</w:t>
      </w:r>
      <w:r>
        <w:t xml:space="preserve">he specific patient populations </w:t>
      </w:r>
      <w:r w:rsidRPr="005A6226">
        <w:t xml:space="preserve">assessed. The </w:t>
      </w:r>
      <w:r w:rsidR="00CF0D26">
        <w:t>Delegate</w:t>
      </w:r>
      <w:r w:rsidRPr="005A6226">
        <w:t xml:space="preserve"> has subsequently proposed to modify this further to</w:t>
      </w:r>
      <w:r w:rsidR="00405B1C">
        <w:t>:</w:t>
      </w:r>
    </w:p>
    <w:p w14:paraId="46079E7B" w14:textId="7BEFA238" w:rsidR="005A6226" w:rsidRPr="00405B1C" w:rsidRDefault="00E14798" w:rsidP="00405B1C">
      <w:pPr>
        <w:ind w:left="720"/>
        <w:rPr>
          <w:i/>
        </w:rPr>
      </w:pPr>
      <w:r w:rsidRPr="00405B1C">
        <w:rPr>
          <w:i/>
        </w:rPr>
        <w:t>Fasenra</w:t>
      </w:r>
      <w:r w:rsidR="005A6226" w:rsidRPr="00405B1C">
        <w:rPr>
          <w:i/>
        </w:rPr>
        <w:t xml:space="preserve"> is indicated as an add-on maintenance treatment in patients aged </w:t>
      </w:r>
      <w:r w:rsidR="005028A8">
        <w:rPr>
          <w:i/>
        </w:rPr>
        <w:t xml:space="preserve">&gt; </w:t>
      </w:r>
      <w:r w:rsidR="005A6226" w:rsidRPr="00405B1C">
        <w:rPr>
          <w:i/>
        </w:rPr>
        <w:t xml:space="preserve">12 years with severe asthma, </w:t>
      </w:r>
      <w:r w:rsidR="005028A8">
        <w:rPr>
          <w:i/>
        </w:rPr>
        <w:t xml:space="preserve">&gt; </w:t>
      </w:r>
      <w:r w:rsidR="005A6226" w:rsidRPr="00405B1C">
        <w:rPr>
          <w:i/>
        </w:rPr>
        <w:t xml:space="preserve">2 exacerbations/year and with blood eosinophil count of </w:t>
      </w:r>
      <w:r w:rsidR="005028A8">
        <w:rPr>
          <w:i/>
        </w:rPr>
        <w:t>&gt;</w:t>
      </w:r>
      <w:r w:rsidR="00F424D1">
        <w:rPr>
          <w:i/>
        </w:rPr>
        <w:t> </w:t>
      </w:r>
      <w:r w:rsidR="00405B1C" w:rsidRPr="00405B1C">
        <w:rPr>
          <w:i/>
        </w:rPr>
        <w:t>300</w:t>
      </w:r>
      <w:r w:rsidR="00F424D1">
        <w:rPr>
          <w:i/>
        </w:rPr>
        <w:t> </w:t>
      </w:r>
      <w:r w:rsidR="00405B1C" w:rsidRPr="00405B1C">
        <w:rPr>
          <w:i/>
        </w:rPr>
        <w:t>cells/</w:t>
      </w:r>
      <w:r w:rsidR="00F424D1">
        <w:rPr>
          <w:i/>
        </w:rPr>
        <w:t>µ</w:t>
      </w:r>
      <w:r w:rsidR="00405B1C" w:rsidRPr="00405B1C">
        <w:rPr>
          <w:i/>
        </w:rPr>
        <w:t>L.</w:t>
      </w:r>
    </w:p>
    <w:p w14:paraId="2D57B7AA" w14:textId="3953D1EC" w:rsidR="005A6226" w:rsidRPr="005A6226" w:rsidRDefault="005A6226" w:rsidP="005A6226">
      <w:r w:rsidRPr="005A6226">
        <w:t xml:space="preserve">Based on feedback from the </w:t>
      </w:r>
      <w:r w:rsidR="00CF0D26">
        <w:t>Delegate</w:t>
      </w:r>
      <w:r w:rsidRPr="005A6226">
        <w:t xml:space="preserve">, </w:t>
      </w:r>
      <w:r w:rsidR="00F424D1">
        <w:t>the sponsor</w:t>
      </w:r>
      <w:r w:rsidRPr="005A6226">
        <w:t xml:space="preserve"> has revised the</w:t>
      </w:r>
      <w:r>
        <w:t xml:space="preserve"> proposed indication to include </w:t>
      </w:r>
      <w:r w:rsidRPr="005A6226">
        <w:t xml:space="preserve">reference to the age of patients studied. Further clarification of the target </w:t>
      </w:r>
      <w:r>
        <w:t xml:space="preserve">population disease severity has </w:t>
      </w:r>
      <w:r w:rsidRPr="005A6226">
        <w:t xml:space="preserve">also been added. </w:t>
      </w:r>
      <w:r w:rsidR="00F424D1">
        <w:t>The sponsor’s</w:t>
      </w:r>
      <w:r w:rsidRPr="005A6226">
        <w:t xml:space="preserve"> proposed modified indication is as follo</w:t>
      </w:r>
      <w:r>
        <w:t xml:space="preserve">ws (changes shown as underlined </w:t>
      </w:r>
      <w:r w:rsidRPr="005A6226">
        <w:t>text) and is consistent with that approved for N</w:t>
      </w:r>
      <w:r w:rsidR="00405B1C" w:rsidRPr="005A6226">
        <w:t>ucala</w:t>
      </w:r>
      <w:r w:rsidR="00F424D1">
        <w:t xml:space="preserve"> (mepolizumab)</w:t>
      </w:r>
      <w:r w:rsidRPr="005A6226">
        <w:t xml:space="preserve"> in Australia:</w:t>
      </w:r>
    </w:p>
    <w:p w14:paraId="192DCC94" w14:textId="77777777" w:rsidR="005A6226" w:rsidRPr="00405B1C" w:rsidRDefault="00E14798" w:rsidP="00405B1C">
      <w:pPr>
        <w:ind w:left="720"/>
        <w:rPr>
          <w:i/>
        </w:rPr>
      </w:pPr>
      <w:r w:rsidRPr="00405B1C">
        <w:rPr>
          <w:i/>
        </w:rPr>
        <w:t>Fasenra</w:t>
      </w:r>
      <w:r w:rsidR="005A6226" w:rsidRPr="00405B1C">
        <w:rPr>
          <w:i/>
        </w:rPr>
        <w:t xml:space="preserve"> is indicated as </w:t>
      </w:r>
      <w:proofErr w:type="gramStart"/>
      <w:r w:rsidR="005A6226" w:rsidRPr="00405B1C">
        <w:rPr>
          <w:i/>
        </w:rPr>
        <w:t xml:space="preserve">an add-on maintenance treatment for severe refractory asthma in patients aged 12 years and over with an eosinophilic </w:t>
      </w:r>
      <w:r w:rsidR="00405B1C">
        <w:rPr>
          <w:i/>
        </w:rPr>
        <w:t>phenotype (see</w:t>
      </w:r>
      <w:proofErr w:type="gramEnd"/>
      <w:r w:rsidR="00405B1C">
        <w:rPr>
          <w:i/>
        </w:rPr>
        <w:t xml:space="preserve"> Clinical Trials)</w:t>
      </w:r>
      <w:r w:rsidR="005A6226" w:rsidRPr="00405B1C">
        <w:rPr>
          <w:i/>
        </w:rPr>
        <w:t>.</w:t>
      </w:r>
    </w:p>
    <w:p w14:paraId="0D0DF8C0" w14:textId="2CF321AC" w:rsidR="005A6226" w:rsidRPr="005A6226" w:rsidRDefault="005A6226" w:rsidP="005A6226">
      <w:r w:rsidRPr="005A6226">
        <w:t xml:space="preserve">This indication, for </w:t>
      </w:r>
      <w:r w:rsidR="00E14798">
        <w:t>Fasenra</w:t>
      </w:r>
      <w:r w:rsidR="00F424D1">
        <w:t xml:space="preserve"> (benralizumab)</w:t>
      </w:r>
      <w:r w:rsidRPr="005A6226">
        <w:t xml:space="preserve"> at the recommended dose (30 mg dose</w:t>
      </w:r>
      <w:r>
        <w:t xml:space="preserve">d every 4 weeks for the first 3 </w:t>
      </w:r>
      <w:r w:rsidRPr="005A6226">
        <w:t>doses, then every 8 weeks thereafter) is fully supported by the compr</w:t>
      </w:r>
      <w:r>
        <w:t xml:space="preserve">ehensive </w:t>
      </w:r>
      <w:r w:rsidR="00E14798">
        <w:t>Fasenra</w:t>
      </w:r>
      <w:r>
        <w:t xml:space="preserve"> clinical trial </w:t>
      </w:r>
      <w:r w:rsidRPr="005A6226">
        <w:t>program including 2 pivotal asthma exacerbation trials (SIROCCO and CALIMA) in pati</w:t>
      </w:r>
      <w:r>
        <w:t xml:space="preserve">ents with 2 or </w:t>
      </w:r>
      <w:r w:rsidRPr="005A6226">
        <w:t>more prior exacerbations in the previous year enrolling patients across the</w:t>
      </w:r>
      <w:r>
        <w:t xml:space="preserve"> entire range of baseline blood </w:t>
      </w:r>
      <w:r w:rsidRPr="005A6226">
        <w:t>eosinophils and an OCS sparing trial (ZONDA), conducted in patients wit</w:t>
      </w:r>
      <w:r>
        <w:t xml:space="preserve">h 1 or more prior exacerbations </w:t>
      </w:r>
      <w:r w:rsidRPr="005A6226">
        <w:t xml:space="preserve">in the previous year with baseline blood eosinophils </w:t>
      </w:r>
      <w:r w:rsidR="00405B1C">
        <w:t>≥</w:t>
      </w:r>
      <w:r w:rsidR="007504A5">
        <w:t xml:space="preserve"> </w:t>
      </w:r>
      <w:r w:rsidRPr="005A6226">
        <w:t>150 cells/</w:t>
      </w:r>
      <w:r w:rsidR="00F424D1">
        <w:t>µ</w:t>
      </w:r>
      <w:r>
        <w:t xml:space="preserve">L. </w:t>
      </w:r>
      <w:r w:rsidR="00F424D1">
        <w:t xml:space="preserve">The sponsor </w:t>
      </w:r>
      <w:r>
        <w:t xml:space="preserve">ensured that the </w:t>
      </w:r>
      <w:r w:rsidRPr="005A6226">
        <w:t>population in the pivotal studies was representative of severe refractory a</w:t>
      </w:r>
      <w:r>
        <w:t xml:space="preserve">sthmatics by including patients </w:t>
      </w:r>
      <w:r w:rsidRPr="005A6226">
        <w:t>who were treated with high dose ICS (</w:t>
      </w:r>
      <w:r w:rsidR="005028A8">
        <w:t>&gt;</w:t>
      </w:r>
      <w:r w:rsidR="00F424D1">
        <w:t> </w:t>
      </w:r>
      <w:r w:rsidRPr="005A6226">
        <w:t>500</w:t>
      </w:r>
      <w:r w:rsidR="00F424D1">
        <w:t> µ</w:t>
      </w:r>
      <w:r w:rsidRPr="005A6226">
        <w:t>g of fluticasone propionate or equivalen</w:t>
      </w:r>
      <w:r>
        <w:t xml:space="preserve">t daily, according </w:t>
      </w:r>
      <w:r w:rsidRPr="005A6226">
        <w:t>to GINA guideline</w:t>
      </w:r>
      <w:r w:rsidR="00F424D1">
        <w:t>;</w:t>
      </w:r>
      <w:r w:rsidR="00405B1C">
        <w:rPr>
          <w:rStyle w:val="FootnoteReference"/>
        </w:rPr>
        <w:footnoteReference w:id="25"/>
      </w:r>
      <w:r w:rsidRPr="005A6226">
        <w:t xml:space="preserve"> plus LABA plus any additional cont</w:t>
      </w:r>
      <w:r>
        <w:t xml:space="preserve">roller medication that had been </w:t>
      </w:r>
      <w:r w:rsidRPr="005A6226">
        <w:t>stable for at least 30</w:t>
      </w:r>
      <w:r w:rsidR="00F424D1">
        <w:t> </w:t>
      </w:r>
      <w:r w:rsidRPr="005A6226">
        <w:t xml:space="preserve">days prior to enrolment. Use of systemic steroids </w:t>
      </w:r>
      <w:r>
        <w:t xml:space="preserve">was also allowed. Patients were </w:t>
      </w:r>
      <w:r w:rsidRPr="005A6226">
        <w:t>uncontrolled based on an ACQ score greater than 1.5. An additional c</w:t>
      </w:r>
      <w:r>
        <w:t xml:space="preserve">riterion to address severity in </w:t>
      </w:r>
      <w:r w:rsidR="00F424D1">
        <w:t xml:space="preserve">the </w:t>
      </w:r>
      <w:r w:rsidRPr="005A6226">
        <w:t>SIROCCO and CALIMA</w:t>
      </w:r>
      <w:r w:rsidR="00F424D1">
        <w:t xml:space="preserve"> trials</w:t>
      </w:r>
      <w:r w:rsidRPr="005A6226">
        <w:t xml:space="preserve"> was a history of 2 or more exacerbations in the </w:t>
      </w:r>
      <w:r>
        <w:t xml:space="preserve">year prior to </w:t>
      </w:r>
      <w:r w:rsidR="00AD6903">
        <w:t>randomisation</w:t>
      </w:r>
      <w:r>
        <w:t xml:space="preserve">. In </w:t>
      </w:r>
      <w:r w:rsidR="00F424D1">
        <w:t xml:space="preserve">the </w:t>
      </w:r>
      <w:r w:rsidRPr="005A6226">
        <w:t>ZONDA</w:t>
      </w:r>
      <w:r w:rsidR="00F424D1">
        <w:t xml:space="preserve"> trial</w:t>
      </w:r>
      <w:r w:rsidRPr="005A6226">
        <w:t>, severity was ascertained by including only those patients who required systemic stero</w:t>
      </w:r>
      <w:r w:rsidR="00664BEB">
        <w:t xml:space="preserve">ids. These </w:t>
      </w:r>
      <w:r w:rsidRPr="005A6226">
        <w:t xml:space="preserve">patient populations are fully described within </w:t>
      </w:r>
      <w:r w:rsidR="00405B1C" w:rsidRPr="005A6226">
        <w:t xml:space="preserve">the clinical trials </w:t>
      </w:r>
      <w:r w:rsidRPr="005A6226">
        <w:t>section of the proposed PI.</w:t>
      </w:r>
    </w:p>
    <w:p w14:paraId="6C0C8CF4" w14:textId="77777777" w:rsidR="00664BEB" w:rsidRPr="00664BEB" w:rsidRDefault="00664BEB" w:rsidP="00664BEB">
      <w:r w:rsidRPr="00664BEB">
        <w:t>Key results supporting the indication are as follows:</w:t>
      </w:r>
    </w:p>
    <w:p w14:paraId="3888571D" w14:textId="065F89D9" w:rsidR="00664BEB" w:rsidRPr="00664BEB" w:rsidRDefault="00F424D1" w:rsidP="00664BEB">
      <w:pPr>
        <w:pStyle w:val="ListBullet"/>
      </w:pPr>
      <w:r>
        <w:t xml:space="preserve">The </w:t>
      </w:r>
      <w:r w:rsidR="00664BEB" w:rsidRPr="00664BEB">
        <w:t xml:space="preserve">SIROCCO and CALIMA </w:t>
      </w:r>
      <w:r>
        <w:t xml:space="preserve">trials </w:t>
      </w:r>
      <w:r w:rsidR="00664BEB" w:rsidRPr="00664BEB">
        <w:t>demonstrated statistically signi</w:t>
      </w:r>
      <w:r w:rsidR="00664BEB">
        <w:t xml:space="preserve">ficant improvements for </w:t>
      </w:r>
      <w:r w:rsidR="00E14798">
        <w:t>Fasenra</w:t>
      </w:r>
      <w:r w:rsidR="00664BEB">
        <w:t xml:space="preserve"> </w:t>
      </w:r>
      <w:r w:rsidR="00664BEB" w:rsidRPr="00664BEB">
        <w:t>Q8W compared to placebo in exacerbation rate (51% an</w:t>
      </w:r>
      <w:r w:rsidR="00664BEB">
        <w:t xml:space="preserve">d 28% reduction), lung function </w:t>
      </w:r>
      <w:r w:rsidR="00664BEB" w:rsidRPr="00664BEB">
        <w:t>(0.159 L and 0.116 L improvement in FEV1) and improvem</w:t>
      </w:r>
      <w:r w:rsidR="00664BEB">
        <w:t xml:space="preserve">ents in symptoms in the primary </w:t>
      </w:r>
      <w:r w:rsidR="00664BEB" w:rsidRPr="00664BEB">
        <w:t>analysis population (patients with baseline eosinophi</w:t>
      </w:r>
      <w:r w:rsidR="00664BEB">
        <w:t xml:space="preserve">ls </w:t>
      </w:r>
      <w:r w:rsidR="007504A5">
        <w:t xml:space="preserve">≥ </w:t>
      </w:r>
      <w:r w:rsidR="00664BEB">
        <w:t>300 cells/</w:t>
      </w:r>
      <w:r>
        <w:t>µ</w:t>
      </w:r>
      <w:r w:rsidR="00664BEB">
        <w:t xml:space="preserve">L with 2 or more </w:t>
      </w:r>
      <w:r w:rsidR="00664BEB" w:rsidRPr="00664BEB">
        <w:t xml:space="preserve">exacerbations on </w:t>
      </w:r>
      <w:r w:rsidR="00596091">
        <w:t>high dose</w:t>
      </w:r>
      <w:r w:rsidR="00664BEB" w:rsidRPr="00664BEB">
        <w:t xml:space="preserve"> inhaled </w:t>
      </w:r>
      <w:r w:rsidR="00664BEB" w:rsidRPr="006A44F0">
        <w:t xml:space="preserve">corticosteroids) (see Tables </w:t>
      </w:r>
      <w:r w:rsidR="006A44F0" w:rsidRPr="006A44F0">
        <w:t>17</w:t>
      </w:r>
      <w:r w:rsidR="00664BEB" w:rsidRPr="006A44F0">
        <w:t xml:space="preserve"> </w:t>
      </w:r>
      <w:r w:rsidR="006A44F0" w:rsidRPr="006A44F0">
        <w:t>and 18</w:t>
      </w:r>
      <w:r w:rsidR="00664BEB" w:rsidRPr="006A44F0">
        <w:t>).</w:t>
      </w:r>
    </w:p>
    <w:p w14:paraId="6182D1B8" w14:textId="1A37EC74" w:rsidR="00664BEB" w:rsidRPr="00664BEB" w:rsidRDefault="00F424D1" w:rsidP="00664BEB">
      <w:pPr>
        <w:pStyle w:val="ListBullet"/>
      </w:pPr>
      <w:r>
        <w:t xml:space="preserve">The </w:t>
      </w:r>
      <w:r w:rsidR="00664BEB" w:rsidRPr="00664BEB">
        <w:t xml:space="preserve">ZONDA </w:t>
      </w:r>
      <w:r>
        <w:t xml:space="preserve">trial </w:t>
      </w:r>
      <w:r w:rsidR="00664BEB" w:rsidRPr="00664BEB">
        <w:t>demonstrated improvements in OCS reduction (</w:t>
      </w:r>
      <w:r w:rsidR="00664BEB">
        <w:t xml:space="preserve">median 75% reduction on </w:t>
      </w:r>
      <w:r w:rsidR="00E14798">
        <w:t>Fasenra</w:t>
      </w:r>
      <w:r w:rsidR="00664BEB">
        <w:t xml:space="preserve"> </w:t>
      </w:r>
      <w:r w:rsidR="00664BEB" w:rsidRPr="00664BEB">
        <w:t>Q8W compared to 25% reduction on placebo) in patients</w:t>
      </w:r>
      <w:r w:rsidR="00664BEB">
        <w:t xml:space="preserve"> with baseline eosinophils </w:t>
      </w:r>
      <w:r w:rsidR="007504A5">
        <w:t xml:space="preserve">≥ </w:t>
      </w:r>
      <w:r w:rsidR="00664BEB">
        <w:t xml:space="preserve">150 </w:t>
      </w:r>
      <w:r w:rsidR="00664BEB" w:rsidRPr="00664BEB">
        <w:t>cells/</w:t>
      </w:r>
      <w:r>
        <w:t>µ</w:t>
      </w:r>
      <w:r w:rsidR="00664BEB" w:rsidRPr="00664BEB">
        <w:t xml:space="preserve">L with 1 or more exacerbation in the previous </w:t>
      </w:r>
      <w:r w:rsidR="00664BEB" w:rsidRPr="006A44F0">
        <w:t xml:space="preserve">year (see Table </w:t>
      </w:r>
      <w:r w:rsidR="006A44F0">
        <w:t>19</w:t>
      </w:r>
      <w:r w:rsidR="00664BEB">
        <w:t xml:space="preserve">). </w:t>
      </w:r>
      <w:r w:rsidR="00664BEB" w:rsidRPr="00664BEB">
        <w:t>The improvements in OCS were achieved in parallel</w:t>
      </w:r>
      <w:r w:rsidR="00664BEB">
        <w:t xml:space="preserve"> with a 70% </w:t>
      </w:r>
      <w:r w:rsidR="00664BEB">
        <w:lastRenderedPageBreak/>
        <w:t xml:space="preserve">reduction in annual </w:t>
      </w:r>
      <w:r w:rsidR="00664BEB" w:rsidRPr="00664BEB">
        <w:t>exacerbation rate (nominal p</w:t>
      </w:r>
      <w:r w:rsidR="00DE7499">
        <w:t xml:space="preserve"> </w:t>
      </w:r>
      <w:r w:rsidR="007504A5">
        <w:t xml:space="preserve">&lt; </w:t>
      </w:r>
      <w:r w:rsidR="00664BEB" w:rsidRPr="00664BEB">
        <w:t>0.001) and a 93% reducti</w:t>
      </w:r>
      <w:r w:rsidR="00664BEB">
        <w:t xml:space="preserve">on in the rate of exacerbations </w:t>
      </w:r>
      <w:r w:rsidR="00664BEB" w:rsidRPr="00664BEB">
        <w:t>associated with hospitalisation/ER visit (nominal p</w:t>
      </w:r>
      <w:r w:rsidR="00DE7499">
        <w:t xml:space="preserve"> </w:t>
      </w:r>
      <w:r w:rsidR="007504A5">
        <w:t xml:space="preserve">&lt; </w:t>
      </w:r>
      <w:r w:rsidR="00664BEB" w:rsidRPr="00664BEB">
        <w:t>0.018).</w:t>
      </w:r>
    </w:p>
    <w:p w14:paraId="72B4660B" w14:textId="77777777" w:rsidR="00664BEB" w:rsidRPr="00664BEB" w:rsidRDefault="00664BEB" w:rsidP="00664BEB">
      <w:pPr>
        <w:pStyle w:val="ListBullet"/>
      </w:pPr>
      <w:r w:rsidRPr="00664BEB">
        <w:t xml:space="preserve">Safety data demonstrate that </w:t>
      </w:r>
      <w:r w:rsidR="00E14798">
        <w:t>Fasenra</w:t>
      </w:r>
      <w:r w:rsidRPr="00664BEB">
        <w:t xml:space="preserve"> is well tolerated and h</w:t>
      </w:r>
      <w:r>
        <w:t xml:space="preserve">as a favourable safety profile, </w:t>
      </w:r>
      <w:r w:rsidR="00405B1C">
        <w:t>that is,</w:t>
      </w:r>
      <w:r w:rsidRPr="00664BEB">
        <w:t xml:space="preserve"> a safety profile comparable to standard of care in complet</w:t>
      </w:r>
      <w:r>
        <w:t xml:space="preserve">ed studies of up to 56 weeks in </w:t>
      </w:r>
      <w:r w:rsidRPr="00664BEB">
        <w:t>duration.</w:t>
      </w:r>
    </w:p>
    <w:p w14:paraId="0DBBAAE9" w14:textId="2D356886" w:rsidR="005A6226" w:rsidRDefault="00664BEB" w:rsidP="00664BEB">
      <w:pPr>
        <w:pStyle w:val="ListBullet"/>
      </w:pPr>
      <w:r w:rsidRPr="00664BEB">
        <w:t>The safety and PD effect in adolescents was consistent with th</w:t>
      </w:r>
      <w:r>
        <w:t xml:space="preserve">at of adults. Adolescents had a </w:t>
      </w:r>
      <w:r w:rsidRPr="00664BEB">
        <w:t>lower rate of treatment emergent adverse events and seri</w:t>
      </w:r>
      <w:r>
        <w:t xml:space="preserve">ous adverse events than adults, </w:t>
      </w:r>
      <w:r w:rsidRPr="00664BEB">
        <w:t xml:space="preserve">although efficacy results in adolescents were equivocal. As noted by the </w:t>
      </w:r>
      <w:r w:rsidR="00CF0D26">
        <w:t>Delegate</w:t>
      </w:r>
      <w:r>
        <w:t xml:space="preserve">, these </w:t>
      </w:r>
      <w:r w:rsidRPr="00664BEB">
        <w:t xml:space="preserve">studies were not powered for this sub-group analysis. </w:t>
      </w:r>
      <w:r w:rsidR="00F424D1">
        <w:t xml:space="preserve">The sponsor </w:t>
      </w:r>
      <w:r>
        <w:t xml:space="preserve">finds no scientific or </w:t>
      </w:r>
      <w:r w:rsidRPr="00664BEB">
        <w:t>biological rationale to expect that an adolescent severe asthma p</w:t>
      </w:r>
      <w:r w:rsidR="00405B1C">
        <w:t xml:space="preserve">atient with eosinophilic </w:t>
      </w:r>
      <w:r>
        <w:t xml:space="preserve">driven </w:t>
      </w:r>
      <w:r w:rsidRPr="00664BEB">
        <w:t xml:space="preserve">disease would not potentially benefit from treatment with </w:t>
      </w:r>
      <w:r w:rsidR="00E14798">
        <w:t>Fasenra</w:t>
      </w:r>
      <w:r w:rsidRPr="00664BEB">
        <w:t>. Based on the</w:t>
      </w:r>
      <w:r>
        <w:t xml:space="preserve"> </w:t>
      </w:r>
      <w:r w:rsidRPr="00664BEB">
        <w:t xml:space="preserve">recommendation of the </w:t>
      </w:r>
      <w:r w:rsidR="00CF0D26">
        <w:t>Delegate</w:t>
      </w:r>
      <w:r w:rsidRPr="00664BEB">
        <w:t xml:space="preserve">, and consistent with the recent approval of </w:t>
      </w:r>
      <w:r w:rsidR="00E14798">
        <w:t>Fasenra</w:t>
      </w:r>
      <w:r w:rsidRPr="00664BEB">
        <w:t xml:space="preserve"> in the</w:t>
      </w:r>
      <w:r>
        <w:t xml:space="preserve"> </w:t>
      </w:r>
      <w:r w:rsidRPr="00664BEB">
        <w:t xml:space="preserve">US, </w:t>
      </w:r>
      <w:r w:rsidR="00F424D1">
        <w:t>the sponsor</w:t>
      </w:r>
      <w:r w:rsidR="00F424D1" w:rsidRPr="00664BEB">
        <w:t xml:space="preserve"> </w:t>
      </w:r>
      <w:r w:rsidRPr="00664BEB">
        <w:t>has agreed to revise the indication to includ</w:t>
      </w:r>
      <w:r>
        <w:t xml:space="preserve">e adolescents; see also ‘Use in </w:t>
      </w:r>
      <w:r w:rsidRPr="00664BEB">
        <w:t>Adolescents (12 to 17 years)’ below</w:t>
      </w:r>
      <w:r>
        <w:t>.</w:t>
      </w:r>
    </w:p>
    <w:p w14:paraId="73986A4F" w14:textId="19E91249" w:rsidR="005A6226" w:rsidRPr="00664BEB" w:rsidRDefault="00664BEB" w:rsidP="00664BEB">
      <w:r w:rsidRPr="00664BEB">
        <w:t>Identification of the eosinophilic phenotype remains a clinical diagnosis with no single definition of a</w:t>
      </w:r>
      <w:r>
        <w:t xml:space="preserve"> </w:t>
      </w:r>
      <w:r w:rsidRPr="00664BEB">
        <w:t xml:space="preserve">baseline blood eosinophil level to </w:t>
      </w:r>
      <w:r w:rsidR="00AD6903" w:rsidRPr="00664BEB">
        <w:t>characteri</w:t>
      </w:r>
      <w:r w:rsidR="00AD6903">
        <w:t>s</w:t>
      </w:r>
      <w:r w:rsidR="00AD6903" w:rsidRPr="00664BEB">
        <w:t xml:space="preserve">e </w:t>
      </w:r>
      <w:r w:rsidRPr="00664BEB">
        <w:t xml:space="preserve">these patients. </w:t>
      </w:r>
      <w:r w:rsidR="00405B1C">
        <w:t>S</w:t>
      </w:r>
      <w:r w:rsidR="007504A5">
        <w:t>ponsor</w:t>
      </w:r>
      <w:r w:rsidRPr="00664BEB">
        <w:t>s hav</w:t>
      </w:r>
      <w:r>
        <w:t xml:space="preserve">e </w:t>
      </w:r>
      <w:r w:rsidR="00F424D1">
        <w:t xml:space="preserve">utilised </w:t>
      </w:r>
      <w:r>
        <w:t xml:space="preserve">different thresholds </w:t>
      </w:r>
      <w:r w:rsidRPr="00664BEB">
        <w:t xml:space="preserve">in clinical trials for </w:t>
      </w:r>
      <w:r w:rsidR="00E14798">
        <w:t>Fasenra</w:t>
      </w:r>
      <w:r w:rsidR="00F424D1">
        <w:t xml:space="preserve"> (benralizumab)</w:t>
      </w:r>
      <w:r w:rsidRPr="00664BEB">
        <w:t>, N</w:t>
      </w:r>
      <w:r w:rsidR="00405B1C" w:rsidRPr="00664BEB">
        <w:t>ucala</w:t>
      </w:r>
      <w:r w:rsidR="00F424D1">
        <w:t xml:space="preserve"> (mepolizumab)</w:t>
      </w:r>
      <w:r w:rsidRPr="00664BEB">
        <w:t xml:space="preserve"> and C</w:t>
      </w:r>
      <w:r w:rsidR="00405B1C" w:rsidRPr="00664BEB">
        <w:t>inqair</w:t>
      </w:r>
      <w:r w:rsidR="00F424D1">
        <w:t xml:space="preserve"> (reslizumab)</w:t>
      </w:r>
      <w:r w:rsidRPr="00664BEB">
        <w:t>. Unlike p</w:t>
      </w:r>
      <w:r>
        <w:t xml:space="preserve">rograms for previously approved </w:t>
      </w:r>
      <w:r w:rsidRPr="00664BEB">
        <w:t>biological medicines targeting this phenotype, the benralizumab progr</w:t>
      </w:r>
      <w:r>
        <w:t xml:space="preserve">am enrolled patients across the </w:t>
      </w:r>
      <w:r w:rsidRPr="00664BEB">
        <w:t xml:space="preserve">entire range of baseline blood eosinophils. Relevant datasets summarised </w:t>
      </w:r>
      <w:r>
        <w:t xml:space="preserve">by eosinophil level at baseline </w:t>
      </w:r>
      <w:r w:rsidRPr="00664BEB">
        <w:t>and/or prior exacerbation history are discussed in more detail below. Ana</w:t>
      </w:r>
      <w:r>
        <w:t xml:space="preserve">lyses of the integrated data as </w:t>
      </w:r>
      <w:r w:rsidRPr="00664BEB">
        <w:t xml:space="preserve">well as results in patients with baseline eosinophils </w:t>
      </w:r>
      <w:r w:rsidR="007504A5">
        <w:t xml:space="preserve">&lt; </w:t>
      </w:r>
      <w:r w:rsidRPr="00664BEB">
        <w:t>300 cells/</w:t>
      </w:r>
      <w:r w:rsidR="00F424D1">
        <w:t>µ</w:t>
      </w:r>
      <w:r w:rsidRPr="00664BEB">
        <w:t>L, that were studied but not included in</w:t>
      </w:r>
      <w:r>
        <w:t xml:space="preserve"> </w:t>
      </w:r>
      <w:r w:rsidRPr="00664BEB">
        <w:t xml:space="preserve">the SIROCCO/CALIMA </w:t>
      </w:r>
      <w:r w:rsidR="00F424D1">
        <w:t xml:space="preserve">trials </w:t>
      </w:r>
      <w:r w:rsidRPr="00664BEB">
        <w:t>primary analysis population described above, indicate:</w:t>
      </w:r>
    </w:p>
    <w:p w14:paraId="39334559" w14:textId="4F132C7D" w:rsidR="005A6226" w:rsidRPr="004D70B4" w:rsidRDefault="00664BEB" w:rsidP="00664BEB">
      <w:pPr>
        <w:pStyle w:val="ListBullet"/>
      </w:pPr>
      <w:r w:rsidRPr="00664BEB">
        <w:t xml:space="preserve">Efficacy of </w:t>
      </w:r>
      <w:r w:rsidR="00E14798">
        <w:t>Fasenra</w:t>
      </w:r>
      <w:r w:rsidRPr="00664BEB">
        <w:t xml:space="preserve"> across the range of blood eosinophils with enhanced efficacy</w:t>
      </w:r>
      <w:r>
        <w:t xml:space="preserve"> </w:t>
      </w:r>
      <w:r w:rsidRPr="00664BEB">
        <w:t>observed with increasing baseline blood eosinophil levels, most clearly seen for FEV1</w:t>
      </w:r>
      <w:r>
        <w:t xml:space="preserve">. There </w:t>
      </w:r>
      <w:r w:rsidRPr="00664BEB">
        <w:t>is no specific baseline eosinophil count below which there is no</w:t>
      </w:r>
      <w:r>
        <w:t xml:space="preserve"> efficacy; results are in </w:t>
      </w:r>
      <w:r w:rsidRPr="00664BEB">
        <w:t xml:space="preserve">favour of treatment with </w:t>
      </w:r>
      <w:r w:rsidR="00E14798">
        <w:t>Fasenra</w:t>
      </w:r>
      <w:r w:rsidRPr="00664BEB">
        <w:t xml:space="preserve"> over placebo at </w:t>
      </w:r>
      <w:r w:rsidR="007504A5">
        <w:t xml:space="preserve">&lt; </w:t>
      </w:r>
      <w:r w:rsidRPr="00664BEB">
        <w:t>3</w:t>
      </w:r>
      <w:r>
        <w:t>00 cells/</w:t>
      </w:r>
      <w:r w:rsidR="00F424D1">
        <w:t>µ</w:t>
      </w:r>
      <w:r>
        <w:t xml:space="preserve">L in both </w:t>
      </w:r>
      <w:r w:rsidR="00F424D1">
        <w:t xml:space="preserve">the </w:t>
      </w:r>
      <w:r>
        <w:t xml:space="preserve">SIROCCO and </w:t>
      </w:r>
      <w:r w:rsidRPr="006A44F0">
        <w:t>CALIMA</w:t>
      </w:r>
      <w:r w:rsidR="00F424D1">
        <w:t xml:space="preserve"> trials</w:t>
      </w:r>
      <w:r w:rsidRPr="006A44F0">
        <w:t xml:space="preserve"> (see Table 2</w:t>
      </w:r>
      <w:r w:rsidR="006A44F0" w:rsidRPr="006A44F0">
        <w:t>6</w:t>
      </w:r>
      <w:r w:rsidRPr="006A44F0">
        <w:t>),</w:t>
      </w:r>
      <w:r w:rsidRPr="00664BEB">
        <w:t xml:space="preserve"> and a</w:t>
      </w:r>
      <w:r>
        <w:t xml:space="preserve">t all cut-offs evaluated in the </w:t>
      </w:r>
      <w:r w:rsidRPr="00664BEB">
        <w:t>integrated analysis set (</w:t>
      </w:r>
      <w:r w:rsidR="007504A5">
        <w:t xml:space="preserve">&lt; </w:t>
      </w:r>
      <w:r w:rsidR="00405B1C">
        <w:t xml:space="preserve">150, 150 to 299, 300 to </w:t>
      </w:r>
      <w:r w:rsidRPr="00664BEB">
        <w:t xml:space="preserve">449 and </w:t>
      </w:r>
      <w:r w:rsidR="00DE7499">
        <w:t>≥ 450 </w:t>
      </w:r>
      <w:r w:rsidRPr="00664BEB">
        <w:t>cell</w:t>
      </w:r>
      <w:r>
        <w:t>s/</w:t>
      </w:r>
      <w:r w:rsidR="00F424D1">
        <w:t>µ</w:t>
      </w:r>
      <w:r>
        <w:t>L</w:t>
      </w:r>
      <w:r w:rsidRPr="004D70B4">
        <w:t>; see Figures 1</w:t>
      </w:r>
      <w:r w:rsidR="004D70B4" w:rsidRPr="004D70B4">
        <w:t>3</w:t>
      </w:r>
      <w:r w:rsidRPr="004D70B4">
        <w:t xml:space="preserve"> and </w:t>
      </w:r>
      <w:r w:rsidR="004D70B4" w:rsidRPr="004D70B4">
        <w:t>14</w:t>
      </w:r>
      <w:r w:rsidRPr="004D70B4">
        <w:t>).</w:t>
      </w:r>
    </w:p>
    <w:p w14:paraId="7EF8297D" w14:textId="77777777" w:rsidR="00664BEB" w:rsidRPr="00664BEB" w:rsidRDefault="00664BEB" w:rsidP="00664BEB">
      <w:pPr>
        <w:pStyle w:val="ListBullet"/>
      </w:pPr>
      <w:r w:rsidRPr="00664BEB">
        <w:t>Evidence of enhanced response for asthmatics with greater numbers of prior exacerbations, as</w:t>
      </w:r>
      <w:r>
        <w:t xml:space="preserve"> </w:t>
      </w:r>
      <w:r w:rsidRPr="00664BEB">
        <w:t xml:space="preserve">noted by the </w:t>
      </w:r>
      <w:r w:rsidR="00CF0D26">
        <w:t>Delegate</w:t>
      </w:r>
      <w:r w:rsidRPr="00664BEB">
        <w:t>:</w:t>
      </w:r>
    </w:p>
    <w:p w14:paraId="115CAF87" w14:textId="2D9E857D" w:rsidR="00664BEB" w:rsidRPr="006A44F0" w:rsidRDefault="00664BEB" w:rsidP="00664BEB">
      <w:pPr>
        <w:pStyle w:val="ListBullet2"/>
      </w:pPr>
      <w:r w:rsidRPr="00664BEB">
        <w:t xml:space="preserve">While </w:t>
      </w:r>
      <w:r w:rsidR="00F424D1">
        <w:t xml:space="preserve">the </w:t>
      </w:r>
      <w:r w:rsidRPr="00664BEB">
        <w:t xml:space="preserve">SIROCCO/CALIMA </w:t>
      </w:r>
      <w:r w:rsidR="00F424D1">
        <w:t xml:space="preserve">trials </w:t>
      </w:r>
      <w:r w:rsidRPr="00664BEB">
        <w:t>were not powered to assess eff</w:t>
      </w:r>
      <w:r>
        <w:t xml:space="preserve">icacy within prior exacerbation </w:t>
      </w:r>
      <w:r w:rsidRPr="00664BEB">
        <w:t xml:space="preserve">subgroups, </w:t>
      </w:r>
      <w:r w:rsidR="00F424D1">
        <w:t>the sponsor</w:t>
      </w:r>
      <w:r w:rsidR="00F424D1" w:rsidRPr="00664BEB">
        <w:t xml:space="preserve"> </w:t>
      </w:r>
      <w:r w:rsidRPr="00664BEB">
        <w:t>notes that although effi</w:t>
      </w:r>
      <w:r>
        <w:t xml:space="preserve">cacy results in patients with 2 </w:t>
      </w:r>
      <w:r w:rsidRPr="00664BEB">
        <w:t xml:space="preserve">exacerbations in the previous year were equivocal </w:t>
      </w:r>
      <w:r>
        <w:t xml:space="preserve">in </w:t>
      </w:r>
      <w:r w:rsidR="00F424D1">
        <w:t xml:space="preserve">the </w:t>
      </w:r>
      <w:r>
        <w:t>CALIMA</w:t>
      </w:r>
      <w:r w:rsidR="00F424D1">
        <w:t xml:space="preserve"> trial</w:t>
      </w:r>
      <w:r>
        <w:t xml:space="preserve">, </w:t>
      </w:r>
      <w:r w:rsidR="00F424D1">
        <w:t xml:space="preserve">the </w:t>
      </w:r>
      <w:r>
        <w:t>SIROCCO</w:t>
      </w:r>
      <w:r w:rsidR="00F424D1">
        <w:t xml:space="preserve"> trial </w:t>
      </w:r>
      <w:r>
        <w:t xml:space="preserve"> demonstrated </w:t>
      </w:r>
      <w:r w:rsidRPr="00664BEB">
        <w:t>a 45% reduction in exacerbations compared to plac</w:t>
      </w:r>
      <w:r>
        <w:t>ebo (nominal p</w:t>
      </w:r>
      <w:r w:rsidR="00405B1C">
        <w:t xml:space="preserve"> </w:t>
      </w:r>
      <w:r>
        <w:t>=</w:t>
      </w:r>
      <w:r w:rsidR="00405B1C">
        <w:t xml:space="preserve"> </w:t>
      </w:r>
      <w:r>
        <w:t xml:space="preserve">0.002) for these </w:t>
      </w:r>
      <w:r w:rsidRPr="00664BEB">
        <w:t>patients (</w:t>
      </w:r>
      <w:r w:rsidRPr="006A44F0">
        <w:t xml:space="preserve">see Table </w:t>
      </w:r>
      <w:r w:rsidR="006A44F0" w:rsidRPr="006A44F0">
        <w:t>30</w:t>
      </w:r>
      <w:r w:rsidRPr="006A44F0">
        <w:t>).</w:t>
      </w:r>
    </w:p>
    <w:p w14:paraId="2BC67F1F" w14:textId="4DB2E204" w:rsidR="00664BEB" w:rsidRDefault="00F424D1" w:rsidP="00664BEB">
      <w:pPr>
        <w:pStyle w:val="ListBullet2"/>
      </w:pPr>
      <w:r>
        <w:t xml:space="preserve">The </w:t>
      </w:r>
      <w:r w:rsidR="00664BEB" w:rsidRPr="00664BEB">
        <w:t>ZONDA</w:t>
      </w:r>
      <w:r>
        <w:t xml:space="preserve"> trial</w:t>
      </w:r>
      <w:r w:rsidR="00664BEB" w:rsidRPr="00664BEB">
        <w:t xml:space="preserve"> recruited 60% of patients with 1 or more prior exac</w:t>
      </w:r>
      <w:r w:rsidR="00664BEB">
        <w:t xml:space="preserve">erbations in the previous year. </w:t>
      </w:r>
      <w:r w:rsidR="00664BEB" w:rsidRPr="00664BEB">
        <w:t>In this study, all subgroups showed reductions in OCS us</w:t>
      </w:r>
      <w:r w:rsidR="00664BEB">
        <w:t xml:space="preserve">age from baseline regardless of </w:t>
      </w:r>
      <w:r w:rsidR="00664BEB" w:rsidRPr="00664BEB">
        <w:t>prior exacerbations (median decrease from baseline of 6</w:t>
      </w:r>
      <w:r w:rsidR="00664BEB">
        <w:t xml:space="preserve">2.5%, 83.3% and 75% in patients </w:t>
      </w:r>
      <w:r w:rsidR="00664BEB" w:rsidRPr="00664BEB">
        <w:t xml:space="preserve">with 1, 2 or </w:t>
      </w:r>
      <w:r w:rsidR="007504A5">
        <w:t xml:space="preserve">≥ </w:t>
      </w:r>
      <w:r w:rsidR="00664BEB" w:rsidRPr="00664BEB">
        <w:t>3 prior exacerbations)</w:t>
      </w:r>
      <w:r>
        <w:t>.</w:t>
      </w:r>
    </w:p>
    <w:p w14:paraId="7907A120" w14:textId="43266694" w:rsidR="00DE7499" w:rsidRDefault="006A44F0" w:rsidP="00DE7499">
      <w:pPr>
        <w:pStyle w:val="TableTitle"/>
      </w:pPr>
      <w:r>
        <w:lastRenderedPageBreak/>
        <w:t>Table 30:</w:t>
      </w:r>
      <w:r w:rsidR="00DE7499">
        <w:t xml:space="preserve"> Absolute and percent change from baseline in blood eosinophil counts at </w:t>
      </w:r>
      <w:r w:rsidR="00F424D1">
        <w:t>Baseline</w:t>
      </w:r>
      <w:r w:rsidR="00DE7499">
        <w:t xml:space="preserve">, Week 4, and </w:t>
      </w:r>
      <w:r w:rsidR="00F424D1">
        <w:t>end of trial</w:t>
      </w:r>
      <w:r w:rsidR="00DE7499">
        <w:t xml:space="preserve"> (SIROCCO and CALIMA</w:t>
      </w:r>
      <w:r w:rsidR="00F424D1">
        <w:t xml:space="preserve"> trials;</w:t>
      </w:r>
      <w:r w:rsidR="00DE7499">
        <w:t xml:space="preserve"> Full analysis set, baseline blood eosinophils ≥300/</w:t>
      </w:r>
      <w:r w:rsidR="00F424D1">
        <w:t>µ</w:t>
      </w:r>
      <w:r w:rsidR="00DE7499">
        <w:t>L, high-dose ICS)</w:t>
      </w:r>
    </w:p>
    <w:p w14:paraId="34BD32CD" w14:textId="77777777" w:rsidR="00DE7499" w:rsidRPr="00DE7499" w:rsidRDefault="00DE7499" w:rsidP="00DE7499">
      <w:r>
        <w:rPr>
          <w:noProof/>
          <w:lang w:eastAsia="en-AU"/>
        </w:rPr>
        <w:drawing>
          <wp:inline distT="0" distB="0" distL="0" distR="0" wp14:anchorId="3192B6A8" wp14:editId="64761FC6">
            <wp:extent cx="5400040" cy="2197516"/>
            <wp:effectExtent l="0" t="0" r="0" b="0"/>
            <wp:docPr id="31" name="Picture 31" descr="Table 30: Absolute and percent change from baseline in blood eosinophil counts at baseline, Week 4, and EOT (SIROCCO and CALIMA - Full analysis set, baseline blood eosinophils ≥300/μL, high-dose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197516"/>
                    </a:xfrm>
                    <a:prstGeom prst="rect">
                      <a:avLst/>
                    </a:prstGeom>
                  </pic:spPr>
                </pic:pic>
              </a:graphicData>
            </a:graphic>
          </wp:inline>
        </w:drawing>
      </w:r>
    </w:p>
    <w:p w14:paraId="5952A4C8" w14:textId="0E029713" w:rsidR="005A6226" w:rsidRPr="00664BEB" w:rsidRDefault="00664BEB" w:rsidP="00664BEB">
      <w:r w:rsidRPr="00664BEB">
        <w:t>The approach to simplification of indication statements whereby reference</w:t>
      </w:r>
      <w:r>
        <w:t xml:space="preserve"> is made to the Clinical Trials </w:t>
      </w:r>
      <w:r w:rsidRPr="00664BEB">
        <w:t>section for specific details of the assessed patient populations (i</w:t>
      </w:r>
      <w:r>
        <w:t xml:space="preserve">ncluding subgroups representing </w:t>
      </w:r>
      <w:r w:rsidRPr="00664BEB">
        <w:t xml:space="preserve">predictors of enhanced response) rather than inclusion as part of the Indication </w:t>
      </w:r>
      <w:r>
        <w:t xml:space="preserve">is consistent with that </w:t>
      </w:r>
      <w:r w:rsidRPr="00664BEB">
        <w:t>adopted by the TGA for N</w:t>
      </w:r>
      <w:r w:rsidR="00405B1C" w:rsidRPr="00664BEB">
        <w:t>ucala</w:t>
      </w:r>
      <w:r w:rsidRPr="00664BEB">
        <w:t xml:space="preserve"> </w:t>
      </w:r>
      <w:r w:rsidR="00F57115">
        <w:t xml:space="preserve">(mepolizumab) </w:t>
      </w:r>
      <w:r w:rsidRPr="00664BEB">
        <w:t xml:space="preserve">as well as AstraZeneca products </w:t>
      </w:r>
      <w:r>
        <w:t xml:space="preserve">in other therapeutic areas (for </w:t>
      </w:r>
      <w:r w:rsidRPr="00664BEB">
        <w:t>example, oral diabetes products). The background and benefit of this app</w:t>
      </w:r>
      <w:r>
        <w:t xml:space="preserve">roach has been described in the </w:t>
      </w:r>
      <w:r w:rsidRPr="00664BEB">
        <w:t>N</w:t>
      </w:r>
      <w:r w:rsidR="00405B1C" w:rsidRPr="00664BEB">
        <w:t>ucala</w:t>
      </w:r>
      <w:r w:rsidR="007A69A5">
        <w:t xml:space="preserve"> Au</w:t>
      </w:r>
      <w:r w:rsidRPr="00664BEB">
        <w:t>s</w:t>
      </w:r>
      <w:r w:rsidR="007A69A5">
        <w:t>PAR</w:t>
      </w:r>
      <w:r w:rsidRPr="00664BEB">
        <w:t xml:space="preserve"> where it is explained that presenting the information in</w:t>
      </w:r>
      <w:r>
        <w:t xml:space="preserve"> this way ensures that the full </w:t>
      </w:r>
      <w:r w:rsidRPr="00664BEB">
        <w:t>prescribing information is considered in its entirety by the presc</w:t>
      </w:r>
      <w:r>
        <w:t xml:space="preserve">riber to inform the appropriate </w:t>
      </w:r>
      <w:r w:rsidRPr="00664BEB">
        <w:t>prescribing decision for the patient.</w:t>
      </w:r>
    </w:p>
    <w:p w14:paraId="52888358" w14:textId="6149E44A" w:rsidR="00664BEB" w:rsidRPr="00664BEB" w:rsidRDefault="00405B1C" w:rsidP="00405B1C">
      <w:pPr>
        <w:pStyle w:val="Heading6"/>
      </w:pPr>
      <w:r w:rsidRPr="00664BEB">
        <w:t>Commen</w:t>
      </w:r>
      <w:r>
        <w:t xml:space="preserve">ts on </w:t>
      </w:r>
      <w:r w:rsidR="007A69A5">
        <w:t>ACM</w:t>
      </w:r>
      <w:r>
        <w:t xml:space="preserve"> advice sought by the </w:t>
      </w:r>
      <w:r w:rsidR="0039213E">
        <w:t>d</w:t>
      </w:r>
      <w:r w:rsidR="00CF0D26">
        <w:t>elegate</w:t>
      </w:r>
    </w:p>
    <w:p w14:paraId="5A239604" w14:textId="77777777" w:rsidR="00405B1C" w:rsidRDefault="00664BEB" w:rsidP="00664BEB">
      <w:r w:rsidRPr="00664BEB">
        <w:t xml:space="preserve">The </w:t>
      </w:r>
      <w:r w:rsidR="00CF0D26">
        <w:t>Delegate</w:t>
      </w:r>
      <w:r w:rsidRPr="00664BEB">
        <w:t xml:space="preserve"> seeks the co</w:t>
      </w:r>
      <w:r w:rsidR="00405B1C">
        <w:t>mmittee’s advice on two issues:</w:t>
      </w:r>
    </w:p>
    <w:p w14:paraId="223F097F" w14:textId="333A147B" w:rsidR="00405B1C" w:rsidRPr="00331732" w:rsidRDefault="00F57115" w:rsidP="00405B1C">
      <w:pPr>
        <w:pStyle w:val="Numberbullet0"/>
        <w:numPr>
          <w:ilvl w:val="0"/>
          <w:numId w:val="31"/>
        </w:numPr>
        <w:rPr>
          <w:i/>
        </w:rPr>
      </w:pPr>
      <w:r>
        <w:rPr>
          <w:i/>
        </w:rPr>
        <w:t>T</w:t>
      </w:r>
      <w:r w:rsidR="00664BEB" w:rsidRPr="00331732">
        <w:rPr>
          <w:i/>
        </w:rPr>
        <w:t>he potential impact of long term near complete depletion of eosinophils on the immune system particularly</w:t>
      </w:r>
      <w:r w:rsidR="00405B1C" w:rsidRPr="00331732">
        <w:rPr>
          <w:i/>
        </w:rPr>
        <w:t xml:space="preserve"> in severe asthmatics</w:t>
      </w:r>
    </w:p>
    <w:p w14:paraId="1B1345CD" w14:textId="1FE7BE37" w:rsidR="000D4801" w:rsidRPr="00331732" w:rsidRDefault="00F57115" w:rsidP="00405B1C">
      <w:pPr>
        <w:pStyle w:val="Numberbullet0"/>
        <w:numPr>
          <w:ilvl w:val="0"/>
          <w:numId w:val="31"/>
        </w:numPr>
        <w:rPr>
          <w:i/>
        </w:rPr>
      </w:pPr>
      <w:r>
        <w:rPr>
          <w:i/>
        </w:rPr>
        <w:t>T</w:t>
      </w:r>
      <w:r w:rsidR="00405B1C" w:rsidRPr="00331732">
        <w:rPr>
          <w:i/>
        </w:rPr>
        <w:t xml:space="preserve">he </w:t>
      </w:r>
      <w:r w:rsidR="00664BEB" w:rsidRPr="00331732">
        <w:rPr>
          <w:i/>
        </w:rPr>
        <w:t xml:space="preserve">proposed age restriction of </w:t>
      </w:r>
      <w:r w:rsidR="005028A8" w:rsidRPr="00331732">
        <w:rPr>
          <w:i/>
        </w:rPr>
        <w:t xml:space="preserve">&gt; </w:t>
      </w:r>
      <w:r w:rsidR="00664BEB" w:rsidRPr="00331732">
        <w:rPr>
          <w:i/>
        </w:rPr>
        <w:t>12 years old (</w:t>
      </w:r>
      <w:r w:rsidR="00F971ED" w:rsidRPr="00331732">
        <w:rPr>
          <w:i/>
        </w:rPr>
        <w:t>that is</w:t>
      </w:r>
      <w:r w:rsidR="00664BEB" w:rsidRPr="00331732">
        <w:rPr>
          <w:i/>
        </w:rPr>
        <w:t>, use in adolescents).</w:t>
      </w:r>
    </w:p>
    <w:p w14:paraId="675C1225" w14:textId="76E4B0B4" w:rsidR="00664BEB" w:rsidRPr="000D4801" w:rsidRDefault="00F57115" w:rsidP="000D4801">
      <w:pPr>
        <w:pStyle w:val="Numberbullet0"/>
        <w:numPr>
          <w:ilvl w:val="0"/>
          <w:numId w:val="0"/>
        </w:numPr>
      </w:pPr>
      <w:r>
        <w:t>The sponsor’s</w:t>
      </w:r>
      <w:r w:rsidRPr="000D4801">
        <w:t xml:space="preserve"> </w:t>
      </w:r>
      <w:r w:rsidR="00664BEB" w:rsidRPr="000D4801">
        <w:t>comments on both aspects are provided below</w:t>
      </w:r>
      <w:r>
        <w:t>:</w:t>
      </w:r>
    </w:p>
    <w:p w14:paraId="5230FA72" w14:textId="77777777" w:rsidR="00664BEB" w:rsidRPr="00F57115" w:rsidRDefault="00664BEB" w:rsidP="00F57115">
      <w:pPr>
        <w:pStyle w:val="ListBullet"/>
      </w:pPr>
      <w:r w:rsidRPr="00F57115">
        <w:t>Extent of long</w:t>
      </w:r>
      <w:r w:rsidR="00F971ED" w:rsidRPr="00F57115">
        <w:t xml:space="preserve"> t</w:t>
      </w:r>
      <w:r w:rsidRPr="00F57115">
        <w:t>erm exposure and risk management approach</w:t>
      </w:r>
    </w:p>
    <w:p w14:paraId="3C04BB8F" w14:textId="655CD223" w:rsidR="00664BEB" w:rsidRPr="00664BEB" w:rsidRDefault="00F57115" w:rsidP="00664BEB">
      <w:r>
        <w:t>The sponsor</w:t>
      </w:r>
      <w:r w:rsidRPr="00664BEB">
        <w:t xml:space="preserve"> </w:t>
      </w:r>
      <w:r w:rsidR="00664BEB" w:rsidRPr="00664BEB">
        <w:t>considers that the exposure underpinning the evaluation of safety is adequate to support the</w:t>
      </w:r>
      <w:r w:rsidR="00664BEB">
        <w:t xml:space="preserve"> </w:t>
      </w:r>
      <w:r w:rsidR="00664BEB" w:rsidRPr="00664BEB">
        <w:t>proposed indication, including treatment of adolescents and long</w:t>
      </w:r>
      <w:r w:rsidR="00F971ED">
        <w:t xml:space="preserve"> t</w:t>
      </w:r>
      <w:r w:rsidR="00664BEB">
        <w:t xml:space="preserve">erm use. Based upon </w:t>
      </w:r>
      <w:r>
        <w:t xml:space="preserve">the </w:t>
      </w:r>
      <w:r w:rsidR="00664BEB">
        <w:t xml:space="preserve">SIROCCO and </w:t>
      </w:r>
      <w:r w:rsidR="00664BEB" w:rsidRPr="00664BEB">
        <w:t>CALIMA</w:t>
      </w:r>
      <w:r>
        <w:t xml:space="preserve"> trials</w:t>
      </w:r>
      <w:r w:rsidR="00664BEB" w:rsidRPr="00664BEB">
        <w:t>, which formed the basis of the pooled data for the Integrated Su</w:t>
      </w:r>
      <w:r w:rsidR="00664BEB">
        <w:t xml:space="preserve">mmary of Safety in the original </w:t>
      </w:r>
      <w:r w:rsidR="00664BEB" w:rsidRPr="00664BEB">
        <w:t xml:space="preserve">submission, 762 patients were treated with </w:t>
      </w:r>
      <w:r w:rsidR="00E14798">
        <w:t>Fasenra</w:t>
      </w:r>
      <w:r w:rsidR="00664BEB" w:rsidRPr="00664BEB">
        <w:t xml:space="preserve"> for at least 1 </w:t>
      </w:r>
      <w:r w:rsidR="00664BEB">
        <w:t>year (</w:t>
      </w:r>
      <w:r w:rsidR="007504A5">
        <w:t xml:space="preserve">≥ </w:t>
      </w:r>
      <w:r w:rsidR="00664BEB">
        <w:t>52 weeks of on</w:t>
      </w:r>
      <w:r w:rsidR="00F971ED">
        <w:t xml:space="preserve"> t</w:t>
      </w:r>
      <w:r w:rsidR="00664BEB">
        <w:t xml:space="preserve">reatment </w:t>
      </w:r>
      <w:r w:rsidR="00664BEB" w:rsidRPr="00664BEB">
        <w:t xml:space="preserve">follow-up), 396 and 366 in the </w:t>
      </w:r>
      <w:r w:rsidR="00E14798">
        <w:t>Fasenra</w:t>
      </w:r>
      <w:r w:rsidR="00664BEB" w:rsidRPr="00664BEB">
        <w:t xml:space="preserve"> Q4W and Q8W treatment groups respectively</w:t>
      </w:r>
      <w:r w:rsidR="00664BEB">
        <w:t>. The 4</w:t>
      </w:r>
      <w:r w:rsidR="00F971ED">
        <w:t xml:space="preserve"> month</w:t>
      </w:r>
      <w:r w:rsidR="00664BEB">
        <w:t xml:space="preserve"> </w:t>
      </w:r>
      <w:r w:rsidR="00664BEB" w:rsidRPr="00664BEB">
        <w:t>safety update (4MSU; data cut off 21 Oct</w:t>
      </w:r>
      <w:r w:rsidR="007A69A5">
        <w:t>ober</w:t>
      </w:r>
      <w:r w:rsidR="00664BEB" w:rsidRPr="00664BEB">
        <w:t xml:space="preserve"> 2016) submitted to the T</w:t>
      </w:r>
      <w:r w:rsidR="00664BEB">
        <w:t xml:space="preserve">GA in our response </w:t>
      </w:r>
      <w:r w:rsidR="007A69A5">
        <w:t xml:space="preserve">(to first round questions) </w:t>
      </w:r>
      <w:r w:rsidR="00664BEB">
        <w:t xml:space="preserve">provided </w:t>
      </w:r>
      <w:r w:rsidR="00664BEB" w:rsidRPr="00664BEB">
        <w:t>further support to the adequacy of the dataset supporting the indicati</w:t>
      </w:r>
      <w:r w:rsidR="00664BEB">
        <w:t xml:space="preserve">on. Upon completion of </w:t>
      </w:r>
      <w:r>
        <w:t xml:space="preserve">the </w:t>
      </w:r>
      <w:r w:rsidR="00664BEB">
        <w:t xml:space="preserve">SIROCCO, </w:t>
      </w:r>
      <w:r w:rsidR="00664BEB" w:rsidRPr="00664BEB">
        <w:t>CALIMA, and ZONDA</w:t>
      </w:r>
      <w:r>
        <w:t xml:space="preserve"> trials</w:t>
      </w:r>
      <w:r w:rsidR="00664BEB" w:rsidRPr="00664BEB">
        <w:t>, eligible patients were offered the opportu</w:t>
      </w:r>
      <w:r w:rsidR="00664BEB">
        <w:t>nity to roll into the long</w:t>
      </w:r>
      <w:r w:rsidR="00F971ED">
        <w:t xml:space="preserve"> t</w:t>
      </w:r>
      <w:r w:rsidR="00664BEB">
        <w:t xml:space="preserve">erm </w:t>
      </w:r>
      <w:r w:rsidR="00664BEB" w:rsidRPr="00664BEB">
        <w:t>extension study (</w:t>
      </w:r>
      <w:r>
        <w:t xml:space="preserve">the </w:t>
      </w:r>
      <w:r w:rsidR="00664BEB" w:rsidRPr="00664BEB">
        <w:t>BORA</w:t>
      </w:r>
      <w:r>
        <w:t xml:space="preserve"> trial</w:t>
      </w:r>
      <w:r w:rsidR="00664BEB" w:rsidRPr="00664BEB">
        <w:t xml:space="preserve">), in which all patients received </w:t>
      </w:r>
      <w:r w:rsidR="00E14798">
        <w:t>Fasenra</w:t>
      </w:r>
      <w:r w:rsidR="00664BEB" w:rsidRPr="00664BEB">
        <w:t xml:space="preserve"> t</w:t>
      </w:r>
      <w:r w:rsidR="00664BEB">
        <w:t xml:space="preserve">reatment. Patients who received </w:t>
      </w:r>
      <w:r w:rsidR="00E14798">
        <w:t>Fasenra</w:t>
      </w:r>
      <w:r w:rsidR="00664BEB" w:rsidRPr="00664BEB">
        <w:t xml:space="preserve"> in the predecessor studies continued on the same regime</w:t>
      </w:r>
      <w:r w:rsidR="00664BEB">
        <w:t xml:space="preserve">n in </w:t>
      </w:r>
      <w:r>
        <w:t xml:space="preserve">the </w:t>
      </w:r>
      <w:r w:rsidR="00664BEB">
        <w:t>BORA</w:t>
      </w:r>
      <w:r>
        <w:t xml:space="preserve"> trial</w:t>
      </w:r>
      <w:r w:rsidR="00664BEB">
        <w:t xml:space="preserve">, while those patients </w:t>
      </w:r>
      <w:r w:rsidR="00664BEB" w:rsidRPr="00664BEB">
        <w:t xml:space="preserve">who previously received placebo were randomised to 1 of the 2 </w:t>
      </w:r>
      <w:r w:rsidR="00E14798">
        <w:t>Fasenra</w:t>
      </w:r>
      <w:r w:rsidR="00664BEB">
        <w:t xml:space="preserve"> regimens. Three-hundred </w:t>
      </w:r>
      <w:r w:rsidR="00664BEB" w:rsidRPr="00664BEB">
        <w:t>forty-five</w:t>
      </w:r>
      <w:r>
        <w:t xml:space="preserve"> (345)</w:t>
      </w:r>
      <w:r w:rsidR="00664BEB" w:rsidRPr="00664BEB">
        <w:t xml:space="preserve"> patients have also rolled over from </w:t>
      </w:r>
      <w:r>
        <w:t xml:space="preserve">the </w:t>
      </w:r>
      <w:r w:rsidR="00664BEB" w:rsidRPr="00664BEB">
        <w:t>BORA</w:t>
      </w:r>
      <w:r>
        <w:t xml:space="preserve"> trial</w:t>
      </w:r>
      <w:r w:rsidR="00664BEB" w:rsidRPr="00664BEB">
        <w:t xml:space="preserve"> to continue the</w:t>
      </w:r>
      <w:r w:rsidR="00664BEB">
        <w:t xml:space="preserve"> same </w:t>
      </w:r>
      <w:r w:rsidR="00E14798">
        <w:t>Fasenra</w:t>
      </w:r>
      <w:r w:rsidR="00664BEB">
        <w:t xml:space="preserve"> treatment regimen </w:t>
      </w:r>
      <w:r w:rsidR="00664BEB" w:rsidRPr="00664BEB">
        <w:t xml:space="preserve">in </w:t>
      </w:r>
      <w:r>
        <w:t xml:space="preserve">the </w:t>
      </w:r>
      <w:r w:rsidR="00664BEB" w:rsidRPr="00664BEB">
        <w:t>MELTEMI</w:t>
      </w:r>
      <w:r>
        <w:t xml:space="preserve"> trial</w:t>
      </w:r>
      <w:r w:rsidR="00664BEB" w:rsidRPr="00664BEB">
        <w:t>, a second long</w:t>
      </w:r>
      <w:r w:rsidR="00F971ED">
        <w:t xml:space="preserve"> t</w:t>
      </w:r>
      <w:r w:rsidR="00664BEB" w:rsidRPr="00664BEB">
        <w:t xml:space="preserve">erm extension </w:t>
      </w:r>
      <w:r w:rsidR="00664BEB" w:rsidRPr="007A69A5">
        <w:t xml:space="preserve">study. As such, both the total number of patients exposed to </w:t>
      </w:r>
      <w:r w:rsidR="00E14798" w:rsidRPr="007A69A5">
        <w:t>Fasenra</w:t>
      </w:r>
      <w:r w:rsidR="00664BEB" w:rsidRPr="007A69A5">
        <w:t>, as well as the total duration</w:t>
      </w:r>
      <w:r w:rsidR="00664BEB">
        <w:t xml:space="preserve"> of exposure </w:t>
      </w:r>
      <w:r w:rsidR="00664BEB" w:rsidRPr="00664BEB">
        <w:t xml:space="preserve">to </w:t>
      </w:r>
      <w:r w:rsidR="00E14798">
        <w:t>Fasenra</w:t>
      </w:r>
      <w:r w:rsidR="00664BEB" w:rsidRPr="00664BEB">
        <w:t xml:space="preserve"> has increased since the </w:t>
      </w:r>
      <w:r w:rsidR="007504A5">
        <w:t>Phase III</w:t>
      </w:r>
      <w:r w:rsidR="00664BEB" w:rsidRPr="00664BEB">
        <w:t xml:space="preserve"> pivotal studies compl</w:t>
      </w:r>
      <w:r w:rsidR="00664BEB">
        <w:t xml:space="preserve">eted. As noted in the submitted </w:t>
      </w:r>
      <w:r w:rsidR="00664BEB" w:rsidRPr="00664BEB">
        <w:t xml:space="preserve">4MSU, the total number of unique patients exposed </w:t>
      </w:r>
      <w:r w:rsidR="00664BEB" w:rsidRPr="00664BEB">
        <w:lastRenderedPageBreak/>
        <w:t xml:space="preserve">to </w:t>
      </w:r>
      <w:r w:rsidR="00E14798">
        <w:t>Fasenra</w:t>
      </w:r>
      <w:r w:rsidR="00664BEB" w:rsidRPr="00664BEB">
        <w:t xml:space="preserve"> for a</w:t>
      </w:r>
      <w:r w:rsidR="00664BEB">
        <w:t>t least 52 weeks was 1</w:t>
      </w:r>
      <w:r w:rsidR="00405B1C">
        <w:t>,</w:t>
      </w:r>
      <w:r w:rsidR="00664BEB">
        <w:t>819 (1</w:t>
      </w:r>
      <w:r w:rsidR="003A1589">
        <w:t>,</w:t>
      </w:r>
      <w:r w:rsidR="00664BEB">
        <w:t xml:space="preserve">708 </w:t>
      </w:r>
      <w:r w:rsidR="00664BEB" w:rsidRPr="00664BEB">
        <w:t xml:space="preserve">from </w:t>
      </w:r>
      <w:r>
        <w:t xml:space="preserve">the </w:t>
      </w:r>
      <w:r w:rsidR="00664BEB" w:rsidRPr="00664BEB">
        <w:t>SIROCCO/CALIMA</w:t>
      </w:r>
      <w:r>
        <w:t xml:space="preserve"> trials</w:t>
      </w:r>
      <w:r w:rsidR="00664BEB" w:rsidRPr="00664BEB">
        <w:t xml:space="preserve"> and 111 patients from </w:t>
      </w:r>
      <w:r>
        <w:t xml:space="preserve">the </w:t>
      </w:r>
      <w:r w:rsidR="00664BEB" w:rsidRPr="00664BEB">
        <w:t>ZONDA</w:t>
      </w:r>
      <w:r>
        <w:t xml:space="preserve"> trial</w:t>
      </w:r>
      <w:r w:rsidR="00664BEB" w:rsidRPr="00664BEB">
        <w:t>) including 69</w:t>
      </w:r>
      <w:r w:rsidR="00664BEB">
        <w:t xml:space="preserve">3 and 662 patients who received </w:t>
      </w:r>
      <w:r w:rsidR="00E14798">
        <w:t>Fasenra</w:t>
      </w:r>
      <w:r w:rsidR="00664BEB" w:rsidRPr="00664BEB">
        <w:t xml:space="preserve"> 30 mg Q4W and Q8W, respectively, in the predecessor studi</w:t>
      </w:r>
      <w:r w:rsidR="00664BEB">
        <w:t xml:space="preserve">es, more than double the number </w:t>
      </w:r>
      <w:r w:rsidR="00664BEB" w:rsidRPr="00664BEB">
        <w:t>of patients exposed for at least a year in the original submission pooled dataset. The interim long</w:t>
      </w:r>
      <w:r w:rsidR="00F971ED">
        <w:t xml:space="preserve"> t</w:t>
      </w:r>
      <w:r w:rsidR="00664BEB" w:rsidRPr="00664BEB">
        <w:t>erm</w:t>
      </w:r>
      <w:r w:rsidR="00664BEB">
        <w:t xml:space="preserve"> </w:t>
      </w:r>
      <w:r w:rsidR="00664BEB" w:rsidRPr="00664BEB">
        <w:t xml:space="preserve">safety analysis in the 4MSU demonstrated that the safety data </w:t>
      </w:r>
      <w:r w:rsidR="00405B1C">
        <w:t xml:space="preserve">were consistent in the exposure </w:t>
      </w:r>
      <w:r w:rsidR="00664BEB" w:rsidRPr="00664BEB">
        <w:t>adjusted</w:t>
      </w:r>
      <w:r w:rsidR="00664BEB">
        <w:t xml:space="preserve"> </w:t>
      </w:r>
      <w:r w:rsidR="00664BEB" w:rsidRPr="00664BEB">
        <w:t>rates over time for potential risks when compared with those report</w:t>
      </w:r>
      <w:r w:rsidR="00664BEB">
        <w:t xml:space="preserve">ed for </w:t>
      </w:r>
      <w:r>
        <w:t xml:space="preserve">the </w:t>
      </w:r>
      <w:r w:rsidR="00664BEB">
        <w:t>BORA and MELTEMI</w:t>
      </w:r>
      <w:r>
        <w:t xml:space="preserve"> trials</w:t>
      </w:r>
      <w:r w:rsidR="00664BEB">
        <w:t xml:space="preserve">. Hence, </w:t>
      </w:r>
      <w:r w:rsidR="00664BEB" w:rsidRPr="00664BEB">
        <w:t>there were no changes in the interpretation of the safety data relative t</w:t>
      </w:r>
      <w:r w:rsidR="00664BEB">
        <w:t xml:space="preserve">o that described in the initial </w:t>
      </w:r>
      <w:r w:rsidR="00664BEB" w:rsidRPr="00664BEB">
        <w:t>submission. In addition, it is noted that the independent Data Safet</w:t>
      </w:r>
      <w:r w:rsidR="00664BEB">
        <w:t xml:space="preserve">y Monitoring Board (DSMB) which </w:t>
      </w:r>
      <w:r w:rsidR="00664BEB" w:rsidRPr="00664BEB">
        <w:t xml:space="preserve">regularly monitored and reviewed safety during </w:t>
      </w:r>
      <w:r>
        <w:t xml:space="preserve">the </w:t>
      </w:r>
      <w:r w:rsidR="00664BEB" w:rsidRPr="00664BEB">
        <w:t>SIROCCO/CALIMA</w:t>
      </w:r>
      <w:r>
        <w:t xml:space="preserve"> trials</w:t>
      </w:r>
      <w:r w:rsidR="00664BEB" w:rsidRPr="00664BEB">
        <w:t xml:space="preserve"> con</w:t>
      </w:r>
      <w:r w:rsidR="00664BEB">
        <w:t xml:space="preserve">tinues to oversee safety in the </w:t>
      </w:r>
      <w:r w:rsidR="00664BEB" w:rsidRPr="00664BEB">
        <w:t xml:space="preserve">subsequent ongoing BORA </w:t>
      </w:r>
      <w:r>
        <w:t>trial</w:t>
      </w:r>
      <w:r w:rsidR="00664BEB" w:rsidRPr="00664BEB">
        <w:t>. To date, no safety concerns have been raised by the DSMB.</w:t>
      </w:r>
    </w:p>
    <w:p w14:paraId="1C9C361E" w14:textId="5D9EE8B0" w:rsidR="005A6226" w:rsidRPr="00664BEB" w:rsidRDefault="00664BEB" w:rsidP="00664BEB">
      <w:r w:rsidRPr="00664BEB">
        <w:t>In terms of risk management, ‘Safety profile of the long</w:t>
      </w:r>
      <w:r w:rsidR="00F971ED">
        <w:t xml:space="preserve"> t</w:t>
      </w:r>
      <w:r w:rsidRPr="00664BEB">
        <w:t>erm use of benralizu</w:t>
      </w:r>
      <w:r>
        <w:t xml:space="preserve">mab 30 mg SC’ is also </w:t>
      </w:r>
      <w:r w:rsidRPr="00664BEB">
        <w:t xml:space="preserve">documented as an element of missing information in the RMP for </w:t>
      </w:r>
      <w:r w:rsidR="00E14798">
        <w:t>Fasenra</w:t>
      </w:r>
      <w:r>
        <w:t xml:space="preserve">. In addition to routine </w:t>
      </w:r>
      <w:r w:rsidR="00405B1C">
        <w:t>pharmacovigilance</w:t>
      </w:r>
      <w:r>
        <w:t xml:space="preserve">, </w:t>
      </w:r>
      <w:r w:rsidR="00F57115">
        <w:t xml:space="preserve">the </w:t>
      </w:r>
      <w:r w:rsidRPr="00664BEB">
        <w:t xml:space="preserve">BORA and MELTEMI </w:t>
      </w:r>
      <w:r w:rsidR="00F57115">
        <w:t xml:space="preserve">trial </w:t>
      </w:r>
      <w:r w:rsidRPr="00664BEB">
        <w:t>will enable further characterisation of the long</w:t>
      </w:r>
      <w:r w:rsidR="00F971ED">
        <w:t xml:space="preserve"> t</w:t>
      </w:r>
      <w:r>
        <w:t xml:space="preserve">erm safety profile of </w:t>
      </w:r>
      <w:r w:rsidR="00E14798">
        <w:t>Fasenra</w:t>
      </w:r>
      <w:r>
        <w:t xml:space="preserve"> </w:t>
      </w:r>
      <w:r w:rsidRPr="00664BEB">
        <w:t>at the recommended dose. Even though not confirmed by available curre</w:t>
      </w:r>
      <w:r>
        <w:t xml:space="preserve">nt safety data from the </w:t>
      </w:r>
      <w:r w:rsidR="007504A5">
        <w:t>Phase III</w:t>
      </w:r>
      <w:r>
        <w:t xml:space="preserve"> </w:t>
      </w:r>
      <w:r w:rsidRPr="00664BEB">
        <w:t>studies and long</w:t>
      </w:r>
      <w:r w:rsidR="00F971ED">
        <w:t xml:space="preserve"> t</w:t>
      </w:r>
      <w:r w:rsidRPr="00664BEB">
        <w:t>erm extension studies, the most commonly known r</w:t>
      </w:r>
      <w:r>
        <w:t xml:space="preserve">isk factors (class effects) for </w:t>
      </w:r>
      <w:r w:rsidRPr="00664BEB">
        <w:t>biological medicines including IL-5 receptor blockers (</w:t>
      </w:r>
      <w:r w:rsidR="00F971ED">
        <w:t>that is</w:t>
      </w:r>
      <w:r w:rsidRPr="00664BEB">
        <w:t xml:space="preserve"> malignancy, serious hypersensitivit</w:t>
      </w:r>
      <w:r>
        <w:t xml:space="preserve">y, serious </w:t>
      </w:r>
      <w:r w:rsidRPr="00664BEB">
        <w:t xml:space="preserve">infections, </w:t>
      </w:r>
      <w:r w:rsidR="00F57115">
        <w:t>h</w:t>
      </w:r>
      <w:r w:rsidR="00F57115" w:rsidRPr="00664BEB">
        <w:t xml:space="preserve">elminth </w:t>
      </w:r>
      <w:r w:rsidRPr="00664BEB">
        <w:t>parasitic infection) are included within the E</w:t>
      </w:r>
      <w:r>
        <w:t xml:space="preserve">U-RMP submitted to the TGA. The </w:t>
      </w:r>
      <w:r w:rsidRPr="00664BEB">
        <w:t xml:space="preserve">analysis of the data from </w:t>
      </w:r>
      <w:r w:rsidR="00F57115">
        <w:t xml:space="preserve">the </w:t>
      </w:r>
      <w:r w:rsidRPr="00664BEB">
        <w:t>BORA/MELTEMI</w:t>
      </w:r>
      <w:r w:rsidR="00F57115">
        <w:t xml:space="preserve"> trials</w:t>
      </w:r>
      <w:r w:rsidRPr="00664BEB">
        <w:t xml:space="preserve"> along with post-marketing </w:t>
      </w:r>
      <w:r>
        <w:t xml:space="preserve">data will enable </w:t>
      </w:r>
      <w:r w:rsidR="00F57115">
        <w:t xml:space="preserve">the sponsor </w:t>
      </w:r>
      <w:r>
        <w:t xml:space="preserve">to </w:t>
      </w:r>
      <w:r w:rsidRPr="00664BEB">
        <w:t xml:space="preserve">further </w:t>
      </w:r>
      <w:r w:rsidR="00AD6903" w:rsidRPr="00664BEB">
        <w:t>characteri</w:t>
      </w:r>
      <w:r w:rsidR="00AD6903">
        <w:t>s</w:t>
      </w:r>
      <w:r w:rsidR="00AD6903" w:rsidRPr="00664BEB">
        <w:t xml:space="preserve">e </w:t>
      </w:r>
      <w:r w:rsidRPr="00664BEB">
        <w:t>these potential risks.</w:t>
      </w:r>
    </w:p>
    <w:p w14:paraId="2FD4D638" w14:textId="77777777" w:rsidR="00664BEB" w:rsidRPr="00664BEB" w:rsidRDefault="00664BEB" w:rsidP="00F57115">
      <w:pPr>
        <w:pStyle w:val="ListBullet"/>
      </w:pPr>
      <w:r w:rsidRPr="00664BEB">
        <w:t>Safety profile including long term safety considerations</w:t>
      </w:r>
    </w:p>
    <w:p w14:paraId="132AFA76" w14:textId="225F29D5" w:rsidR="005A6226" w:rsidRPr="00664BEB" w:rsidRDefault="00E14798" w:rsidP="00664BEB">
      <w:r>
        <w:t>Fasenra</w:t>
      </w:r>
      <w:r w:rsidR="00405B1C">
        <w:t xml:space="preserve"> has a well </w:t>
      </w:r>
      <w:r w:rsidR="00664BEB" w:rsidRPr="00664BEB">
        <w:t>characterised safety profile that is comparable to</w:t>
      </w:r>
      <w:r w:rsidR="00664BEB">
        <w:t xml:space="preserve"> placebo, with few adverse drug </w:t>
      </w:r>
      <w:r w:rsidR="00664BEB" w:rsidRPr="00664BEB">
        <w:t>reactions (ADRs), and these ADRs are of a nature and severity that are not expected to have a clinically</w:t>
      </w:r>
      <w:r w:rsidR="00664BEB">
        <w:t xml:space="preserve"> </w:t>
      </w:r>
      <w:r w:rsidR="00664BEB" w:rsidRPr="00664BEB">
        <w:t>meaningful impact on individual patients or at a population level. In ad</w:t>
      </w:r>
      <w:r w:rsidR="00664BEB">
        <w:t xml:space="preserve">dition, there are few important </w:t>
      </w:r>
      <w:r w:rsidR="00664BEB" w:rsidRPr="00664BEB">
        <w:t xml:space="preserve">potential risks which may be associated with use of </w:t>
      </w:r>
      <w:r>
        <w:t>Fasenra</w:t>
      </w:r>
      <w:r w:rsidR="00664BEB" w:rsidRPr="00664BEB">
        <w:t xml:space="preserve"> including</w:t>
      </w:r>
      <w:r w:rsidR="00664BEB">
        <w:t xml:space="preserve"> clinically important potential </w:t>
      </w:r>
      <w:r w:rsidR="00664BEB" w:rsidRPr="00664BEB">
        <w:t xml:space="preserve">risks based on </w:t>
      </w:r>
      <w:r w:rsidR="005E3545">
        <w:t>mechanism of action</w:t>
      </w:r>
      <w:r w:rsidR="005E3545" w:rsidRPr="00664BEB">
        <w:t xml:space="preserve"> </w:t>
      </w:r>
      <w:r w:rsidR="005E3545">
        <w:t>(</w:t>
      </w:r>
      <w:r w:rsidR="00664BEB" w:rsidRPr="00664BEB">
        <w:t>MOA</w:t>
      </w:r>
      <w:r w:rsidR="005E3545">
        <w:t>)</w:t>
      </w:r>
      <w:r w:rsidR="00664BEB" w:rsidRPr="00664BEB">
        <w:t xml:space="preserve"> (serious infection, malignancies, and helminth inf</w:t>
      </w:r>
      <w:r w:rsidR="00664BEB">
        <w:t xml:space="preserve">ection) and risks common to any </w:t>
      </w:r>
      <w:proofErr w:type="spellStart"/>
      <w:r w:rsidR="00664BEB" w:rsidRPr="00E91F99">
        <w:t>mAb</w:t>
      </w:r>
      <w:proofErr w:type="spellEnd"/>
      <w:r w:rsidR="00664BEB" w:rsidRPr="00E91F99">
        <w:t xml:space="preserve"> (hypersensitivity). Specifically, the literature evidence relating to the potential risk of malignancy associated with long</w:t>
      </w:r>
      <w:r w:rsidR="00F971ED" w:rsidRPr="00E91F99">
        <w:t xml:space="preserve"> t</w:t>
      </w:r>
      <w:r w:rsidR="00664BEB" w:rsidRPr="00E91F99">
        <w:t xml:space="preserve">erm eosinophil depletion is conflicting. However, there has been no evidence of a risk of malignancy from the </w:t>
      </w:r>
      <w:r w:rsidRPr="00E91F99">
        <w:t>Fasenra</w:t>
      </w:r>
      <w:r w:rsidR="00664BEB" w:rsidRPr="00E91F99">
        <w:t xml:space="preserve"> clinical development programme and preclinical models of carcinogenicity are not available to inform this risk. The topic will continue to be evaluated and is considered as a potential risk. The overall</w:t>
      </w:r>
      <w:r w:rsidR="00664BEB" w:rsidRPr="00664BEB">
        <w:t xml:space="preserve"> adjudicated malignant </w:t>
      </w:r>
      <w:r w:rsidR="00664BEB">
        <w:t xml:space="preserve">neoplasm rate in </w:t>
      </w:r>
      <w:r w:rsidR="00F57115">
        <w:t xml:space="preserve">the </w:t>
      </w:r>
      <w:r w:rsidR="00664BEB">
        <w:t>SIROCCO/CALIMA</w:t>
      </w:r>
      <w:r w:rsidR="00F57115">
        <w:t xml:space="preserve"> trials</w:t>
      </w:r>
      <w:r w:rsidR="00664BEB">
        <w:t xml:space="preserve"> </w:t>
      </w:r>
      <w:r w:rsidR="00664BEB" w:rsidRPr="00664BEB">
        <w:t xml:space="preserve">was balanced across treatment groups (0.24% </w:t>
      </w:r>
      <w:r w:rsidR="00F57115">
        <w:t>(</w:t>
      </w:r>
      <w:r w:rsidR="00664BEB" w:rsidRPr="00664BEB">
        <w:t>4/1663</w:t>
      </w:r>
      <w:r w:rsidR="00F57115">
        <w:t>)</w:t>
      </w:r>
      <w:r w:rsidR="00664BEB" w:rsidRPr="00664BEB">
        <w:t xml:space="preserve"> in the </w:t>
      </w:r>
      <w:r>
        <w:t>Fasenra</w:t>
      </w:r>
      <w:r w:rsidR="00664BEB" w:rsidRPr="00664BEB">
        <w:t xml:space="preserve"> treatment arms </w:t>
      </w:r>
      <w:r w:rsidR="00CF0D26">
        <w:t>versus</w:t>
      </w:r>
      <w:r w:rsidR="00664BEB" w:rsidRPr="00664BEB">
        <w:t xml:space="preserve"> 0.24%</w:t>
      </w:r>
      <w:r w:rsidR="00664BEB">
        <w:t xml:space="preserve"> </w:t>
      </w:r>
      <w:r w:rsidR="00F57115">
        <w:t>(</w:t>
      </w:r>
      <w:r w:rsidR="00664BEB" w:rsidRPr="00664BEB">
        <w:t>2/847</w:t>
      </w:r>
      <w:r w:rsidR="00F57115">
        <w:t>)</w:t>
      </w:r>
      <w:r w:rsidR="00664BEB" w:rsidRPr="00664BEB">
        <w:t xml:space="preserve"> in the placebo treatment arm) (as per 4MSU provided in </w:t>
      </w:r>
      <w:r w:rsidR="00405B1C">
        <w:t>the</w:t>
      </w:r>
      <w:r w:rsidR="00664BEB" w:rsidRPr="00664BEB">
        <w:t xml:space="preserve"> response</w:t>
      </w:r>
      <w:r w:rsidR="00405B1C">
        <w:t xml:space="preserve"> to first round evaluation</w:t>
      </w:r>
      <w:r w:rsidR="00664BEB" w:rsidRPr="00664BEB">
        <w:t>). In agreement with</w:t>
      </w:r>
      <w:r w:rsidR="00757A38">
        <w:t xml:space="preserve"> </w:t>
      </w:r>
      <w:r w:rsidR="00F57115">
        <w:t>sponsor’s</w:t>
      </w:r>
      <w:r w:rsidR="00F57115" w:rsidRPr="00664BEB">
        <w:t xml:space="preserve"> </w:t>
      </w:r>
      <w:r w:rsidR="00664BEB" w:rsidRPr="00664BEB">
        <w:t xml:space="preserve">view, the </w:t>
      </w:r>
      <w:r w:rsidR="00CF0D26">
        <w:t>Delegate</w:t>
      </w:r>
      <w:r w:rsidR="00664BEB" w:rsidRPr="00664BEB">
        <w:t xml:space="preserve"> concluded that there is currently ins</w:t>
      </w:r>
      <w:r w:rsidR="00757A38">
        <w:t xml:space="preserve">ufficient evidence to support a </w:t>
      </w:r>
      <w:r w:rsidR="00664BEB" w:rsidRPr="00664BEB">
        <w:t xml:space="preserve">causal association between malignancy and treatment with </w:t>
      </w:r>
      <w:r>
        <w:t>Fasenra</w:t>
      </w:r>
      <w:r w:rsidR="00664BEB" w:rsidRPr="00664BEB">
        <w:t xml:space="preserve"> </w:t>
      </w:r>
      <w:r w:rsidR="00757A38">
        <w:t xml:space="preserve">based on the available data. In </w:t>
      </w:r>
      <w:r w:rsidR="00664BEB" w:rsidRPr="00664BEB">
        <w:t xml:space="preserve">addition, </w:t>
      </w:r>
      <w:r w:rsidR="00F57115">
        <w:t>the sponsor</w:t>
      </w:r>
      <w:r w:rsidR="00F57115" w:rsidRPr="00664BEB">
        <w:t xml:space="preserve"> </w:t>
      </w:r>
      <w:r w:rsidR="00664BEB" w:rsidRPr="00664BEB">
        <w:t>acknowledges that there are still limited nu</w:t>
      </w:r>
      <w:r w:rsidR="00757A38">
        <w:t xml:space="preserve">mbers of subjects who have been </w:t>
      </w:r>
      <w:r w:rsidR="00664BEB" w:rsidRPr="00664BEB">
        <w:t>exposed for longer time durations (refer to 4MSU exposures detailed above).</w:t>
      </w:r>
    </w:p>
    <w:p w14:paraId="72D74BB8" w14:textId="3F6DC18B" w:rsidR="005A6226" w:rsidRPr="00E91F99" w:rsidRDefault="00757A38" w:rsidP="00757A38">
      <w:r w:rsidRPr="00DC01C3">
        <w:t xml:space="preserve">Although the potential risk of malignancy is considered to be low, </w:t>
      </w:r>
      <w:r w:rsidR="00F57115">
        <w:t>the sponsor</w:t>
      </w:r>
      <w:r w:rsidR="00F57115" w:rsidRPr="00DC01C3">
        <w:t xml:space="preserve"> </w:t>
      </w:r>
      <w:r w:rsidRPr="00DC01C3">
        <w:t>continues</w:t>
      </w:r>
      <w:r w:rsidRPr="00757A38">
        <w:t xml:space="preserve"> to develop a</w:t>
      </w:r>
      <w:r>
        <w:t xml:space="preserve"> </w:t>
      </w:r>
      <w:r w:rsidRPr="00757A38">
        <w:t xml:space="preserve">robust risk management strategy to further characterise this important </w:t>
      </w:r>
      <w:r>
        <w:t xml:space="preserve">potential risk. </w:t>
      </w:r>
      <w:r w:rsidR="00F57115">
        <w:t>The sponsor</w:t>
      </w:r>
      <w:r>
        <w:t xml:space="preserve"> has </w:t>
      </w:r>
      <w:r w:rsidRPr="00757A38">
        <w:t xml:space="preserve">committed to a post </w:t>
      </w:r>
      <w:r w:rsidR="00F57115" w:rsidRPr="00757A38">
        <w:t>authori</w:t>
      </w:r>
      <w:r w:rsidR="00F57115">
        <w:t>s</w:t>
      </w:r>
      <w:r w:rsidR="00F57115" w:rsidRPr="00757A38">
        <w:t xml:space="preserve">ation </w:t>
      </w:r>
      <w:r w:rsidRPr="00757A38">
        <w:t>safety measure (as per EU-RMP sub</w:t>
      </w:r>
      <w:r>
        <w:t xml:space="preserve">mitted to TGA) and is currently </w:t>
      </w:r>
      <w:r w:rsidRPr="00757A38">
        <w:t>exploring potential methodologies including a large International Severe</w:t>
      </w:r>
      <w:r>
        <w:t xml:space="preserve"> Asthma Registry study of about </w:t>
      </w:r>
      <w:r w:rsidRPr="00757A38">
        <w:t>10,000 patients from approximately 14 countries for data collection and</w:t>
      </w:r>
      <w:r>
        <w:t xml:space="preserve"> analysis, and also how to best </w:t>
      </w:r>
      <w:r w:rsidRPr="00757A38">
        <w:t xml:space="preserve">study the potential risk of malignancies associated with </w:t>
      </w:r>
      <w:r w:rsidR="00E14798">
        <w:t>Fasenra</w:t>
      </w:r>
      <w:r w:rsidRPr="00757A38">
        <w:t xml:space="preserve"> and </w:t>
      </w:r>
      <w:r>
        <w:t xml:space="preserve">other biologics in a real-world </w:t>
      </w:r>
      <w:r w:rsidRPr="00757A38">
        <w:t>setting. The details of this EU post approval commitment are current</w:t>
      </w:r>
      <w:r>
        <w:t xml:space="preserve">ly being developed with the EMA </w:t>
      </w:r>
      <w:r w:rsidRPr="00757A38">
        <w:t>with target submission in the EU due by the end of Q2 2018. Lastly, it</w:t>
      </w:r>
      <w:r>
        <w:t xml:space="preserve"> is </w:t>
      </w:r>
      <w:r>
        <w:lastRenderedPageBreak/>
        <w:t xml:space="preserve">noted that the exclusion of </w:t>
      </w:r>
      <w:r w:rsidRPr="00757A38">
        <w:t xml:space="preserve">patients with malignancies from the pivotal </w:t>
      </w:r>
      <w:r w:rsidR="00E14798">
        <w:t>Fasenra</w:t>
      </w:r>
      <w:r w:rsidRPr="00757A38">
        <w:t xml:space="preserve"> studies is consis</w:t>
      </w:r>
      <w:r>
        <w:t xml:space="preserve">tent with industry practice for </w:t>
      </w:r>
      <w:r w:rsidRPr="00757A38">
        <w:t>non-oncology trials. Exclusions were in place to ensure the safety of pat</w:t>
      </w:r>
      <w:r>
        <w:t xml:space="preserve">ients during the studies and to </w:t>
      </w:r>
      <w:r w:rsidRPr="00757A38">
        <w:t xml:space="preserve">ensure that unstable medical conditions or concomitant therapy for such </w:t>
      </w:r>
      <w:r>
        <w:t xml:space="preserve">conditions did not confound the </w:t>
      </w:r>
      <w:r w:rsidRPr="00757A38">
        <w:t xml:space="preserve">assessment of </w:t>
      </w:r>
      <w:r w:rsidR="00E14798">
        <w:t>Fasenra</w:t>
      </w:r>
      <w:r w:rsidRPr="00757A38">
        <w:t xml:space="preserve"> safety. Together with</w:t>
      </w:r>
      <w:r>
        <w:t xml:space="preserve"> information provided above </w:t>
      </w:r>
      <w:r w:rsidRPr="00757A38">
        <w:t xml:space="preserve">there is no justification for such </w:t>
      </w:r>
      <w:r w:rsidRPr="00E91F99">
        <w:t>trial exclusion criteria to lead to precautionary statements in the PI.</w:t>
      </w:r>
    </w:p>
    <w:p w14:paraId="4880BD4A" w14:textId="4B6BA18D" w:rsidR="00757A38" w:rsidRPr="00757A38" w:rsidRDefault="00757A38" w:rsidP="00757A38">
      <w:r w:rsidRPr="00E91F99">
        <w:t xml:space="preserve">In summary, based on the number of malignancies seen in </w:t>
      </w:r>
      <w:r w:rsidR="00F57115">
        <w:t xml:space="preserve">the </w:t>
      </w:r>
      <w:r w:rsidRPr="00E91F99">
        <w:t>SIROCCO and CALIMA</w:t>
      </w:r>
      <w:r w:rsidR="00F57115">
        <w:t xml:space="preserve"> trials</w:t>
      </w:r>
      <w:r w:rsidRPr="00E91F99">
        <w:t xml:space="preserve">, the additional </w:t>
      </w:r>
      <w:r w:rsidR="00405B1C" w:rsidRPr="00E91F99">
        <w:t>pharmacovigilance</w:t>
      </w:r>
      <w:r w:rsidRPr="00E91F99">
        <w:t xml:space="preserve"> activities planned to monitor the risk of malignancy and the comm</w:t>
      </w:r>
      <w:r w:rsidR="00405B1C" w:rsidRPr="00E91F99">
        <w:t xml:space="preserve">itment for post </w:t>
      </w:r>
      <w:r w:rsidRPr="00E91F99">
        <w:t xml:space="preserve">approval safety measure </w:t>
      </w:r>
      <w:r w:rsidR="00405B1C" w:rsidRPr="00E91F99">
        <w:t xml:space="preserve">for malignancy risk in the real </w:t>
      </w:r>
      <w:r w:rsidRPr="00E91F99">
        <w:t xml:space="preserve">world setting, </w:t>
      </w:r>
      <w:r w:rsidR="00F57115">
        <w:t>the sponsor</w:t>
      </w:r>
      <w:r w:rsidR="00F57115" w:rsidRPr="00E91F99">
        <w:t xml:space="preserve"> </w:t>
      </w:r>
      <w:r w:rsidRPr="00E91F99">
        <w:t xml:space="preserve">considers that the </w:t>
      </w:r>
      <w:r w:rsidR="00CF0D26" w:rsidRPr="00E91F99">
        <w:t>Delegate</w:t>
      </w:r>
      <w:r w:rsidRPr="00E91F99">
        <w:t xml:space="preserve">’s recommended Precautionary Statement is not required at this point in time, and does not propose to add a malignancy precaution to the </w:t>
      </w:r>
      <w:r w:rsidR="00F57115">
        <w:t>Australian</w:t>
      </w:r>
      <w:r w:rsidRPr="00E91F99">
        <w:t xml:space="preserve"> PI and accompanying CMI.</w:t>
      </w:r>
    </w:p>
    <w:p w14:paraId="0DEAAC02" w14:textId="77777777" w:rsidR="00757A38" w:rsidRPr="00757A38" w:rsidRDefault="00757A38" w:rsidP="00F57115">
      <w:pPr>
        <w:pStyle w:val="ListBullet"/>
      </w:pPr>
      <w:r w:rsidRPr="00757A38">
        <w:t>Use in adolescents (12 to 17 years)</w:t>
      </w:r>
    </w:p>
    <w:p w14:paraId="7ED58052" w14:textId="7B216DDE" w:rsidR="005A6226" w:rsidRPr="00757A38" w:rsidRDefault="00F57115" w:rsidP="00757A38">
      <w:r>
        <w:t>The sponsor</w:t>
      </w:r>
      <w:r w:rsidRPr="00757A38">
        <w:t xml:space="preserve"> </w:t>
      </w:r>
      <w:r w:rsidR="00757A38" w:rsidRPr="00757A38">
        <w:t xml:space="preserve">accepts the </w:t>
      </w:r>
      <w:r w:rsidR="00CF0D26">
        <w:t>Delegate</w:t>
      </w:r>
      <w:r w:rsidR="00757A38" w:rsidRPr="00757A38">
        <w:t xml:space="preserve">’s proposal to include an age range </w:t>
      </w:r>
      <w:r w:rsidR="00757A38">
        <w:t xml:space="preserve">within the proposed indication. </w:t>
      </w:r>
      <w:r w:rsidR="00757A38" w:rsidRPr="00757A38">
        <w:t xml:space="preserve">Inclusion of patients 12 years and older is consistent with the indication </w:t>
      </w:r>
      <w:r w:rsidR="00757A38">
        <w:t xml:space="preserve">recently approved in the US and </w:t>
      </w:r>
      <w:r w:rsidR="00757A38" w:rsidRPr="00757A38">
        <w:t>is supported by the evaluation of available data as summarised below.</w:t>
      </w:r>
    </w:p>
    <w:p w14:paraId="5FA8C173" w14:textId="1C103B79" w:rsidR="00757A38" w:rsidRPr="00757A38" w:rsidRDefault="00757A38" w:rsidP="00757A38">
      <w:r w:rsidRPr="00757A38">
        <w:t xml:space="preserve">PK assessments of </w:t>
      </w:r>
      <w:r w:rsidR="00E14798">
        <w:t>Fasenra</w:t>
      </w:r>
      <w:r w:rsidRPr="00757A38">
        <w:t xml:space="preserve"> were found to be broadly comparable between adults and adolescents.</w:t>
      </w:r>
      <w:r>
        <w:t xml:space="preserve"> </w:t>
      </w:r>
      <w:r w:rsidRPr="00757A38">
        <w:t xml:space="preserve">The PD measure of </w:t>
      </w:r>
      <w:r w:rsidR="00E14798">
        <w:t>Fasenra</w:t>
      </w:r>
      <w:r w:rsidRPr="00757A38">
        <w:t xml:space="preserve"> as determined by eosinophil depletion wa</w:t>
      </w:r>
      <w:r>
        <w:t xml:space="preserve">s consistent between adults and </w:t>
      </w:r>
      <w:r w:rsidRPr="00757A38">
        <w:t>adolescents. Although baseline eosinophil levels were similar between ado</w:t>
      </w:r>
      <w:r>
        <w:t xml:space="preserve">lescent and adult patients, the </w:t>
      </w:r>
      <w:r w:rsidRPr="00757A38">
        <w:t>adolescent subgroup exhibited lower baseline disease se</w:t>
      </w:r>
      <w:r w:rsidR="00E53A6B">
        <w:t>verity across multiple measures;</w:t>
      </w:r>
      <w:r>
        <w:t xml:space="preserve"> including </w:t>
      </w:r>
      <w:r w:rsidR="00405B1C">
        <w:t>baseline lung function, ACQ</w:t>
      </w:r>
      <w:r w:rsidR="00405B1C">
        <w:noBreakHyphen/>
      </w:r>
      <w:r w:rsidRPr="00757A38">
        <w:t>6, and prior exacerbations. The adoles</w:t>
      </w:r>
      <w:r>
        <w:t xml:space="preserve">cent population enrolled in the </w:t>
      </w:r>
      <w:r w:rsidRPr="00757A38">
        <w:t>asthma exacerbation rate reduction trials showed substantial improv</w:t>
      </w:r>
      <w:r>
        <w:t xml:space="preserve">ement compared with baseline in </w:t>
      </w:r>
      <w:r w:rsidRPr="00757A38">
        <w:t>exacerbations, lung function, and symptoms in all treatment group</w:t>
      </w:r>
      <w:r>
        <w:t xml:space="preserve">s, including placebo. The large </w:t>
      </w:r>
      <w:r w:rsidRPr="00757A38">
        <w:t>improvements observed in the placebo arm precluded drawing definiti</w:t>
      </w:r>
      <w:r>
        <w:t xml:space="preserve">ve conclusions on efficacy. The </w:t>
      </w:r>
      <w:r w:rsidRPr="00757A38">
        <w:t>adverse event profile in the 108 adolescent patients studied was generally similar to the overall population</w:t>
      </w:r>
      <w:r>
        <w:t xml:space="preserve"> </w:t>
      </w:r>
      <w:r w:rsidRPr="00757A38">
        <w:t xml:space="preserve">as noted by the </w:t>
      </w:r>
      <w:r w:rsidR="00CF0D26">
        <w:t>Delegate</w:t>
      </w:r>
      <w:r w:rsidRPr="00757A38">
        <w:t>. Adolescents had lower incidences of treatm</w:t>
      </w:r>
      <w:r>
        <w:t xml:space="preserve">ent-emergent adverse events and </w:t>
      </w:r>
      <w:r w:rsidRPr="00757A38">
        <w:t>serious adverse events compared with patients overall (adults and adolesc</w:t>
      </w:r>
      <w:r>
        <w:t xml:space="preserve">ents). The preferred terms that </w:t>
      </w:r>
      <w:r w:rsidRPr="00757A38">
        <w:t xml:space="preserve">were reported at higher incidences in adolescent patients compared </w:t>
      </w:r>
      <w:r>
        <w:t xml:space="preserve">with patients overall in either </w:t>
      </w:r>
      <w:r w:rsidR="00E14798">
        <w:t>Fasenra</w:t>
      </w:r>
      <w:r w:rsidRPr="00757A38">
        <w:t xml:space="preserve"> group were sinusitis, bronchitis, and pharyngitis. The inci</w:t>
      </w:r>
      <w:r>
        <w:t xml:space="preserve">dence of asthma (reported as an </w:t>
      </w:r>
      <w:r w:rsidRPr="00757A38">
        <w:t>adverse event) was lower in adolescents in all treatment groups co</w:t>
      </w:r>
      <w:r>
        <w:t xml:space="preserve">mpared with the overall patient </w:t>
      </w:r>
      <w:r w:rsidRPr="00757A38">
        <w:t>population. There were no deaths or hypersensitivity treatment-emer</w:t>
      </w:r>
      <w:r>
        <w:t xml:space="preserve">gent adverse events reported in </w:t>
      </w:r>
      <w:r w:rsidRPr="00757A38">
        <w:t xml:space="preserve">adolescent patients. </w:t>
      </w:r>
      <w:r w:rsidRPr="00E91F99">
        <w:t>Lastly, a literature review showed that, in general, salient clinical features of eosinophilic asthma are similar between paediatric and adult patients. (Refer to AstraZeneca Response to Questions from FDA Aug</w:t>
      </w:r>
      <w:r w:rsidR="00F57115">
        <w:t>ust</w:t>
      </w:r>
      <w:r w:rsidRPr="00E91F99">
        <w:t xml:space="preserve"> 2017</w:t>
      </w:r>
      <w:r w:rsidR="00F57115">
        <w:t>;</w:t>
      </w:r>
      <w:r w:rsidRPr="00E91F99">
        <w:rPr>
          <w:rStyle w:val="FootnoteReference"/>
        </w:rPr>
        <w:footnoteReference w:id="26"/>
      </w:r>
      <w:r w:rsidRPr="00E91F99">
        <w:t xml:space="preserve"> provided).</w:t>
      </w:r>
    </w:p>
    <w:p w14:paraId="681235C3" w14:textId="0747604F" w:rsidR="00757A38" w:rsidRPr="00757A38" w:rsidRDefault="00757A38" w:rsidP="00757A38">
      <w:r w:rsidRPr="00757A38">
        <w:t>Based on PK, PD, and clinical manifestation, it is plausible to expect that adolescents with severe asthma</w:t>
      </w:r>
      <w:r>
        <w:t xml:space="preserve"> </w:t>
      </w:r>
      <w:r w:rsidRPr="00757A38">
        <w:t xml:space="preserve">of an eosinophilic phenotype would respond similarly to </w:t>
      </w:r>
      <w:r w:rsidR="00E14798">
        <w:t>Fasenra</w:t>
      </w:r>
      <w:r>
        <w:t xml:space="preserve"> 30 mg Q8W as adults. As such, </w:t>
      </w:r>
      <w:r w:rsidR="00F57115">
        <w:t>the sponsor</w:t>
      </w:r>
      <w:r w:rsidR="00F57115" w:rsidRPr="00757A38">
        <w:t xml:space="preserve"> </w:t>
      </w:r>
      <w:r w:rsidRPr="00757A38">
        <w:t>considers that the inclusion of patients 12 years of age and ol</w:t>
      </w:r>
      <w:r>
        <w:t xml:space="preserve">der in the indicated population </w:t>
      </w:r>
      <w:r w:rsidRPr="00757A38">
        <w:t>is appropriate based upon extrapolation of the available PK/PD data</w:t>
      </w:r>
      <w:r>
        <w:t xml:space="preserve"> and agrees with the </w:t>
      </w:r>
      <w:r w:rsidR="00CF0D26">
        <w:t>Delegate</w:t>
      </w:r>
      <w:r>
        <w:t xml:space="preserve">’s </w:t>
      </w:r>
      <w:r w:rsidRPr="00757A38">
        <w:t xml:space="preserve">recommendation to include the age range of </w:t>
      </w:r>
      <w:r w:rsidR="005236C7">
        <w:t>‘</w:t>
      </w:r>
      <w:r w:rsidRPr="00757A38">
        <w:t>12 years and above</w:t>
      </w:r>
      <w:r w:rsidR="005236C7">
        <w:t>’</w:t>
      </w:r>
      <w:r w:rsidRPr="00757A38">
        <w:t xml:space="preserve"> </w:t>
      </w:r>
      <w:r>
        <w:t xml:space="preserve">within the proposed </w:t>
      </w:r>
      <w:r w:rsidR="00F57115">
        <w:t>i</w:t>
      </w:r>
      <w:r>
        <w:t xml:space="preserve">ndication, </w:t>
      </w:r>
      <w:r w:rsidRPr="00757A38">
        <w:t xml:space="preserve">consistent with the indication recently approved by the FDA. </w:t>
      </w:r>
      <w:proofErr w:type="gramStart"/>
      <w:r w:rsidRPr="00757A38">
        <w:t xml:space="preserve">Amendments to the proposed PI </w:t>
      </w:r>
      <w:r w:rsidR="00F57115">
        <w:t>‘</w:t>
      </w:r>
      <w:r>
        <w:t xml:space="preserve">Dosage </w:t>
      </w:r>
      <w:r w:rsidRPr="00757A38">
        <w:t>and administration</w:t>
      </w:r>
      <w:r w:rsidR="00F57115">
        <w:t>’</w:t>
      </w:r>
      <w:r w:rsidRPr="00757A38">
        <w:t xml:space="preserve"> and </w:t>
      </w:r>
      <w:r w:rsidR="00F57115">
        <w:t>‘</w:t>
      </w:r>
      <w:r w:rsidRPr="00757A38">
        <w:t>Precautions</w:t>
      </w:r>
      <w:r w:rsidR="00F57115">
        <w:t>’</w:t>
      </w:r>
      <w:r w:rsidRPr="00757A38">
        <w:t xml:space="preserve"> sections relating to adolescent pati</w:t>
      </w:r>
      <w:r>
        <w:t>ents have also been made</w:t>
      </w:r>
      <w:r w:rsidRPr="00757A38">
        <w:t>.</w:t>
      </w:r>
      <w:proofErr w:type="gramEnd"/>
    </w:p>
    <w:p w14:paraId="1DA563A4" w14:textId="77777777" w:rsidR="00757A38" w:rsidRPr="00757A38" w:rsidRDefault="00AA0617" w:rsidP="00AA0617">
      <w:pPr>
        <w:pStyle w:val="Heading5"/>
      </w:pPr>
      <w:r w:rsidRPr="00757A38">
        <w:lastRenderedPageBreak/>
        <w:t>Sponsor</w:t>
      </w:r>
      <w:r w:rsidR="00757A38">
        <w:t>’</w:t>
      </w:r>
      <w:r w:rsidRPr="00757A38">
        <w:t>s overall conclusions</w:t>
      </w:r>
    </w:p>
    <w:p w14:paraId="6CEC5055" w14:textId="58467856" w:rsidR="00757A38" w:rsidRDefault="00757A38" w:rsidP="00757A38">
      <w:r w:rsidRPr="00757A38">
        <w:t>The ove</w:t>
      </w:r>
      <w:r w:rsidR="003A1589">
        <w:t>rall positive benefit-</w:t>
      </w:r>
      <w:r w:rsidRPr="00757A38">
        <w:t xml:space="preserve">risk profile of </w:t>
      </w:r>
      <w:r w:rsidR="00E14798">
        <w:t>Fasenra</w:t>
      </w:r>
      <w:r w:rsidRPr="00757A38">
        <w:t xml:space="preserve"> 30 mg Q8W </w:t>
      </w:r>
      <w:r>
        <w:t xml:space="preserve">has been demonstrated in severe </w:t>
      </w:r>
      <w:r w:rsidRPr="00757A38">
        <w:t>refractory asthma patients aged 12 years and over with an eosinophilic p</w:t>
      </w:r>
      <w:r>
        <w:t xml:space="preserve">henotype, based on reduction in </w:t>
      </w:r>
      <w:r w:rsidRPr="00757A38">
        <w:t>annual (annualised) asthma exacerbation rate, improvement in lung</w:t>
      </w:r>
      <w:r>
        <w:t xml:space="preserve"> function, and asthma symptoms, </w:t>
      </w:r>
      <w:r w:rsidRPr="00757A38">
        <w:t>reduction in chronic OCS use while maintaining asthma control and a we</w:t>
      </w:r>
      <w:r w:rsidR="003A1589">
        <w:t xml:space="preserve">ll </w:t>
      </w:r>
      <w:r>
        <w:t xml:space="preserve">characterised and acceptable </w:t>
      </w:r>
      <w:r w:rsidRPr="00757A38">
        <w:t xml:space="preserve">safety profile that is comparable to placebo. Data from both </w:t>
      </w:r>
      <w:r w:rsidR="00F57115">
        <w:t xml:space="preserve">the </w:t>
      </w:r>
      <w:r w:rsidRPr="00757A38">
        <w:t>SIR</w:t>
      </w:r>
      <w:r>
        <w:t>OCCO and CALIMA</w:t>
      </w:r>
      <w:r w:rsidR="00F57115">
        <w:t xml:space="preserve"> trials</w:t>
      </w:r>
      <w:r>
        <w:t xml:space="preserve"> showed efficacy </w:t>
      </w:r>
      <w:r w:rsidRPr="00757A38">
        <w:t xml:space="preserve">across a range of baseline blood eosinophil levels and number of asthma </w:t>
      </w:r>
      <w:r>
        <w:t xml:space="preserve">exacerbations in the previous </w:t>
      </w:r>
      <w:r w:rsidRPr="00757A38">
        <w:t>year. Both prior exacerbation history and baseline blood eosinophil c</w:t>
      </w:r>
      <w:r>
        <w:t xml:space="preserve">ount were individual clinically </w:t>
      </w:r>
      <w:r w:rsidRPr="00757A38">
        <w:t>relevant predictors of improved treatment benefit. When considered</w:t>
      </w:r>
      <w:r>
        <w:t xml:space="preserve"> alone or in combination, these </w:t>
      </w:r>
      <w:r w:rsidRPr="00757A38">
        <w:t>factors can further identify patients who may achieve greater benefit</w:t>
      </w:r>
      <w:r>
        <w:t xml:space="preserve">s from </w:t>
      </w:r>
      <w:r w:rsidR="00E14798">
        <w:t>Fasenra</w:t>
      </w:r>
      <w:r>
        <w:t xml:space="preserve"> treatment, thus, </w:t>
      </w:r>
      <w:r w:rsidR="00F57115">
        <w:t>the sponsor</w:t>
      </w:r>
      <w:r w:rsidR="00F57115" w:rsidRPr="00757A38">
        <w:t xml:space="preserve"> </w:t>
      </w:r>
      <w:r w:rsidRPr="00757A38">
        <w:t>propose</w:t>
      </w:r>
      <w:r w:rsidR="00F57115">
        <w:t>s</w:t>
      </w:r>
      <w:r w:rsidRPr="00757A38">
        <w:t xml:space="preserve"> to include these factors in the Clinical Trial se</w:t>
      </w:r>
      <w:r>
        <w:t xml:space="preserve">ction of the PI rather than the </w:t>
      </w:r>
      <w:r w:rsidRPr="00757A38">
        <w:t xml:space="preserve">indication, consistent with the labelling of other approved drugs. Longer term </w:t>
      </w:r>
      <w:proofErr w:type="gramStart"/>
      <w:r w:rsidRPr="00757A38">
        <w:t>sa</w:t>
      </w:r>
      <w:r>
        <w:t>fety</w:t>
      </w:r>
      <w:proofErr w:type="gramEnd"/>
      <w:r>
        <w:t xml:space="preserve"> data continue to be </w:t>
      </w:r>
      <w:r w:rsidRPr="00757A38">
        <w:t xml:space="preserve">generated and evaluated in ongoing studies and are complemented by </w:t>
      </w:r>
      <w:r>
        <w:t xml:space="preserve">pharmacovigilance activities to </w:t>
      </w:r>
      <w:r w:rsidRPr="00757A38">
        <w:t>monitor potential risks</w:t>
      </w:r>
      <w:r w:rsidR="003A1589">
        <w:t xml:space="preserve"> and future studies in the real </w:t>
      </w:r>
      <w:r w:rsidRPr="00757A38">
        <w:t>world setting. The benef</w:t>
      </w:r>
      <w:r w:rsidR="003A1589">
        <w:t>it-</w:t>
      </w:r>
      <w:r>
        <w:t xml:space="preserve">risk for adolescent patients </w:t>
      </w:r>
      <w:r w:rsidRPr="00757A38">
        <w:t xml:space="preserve">is considered to be acceptable, supporting inclusion in the indication. </w:t>
      </w:r>
      <w:r>
        <w:t xml:space="preserve">In conclusion, </w:t>
      </w:r>
      <w:r w:rsidR="00E14798">
        <w:t>Fasenra</w:t>
      </w:r>
      <w:r>
        <w:t xml:space="preserve"> offers a </w:t>
      </w:r>
      <w:r w:rsidRPr="00757A38">
        <w:t>different mechanism of action that delivers rapid, direct, and nearly compl</w:t>
      </w:r>
      <w:r>
        <w:t xml:space="preserve">ete eosinophil depletion, early </w:t>
      </w:r>
      <w:r w:rsidRPr="00757A38">
        <w:t xml:space="preserve">and sustained efficacy responses, and an acceptable safety profile, which </w:t>
      </w:r>
      <w:r>
        <w:t xml:space="preserve">makes for an overall favourable </w:t>
      </w:r>
      <w:r w:rsidRPr="00757A38">
        <w:t>benefit-risk profile, thus addressing an important gap in currently availa</w:t>
      </w:r>
      <w:r>
        <w:t xml:space="preserve">ble therapies for severe asthma </w:t>
      </w:r>
      <w:r w:rsidRPr="00757A38">
        <w:t>with an eosinophilic phenotype.</w:t>
      </w:r>
    </w:p>
    <w:p w14:paraId="055C1438" w14:textId="0EA469EE" w:rsidR="003943D8" w:rsidRPr="00610926" w:rsidRDefault="003943D8" w:rsidP="003943D8">
      <w:pPr>
        <w:pStyle w:val="Heading5"/>
      </w:pPr>
      <w:r w:rsidRPr="00165751">
        <w:t xml:space="preserve">Sponsor’s response to questions from </w:t>
      </w:r>
      <w:r w:rsidR="0039213E">
        <w:t>d</w:t>
      </w:r>
      <w:r w:rsidRPr="00165751">
        <w:t>elegate</w:t>
      </w:r>
    </w:p>
    <w:p w14:paraId="38805261" w14:textId="22835994" w:rsidR="003943D8" w:rsidRPr="002F6F36" w:rsidRDefault="003943D8" w:rsidP="003943D8">
      <w:pPr>
        <w:pStyle w:val="Numberbullet0"/>
        <w:numPr>
          <w:ilvl w:val="0"/>
          <w:numId w:val="24"/>
        </w:numPr>
        <w:rPr>
          <w:i/>
        </w:rPr>
      </w:pPr>
      <w:r w:rsidRPr="002F6F36">
        <w:rPr>
          <w:i/>
        </w:rPr>
        <w:t xml:space="preserve">In Australia, what is the prevalence of eosinophilic phenotype of severe asthma in </w:t>
      </w:r>
      <w:r w:rsidR="002F6F36" w:rsidRPr="002F6F36">
        <w:rPr>
          <w:i/>
        </w:rPr>
        <w:t xml:space="preserve">the </w:t>
      </w:r>
      <w:r w:rsidRPr="002F6F36">
        <w:rPr>
          <w:i/>
        </w:rPr>
        <w:t>12</w:t>
      </w:r>
      <w:r w:rsidR="002F6F36" w:rsidRPr="002F6F36">
        <w:rPr>
          <w:i/>
        </w:rPr>
        <w:t xml:space="preserve"> to </w:t>
      </w:r>
      <w:r w:rsidRPr="002F6F36">
        <w:rPr>
          <w:i/>
        </w:rPr>
        <w:t>17</w:t>
      </w:r>
      <w:r w:rsidR="002F6F36" w:rsidRPr="002F6F36">
        <w:rPr>
          <w:i/>
        </w:rPr>
        <w:t>,</w:t>
      </w:r>
      <w:r w:rsidRPr="002F6F36">
        <w:rPr>
          <w:i/>
        </w:rPr>
        <w:t xml:space="preserve"> and 18 to 75 year age group</w:t>
      </w:r>
      <w:r w:rsidR="002F6F36" w:rsidRPr="002F6F36">
        <w:rPr>
          <w:i/>
        </w:rPr>
        <w:t>s</w:t>
      </w:r>
      <w:r w:rsidRPr="002F6F36">
        <w:rPr>
          <w:i/>
        </w:rPr>
        <w:t xml:space="preserve"> of asthmatics?</w:t>
      </w:r>
    </w:p>
    <w:p w14:paraId="2DE52942" w14:textId="2410508B" w:rsidR="003943D8" w:rsidRPr="00C15F54" w:rsidRDefault="003943D8" w:rsidP="003943D8">
      <w:r w:rsidRPr="00C15F54">
        <w:t>There is no formal Australian prevalence data for severe asthmatic patients with an</w:t>
      </w:r>
      <w:r>
        <w:t xml:space="preserve"> </w:t>
      </w:r>
      <w:r w:rsidRPr="00C15F54">
        <w:t xml:space="preserve">eosinophilic phenotype. </w:t>
      </w:r>
      <w:r w:rsidR="002F6F36">
        <w:t>The sponsor</w:t>
      </w:r>
      <w:r w:rsidRPr="00C15F54">
        <w:t xml:space="preserve"> has utilised Australian d</w:t>
      </w:r>
      <w:r>
        <w:t>ata relating to population size</w:t>
      </w:r>
      <w:r w:rsidR="002F6F36">
        <w:t>;</w:t>
      </w:r>
      <w:r>
        <w:rPr>
          <w:rStyle w:val="FootnoteReference"/>
        </w:rPr>
        <w:footnoteReference w:id="27"/>
      </w:r>
      <w:r>
        <w:t xml:space="preserve"> and the </w:t>
      </w:r>
      <w:r w:rsidRPr="00C15F54">
        <w:t>overall asthma prevalence</w:t>
      </w:r>
      <w:r w:rsidR="002F6F36">
        <w:t>;</w:t>
      </w:r>
      <w:r>
        <w:rPr>
          <w:rStyle w:val="FootnoteReference"/>
        </w:rPr>
        <w:footnoteReference w:id="28"/>
      </w:r>
      <w:r>
        <w:t xml:space="preserve"> </w:t>
      </w:r>
      <w:r w:rsidRPr="00C15F54">
        <w:t xml:space="preserve">to </w:t>
      </w:r>
      <w:r>
        <w:t xml:space="preserve">estimate a crude prevalence for </w:t>
      </w:r>
      <w:r w:rsidRPr="00C15F54">
        <w:t xml:space="preserve">adolescents and adults. The overall asthma prevalence rates </w:t>
      </w:r>
      <w:r>
        <w:t xml:space="preserve">in Australia for the age groups 12 to </w:t>
      </w:r>
      <w:r w:rsidRPr="00C15F54">
        <w:t>17 years and over 18 years are estimated to be 22% and 10</w:t>
      </w:r>
      <w:r>
        <w:t xml:space="preserve">.8% respectively (comprising an </w:t>
      </w:r>
      <w:r w:rsidRPr="00C15F54">
        <w:t>estimated 393,690 and 2,126,273 subjects). Taking into acco</w:t>
      </w:r>
      <w:r>
        <w:t xml:space="preserve">unt the requirements for severe </w:t>
      </w:r>
      <w:r w:rsidRPr="00C15F54">
        <w:t xml:space="preserve">asthmatics (patients on ICS/LABA, patients on high dose ICS, exacerbations over the last </w:t>
      </w:r>
      <w:r>
        <w:t xml:space="preserve">12 </w:t>
      </w:r>
      <w:r w:rsidRPr="00C15F54">
        <w:t>months including those prescribed OCS) and an estimate t</w:t>
      </w:r>
      <w:r>
        <w:t xml:space="preserve">hat approximately 39% of severe </w:t>
      </w:r>
      <w:r w:rsidRPr="00C15F54">
        <w:t>asthmatics have an eosinophilic phenotype (same for both ag</w:t>
      </w:r>
      <w:r>
        <w:t xml:space="preserve">e ranges), the crude Australian </w:t>
      </w:r>
      <w:r w:rsidRPr="00C15F54">
        <w:t>prevalence is approximately 1</w:t>
      </w:r>
      <w:r>
        <w:t>,</w:t>
      </w:r>
      <w:r w:rsidRPr="00C15F54">
        <w:t>380 adolescents and 7</w:t>
      </w:r>
      <w:r>
        <w:t>,</w:t>
      </w:r>
      <w:r w:rsidRPr="00C15F54">
        <w:t>487 adults.</w:t>
      </w:r>
    </w:p>
    <w:p w14:paraId="4B6C9088" w14:textId="7F68192C" w:rsidR="003943D8" w:rsidRPr="002F6F36" w:rsidRDefault="003943D8" w:rsidP="003943D8">
      <w:pPr>
        <w:pStyle w:val="Numberbullet0"/>
        <w:numPr>
          <w:ilvl w:val="0"/>
          <w:numId w:val="2"/>
        </w:numPr>
        <w:rPr>
          <w:i/>
        </w:rPr>
      </w:pPr>
      <w:r w:rsidRPr="002F6F36">
        <w:rPr>
          <w:i/>
        </w:rPr>
        <w:t xml:space="preserve">Please explain the rationale for choosing the cut-off for blood eosinophil level </w:t>
      </w:r>
      <w:proofErr w:type="gramStart"/>
      <w:r w:rsidRPr="002F6F36">
        <w:rPr>
          <w:i/>
        </w:rPr>
        <w:t>as 300</w:t>
      </w:r>
      <w:r w:rsidR="002F6F36">
        <w:rPr>
          <w:i/>
        </w:rPr>
        <w:t> </w:t>
      </w:r>
      <w:r w:rsidRPr="002F6F36">
        <w:rPr>
          <w:i/>
        </w:rPr>
        <w:t>cells/</w:t>
      </w:r>
      <w:r w:rsidR="002F6F36" w:rsidRPr="002F6F36">
        <w:rPr>
          <w:i/>
        </w:rPr>
        <w:t>µ</w:t>
      </w:r>
      <w:r w:rsidRPr="002F6F36">
        <w:rPr>
          <w:i/>
        </w:rPr>
        <w:t>L</w:t>
      </w:r>
      <w:proofErr w:type="gramEnd"/>
      <w:r w:rsidRPr="002F6F36">
        <w:rPr>
          <w:i/>
        </w:rPr>
        <w:t xml:space="preserve"> for the patient population of interest in pivotal studies.</w:t>
      </w:r>
    </w:p>
    <w:p w14:paraId="1EF19D28" w14:textId="77777777" w:rsidR="003943D8" w:rsidRPr="00C15F54" w:rsidRDefault="003943D8" w:rsidP="003943D8">
      <w:r w:rsidRPr="001B0D5E">
        <w:t xml:space="preserve">(Please also refer to the </w:t>
      </w:r>
      <w:proofErr w:type="gramStart"/>
      <w:r w:rsidRPr="00AF31E6">
        <w:rPr>
          <w:i/>
        </w:rPr>
        <w:t>Proposed</w:t>
      </w:r>
      <w:proofErr w:type="gramEnd"/>
      <w:r w:rsidRPr="00AF31E6">
        <w:rPr>
          <w:i/>
        </w:rPr>
        <w:t xml:space="preserve"> indication</w:t>
      </w:r>
      <w:r w:rsidRPr="001B0D5E">
        <w:t xml:space="preserve"> section in the Sponsor’s response to Delegate’s request for ACM advice ab</w:t>
      </w:r>
      <w:r>
        <w:t>o</w:t>
      </w:r>
      <w:r w:rsidRPr="001B0D5E">
        <w:t>ve.)</w:t>
      </w:r>
    </w:p>
    <w:p w14:paraId="3626C2A7" w14:textId="2E2B3EBA" w:rsidR="003943D8" w:rsidRPr="00C15F54" w:rsidRDefault="003943D8" w:rsidP="003943D8">
      <w:r w:rsidRPr="00C15F54">
        <w:t xml:space="preserve">The </w:t>
      </w:r>
      <w:r>
        <w:t>Phase III</w:t>
      </w:r>
      <w:r w:rsidRPr="00C15F54">
        <w:t xml:space="preserve"> exacerbation studies</w:t>
      </w:r>
      <w:r w:rsidR="00D7039F">
        <w:t>, the</w:t>
      </w:r>
      <w:r w:rsidRPr="00C15F54">
        <w:t xml:space="preserve"> SIROCCO and CALIMA</w:t>
      </w:r>
      <w:r w:rsidR="00D7039F">
        <w:t xml:space="preserve"> trials</w:t>
      </w:r>
      <w:r w:rsidRPr="00C15F54">
        <w:t xml:space="preserve"> fo</w:t>
      </w:r>
      <w:r>
        <w:t xml:space="preserve">r use of benralizumab in severe </w:t>
      </w:r>
      <w:r w:rsidRPr="00C15F54">
        <w:t>asthma had a primary analysis patient population of patient</w:t>
      </w:r>
      <w:r>
        <w:t xml:space="preserve">s on high dose ICS with a blood </w:t>
      </w:r>
      <w:r w:rsidRPr="00C15F54">
        <w:t xml:space="preserve">eosinophil count of </w:t>
      </w:r>
      <w:r>
        <w:t xml:space="preserve">≥ </w:t>
      </w:r>
      <w:r w:rsidRPr="00C15F54">
        <w:t>300 cells/</w:t>
      </w:r>
      <w:r w:rsidR="00D7039F">
        <w:t>µ</w:t>
      </w:r>
      <w:r w:rsidRPr="00C15F54">
        <w:t>L. The justification for this threshold was based on a lim</w:t>
      </w:r>
      <w:r>
        <w:t xml:space="preserve">ited </w:t>
      </w:r>
      <w:r w:rsidRPr="00C15F54">
        <w:t xml:space="preserve">data set from the </w:t>
      </w:r>
      <w:r>
        <w:t xml:space="preserve">Phase </w:t>
      </w:r>
      <w:proofErr w:type="spellStart"/>
      <w:r>
        <w:t>II</w:t>
      </w:r>
      <w:r w:rsidRPr="00C15F54">
        <w:t>b</w:t>
      </w:r>
      <w:proofErr w:type="spellEnd"/>
      <w:r w:rsidRPr="00C15F54">
        <w:t xml:space="preserve"> study (Study MI-CP220). In this li</w:t>
      </w:r>
      <w:r>
        <w:t xml:space="preserve">mited dataset from the Phase </w:t>
      </w:r>
      <w:proofErr w:type="spellStart"/>
      <w:r>
        <w:t>IIb</w:t>
      </w:r>
      <w:proofErr w:type="spellEnd"/>
      <w:r>
        <w:t xml:space="preserve"> </w:t>
      </w:r>
      <w:r w:rsidRPr="00C15F54">
        <w:t>study an evaluation of efficacy was made at different baseline</w:t>
      </w:r>
      <w:r>
        <w:t xml:space="preserve"> blood eosinophil thresholds of ≥ </w:t>
      </w:r>
      <w:r w:rsidRPr="00C15F54">
        <w:t xml:space="preserve">200 and </w:t>
      </w:r>
      <w:r>
        <w:t xml:space="preserve">&lt; </w:t>
      </w:r>
      <w:r w:rsidRPr="00C15F54">
        <w:t>200 cells/</w:t>
      </w:r>
      <w:r w:rsidR="00D7039F">
        <w:t>µ</w:t>
      </w:r>
      <w:r w:rsidRPr="00C15F54">
        <w:t xml:space="preserve">L, </w:t>
      </w:r>
      <w:r>
        <w:t xml:space="preserve">≥ </w:t>
      </w:r>
      <w:r w:rsidRPr="00C15F54">
        <w:t xml:space="preserve">300 and </w:t>
      </w:r>
      <w:r>
        <w:t>&lt;</w:t>
      </w:r>
      <w:r w:rsidR="00D7039F">
        <w:t> </w:t>
      </w:r>
      <w:r w:rsidRPr="00C15F54">
        <w:t>300 cells/</w:t>
      </w:r>
      <w:r w:rsidR="00D7039F">
        <w:t>µ</w:t>
      </w:r>
      <w:r w:rsidRPr="00C15F54">
        <w:t xml:space="preserve">L and </w:t>
      </w:r>
      <w:r>
        <w:t xml:space="preserve">≥ </w:t>
      </w:r>
      <w:r w:rsidRPr="00C15F54">
        <w:t xml:space="preserve">400 and </w:t>
      </w:r>
      <w:r>
        <w:t xml:space="preserve">&lt; </w:t>
      </w:r>
      <w:r w:rsidRPr="00C15F54">
        <w:t>400</w:t>
      </w:r>
      <w:r>
        <w:t xml:space="preserve"> cells/</w:t>
      </w:r>
      <w:r w:rsidR="00D7039F">
        <w:t>µ</w:t>
      </w:r>
      <w:r>
        <w:t xml:space="preserve">L. By these </w:t>
      </w:r>
      <w:r w:rsidRPr="00C15F54">
        <w:t xml:space="preserve">thresholds, benralizumab showed </w:t>
      </w:r>
      <w:r w:rsidRPr="00C15F54">
        <w:lastRenderedPageBreak/>
        <w:t>increasing efficacy with</w:t>
      </w:r>
      <w:r>
        <w:t xml:space="preserve"> increased eosinophil levels on </w:t>
      </w:r>
      <w:r w:rsidRPr="00C15F54">
        <w:t xml:space="preserve">exacerbation rate, change from baseline in FEV1 and on </w:t>
      </w:r>
      <w:r>
        <w:t>ACQ-6 score (</w:t>
      </w:r>
      <w:r w:rsidR="00D7039F">
        <w:t xml:space="preserve">Study </w:t>
      </w:r>
      <w:r>
        <w:t xml:space="preserve">MI-CP220 </w:t>
      </w:r>
      <w:r w:rsidR="00D7039F">
        <w:t>study r</w:t>
      </w:r>
      <w:r w:rsidR="00D7039F" w:rsidRPr="00C15F54">
        <w:t>eport</w:t>
      </w:r>
      <w:r w:rsidRPr="00C15F54">
        <w:t>).</w:t>
      </w:r>
    </w:p>
    <w:p w14:paraId="08064036" w14:textId="32AAF078" w:rsidR="003943D8" w:rsidRPr="00C15F54" w:rsidRDefault="003943D8" w:rsidP="003943D8">
      <w:r w:rsidRPr="00C15F54">
        <w:t xml:space="preserve">At a threshold of </w:t>
      </w:r>
      <w:r>
        <w:t xml:space="preserve">≥ </w:t>
      </w:r>
      <w:r w:rsidRPr="00C15F54">
        <w:t>300 cells/</w:t>
      </w:r>
      <w:r w:rsidR="00D7039F">
        <w:t>µ</w:t>
      </w:r>
      <w:r w:rsidRPr="00C15F54">
        <w:t>L in MI-CP220, benralizumab showed statistically significant</w:t>
      </w:r>
      <w:r>
        <w:t xml:space="preserve"> </w:t>
      </w:r>
      <w:r w:rsidRPr="00C15F54">
        <w:t xml:space="preserve">and clinically meaningful reduction in exacerbation rate and improvement in FEV1 </w:t>
      </w:r>
      <w:r>
        <w:t xml:space="preserve">at the end </w:t>
      </w:r>
      <w:r w:rsidRPr="00C15F54">
        <w:t xml:space="preserve">of treatment in both the 20 mg and 100 mg dose </w:t>
      </w:r>
      <w:r w:rsidRPr="006A44F0">
        <w:t>groups (</w:t>
      </w:r>
      <w:r w:rsidRPr="00AF31E6">
        <w:t>see Table 25).</w:t>
      </w:r>
      <w:r w:rsidRPr="006A44F0">
        <w:t xml:space="preserve"> The</w:t>
      </w:r>
      <w:r>
        <w:t xml:space="preserve"> effect on </w:t>
      </w:r>
      <w:r w:rsidRPr="00C15F54">
        <w:t xml:space="preserve">these endpoints was of a lower magnitude in the </w:t>
      </w:r>
      <w:r>
        <w:t xml:space="preserve">&lt; </w:t>
      </w:r>
      <w:r w:rsidRPr="00C15F54">
        <w:t>300 cells/</w:t>
      </w:r>
      <w:r w:rsidR="00D7039F">
        <w:t>µ</w:t>
      </w:r>
      <w:r w:rsidRPr="00C15F54">
        <w:t>L</w:t>
      </w:r>
      <w:r>
        <w:t xml:space="preserve"> subgroup, although it must be </w:t>
      </w:r>
      <w:r w:rsidRPr="00C15F54">
        <w:t xml:space="preserve">stressed that the n numbers in the </w:t>
      </w:r>
      <w:r>
        <w:t>&lt; 300 sub</w:t>
      </w:r>
      <w:r w:rsidRPr="00C15F54">
        <w:t xml:space="preserve">group for the 20 </w:t>
      </w:r>
      <w:r>
        <w:t xml:space="preserve">mg dose group were too small to </w:t>
      </w:r>
      <w:r w:rsidRPr="00C15F54">
        <w:t xml:space="preserve">make meaningful conclusions. However, at a threshold of </w:t>
      </w:r>
      <w:r>
        <w:t>≥ </w:t>
      </w:r>
      <w:r w:rsidRPr="00C15F54">
        <w:t>200</w:t>
      </w:r>
      <w:r>
        <w:t> cells/</w:t>
      </w:r>
      <w:r w:rsidR="00D7039F">
        <w:t>µ</w:t>
      </w:r>
      <w:r>
        <w:t xml:space="preserve">L there was evidence of </w:t>
      </w:r>
      <w:r w:rsidRPr="00C15F54">
        <w:t>an effect to reduce exacerbations, although not achieving s</w:t>
      </w:r>
      <w:r>
        <w:t xml:space="preserve">tatistical significance, and an </w:t>
      </w:r>
      <w:r w:rsidRPr="00C15F54">
        <w:t xml:space="preserve">improvement in FEV1 which did achieve statistical significance </w:t>
      </w:r>
      <w:r>
        <w:t xml:space="preserve">(threshold for significance versus. </w:t>
      </w:r>
      <w:r w:rsidRPr="00C15F54">
        <w:t>placebo set at p</w:t>
      </w:r>
      <w:r>
        <w:t xml:space="preserve"> &lt; </w:t>
      </w:r>
      <w:r w:rsidRPr="00C15F54">
        <w:t xml:space="preserve">0.2) with both the benralizumab </w:t>
      </w:r>
      <w:r>
        <w:t xml:space="preserve">20 mg and 100 mg treatment arms </w:t>
      </w:r>
      <w:r w:rsidRPr="00C15F54">
        <w:t>suggesting there was also evidence of efficacy at lower b</w:t>
      </w:r>
      <w:r>
        <w:t xml:space="preserve">lood eosinophil thresholds than ≥ </w:t>
      </w:r>
      <w:r w:rsidRPr="00C15F54">
        <w:t>300 cells/</w:t>
      </w:r>
      <w:r w:rsidR="00D7039F">
        <w:t>µ</w:t>
      </w:r>
      <w:r w:rsidRPr="00C15F54">
        <w:t xml:space="preserve">L which warranted further evaluation in the </w:t>
      </w:r>
      <w:r>
        <w:t>Phase III</w:t>
      </w:r>
      <w:r w:rsidRPr="00C15F54">
        <w:t xml:space="preserve"> pivotal studies.</w:t>
      </w:r>
    </w:p>
    <w:p w14:paraId="72DA0C4A" w14:textId="7C8EDBB0" w:rsidR="003943D8" w:rsidRPr="00C15F54" w:rsidRDefault="003943D8" w:rsidP="003943D8">
      <w:r w:rsidRPr="00C15F54">
        <w:t xml:space="preserve">Based on the analysis of the </w:t>
      </w:r>
      <w:r>
        <w:t xml:space="preserve">Phase </w:t>
      </w:r>
      <w:proofErr w:type="spellStart"/>
      <w:r>
        <w:t>II</w:t>
      </w:r>
      <w:r w:rsidRPr="00C15F54">
        <w:t>b</w:t>
      </w:r>
      <w:proofErr w:type="spellEnd"/>
      <w:r w:rsidRPr="00C15F54">
        <w:t xml:space="preserve"> data by blood eosinophil thresholds, a baseline bloo</w:t>
      </w:r>
      <w:r>
        <w:t xml:space="preserve">d </w:t>
      </w:r>
      <w:r w:rsidRPr="00C15F54">
        <w:t xml:space="preserve">eosinophil threshold of </w:t>
      </w:r>
      <w:r>
        <w:t xml:space="preserve">≥ </w:t>
      </w:r>
      <w:r w:rsidRPr="00C15F54">
        <w:t>300 cells/</w:t>
      </w:r>
      <w:r w:rsidR="00D7039F">
        <w:t>µ</w:t>
      </w:r>
      <w:r w:rsidRPr="00C15F54">
        <w:t>L was proposed for the pri</w:t>
      </w:r>
      <w:r>
        <w:t>mary analysis population in the Phase III</w:t>
      </w:r>
      <w:r w:rsidRPr="00C15F54">
        <w:t xml:space="preserve"> program exacerbation studies (SIROCCO/CALI</w:t>
      </w:r>
      <w:r>
        <w:t>MA</w:t>
      </w:r>
      <w:r w:rsidR="00D7039F">
        <w:t xml:space="preserve"> trials</w:t>
      </w:r>
      <w:r>
        <w:t xml:space="preserve">). However, it was recognised </w:t>
      </w:r>
      <w:r w:rsidRPr="00C15F54">
        <w:t>that this threshold was somewhat a</w:t>
      </w:r>
      <w:r>
        <w:t>rbitrary, based on limited data</w:t>
      </w:r>
      <w:r w:rsidRPr="00C15F54">
        <w:t xml:space="preserve"> and the blo</w:t>
      </w:r>
      <w:r>
        <w:t xml:space="preserve">od eosinophil </w:t>
      </w:r>
      <w:r w:rsidRPr="00C15F54">
        <w:t xml:space="preserve">level below which </w:t>
      </w:r>
      <w:r>
        <w:t>Fasenra</w:t>
      </w:r>
      <w:r w:rsidRPr="00C15F54">
        <w:t xml:space="preserve"> was not effective remained un</w:t>
      </w:r>
      <w:r>
        <w:t xml:space="preserve">clear. Therefore, patients with </w:t>
      </w:r>
      <w:r w:rsidRPr="00C15F54">
        <w:t xml:space="preserve">baseline blood eosinophils </w:t>
      </w:r>
      <w:r>
        <w:t xml:space="preserve">&lt; </w:t>
      </w:r>
      <w:r w:rsidRPr="00C15F54">
        <w:t>300 cells/</w:t>
      </w:r>
      <w:r w:rsidR="00D7039F">
        <w:t>µ</w:t>
      </w:r>
      <w:r w:rsidRPr="00C15F54">
        <w:t>L were also recruited (</w:t>
      </w:r>
      <w:r>
        <w:t>in a ratio of 2:1 ≥ 300 cells/</w:t>
      </w:r>
      <w:r w:rsidR="00D7039F">
        <w:t>µ</w:t>
      </w:r>
      <w:r>
        <w:t xml:space="preserve">L </w:t>
      </w:r>
      <w:r w:rsidRPr="00C15F54">
        <w:t xml:space="preserve">to </w:t>
      </w:r>
      <w:r>
        <w:t xml:space="preserve">&lt; </w:t>
      </w:r>
      <w:r w:rsidRPr="00C15F54">
        <w:t>300 cells/</w:t>
      </w:r>
      <w:r w:rsidR="00D7039F">
        <w:t>µ</w:t>
      </w:r>
      <w:r w:rsidRPr="00C15F54">
        <w:t xml:space="preserve">L) so that the efficacy of </w:t>
      </w:r>
      <w:r>
        <w:t>Fasenra</w:t>
      </w:r>
      <w:r w:rsidRPr="00C15F54">
        <w:t xml:space="preserve"> could be ev</w:t>
      </w:r>
      <w:r>
        <w:t xml:space="preserve">aluated across the range of </w:t>
      </w:r>
      <w:r w:rsidRPr="00C15F54">
        <w:t>baseline blood eosinophil counts in an attempt to further det</w:t>
      </w:r>
      <w:r>
        <w:t xml:space="preserve">ermine efficacy across the full </w:t>
      </w:r>
      <w:r w:rsidRPr="00C15F54">
        <w:t>range.</w:t>
      </w:r>
    </w:p>
    <w:p w14:paraId="32166753" w14:textId="0F8EDC7C" w:rsidR="003943D8" w:rsidRPr="00C15F54" w:rsidRDefault="003943D8" w:rsidP="003943D8">
      <w:pPr>
        <w:pStyle w:val="TableTitle"/>
      </w:pPr>
      <w:r>
        <w:t xml:space="preserve">Table 25: </w:t>
      </w:r>
      <w:r w:rsidRPr="00C15F54">
        <w:t>Effect of treatment with benralizumab by different blood eosinophil</w:t>
      </w:r>
      <w:r>
        <w:t xml:space="preserve"> </w:t>
      </w:r>
      <w:r w:rsidRPr="00C15F54">
        <w:t xml:space="preserve">thresholds on exacerbation rate reduction and change </w:t>
      </w:r>
      <w:r>
        <w:t xml:space="preserve">from </w:t>
      </w:r>
      <w:r w:rsidR="00D7039F">
        <w:t>B</w:t>
      </w:r>
      <w:r>
        <w:t xml:space="preserve">aseline </w:t>
      </w:r>
      <w:r w:rsidRPr="00C15F54">
        <w:t>in FEV1 (Study MI-CP220)</w:t>
      </w:r>
    </w:p>
    <w:p w14:paraId="208698F8" w14:textId="77777777" w:rsidR="003943D8" w:rsidRDefault="003943D8" w:rsidP="003943D8">
      <w:r>
        <w:rPr>
          <w:noProof/>
          <w:lang w:eastAsia="en-AU"/>
        </w:rPr>
        <w:drawing>
          <wp:inline distT="0" distB="0" distL="0" distR="0" wp14:anchorId="2B748D1B" wp14:editId="31561B47">
            <wp:extent cx="5400040" cy="2541365"/>
            <wp:effectExtent l="0" t="0" r="0" b="0"/>
            <wp:docPr id="28" name="Picture 28" descr="Table 25:  Effect of treatment with benralizumab by different blood eosinophil thresholds on exacerbation rate reduction and change from baseline in FEV1 (Study MI-CP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2541365"/>
                    </a:xfrm>
                    <a:prstGeom prst="rect">
                      <a:avLst/>
                    </a:prstGeom>
                  </pic:spPr>
                </pic:pic>
              </a:graphicData>
            </a:graphic>
          </wp:inline>
        </w:drawing>
      </w:r>
    </w:p>
    <w:p w14:paraId="66A73650" w14:textId="76AD49F3" w:rsidR="003943D8" w:rsidRPr="00C15F54" w:rsidRDefault="003943D8" w:rsidP="003943D8">
      <w:r w:rsidRPr="00C15F54">
        <w:t>In SIROCCO/CALIMA</w:t>
      </w:r>
      <w:r w:rsidR="00D7039F">
        <w:t xml:space="preserve"> trial</w:t>
      </w:r>
      <w:r w:rsidRPr="00C15F54">
        <w:t xml:space="preserve">, </w:t>
      </w:r>
      <w:r>
        <w:t>Fasenra</w:t>
      </w:r>
      <w:r w:rsidRPr="00C15F54">
        <w:t xml:space="preserve"> demonstrated statistically significant effects on</w:t>
      </w:r>
      <w:r>
        <w:t xml:space="preserve"> </w:t>
      </w:r>
      <w:r w:rsidRPr="00C15F54">
        <w:t>exacerbation rate reduction, improvement in FEV1, and impr</w:t>
      </w:r>
      <w:r>
        <w:t xml:space="preserve">ovement in total asthma symptom </w:t>
      </w:r>
      <w:r w:rsidRPr="00C15F54">
        <w:t>score (in the Q8W treatment group) in the primary analy</w:t>
      </w:r>
      <w:r>
        <w:t xml:space="preserve">sis population of severe asthma </w:t>
      </w:r>
      <w:r w:rsidRPr="00C15F54">
        <w:t xml:space="preserve">patients on high dose ICS and baseline blood eosinophils </w:t>
      </w:r>
      <w:r>
        <w:t>of ≥ 300 cells/</w:t>
      </w:r>
      <w:proofErr w:type="spellStart"/>
      <w:r>
        <w:t>μL</w:t>
      </w:r>
      <w:proofErr w:type="spellEnd"/>
      <w:r>
        <w:t xml:space="preserve">. However, in a </w:t>
      </w:r>
      <w:r w:rsidRPr="00C15F54">
        <w:t>pooled analysis of SIROCCO/CALIMA</w:t>
      </w:r>
      <w:r w:rsidR="00D7039F">
        <w:t xml:space="preserve"> trial</w:t>
      </w:r>
      <w:r w:rsidRPr="00C15F54">
        <w:t xml:space="preserve"> efficacy of </w:t>
      </w:r>
      <w:r>
        <w:t xml:space="preserve">Fasenra was also evaluated across the </w:t>
      </w:r>
      <w:r w:rsidRPr="00C15F54">
        <w:t xml:space="preserve">range of blood </w:t>
      </w:r>
      <w:r w:rsidRPr="004D70B4">
        <w:t>eosinophils (see Figure 13 and Figure 14). Efficacy</w:t>
      </w:r>
      <w:r w:rsidRPr="00C15F54">
        <w:t xml:space="preserve"> data for patients wit</w:t>
      </w:r>
      <w:r>
        <w:t xml:space="preserve">h baseline blood eosinophils of &lt; </w:t>
      </w:r>
      <w:r w:rsidRPr="00C15F54">
        <w:t>300 cells/</w:t>
      </w:r>
      <w:r w:rsidR="00D7039F">
        <w:t>µ</w:t>
      </w:r>
      <w:r w:rsidRPr="00C15F54">
        <w:t>L in SIROCCO/CALIMA</w:t>
      </w:r>
      <w:r w:rsidR="00D7039F">
        <w:t xml:space="preserve"> trials</w:t>
      </w:r>
      <w:r w:rsidRPr="00C15F54">
        <w:t>, separately, are also presented for illustration (Table 2</w:t>
      </w:r>
      <w:r>
        <w:t>6</w:t>
      </w:r>
      <w:r w:rsidRPr="00C15F54">
        <w:t>).</w:t>
      </w:r>
    </w:p>
    <w:p w14:paraId="37DB7B32" w14:textId="643E04D0" w:rsidR="003943D8" w:rsidRPr="00C15F54" w:rsidRDefault="003943D8" w:rsidP="003943D8">
      <w:pPr>
        <w:pStyle w:val="TableTitle"/>
      </w:pPr>
      <w:r w:rsidRPr="00C15F54">
        <w:lastRenderedPageBreak/>
        <w:t>Table 2</w:t>
      </w:r>
      <w:r>
        <w:t>6:</w:t>
      </w:r>
      <w:r w:rsidRPr="00C15F54">
        <w:t xml:space="preserve"> </w:t>
      </w:r>
      <w:r>
        <w:t>Fasenra</w:t>
      </w:r>
      <w:r w:rsidRPr="00C15F54">
        <w:t xml:space="preserve"> </w:t>
      </w:r>
      <w:r w:rsidR="00D7039F">
        <w:t>e</w:t>
      </w:r>
      <w:r w:rsidR="00D7039F" w:rsidRPr="00C15F54">
        <w:t xml:space="preserve">fficacy </w:t>
      </w:r>
      <w:r w:rsidRPr="00C15F54">
        <w:t>in patients with baseline blood eosinophil counts</w:t>
      </w:r>
      <w:r>
        <w:t xml:space="preserve"> </w:t>
      </w:r>
      <w:r w:rsidRPr="00C15F54">
        <w:t>less than 300 cells/</w:t>
      </w:r>
      <w:r w:rsidR="00D7039F">
        <w:t>µ</w:t>
      </w:r>
      <w:r w:rsidRPr="00C15F54">
        <w:t>L on high dose ICS (SIROCCO and CALIMA</w:t>
      </w:r>
      <w:r w:rsidR="00D7039F">
        <w:t xml:space="preserve"> trials</w:t>
      </w:r>
      <w:r w:rsidRPr="00C15F54">
        <w:t>)</w:t>
      </w:r>
    </w:p>
    <w:p w14:paraId="7A1208B9" w14:textId="77777777" w:rsidR="003943D8" w:rsidRDefault="003943D8" w:rsidP="003943D8">
      <w:r>
        <w:rPr>
          <w:noProof/>
          <w:lang w:eastAsia="en-AU"/>
        </w:rPr>
        <w:drawing>
          <wp:inline distT="0" distB="0" distL="0" distR="0" wp14:anchorId="4F613DCC" wp14:editId="608C8E21">
            <wp:extent cx="5400040" cy="2550019"/>
            <wp:effectExtent l="0" t="0" r="0" b="3175"/>
            <wp:docPr id="160" name="Picture 160" descr="Table 26: Fasenra Efficacy in patients with baseline blood eosinophil counts less than 300 cells/μL on high dose ICS (SIROCCO and CA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2550019"/>
                    </a:xfrm>
                    <a:prstGeom prst="rect">
                      <a:avLst/>
                    </a:prstGeom>
                  </pic:spPr>
                </pic:pic>
              </a:graphicData>
            </a:graphic>
          </wp:inline>
        </w:drawing>
      </w:r>
    </w:p>
    <w:p w14:paraId="20E5A010" w14:textId="3A4B8C49" w:rsidR="003943D8" w:rsidRPr="00C15F54" w:rsidRDefault="003943D8" w:rsidP="003943D8">
      <w:pPr>
        <w:pStyle w:val="FigureTitle"/>
      </w:pPr>
      <w:r w:rsidRPr="00C15F54">
        <w:t>Figure 1</w:t>
      </w:r>
      <w:r>
        <w:t>3:</w:t>
      </w:r>
      <w:r w:rsidRPr="00C15F54">
        <w:t xml:space="preserve"> Annual asthma exacerbation rate ratio comparison by baseline blood</w:t>
      </w:r>
      <w:r>
        <w:t xml:space="preserve"> </w:t>
      </w:r>
      <w:r w:rsidRPr="00C15F54">
        <w:t>eosinophil count category, negati</w:t>
      </w:r>
      <w:r>
        <w:t xml:space="preserve">ve binomial model - forest plot </w:t>
      </w:r>
      <w:r w:rsidRPr="00C15F54">
        <w:t>(Integrated SIROCCO/CALIMA</w:t>
      </w:r>
      <w:r w:rsidR="00D7039F">
        <w:t xml:space="preserve"> trials;</w:t>
      </w:r>
      <w:r w:rsidRPr="00C15F54">
        <w:t xml:space="preserve"> Full analysis set, </w:t>
      </w:r>
      <w:r>
        <w:t>high dose</w:t>
      </w:r>
      <w:r w:rsidRPr="00C15F54">
        <w:t xml:space="preserve"> ICS)</w:t>
      </w:r>
    </w:p>
    <w:p w14:paraId="243A4D39" w14:textId="77777777" w:rsidR="003943D8" w:rsidRDefault="003943D8" w:rsidP="003943D8">
      <w:r>
        <w:rPr>
          <w:noProof/>
          <w:lang w:eastAsia="en-AU"/>
        </w:rPr>
        <w:drawing>
          <wp:inline distT="0" distB="0" distL="0" distR="0" wp14:anchorId="0B356BB9" wp14:editId="1B72429E">
            <wp:extent cx="5400040" cy="2660789"/>
            <wp:effectExtent l="0" t="0" r="0" b="6350"/>
            <wp:docPr id="163" name="Picture 163" descr="Figure 13: Annual asthma exacerbation rate ratio comparison by baseline blood eosinophil count category, negative binomial model - forest plot (Integrated SIROCCO/CALIMA - Full analysis set, high dose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2660789"/>
                    </a:xfrm>
                    <a:prstGeom prst="rect">
                      <a:avLst/>
                    </a:prstGeom>
                  </pic:spPr>
                </pic:pic>
              </a:graphicData>
            </a:graphic>
          </wp:inline>
        </w:drawing>
      </w:r>
    </w:p>
    <w:p w14:paraId="6BB13B27" w14:textId="2481BDB9" w:rsidR="003943D8" w:rsidRPr="00C15F54" w:rsidRDefault="003943D8" w:rsidP="003943D8">
      <w:pPr>
        <w:pStyle w:val="FigureTitle"/>
      </w:pPr>
      <w:r w:rsidRPr="00C15F54">
        <w:lastRenderedPageBreak/>
        <w:t xml:space="preserve">Figure </w:t>
      </w:r>
      <w:r>
        <w:t>14:</w:t>
      </w:r>
      <w:r w:rsidRPr="00C15F54">
        <w:t xml:space="preserve"> Change from </w:t>
      </w:r>
      <w:r w:rsidR="00D7039F">
        <w:t>B</w:t>
      </w:r>
      <w:r w:rsidR="00D7039F" w:rsidRPr="00C15F54">
        <w:t xml:space="preserve">aseline </w:t>
      </w:r>
      <w:r w:rsidRPr="00C15F54">
        <w:t>in pre-bronchodilator FEV1 (L) at Week</w:t>
      </w:r>
      <w:r w:rsidR="00D7039F">
        <w:t> </w:t>
      </w:r>
      <w:r w:rsidRPr="00C15F54">
        <w:t>48 by</w:t>
      </w:r>
      <w:r>
        <w:t xml:space="preserve"> </w:t>
      </w:r>
      <w:r w:rsidRPr="00C15F54">
        <w:t>baseline blood eosinophil count categor</w:t>
      </w:r>
      <w:r>
        <w:t>y, repeated measures analysis</w:t>
      </w:r>
      <w:r w:rsidR="00D7039F">
        <w:t>;</w:t>
      </w:r>
      <w:r>
        <w:t xml:space="preserve"> </w:t>
      </w:r>
      <w:r w:rsidRPr="00C15F54">
        <w:t>forest plot (Integrated SIROCCO/CALIMA</w:t>
      </w:r>
      <w:r w:rsidR="00D7039F">
        <w:t xml:space="preserve"> trials;</w:t>
      </w:r>
      <w:r w:rsidRPr="00C15F54">
        <w:t xml:space="preserve"> Full analysis</w:t>
      </w:r>
      <w:r>
        <w:t xml:space="preserve"> set, high dose </w:t>
      </w:r>
      <w:r w:rsidRPr="00C15F54">
        <w:t>ICS)</w:t>
      </w:r>
    </w:p>
    <w:p w14:paraId="093730E5" w14:textId="77777777" w:rsidR="003943D8" w:rsidRDefault="003943D8" w:rsidP="003943D8">
      <w:r>
        <w:rPr>
          <w:noProof/>
          <w:lang w:eastAsia="en-AU"/>
        </w:rPr>
        <w:drawing>
          <wp:inline distT="0" distB="0" distL="0" distR="0" wp14:anchorId="097279E6" wp14:editId="07BB1F82">
            <wp:extent cx="5400040" cy="3107331"/>
            <wp:effectExtent l="0" t="0" r="0" b="0"/>
            <wp:docPr id="164" name="Picture 164" descr="Figure 14: Change from baseline in pre-bronchodilator FEV1 (L) at Week 48 by baseline blood eosinophil count category, repeated measures analysis - forest plot (Integrated SIROCCO/CALIMA - Full analysis set, high dose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3107331"/>
                    </a:xfrm>
                    <a:prstGeom prst="rect">
                      <a:avLst/>
                    </a:prstGeom>
                  </pic:spPr>
                </pic:pic>
              </a:graphicData>
            </a:graphic>
          </wp:inline>
        </w:drawing>
      </w:r>
    </w:p>
    <w:p w14:paraId="255B800F" w14:textId="4CAEEC89" w:rsidR="003943D8" w:rsidRPr="00551FC2" w:rsidRDefault="003943D8" w:rsidP="003943D8">
      <w:r w:rsidRPr="00551FC2">
        <w:t xml:space="preserve">The integrated analysis of the studies showed efficacy of </w:t>
      </w:r>
      <w:r>
        <w:t>Fasenra</w:t>
      </w:r>
      <w:r w:rsidRPr="00551FC2">
        <w:t xml:space="preserve"> across the range of blood</w:t>
      </w:r>
      <w:r>
        <w:t xml:space="preserve"> </w:t>
      </w:r>
      <w:r w:rsidRPr="00551FC2">
        <w:t>eosinophils and that efficacy increased with increasing baselin</w:t>
      </w:r>
      <w:r>
        <w:t xml:space="preserve">e blood eosinophil levels. This </w:t>
      </w:r>
      <w:r w:rsidRPr="00551FC2">
        <w:t>effect was most clearly demonstrated on improvement in FEV1</w:t>
      </w:r>
      <w:r>
        <w:t>. Furthermore, a post</w:t>
      </w:r>
      <w:r w:rsidR="00D7039F">
        <w:t xml:space="preserve"> </w:t>
      </w:r>
      <w:r>
        <w:t xml:space="preserve">hoc </w:t>
      </w:r>
      <w:r w:rsidRPr="00551FC2">
        <w:t>analysis of SIROCCO and CALIMA evaluated efficacy o</w:t>
      </w:r>
      <w:r>
        <w:t xml:space="preserve">f Fasenra by a blood eosinophil </w:t>
      </w:r>
      <w:r w:rsidRPr="00551FC2">
        <w:t xml:space="preserve">threshold of </w:t>
      </w:r>
      <w:r>
        <w:t xml:space="preserve">≥ </w:t>
      </w:r>
      <w:proofErr w:type="gramStart"/>
      <w:r w:rsidRPr="00551FC2">
        <w:t>150 cells/</w:t>
      </w:r>
      <w:r w:rsidR="00D7039F">
        <w:t>µ</w:t>
      </w:r>
      <w:r w:rsidRPr="00551FC2">
        <w:t>L</w:t>
      </w:r>
      <w:proofErr w:type="gramEnd"/>
      <w:r w:rsidRPr="00551FC2">
        <w:t xml:space="preserve"> and </w:t>
      </w:r>
      <w:r>
        <w:t xml:space="preserve">&lt; </w:t>
      </w:r>
      <w:r w:rsidRPr="00551FC2">
        <w:t>150 cells/</w:t>
      </w:r>
      <w:r w:rsidR="00D7039F">
        <w:t>µ</w:t>
      </w:r>
      <w:r w:rsidRPr="00551FC2">
        <w:t>L. This analys</w:t>
      </w:r>
      <w:r>
        <w:t xml:space="preserve">is showed that in patients with </w:t>
      </w:r>
      <w:r w:rsidRPr="00551FC2">
        <w:t>blood eosinophils greater than or equal to 150 cells/</w:t>
      </w:r>
      <w:proofErr w:type="spellStart"/>
      <w:r w:rsidRPr="00551FC2">
        <w:t>u</w:t>
      </w:r>
      <w:r>
        <w:t>L</w:t>
      </w:r>
      <w:proofErr w:type="spellEnd"/>
      <w:r>
        <w:t xml:space="preserve">, treatment with </w:t>
      </w:r>
      <w:proofErr w:type="spellStart"/>
      <w:r>
        <w:t>Fasenra</w:t>
      </w:r>
      <w:proofErr w:type="spellEnd"/>
      <w:r>
        <w:t xml:space="preserve"> 30 mg </w:t>
      </w:r>
      <w:r w:rsidRPr="00551FC2">
        <w:t xml:space="preserve">Q8W reduced annual exacerbation rate (42% </w:t>
      </w:r>
      <w:r>
        <w:t>and 36% for SIROCCO and CALIMA</w:t>
      </w:r>
      <w:r w:rsidR="00D7039F">
        <w:t xml:space="preserve"> trials</w:t>
      </w:r>
      <w:r>
        <w:t xml:space="preserve">, </w:t>
      </w:r>
      <w:r w:rsidRPr="00551FC2">
        <w:t xml:space="preserve">respectively, nominal </w:t>
      </w:r>
      <w:r>
        <w:t xml:space="preserve">p &lt; </w:t>
      </w:r>
      <w:r w:rsidRPr="00551FC2">
        <w:t xml:space="preserve">0.001) and improved FEV1 (163 </w:t>
      </w:r>
      <w:r>
        <w:t xml:space="preserve">mL and 116 mL above placebo for </w:t>
      </w:r>
      <w:r w:rsidRPr="00551FC2">
        <w:t>SIROCCO and CALIMA</w:t>
      </w:r>
      <w:r w:rsidR="00D7039F">
        <w:t xml:space="preserve"> trials</w:t>
      </w:r>
      <w:r w:rsidRPr="00551FC2">
        <w:t xml:space="preserve">, respectively, nominal </w:t>
      </w:r>
      <w:r>
        <w:t>p</w:t>
      </w:r>
      <w:r w:rsidRPr="00551FC2">
        <w:t xml:space="preserve"> </w:t>
      </w:r>
      <w:r>
        <w:t xml:space="preserve">&lt; </w:t>
      </w:r>
      <w:r w:rsidRPr="00551FC2">
        <w:t>0.001)</w:t>
      </w:r>
      <w:r>
        <w:t>.</w:t>
      </w:r>
      <w:r>
        <w:rPr>
          <w:rStyle w:val="FootnoteReference"/>
        </w:rPr>
        <w:footnoteReference w:id="29"/>
      </w:r>
      <w:r w:rsidRPr="00551FC2">
        <w:t xml:space="preserve"> </w:t>
      </w:r>
      <w:r>
        <w:t xml:space="preserve">Finally, </w:t>
      </w:r>
      <w:r w:rsidR="00D7039F">
        <w:t xml:space="preserve">the </w:t>
      </w:r>
      <w:r w:rsidRPr="00551FC2">
        <w:t xml:space="preserve">ZONDA </w:t>
      </w:r>
      <w:proofErr w:type="spellStart"/>
      <w:r w:rsidR="00D7039F">
        <w:t>trial</w:t>
      </w:r>
      <w:r w:rsidRPr="00551FC2">
        <w:t>recruited</w:t>
      </w:r>
      <w:proofErr w:type="spellEnd"/>
      <w:r w:rsidRPr="00551FC2">
        <w:t xml:space="preserve"> severe asthma patients taking OCS with a</w:t>
      </w:r>
      <w:r>
        <w:t xml:space="preserve"> blood eosinophil count of ≥</w:t>
      </w:r>
      <w:r w:rsidR="00D7039F">
        <w:t> </w:t>
      </w:r>
      <w:r>
        <w:t>150</w:t>
      </w:r>
      <w:r w:rsidR="00D7039F">
        <w:t> </w:t>
      </w:r>
      <w:r w:rsidRPr="00551FC2">
        <w:t>cells/</w:t>
      </w:r>
      <w:r w:rsidR="00D7039F">
        <w:t>µ</w:t>
      </w:r>
      <w:r w:rsidRPr="00551FC2">
        <w:t xml:space="preserve">L. In this patient population, </w:t>
      </w:r>
      <w:r>
        <w:t>Fasenra</w:t>
      </w:r>
      <w:r w:rsidRPr="00551FC2">
        <w:t xml:space="preserve"> demonstrated </w:t>
      </w:r>
      <w:r>
        <w:t xml:space="preserve">efficacy in significantly (both </w:t>
      </w:r>
      <w:r w:rsidRPr="00551FC2">
        <w:t>clinically and statistically) reducing OCS dosage and exacerba</w:t>
      </w:r>
      <w:r>
        <w:t xml:space="preserve">tion rate compared with placebo </w:t>
      </w:r>
      <w:r w:rsidRPr="00551FC2">
        <w:t xml:space="preserve">treatment (ZONDA </w:t>
      </w:r>
      <w:r w:rsidR="00D7039F">
        <w:t>trial s</w:t>
      </w:r>
      <w:r w:rsidRPr="00551FC2">
        <w:t xml:space="preserve">tudy </w:t>
      </w:r>
      <w:r w:rsidR="00D7039F">
        <w:t>r</w:t>
      </w:r>
      <w:r w:rsidRPr="00551FC2">
        <w:t>eport).</w:t>
      </w:r>
    </w:p>
    <w:p w14:paraId="424C8223" w14:textId="77777777" w:rsidR="003943D8" w:rsidRPr="00551FC2" w:rsidRDefault="003943D8" w:rsidP="003943D8">
      <w:r w:rsidRPr="00551FC2">
        <w:t xml:space="preserve">Based on these analyses of </w:t>
      </w:r>
      <w:r>
        <w:t>Phase III</w:t>
      </w:r>
      <w:r w:rsidRPr="00551FC2">
        <w:t xml:space="preserve"> study data, since </w:t>
      </w:r>
      <w:r>
        <w:t>Fasenra</w:t>
      </w:r>
      <w:r w:rsidRPr="00551FC2">
        <w:t xml:space="preserve"> has efficacy across the range</w:t>
      </w:r>
      <w:r>
        <w:t xml:space="preserve"> </w:t>
      </w:r>
      <w:r w:rsidRPr="00551FC2">
        <w:t xml:space="preserve">of baseline blood eosinophils, it is clear there is no specific baseline eosinophil count </w:t>
      </w:r>
      <w:r>
        <w:t xml:space="preserve">below </w:t>
      </w:r>
      <w:r w:rsidRPr="00551FC2">
        <w:t>which there is no efficacy.</w:t>
      </w:r>
    </w:p>
    <w:p w14:paraId="0C294585" w14:textId="0A5C9ED4" w:rsidR="003943D8" w:rsidRPr="00551FC2" w:rsidRDefault="003943D8" w:rsidP="003943D8">
      <w:r w:rsidRPr="00551FC2">
        <w:t>Eosinophilic asthma has been characteri</w:t>
      </w:r>
      <w:r w:rsidR="00AD6903">
        <w:t>s</w:t>
      </w:r>
      <w:r w:rsidRPr="00551FC2">
        <w:t>ed by the p</w:t>
      </w:r>
      <w:r>
        <w:t xml:space="preserve">resence of increased numbers of </w:t>
      </w:r>
      <w:r w:rsidRPr="00551FC2">
        <w:t>eosinophils in the airways of asthmatic patients</w:t>
      </w:r>
      <w:r w:rsidR="00D7039F">
        <w:t>;</w:t>
      </w:r>
      <w:r>
        <w:rPr>
          <w:rStyle w:val="FootnoteReference"/>
        </w:rPr>
        <w:footnoteReference w:id="30"/>
      </w:r>
      <w:r w:rsidRPr="00551FC2">
        <w:t xml:space="preserve"> </w:t>
      </w:r>
      <w:r>
        <w:t xml:space="preserve">and increased sputum </w:t>
      </w:r>
      <w:r w:rsidRPr="00551FC2">
        <w:t>eosinophil numbers in asthma are associated with poor lung f</w:t>
      </w:r>
      <w:r>
        <w:t xml:space="preserve">unction, risk of exacerbations, </w:t>
      </w:r>
      <w:r w:rsidRPr="00551FC2">
        <w:t>and disease severity</w:t>
      </w:r>
      <w:r w:rsidRPr="00D7039F">
        <w:rPr>
          <w:vertAlign w:val="superscript"/>
        </w:rPr>
        <w:t>.</w:t>
      </w:r>
      <w:r w:rsidRPr="00D7039F">
        <w:rPr>
          <w:rStyle w:val="FootnoteReference"/>
        </w:rPr>
        <w:footnoteReference w:id="31"/>
      </w:r>
      <w:r w:rsidR="00D7039F" w:rsidRPr="00D7039F">
        <w:rPr>
          <w:vertAlign w:val="superscript"/>
        </w:rPr>
        <w:t>,</w:t>
      </w:r>
      <w:r w:rsidRPr="00D7039F">
        <w:rPr>
          <w:rStyle w:val="FootnoteReference"/>
        </w:rPr>
        <w:footnoteReference w:id="32"/>
      </w:r>
      <w:r w:rsidR="00D7039F" w:rsidRPr="00D7039F">
        <w:rPr>
          <w:vertAlign w:val="superscript"/>
        </w:rPr>
        <w:t>,</w:t>
      </w:r>
      <w:r w:rsidRPr="00D7039F">
        <w:rPr>
          <w:rStyle w:val="FootnoteReference"/>
        </w:rPr>
        <w:footnoteReference w:id="33"/>
      </w:r>
      <w:r>
        <w:t xml:space="preserve"> However, </w:t>
      </w:r>
      <w:r w:rsidRPr="00551FC2">
        <w:t>the assessment of airway eosinophil numbers is restricte</w:t>
      </w:r>
      <w:r>
        <w:t xml:space="preserve">d </w:t>
      </w:r>
      <w:r>
        <w:lastRenderedPageBreak/>
        <w:t xml:space="preserve">to research groups and is not </w:t>
      </w:r>
      <w:r w:rsidRPr="00551FC2">
        <w:t xml:space="preserve">practicable for use in the majority of asthma clinics. Blood </w:t>
      </w:r>
      <w:r>
        <w:t xml:space="preserve">eosinophil counts can provide a </w:t>
      </w:r>
      <w:r w:rsidRPr="00551FC2">
        <w:t>readily available means of a surrogate for monitoring airway eosinophils.</w:t>
      </w:r>
    </w:p>
    <w:p w14:paraId="265CB9C3" w14:textId="5EFC5D5E" w:rsidR="003943D8" w:rsidRPr="00551FC2" w:rsidRDefault="003943D8" w:rsidP="003943D8">
      <w:r w:rsidRPr="00551FC2">
        <w:t>Increased blood eosinophils in asthma also show associations with disease severity, greater</w:t>
      </w:r>
      <w:r>
        <w:t xml:space="preserve"> </w:t>
      </w:r>
      <w:r w:rsidRPr="00551FC2">
        <w:t>risk of exacerbations, decreased lung function, and mortality</w:t>
      </w:r>
      <w:proofErr w:type="gramStart"/>
      <w:r w:rsidR="00D7039F">
        <w:t>;</w:t>
      </w:r>
      <w:proofErr w:type="gramEnd"/>
      <w:r w:rsidR="00D7039F" w:rsidRPr="00D7039F">
        <w:rPr>
          <w:vertAlign w:val="superscript"/>
        </w:rPr>
        <w:fldChar w:fldCharType="begin"/>
      </w:r>
      <w:r w:rsidR="00D7039F" w:rsidRPr="00D7039F">
        <w:rPr>
          <w:vertAlign w:val="superscript"/>
        </w:rPr>
        <w:instrText xml:space="preserve"> NOTEREF _Ref530152067 \h  \* MERGEFORMAT </w:instrText>
      </w:r>
      <w:r w:rsidR="00D7039F" w:rsidRPr="00D7039F">
        <w:rPr>
          <w:vertAlign w:val="superscript"/>
        </w:rPr>
      </w:r>
      <w:r w:rsidR="00D7039F" w:rsidRPr="00D7039F">
        <w:rPr>
          <w:vertAlign w:val="superscript"/>
        </w:rPr>
        <w:fldChar w:fldCharType="separate"/>
      </w:r>
      <w:r w:rsidR="00D7039F" w:rsidRPr="00D7039F">
        <w:rPr>
          <w:vertAlign w:val="superscript"/>
        </w:rPr>
        <w:t>31</w:t>
      </w:r>
      <w:r w:rsidR="00D7039F" w:rsidRPr="00D7039F">
        <w:rPr>
          <w:vertAlign w:val="superscript"/>
        </w:rPr>
        <w:fldChar w:fldCharType="end"/>
      </w:r>
      <w:r w:rsidR="00D7039F" w:rsidRPr="00D7039F">
        <w:rPr>
          <w:vertAlign w:val="superscript"/>
        </w:rPr>
        <w:t>,</w:t>
      </w:r>
      <w:r w:rsidRPr="00D7039F">
        <w:rPr>
          <w:rStyle w:val="FootnoteReference"/>
        </w:rPr>
        <w:footnoteReference w:id="34"/>
      </w:r>
      <w:r w:rsidR="00D7039F" w:rsidRPr="00D7039F">
        <w:rPr>
          <w:vertAlign w:val="superscript"/>
        </w:rPr>
        <w:t>,</w:t>
      </w:r>
      <w:r w:rsidRPr="00D7039F">
        <w:rPr>
          <w:rStyle w:val="FootnoteReference"/>
        </w:rPr>
        <w:footnoteReference w:id="35"/>
      </w:r>
      <w:r w:rsidR="00D7039F" w:rsidRPr="00D7039F">
        <w:rPr>
          <w:vertAlign w:val="superscript"/>
        </w:rPr>
        <w:t>,</w:t>
      </w:r>
      <w:r w:rsidRPr="00D7039F">
        <w:rPr>
          <w:rStyle w:val="FootnoteReference"/>
        </w:rPr>
        <w:footnoteReference w:id="36"/>
      </w:r>
      <w:r w:rsidR="00D7039F" w:rsidRPr="00D7039F">
        <w:rPr>
          <w:vertAlign w:val="superscript"/>
        </w:rPr>
        <w:t>,</w:t>
      </w:r>
      <w:r w:rsidRPr="00D7039F">
        <w:rPr>
          <w:rStyle w:val="FootnoteReference"/>
        </w:rPr>
        <w:footnoteReference w:id="37"/>
      </w:r>
      <w:r w:rsidR="00D7039F" w:rsidRPr="00D7039F">
        <w:rPr>
          <w:vertAlign w:val="superscript"/>
        </w:rPr>
        <w:t>,</w:t>
      </w:r>
      <w:r>
        <w:rPr>
          <w:rStyle w:val="FootnoteReference"/>
        </w:rPr>
        <w:footnoteReference w:id="38"/>
      </w:r>
      <w:r>
        <w:t xml:space="preserve"> and in </w:t>
      </w:r>
      <w:r w:rsidRPr="00551FC2">
        <w:t>general, there is a relationship of blood eosinophils with sputum eosinophils</w:t>
      </w:r>
      <w:r w:rsidRPr="00D7039F">
        <w:rPr>
          <w:vertAlign w:val="superscript"/>
        </w:rPr>
        <w:t>.</w:t>
      </w:r>
      <w:r w:rsidRPr="00D7039F">
        <w:rPr>
          <w:rStyle w:val="FootnoteReference"/>
        </w:rPr>
        <w:footnoteReference w:id="39"/>
      </w:r>
      <w:r w:rsidR="00D7039F" w:rsidRPr="00D7039F">
        <w:rPr>
          <w:vertAlign w:val="superscript"/>
        </w:rPr>
        <w:t>,</w:t>
      </w:r>
      <w:r w:rsidRPr="00D7039F">
        <w:rPr>
          <w:rStyle w:val="FootnoteReference"/>
        </w:rPr>
        <w:footnoteReference w:id="40"/>
      </w:r>
      <w:r w:rsidR="00D7039F" w:rsidRPr="00D7039F">
        <w:rPr>
          <w:vertAlign w:val="superscript"/>
        </w:rPr>
        <w:t>,</w:t>
      </w:r>
      <w:r w:rsidRPr="00D7039F">
        <w:rPr>
          <w:rStyle w:val="FootnoteReference"/>
        </w:rPr>
        <w:footnoteReference w:id="41"/>
      </w:r>
      <w:r w:rsidR="00D7039F" w:rsidRPr="00D7039F">
        <w:rPr>
          <w:vertAlign w:val="superscript"/>
        </w:rPr>
        <w:t>,</w:t>
      </w:r>
      <w:r w:rsidRPr="00D7039F">
        <w:rPr>
          <w:rStyle w:val="FootnoteReference"/>
        </w:rPr>
        <w:footnoteReference w:id="42"/>
      </w:r>
      <w:r w:rsidR="00D7039F" w:rsidRPr="00D7039F">
        <w:rPr>
          <w:vertAlign w:val="superscript"/>
        </w:rPr>
        <w:t>,</w:t>
      </w:r>
      <w:r w:rsidRPr="00D7039F">
        <w:rPr>
          <w:rStyle w:val="FootnoteReference"/>
        </w:rPr>
        <w:footnoteReference w:id="43"/>
      </w:r>
      <w:r>
        <w:t xml:space="preserve"> </w:t>
      </w:r>
      <w:r w:rsidRPr="00551FC2">
        <w:t>However, the relationship of blood with sputum eosinophil c</w:t>
      </w:r>
      <w:r>
        <w:t>an be weak,</w:t>
      </w:r>
      <w:r>
        <w:rPr>
          <w:rStyle w:val="FootnoteReference"/>
        </w:rPr>
        <w:footnoteReference w:id="44"/>
      </w:r>
      <w:r>
        <w:t xml:space="preserve"> </w:t>
      </w:r>
      <w:r w:rsidRPr="00551FC2">
        <w:t xml:space="preserve">and a systematic analysis of the literature conducted by </w:t>
      </w:r>
      <w:proofErr w:type="spellStart"/>
      <w:r w:rsidRPr="00551FC2">
        <w:t>Korevaar</w:t>
      </w:r>
      <w:proofErr w:type="spellEnd"/>
      <w:r w:rsidRPr="00551FC2">
        <w:t xml:space="preserve"> et al, exemplif</w:t>
      </w:r>
      <w:r>
        <w:t xml:space="preserve">ied specific </w:t>
      </w:r>
      <w:r w:rsidRPr="00551FC2">
        <w:t>examples of this</w:t>
      </w:r>
      <w:r>
        <w:t>.</w:t>
      </w:r>
      <w:r>
        <w:rPr>
          <w:rStyle w:val="FootnoteReference"/>
        </w:rPr>
        <w:footnoteReference w:id="45"/>
      </w:r>
    </w:p>
    <w:p w14:paraId="4E4F3B64" w14:textId="67D11F72" w:rsidR="003943D8" w:rsidRPr="00551FC2" w:rsidRDefault="003943D8" w:rsidP="003943D8">
      <w:r w:rsidRPr="00551FC2">
        <w:t>Mukherjee and Nair</w:t>
      </w:r>
      <w:r w:rsidR="00D7039F">
        <w:t>;</w:t>
      </w:r>
      <w:r>
        <w:rPr>
          <w:rStyle w:val="FootnoteReference"/>
        </w:rPr>
        <w:footnoteReference w:id="46"/>
      </w:r>
      <w:r w:rsidRPr="00551FC2">
        <w:t xml:space="preserve"> reported that the relati</w:t>
      </w:r>
      <w:r>
        <w:t xml:space="preserve">onship between sputum and blood </w:t>
      </w:r>
      <w:r w:rsidRPr="00551FC2">
        <w:t>eosinophils becomes weaker with increasing asthma severity</w:t>
      </w:r>
      <w:r>
        <w:t xml:space="preserve"> and patients with normal blood </w:t>
      </w:r>
      <w:r w:rsidRPr="00551FC2">
        <w:t>eosinophil counts but raised sputum eosinophils have lowe</w:t>
      </w:r>
      <w:r>
        <w:t xml:space="preserve">r lung function, greater airway </w:t>
      </w:r>
      <w:r w:rsidRPr="00551FC2">
        <w:t>responsiveness and poorer asthma control. Therefore, the effi</w:t>
      </w:r>
      <w:r>
        <w:t xml:space="preserve">cacy of benralizumab across the </w:t>
      </w:r>
      <w:r w:rsidRPr="00551FC2">
        <w:t>range of blood eosinophils and the lack of a clear eosinop</w:t>
      </w:r>
      <w:r>
        <w:t xml:space="preserve">hil threshold below which there is no </w:t>
      </w:r>
      <w:r w:rsidRPr="00551FC2">
        <w:t>efficacy is likely a consequence of these findings in the literatu</w:t>
      </w:r>
      <w:r>
        <w:t xml:space="preserve">re that there are some patients </w:t>
      </w:r>
      <w:r w:rsidRPr="00551FC2">
        <w:t>with airway eosinophilia but who have a low blood eosinophil count.</w:t>
      </w:r>
    </w:p>
    <w:p w14:paraId="50A64517" w14:textId="704804FA" w:rsidR="003943D8" w:rsidRPr="00D7039F" w:rsidRDefault="003943D8" w:rsidP="003943D8">
      <w:pPr>
        <w:pStyle w:val="Numberbullet0"/>
        <w:numPr>
          <w:ilvl w:val="0"/>
          <w:numId w:val="2"/>
        </w:numPr>
        <w:rPr>
          <w:i/>
        </w:rPr>
      </w:pPr>
      <w:r w:rsidRPr="00D7039F">
        <w:rPr>
          <w:i/>
        </w:rPr>
        <w:t xml:space="preserve">In </w:t>
      </w:r>
      <w:r w:rsidR="00D7039F">
        <w:rPr>
          <w:i/>
        </w:rPr>
        <w:t xml:space="preserve">the </w:t>
      </w:r>
      <w:r w:rsidRPr="00D7039F">
        <w:rPr>
          <w:i/>
        </w:rPr>
        <w:t>SIROCCO</w:t>
      </w:r>
      <w:r w:rsidR="00D7039F">
        <w:rPr>
          <w:i/>
        </w:rPr>
        <w:t xml:space="preserve"> trial</w:t>
      </w:r>
      <w:r w:rsidRPr="00D7039F">
        <w:rPr>
          <w:i/>
        </w:rPr>
        <w:t>, ppFEV1 was ≤</w:t>
      </w:r>
      <w:r w:rsidRPr="00D7039F">
        <w:rPr>
          <w:rFonts w:hint="eastAsia"/>
          <w:i/>
        </w:rPr>
        <w:t xml:space="preserve"> </w:t>
      </w:r>
      <w:r w:rsidRPr="00D7039F">
        <w:rPr>
          <w:i/>
        </w:rPr>
        <w:t>90% as lower limit for 12 to 17 years, which was different from ≤</w:t>
      </w:r>
      <w:r w:rsidRPr="00D7039F">
        <w:rPr>
          <w:rFonts w:hint="eastAsia"/>
          <w:i/>
        </w:rPr>
        <w:t xml:space="preserve"> </w:t>
      </w:r>
      <w:r w:rsidRPr="00D7039F">
        <w:rPr>
          <w:i/>
        </w:rPr>
        <w:t>80% for 18 to 75 years. What was the rationale for this approach?</w:t>
      </w:r>
    </w:p>
    <w:p w14:paraId="15B5746D" w14:textId="1296CD85" w:rsidR="003943D8" w:rsidRPr="00551FC2" w:rsidRDefault="00D7039F" w:rsidP="003943D8">
      <w:r>
        <w:t>(</w:t>
      </w:r>
      <w:r w:rsidR="003943D8" w:rsidRPr="00A134CE">
        <w:t xml:space="preserve">Please also refer to the </w:t>
      </w:r>
      <w:r w:rsidR="003943D8" w:rsidRPr="00D26BA3">
        <w:rPr>
          <w:i/>
        </w:rPr>
        <w:t>Use in adolescents (12 to 17 years)</w:t>
      </w:r>
      <w:r w:rsidR="003943D8" w:rsidRPr="00A134CE">
        <w:t xml:space="preserve"> section in the Sponsor’s response to Delegate’s request for ACM advice above</w:t>
      </w:r>
      <w:r>
        <w:t>).</w:t>
      </w:r>
    </w:p>
    <w:p w14:paraId="6D4030BE" w14:textId="6015A35A" w:rsidR="003943D8" w:rsidRDefault="003943D8" w:rsidP="003943D8">
      <w:r w:rsidRPr="00551FC2">
        <w:t>Children and adolescents with persistent asthma have relatively normal lung function duri</w:t>
      </w:r>
      <w:r>
        <w:t xml:space="preserve">ng symptom </w:t>
      </w:r>
      <w:r w:rsidRPr="00551FC2">
        <w:t xml:space="preserve">free periods with abnormal pulmonary function </w:t>
      </w:r>
      <w:r>
        <w:t>only during acute exacerbations.</w:t>
      </w:r>
      <w:r w:rsidRPr="00D7039F">
        <w:rPr>
          <w:rStyle w:val="FootnoteReference"/>
        </w:rPr>
        <w:footnoteReference w:id="47"/>
      </w:r>
      <w:r w:rsidR="00D7039F" w:rsidRPr="00D7039F">
        <w:rPr>
          <w:vertAlign w:val="superscript"/>
        </w:rPr>
        <w:t>,</w:t>
      </w:r>
      <w:r>
        <w:rPr>
          <w:rStyle w:val="FootnoteReference"/>
        </w:rPr>
        <w:footnoteReference w:id="48"/>
      </w:r>
      <w:r w:rsidRPr="00551FC2">
        <w:t xml:space="preserve"> Lung function as measured by FEV1 </w:t>
      </w:r>
      <w:r>
        <w:t xml:space="preserve">does not </w:t>
      </w:r>
      <w:r w:rsidRPr="00551FC2">
        <w:t>correlate well with the magnitude of asthma sympto</w:t>
      </w:r>
      <w:r>
        <w:t xml:space="preserve">ms in this population, which is </w:t>
      </w:r>
      <w:r w:rsidRPr="00551FC2">
        <w:t>differentiated by ongoing symptoms and airway inflammat</w:t>
      </w:r>
      <w:r>
        <w:t xml:space="preserve">ion despite treatment with high </w:t>
      </w:r>
      <w:r w:rsidRPr="00551FC2">
        <w:t xml:space="preserve">doses of ICS and other controller medications. By including a higher FEV1 </w:t>
      </w:r>
      <w:r>
        <w:t xml:space="preserve">cut-off while </w:t>
      </w:r>
      <w:r w:rsidRPr="00551FC2">
        <w:t xml:space="preserve">preserving the same </w:t>
      </w:r>
      <w:r w:rsidRPr="00551FC2">
        <w:lastRenderedPageBreak/>
        <w:t xml:space="preserve">symptom and exacerbation criteria as in adults, </w:t>
      </w:r>
      <w:r w:rsidR="00D7039F">
        <w:t>the sponsor</w:t>
      </w:r>
      <w:r w:rsidR="00D7039F" w:rsidRPr="00551FC2">
        <w:t xml:space="preserve"> </w:t>
      </w:r>
      <w:r>
        <w:t xml:space="preserve">sought to </w:t>
      </w:r>
      <w:r w:rsidRPr="00551FC2">
        <w:t xml:space="preserve">include a </w:t>
      </w:r>
      <w:r>
        <w:t xml:space="preserve">representative sample of the 12 to </w:t>
      </w:r>
      <w:r w:rsidRPr="00551FC2">
        <w:t>17 year old popul</w:t>
      </w:r>
      <w:r>
        <w:t>ation.</w:t>
      </w:r>
      <w:r>
        <w:rPr>
          <w:rStyle w:val="FootnoteReference"/>
        </w:rPr>
        <w:footnoteReference w:id="49"/>
      </w:r>
      <w:r>
        <w:t xml:space="preserve"> </w:t>
      </w:r>
      <w:r w:rsidR="00D7039F">
        <w:t>The sponsor</w:t>
      </w:r>
      <w:r w:rsidR="00D7039F" w:rsidRPr="00551FC2">
        <w:t xml:space="preserve"> </w:t>
      </w:r>
      <w:r w:rsidRPr="00551FC2">
        <w:t>was also aware of the mepolizumab program</w:t>
      </w:r>
      <w:r>
        <w:t xml:space="preserve"> taking a similar approach with </w:t>
      </w:r>
      <w:r w:rsidRPr="00551FC2">
        <w:t>regards to the adolescent FEV1 inclusion criteria.</w:t>
      </w:r>
    </w:p>
    <w:p w14:paraId="529ADD3D" w14:textId="3DAA8217" w:rsidR="003943D8" w:rsidRPr="00D7039F" w:rsidRDefault="003943D8" w:rsidP="003943D8">
      <w:pPr>
        <w:pStyle w:val="Numberbullet0"/>
        <w:numPr>
          <w:ilvl w:val="0"/>
          <w:numId w:val="2"/>
        </w:numPr>
        <w:rPr>
          <w:i/>
        </w:rPr>
      </w:pPr>
      <w:r w:rsidRPr="00D7039F">
        <w:rPr>
          <w:i/>
        </w:rPr>
        <w:t xml:space="preserve">The range of ICS dose (&gt; 500 to 1000 </w:t>
      </w:r>
      <w:r w:rsidR="00D7039F" w:rsidRPr="00D7039F">
        <w:rPr>
          <w:i/>
        </w:rPr>
        <w:t>µ</w:t>
      </w:r>
      <w:r w:rsidRPr="00D7039F">
        <w:rPr>
          <w:i/>
        </w:rPr>
        <w:t xml:space="preserve">g/day) considered as high in the recruitment of patient to efficacy </w:t>
      </w:r>
      <w:r w:rsidR="00D7039F">
        <w:rPr>
          <w:i/>
        </w:rPr>
        <w:t>trials</w:t>
      </w:r>
      <w:r w:rsidR="00D7039F" w:rsidRPr="00D7039F">
        <w:rPr>
          <w:i/>
        </w:rPr>
        <w:t xml:space="preserve"> </w:t>
      </w:r>
      <w:r w:rsidRPr="00D7039F">
        <w:rPr>
          <w:i/>
        </w:rPr>
        <w:t xml:space="preserve">SIROCCO and CALIMA is not in line with &gt; 1000 </w:t>
      </w:r>
      <w:r w:rsidR="00D7039F" w:rsidRPr="00D7039F">
        <w:rPr>
          <w:i/>
        </w:rPr>
        <w:t>µ</w:t>
      </w:r>
      <w:r w:rsidRPr="00D7039F">
        <w:rPr>
          <w:i/>
        </w:rPr>
        <w:t>g/ day as the lower limit of threshold for high dose ICS as per ATS/ERS guidelines. Please clarify.</w:t>
      </w:r>
    </w:p>
    <w:p w14:paraId="1A263C83" w14:textId="2083C270" w:rsidR="003943D8" w:rsidRPr="00551FC2" w:rsidRDefault="00D7039F" w:rsidP="003943D8">
      <w:r>
        <w:t>(</w:t>
      </w:r>
      <w:r w:rsidR="003943D8">
        <w:t xml:space="preserve">Please also refer to the </w:t>
      </w:r>
      <w:proofErr w:type="gramStart"/>
      <w:r w:rsidR="003943D8" w:rsidRPr="00D26BA3">
        <w:rPr>
          <w:i/>
        </w:rPr>
        <w:t>Proposed</w:t>
      </w:r>
      <w:proofErr w:type="gramEnd"/>
      <w:r w:rsidR="003943D8" w:rsidRPr="00D26BA3">
        <w:rPr>
          <w:i/>
        </w:rPr>
        <w:t xml:space="preserve"> indication</w:t>
      </w:r>
      <w:r w:rsidR="003943D8" w:rsidRPr="00551FC2">
        <w:t xml:space="preserve"> </w:t>
      </w:r>
      <w:r w:rsidR="003943D8">
        <w:t xml:space="preserve">section </w:t>
      </w:r>
      <w:r w:rsidR="003943D8" w:rsidRPr="00551FC2">
        <w:t xml:space="preserve">in the </w:t>
      </w:r>
      <w:r w:rsidR="003943D8" w:rsidRPr="001B0D5E">
        <w:t>Sponsor’s response to Delegate’s request for ACM advice ab</w:t>
      </w:r>
      <w:r w:rsidR="003943D8">
        <w:t>o</w:t>
      </w:r>
      <w:r w:rsidR="003943D8" w:rsidRPr="001B0D5E">
        <w:t>ve</w:t>
      </w:r>
      <w:r>
        <w:t>)</w:t>
      </w:r>
      <w:r w:rsidR="003943D8" w:rsidRPr="00551FC2">
        <w:t>.</w:t>
      </w:r>
    </w:p>
    <w:p w14:paraId="47EC2EC7" w14:textId="60525D3C" w:rsidR="003943D8" w:rsidRPr="00551FC2" w:rsidRDefault="003943D8" w:rsidP="003943D8">
      <w:r w:rsidRPr="00551FC2">
        <w:t>The range of ICS doses considered high were taken directly</w:t>
      </w:r>
      <w:r>
        <w:t xml:space="preserve"> from the Global Initiative for Asthma (GINA) guidelines</w:t>
      </w:r>
      <w:r w:rsidR="00D7039F">
        <w:t>;</w:t>
      </w:r>
      <w:r>
        <w:rPr>
          <w:rStyle w:val="FootnoteReference"/>
        </w:rPr>
        <w:footnoteReference w:id="50"/>
      </w:r>
      <w:r>
        <w:t xml:space="preserve"> </w:t>
      </w:r>
      <w:r w:rsidRPr="00551FC2">
        <w:t xml:space="preserve">on clinical comparability of different ICS with fluticasone </w:t>
      </w:r>
      <w:proofErr w:type="spellStart"/>
      <w:r w:rsidRPr="00551FC2">
        <w:t>proprionate</w:t>
      </w:r>
      <w:proofErr w:type="spellEnd"/>
      <w:r w:rsidRPr="00551FC2">
        <w:t xml:space="preserve"> </w:t>
      </w:r>
      <w:r>
        <w:t>&gt; 500 </w:t>
      </w:r>
      <w:r w:rsidR="00D7039F">
        <w:t>µ</w:t>
      </w:r>
      <w:r>
        <w:t xml:space="preserve">g serving </w:t>
      </w:r>
      <w:r w:rsidRPr="00551FC2">
        <w:t>as the index steroid and dose for high dose ICS, and guidance</w:t>
      </w:r>
      <w:r>
        <w:t xml:space="preserve"> included in the clinical study </w:t>
      </w:r>
      <w:r w:rsidRPr="00551FC2">
        <w:t>protocols. The range of ICS doses considered high is also</w:t>
      </w:r>
      <w:r>
        <w:t xml:space="preserve"> consistent with the Australian </w:t>
      </w:r>
      <w:r w:rsidRPr="00551FC2">
        <w:t>Management Handbook v1.3</w:t>
      </w:r>
      <w:r>
        <w:t>.</w:t>
      </w:r>
      <w:r>
        <w:rPr>
          <w:rStyle w:val="FootnoteReference"/>
        </w:rPr>
        <w:footnoteReference w:id="51"/>
      </w:r>
    </w:p>
    <w:p w14:paraId="4ACB632E" w14:textId="57BAF11C" w:rsidR="003943D8" w:rsidRPr="00551FC2" w:rsidRDefault="003943D8" w:rsidP="003943D8">
      <w:r w:rsidRPr="00551FC2">
        <w:t xml:space="preserve">At the time of clinical study protocol development </w:t>
      </w:r>
      <w:r>
        <w:t xml:space="preserve">for </w:t>
      </w:r>
      <w:r w:rsidR="00D7039F">
        <w:t xml:space="preserve">the </w:t>
      </w:r>
      <w:r>
        <w:t>SIROCCO and CALIMA</w:t>
      </w:r>
      <w:r w:rsidR="00D7039F">
        <w:t xml:space="preserve"> trials</w:t>
      </w:r>
      <w:r>
        <w:t>, ATS/ERS guidelines</w:t>
      </w:r>
      <w:r w:rsidRPr="00551FC2">
        <w:t xml:space="preserve"> had not been published.</w:t>
      </w:r>
      <w:r>
        <w:rPr>
          <w:rStyle w:val="FootnoteReference"/>
        </w:rPr>
        <w:footnoteReference w:id="52"/>
      </w:r>
      <w:r w:rsidRPr="00551FC2">
        <w:t xml:space="preserve"> ATS/ERS </w:t>
      </w:r>
      <w:r>
        <w:t xml:space="preserve">guidelines </w:t>
      </w:r>
      <w:r w:rsidR="00D7039F">
        <w:t xml:space="preserve">recognise </w:t>
      </w:r>
      <w:r>
        <w:t xml:space="preserve">that it is </w:t>
      </w:r>
      <w:proofErr w:type="gramStart"/>
      <w:r w:rsidRPr="00551FC2">
        <w:t>key</w:t>
      </w:r>
      <w:proofErr w:type="gramEnd"/>
      <w:r w:rsidRPr="00551FC2">
        <w:t xml:space="preserve"> that patients exhibit lack of control of asthma symptoms, or a history o</w:t>
      </w:r>
      <w:r>
        <w:t xml:space="preserve">f previous </w:t>
      </w:r>
      <w:r w:rsidRPr="00551FC2">
        <w:t>exacerbations despite treatment with ICS in addition to anothe</w:t>
      </w:r>
      <w:r>
        <w:t xml:space="preserve">r controller medication. A dose </w:t>
      </w:r>
      <w:r w:rsidRPr="00551FC2">
        <w:t xml:space="preserve">of ICS lower than 1000 </w:t>
      </w:r>
      <w:r w:rsidR="00D7039F">
        <w:t>µ</w:t>
      </w:r>
      <w:r w:rsidRPr="00551FC2">
        <w:t>g could be the result of treatment fai</w:t>
      </w:r>
      <w:r>
        <w:t xml:space="preserve">lure or use of other controller </w:t>
      </w:r>
      <w:r w:rsidRPr="00551FC2">
        <w:t xml:space="preserve">medications. In the SIROCCO </w:t>
      </w:r>
      <w:r w:rsidR="00D7039F">
        <w:t>trial</w:t>
      </w:r>
      <w:r w:rsidRPr="00551FC2">
        <w:t>, for example, between 1</w:t>
      </w:r>
      <w:r>
        <w:t xml:space="preserve">4 and 22% of patients were on </w:t>
      </w:r>
      <w:r w:rsidRPr="00551FC2">
        <w:t xml:space="preserve">systemic steroids, close to 10% were on a </w:t>
      </w:r>
      <w:r>
        <w:t>long-acting anti-muscarinic</w:t>
      </w:r>
      <w:r w:rsidRPr="00551FC2">
        <w:t xml:space="preserve"> </w:t>
      </w:r>
      <w:r>
        <w:t>(</w:t>
      </w:r>
      <w:r w:rsidRPr="00551FC2">
        <w:t>LAMA</w:t>
      </w:r>
      <w:r>
        <w:t>)</w:t>
      </w:r>
      <w:r w:rsidRPr="00551FC2">
        <w:t xml:space="preserve"> and 30%</w:t>
      </w:r>
      <w:r>
        <w:t xml:space="preserve"> or more were using </w:t>
      </w:r>
      <w:proofErr w:type="gramStart"/>
      <w:r>
        <w:t>a leukotriene receptor antagonists</w:t>
      </w:r>
      <w:proofErr w:type="gramEnd"/>
      <w:r>
        <w:t xml:space="preserve"> (LTRA). By </w:t>
      </w:r>
      <w:r w:rsidRPr="00551FC2">
        <w:t>having inclusion criteria that made ICS</w:t>
      </w:r>
      <w:r w:rsidR="00D7039F">
        <w:t xml:space="preserve"> </w:t>
      </w:r>
      <w:r w:rsidRPr="00551FC2">
        <w:t>+</w:t>
      </w:r>
      <w:r w:rsidR="00D7039F">
        <w:t xml:space="preserve"> </w:t>
      </w:r>
      <w:r w:rsidRPr="00551FC2">
        <w:t>LABA manda</w:t>
      </w:r>
      <w:r>
        <w:t xml:space="preserve">tory, while allowing additional </w:t>
      </w:r>
      <w:r w:rsidRPr="00551FC2">
        <w:t xml:space="preserve">controller medications and OCS, </w:t>
      </w:r>
      <w:r w:rsidR="00D7039F">
        <w:t>the sponsor</w:t>
      </w:r>
      <w:r w:rsidR="00D7039F" w:rsidRPr="00551FC2">
        <w:t xml:space="preserve"> </w:t>
      </w:r>
      <w:r w:rsidRPr="00551FC2">
        <w:t>ensured patien</w:t>
      </w:r>
      <w:r>
        <w:t xml:space="preserve">ts with severe asthma were </w:t>
      </w:r>
      <w:r w:rsidRPr="00551FC2">
        <w:t xml:space="preserve">enrolled, particularly considering that additional aspects, such </w:t>
      </w:r>
      <w:r>
        <w:t xml:space="preserve">as previous exacerbations, lack </w:t>
      </w:r>
      <w:r w:rsidRPr="00551FC2">
        <w:t>of asthma symptom control and allowance of OCS use were also key protocol criteria.</w:t>
      </w:r>
    </w:p>
    <w:p w14:paraId="77A8C236" w14:textId="77777777" w:rsidR="003943D8" w:rsidRPr="00D7039F" w:rsidRDefault="003943D8" w:rsidP="003943D8">
      <w:pPr>
        <w:pStyle w:val="Numberbullet0"/>
        <w:numPr>
          <w:ilvl w:val="0"/>
          <w:numId w:val="2"/>
        </w:numPr>
        <w:rPr>
          <w:i/>
        </w:rPr>
      </w:pPr>
      <w:r w:rsidRPr="00D7039F">
        <w:rPr>
          <w:i/>
        </w:rPr>
        <w:t>Are there studies to examine optimal treatment duration or to examine implications of weaning-off treatment in severe asthmatics?</w:t>
      </w:r>
    </w:p>
    <w:p w14:paraId="202F7E0A" w14:textId="39C09172" w:rsidR="003943D8" w:rsidRPr="00551FC2" w:rsidRDefault="003943D8" w:rsidP="003943D8">
      <w:r w:rsidRPr="00551FC2">
        <w:t>When assessing optimal treatment duration and consequences of weaning it is important to</w:t>
      </w:r>
      <w:r>
        <w:t xml:space="preserve"> </w:t>
      </w:r>
      <w:r w:rsidRPr="00551FC2">
        <w:t>consider several aspects. In eosinophil driven severe asthma, decreasing the number and</w:t>
      </w:r>
      <w:r>
        <w:t xml:space="preserve">/or </w:t>
      </w:r>
      <w:r w:rsidRPr="00551FC2">
        <w:t>activity of the effector cells is a key aim of therapy and its cessa</w:t>
      </w:r>
      <w:r>
        <w:t xml:space="preserve">tion will result in a return of </w:t>
      </w:r>
      <w:r w:rsidRPr="00551FC2">
        <w:t xml:space="preserve">symptoms and exacerbations. This is evident from studies </w:t>
      </w:r>
      <w:r>
        <w:t xml:space="preserve">in prednisone dependent asthma, </w:t>
      </w:r>
      <w:r w:rsidRPr="00551FC2">
        <w:t>which have shown that a reduction in prednisone dose is followe</w:t>
      </w:r>
      <w:r>
        <w:t xml:space="preserve">d by an increase in both </w:t>
      </w:r>
      <w:r w:rsidRPr="00551FC2">
        <w:t>sputum and blood eosinophils and a subsequent i</w:t>
      </w:r>
      <w:r>
        <w:t xml:space="preserve">ncrement in asthma symptoms and </w:t>
      </w:r>
      <w:r w:rsidRPr="00551FC2">
        <w:t>exacerbations</w:t>
      </w:r>
      <w:r>
        <w:t>.</w:t>
      </w:r>
      <w:r>
        <w:rPr>
          <w:rStyle w:val="FootnoteReference"/>
        </w:rPr>
        <w:footnoteReference w:id="53"/>
      </w:r>
      <w:r w:rsidRPr="00551FC2">
        <w:t xml:space="preserve"> In the </w:t>
      </w:r>
      <w:proofErr w:type="spellStart"/>
      <w:r w:rsidRPr="00551FC2">
        <w:t>benraliz</w:t>
      </w:r>
      <w:r>
        <w:t>umab</w:t>
      </w:r>
      <w:proofErr w:type="spellEnd"/>
      <w:r>
        <w:t xml:space="preserve"> Phase </w:t>
      </w:r>
      <w:proofErr w:type="spellStart"/>
      <w:r>
        <w:t>IIb</w:t>
      </w:r>
      <w:proofErr w:type="spellEnd"/>
      <w:r>
        <w:t xml:space="preserve"> study (MI-CP220), </w:t>
      </w:r>
      <w:r w:rsidRPr="00551FC2">
        <w:t>patients were followed for approximately 6 months following the la</w:t>
      </w:r>
      <w:r>
        <w:t xml:space="preserve">st dose of benralizumab. </w:t>
      </w:r>
      <w:r w:rsidRPr="00551FC2">
        <w:t>Nearly 90% of patients had absolute peripheral blood eosinop</w:t>
      </w:r>
      <w:r>
        <w:t xml:space="preserve">hil recovery to ≥ </w:t>
      </w:r>
      <w:proofErr w:type="gramStart"/>
      <w:r>
        <w:t>50 cells/</w:t>
      </w:r>
      <w:r w:rsidR="00D7039F">
        <w:t>µ</w:t>
      </w:r>
      <w:r>
        <w:t>L</w:t>
      </w:r>
      <w:proofErr w:type="gramEnd"/>
      <w:r>
        <w:t xml:space="preserve"> or ≥ </w:t>
      </w:r>
      <w:r w:rsidRPr="00551FC2">
        <w:t>20% of baseline absolute peripheral blood eosinophil level</w:t>
      </w:r>
      <w:r>
        <w:t xml:space="preserve"> irrespective of the dose used. </w:t>
      </w:r>
      <w:r w:rsidRPr="00551FC2">
        <w:t>Therefore, it is likely that following cessation of treatment w</w:t>
      </w:r>
      <w:r>
        <w:t xml:space="preserve">ith Fasenra a gradual return of </w:t>
      </w:r>
      <w:r w:rsidRPr="00551FC2">
        <w:t>blood eosinophils followed by symptom worsening and potent</w:t>
      </w:r>
      <w:r>
        <w:t xml:space="preserve">ially exacerbations will </w:t>
      </w:r>
      <w:r>
        <w:lastRenderedPageBreak/>
        <w:t xml:space="preserve">ensue. </w:t>
      </w:r>
      <w:r w:rsidRPr="00551FC2">
        <w:t xml:space="preserve">Taking this into consideration, it is proposed that </w:t>
      </w:r>
      <w:r>
        <w:t>Fasenra</w:t>
      </w:r>
      <w:r w:rsidRPr="00551FC2">
        <w:t xml:space="preserve"> wi</w:t>
      </w:r>
      <w:r>
        <w:t xml:space="preserve">ll be administered as a chronic </w:t>
      </w:r>
      <w:r w:rsidRPr="00551FC2">
        <w:t>treatment and weaning seems to be counterintuitive.</w:t>
      </w:r>
    </w:p>
    <w:p w14:paraId="5903192D" w14:textId="209A036C" w:rsidR="003943D8" w:rsidRPr="00551FC2" w:rsidRDefault="003943D8" w:rsidP="003943D8">
      <w:r w:rsidRPr="00551FC2">
        <w:t>The effects on longer term dosing and dosing cessation wil</w:t>
      </w:r>
      <w:r>
        <w:t xml:space="preserve">l be further evaluated in </w:t>
      </w:r>
      <w:r w:rsidR="00D7039F">
        <w:t xml:space="preserve">the </w:t>
      </w:r>
      <w:r>
        <w:t>BORA</w:t>
      </w:r>
      <w:r w:rsidR="00D7039F">
        <w:t xml:space="preserve"> trial</w:t>
      </w:r>
      <w:r>
        <w:t xml:space="preserve">. </w:t>
      </w:r>
      <w:r w:rsidRPr="00551FC2">
        <w:t xml:space="preserve">Finally, it is expected that as part of routine medical practice, </w:t>
      </w:r>
      <w:r>
        <w:t xml:space="preserve">physicians will assess patients </w:t>
      </w:r>
      <w:r w:rsidRPr="00551FC2">
        <w:t>on a periodic basis (</w:t>
      </w:r>
      <w:r>
        <w:t>for example</w:t>
      </w:r>
      <w:r w:rsidRPr="00551FC2">
        <w:t xml:space="preserve"> annually) to determine whether a pa</w:t>
      </w:r>
      <w:r>
        <w:t>tient continues to benefit from Fasenra</w:t>
      </w:r>
      <w:r w:rsidRPr="00551FC2">
        <w:t xml:space="preserve"> and will make decisions whether to continue t</w:t>
      </w:r>
      <w:r>
        <w:t xml:space="preserve">reatment or wean based on these </w:t>
      </w:r>
      <w:r w:rsidRPr="00551FC2">
        <w:t>evaluations.</w:t>
      </w:r>
    </w:p>
    <w:p w14:paraId="66E9C17D" w14:textId="77777777" w:rsidR="003943D8" w:rsidRPr="00D7039F" w:rsidRDefault="003943D8" w:rsidP="003943D8">
      <w:pPr>
        <w:pStyle w:val="Numberbullet0"/>
        <w:numPr>
          <w:ilvl w:val="0"/>
          <w:numId w:val="2"/>
        </w:numPr>
        <w:rPr>
          <w:i/>
        </w:rPr>
      </w:pPr>
      <w:r w:rsidRPr="00D7039F">
        <w:rPr>
          <w:i/>
        </w:rPr>
        <w:t>The inflammatory profile of airway may change in asthmatics, when they become obese or become affected with COPD. Is there any evidence for corresponding changes in blood eosinophil, which would indicate change in treatment that was initially based on blood level of eosinophils</w:t>
      </w:r>
    </w:p>
    <w:p w14:paraId="30B0D910" w14:textId="77777777" w:rsidR="003943D8" w:rsidRPr="00551FC2" w:rsidRDefault="003943D8" w:rsidP="003943D8">
      <w:r w:rsidRPr="00551FC2">
        <w:t xml:space="preserve">It is important to note that the </w:t>
      </w:r>
      <w:r>
        <w:t>Fasenra</w:t>
      </w:r>
      <w:r w:rsidRPr="00551FC2">
        <w:t xml:space="preserve"> asthma program included patients with asthma and</w:t>
      </w:r>
      <w:r>
        <w:t xml:space="preserve"> </w:t>
      </w:r>
      <w:r w:rsidRPr="00551FC2">
        <w:t>various degrees of obesity. Obesity and eosinophilic inflammat</w:t>
      </w:r>
      <w:r>
        <w:t xml:space="preserve">ion are not mutually exclusive; </w:t>
      </w:r>
      <w:r w:rsidRPr="00551FC2">
        <w:t xml:space="preserve">there are obese patients with asthma who may have </w:t>
      </w:r>
      <w:r>
        <w:t xml:space="preserve">severe asthma that is driven by </w:t>
      </w:r>
      <w:r w:rsidRPr="00551FC2">
        <w:t>eosinophils and obese patients with asthma who will have asthma driven by o</w:t>
      </w:r>
      <w:r>
        <w:t xml:space="preserve">ther </w:t>
      </w:r>
      <w:r w:rsidRPr="00551FC2">
        <w:t>inflammatory cells such as neutrophils. The PD effects of</w:t>
      </w:r>
      <w:r>
        <w:t xml:space="preserve"> benralizumab are consistent in </w:t>
      </w:r>
      <w:r w:rsidRPr="00551FC2">
        <w:t>obese and non-obese patients with almost complete eo</w:t>
      </w:r>
      <w:r>
        <w:t xml:space="preserve">sinophil depletion. The Fasenra </w:t>
      </w:r>
      <w:r w:rsidRPr="00551FC2">
        <w:t>program has shown efficacy in obese patients with eosinophilic asthma in terms</w:t>
      </w:r>
      <w:r>
        <w:t xml:space="preserve"> of lung </w:t>
      </w:r>
      <w:r w:rsidRPr="00551FC2">
        <w:t xml:space="preserve">function and </w:t>
      </w:r>
      <w:r w:rsidRPr="006755C3">
        <w:t>exacerbations (refer to results of the descriptive analyses provided in the Summary of Clinical Efficacy).</w:t>
      </w:r>
    </w:p>
    <w:p w14:paraId="0B840FEF" w14:textId="1F5399F1" w:rsidR="003943D8" w:rsidRPr="00551FC2" w:rsidRDefault="003943D8" w:rsidP="003943D8">
      <w:r w:rsidRPr="00551FC2">
        <w:t>There are limited data regarding eosinophilic disease in patients with asthma who progress to</w:t>
      </w:r>
      <w:r>
        <w:t xml:space="preserve"> </w:t>
      </w:r>
      <w:r w:rsidRPr="00551FC2">
        <w:t xml:space="preserve">COPD or have COPD as </w:t>
      </w:r>
      <w:r w:rsidR="00AA6579" w:rsidRPr="00551FC2">
        <w:t>comorbidity</w:t>
      </w:r>
      <w:r w:rsidRPr="00551FC2">
        <w:t xml:space="preserve">. </w:t>
      </w:r>
      <w:r w:rsidR="00D7039F">
        <w:t>The sponsor</w:t>
      </w:r>
      <w:r w:rsidR="00D7039F" w:rsidRPr="00551FC2">
        <w:t xml:space="preserve"> </w:t>
      </w:r>
      <w:r w:rsidRPr="00551FC2">
        <w:t>agrees tha</w:t>
      </w:r>
      <w:r>
        <w:t xml:space="preserve">t this is an important question </w:t>
      </w:r>
      <w:r w:rsidRPr="00551FC2">
        <w:t xml:space="preserve">and this is being addressed in the </w:t>
      </w:r>
      <w:r>
        <w:t>Fasenra</w:t>
      </w:r>
      <w:r w:rsidRPr="00551FC2">
        <w:t xml:space="preserve"> COPD program </w:t>
      </w:r>
      <w:r>
        <w:t xml:space="preserve">which has enrolled patients who </w:t>
      </w:r>
      <w:r w:rsidRPr="00551FC2">
        <w:t xml:space="preserve">have COPD and a history of asthma. The </w:t>
      </w:r>
      <w:r>
        <w:t>Fasenra</w:t>
      </w:r>
      <w:r w:rsidRPr="00551FC2">
        <w:t xml:space="preserve"> C</w:t>
      </w:r>
      <w:r>
        <w:t xml:space="preserve">OPD programme, which is ongoing </w:t>
      </w:r>
      <w:r w:rsidRPr="00551FC2">
        <w:t xml:space="preserve">will </w:t>
      </w:r>
      <w:r w:rsidR="00D7039F" w:rsidRPr="00551FC2">
        <w:t>randomi</w:t>
      </w:r>
      <w:r w:rsidR="00D7039F">
        <w:t>s</w:t>
      </w:r>
      <w:r w:rsidR="00D7039F" w:rsidRPr="00551FC2">
        <w:t xml:space="preserve">e </w:t>
      </w:r>
      <w:r w:rsidRPr="00551FC2">
        <w:t>about 4</w:t>
      </w:r>
      <w:r>
        <w:t>,</w:t>
      </w:r>
      <w:r w:rsidRPr="00551FC2">
        <w:t>000 patients and will read out at the</w:t>
      </w:r>
      <w:r>
        <w:t xml:space="preserve"> end of 2018 with an indication </w:t>
      </w:r>
      <w:r w:rsidRPr="00551FC2">
        <w:t xml:space="preserve">extension dossier planned </w:t>
      </w:r>
      <w:r>
        <w:t>at a later date</w:t>
      </w:r>
      <w:r w:rsidRPr="00551FC2">
        <w:t>.</w:t>
      </w:r>
    </w:p>
    <w:p w14:paraId="6464047C" w14:textId="16AC2721" w:rsidR="003943D8" w:rsidRPr="00D7039F" w:rsidRDefault="003943D8" w:rsidP="003943D8">
      <w:pPr>
        <w:pStyle w:val="Numberbullet0"/>
        <w:numPr>
          <w:ilvl w:val="0"/>
          <w:numId w:val="2"/>
        </w:numPr>
        <w:rPr>
          <w:i/>
        </w:rPr>
      </w:pPr>
      <w:r w:rsidRPr="00D7039F">
        <w:rPr>
          <w:i/>
        </w:rPr>
        <w:t xml:space="preserve">Why is it stated in </w:t>
      </w:r>
      <w:r w:rsidR="00D7039F">
        <w:rPr>
          <w:i/>
        </w:rPr>
        <w:t xml:space="preserve">the </w:t>
      </w:r>
      <w:r w:rsidRPr="00D7039F">
        <w:rPr>
          <w:i/>
        </w:rPr>
        <w:t xml:space="preserve">PI under </w:t>
      </w:r>
      <w:r w:rsidR="00D7039F">
        <w:rPr>
          <w:i/>
        </w:rPr>
        <w:t>D</w:t>
      </w:r>
      <w:r w:rsidRPr="00D7039F">
        <w:rPr>
          <w:i/>
        </w:rPr>
        <w:t xml:space="preserve">osage and </w:t>
      </w:r>
      <w:r w:rsidR="00D7039F">
        <w:rPr>
          <w:i/>
        </w:rPr>
        <w:t>A</w:t>
      </w:r>
      <w:r w:rsidRPr="00D7039F">
        <w:rPr>
          <w:i/>
        </w:rPr>
        <w:t>dministration as no dosing recommendation can be made in 12</w:t>
      </w:r>
      <w:r w:rsidR="00D7039F">
        <w:rPr>
          <w:i/>
        </w:rPr>
        <w:t xml:space="preserve"> to </w:t>
      </w:r>
      <w:r w:rsidRPr="00D7039F">
        <w:rPr>
          <w:i/>
        </w:rPr>
        <w:t xml:space="preserve">17 year old patients, while the proposed indication was for all patients with severe </w:t>
      </w:r>
      <w:proofErr w:type="gramStart"/>
      <w:r w:rsidRPr="00D7039F">
        <w:rPr>
          <w:i/>
        </w:rPr>
        <w:t>asthma.</w:t>
      </w:r>
      <w:proofErr w:type="gramEnd"/>
    </w:p>
    <w:p w14:paraId="6C0CFFE1" w14:textId="43D04A13" w:rsidR="003943D8" w:rsidRPr="00551FC2" w:rsidRDefault="0074429C" w:rsidP="003943D8">
      <w:r>
        <w:t>(</w:t>
      </w:r>
      <w:r w:rsidR="003943D8">
        <w:t xml:space="preserve">Please also refer to the </w:t>
      </w:r>
      <w:proofErr w:type="gramStart"/>
      <w:r w:rsidR="003943D8" w:rsidRPr="00D26BA3">
        <w:rPr>
          <w:i/>
        </w:rPr>
        <w:t>Proposed</w:t>
      </w:r>
      <w:proofErr w:type="gramEnd"/>
      <w:r w:rsidR="003943D8" w:rsidRPr="00D26BA3">
        <w:rPr>
          <w:i/>
        </w:rPr>
        <w:t xml:space="preserve"> indication</w:t>
      </w:r>
      <w:r w:rsidR="003943D8" w:rsidRPr="00551FC2">
        <w:t xml:space="preserve"> and </w:t>
      </w:r>
      <w:r w:rsidR="003943D8" w:rsidRPr="00D26BA3">
        <w:rPr>
          <w:i/>
        </w:rPr>
        <w:t>Use in adolescents (12 to 17 years)</w:t>
      </w:r>
      <w:r w:rsidR="003943D8">
        <w:t xml:space="preserve"> sections</w:t>
      </w:r>
      <w:r w:rsidR="003943D8" w:rsidRPr="00551FC2">
        <w:t xml:space="preserve"> in</w:t>
      </w:r>
      <w:r w:rsidR="003943D8">
        <w:t xml:space="preserve"> </w:t>
      </w:r>
      <w:r w:rsidR="003943D8" w:rsidRPr="00551FC2">
        <w:t xml:space="preserve">the </w:t>
      </w:r>
      <w:r w:rsidR="003943D8" w:rsidRPr="001B0D5E">
        <w:t>Sponsor’s response to Delegate’s request for ACM advice ab</w:t>
      </w:r>
      <w:r w:rsidR="003943D8">
        <w:t>o</w:t>
      </w:r>
      <w:r w:rsidR="003943D8" w:rsidRPr="001B0D5E">
        <w:t>ve</w:t>
      </w:r>
      <w:r>
        <w:t>)</w:t>
      </w:r>
      <w:r w:rsidR="003943D8" w:rsidRPr="00551FC2">
        <w:t>.</w:t>
      </w:r>
    </w:p>
    <w:p w14:paraId="49C15E16" w14:textId="6207D301" w:rsidR="003943D8" w:rsidRPr="00551FC2" w:rsidRDefault="003943D8" w:rsidP="003943D8">
      <w:r w:rsidRPr="00551FC2">
        <w:t xml:space="preserve">Many of </w:t>
      </w:r>
      <w:r w:rsidR="0074429C">
        <w:t>the sponsor’s</w:t>
      </w:r>
      <w:r w:rsidR="0074429C" w:rsidRPr="00551FC2">
        <w:t xml:space="preserve"> </w:t>
      </w:r>
      <w:r w:rsidRPr="00551FC2">
        <w:t>products do not include the age ranges wit</w:t>
      </w:r>
      <w:r>
        <w:t xml:space="preserve">hin the ‘Indication’ text, but </w:t>
      </w:r>
      <w:r w:rsidRPr="00551FC2">
        <w:t>instead these are defined within the PI ‘Dosage and administrat</w:t>
      </w:r>
      <w:r>
        <w:t xml:space="preserve">ion’ section. This includes the </w:t>
      </w:r>
      <w:r w:rsidRPr="00551FC2">
        <w:t xml:space="preserve">majority of </w:t>
      </w:r>
      <w:r w:rsidR="0074429C">
        <w:t>the sponsor’s</w:t>
      </w:r>
      <w:r w:rsidR="0074429C" w:rsidRPr="00551FC2">
        <w:t xml:space="preserve"> </w:t>
      </w:r>
      <w:r w:rsidRPr="00551FC2">
        <w:t xml:space="preserve">respiratory products, as well as </w:t>
      </w:r>
      <w:r>
        <w:t xml:space="preserve">a recently registered influenza </w:t>
      </w:r>
      <w:r w:rsidRPr="00551FC2">
        <w:t xml:space="preserve">vaccine where this was queried by the </w:t>
      </w:r>
      <w:r>
        <w:t>Delegate</w:t>
      </w:r>
      <w:r w:rsidRPr="00551FC2">
        <w:t xml:space="preserve"> at the time and </w:t>
      </w:r>
      <w:r>
        <w:t xml:space="preserve">then later accepted. The intent </w:t>
      </w:r>
      <w:r w:rsidRPr="00551FC2">
        <w:t xml:space="preserve">was that the asthma patients suitable for </w:t>
      </w:r>
      <w:r>
        <w:t>Fasenra</w:t>
      </w:r>
      <w:r w:rsidRPr="00551FC2">
        <w:t xml:space="preserve"> treatment would be defined by the</w:t>
      </w:r>
      <w:r>
        <w:t xml:space="preserve"> </w:t>
      </w:r>
      <w:r w:rsidRPr="00551FC2">
        <w:t>prescriber on consideration of the ‘Indication’ in combination with the ‘Dosage and</w:t>
      </w:r>
      <w:r>
        <w:t xml:space="preserve"> </w:t>
      </w:r>
      <w:r w:rsidR="0074429C">
        <w:t>A</w:t>
      </w:r>
      <w:r w:rsidRPr="00551FC2">
        <w:t>dministration’ section and also the ‘Clinical Trials’ section o</w:t>
      </w:r>
      <w:r>
        <w:t xml:space="preserve">f the PI. </w:t>
      </w:r>
      <w:proofErr w:type="gramStart"/>
      <w:r>
        <w:t xml:space="preserve">However, as discussed </w:t>
      </w:r>
      <w:r w:rsidRPr="00551FC2">
        <w:t xml:space="preserve">above, we now accept the </w:t>
      </w:r>
      <w:r>
        <w:t>Delegate</w:t>
      </w:r>
      <w:r w:rsidRPr="00551FC2">
        <w:t>’s recommendation to inc</w:t>
      </w:r>
      <w:r>
        <w:t xml:space="preserve">lude the age range of ‘12 years </w:t>
      </w:r>
      <w:r w:rsidRPr="00551FC2">
        <w:t>and above</w:t>
      </w:r>
      <w:r>
        <w:t>’ within the proposed i</w:t>
      </w:r>
      <w:r w:rsidRPr="00551FC2">
        <w:t>ndication.</w:t>
      </w:r>
      <w:proofErr w:type="gramEnd"/>
      <w:r w:rsidRPr="00551FC2">
        <w:t xml:space="preserve"> This approach is c</w:t>
      </w:r>
      <w:r>
        <w:t xml:space="preserve">onsistent with the benralizumab </w:t>
      </w:r>
      <w:r w:rsidRPr="00551FC2">
        <w:t>indication recently approved by the FDA.</w:t>
      </w:r>
    </w:p>
    <w:p w14:paraId="1A435BDE" w14:textId="77777777" w:rsidR="003943D8" w:rsidRPr="0074429C" w:rsidRDefault="003943D8" w:rsidP="003943D8">
      <w:pPr>
        <w:pStyle w:val="Numberbullet0"/>
        <w:numPr>
          <w:ilvl w:val="0"/>
          <w:numId w:val="2"/>
        </w:numPr>
        <w:rPr>
          <w:i/>
        </w:rPr>
      </w:pPr>
      <w:r w:rsidRPr="0074429C">
        <w:rPr>
          <w:i/>
        </w:rPr>
        <w:t>In spite of the fewer injections, there was an increased efficacy observed with benralizumab Q8W regimen, compared with that of Q4W regimen, please explain.</w:t>
      </w:r>
    </w:p>
    <w:p w14:paraId="25282061" w14:textId="77777777" w:rsidR="003943D8" w:rsidRPr="00042F57" w:rsidRDefault="003943D8" w:rsidP="003943D8">
      <w:r w:rsidRPr="00042F57">
        <w:t>There is no plausible biological explanation for the numerical treatment differences between</w:t>
      </w:r>
      <w:r>
        <w:t xml:space="preserve"> </w:t>
      </w:r>
      <w:r w:rsidRPr="00042F57">
        <w:t>the Q4W and Q8W dosing regimens that both show similar ef</w:t>
      </w:r>
      <w:r>
        <w:t xml:space="preserve">ficacy. The population exposure response modelling of AER data </w:t>
      </w:r>
      <w:r w:rsidRPr="00042F57">
        <w:t>confirmed that the 30 mg Q8W was the dose associated with</w:t>
      </w:r>
      <w:r>
        <w:t xml:space="preserve"> 90% maximum drug treatment </w:t>
      </w:r>
      <w:r w:rsidRPr="00042F57">
        <w:t>effect (ED</w:t>
      </w:r>
      <w:r w:rsidRPr="0074429C">
        <w:rPr>
          <w:vertAlign w:val="subscript"/>
        </w:rPr>
        <w:t>90</w:t>
      </w:r>
      <w:r w:rsidRPr="00042F57">
        <w:t xml:space="preserve">) of </w:t>
      </w:r>
      <w:r>
        <w:t>Fasenra</w:t>
      </w:r>
      <w:r w:rsidRPr="00042F57">
        <w:t xml:space="preserve"> for severe asthma treatment, as p</w:t>
      </w:r>
      <w:r>
        <w:t xml:space="preserve">reviously identified from Phase </w:t>
      </w:r>
      <w:proofErr w:type="spellStart"/>
      <w:r>
        <w:t>IIb</w:t>
      </w:r>
      <w:proofErr w:type="spellEnd"/>
      <w:r>
        <w:t xml:space="preserve"> data analysis (Study MI</w:t>
      </w:r>
      <w:r>
        <w:noBreakHyphen/>
      </w:r>
      <w:r w:rsidRPr="00042F57">
        <w:t>CP220). There was also a flat exp</w:t>
      </w:r>
      <w:r>
        <w:t xml:space="preserve">osure response relationship for </w:t>
      </w:r>
      <w:r w:rsidRPr="00042F57">
        <w:t xml:space="preserve">FEV1, suggesting the efficacy </w:t>
      </w:r>
      <w:r w:rsidRPr="00042F57">
        <w:lastRenderedPageBreak/>
        <w:t>plateau was reached at 3</w:t>
      </w:r>
      <w:r>
        <w:t xml:space="preserve">0 mg Q8W. Both treatment groups </w:t>
      </w:r>
      <w:r w:rsidRPr="00042F57">
        <w:t>also had similar effects on depletion of blood eosinophils.</w:t>
      </w:r>
    </w:p>
    <w:p w14:paraId="0F6EDCB8" w14:textId="0C795C5F" w:rsidR="003943D8" w:rsidRPr="00042F57" w:rsidRDefault="003943D8" w:rsidP="003943D8">
      <w:r w:rsidRPr="00042F57">
        <w:t xml:space="preserve">In </w:t>
      </w:r>
      <w:r w:rsidR="0074429C">
        <w:t xml:space="preserve">the </w:t>
      </w:r>
      <w:r w:rsidRPr="00042F57">
        <w:t>SIROCCO/CALIMA</w:t>
      </w:r>
      <w:r w:rsidR="0074429C">
        <w:t xml:space="preserve"> trials,</w:t>
      </w:r>
      <w:r w:rsidRPr="00042F57">
        <w:t xml:space="preserve"> both the Q4W and Q8W dosing regimens showed similar efficacy on</w:t>
      </w:r>
      <w:r>
        <w:t xml:space="preserve"> </w:t>
      </w:r>
      <w:r w:rsidRPr="00042F57">
        <w:t>the primary endpoint of annual exacerbation rate in the primary patient pop</w:t>
      </w:r>
      <w:r>
        <w:t xml:space="preserve">ulation of patients </w:t>
      </w:r>
      <w:r w:rsidRPr="00042F57">
        <w:t>on high dose ICS with baseline blood eosinophils of</w:t>
      </w:r>
      <w:r>
        <w:t xml:space="preserve"> ≥ 300 cells/</w:t>
      </w:r>
      <w:r w:rsidR="0074429C">
        <w:t>µ</w:t>
      </w:r>
      <w:r>
        <w:t>L. In</w:t>
      </w:r>
      <w:r w:rsidR="0074429C">
        <w:t xml:space="preserve"> the</w:t>
      </w:r>
      <w:r>
        <w:t xml:space="preserve"> SIROCCO</w:t>
      </w:r>
      <w:r w:rsidR="0074429C">
        <w:t xml:space="preserve"> trial</w:t>
      </w:r>
      <w:r>
        <w:t xml:space="preserve">, the </w:t>
      </w:r>
      <w:r w:rsidRPr="00042F57">
        <w:t>exacerbation rate ratios for the Q4W and Q8W were 0.55 (95</w:t>
      </w:r>
      <w:r>
        <w:t>%</w:t>
      </w:r>
      <w:r w:rsidR="0074429C">
        <w:t> </w:t>
      </w:r>
      <w:r>
        <w:t xml:space="preserve">CI: 0.42, 0.71) and 0.49 (95% </w:t>
      </w:r>
      <w:r w:rsidRPr="00042F57">
        <w:t>CI: 0.37, 0.64) respectively and in CALIMA were 0.64 (95% CI: 0</w:t>
      </w:r>
      <w:r>
        <w:t xml:space="preserve">.49, 0.85) and 0.72 (0.54, </w:t>
      </w:r>
      <w:r w:rsidRPr="00042F57">
        <w:t>0.95) respectively. The exacerbation rate ratios for the Q</w:t>
      </w:r>
      <w:r>
        <w:t xml:space="preserve">4W and Q8W dosing regimens were </w:t>
      </w:r>
      <w:r w:rsidRPr="00042F57">
        <w:t>also similar in the pooled analyses 0.59 (95% CI: 0.49, 0.72</w:t>
      </w:r>
      <w:r>
        <w:t xml:space="preserve">) and 0.58 (95% CI: 0.48, 0.70) </w:t>
      </w:r>
      <w:r w:rsidRPr="00042F57">
        <w:t xml:space="preserve">respectively. The efficacy of </w:t>
      </w:r>
      <w:r>
        <w:t>Fasenra</w:t>
      </w:r>
      <w:r w:rsidRPr="00042F57">
        <w:t xml:space="preserve"> by Q4W and Q</w:t>
      </w:r>
      <w:r>
        <w:t xml:space="preserve">8W dosing was also similar on a </w:t>
      </w:r>
      <w:r w:rsidRPr="00042F57">
        <w:t>number of other secondary endpoint analyses including pre-bronchodilator FEV1.</w:t>
      </w:r>
    </w:p>
    <w:p w14:paraId="2B162A27" w14:textId="265E0F1E" w:rsidR="003943D8" w:rsidRPr="00042F57" w:rsidRDefault="003943D8" w:rsidP="003943D8">
      <w:r w:rsidRPr="00042F57">
        <w:t>Furthermore, there was similar efficacy between the Q4W</w:t>
      </w:r>
      <w:r>
        <w:t xml:space="preserve"> and Q8W dosing regimens on OCS </w:t>
      </w:r>
      <w:r w:rsidRPr="00042F57">
        <w:t xml:space="preserve">reduction and change from baseline in FEV1 in </w:t>
      </w:r>
      <w:r w:rsidR="0074429C">
        <w:t xml:space="preserve">the </w:t>
      </w:r>
      <w:r w:rsidRPr="00042F57">
        <w:t>ZONDA</w:t>
      </w:r>
      <w:r w:rsidR="0074429C">
        <w:t xml:space="preserve"> trial</w:t>
      </w:r>
      <w:r w:rsidRPr="00042F57">
        <w:t>.</w:t>
      </w:r>
    </w:p>
    <w:p w14:paraId="0C5BF390" w14:textId="26D9602F" w:rsidR="003943D8" w:rsidRPr="00042F57" w:rsidRDefault="003943D8" w:rsidP="003943D8">
      <w:pPr>
        <w:pStyle w:val="ListBullet"/>
      </w:pPr>
      <w:r w:rsidRPr="00042F57">
        <w:t>Estimate for difference in percent reduction fro</w:t>
      </w:r>
      <w:r>
        <w:t xml:space="preserve">m baseline in daily OCS dose at </w:t>
      </w:r>
      <w:r w:rsidRPr="00042F57">
        <w:t>Week</w:t>
      </w:r>
      <w:r w:rsidR="0074429C">
        <w:t> </w:t>
      </w:r>
      <w:r w:rsidRPr="00042F57">
        <w:t>28 was 33.30% (95% CI: 16.70, 50.00) and 3</w:t>
      </w:r>
      <w:r>
        <w:t xml:space="preserve">7.50 (95% CI: 20.80, 50.00) for </w:t>
      </w:r>
      <w:r w:rsidRPr="00042F57">
        <w:t>the Q4W and Q8W dosing regimens respectively.</w:t>
      </w:r>
    </w:p>
    <w:p w14:paraId="3E9B832D" w14:textId="7C4BC356" w:rsidR="003943D8" w:rsidRPr="00042F57" w:rsidRDefault="003943D8" w:rsidP="003943D8">
      <w:pPr>
        <w:pStyle w:val="ListBullet"/>
      </w:pPr>
      <w:r w:rsidRPr="00042F57">
        <w:t xml:space="preserve">Difference from placebo in change from </w:t>
      </w:r>
      <w:r w:rsidR="0074429C">
        <w:t>B</w:t>
      </w:r>
      <w:r w:rsidR="0074429C" w:rsidRPr="00042F57">
        <w:t xml:space="preserve">aseline </w:t>
      </w:r>
      <w:r w:rsidRPr="00042F57">
        <w:t xml:space="preserve">in pre-bronchodilator FEV1 </w:t>
      </w:r>
      <w:r>
        <w:t xml:space="preserve">at </w:t>
      </w:r>
      <w:r w:rsidRPr="00042F57">
        <w:t xml:space="preserve">Week 28 was 0.105 L (95% CI: -0.040, 0.251) and </w:t>
      </w:r>
      <w:r>
        <w:t xml:space="preserve">0.112 L (95% CI: -0.033, 0.258) </w:t>
      </w:r>
      <w:r w:rsidRPr="00042F57">
        <w:t>for the Q4W and Q8W dosing regimens respectively.</w:t>
      </w:r>
    </w:p>
    <w:p w14:paraId="6F042119" w14:textId="2696DAFF" w:rsidR="003943D8" w:rsidRDefault="003943D8" w:rsidP="003943D8">
      <w:r w:rsidRPr="00042F57">
        <w:t xml:space="preserve">There were apparent differences in the efficacy between </w:t>
      </w:r>
      <w:r>
        <w:t xml:space="preserve">the Q4W and Q8W dosing regimens </w:t>
      </w:r>
      <w:r w:rsidRPr="00042F57">
        <w:t>on patient reported outcomes such as total asthma sy</w:t>
      </w:r>
      <w:r>
        <w:t xml:space="preserve">mptom score, ACQ-6, and AQLQ-12 </w:t>
      </w:r>
      <w:r w:rsidRPr="00042F57">
        <w:t>where the Q8W dosing regimens consistently demonstrated stati</w:t>
      </w:r>
      <w:r>
        <w:t>stically significant effects by end of treatment</w:t>
      </w:r>
      <w:r w:rsidRPr="00042F57">
        <w:t xml:space="preserve"> </w:t>
      </w:r>
      <w:r>
        <w:t>(</w:t>
      </w:r>
      <w:r w:rsidRPr="00042F57">
        <w:t>EOT</w:t>
      </w:r>
      <w:r>
        <w:t>)</w:t>
      </w:r>
      <w:r w:rsidRPr="00042F57">
        <w:t xml:space="preserve"> on each of these endpoints in each of the </w:t>
      </w:r>
      <w:r>
        <w:t xml:space="preserve">individual exacerbation studies </w:t>
      </w:r>
      <w:r w:rsidRPr="00042F57">
        <w:t>(</w:t>
      </w:r>
      <w:r w:rsidR="0074429C">
        <w:t xml:space="preserve">the </w:t>
      </w:r>
      <w:r w:rsidRPr="00042F57">
        <w:t>SIROCCO/CALIMA</w:t>
      </w:r>
      <w:r w:rsidR="0074429C">
        <w:t xml:space="preserve"> trials</w:t>
      </w:r>
      <w:r w:rsidRPr="00042F57">
        <w:t xml:space="preserve">), the pooled </w:t>
      </w:r>
      <w:r w:rsidRPr="006A44F0">
        <w:t xml:space="preserve">analyses (see Table </w:t>
      </w:r>
      <w:r>
        <w:t xml:space="preserve">27), and in </w:t>
      </w:r>
      <w:r w:rsidR="0074429C">
        <w:t xml:space="preserve">the </w:t>
      </w:r>
      <w:r w:rsidRPr="006A44F0">
        <w:t>ZONDA</w:t>
      </w:r>
      <w:r w:rsidR="0074429C">
        <w:t xml:space="preserve"> trial</w:t>
      </w:r>
      <w:r w:rsidRPr="006A44F0">
        <w:t xml:space="preserve"> (</w:t>
      </w:r>
      <w:r>
        <w:t>see Table </w:t>
      </w:r>
      <w:r w:rsidRPr="006A44F0">
        <w:t>28).</w:t>
      </w:r>
    </w:p>
    <w:p w14:paraId="0C76AE6D" w14:textId="4E823AF9" w:rsidR="003943D8" w:rsidRDefault="003943D8" w:rsidP="003943D8">
      <w:pPr>
        <w:pStyle w:val="TableTitle"/>
      </w:pPr>
      <w:r>
        <w:t>Table 27:</w:t>
      </w:r>
      <w:r w:rsidRPr="001248A7">
        <w:t xml:space="preserve"> </w:t>
      </w:r>
      <w:r>
        <w:t>Annual asthma exacerbation rate ratio (Integrated SIROCCO/CALIMA</w:t>
      </w:r>
      <w:r w:rsidR="0074429C">
        <w:t xml:space="preserve"> trials;</w:t>
      </w:r>
      <w:r>
        <w:t xml:space="preserve"> Full analysis set, </w:t>
      </w:r>
      <w:r w:rsidR="0074429C">
        <w:t xml:space="preserve">adolescent </w:t>
      </w:r>
      <w:r>
        <w:t>patients)</w:t>
      </w:r>
    </w:p>
    <w:p w14:paraId="400E461E" w14:textId="77777777" w:rsidR="003943D8" w:rsidRDefault="003943D8" w:rsidP="003943D8">
      <w:r>
        <w:rPr>
          <w:noProof/>
          <w:lang w:eastAsia="en-AU"/>
        </w:rPr>
        <w:drawing>
          <wp:inline distT="0" distB="0" distL="0" distR="0" wp14:anchorId="30B4857C" wp14:editId="1871B5EC">
            <wp:extent cx="5400040" cy="2904252"/>
            <wp:effectExtent l="0" t="0" r="0" b="0"/>
            <wp:docPr id="165" name="Picture 165" descr="Table 27: Annual asthma exacerbation rate ratio (Integrated SIROCCO/CALIMA - Full analysis set, Adolescen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2904252"/>
                    </a:xfrm>
                    <a:prstGeom prst="rect">
                      <a:avLst/>
                    </a:prstGeom>
                  </pic:spPr>
                </pic:pic>
              </a:graphicData>
            </a:graphic>
          </wp:inline>
        </w:drawing>
      </w:r>
    </w:p>
    <w:p w14:paraId="7EA4C16A" w14:textId="7BBF0257" w:rsidR="003943D8" w:rsidRDefault="003943D8" w:rsidP="003943D8">
      <w:pPr>
        <w:pStyle w:val="TableTitle"/>
      </w:pPr>
      <w:r>
        <w:lastRenderedPageBreak/>
        <w:t xml:space="preserve">Table 28: Proportion of patients with reductions from </w:t>
      </w:r>
      <w:r w:rsidR="0074429C">
        <w:t>B</w:t>
      </w:r>
      <w:r>
        <w:t>aseline in final OCS dose at Week 28 (EOT), while maintaining asthma control (ZONDA</w:t>
      </w:r>
      <w:r w:rsidR="0074429C">
        <w:t xml:space="preserve"> trial;</w:t>
      </w:r>
      <w:r>
        <w:t xml:space="preserve"> Full analysis set)</w:t>
      </w:r>
    </w:p>
    <w:p w14:paraId="119CFB84" w14:textId="77777777" w:rsidR="003943D8" w:rsidRPr="007C481C" w:rsidRDefault="003943D8" w:rsidP="0039213E">
      <w:r>
        <w:rPr>
          <w:noProof/>
          <w:lang w:eastAsia="en-AU"/>
        </w:rPr>
        <w:drawing>
          <wp:inline distT="0" distB="0" distL="0" distR="0" wp14:anchorId="5D5CEA56" wp14:editId="5096C9A5">
            <wp:extent cx="4666615" cy="8229600"/>
            <wp:effectExtent l="0" t="0" r="635" b="0"/>
            <wp:docPr id="166" name="Picture 166" descr="Table 28: Proportion of patients with reductions from baseline in final OCS dose at Week 28 (EOT), while maintaining asthma control (ZONDA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66615" cy="8229600"/>
                    </a:xfrm>
                    <a:prstGeom prst="rect">
                      <a:avLst/>
                    </a:prstGeom>
                  </pic:spPr>
                </pic:pic>
              </a:graphicData>
            </a:graphic>
          </wp:inline>
        </w:drawing>
      </w:r>
    </w:p>
    <w:p w14:paraId="4E69C21B" w14:textId="7ACBC091" w:rsidR="003943D8" w:rsidRPr="00042F57" w:rsidRDefault="003943D8" w:rsidP="003943D8">
      <w:r w:rsidRPr="00042F57">
        <w:lastRenderedPageBreak/>
        <w:t xml:space="preserve">It should be noted that the pivotal </w:t>
      </w:r>
      <w:r>
        <w:t>Phase III</w:t>
      </w:r>
      <w:r w:rsidRPr="00042F57">
        <w:t xml:space="preserve"> studies</w:t>
      </w:r>
      <w:r w:rsidR="0074429C">
        <w:t xml:space="preserve"> (the</w:t>
      </w:r>
      <w:r w:rsidR="00AA6579">
        <w:t xml:space="preserve"> </w:t>
      </w:r>
      <w:r>
        <w:t>SIROCCO, CALIMA and ZONDA</w:t>
      </w:r>
      <w:r w:rsidR="0074429C">
        <w:t xml:space="preserve"> trials)</w:t>
      </w:r>
      <w:r>
        <w:t xml:space="preserve"> were </w:t>
      </w:r>
      <w:r w:rsidRPr="00042F57">
        <w:t xml:space="preserve">powered to detect treatment differences between the </w:t>
      </w:r>
      <w:r>
        <w:t>Fasenra</w:t>
      </w:r>
      <w:r w:rsidRPr="00042F57">
        <w:t xml:space="preserve"> treatment</w:t>
      </w:r>
      <w:r>
        <w:t xml:space="preserve"> groups and placebo </w:t>
      </w:r>
      <w:r w:rsidRPr="00042F57">
        <w:t>and were not powered to detect treatment differen</w:t>
      </w:r>
      <w:r>
        <w:t xml:space="preserve">ces between each of the Fasenra </w:t>
      </w:r>
      <w:r w:rsidRPr="00042F57">
        <w:t xml:space="preserve">treatment groups, so the differences in each of the </w:t>
      </w:r>
      <w:r>
        <w:t xml:space="preserve">Fasenra treatment groups of these PRO </w:t>
      </w:r>
      <w:r w:rsidRPr="00042F57">
        <w:t>measures are numerical trends. Furthermore, there is a correlatio</w:t>
      </w:r>
      <w:r>
        <w:t xml:space="preserve">n between each of the total </w:t>
      </w:r>
      <w:r w:rsidRPr="00042F57">
        <w:t>asthma symptom score, ACQ-6 and AQLQ-12 variables and s</w:t>
      </w:r>
      <w:r>
        <w:t xml:space="preserve">o any difference in effect in 1 </w:t>
      </w:r>
      <w:r w:rsidRPr="00042F57">
        <w:t>patient reported outcome variable will be reflected in the other</w:t>
      </w:r>
      <w:r>
        <w:t xml:space="preserve">s, as shown in pooled data from </w:t>
      </w:r>
      <w:r w:rsidR="0074429C">
        <w:t xml:space="preserve">the </w:t>
      </w:r>
      <w:r w:rsidRPr="00042F57">
        <w:t xml:space="preserve">SIROCCO and </w:t>
      </w:r>
      <w:r w:rsidRPr="006A44F0">
        <w:t xml:space="preserve">CALIMA </w:t>
      </w:r>
      <w:r w:rsidR="0074429C">
        <w:t xml:space="preserve">trials </w:t>
      </w:r>
      <w:r w:rsidRPr="006A44F0">
        <w:t>(Table 29)</w:t>
      </w:r>
      <w:r w:rsidR="0074429C">
        <w:t>.</w:t>
      </w:r>
    </w:p>
    <w:p w14:paraId="4A4866C4" w14:textId="6BC2545A" w:rsidR="003943D8" w:rsidRPr="00042F57" w:rsidRDefault="003943D8" w:rsidP="003943D8">
      <w:pPr>
        <w:pStyle w:val="TableTitle"/>
      </w:pPr>
      <w:r>
        <w:t>Table 29:</w:t>
      </w:r>
      <w:r w:rsidRPr="00042F57">
        <w:t xml:space="preserve"> Spearman</w:t>
      </w:r>
      <w:r>
        <w:t>’</w:t>
      </w:r>
      <w:r w:rsidRPr="00042F57">
        <w:t>s rank correlations between pairs of patient reported</w:t>
      </w:r>
      <w:r>
        <w:t xml:space="preserve"> </w:t>
      </w:r>
      <w:r w:rsidRPr="00042F57">
        <w:t>outcome instruments (</w:t>
      </w:r>
      <w:r>
        <w:t xml:space="preserve">Full </w:t>
      </w:r>
      <w:r w:rsidR="0074429C">
        <w:t>analysis set</w:t>
      </w:r>
      <w:r w:rsidR="0074429C" w:rsidRPr="00042F57">
        <w:t xml:space="preserve"> </w:t>
      </w:r>
      <w:r>
        <w:t>(</w:t>
      </w:r>
      <w:r w:rsidRPr="00042F57">
        <w:t>FAS</w:t>
      </w:r>
      <w:r>
        <w:t>)</w:t>
      </w:r>
      <w:r w:rsidRPr="00042F57">
        <w:t xml:space="preserve">, baseline EOS </w:t>
      </w:r>
      <w:r>
        <w:t>≥</w:t>
      </w:r>
      <w:r>
        <w:rPr>
          <w:rFonts w:hint="eastAsia"/>
        </w:rPr>
        <w:t xml:space="preserve"> </w:t>
      </w:r>
      <w:r w:rsidRPr="00042F57">
        <w:t>300/</w:t>
      </w:r>
      <w:r w:rsidR="0074429C">
        <w:t>µ</w:t>
      </w:r>
      <w:r>
        <w:t xml:space="preserve">L, high dose ICS; </w:t>
      </w:r>
      <w:r w:rsidRPr="00042F57">
        <w:t xml:space="preserve">SIROCCO/CALIMA </w:t>
      </w:r>
      <w:r w:rsidR="0074429C">
        <w:t xml:space="preserve">trial </w:t>
      </w:r>
      <w:r w:rsidRPr="00042F57">
        <w:t>pooled data)</w:t>
      </w:r>
    </w:p>
    <w:p w14:paraId="569B48B1" w14:textId="77777777" w:rsidR="003943D8" w:rsidRDefault="003943D8" w:rsidP="003943D8">
      <w:r>
        <w:rPr>
          <w:noProof/>
          <w:lang w:eastAsia="en-AU"/>
        </w:rPr>
        <w:drawing>
          <wp:inline distT="0" distB="0" distL="0" distR="0" wp14:anchorId="43C2A811" wp14:editId="1DB667F3">
            <wp:extent cx="5400040" cy="2770982"/>
            <wp:effectExtent l="0" t="0" r="0" b="0"/>
            <wp:docPr id="167" name="Picture 167" descr="Table 29: Spearman’s rank correlations between pairs of patient reported outcome instruments (FAS, baseline EOS ≥ 300/μL, high dose ICS; SIROCCO/CALIMA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40" cy="2770982"/>
                    </a:xfrm>
                    <a:prstGeom prst="rect">
                      <a:avLst/>
                    </a:prstGeom>
                  </pic:spPr>
                </pic:pic>
              </a:graphicData>
            </a:graphic>
          </wp:inline>
        </w:drawing>
      </w:r>
    </w:p>
    <w:p w14:paraId="3BCEBE02" w14:textId="192AEE05" w:rsidR="003943D8" w:rsidRPr="00757A38" w:rsidRDefault="003943D8" w:rsidP="00757A38">
      <w:r w:rsidRPr="00042F57">
        <w:t>In conclusion, the efficacy between the Q4W and Q8W dosing regimens was similar on all</w:t>
      </w:r>
      <w:r>
        <w:t xml:space="preserve"> </w:t>
      </w:r>
      <w:r w:rsidRPr="00042F57">
        <w:t xml:space="preserve">non-PRO efficacy endpoints measured in the </w:t>
      </w:r>
      <w:r>
        <w:t>Phase III</w:t>
      </w:r>
      <w:r w:rsidRPr="00042F57">
        <w:t xml:space="preserve"> e</w:t>
      </w:r>
      <w:r>
        <w:t xml:space="preserve">xacerbation studies and the OCS </w:t>
      </w:r>
      <w:r w:rsidRPr="00042F57">
        <w:t>sparing study. Numeric trends of a greater separation f</w:t>
      </w:r>
      <w:r>
        <w:t xml:space="preserve">rom placebo for the Fasenra Q8W </w:t>
      </w:r>
      <w:r w:rsidRPr="00042F57">
        <w:t xml:space="preserve">treatment group compared with the </w:t>
      </w:r>
      <w:r>
        <w:t>Fasenra</w:t>
      </w:r>
      <w:r w:rsidRPr="00042F57">
        <w:t xml:space="preserve"> Q4W treated</w:t>
      </w:r>
      <w:r>
        <w:t xml:space="preserve"> group were observed in the PRO </w:t>
      </w:r>
      <w:r w:rsidRPr="00042F57">
        <w:t>endpoints, although it is noted that these endpoints are hig</w:t>
      </w:r>
      <w:r>
        <w:t xml:space="preserve">hly correlated with each other. </w:t>
      </w:r>
      <w:r w:rsidRPr="00042F57">
        <w:t>There was a similar AE profile between each dosing regim</w:t>
      </w:r>
      <w:r>
        <w:t xml:space="preserve">ens. In the absence of evidence </w:t>
      </w:r>
      <w:r w:rsidRPr="00042F57">
        <w:t>suggesting that greater efficacy or improved tolerability could</w:t>
      </w:r>
      <w:r>
        <w:t xml:space="preserve"> be achieved with more frequent </w:t>
      </w:r>
      <w:r w:rsidRPr="00042F57">
        <w:t>dosing, the Q8W dosing regimen was selected as the recommended dose.</w:t>
      </w:r>
    </w:p>
    <w:p w14:paraId="40D2D134" w14:textId="77777777" w:rsidR="008E7846" w:rsidRDefault="008E7846" w:rsidP="008E7846">
      <w:pPr>
        <w:pStyle w:val="Heading4"/>
      </w:pPr>
      <w:r>
        <w:t>Advisory Committee Considerations</w:t>
      </w:r>
      <w:r w:rsidR="00456765">
        <w:rPr>
          <w:rStyle w:val="FootnoteReference"/>
        </w:rPr>
        <w:footnoteReference w:id="54"/>
      </w:r>
    </w:p>
    <w:p w14:paraId="72B08956" w14:textId="77777777" w:rsidR="00F1234F" w:rsidRPr="00F1234F" w:rsidRDefault="00456765" w:rsidP="00F1234F">
      <w:r w:rsidRPr="00456765">
        <w:t xml:space="preserve">The Advisory Committee on Medicines (ACM), having considered the evaluations and the </w:t>
      </w:r>
      <w:r w:rsidR="00CF0D26">
        <w:t>Delegate</w:t>
      </w:r>
      <w:r w:rsidRPr="00456765">
        <w:t>’s overview, as well as the sponsor’s response to these documents, advised the following:</w:t>
      </w:r>
    </w:p>
    <w:p w14:paraId="79919316" w14:textId="77777777" w:rsidR="00596091" w:rsidRDefault="00F1234F" w:rsidP="00F1234F">
      <w:pPr>
        <w:rPr>
          <w:rFonts w:eastAsiaTheme="minorHAnsi" w:cs="Cambria"/>
          <w:color w:val="000000"/>
        </w:rPr>
      </w:pPr>
      <w:r w:rsidRPr="00F1234F">
        <w:rPr>
          <w:rFonts w:eastAsiaTheme="minorHAnsi" w:cs="Cambria"/>
          <w:color w:val="000000"/>
        </w:rPr>
        <w:lastRenderedPageBreak/>
        <w:t>The ACM taking into account the submitted evidence of effica</w:t>
      </w:r>
      <w:r>
        <w:rPr>
          <w:rFonts w:eastAsiaTheme="minorHAnsi" w:cs="Cambria"/>
          <w:color w:val="000000"/>
        </w:rPr>
        <w:t xml:space="preserve">cy and safety, agreed with the </w:t>
      </w:r>
      <w:r w:rsidR="00CF0D26">
        <w:rPr>
          <w:rFonts w:eastAsiaTheme="minorHAnsi" w:cs="Cambria"/>
          <w:color w:val="000000"/>
        </w:rPr>
        <w:t>Delegate</w:t>
      </w:r>
      <w:r w:rsidRPr="00F1234F">
        <w:rPr>
          <w:rFonts w:eastAsiaTheme="minorHAnsi" w:cs="Cambria"/>
          <w:color w:val="000000"/>
        </w:rPr>
        <w:t xml:space="preserve"> and considered </w:t>
      </w:r>
      <w:r w:rsidR="00E14798">
        <w:rPr>
          <w:rFonts w:eastAsiaTheme="minorHAnsi" w:cs="Cambria"/>
          <w:color w:val="000000"/>
        </w:rPr>
        <w:t>Fasenra</w:t>
      </w:r>
      <w:r w:rsidRPr="00F1234F">
        <w:rPr>
          <w:rFonts w:eastAsiaTheme="minorHAnsi" w:cs="Cambria"/>
          <w:color w:val="000000"/>
        </w:rPr>
        <w:t xml:space="preserve"> containing 30</w:t>
      </w:r>
      <w:r w:rsidR="003A1589">
        <w:rPr>
          <w:rFonts w:eastAsiaTheme="minorHAnsi" w:cs="Cambria"/>
          <w:color w:val="000000"/>
        </w:rPr>
        <w:t xml:space="preserve"> </w:t>
      </w:r>
      <w:r w:rsidRPr="00F1234F">
        <w:rPr>
          <w:rFonts w:eastAsiaTheme="minorHAnsi" w:cs="Cambria"/>
          <w:color w:val="000000"/>
        </w:rPr>
        <w:t>mg in 1</w:t>
      </w:r>
      <w:r w:rsidR="00AA0617">
        <w:rPr>
          <w:rFonts w:eastAsiaTheme="minorHAnsi" w:cs="Cambria"/>
          <w:color w:val="000000"/>
        </w:rPr>
        <w:t xml:space="preserve"> </w:t>
      </w:r>
      <w:r w:rsidRPr="00F1234F">
        <w:rPr>
          <w:rFonts w:eastAsiaTheme="minorHAnsi" w:cs="Cambria"/>
          <w:color w:val="000000"/>
        </w:rPr>
        <w:t>mL solution of benralizumab to have an overall positive benefit-risk profile for the indication</w:t>
      </w:r>
      <w:r w:rsidR="00596091">
        <w:rPr>
          <w:rFonts w:eastAsiaTheme="minorHAnsi" w:cs="Cambria"/>
          <w:color w:val="000000"/>
        </w:rPr>
        <w:t>:</w:t>
      </w:r>
    </w:p>
    <w:p w14:paraId="60C4B418" w14:textId="1EF9E9E5" w:rsidR="00E14798" w:rsidRDefault="00E14798" w:rsidP="00F1234F">
      <w:pPr>
        <w:ind w:left="720"/>
        <w:rPr>
          <w:i/>
        </w:rPr>
      </w:pPr>
      <w:r>
        <w:rPr>
          <w:i/>
        </w:rPr>
        <w:t>Fasenra</w:t>
      </w:r>
      <w:r w:rsidR="00F1234F" w:rsidRPr="00F1234F">
        <w:rPr>
          <w:i/>
        </w:rPr>
        <w:t xml:space="preserve"> is indicated as an add-on maintenance treatment in patients aged </w:t>
      </w:r>
      <w:r w:rsidR="005028A8">
        <w:rPr>
          <w:i/>
        </w:rPr>
        <w:t xml:space="preserve">&gt; </w:t>
      </w:r>
      <w:r w:rsidR="00F1234F" w:rsidRPr="00F1234F">
        <w:rPr>
          <w:i/>
        </w:rPr>
        <w:t xml:space="preserve">12 years with severe asthma, </w:t>
      </w:r>
      <w:r w:rsidR="007504A5">
        <w:rPr>
          <w:i/>
        </w:rPr>
        <w:t xml:space="preserve">≥ </w:t>
      </w:r>
      <w:r w:rsidR="00F1234F" w:rsidRPr="00F1234F">
        <w:rPr>
          <w:i/>
        </w:rPr>
        <w:t xml:space="preserve">2 exacerbations/ year, and with blood eosinophil count of </w:t>
      </w:r>
      <w:r w:rsidR="00AA0617">
        <w:rPr>
          <w:i/>
        </w:rPr>
        <w:t>≥ </w:t>
      </w:r>
      <w:r w:rsidR="00F1234F" w:rsidRPr="00F1234F">
        <w:rPr>
          <w:i/>
        </w:rPr>
        <w:t>300 cells/</w:t>
      </w:r>
      <w:r w:rsidR="0074429C" w:rsidRPr="0074429C">
        <w:rPr>
          <w:i/>
        </w:rPr>
        <w:t>µ</w:t>
      </w:r>
      <w:r w:rsidR="00F1234F" w:rsidRPr="00F1234F">
        <w:rPr>
          <w:i/>
        </w:rPr>
        <w:t>L</w:t>
      </w:r>
      <w:r>
        <w:rPr>
          <w:i/>
        </w:rPr>
        <w:t>.</w:t>
      </w:r>
    </w:p>
    <w:p w14:paraId="753DD55B" w14:textId="2A8789A9" w:rsidR="00F1234F" w:rsidRPr="00F1234F" w:rsidRDefault="003A1589" w:rsidP="00F1234F">
      <w:r w:rsidRPr="007D3E9C">
        <w:t>(</w:t>
      </w:r>
      <w:proofErr w:type="gramStart"/>
      <w:r w:rsidR="00AA0617" w:rsidRPr="007D3E9C">
        <w:t>that</w:t>
      </w:r>
      <w:proofErr w:type="gramEnd"/>
      <w:r w:rsidR="00AA0617" w:rsidRPr="007D3E9C">
        <w:t xml:space="preserve"> is</w:t>
      </w:r>
      <w:r w:rsidR="0074429C">
        <w:t>,</w:t>
      </w:r>
      <w:r w:rsidR="00AA0617" w:rsidRPr="007D3E9C">
        <w:t xml:space="preserve"> the </w:t>
      </w:r>
      <w:r w:rsidR="00CF0D26" w:rsidRPr="007D3E9C">
        <w:t>Delegate</w:t>
      </w:r>
      <w:r w:rsidR="00F1234F" w:rsidRPr="007D3E9C">
        <w:t>’s amended indication</w:t>
      </w:r>
      <w:r w:rsidRPr="007D3E9C">
        <w:t>)</w:t>
      </w:r>
      <w:r w:rsidR="0074429C">
        <w:t>.</w:t>
      </w:r>
    </w:p>
    <w:p w14:paraId="602EFFB0" w14:textId="77777777" w:rsidR="00596091" w:rsidRDefault="00F1234F" w:rsidP="00F1234F">
      <w:r w:rsidRPr="00F1234F">
        <w:t>In providing this advice, the ACM</w:t>
      </w:r>
      <w:r w:rsidR="00596091">
        <w:t>:</w:t>
      </w:r>
    </w:p>
    <w:p w14:paraId="0613F80E" w14:textId="77777777" w:rsidR="00E14798" w:rsidRDefault="00F1234F" w:rsidP="00F1234F">
      <w:pPr>
        <w:pStyle w:val="ListBullet"/>
      </w:pPr>
      <w:proofErr w:type="gramStart"/>
      <w:r w:rsidRPr="00F1234F">
        <w:t>noted</w:t>
      </w:r>
      <w:proofErr w:type="gramEnd"/>
      <w:r w:rsidRPr="00F1234F">
        <w:t xml:space="preserve"> that </w:t>
      </w:r>
      <w:r w:rsidR="00E14798">
        <w:t>Fasenra</w:t>
      </w:r>
      <w:r w:rsidRPr="00F1234F">
        <w:t xml:space="preserve"> significantly reduces exacerbations, thereby increasing the quality of life of patients</w:t>
      </w:r>
      <w:r w:rsidR="00E14798">
        <w:t>.</w:t>
      </w:r>
    </w:p>
    <w:p w14:paraId="471FE0E4" w14:textId="77777777" w:rsidR="00E14798" w:rsidRPr="00DC01C3" w:rsidRDefault="00F1234F" w:rsidP="00F1234F">
      <w:pPr>
        <w:pStyle w:val="ListBullet"/>
      </w:pPr>
      <w:proofErr w:type="gramStart"/>
      <w:r w:rsidRPr="00DC01C3">
        <w:t>noted</w:t>
      </w:r>
      <w:proofErr w:type="gramEnd"/>
      <w:r w:rsidRPr="00DC01C3">
        <w:t xml:space="preserve"> that the reduction in exacerbations did not correlate with the improvement in FEV1</w:t>
      </w:r>
      <w:r w:rsidR="00E14798" w:rsidRPr="00DC01C3">
        <w:t>.</w:t>
      </w:r>
    </w:p>
    <w:p w14:paraId="2D036053" w14:textId="77777777" w:rsidR="00F1234F" w:rsidRPr="00F1234F" w:rsidRDefault="00F1234F" w:rsidP="00F1234F">
      <w:pPr>
        <w:pStyle w:val="ListBullet"/>
      </w:pPr>
      <w:proofErr w:type="gramStart"/>
      <w:r w:rsidRPr="00F1234F">
        <w:t>noted</w:t>
      </w:r>
      <w:proofErr w:type="gramEnd"/>
      <w:r w:rsidRPr="00F1234F">
        <w:t xml:space="preserve"> that the amended indication more accurately reflects the design, conduct and </w:t>
      </w:r>
      <w:r w:rsidR="003A1589">
        <w:t>analysis of the pivotal studies.</w:t>
      </w:r>
    </w:p>
    <w:p w14:paraId="75930D4A" w14:textId="748EB2E1" w:rsidR="005A79C9" w:rsidRDefault="00F1234F" w:rsidP="00F1234F">
      <w:pPr>
        <w:pStyle w:val="ListBullet"/>
      </w:pPr>
      <w:proofErr w:type="gramStart"/>
      <w:r w:rsidRPr="00F1234F">
        <w:t>noted</w:t>
      </w:r>
      <w:proofErr w:type="gramEnd"/>
      <w:r w:rsidRPr="00F1234F">
        <w:t xml:space="preserve"> that </w:t>
      </w:r>
      <w:r w:rsidR="005236C7">
        <w:t>‘</w:t>
      </w:r>
      <w:r w:rsidR="0074429C">
        <w:t>t</w:t>
      </w:r>
      <w:r w:rsidRPr="00F1234F">
        <w:t>here are no data for u</w:t>
      </w:r>
      <w:r w:rsidR="005A79C9">
        <w:t>se in patients under 12 years</w:t>
      </w:r>
      <w:r w:rsidR="005236C7">
        <w:t>’</w:t>
      </w:r>
      <w:r w:rsidR="005A79C9">
        <w:t>.</w:t>
      </w:r>
    </w:p>
    <w:p w14:paraId="2571D87B" w14:textId="217166E3" w:rsidR="00F1234F" w:rsidRPr="00DC01C3" w:rsidRDefault="00AA0617" w:rsidP="00F1234F">
      <w:pPr>
        <w:pStyle w:val="ListBullet"/>
      </w:pPr>
      <w:r w:rsidRPr="00DC01C3">
        <w:t>Pregnancy</w:t>
      </w:r>
      <w:r w:rsidR="005A79C9" w:rsidRPr="00DC01C3">
        <w:t xml:space="preserve"> </w:t>
      </w:r>
      <w:r w:rsidR="0074429C">
        <w:t>C</w:t>
      </w:r>
      <w:r w:rsidR="005A79C9" w:rsidRPr="00DC01C3">
        <w:t xml:space="preserve">ategory should be </w:t>
      </w:r>
      <w:r w:rsidR="0074429C">
        <w:t xml:space="preserve">Pregnancy Category </w:t>
      </w:r>
      <w:r w:rsidR="005A79C9" w:rsidRPr="00DC01C3">
        <w:t xml:space="preserve">C (not </w:t>
      </w:r>
      <w:r w:rsidR="0074429C">
        <w:t xml:space="preserve">Pregnancy Category </w:t>
      </w:r>
      <w:r w:rsidR="005A79C9" w:rsidRPr="00DC01C3">
        <w:t>B1)</w:t>
      </w:r>
      <w:r w:rsidR="003A1589" w:rsidRPr="00DC01C3">
        <w:t>.</w:t>
      </w:r>
      <w:r w:rsidR="0074429C" w:rsidRPr="0074429C">
        <w:rPr>
          <w:vertAlign w:val="superscript"/>
        </w:rPr>
        <w:fldChar w:fldCharType="begin"/>
      </w:r>
      <w:r w:rsidR="0074429C" w:rsidRPr="0074429C">
        <w:rPr>
          <w:vertAlign w:val="superscript"/>
        </w:rPr>
        <w:instrText xml:space="preserve"> NOTEREF _Ref1235215 \h </w:instrText>
      </w:r>
      <w:r w:rsidR="0074429C">
        <w:rPr>
          <w:vertAlign w:val="superscript"/>
        </w:rPr>
        <w:instrText xml:space="preserve"> \* MERGEFORMAT </w:instrText>
      </w:r>
      <w:r w:rsidR="0074429C" w:rsidRPr="0074429C">
        <w:rPr>
          <w:vertAlign w:val="superscript"/>
        </w:rPr>
      </w:r>
      <w:r w:rsidR="0074429C" w:rsidRPr="0074429C">
        <w:rPr>
          <w:vertAlign w:val="superscript"/>
        </w:rPr>
        <w:fldChar w:fldCharType="separate"/>
      </w:r>
      <w:r w:rsidR="0074429C" w:rsidRPr="0074429C">
        <w:rPr>
          <w:vertAlign w:val="superscript"/>
        </w:rPr>
        <w:t>8</w:t>
      </w:r>
      <w:r w:rsidR="0074429C" w:rsidRPr="0074429C">
        <w:rPr>
          <w:vertAlign w:val="superscript"/>
        </w:rPr>
        <w:fldChar w:fldCharType="end"/>
      </w:r>
      <w:r w:rsidR="0074429C" w:rsidRPr="0074429C">
        <w:rPr>
          <w:vertAlign w:val="superscript"/>
        </w:rPr>
        <w:t>,</w:t>
      </w:r>
      <w:r w:rsidR="0074429C" w:rsidRPr="0074429C">
        <w:rPr>
          <w:vertAlign w:val="superscript"/>
        </w:rPr>
        <w:fldChar w:fldCharType="begin"/>
      </w:r>
      <w:r w:rsidR="0074429C" w:rsidRPr="0074429C">
        <w:rPr>
          <w:vertAlign w:val="superscript"/>
        </w:rPr>
        <w:instrText xml:space="preserve"> NOTEREF _Ref1563665 \h </w:instrText>
      </w:r>
      <w:r w:rsidR="0074429C">
        <w:rPr>
          <w:vertAlign w:val="superscript"/>
        </w:rPr>
        <w:instrText xml:space="preserve"> \* MERGEFORMAT </w:instrText>
      </w:r>
      <w:r w:rsidR="0074429C" w:rsidRPr="0074429C">
        <w:rPr>
          <w:vertAlign w:val="superscript"/>
        </w:rPr>
      </w:r>
      <w:r w:rsidR="0074429C" w:rsidRPr="0074429C">
        <w:rPr>
          <w:vertAlign w:val="superscript"/>
        </w:rPr>
        <w:fldChar w:fldCharType="separate"/>
      </w:r>
      <w:r w:rsidR="0074429C" w:rsidRPr="0074429C">
        <w:rPr>
          <w:vertAlign w:val="superscript"/>
        </w:rPr>
        <w:t>9</w:t>
      </w:r>
      <w:r w:rsidR="0074429C" w:rsidRPr="0074429C">
        <w:rPr>
          <w:vertAlign w:val="superscript"/>
        </w:rPr>
        <w:fldChar w:fldCharType="end"/>
      </w:r>
    </w:p>
    <w:p w14:paraId="1B8A9F42" w14:textId="77777777" w:rsidR="00F1234F" w:rsidRPr="00DC01C3" w:rsidRDefault="00F1234F" w:rsidP="00F1234F">
      <w:pPr>
        <w:pStyle w:val="ListBullet"/>
      </w:pPr>
      <w:proofErr w:type="gramStart"/>
      <w:r w:rsidRPr="00DC01C3">
        <w:t>that</w:t>
      </w:r>
      <w:proofErr w:type="gramEnd"/>
      <w:r w:rsidRPr="00DC01C3">
        <w:t xml:space="preserve"> the sponsor should be asked to do ongoing pharmacov</w:t>
      </w:r>
      <w:r w:rsidR="003A1589" w:rsidRPr="00DC01C3">
        <w:t xml:space="preserve">igilance in the age subgroup 12 to </w:t>
      </w:r>
      <w:r w:rsidRPr="00DC01C3">
        <w:t>18 years; and particularly in relation to the risk of malignancy. RMP shou</w:t>
      </w:r>
      <w:r w:rsidR="005A79C9" w:rsidRPr="00DC01C3">
        <w:t>ld include this recommendation.</w:t>
      </w:r>
    </w:p>
    <w:p w14:paraId="300C5FC6" w14:textId="77777777" w:rsidR="00F1234F" w:rsidRPr="00DC01C3" w:rsidRDefault="00F1234F" w:rsidP="00F1234F">
      <w:pPr>
        <w:pStyle w:val="ListBullet"/>
        <w:rPr>
          <w:sz w:val="24"/>
          <w:szCs w:val="24"/>
        </w:rPr>
      </w:pPr>
      <w:r w:rsidRPr="00DC01C3">
        <w:t>that the sponsor has been asked to provide ad</w:t>
      </w:r>
      <w:r w:rsidR="003A1589" w:rsidRPr="00DC01C3">
        <w:t xml:space="preserve">ditional information for the 12 to </w:t>
      </w:r>
      <w:r w:rsidRPr="00DC01C3">
        <w:t>18 year old subgroup, and indicated that the RMP should include the proacti</w:t>
      </w:r>
      <w:r w:rsidR="005A79C9" w:rsidRPr="00DC01C3">
        <w:t>ve monitoring in this subgroup.</w:t>
      </w:r>
    </w:p>
    <w:p w14:paraId="65C2FCA1" w14:textId="77777777" w:rsidR="00F1234F" w:rsidRPr="00DC01C3" w:rsidRDefault="00F1234F" w:rsidP="00F1234F">
      <w:pPr>
        <w:pStyle w:val="ListBullet"/>
      </w:pPr>
      <w:proofErr w:type="gramStart"/>
      <w:r w:rsidRPr="00DC01C3">
        <w:t>noted</w:t>
      </w:r>
      <w:proofErr w:type="gramEnd"/>
      <w:r w:rsidRPr="00DC01C3">
        <w:t xml:space="preserve"> that the reduction in eosinophil count can last up to 4 months, hence ACM questioned the need for 8 week dosing intervals, especially when 4 week dosing regimen appears comparable.</w:t>
      </w:r>
    </w:p>
    <w:p w14:paraId="04629431" w14:textId="77777777" w:rsidR="00F1234F" w:rsidRPr="00DC01C3" w:rsidRDefault="00F1234F" w:rsidP="00F1234F">
      <w:pPr>
        <w:pStyle w:val="ListBullet"/>
      </w:pPr>
      <w:proofErr w:type="gramStart"/>
      <w:r w:rsidRPr="00DC01C3">
        <w:t>noted</w:t>
      </w:r>
      <w:proofErr w:type="gramEnd"/>
      <w:r w:rsidRPr="00DC01C3">
        <w:t xml:space="preserve"> that patients in the pivotal studies with history of cancer and who were in remission for a period of time that satisfied entry criteria might have been monitored more closely during study period than real world clinical practice.</w:t>
      </w:r>
    </w:p>
    <w:p w14:paraId="54DBDE43" w14:textId="77777777" w:rsidR="00F1234F" w:rsidRPr="00DC01C3" w:rsidRDefault="00F1234F" w:rsidP="00F1234F">
      <w:pPr>
        <w:pStyle w:val="Heading5"/>
        <w:rPr>
          <w:rFonts w:eastAsiaTheme="minorHAnsi"/>
        </w:rPr>
      </w:pPr>
      <w:r w:rsidRPr="00DC01C3">
        <w:rPr>
          <w:rFonts w:eastAsiaTheme="minorHAnsi"/>
        </w:rPr>
        <w:t>Proposed conditions of registration</w:t>
      </w:r>
    </w:p>
    <w:p w14:paraId="11EA8E9A" w14:textId="77777777" w:rsidR="00F1234F" w:rsidRPr="00DC01C3" w:rsidRDefault="003A1589" w:rsidP="00F1234F">
      <w:r w:rsidRPr="00DC01C3">
        <w:t xml:space="preserve">The ACM agreed with the </w:t>
      </w:r>
      <w:r w:rsidR="00CF0D26" w:rsidRPr="00DC01C3">
        <w:t>Delegate</w:t>
      </w:r>
      <w:r w:rsidR="00F1234F" w:rsidRPr="00DC01C3">
        <w:t xml:space="preserve"> on the proposed conditions of registration and advised on the inclusion of the following:</w:t>
      </w:r>
    </w:p>
    <w:p w14:paraId="6E6D70C0" w14:textId="1684E3C4" w:rsidR="00F1234F" w:rsidRPr="00DC01C3" w:rsidRDefault="0074429C" w:rsidP="00F1234F">
      <w:pPr>
        <w:pStyle w:val="ListBullet"/>
      </w:pPr>
      <w:r>
        <w:t>n</w:t>
      </w:r>
      <w:r w:rsidRPr="00DC01C3">
        <w:t xml:space="preserve">egotiation </w:t>
      </w:r>
      <w:r w:rsidR="00F1234F" w:rsidRPr="00DC01C3">
        <w:t>of more active pharma</w:t>
      </w:r>
      <w:r w:rsidR="003A1589" w:rsidRPr="00DC01C3">
        <w:t xml:space="preserve">covigilance in 12 to </w:t>
      </w:r>
      <w:r w:rsidR="00F1234F" w:rsidRPr="00DC01C3">
        <w:t>18 year old</w:t>
      </w:r>
      <w:r>
        <w:t>s; and</w:t>
      </w:r>
    </w:p>
    <w:p w14:paraId="778B6889" w14:textId="03228CC1" w:rsidR="00F1234F" w:rsidRPr="00DC01C3" w:rsidRDefault="0074429C" w:rsidP="00F1234F">
      <w:pPr>
        <w:pStyle w:val="ListBullet"/>
      </w:pPr>
      <w:proofErr w:type="gramStart"/>
      <w:r>
        <w:t>n</w:t>
      </w:r>
      <w:r w:rsidRPr="00DC01C3">
        <w:t>egotiation</w:t>
      </w:r>
      <w:proofErr w:type="gramEnd"/>
      <w:r w:rsidRPr="00DC01C3">
        <w:t xml:space="preserve"> </w:t>
      </w:r>
      <w:r w:rsidR="00F1234F" w:rsidRPr="00DC01C3">
        <w:t>of the PI and CMI to the satisfaction of the TGA.</w:t>
      </w:r>
    </w:p>
    <w:p w14:paraId="3A365A76" w14:textId="77777777" w:rsidR="00F1234F" w:rsidRPr="00DC01C3" w:rsidRDefault="00F1234F" w:rsidP="00F1234F">
      <w:pPr>
        <w:pStyle w:val="Heading5"/>
        <w:rPr>
          <w:rFonts w:eastAsiaTheme="minorHAnsi"/>
        </w:rPr>
      </w:pPr>
      <w:r w:rsidRPr="00DC01C3">
        <w:rPr>
          <w:rFonts w:eastAsiaTheme="minorHAnsi"/>
        </w:rPr>
        <w:t>Proposed PI/ CMI amendments</w:t>
      </w:r>
    </w:p>
    <w:p w14:paraId="52394319" w14:textId="77777777" w:rsidR="00F1234F" w:rsidRPr="00DC01C3" w:rsidRDefault="003A1589" w:rsidP="00F1234F">
      <w:r w:rsidRPr="00DC01C3">
        <w:t xml:space="preserve">The ACM agreed with the </w:t>
      </w:r>
      <w:r w:rsidR="00CF0D26" w:rsidRPr="00DC01C3">
        <w:t>Delegate</w:t>
      </w:r>
      <w:r w:rsidR="00F1234F" w:rsidRPr="00DC01C3">
        <w:t xml:space="preserve"> to the proposed amendments to the PI and CMI and specifically advised on the inclusion of the following:</w:t>
      </w:r>
    </w:p>
    <w:p w14:paraId="79CFF4F0" w14:textId="77777777" w:rsidR="00596091" w:rsidRPr="00DC01C3" w:rsidRDefault="00F1234F" w:rsidP="00F1234F">
      <w:pPr>
        <w:pStyle w:val="ListBullet"/>
      </w:pPr>
      <w:r w:rsidRPr="00DC01C3">
        <w:t>Specifying that the following patients were excluded from pivotal trials</w:t>
      </w:r>
      <w:r w:rsidR="00596091" w:rsidRPr="00DC01C3">
        <w:t>:</w:t>
      </w:r>
    </w:p>
    <w:p w14:paraId="39F499BE" w14:textId="5F7E8494" w:rsidR="00F1234F" w:rsidRPr="00DC01C3" w:rsidRDefault="0074429C" w:rsidP="00F1234F">
      <w:pPr>
        <w:pStyle w:val="ListBullet2"/>
      </w:pPr>
      <w:r>
        <w:t>P</w:t>
      </w:r>
      <w:r w:rsidRPr="00DC01C3">
        <w:t xml:space="preserve">atients </w:t>
      </w:r>
      <w:r w:rsidR="00F1234F" w:rsidRPr="00DC01C3">
        <w:t>who were on treatment for basal cell carcinoma, localised squamous cell carcinoma of the skin or in situ carcinoma of cervix and not in remission in previous 1 year.</w:t>
      </w:r>
    </w:p>
    <w:p w14:paraId="77BADFEB" w14:textId="77777777" w:rsidR="00F1234F" w:rsidRPr="00DC01C3" w:rsidRDefault="00F1234F" w:rsidP="00F1234F">
      <w:pPr>
        <w:pStyle w:val="ListBullet2"/>
      </w:pPr>
      <w:r w:rsidRPr="00DC01C3">
        <w:t>Patients with other malignancies who were not in remission and with ongoing treatment in the previous 5 years.</w:t>
      </w:r>
    </w:p>
    <w:p w14:paraId="572D28AA" w14:textId="77777777" w:rsidR="00F1234F" w:rsidRPr="00DC01C3" w:rsidRDefault="00F1234F" w:rsidP="00F1234F">
      <w:pPr>
        <w:pStyle w:val="ListBullet"/>
      </w:pPr>
      <w:r w:rsidRPr="00DC01C3">
        <w:t>Baseline characteristics of subjects in the 3 piv</w:t>
      </w:r>
      <w:r w:rsidR="003A1589" w:rsidRPr="00DC01C3">
        <w:t>otal trials should be presented.</w:t>
      </w:r>
    </w:p>
    <w:p w14:paraId="7A7DE9FB" w14:textId="687F0218" w:rsidR="00F1234F" w:rsidRPr="00DC01C3" w:rsidRDefault="00F1234F" w:rsidP="00F1234F">
      <w:pPr>
        <w:pStyle w:val="ListBullet"/>
      </w:pPr>
      <w:r w:rsidRPr="00DC01C3">
        <w:lastRenderedPageBreak/>
        <w:t xml:space="preserve">The eosinophil count stratifications should be clear when subgroup analyses are presented </w:t>
      </w:r>
      <w:r w:rsidR="00AA0617" w:rsidRPr="00DC01C3">
        <w:t>that is,</w:t>
      </w:r>
      <w:r w:rsidRPr="00DC01C3">
        <w:t xml:space="preserve"> above or </w:t>
      </w:r>
      <w:proofErr w:type="gramStart"/>
      <w:r w:rsidRPr="00DC01C3">
        <w:t>below 300</w:t>
      </w:r>
      <w:r w:rsidR="0074429C">
        <w:t xml:space="preserve"> cells/µL</w:t>
      </w:r>
      <w:r w:rsidRPr="00DC01C3">
        <w:t xml:space="preserve"> i</w:t>
      </w:r>
      <w:r w:rsidR="003A1589" w:rsidRPr="00DC01C3">
        <w:t xml:space="preserve">n the exacerbation studies, 150 to </w:t>
      </w:r>
      <w:r w:rsidRPr="00DC01C3">
        <w:t xml:space="preserve">300 or </w:t>
      </w:r>
      <w:r w:rsidR="005028A8" w:rsidRPr="00DC01C3">
        <w:t xml:space="preserve">&gt; </w:t>
      </w:r>
      <w:r w:rsidRPr="00DC01C3">
        <w:t xml:space="preserve">300 in the OCS reduction study (other attempts to relate outcomes to eosinophil levels are </w:t>
      </w:r>
      <w:r w:rsidRPr="0074429C">
        <w:rPr>
          <w:iCs/>
        </w:rPr>
        <w:t>post hoc</w:t>
      </w:r>
      <w:r w:rsidRPr="00DC01C3">
        <w:rPr>
          <w:i/>
          <w:iCs/>
        </w:rPr>
        <w:t xml:space="preserve"> </w:t>
      </w:r>
      <w:r w:rsidR="003A1589" w:rsidRPr="00DC01C3">
        <w:t>analyses)</w:t>
      </w:r>
      <w:proofErr w:type="gramEnd"/>
      <w:r w:rsidR="003A1589" w:rsidRPr="00DC01C3">
        <w:t>.</w:t>
      </w:r>
    </w:p>
    <w:p w14:paraId="4B86356C" w14:textId="33398D95" w:rsidR="00F1234F" w:rsidRPr="00F1234F" w:rsidRDefault="00F1234F" w:rsidP="003A1589">
      <w:pPr>
        <w:pStyle w:val="ListBullet"/>
        <w:ind w:left="357" w:hanging="357"/>
      </w:pPr>
      <w:r w:rsidRPr="00F1234F">
        <w:t xml:space="preserve">Clarify the description in </w:t>
      </w:r>
      <w:r w:rsidR="0074429C">
        <w:t xml:space="preserve">the </w:t>
      </w:r>
      <w:r w:rsidRPr="00F1234F">
        <w:t>ZONDA</w:t>
      </w:r>
      <w:r w:rsidR="0074429C">
        <w:t xml:space="preserve"> trial</w:t>
      </w:r>
      <w:r w:rsidRPr="00F1234F">
        <w:t xml:space="preserve"> of eligibility for attempted</w:t>
      </w:r>
      <w:r w:rsidR="003A1589">
        <w:t xml:space="preserve"> oral corticosteroid withdrawal.</w:t>
      </w:r>
    </w:p>
    <w:p w14:paraId="76BC5828" w14:textId="77777777" w:rsidR="003A1589" w:rsidRPr="003A1589" w:rsidRDefault="003A1589" w:rsidP="003A1589">
      <w:pPr>
        <w:pStyle w:val="ListBullet"/>
      </w:pPr>
      <w:r w:rsidRPr="003A1589">
        <w:t>Proposed indication:</w:t>
      </w:r>
    </w:p>
    <w:p w14:paraId="328EF443" w14:textId="77777777" w:rsidR="003A1589" w:rsidRDefault="00F1234F" w:rsidP="00AA0617">
      <w:pPr>
        <w:pStyle w:val="ListBullet"/>
        <w:numPr>
          <w:ilvl w:val="0"/>
          <w:numId w:val="0"/>
        </w:numPr>
        <w:ind w:left="720"/>
      </w:pPr>
      <w:r w:rsidRPr="00F1234F">
        <w:rPr>
          <w:i/>
          <w:iCs/>
        </w:rPr>
        <w:t xml:space="preserve">Fasenra is indicated as an add-on maintenance treatment for severe asthma in patients with an eosinophilic phenotype </w:t>
      </w:r>
      <w:r w:rsidRPr="003A1589">
        <w:rPr>
          <w:i/>
        </w:rPr>
        <w:t>(see Clinical Trials)</w:t>
      </w:r>
      <w:r w:rsidR="005236C7">
        <w:rPr>
          <w:i/>
        </w:rPr>
        <w:t>’</w:t>
      </w:r>
      <w:r w:rsidRPr="00F1234F">
        <w:t xml:space="preserve"> </w:t>
      </w:r>
    </w:p>
    <w:p w14:paraId="313D8063" w14:textId="77777777" w:rsidR="003A1589" w:rsidRDefault="00F1234F" w:rsidP="003A1589">
      <w:pPr>
        <w:pStyle w:val="ListBullet"/>
        <w:numPr>
          <w:ilvl w:val="0"/>
          <w:numId w:val="0"/>
        </w:numPr>
        <w:ind w:left="360"/>
      </w:pPr>
      <w:r w:rsidRPr="00F1234F">
        <w:t>should</w:t>
      </w:r>
      <w:r w:rsidR="00E53A6B">
        <w:t xml:space="preserve"> be replaced with:</w:t>
      </w:r>
    </w:p>
    <w:p w14:paraId="1F732BD6" w14:textId="13B11203" w:rsidR="003A1589" w:rsidRPr="003A1589" w:rsidRDefault="00E14798" w:rsidP="00AA0617">
      <w:pPr>
        <w:pStyle w:val="ListBullet"/>
        <w:numPr>
          <w:ilvl w:val="0"/>
          <w:numId w:val="0"/>
        </w:numPr>
        <w:ind w:left="720"/>
      </w:pPr>
      <w:r>
        <w:rPr>
          <w:i/>
          <w:iCs/>
        </w:rPr>
        <w:t>Fasenra</w:t>
      </w:r>
      <w:r w:rsidR="00F1234F" w:rsidRPr="00F1234F">
        <w:rPr>
          <w:i/>
          <w:iCs/>
        </w:rPr>
        <w:t xml:space="preserve"> is indicated as an add-on maintenance treatment in patients aged </w:t>
      </w:r>
      <w:r w:rsidR="005028A8">
        <w:rPr>
          <w:i/>
          <w:iCs/>
        </w:rPr>
        <w:t xml:space="preserve">&gt; </w:t>
      </w:r>
      <w:r w:rsidR="00F1234F" w:rsidRPr="00F1234F">
        <w:rPr>
          <w:i/>
          <w:iCs/>
        </w:rPr>
        <w:t xml:space="preserve">12 years with severe asthma, </w:t>
      </w:r>
      <w:r w:rsidR="007504A5">
        <w:rPr>
          <w:i/>
          <w:iCs/>
        </w:rPr>
        <w:t xml:space="preserve">≥ </w:t>
      </w:r>
      <w:r w:rsidR="00F1234F" w:rsidRPr="00F1234F">
        <w:rPr>
          <w:i/>
          <w:iCs/>
        </w:rPr>
        <w:t xml:space="preserve">2 exacerbations/ year, and with blood eosinophil count of </w:t>
      </w:r>
      <w:r w:rsidR="00AA0617">
        <w:rPr>
          <w:i/>
          <w:iCs/>
        </w:rPr>
        <w:t>≥ </w:t>
      </w:r>
      <w:r w:rsidR="003A1589">
        <w:rPr>
          <w:i/>
          <w:iCs/>
        </w:rPr>
        <w:t>300 cells/</w:t>
      </w:r>
      <w:r w:rsidR="0074429C" w:rsidRPr="0074429C">
        <w:rPr>
          <w:i/>
        </w:rPr>
        <w:t>µ</w:t>
      </w:r>
      <w:r w:rsidR="003A1589">
        <w:rPr>
          <w:i/>
          <w:iCs/>
        </w:rPr>
        <w:t>L.</w:t>
      </w:r>
    </w:p>
    <w:p w14:paraId="20656A5D" w14:textId="77777777" w:rsidR="00F1234F" w:rsidRPr="003A1589" w:rsidRDefault="00F1234F" w:rsidP="003A1589">
      <w:pPr>
        <w:ind w:left="360"/>
      </w:pPr>
      <w:proofErr w:type="gramStart"/>
      <w:r w:rsidRPr="003A1589">
        <w:t>to</w:t>
      </w:r>
      <w:proofErr w:type="gramEnd"/>
      <w:r w:rsidRPr="003A1589">
        <w:t xml:space="preserve"> accurately reflect the design, conduct and analysis of the pivotal studies</w:t>
      </w:r>
      <w:r w:rsidR="003A1589">
        <w:t>.</w:t>
      </w:r>
    </w:p>
    <w:p w14:paraId="6DAE3F69" w14:textId="0B0CCB52" w:rsidR="00E14798" w:rsidRDefault="00F1234F" w:rsidP="00F1234F">
      <w:pPr>
        <w:pStyle w:val="ListBullet"/>
      </w:pPr>
      <w:r w:rsidRPr="00F1234F">
        <w:t xml:space="preserve">The words </w:t>
      </w:r>
      <w:r w:rsidR="005236C7">
        <w:t>‘</w:t>
      </w:r>
      <w:r w:rsidR="0074429C">
        <w:t>t</w:t>
      </w:r>
      <w:r w:rsidRPr="00F1234F">
        <w:t>here are no data for use in patients under 12 years</w:t>
      </w:r>
      <w:r w:rsidR="005236C7">
        <w:t>’</w:t>
      </w:r>
      <w:r w:rsidRPr="00F1234F">
        <w:t xml:space="preserve"> should be included</w:t>
      </w:r>
      <w:r w:rsidR="00E14798">
        <w:t>.</w:t>
      </w:r>
    </w:p>
    <w:p w14:paraId="50C37FE0" w14:textId="77777777" w:rsidR="00F1234F" w:rsidRPr="00DC01C3" w:rsidRDefault="00F1234F" w:rsidP="00F1234F">
      <w:pPr>
        <w:pStyle w:val="ListBullet"/>
      </w:pPr>
      <w:r w:rsidRPr="00DC01C3">
        <w:t xml:space="preserve">History of malignancy should be obtained before </w:t>
      </w:r>
      <w:r w:rsidR="00E14798" w:rsidRPr="00DC01C3">
        <w:t>Fasenra</w:t>
      </w:r>
      <w:r w:rsidR="003A1589" w:rsidRPr="00DC01C3">
        <w:t xml:space="preserve"> is prescribed.</w:t>
      </w:r>
    </w:p>
    <w:p w14:paraId="770DA165" w14:textId="77777777" w:rsidR="00F1234F" w:rsidRPr="00DC01C3" w:rsidRDefault="00F1234F" w:rsidP="00F1234F">
      <w:pPr>
        <w:pStyle w:val="ListBullet"/>
      </w:pPr>
      <w:r w:rsidRPr="00DC01C3">
        <w:t xml:space="preserve">The expertise of </w:t>
      </w:r>
      <w:r w:rsidR="003A1589" w:rsidRPr="00DC01C3">
        <w:t>prescribers should be specified.</w:t>
      </w:r>
    </w:p>
    <w:p w14:paraId="60F5848B" w14:textId="77777777" w:rsidR="00F1234F" w:rsidRPr="00DC01C3" w:rsidRDefault="00F1234F" w:rsidP="00F1234F">
      <w:pPr>
        <w:pStyle w:val="ListBullet"/>
      </w:pPr>
      <w:r w:rsidRPr="00DC01C3">
        <w:t>That the drug is not for self-administratio</w:t>
      </w:r>
      <w:r w:rsidR="003A1589" w:rsidRPr="00DC01C3">
        <w:t>n should be clearly stated.</w:t>
      </w:r>
    </w:p>
    <w:p w14:paraId="45EAB538" w14:textId="77777777" w:rsidR="00F1234F" w:rsidRPr="00DC01C3" w:rsidRDefault="00F1234F" w:rsidP="00F1234F">
      <w:pPr>
        <w:pStyle w:val="ListBullet"/>
      </w:pPr>
      <w:r w:rsidRPr="00DC01C3">
        <w:t>A r</w:t>
      </w:r>
      <w:r w:rsidR="003A1589" w:rsidRPr="00DC01C3">
        <w:t>eference to pinworms in the CMI.</w:t>
      </w:r>
    </w:p>
    <w:p w14:paraId="5836EE53" w14:textId="77777777" w:rsidR="00F1234F" w:rsidRPr="00F1234F" w:rsidRDefault="003A1589" w:rsidP="00F1234F">
      <w:pPr>
        <w:pStyle w:val="Heading5"/>
        <w:rPr>
          <w:rFonts w:eastAsiaTheme="minorHAnsi"/>
        </w:rPr>
      </w:pPr>
      <w:r w:rsidRPr="00DC01C3">
        <w:rPr>
          <w:rFonts w:eastAsiaTheme="minorHAnsi"/>
        </w:rPr>
        <w:t>Specific advice</w:t>
      </w:r>
    </w:p>
    <w:p w14:paraId="4E61BCD8" w14:textId="77777777" w:rsidR="00F1234F" w:rsidRPr="00F1234F" w:rsidRDefault="00F1234F" w:rsidP="00F1234F">
      <w:r w:rsidRPr="00F1234F">
        <w:t>The ACM advised the foll</w:t>
      </w:r>
      <w:r w:rsidR="003A1589">
        <w:t xml:space="preserve">owing in response to the </w:t>
      </w:r>
      <w:r w:rsidR="00CF0D26">
        <w:t>Delegate</w:t>
      </w:r>
      <w:r w:rsidRPr="00F1234F">
        <w:t>’s specific questions on the</w:t>
      </w:r>
      <w:r>
        <w:t xml:space="preserve"> submission:</w:t>
      </w:r>
    </w:p>
    <w:p w14:paraId="16968A61" w14:textId="77777777" w:rsidR="00F1234F" w:rsidRPr="0074429C" w:rsidRDefault="00F1234F" w:rsidP="008E520B">
      <w:pPr>
        <w:pStyle w:val="Numberbullet0"/>
        <w:numPr>
          <w:ilvl w:val="0"/>
          <w:numId w:val="45"/>
        </w:numPr>
        <w:rPr>
          <w:i/>
        </w:rPr>
      </w:pPr>
      <w:r w:rsidRPr="0074429C">
        <w:rPr>
          <w:i/>
        </w:rPr>
        <w:t>Please comment on the potential impact of long term near-complete depletion of eosinophils on immune system, particularly in severe asthmatics.</w:t>
      </w:r>
    </w:p>
    <w:p w14:paraId="284771E6" w14:textId="77777777" w:rsidR="00F1234F" w:rsidRPr="00F1234F" w:rsidRDefault="00F1234F" w:rsidP="00F1234F">
      <w:r w:rsidRPr="00F1234F">
        <w:t xml:space="preserve">The ACM discussed that </w:t>
      </w:r>
      <w:proofErr w:type="spellStart"/>
      <w:r w:rsidRPr="00F1234F">
        <w:t>eosinop</w:t>
      </w:r>
      <w:r w:rsidR="00AA0617">
        <w:t>a</w:t>
      </w:r>
      <w:r w:rsidRPr="00F1234F">
        <w:t>enia</w:t>
      </w:r>
      <w:proofErr w:type="spellEnd"/>
      <w:r w:rsidRPr="00F1234F">
        <w:t xml:space="preserve"> is a feature of systemic </w:t>
      </w:r>
      <w:r w:rsidR="003A1589" w:rsidRPr="00F1234F">
        <w:t>corticosteroid</w:t>
      </w:r>
      <w:r w:rsidRPr="00F1234F">
        <w:t xml:space="preserve"> use and it seems likely the effects of benralizumab on reduction of eosinophil levels would be less hazardous than the effects of systemic </w:t>
      </w:r>
      <w:r w:rsidR="003A1589" w:rsidRPr="00F1234F">
        <w:t>steroids</w:t>
      </w:r>
      <w:r w:rsidRPr="00F1234F">
        <w:t xml:space="preserve"> used by patient</w:t>
      </w:r>
      <w:r>
        <w:t>s suffering from severe asthma.</w:t>
      </w:r>
    </w:p>
    <w:p w14:paraId="57E9430B" w14:textId="77777777" w:rsidR="00F1234F" w:rsidRPr="0074429C" w:rsidRDefault="00F1234F" w:rsidP="00F1234F">
      <w:pPr>
        <w:pStyle w:val="Numberbullet0"/>
        <w:rPr>
          <w:i/>
        </w:rPr>
      </w:pPr>
      <w:r w:rsidRPr="0074429C">
        <w:rPr>
          <w:i/>
        </w:rPr>
        <w:t xml:space="preserve">Please comment on the proposed age restriction of </w:t>
      </w:r>
      <w:r w:rsidR="005028A8" w:rsidRPr="0074429C">
        <w:rPr>
          <w:i/>
        </w:rPr>
        <w:t xml:space="preserve">&gt; </w:t>
      </w:r>
      <w:r w:rsidRPr="0074429C">
        <w:rPr>
          <w:i/>
        </w:rPr>
        <w:t>12 years</w:t>
      </w:r>
      <w:r w:rsidR="003A1589" w:rsidRPr="0074429C">
        <w:rPr>
          <w:i/>
        </w:rPr>
        <w:t>.</w:t>
      </w:r>
    </w:p>
    <w:p w14:paraId="2ABDE992" w14:textId="49806EC3" w:rsidR="00F1234F" w:rsidRDefault="0074429C" w:rsidP="00F1234F">
      <w:r>
        <w:t xml:space="preserve">The </w:t>
      </w:r>
      <w:r w:rsidR="00F1234F">
        <w:t xml:space="preserve">ACM supported inclusion of </w:t>
      </w:r>
      <w:r w:rsidR="005028A8">
        <w:t xml:space="preserve">&gt; </w:t>
      </w:r>
      <w:r w:rsidR="00F1234F">
        <w:t xml:space="preserve">12 years in the proposed </w:t>
      </w:r>
      <w:r w:rsidR="003A1589">
        <w:t>indication</w:t>
      </w:r>
      <w:r w:rsidR="00F1234F">
        <w:t xml:space="preserve">. The ACM noted the small number of adolescents included in the trials and concluded that it was too small to allow meaningful subgroup analyses. However, </w:t>
      </w:r>
      <w:r>
        <w:t xml:space="preserve">the </w:t>
      </w:r>
      <w:r w:rsidR="00F1234F">
        <w:t xml:space="preserve">ACM noted that while </w:t>
      </w:r>
      <w:r w:rsidR="003A1589">
        <w:t>children</w:t>
      </w:r>
      <w:r w:rsidR="00F1234F">
        <w:t xml:space="preserve"> with </w:t>
      </w:r>
      <w:r w:rsidR="003A1589">
        <w:t>eosinophilic</w:t>
      </w:r>
      <w:r w:rsidR="00F1234F">
        <w:t xml:space="preserve"> asthma may be less likely to have </w:t>
      </w:r>
      <w:r w:rsidR="003A1589">
        <w:t>peripheral</w:t>
      </w:r>
      <w:r w:rsidR="00F1234F">
        <w:t xml:space="preserve"> eosinophilia, there are no grounds, at this stage, to assume that benralizumab would have effects in adolescents different to those seen in adults with similar baseline changes. </w:t>
      </w:r>
      <w:r>
        <w:t xml:space="preserve">The </w:t>
      </w:r>
      <w:r w:rsidR="00F1234F">
        <w:t xml:space="preserve">ACM commented on the greater need </w:t>
      </w:r>
      <w:r w:rsidR="003A1589">
        <w:t xml:space="preserve">for treatment options in the 12 to </w:t>
      </w:r>
      <w:r w:rsidR="00F1234F">
        <w:t>18 year age group with severe asthma.</w:t>
      </w:r>
    </w:p>
    <w:p w14:paraId="52B64115" w14:textId="77777777" w:rsidR="003A1589" w:rsidRDefault="006738E7" w:rsidP="006738E7">
      <w:pPr>
        <w:pStyle w:val="Heading3"/>
      </w:pPr>
      <w:bookmarkStart w:id="239" w:name="_Toc1653606"/>
      <w:r>
        <w:t>Post ACM negotiations</w:t>
      </w:r>
      <w:bookmarkEnd w:id="239"/>
    </w:p>
    <w:p w14:paraId="34EBA190" w14:textId="77777777" w:rsidR="006738E7" w:rsidRDefault="006738E7" w:rsidP="006738E7">
      <w:r>
        <w:t xml:space="preserve">On </w:t>
      </w:r>
      <w:r w:rsidR="00780400">
        <w:t>21</w:t>
      </w:r>
      <w:r>
        <w:t xml:space="preserve"> February 2018 the sponsor and the </w:t>
      </w:r>
      <w:r w:rsidR="00CF0D26">
        <w:t>Delegate</w:t>
      </w:r>
      <w:r>
        <w:t xml:space="preserve"> liaised regarding issues raised in the ACM meeting including the wording of the indications.</w:t>
      </w:r>
      <w:r>
        <w:rPr>
          <w:rStyle w:val="FootnoteReference"/>
        </w:rPr>
        <w:footnoteReference w:id="55"/>
      </w:r>
    </w:p>
    <w:p w14:paraId="4EA1F079" w14:textId="04E0AE2F" w:rsidR="006738E7" w:rsidRDefault="00CF0D26" w:rsidP="006738E7">
      <w:pPr>
        <w:pStyle w:val="Heading4"/>
      </w:pPr>
      <w:r>
        <w:lastRenderedPageBreak/>
        <w:t>Delegate</w:t>
      </w:r>
      <w:r w:rsidR="006738E7">
        <w:t>’s issues raised in post ACM discussion</w:t>
      </w:r>
    </w:p>
    <w:p w14:paraId="35931FA9" w14:textId="77777777" w:rsidR="00780400" w:rsidRPr="00AA0617" w:rsidRDefault="00780400" w:rsidP="00AA0617">
      <w:r w:rsidRPr="00AA0617">
        <w:t xml:space="preserve">On 23 February 2018 the </w:t>
      </w:r>
      <w:r w:rsidR="00CF0D26" w:rsidRPr="00AA0617">
        <w:t>Delegate</w:t>
      </w:r>
      <w:r w:rsidRPr="00AA0617">
        <w:t xml:space="preserve"> provided the sponsor an outline of the </w:t>
      </w:r>
      <w:r w:rsidR="00C43D5F" w:rsidRPr="00AA0617">
        <w:t>issues raised in the teleconference of 21 February 2018</w:t>
      </w:r>
      <w:r w:rsidR="00AA0617" w:rsidRPr="00AA0617">
        <w:t xml:space="preserve"> (‘Delegate’s post-ACM note of 23 February 2018’)</w:t>
      </w:r>
      <w:r w:rsidR="00C43D5F" w:rsidRPr="00AA0617">
        <w:t>.</w:t>
      </w:r>
    </w:p>
    <w:p w14:paraId="683257BB" w14:textId="77777777" w:rsidR="006738E7" w:rsidRPr="006738E7" w:rsidRDefault="006738E7" w:rsidP="00C43D5F">
      <w:pPr>
        <w:pStyle w:val="Heading5"/>
      </w:pPr>
      <w:r>
        <w:t>Indication</w:t>
      </w:r>
    </w:p>
    <w:p w14:paraId="6E5C89C1" w14:textId="77777777" w:rsidR="00C43D5F" w:rsidRDefault="006738E7" w:rsidP="006738E7">
      <w:r>
        <w:t xml:space="preserve">The </w:t>
      </w:r>
      <w:r w:rsidR="00CF0D26">
        <w:t>Delegate</w:t>
      </w:r>
      <w:r w:rsidRPr="006738E7">
        <w:t xml:space="preserve"> considered the sponsor’s proposed </w:t>
      </w:r>
      <w:r w:rsidR="00C43D5F">
        <w:t>indication in pre ACM response:</w:t>
      </w:r>
    </w:p>
    <w:p w14:paraId="6F1DB5BC" w14:textId="33EF34D8" w:rsidR="006738E7" w:rsidRPr="006738E7" w:rsidRDefault="0074429C" w:rsidP="00C43D5F">
      <w:pPr>
        <w:ind w:left="360"/>
      </w:pPr>
      <w:r w:rsidRPr="006738E7">
        <w:rPr>
          <w:i/>
          <w:iCs/>
        </w:rPr>
        <w:t>F</w:t>
      </w:r>
      <w:r>
        <w:rPr>
          <w:i/>
          <w:iCs/>
        </w:rPr>
        <w:t>asenra</w:t>
      </w:r>
      <w:r w:rsidRPr="006738E7">
        <w:rPr>
          <w:i/>
          <w:iCs/>
        </w:rPr>
        <w:t xml:space="preserve"> </w:t>
      </w:r>
      <w:r w:rsidR="006738E7" w:rsidRPr="006738E7">
        <w:rPr>
          <w:i/>
          <w:iCs/>
        </w:rPr>
        <w:t>is indicated as an add-on maintenance treatment for severe refractory asthma in patients aged 12 years and over with an eosinophilic phenotype (see Clinical Tr</w:t>
      </w:r>
      <w:r w:rsidR="00C43D5F">
        <w:rPr>
          <w:i/>
          <w:iCs/>
        </w:rPr>
        <w:t>ials</w:t>
      </w:r>
      <w:r>
        <w:rPr>
          <w:i/>
          <w:iCs/>
        </w:rPr>
        <w:t>)</w:t>
      </w:r>
      <w:proofErr w:type="gramStart"/>
      <w:r>
        <w:rPr>
          <w:i/>
          <w:iCs/>
        </w:rPr>
        <w:t>.</w:t>
      </w:r>
      <w:r w:rsidR="00C43D5F">
        <w:rPr>
          <w:i/>
          <w:iCs/>
        </w:rPr>
        <w:t>.</w:t>
      </w:r>
      <w:proofErr w:type="gramEnd"/>
    </w:p>
    <w:p w14:paraId="61D1DA9E" w14:textId="6CF21966" w:rsidR="006738E7" w:rsidRPr="00DC01C3" w:rsidRDefault="006738E7" w:rsidP="006738E7">
      <w:pPr>
        <w:pStyle w:val="ListBullet"/>
      </w:pPr>
      <w:r w:rsidRPr="00DC01C3">
        <w:t>A statistically significant and clinically meaningful reduction in rate of exacerbations (primary outcome) and improvement in ppFEV1 (secondary outcome), was demonstrated in patients in both pivotal studies with blood eosinophil count ≥</w:t>
      </w:r>
      <w:r w:rsidR="00AA0617" w:rsidRPr="00DC01C3">
        <w:t> 300 </w:t>
      </w:r>
      <w:r w:rsidRPr="00DC01C3">
        <w:t>cells/</w:t>
      </w:r>
      <w:r w:rsidR="0074429C">
        <w:t>µ</w:t>
      </w:r>
      <w:r w:rsidRPr="00DC01C3">
        <w:t xml:space="preserve">L. In </w:t>
      </w:r>
      <w:r w:rsidR="0074429C">
        <w:t xml:space="preserve">the </w:t>
      </w:r>
      <w:r w:rsidRPr="00DC01C3">
        <w:t xml:space="preserve">SIROCCO </w:t>
      </w:r>
      <w:r w:rsidR="0074429C">
        <w:t>trial</w:t>
      </w:r>
      <w:r w:rsidR="0074429C" w:rsidRPr="00DC01C3">
        <w:t xml:space="preserve"> </w:t>
      </w:r>
      <w:r w:rsidRPr="00DC01C3">
        <w:t>and in the pooled data (SIROCCO + CALIMA</w:t>
      </w:r>
      <w:r w:rsidR="0074429C">
        <w:t xml:space="preserve"> trials</w:t>
      </w:r>
      <w:r w:rsidRPr="00DC01C3">
        <w:t>), the primary and secondary study endpoints were not statistically significant for patients with blood eosinophil count &lt; 300 cells/</w:t>
      </w:r>
      <w:r w:rsidR="0074429C">
        <w:t>µ</w:t>
      </w:r>
      <w:r w:rsidRPr="00DC01C3">
        <w:t>L. Moreover, forest plots (Figures</w:t>
      </w:r>
      <w:r w:rsidR="0074429C">
        <w:t> </w:t>
      </w:r>
      <w:r w:rsidRPr="00DC01C3">
        <w:t>1</w:t>
      </w:r>
      <w:r w:rsidR="004D70B4" w:rsidRPr="00DC01C3">
        <w:t>3 and 14</w:t>
      </w:r>
      <w:r w:rsidRPr="00DC01C3">
        <w:t>) indicates a greater treatment response with increasing blood eosinophil count.</w:t>
      </w:r>
    </w:p>
    <w:p w14:paraId="4ABCB9D6" w14:textId="1DD3BD8F" w:rsidR="006738E7" w:rsidRPr="00DC01C3" w:rsidRDefault="0074429C" w:rsidP="006738E7">
      <w:pPr>
        <w:pStyle w:val="ListBullet"/>
      </w:pPr>
      <w:r>
        <w:t xml:space="preserve">The </w:t>
      </w:r>
      <w:r w:rsidR="006738E7" w:rsidRPr="00DC01C3">
        <w:t>ZONDA</w:t>
      </w:r>
      <w:r>
        <w:t xml:space="preserve"> trial</w:t>
      </w:r>
      <w:r w:rsidR="006738E7" w:rsidRPr="00DC01C3">
        <w:t xml:space="preserve"> had</w:t>
      </w:r>
      <w:r>
        <w:t xml:space="preserve"> an</w:t>
      </w:r>
      <w:r w:rsidR="006738E7" w:rsidRPr="00DC01C3">
        <w:t xml:space="preserve"> ITT patient population with blood eosinophil count ≥</w:t>
      </w:r>
      <w:r>
        <w:t> </w:t>
      </w:r>
      <w:r w:rsidR="006738E7" w:rsidRPr="00DC01C3">
        <w:t>150</w:t>
      </w:r>
      <w:r>
        <w:t> </w:t>
      </w:r>
      <w:r w:rsidR="006738E7" w:rsidRPr="00DC01C3">
        <w:t>cells/</w:t>
      </w:r>
      <w:proofErr w:type="spellStart"/>
      <w:r w:rsidR="006738E7" w:rsidRPr="00DC01C3">
        <w:t>μ</w:t>
      </w:r>
      <w:r>
        <w:t>µ</w:t>
      </w:r>
      <w:r w:rsidR="006738E7" w:rsidRPr="00DC01C3">
        <w:t>L</w:t>
      </w:r>
      <w:proofErr w:type="spellEnd"/>
      <w:r w:rsidR="006738E7" w:rsidRPr="00DC01C3">
        <w:t>. However, the primary outcome of this study was OCS reduction and not rate of exacerbations. Moreover, the duration of treatment period (24 weeks) does not meet EMA guidelines to demonstrate reduction in rate of exacerbations.</w:t>
      </w:r>
    </w:p>
    <w:p w14:paraId="453229CC" w14:textId="4C4D99F0" w:rsidR="006738E7" w:rsidRPr="00DC01C3" w:rsidRDefault="006738E7" w:rsidP="006738E7">
      <w:pPr>
        <w:pStyle w:val="ListBullet"/>
      </w:pPr>
      <w:r w:rsidRPr="00DC01C3">
        <w:t xml:space="preserve">The </w:t>
      </w:r>
      <w:r w:rsidR="00CF0D26" w:rsidRPr="00DC01C3">
        <w:t>Delegate</w:t>
      </w:r>
      <w:r w:rsidRPr="00DC01C3">
        <w:t xml:space="preserve"> has considered the primary outcome of </w:t>
      </w:r>
      <w:r w:rsidR="0074429C">
        <w:t xml:space="preserve">the </w:t>
      </w:r>
      <w:r w:rsidRPr="00DC01C3">
        <w:t xml:space="preserve">ZONDA </w:t>
      </w:r>
      <w:r w:rsidR="0074429C">
        <w:t>trial</w:t>
      </w:r>
      <w:r w:rsidR="0074429C" w:rsidRPr="00DC01C3">
        <w:t xml:space="preserve"> </w:t>
      </w:r>
      <w:r w:rsidRPr="00DC01C3">
        <w:t xml:space="preserve">which indicates that severe asthmatics on chronic oral corticosteroids (OCS) with blood eosinophil count </w:t>
      </w:r>
      <w:proofErr w:type="gramStart"/>
      <w:r w:rsidRPr="00DC01C3">
        <w:t>≥ 150 cells/</w:t>
      </w:r>
      <w:r w:rsidR="0074429C">
        <w:t>µ</w:t>
      </w:r>
      <w:r w:rsidRPr="00DC01C3">
        <w:t>L</w:t>
      </w:r>
      <w:proofErr w:type="gramEnd"/>
      <w:r w:rsidRPr="00DC01C3">
        <w:t xml:space="preserve"> and received benralizumab achieved a 55% reduction in OCS dose. High dose /chronic OCS sparing options are important in the management of severe asthma and will provide greater treatment outcome. This has been considered while recommending the indication below.</w:t>
      </w:r>
    </w:p>
    <w:p w14:paraId="307A55E5" w14:textId="12CF01F2" w:rsidR="006738E7" w:rsidRPr="00DC01C3" w:rsidRDefault="006738E7" w:rsidP="00841CCF">
      <w:pPr>
        <w:pStyle w:val="ListBullet"/>
      </w:pPr>
      <w:r w:rsidRPr="00DC01C3">
        <w:t xml:space="preserve">Anti-IL5 </w:t>
      </w:r>
      <w:proofErr w:type="spellStart"/>
      <w:r w:rsidRPr="00DC01C3">
        <w:t>mAbs</w:t>
      </w:r>
      <w:proofErr w:type="spellEnd"/>
      <w:r w:rsidRPr="00DC01C3">
        <w:t xml:space="preserve"> are found to be having effect on blood eosinophils at various cut-off levels. Cinqair (</w:t>
      </w:r>
      <w:r w:rsidR="0074429C">
        <w:t>r</w:t>
      </w:r>
      <w:r w:rsidR="0074429C" w:rsidRPr="00DC01C3">
        <w:t>eslizumab</w:t>
      </w:r>
      <w:r w:rsidRPr="00DC01C3">
        <w:t>) was found to have a greater treatment benefit in patients with blood eosinophil level ≥ 400cell/</w:t>
      </w:r>
      <w:r w:rsidR="0074429C">
        <w:t>µ</w:t>
      </w:r>
      <w:r w:rsidRPr="00DC01C3">
        <w:t xml:space="preserve">L; hence the cut-off level has been included in its indication. It is important to mention eosinophil levels in the indication so that clinicians will be able to make an informed decision about patient selection, based on their blood eosinophil level. </w:t>
      </w:r>
      <w:bookmarkStart w:id="240" w:name="_Toc247691532"/>
      <w:bookmarkStart w:id="241" w:name="_Toc314842516"/>
      <w:bookmarkEnd w:id="128"/>
      <w:bookmarkEnd w:id="237"/>
      <w:bookmarkEnd w:id="238"/>
    </w:p>
    <w:p w14:paraId="603E0369" w14:textId="77777777" w:rsidR="006738E7" w:rsidRPr="006738E7" w:rsidRDefault="006738E7" w:rsidP="006738E7">
      <w:pPr>
        <w:pStyle w:val="ListBullet"/>
      </w:pPr>
      <w:r w:rsidRPr="00DC01C3">
        <w:t>ERS/ATS definition identifies severe asthmatics as those requiring high dose ICS,</w:t>
      </w:r>
      <w:r w:rsidRPr="006738E7">
        <w:t xml:space="preserve"> second controller medication and/or systemic corticosteroids (OCS) to prevent it from uncontrolled, which means that they may have &lt;</w:t>
      </w:r>
      <w:r>
        <w:t xml:space="preserve"> </w:t>
      </w:r>
      <w:r w:rsidRPr="006738E7">
        <w:t xml:space="preserve">2 annual exacerbations, being on high dose ICS and/or OCS, but still fulfilling criteria to be termed as having severe asthma. Hence, </w:t>
      </w:r>
      <w:r w:rsidR="00841CCF">
        <w:t xml:space="preserve">the </w:t>
      </w:r>
      <w:r w:rsidR="00CF0D26">
        <w:t>Delegate</w:t>
      </w:r>
      <w:r w:rsidR="00841CCF">
        <w:t xml:space="preserve"> has</w:t>
      </w:r>
      <w:r w:rsidRPr="006738E7">
        <w:t xml:space="preserve"> reconsidered </w:t>
      </w:r>
      <w:r w:rsidR="00841CCF">
        <w:t>their</w:t>
      </w:r>
      <w:r w:rsidRPr="006738E7">
        <w:t xml:space="preserve"> previous recommendation regarding inclusion of number of </w:t>
      </w:r>
      <w:r w:rsidR="00841CCF">
        <w:t>exacerbation in the indication.</w:t>
      </w:r>
    </w:p>
    <w:p w14:paraId="4615CF73" w14:textId="77777777" w:rsidR="006738E7" w:rsidRPr="00DC01C3" w:rsidRDefault="006738E7" w:rsidP="006738E7">
      <w:pPr>
        <w:pStyle w:val="ListBullet"/>
      </w:pPr>
      <w:r w:rsidRPr="00DC01C3">
        <w:t xml:space="preserve">In view of these facts, </w:t>
      </w:r>
      <w:r w:rsidR="00841CCF" w:rsidRPr="00DC01C3">
        <w:t xml:space="preserve">the </w:t>
      </w:r>
      <w:r w:rsidR="00CF0D26" w:rsidRPr="00DC01C3">
        <w:t>Delegate</w:t>
      </w:r>
      <w:r w:rsidRPr="00DC01C3">
        <w:t xml:space="preserve"> recommend</w:t>
      </w:r>
      <w:r w:rsidR="00841CCF" w:rsidRPr="00DC01C3">
        <w:t>ed</w:t>
      </w:r>
      <w:r w:rsidRPr="00DC01C3">
        <w:t xml:space="preserve"> the following</w:t>
      </w:r>
      <w:r w:rsidR="00841CCF" w:rsidRPr="00DC01C3">
        <w:t xml:space="preserve"> wording for indication:</w:t>
      </w:r>
    </w:p>
    <w:p w14:paraId="4DC455BA" w14:textId="084E156D" w:rsidR="006738E7" w:rsidRPr="00DC01C3" w:rsidRDefault="0074429C" w:rsidP="00841CCF">
      <w:pPr>
        <w:ind w:left="720"/>
        <w:rPr>
          <w:i/>
        </w:rPr>
      </w:pPr>
      <w:r w:rsidRPr="00DC01C3">
        <w:rPr>
          <w:i/>
        </w:rPr>
        <w:t>F</w:t>
      </w:r>
      <w:r>
        <w:rPr>
          <w:i/>
        </w:rPr>
        <w:t>asenra</w:t>
      </w:r>
      <w:r w:rsidRPr="00DC01C3">
        <w:rPr>
          <w:i/>
        </w:rPr>
        <w:t xml:space="preserve"> </w:t>
      </w:r>
      <w:r w:rsidR="00AA0617" w:rsidRPr="00DC01C3">
        <w:rPr>
          <w:i/>
        </w:rPr>
        <w:t>is indicated as an add-</w:t>
      </w:r>
      <w:r w:rsidR="006738E7" w:rsidRPr="00DC01C3">
        <w:rPr>
          <w:i/>
        </w:rPr>
        <w:t>on maintenance treatment in patients aged ≥ 12 years of age, with severe eosinophilic asthma (with blood eosinophil count of ≥</w:t>
      </w:r>
      <w:r w:rsidR="00841CCF" w:rsidRPr="00DC01C3">
        <w:rPr>
          <w:i/>
        </w:rPr>
        <w:t> </w:t>
      </w:r>
      <w:r w:rsidR="006738E7" w:rsidRPr="00DC01C3">
        <w:rPr>
          <w:i/>
        </w:rPr>
        <w:t>300cells/</w:t>
      </w:r>
      <w:r w:rsidRPr="0074429C">
        <w:rPr>
          <w:i/>
        </w:rPr>
        <w:t>µ</w:t>
      </w:r>
      <w:r w:rsidR="006738E7" w:rsidRPr="00DC01C3">
        <w:rPr>
          <w:i/>
        </w:rPr>
        <w:t>L or ≥ 150</w:t>
      </w:r>
      <w:r w:rsidR="00841CCF" w:rsidRPr="00DC01C3">
        <w:rPr>
          <w:i/>
        </w:rPr>
        <w:t xml:space="preserve"> if on chronic OCS treatment).</w:t>
      </w:r>
    </w:p>
    <w:p w14:paraId="0019B071" w14:textId="684C12A7" w:rsidR="00780400" w:rsidRPr="00C7136E" w:rsidRDefault="006738E7" w:rsidP="00C7136E">
      <w:pPr>
        <w:pStyle w:val="ListBullet"/>
      </w:pPr>
      <w:r w:rsidRPr="00C7136E">
        <w:t>At the teleconference held on 21</w:t>
      </w:r>
      <w:r w:rsidR="00780400" w:rsidRPr="00C7136E">
        <w:t xml:space="preserve"> February 2018, the sponsor</w:t>
      </w:r>
      <w:r w:rsidRPr="00C7136E">
        <w:t xml:space="preserve"> mentioned their concern with regards to comparability of </w:t>
      </w:r>
      <w:proofErr w:type="spellStart"/>
      <w:r w:rsidRPr="00C7136E">
        <w:t>Fasenra’s</w:t>
      </w:r>
      <w:proofErr w:type="spellEnd"/>
      <w:r w:rsidRPr="00C7136E">
        <w:t xml:space="preserve"> indication to other drugs in similar class. </w:t>
      </w:r>
      <w:r w:rsidR="00841CCF" w:rsidRPr="00C7136E">
        <w:t>The TGA</w:t>
      </w:r>
      <w:r w:rsidRPr="00C7136E">
        <w:t xml:space="preserve"> explained the rationale for our recommendations. </w:t>
      </w:r>
    </w:p>
    <w:p w14:paraId="749299CB" w14:textId="77777777" w:rsidR="006738E7" w:rsidRPr="006738E7" w:rsidRDefault="00780400" w:rsidP="00C7136E">
      <w:r>
        <w:t>The sponsor</w:t>
      </w:r>
      <w:r w:rsidR="006738E7" w:rsidRPr="006738E7">
        <w:t xml:space="preserve"> w</w:t>
      </w:r>
      <w:r>
        <w:t>as</w:t>
      </w:r>
      <w:r w:rsidR="006738E7" w:rsidRPr="006738E7">
        <w:t xml:space="preserve"> also i</w:t>
      </w:r>
      <w:r w:rsidR="00841CCF">
        <w:t>nformed</w:t>
      </w:r>
      <w:r w:rsidR="006738E7" w:rsidRPr="006738E7">
        <w:t xml:space="preserve"> regarding addition of </w:t>
      </w:r>
      <w:r w:rsidR="00841CCF">
        <w:t>changes</w:t>
      </w:r>
      <w:r w:rsidR="006738E7" w:rsidRPr="006738E7">
        <w:t xml:space="preserve"> to the PI</w:t>
      </w:r>
      <w:r w:rsidR="00841CCF">
        <w:t xml:space="preserve"> (however these are beyond the scope of the AusPAR and are not detailed here)</w:t>
      </w:r>
      <w:r w:rsidR="006738E7" w:rsidRPr="006738E7">
        <w:t>.</w:t>
      </w:r>
    </w:p>
    <w:p w14:paraId="3722EA2C" w14:textId="77777777" w:rsidR="006738E7" w:rsidRPr="006738E7" w:rsidRDefault="00780400" w:rsidP="00780400">
      <w:pPr>
        <w:pStyle w:val="Heading4"/>
      </w:pPr>
      <w:r>
        <w:lastRenderedPageBreak/>
        <w:t xml:space="preserve">Sponsor’s response to </w:t>
      </w:r>
      <w:r w:rsidR="00CF0D26">
        <w:t>Delegate</w:t>
      </w:r>
      <w:r>
        <w:t>’s post-ACM issues</w:t>
      </w:r>
      <w:r w:rsidR="00992AE1">
        <w:t xml:space="preserve"> dated 6 March 2018</w:t>
      </w:r>
    </w:p>
    <w:p w14:paraId="517E70FA" w14:textId="77777777" w:rsidR="006738E7" w:rsidRDefault="00780400" w:rsidP="006738E7">
      <w:r>
        <w:t xml:space="preserve">On 6 March 2018 the sponsor provided a formal response to the </w:t>
      </w:r>
      <w:r w:rsidR="00CF0D26">
        <w:t>Delegate</w:t>
      </w:r>
      <w:r>
        <w:t xml:space="preserve"> regarding the post ACM issues outlined in the </w:t>
      </w:r>
      <w:r w:rsidR="00CF0D26">
        <w:t>Delegate</w:t>
      </w:r>
      <w:r>
        <w:t xml:space="preserve">’s </w:t>
      </w:r>
      <w:r w:rsidR="00C43D5F">
        <w:t>post-ACM note</w:t>
      </w:r>
      <w:r w:rsidR="005C2BCB">
        <w:t xml:space="preserve"> of 23 February 2018:</w:t>
      </w:r>
    </w:p>
    <w:p w14:paraId="7AC0FC3C" w14:textId="77777777" w:rsidR="005C2BCB" w:rsidRPr="005C2BCB" w:rsidRDefault="005C2BCB" w:rsidP="005C2BCB">
      <w:pPr>
        <w:pStyle w:val="Heading5"/>
      </w:pPr>
      <w:r w:rsidRPr="005C2BCB">
        <w:t>Indication</w:t>
      </w:r>
    </w:p>
    <w:p w14:paraId="58998CB2" w14:textId="3698A534" w:rsidR="005C2BCB" w:rsidRPr="005C2BCB" w:rsidRDefault="005C2BCB" w:rsidP="005C2BCB">
      <w:r w:rsidRPr="005C2BCB">
        <w:t xml:space="preserve">We appreciate the </w:t>
      </w:r>
      <w:r w:rsidR="00CF0D26">
        <w:t>Delegate</w:t>
      </w:r>
      <w:r w:rsidRPr="005C2BCB">
        <w:t>’s further considerations regarding inclusion of a prior</w:t>
      </w:r>
      <w:r>
        <w:t xml:space="preserve"> </w:t>
      </w:r>
      <w:r w:rsidRPr="005C2BCB">
        <w:t xml:space="preserve">exacerbation limit within the indication, as well as the </w:t>
      </w:r>
      <w:r>
        <w:t>acceptance of the ZONDA</w:t>
      </w:r>
      <w:r w:rsidR="00761A3D">
        <w:t xml:space="preserve"> trial</w:t>
      </w:r>
      <w:r>
        <w:t xml:space="preserve"> data in </w:t>
      </w:r>
      <w:r w:rsidRPr="005C2BCB">
        <w:t>support of Fasenra as a valuable treatment option for patients with severe asthma taking high</w:t>
      </w:r>
      <w:r>
        <w:t xml:space="preserve"> </w:t>
      </w:r>
      <w:r w:rsidRPr="005C2BCB">
        <w:t>dose/chronic OCS. However, while we agree that it is important that physicians are provided</w:t>
      </w:r>
      <w:r>
        <w:t xml:space="preserve"> </w:t>
      </w:r>
      <w:r w:rsidRPr="005C2BCB">
        <w:t xml:space="preserve">with sufficient information within the PI </w:t>
      </w:r>
      <w:r w:rsidRPr="00B9202E">
        <w:t>to enable them to make an informed decision based on their patient’s blood eosinophil level, we remain concerned regarding the proposal to include a blood eosinophil limit within the indication.</w:t>
      </w:r>
    </w:p>
    <w:p w14:paraId="15B76F18" w14:textId="2C8E39E6" w:rsidR="005C2BCB" w:rsidRPr="005C2BCB" w:rsidRDefault="005C2BCB" w:rsidP="005C2BCB">
      <w:r w:rsidRPr="005C2BCB">
        <w:t>Identification of the eosinophilic phenotype remains a cl</w:t>
      </w:r>
      <w:r>
        <w:t xml:space="preserve">inical diagnosis with no single </w:t>
      </w:r>
      <w:r w:rsidRPr="005C2BCB">
        <w:t xml:space="preserve">definition of a baseline blood eosinophil level to </w:t>
      </w:r>
      <w:r w:rsidR="00761A3D" w:rsidRPr="005C2BCB">
        <w:t>characteri</w:t>
      </w:r>
      <w:r w:rsidR="00761A3D">
        <w:t>s</w:t>
      </w:r>
      <w:r w:rsidR="00761A3D" w:rsidRPr="005C2BCB">
        <w:t xml:space="preserve">e </w:t>
      </w:r>
      <w:r w:rsidRPr="005C2BCB">
        <w:t>these patients. The</w:t>
      </w:r>
      <w:r>
        <w:t xml:space="preserve"> proposed </w:t>
      </w:r>
      <w:r w:rsidRPr="005C2BCB">
        <w:t xml:space="preserve">indication appears to convey an accepted definition for severe </w:t>
      </w:r>
      <w:r>
        <w:t xml:space="preserve">eosinophilic asthma, whereas in </w:t>
      </w:r>
      <w:r w:rsidRPr="005C2BCB">
        <w:t xml:space="preserve">fact the thresholds stated reference those used in the clinical </w:t>
      </w:r>
      <w:r>
        <w:t xml:space="preserve">trial programme for the primary </w:t>
      </w:r>
      <w:r w:rsidRPr="005C2BCB">
        <w:t>analysis populations. This could result in confusion for pres</w:t>
      </w:r>
      <w:r>
        <w:t xml:space="preserve">cribing physicians as currently </w:t>
      </w:r>
      <w:r w:rsidRPr="005C2BCB">
        <w:t xml:space="preserve">stated. </w:t>
      </w:r>
      <w:r w:rsidR="00761A3D">
        <w:t>The sponsor’s</w:t>
      </w:r>
      <w:r w:rsidR="00761A3D" w:rsidRPr="005C2BCB">
        <w:t xml:space="preserve"> </w:t>
      </w:r>
      <w:r w:rsidRPr="005C2BCB">
        <w:t>position, based on the totality of t</w:t>
      </w:r>
      <w:r>
        <w:t xml:space="preserve">he data, is to avoid a specific </w:t>
      </w:r>
      <w:r w:rsidRPr="005C2BCB">
        <w:t>threshold in the indication statement, referencing the patients</w:t>
      </w:r>
      <w:r>
        <w:t xml:space="preserve"> studied in the clinical trials </w:t>
      </w:r>
      <w:r w:rsidRPr="005C2BCB">
        <w:t>section instead.</w:t>
      </w:r>
    </w:p>
    <w:p w14:paraId="392DAACF" w14:textId="4A854A10" w:rsidR="005C2BCB" w:rsidRPr="005C2BCB" w:rsidRDefault="005C2BCB" w:rsidP="005C2BCB">
      <w:r w:rsidRPr="005C2BCB">
        <w:t>Sponsors have utili</w:t>
      </w:r>
      <w:r w:rsidR="00AD6903">
        <w:t>s</w:t>
      </w:r>
      <w:r w:rsidRPr="005C2BCB">
        <w:t>ed different blood eosinophil thresholds in clinical trials for Fasenra,</w:t>
      </w:r>
      <w:r>
        <w:t xml:space="preserve"> </w:t>
      </w:r>
      <w:r w:rsidRPr="005C2BCB">
        <w:t>Nucala (mepolizumab) and Cinqair (reslizumab) primary anal</w:t>
      </w:r>
      <w:r>
        <w:t xml:space="preserve">ysis populations. In the Nucala </w:t>
      </w:r>
      <w:r w:rsidRPr="005C2BCB">
        <w:t xml:space="preserve">severe asthma development programme, patients were only </w:t>
      </w:r>
      <w:r>
        <w:t xml:space="preserve">included if they had a baseline </w:t>
      </w:r>
      <w:r w:rsidRPr="005C2BCB">
        <w:t>eosinophil count of ≥</w:t>
      </w:r>
      <w:r w:rsidR="00C43D5F">
        <w:t xml:space="preserve"> </w:t>
      </w:r>
      <w:r w:rsidRPr="005C2BCB">
        <w:t>150 cells/</w:t>
      </w:r>
      <w:r w:rsidR="00761A3D">
        <w:t>µ</w:t>
      </w:r>
      <w:r w:rsidRPr="005C2BCB">
        <w:t>L or a count of ≥</w:t>
      </w:r>
      <w:r w:rsidR="00C43D5F">
        <w:t xml:space="preserve"> </w:t>
      </w:r>
      <w:r w:rsidRPr="005C2BCB">
        <w:t>300 cells/</w:t>
      </w:r>
      <w:r w:rsidR="00761A3D">
        <w:t>µ</w:t>
      </w:r>
      <w:r w:rsidRPr="005C2BCB">
        <w:t xml:space="preserve">L </w:t>
      </w:r>
      <w:r>
        <w:t xml:space="preserve">in the 12 months prior to entry </w:t>
      </w:r>
      <w:r w:rsidRPr="005C2BCB">
        <w:t>into the studies. Despite these inclusion thresholds, the Nucala</w:t>
      </w:r>
      <w:r>
        <w:t xml:space="preserve"> indication does not include an </w:t>
      </w:r>
      <w:r w:rsidRPr="005C2BCB">
        <w:t>eosinophil cut-off. On the other hand, the Cinqair indication states</w:t>
      </w:r>
      <w:r>
        <w:t xml:space="preserve"> </w:t>
      </w:r>
      <w:r w:rsidR="005236C7">
        <w:t>‘</w:t>
      </w:r>
      <w:r>
        <w:t xml:space="preserve">severe eosinophilic </w:t>
      </w:r>
      <w:r w:rsidRPr="005C2BCB">
        <w:t>asthma (blood eosinophil count ≥</w:t>
      </w:r>
      <w:r w:rsidR="00C43D5F">
        <w:t xml:space="preserve"> </w:t>
      </w:r>
      <w:r w:rsidRPr="005C2BCB">
        <w:t>400cells/</w:t>
      </w:r>
      <w:r w:rsidR="00761A3D">
        <w:t>µ</w:t>
      </w:r>
      <w:r w:rsidRPr="005C2BCB">
        <w:t>L)</w:t>
      </w:r>
      <w:r w:rsidR="005236C7">
        <w:t>’</w:t>
      </w:r>
      <w:r w:rsidRPr="005C2BCB">
        <w:t xml:space="preserve"> which can be m</w:t>
      </w:r>
      <w:r>
        <w:t xml:space="preserve">isinterpreted as this threshold </w:t>
      </w:r>
      <w:r w:rsidRPr="005C2BCB">
        <w:t xml:space="preserve">being the accepted definition of </w:t>
      </w:r>
      <w:r w:rsidR="005236C7">
        <w:t>‘</w:t>
      </w:r>
      <w:r w:rsidRPr="005C2BCB">
        <w:t>severe eosinophilic asthma</w:t>
      </w:r>
      <w:r w:rsidR="005236C7">
        <w:t>’</w:t>
      </w:r>
      <w:r w:rsidRPr="005C2BCB">
        <w:t xml:space="preserve">. </w:t>
      </w:r>
      <w:r>
        <w:t xml:space="preserve">As discussed above, there is no </w:t>
      </w:r>
      <w:r w:rsidRPr="005C2BCB">
        <w:t xml:space="preserve">accepted definition. Furthermore, the </w:t>
      </w:r>
      <w:r w:rsidR="00CF0D26">
        <w:t>Delegate</w:t>
      </w:r>
      <w:r w:rsidRPr="005C2BCB">
        <w:t xml:space="preserve"> stated that </w:t>
      </w:r>
      <w:r>
        <w:t xml:space="preserve">a greater treatment benefit was </w:t>
      </w:r>
      <w:r w:rsidRPr="005C2BCB">
        <w:t xml:space="preserve">found in patients with this </w:t>
      </w:r>
      <w:r w:rsidR="00AA0617" w:rsidRPr="005C2BCB">
        <w:t>threshold;</w:t>
      </w:r>
      <w:r w:rsidRPr="005C2BCB">
        <w:t xml:space="preserve"> however the Cin</w:t>
      </w:r>
      <w:r>
        <w:t xml:space="preserve">qair programme used this as the </w:t>
      </w:r>
      <w:r w:rsidRPr="005C2BCB">
        <w:t>inclusion threshold at initiation of treatment in thei</w:t>
      </w:r>
      <w:r>
        <w:t xml:space="preserve">r </w:t>
      </w:r>
      <w:r w:rsidR="00C43D5F">
        <w:t>Phase III</w:t>
      </w:r>
      <w:r>
        <w:t xml:space="preserve"> exacerbation studies. </w:t>
      </w:r>
      <w:r w:rsidRPr="005C2BCB">
        <w:t xml:space="preserve">Consequently, this threshold defined their </w:t>
      </w:r>
      <w:r w:rsidR="00C43D5F">
        <w:t>Phase III</w:t>
      </w:r>
      <w:r w:rsidRPr="005C2BCB">
        <w:t xml:space="preserve"> patient po</w:t>
      </w:r>
      <w:r>
        <w:t xml:space="preserve">pulation rather than a subgroup </w:t>
      </w:r>
      <w:r w:rsidRPr="005C2BCB">
        <w:t>which was identified to have a greater treatment benefit.</w:t>
      </w:r>
    </w:p>
    <w:p w14:paraId="27FE9ECB" w14:textId="767715F6" w:rsidR="005C2BCB" w:rsidRPr="005C2BCB" w:rsidRDefault="005C2BCB" w:rsidP="005C2BCB">
      <w:r w:rsidRPr="005C2BCB">
        <w:t>Unlik</w:t>
      </w:r>
      <w:r w:rsidR="00C43D5F">
        <w:t>e the Nucala and Cinqair Phase III</w:t>
      </w:r>
      <w:r w:rsidRPr="005C2BCB">
        <w:t xml:space="preserve"> programmes, the Fasenra </w:t>
      </w:r>
      <w:r w:rsidR="00C43D5F">
        <w:t>Phase III</w:t>
      </w:r>
      <w:r w:rsidRPr="005C2BCB">
        <w:t xml:space="preserve"> programme enrolled</w:t>
      </w:r>
      <w:r>
        <w:t xml:space="preserve"> </w:t>
      </w:r>
      <w:r w:rsidRPr="005C2BCB">
        <w:t>patients across the entire range of baseline blood eosinophi</w:t>
      </w:r>
      <w:r>
        <w:t xml:space="preserve">ls including patients less than </w:t>
      </w:r>
      <w:r w:rsidRPr="005C2BCB">
        <w:t>&lt;</w:t>
      </w:r>
      <w:r w:rsidR="00C43D5F">
        <w:t xml:space="preserve"> </w:t>
      </w:r>
      <w:r w:rsidRPr="005C2BCB">
        <w:t>150 cells/</w:t>
      </w:r>
      <w:r w:rsidR="00761A3D">
        <w:t>µ</w:t>
      </w:r>
      <w:r w:rsidRPr="005C2BCB">
        <w:t xml:space="preserve">L. Inclusion of an eosinophil threshold as part </w:t>
      </w:r>
      <w:r>
        <w:t xml:space="preserve">of the Fasenra indication would </w:t>
      </w:r>
      <w:r w:rsidRPr="005C2BCB">
        <w:t>adversely, and inappropriately, differentiate Fasenra in co</w:t>
      </w:r>
      <w:r>
        <w:t xml:space="preserve">mparison to Nucala which has no </w:t>
      </w:r>
      <w:r w:rsidRPr="005C2BCB">
        <w:t>threshold in its indication, creating an inference in the minds o</w:t>
      </w:r>
      <w:r>
        <w:t xml:space="preserve">f prescribers that Fasenra is a </w:t>
      </w:r>
      <w:r w:rsidRPr="005C2BCB">
        <w:t>second line treatment after Nucala. Such a positioning of</w:t>
      </w:r>
      <w:r>
        <w:t xml:space="preserve"> Fasenra is incorrect given the </w:t>
      </w:r>
      <w:r w:rsidRPr="005C2BCB">
        <w:t xml:space="preserve">broader body of evidence from the Fasenra development </w:t>
      </w:r>
      <w:r>
        <w:t xml:space="preserve">programme compared with that of </w:t>
      </w:r>
      <w:r w:rsidRPr="005C2BCB">
        <w:t>Nucala.</w:t>
      </w:r>
    </w:p>
    <w:p w14:paraId="6E1E922F" w14:textId="51926984" w:rsidR="005C2BCB" w:rsidRPr="005C2BCB" w:rsidRDefault="005C2BCB" w:rsidP="007A77EC">
      <w:r w:rsidRPr="005C2BCB">
        <w:t>As discussed within our Pre</w:t>
      </w:r>
      <w:r w:rsidR="00761A3D">
        <w:t>-</w:t>
      </w:r>
      <w:r w:rsidRPr="005C2BCB">
        <w:t>ACM response (including respons</w:t>
      </w:r>
      <w:r>
        <w:t xml:space="preserve">e to Question 2) and our recent </w:t>
      </w:r>
      <w:r w:rsidRPr="005C2BCB">
        <w:t xml:space="preserve">post-ACM teleconference, we consider that the totality of </w:t>
      </w:r>
      <w:r>
        <w:t xml:space="preserve">the evidence within the Fasenra </w:t>
      </w:r>
      <w:r w:rsidRPr="005C2BCB">
        <w:t>clinical programme supports efficacy of Fasenra 30 mg Q</w:t>
      </w:r>
      <w:r>
        <w:t>8</w:t>
      </w:r>
      <w:r w:rsidR="00C43D5F">
        <w:t>W</w:t>
      </w:r>
      <w:r>
        <w:t xml:space="preserve"> across the range of baseline </w:t>
      </w:r>
      <w:r w:rsidRPr="005C2BCB">
        <w:t>blood eosinophils and that an eosinophil cut-off within the w</w:t>
      </w:r>
      <w:r>
        <w:t xml:space="preserve">ording of the Indication is not </w:t>
      </w:r>
      <w:r w:rsidR="004D042E">
        <w:t>warranted.</w:t>
      </w:r>
      <w:r w:rsidR="007A77EC">
        <w:t xml:space="preserve">  This was discussed further in </w:t>
      </w:r>
      <w:r w:rsidR="00761A3D">
        <w:t>‘</w:t>
      </w:r>
      <w:r w:rsidR="007A77EC">
        <w:t>Evidence supporting the efficacy of Fasenra across the eosinophil range” section provided as part of the Sponsor’s response</w:t>
      </w:r>
      <w:r w:rsidR="00904EE9">
        <w:t xml:space="preserve"> [Information redacted]</w:t>
      </w:r>
      <w:r w:rsidR="00761A3D">
        <w:t>’</w:t>
      </w:r>
      <w:r w:rsidR="007A77EC">
        <w:t>.</w:t>
      </w:r>
    </w:p>
    <w:p w14:paraId="25DAF702" w14:textId="46EF7C3B" w:rsidR="00AA0617" w:rsidRDefault="005C2BCB" w:rsidP="005C2BCB">
      <w:r w:rsidRPr="005C2BCB">
        <w:lastRenderedPageBreak/>
        <w:t xml:space="preserve">Consistent with the suggestion of the TGA </w:t>
      </w:r>
      <w:r w:rsidR="00CF0D26">
        <w:t>Delegate</w:t>
      </w:r>
      <w:r w:rsidRPr="005C2BCB">
        <w:t xml:space="preserve">, </w:t>
      </w:r>
      <w:r w:rsidR="00761A3D">
        <w:t xml:space="preserve">the sponsor </w:t>
      </w:r>
      <w:r>
        <w:t>propose</w:t>
      </w:r>
      <w:r w:rsidR="00761A3D">
        <w:t>s</w:t>
      </w:r>
      <w:r>
        <w:t xml:space="preserve"> to expand the </w:t>
      </w:r>
      <w:r w:rsidRPr="005C2BCB">
        <w:t>Clinical Trials text within the Fasenra PI to fu</w:t>
      </w:r>
      <w:r>
        <w:t xml:space="preserve">rther clarify the pre-specified </w:t>
      </w:r>
      <w:r w:rsidRPr="005C2BCB">
        <w:t>CALIMA/SIROCCO</w:t>
      </w:r>
      <w:r w:rsidR="00761A3D">
        <w:t xml:space="preserve"> trial</w:t>
      </w:r>
      <w:r w:rsidRPr="005C2BCB">
        <w:t xml:space="preserve"> analyses for </w:t>
      </w:r>
    </w:p>
    <w:p w14:paraId="5C42CAC9" w14:textId="6C7DBB79" w:rsidR="00AA0617" w:rsidRDefault="005C2BCB" w:rsidP="004A68D9">
      <w:pPr>
        <w:pStyle w:val="Numberbullet0"/>
        <w:numPr>
          <w:ilvl w:val="0"/>
          <w:numId w:val="34"/>
        </w:numPr>
      </w:pPr>
      <w:r w:rsidRPr="005C2BCB">
        <w:t xml:space="preserve">patients with eosinophils </w:t>
      </w:r>
      <w:r>
        <w:t>&lt;</w:t>
      </w:r>
      <w:r w:rsidR="00C43D5F">
        <w:t xml:space="preserve"> </w:t>
      </w:r>
      <w:r w:rsidR="004A68D9">
        <w:t>300 cells/</w:t>
      </w:r>
      <w:r w:rsidR="00761A3D">
        <w:t>µ</w:t>
      </w:r>
      <w:r w:rsidR="004A68D9">
        <w:t>L</w:t>
      </w:r>
      <w:r w:rsidR="00761A3D">
        <w:t>;</w:t>
      </w:r>
      <w:r w:rsidR="004A68D9">
        <w:t xml:space="preserve"> and</w:t>
      </w:r>
    </w:p>
    <w:p w14:paraId="096A70AB" w14:textId="77777777" w:rsidR="00AA0617" w:rsidRDefault="005C2BCB" w:rsidP="004A68D9">
      <w:pPr>
        <w:pStyle w:val="Numberbullet0"/>
        <w:numPr>
          <w:ilvl w:val="0"/>
          <w:numId w:val="34"/>
        </w:numPr>
      </w:pPr>
      <w:proofErr w:type="gramStart"/>
      <w:r>
        <w:t>the</w:t>
      </w:r>
      <w:proofErr w:type="gramEnd"/>
      <w:r>
        <w:t xml:space="preserve"> full </w:t>
      </w:r>
      <w:r w:rsidRPr="005C2BCB">
        <w:t>analysis set (FAS) for predef</w:t>
      </w:r>
      <w:r w:rsidR="004A68D9">
        <w:t>ined eosinophil cut-off ranges.</w:t>
      </w:r>
    </w:p>
    <w:p w14:paraId="5370F5F6" w14:textId="2E8DFB35" w:rsidR="005C2BCB" w:rsidRPr="005C2BCB" w:rsidRDefault="005C2BCB" w:rsidP="005C2BCB">
      <w:r w:rsidRPr="005C2BCB">
        <w:t>T</w:t>
      </w:r>
      <w:r>
        <w:t xml:space="preserve">his approach, together with the </w:t>
      </w:r>
      <w:r w:rsidR="00E53A6B">
        <w:t>reference in the i</w:t>
      </w:r>
      <w:r w:rsidRPr="005C2BCB">
        <w:t xml:space="preserve">ndication to the Clinical Trials </w:t>
      </w:r>
      <w:r w:rsidR="00761A3D">
        <w:t>s</w:t>
      </w:r>
      <w:r w:rsidR="00761A3D" w:rsidRPr="005C2BCB">
        <w:t xml:space="preserve">ection </w:t>
      </w:r>
      <w:r w:rsidRPr="005C2BCB">
        <w:t xml:space="preserve">of </w:t>
      </w:r>
      <w:r>
        <w:t xml:space="preserve">the PI provides physicians with </w:t>
      </w:r>
      <w:r w:rsidRPr="005C2BCB">
        <w:t>sufficient detail on the efficacy of Fasenra for severe asthma p</w:t>
      </w:r>
      <w:r>
        <w:t xml:space="preserve">atients with varying eosinophil </w:t>
      </w:r>
      <w:r w:rsidRPr="005C2BCB">
        <w:t>levels to allow them to make informed prescribing decisions.</w:t>
      </w:r>
    </w:p>
    <w:p w14:paraId="2F98ADCB" w14:textId="77777777" w:rsidR="005C2BCB" w:rsidRPr="005C2BCB" w:rsidRDefault="005C2BCB" w:rsidP="00223CEC">
      <w:r w:rsidRPr="005C2BCB">
        <w:t>Taking the above into consideration, we propose the following indication:</w:t>
      </w:r>
    </w:p>
    <w:p w14:paraId="0F500CE8" w14:textId="77777777" w:rsidR="005C2BCB" w:rsidRPr="005C2BCB" w:rsidRDefault="005C2BCB" w:rsidP="00223CEC">
      <w:pPr>
        <w:ind w:left="720"/>
        <w:rPr>
          <w:i/>
        </w:rPr>
      </w:pPr>
      <w:r w:rsidRPr="005C2BCB">
        <w:rPr>
          <w:i/>
        </w:rPr>
        <w:t xml:space="preserve">Fasenra is indicated as </w:t>
      </w:r>
      <w:proofErr w:type="gramStart"/>
      <w:r w:rsidRPr="005C2BCB">
        <w:rPr>
          <w:i/>
        </w:rPr>
        <w:t>an add-on maintenance treatment for patients aged 12 years and over with severe eosinophilic asthma (see</w:t>
      </w:r>
      <w:proofErr w:type="gramEnd"/>
      <w:r w:rsidRPr="005C2BCB">
        <w:rPr>
          <w:i/>
        </w:rPr>
        <w:t xml:space="preserve"> Section 5.1 [Clinical Trials]).</w:t>
      </w:r>
    </w:p>
    <w:p w14:paraId="11AA11DB" w14:textId="17EAE976" w:rsidR="00DD7CF6" w:rsidRDefault="00DD7CF6" w:rsidP="00223CEC">
      <w:r>
        <w:t xml:space="preserve">The </w:t>
      </w:r>
      <w:r w:rsidR="00761A3D">
        <w:t xml:space="preserve">sponsor </w:t>
      </w:r>
      <w:r w:rsidR="007A77EC">
        <w:t xml:space="preserve">included a </w:t>
      </w:r>
      <w:r w:rsidR="00223CEC">
        <w:t xml:space="preserve">detailed </w:t>
      </w:r>
      <w:r w:rsidR="007A77EC">
        <w:t>section on the evidence supporting the efficacy of Fasenra across the eosinophil range (not included as part of this AusPAR).</w:t>
      </w:r>
    </w:p>
    <w:p w14:paraId="0D0BD0B0" w14:textId="489A4FF3" w:rsidR="004243E3" w:rsidRPr="004243E3" w:rsidRDefault="004243E3" w:rsidP="00223CEC">
      <w:r w:rsidRPr="004243E3">
        <w:t>Based on the outcomes from the three pivotal Phase</w:t>
      </w:r>
      <w:r>
        <w:t xml:space="preserve"> III study studies, including the </w:t>
      </w:r>
      <w:r w:rsidRPr="004243E3">
        <w:t>CALIMA/SIROCCO</w:t>
      </w:r>
      <w:r w:rsidR="00761A3D">
        <w:t xml:space="preserve"> trials</w:t>
      </w:r>
      <w:r w:rsidRPr="004243E3">
        <w:t xml:space="preserve"> pre</w:t>
      </w:r>
      <w:r w:rsidR="00761A3D">
        <w:t>-</w:t>
      </w:r>
      <w:r w:rsidRPr="004243E3">
        <w:t>specified analyses across the range of</w:t>
      </w:r>
      <w:r>
        <w:t xml:space="preserve"> baseline blood eosinophils and </w:t>
      </w:r>
      <w:r w:rsidRPr="004243E3">
        <w:t xml:space="preserve">supportive post hoc analysis, we consider efficacy has been </w:t>
      </w:r>
      <w:r>
        <w:t xml:space="preserve">demonstrated for Fasenra across </w:t>
      </w:r>
      <w:r w:rsidRPr="004243E3">
        <w:t xml:space="preserve">the range of baseline blood eosinophils. It is also clear there is </w:t>
      </w:r>
      <w:r>
        <w:t xml:space="preserve">no specific baseline eosinophil </w:t>
      </w:r>
      <w:r w:rsidRPr="004243E3">
        <w:t>count below which there is no efficacy, however enhanced efficacy has been observed wit</w:t>
      </w:r>
      <w:r>
        <w:t xml:space="preserve">h </w:t>
      </w:r>
      <w:r w:rsidRPr="004243E3">
        <w:t>increasing baseline blood eosinophil levels.</w:t>
      </w:r>
    </w:p>
    <w:p w14:paraId="1951B074" w14:textId="62FA06C6" w:rsidR="004243E3" w:rsidRPr="004243E3" w:rsidRDefault="004243E3" w:rsidP="004243E3">
      <w:r w:rsidRPr="004243E3">
        <w:t>Furthermore, as discussed within our Pre</w:t>
      </w:r>
      <w:r w:rsidR="00761A3D">
        <w:t>-</w:t>
      </w:r>
      <w:r w:rsidRPr="004243E3">
        <w:t>ACM respons</w:t>
      </w:r>
      <w:r>
        <w:t xml:space="preserve">e blood eosinophil levels are a </w:t>
      </w:r>
      <w:r w:rsidRPr="004243E3">
        <w:t>surrogate marker for sputum eosinophils, and generally the relationship is strong with an</w:t>
      </w:r>
      <w:r>
        <w:t xml:space="preserve"> </w:t>
      </w:r>
      <w:r w:rsidRPr="004243E3">
        <w:t>increase seen in both with increasing asthma severity. Howev</w:t>
      </w:r>
      <w:r>
        <w:t xml:space="preserve">er, there have been findings in </w:t>
      </w:r>
      <w:r w:rsidRPr="004243E3">
        <w:t>the literature of uncontrolled patients with normal blood eosi</w:t>
      </w:r>
      <w:r>
        <w:t xml:space="preserve">nophil counts but raised sputum </w:t>
      </w:r>
      <w:r w:rsidRPr="004243E3">
        <w:t>eosinophils indicating that some patients with lower blood eosi</w:t>
      </w:r>
      <w:r>
        <w:t xml:space="preserve">nophil counts will benefit from </w:t>
      </w:r>
      <w:r w:rsidRPr="004243E3">
        <w:t>treatment.</w:t>
      </w:r>
    </w:p>
    <w:p w14:paraId="61B86FA4" w14:textId="2A0B191A" w:rsidR="0047386F" w:rsidRDefault="004243E3" w:rsidP="005C2BCB">
      <w:r w:rsidRPr="004243E3">
        <w:t>We therefore consider that it is appropriate to not include an eosi</w:t>
      </w:r>
      <w:r>
        <w:t xml:space="preserve">nophil cut-off limit within the </w:t>
      </w:r>
      <w:r w:rsidRPr="004243E3">
        <w:t>indication, but instead include sufficient detail within the clini</w:t>
      </w:r>
      <w:r>
        <w:t xml:space="preserve">cal trials section of the PI to </w:t>
      </w:r>
      <w:r w:rsidRPr="004243E3">
        <w:t>guide the prescribing physician in making an informed decisio</w:t>
      </w:r>
      <w:r>
        <w:t xml:space="preserve">n. This includes details on the </w:t>
      </w:r>
      <w:r w:rsidRPr="004243E3">
        <w:t>inclusion criteria of each of the studies and the assessed pa</w:t>
      </w:r>
      <w:r>
        <w:t xml:space="preserve">tient populations, and enhanced </w:t>
      </w:r>
      <w:r w:rsidRPr="004243E3">
        <w:t>information on the additional pre</w:t>
      </w:r>
      <w:r w:rsidR="00761A3D">
        <w:t>-</w:t>
      </w:r>
      <w:r w:rsidRPr="004243E3">
        <w:t>specified analyses from the ex</w:t>
      </w:r>
      <w:r>
        <w:t xml:space="preserve">acerbation studies for patients </w:t>
      </w:r>
      <w:r w:rsidRPr="004243E3">
        <w:t>with eosinophil levels below that of the enriched ITT populat</w:t>
      </w:r>
      <w:r>
        <w:t>ion (&lt;</w:t>
      </w:r>
      <w:r w:rsidR="00C43D5F">
        <w:t> </w:t>
      </w:r>
      <w:r>
        <w:t>300 cells/</w:t>
      </w:r>
      <w:r w:rsidR="00761A3D">
        <w:t>µ</w:t>
      </w:r>
      <w:r>
        <w:t xml:space="preserve">L) and the FAS </w:t>
      </w:r>
      <w:r w:rsidRPr="004243E3">
        <w:t>analysis of pre</w:t>
      </w:r>
      <w:r w:rsidR="00761A3D">
        <w:t>-</w:t>
      </w:r>
      <w:r w:rsidRPr="004243E3">
        <w:t xml:space="preserve">specified eosinophil cut-off ranges. Further </w:t>
      </w:r>
      <w:r w:rsidR="005759AC">
        <w:t>amendments to the Clinical trials section were proposed and discussed as part of this Indication response, however these have not been included within this AusPAR</w:t>
      </w:r>
      <w:proofErr w:type="gramStart"/>
      <w:r w:rsidR="00A8038A">
        <w:t>.</w:t>
      </w:r>
      <w:r w:rsidRPr="004243E3">
        <w:t>.</w:t>
      </w:r>
      <w:proofErr w:type="gramEnd"/>
    </w:p>
    <w:p w14:paraId="28745126" w14:textId="77777777" w:rsidR="005759AC" w:rsidRPr="005759AC" w:rsidRDefault="005759AC" w:rsidP="005759AC">
      <w:pPr>
        <w:rPr>
          <w:i/>
        </w:rPr>
      </w:pPr>
      <w:r w:rsidRPr="005759AC">
        <w:rPr>
          <w:i/>
        </w:rPr>
        <w:t>Overseas regulatory status</w:t>
      </w:r>
    </w:p>
    <w:p w14:paraId="3ABDCE50" w14:textId="40206339" w:rsidR="0066443F" w:rsidRDefault="005759AC" w:rsidP="00602E37">
      <w:r w:rsidRPr="00602E37">
        <w:t xml:space="preserve">As previously provided in our </w:t>
      </w:r>
      <w:proofErr w:type="spellStart"/>
      <w:r w:rsidRPr="00602E37">
        <w:t>PreACM</w:t>
      </w:r>
      <w:proofErr w:type="spellEnd"/>
      <w:r w:rsidRPr="00602E37">
        <w:t xml:space="preserve"> response, neither the US</w:t>
      </w:r>
      <w:r w:rsidR="00602E37">
        <w:t xml:space="preserve">, </w:t>
      </w:r>
      <w:r w:rsidRPr="00602E37">
        <w:t>EU</w:t>
      </w:r>
      <w:r w:rsidR="00602E37">
        <w:t xml:space="preserve"> nor Canadian </w:t>
      </w:r>
      <w:r w:rsidRPr="00602E37">
        <w:t>approved indications</w:t>
      </w:r>
      <w:r w:rsidR="00602E37">
        <w:t xml:space="preserve"> for Fasenra </w:t>
      </w:r>
      <w:r w:rsidRPr="00602E37">
        <w:t xml:space="preserve">(refer </w:t>
      </w:r>
      <w:r w:rsidR="00761A3D">
        <w:t xml:space="preserve">to </w:t>
      </w:r>
      <w:r w:rsidR="00B242BA" w:rsidRPr="00602E37">
        <w:t>Table 1</w:t>
      </w:r>
      <w:r w:rsidRPr="00602E37">
        <w:t>) include an eosinophil cut-off. The</w:t>
      </w:r>
      <w:r w:rsidR="0066443F">
        <w:t xml:space="preserve"> US and EU </w:t>
      </w:r>
      <w:r w:rsidRPr="00602E37">
        <w:t>indications are in line with those approved for Nucala</w:t>
      </w:r>
      <w:r w:rsidR="0066443F">
        <w:t xml:space="preserve">, however in Canada the </w:t>
      </w:r>
      <w:proofErr w:type="spellStart"/>
      <w:r w:rsidR="0066443F">
        <w:t>Nucala</w:t>
      </w:r>
      <w:proofErr w:type="spellEnd"/>
      <w:r w:rsidR="0066443F">
        <w:t xml:space="preserve"> </w:t>
      </w:r>
      <w:proofErr w:type="spellStart"/>
      <w:r w:rsidR="0066443F">
        <w:t>indiction</w:t>
      </w:r>
      <w:proofErr w:type="spellEnd"/>
      <w:r w:rsidR="0066443F">
        <w:t xml:space="preserve"> is the one which includes an eosinophil cut-off.</w:t>
      </w:r>
    </w:p>
    <w:p w14:paraId="6E851613" w14:textId="77777777" w:rsidR="00D0634E" w:rsidRDefault="00CF0D26" w:rsidP="00992AE1">
      <w:pPr>
        <w:pStyle w:val="Heading4"/>
      </w:pPr>
      <w:r>
        <w:t>Delegate</w:t>
      </w:r>
      <w:r w:rsidR="00992AE1">
        <w:t>s response to sponsor comments dated 16 March2018</w:t>
      </w:r>
    </w:p>
    <w:p w14:paraId="02ACC008" w14:textId="77777777" w:rsidR="00D0634E" w:rsidRPr="00992AE1" w:rsidRDefault="00C43D5F" w:rsidP="00992AE1">
      <w:r>
        <w:t xml:space="preserve">The </w:t>
      </w:r>
      <w:r w:rsidR="00CF0D26">
        <w:t>Delegate</w:t>
      </w:r>
      <w:r>
        <w:t xml:space="preserve"> </w:t>
      </w:r>
      <w:r w:rsidR="00992AE1" w:rsidRPr="00992AE1">
        <w:t xml:space="preserve">considered </w:t>
      </w:r>
      <w:r>
        <w:t>the sponsor’s</w:t>
      </w:r>
      <w:r w:rsidR="00992AE1" w:rsidRPr="00992AE1">
        <w:t xml:space="preserve"> response (dated 6</w:t>
      </w:r>
      <w:r>
        <w:t xml:space="preserve"> March 2018) to </w:t>
      </w:r>
      <w:r w:rsidR="004A68D9">
        <w:t xml:space="preserve">the </w:t>
      </w:r>
      <w:r>
        <w:t xml:space="preserve">post ACM </w:t>
      </w:r>
      <w:r w:rsidR="00CF0D26">
        <w:t>Delegate</w:t>
      </w:r>
      <w:r w:rsidR="00992AE1" w:rsidRPr="00992AE1">
        <w:t xml:space="preserve"> file note and ha</w:t>
      </w:r>
      <w:r>
        <w:t>d</w:t>
      </w:r>
      <w:r w:rsidR="00992AE1" w:rsidRPr="00992AE1">
        <w:t xml:space="preserve"> the following comments. The following are </w:t>
      </w:r>
      <w:r>
        <w:t>the</w:t>
      </w:r>
      <w:r w:rsidR="00992AE1" w:rsidRPr="00992AE1">
        <w:t xml:space="preserve"> recommended changes to PI and CMI before this application can be approved.</w:t>
      </w:r>
    </w:p>
    <w:p w14:paraId="384FA063" w14:textId="77777777" w:rsidR="00992AE1" w:rsidRPr="00992AE1" w:rsidRDefault="00992AE1" w:rsidP="00992AE1">
      <w:pPr>
        <w:pStyle w:val="Heading5"/>
      </w:pPr>
      <w:r w:rsidRPr="00992AE1">
        <w:lastRenderedPageBreak/>
        <w:t>Indication</w:t>
      </w:r>
    </w:p>
    <w:p w14:paraId="61C8D99F" w14:textId="06CECDFF" w:rsidR="00992AE1" w:rsidRPr="00992AE1" w:rsidRDefault="00992AE1" w:rsidP="00761A3D">
      <w:pPr>
        <w:pStyle w:val="Heading6"/>
      </w:pPr>
      <w:r w:rsidRPr="00992AE1">
        <w:t>Sponsor proposed text</w:t>
      </w:r>
    </w:p>
    <w:p w14:paraId="71518991" w14:textId="77777777" w:rsidR="00992AE1" w:rsidRPr="00992AE1" w:rsidRDefault="00992AE1" w:rsidP="00992AE1">
      <w:pPr>
        <w:ind w:left="720"/>
        <w:rPr>
          <w:i/>
        </w:rPr>
      </w:pPr>
      <w:r w:rsidRPr="00992AE1">
        <w:rPr>
          <w:i/>
        </w:rPr>
        <w:t xml:space="preserve">Fasenra is indicated as </w:t>
      </w:r>
      <w:proofErr w:type="gramStart"/>
      <w:r w:rsidRPr="00992AE1">
        <w:rPr>
          <w:i/>
        </w:rPr>
        <w:t>an add-on maintenance treatment for patients aged 12 years and over with severe eosinophilic asthma (see</w:t>
      </w:r>
      <w:proofErr w:type="gramEnd"/>
      <w:r w:rsidRPr="00992AE1">
        <w:rPr>
          <w:i/>
        </w:rPr>
        <w:t xml:space="preserve"> Section 5.1 [Clinical Trials]).</w:t>
      </w:r>
    </w:p>
    <w:p w14:paraId="60177397" w14:textId="46C1510E" w:rsidR="00992AE1" w:rsidRPr="00992AE1" w:rsidRDefault="00CF0D26" w:rsidP="00761A3D">
      <w:pPr>
        <w:pStyle w:val="Heading6"/>
      </w:pPr>
      <w:r>
        <w:t>Delegate</w:t>
      </w:r>
      <w:r w:rsidR="00992AE1" w:rsidRPr="00992AE1">
        <w:t xml:space="preserve"> proposed text</w:t>
      </w:r>
    </w:p>
    <w:p w14:paraId="7EBA41B1" w14:textId="77777777" w:rsidR="00992AE1" w:rsidRPr="00992AE1" w:rsidRDefault="00992AE1" w:rsidP="00992AE1">
      <w:pPr>
        <w:pStyle w:val="ListParagraph"/>
        <w:spacing w:line="240" w:lineRule="auto"/>
        <w:jc w:val="both"/>
        <w:rPr>
          <w:i/>
          <w:color w:val="002C47" w:themeColor="text2"/>
        </w:rPr>
      </w:pPr>
      <w:r w:rsidRPr="00992AE1">
        <w:rPr>
          <w:i/>
          <w:color w:val="002C47" w:themeColor="text2"/>
        </w:rPr>
        <w:t>Fasenra is indicated as an add-on maintenance treatment for severe asthma in patients aged 12 years and over with an eosinophilic phenotype.</w:t>
      </w:r>
    </w:p>
    <w:p w14:paraId="4A771B56" w14:textId="77777777" w:rsidR="00992AE1" w:rsidRPr="00992AE1" w:rsidRDefault="00992AE1" w:rsidP="00992AE1">
      <w:pPr>
        <w:pStyle w:val="ListParagraph"/>
        <w:spacing w:line="240" w:lineRule="auto"/>
        <w:jc w:val="both"/>
        <w:rPr>
          <w:i/>
          <w:color w:val="002C47" w:themeColor="text2"/>
        </w:rPr>
      </w:pPr>
      <w:r w:rsidRPr="00992AE1">
        <w:rPr>
          <w:i/>
          <w:color w:val="002C47" w:themeColor="text2"/>
        </w:rPr>
        <w:t>Note to the indication:</w:t>
      </w:r>
    </w:p>
    <w:p w14:paraId="56608BC8" w14:textId="77777777" w:rsidR="00992AE1" w:rsidRPr="00992AE1" w:rsidRDefault="00992AE1" w:rsidP="00992AE1">
      <w:pPr>
        <w:pStyle w:val="ListParagraph"/>
        <w:spacing w:line="240" w:lineRule="auto"/>
        <w:jc w:val="both"/>
        <w:rPr>
          <w:i/>
          <w:color w:val="002C47" w:themeColor="text2"/>
        </w:rPr>
      </w:pPr>
      <w:r w:rsidRPr="00992AE1">
        <w:rPr>
          <w:i/>
          <w:color w:val="002C47" w:themeColor="text2"/>
        </w:rPr>
        <w:t xml:space="preserve">In clinical trials, eosinophilic phenotype was defined </w:t>
      </w:r>
      <w:r w:rsidR="00F2314E">
        <w:rPr>
          <w:i/>
          <w:color w:val="002C47" w:themeColor="text2"/>
        </w:rPr>
        <w:t>as blood eosinophil count ≥ </w:t>
      </w:r>
      <w:proofErr w:type="gramStart"/>
      <w:r w:rsidR="00F2314E">
        <w:rPr>
          <w:i/>
          <w:color w:val="002C47" w:themeColor="text2"/>
        </w:rPr>
        <w:t>300 </w:t>
      </w:r>
      <w:r w:rsidRPr="00992AE1">
        <w:rPr>
          <w:i/>
          <w:color w:val="002C47" w:themeColor="text2"/>
        </w:rPr>
        <w:t>cells/µL</w:t>
      </w:r>
      <w:proofErr w:type="gramEnd"/>
      <w:r w:rsidRPr="00992AE1">
        <w:rPr>
          <w:i/>
          <w:color w:val="002C47" w:themeColor="text2"/>
        </w:rPr>
        <w:t xml:space="preserve"> or ≥ 150 cells/µL if on chronic OCS treatment.</w:t>
      </w:r>
    </w:p>
    <w:p w14:paraId="50DF53D1" w14:textId="014F6061" w:rsidR="00992AE1" w:rsidRPr="00992AE1" w:rsidRDefault="00992AE1" w:rsidP="00761A3D">
      <w:pPr>
        <w:pStyle w:val="Heading6"/>
      </w:pPr>
      <w:r w:rsidRPr="00992AE1">
        <w:t>Rationale</w:t>
      </w:r>
    </w:p>
    <w:p w14:paraId="229F62CD" w14:textId="5D3117FE" w:rsidR="00992AE1" w:rsidRDefault="00827281" w:rsidP="00992AE1">
      <w:r>
        <w:t xml:space="preserve">The </w:t>
      </w:r>
      <w:r w:rsidR="00CF0D26">
        <w:t>Delegate</w:t>
      </w:r>
      <w:r w:rsidR="00992AE1" w:rsidRPr="00992AE1">
        <w:t xml:space="preserve"> considered the sponsor’s response to post ACM file note. The statement that </w:t>
      </w:r>
      <w:r w:rsidR="005236C7">
        <w:t>‘</w:t>
      </w:r>
      <w:r w:rsidR="00992AE1" w:rsidRPr="00992AE1">
        <w:t>eosinophilic phenotype remains a clinical diagnosis</w:t>
      </w:r>
      <w:r w:rsidR="005236C7">
        <w:t>’</w:t>
      </w:r>
      <w:r w:rsidR="00992AE1" w:rsidRPr="00992AE1">
        <w:t xml:space="preserve"> is not a valid argument. There is evidence to suggest that blood eosinophil count is one of the objective inflammatory markers used to identify asthmatics with eosinophilic phenotype</w:t>
      </w:r>
      <w:r w:rsidR="00992AE1">
        <w:t xml:space="preserve">. </w:t>
      </w:r>
      <w:r w:rsidR="00992AE1">
        <w:rPr>
          <w:rStyle w:val="FootnoteReference"/>
        </w:rPr>
        <w:footnoteReference w:id="56"/>
      </w:r>
      <w:r w:rsidR="00992AE1" w:rsidRPr="00992AE1">
        <w:t xml:space="preserve"> </w:t>
      </w:r>
      <w:r w:rsidR="00992AE1">
        <w:rPr>
          <w:rStyle w:val="FootnoteReference"/>
        </w:rPr>
        <w:footnoteReference w:id="57"/>
      </w:r>
      <w:r w:rsidR="00992AE1">
        <w:t xml:space="preserve"> </w:t>
      </w:r>
      <w:r w:rsidR="00992AE1">
        <w:rPr>
          <w:rStyle w:val="FootnoteReference"/>
        </w:rPr>
        <w:footnoteReference w:id="58"/>
      </w:r>
      <w:r w:rsidR="00992AE1">
        <w:t xml:space="preserve"> </w:t>
      </w:r>
      <w:r w:rsidR="00992AE1">
        <w:rPr>
          <w:rStyle w:val="FootnoteReference"/>
        </w:rPr>
        <w:footnoteReference w:id="59"/>
      </w:r>
      <w:r w:rsidR="00992AE1" w:rsidRPr="00992AE1">
        <w:t xml:space="preserve"> </w:t>
      </w:r>
      <w:r>
        <w:t xml:space="preserve">The </w:t>
      </w:r>
      <w:r w:rsidR="00CF0D26">
        <w:t>Delegate</w:t>
      </w:r>
      <w:r>
        <w:t xml:space="preserve"> </w:t>
      </w:r>
      <w:r w:rsidR="00992AE1" w:rsidRPr="00992AE1">
        <w:t>agree</w:t>
      </w:r>
      <w:r>
        <w:t>d</w:t>
      </w:r>
      <w:r w:rsidR="00992AE1" w:rsidRPr="00992AE1">
        <w:t xml:space="preserve"> that evidence to indicate a definitive baseline blood eosinophil level to characterise these patients is still evolving. However, the PI is considered as a product specific document and need to reflect the basis of regulatory decision made under TGA Act 1989, Section 25 (3). This is based on efficacy and safety of the product to be registered. The evidence based on the primary and secondary endpoints of </w:t>
      </w:r>
      <w:r w:rsidR="00761A3D">
        <w:t xml:space="preserve">the </w:t>
      </w:r>
      <w:r w:rsidR="00992AE1" w:rsidRPr="00992AE1">
        <w:t xml:space="preserve">SIROCCO, CALIMA and ZONDA </w:t>
      </w:r>
      <w:r w:rsidR="00761A3D">
        <w:t>trials</w:t>
      </w:r>
      <w:r w:rsidR="00761A3D" w:rsidRPr="00992AE1">
        <w:t xml:space="preserve"> </w:t>
      </w:r>
      <w:r w:rsidR="00992AE1" w:rsidRPr="00992AE1">
        <w:t>suggest that patients with blood eosinophil count ≥</w:t>
      </w:r>
      <w:r w:rsidR="00992AE1">
        <w:t xml:space="preserve"> </w:t>
      </w:r>
      <w:proofErr w:type="gramStart"/>
      <w:r w:rsidR="00992AE1" w:rsidRPr="00992AE1">
        <w:t>300</w:t>
      </w:r>
      <w:r w:rsidR="00761A3D">
        <w:t xml:space="preserve"> </w:t>
      </w:r>
      <w:r w:rsidR="00992AE1" w:rsidRPr="00992AE1">
        <w:t>cells/µL</w:t>
      </w:r>
      <w:proofErr w:type="gramEnd"/>
      <w:r w:rsidR="00992AE1" w:rsidRPr="00992AE1">
        <w:t xml:space="preserve"> or 150 cells/µL if on chronic OCS treatment and potentially treated with Fasenra would achieve clinically meaningful treatment benefits. Hence, having the eosinophil cut-offs as a note to the indication for Fasenra will facilitate clinician</w:t>
      </w:r>
      <w:r w:rsidR="004D042E">
        <w:t>s to make an informed decision.</w:t>
      </w:r>
    </w:p>
    <w:p w14:paraId="787B924C" w14:textId="48DA741C" w:rsidR="00674F65" w:rsidRDefault="00674F65" w:rsidP="00674F65">
      <w:pPr>
        <w:pStyle w:val="Heading5"/>
      </w:pPr>
      <w:r>
        <w:t>Malignancy</w:t>
      </w:r>
    </w:p>
    <w:p w14:paraId="7FA529DD" w14:textId="1FCC2FE9" w:rsidR="00674F65" w:rsidRDefault="002A761E" w:rsidP="00992AE1">
      <w:r>
        <w:t>The Delegate</w:t>
      </w:r>
      <w:r w:rsidRPr="00992AE1">
        <w:t xml:space="preserve"> considered the sponsor’s </w:t>
      </w:r>
      <w:r>
        <w:t xml:space="preserve">response to post ACM file note and accepted </w:t>
      </w:r>
      <w:r w:rsidRPr="00992AE1">
        <w:t xml:space="preserve">the sponsor’s argument </w:t>
      </w:r>
      <w:r w:rsidRPr="002A761E">
        <w:t xml:space="preserve">that the risk of malignancy is somewhat theoretical, and that a statement under precautions is not required. However, </w:t>
      </w:r>
      <w:r>
        <w:t>the Delegate was</w:t>
      </w:r>
      <w:r w:rsidRPr="002A761E">
        <w:t xml:space="preserve"> of the opinion that prescribers need to be informed of the potential risk as there are yet no long term studies neither for this medicine or others in the class. The effect of near-complete eosinophil depletion on tumour defence is unknown. Thus, </w:t>
      </w:r>
      <w:r>
        <w:t>the Delegate</w:t>
      </w:r>
      <w:r w:rsidRPr="002A761E">
        <w:t xml:space="preserve"> propose</w:t>
      </w:r>
      <w:r>
        <w:t>d</w:t>
      </w:r>
      <w:r w:rsidRPr="002A761E">
        <w:t xml:space="preserve"> to include </w:t>
      </w:r>
      <w:r>
        <w:t>the following</w:t>
      </w:r>
      <w:r w:rsidRPr="002A761E">
        <w:t xml:space="preserve"> statement; in line with the FDA approved PI</w:t>
      </w:r>
      <w:r w:rsidR="00761A3D">
        <w:t>:</w:t>
      </w:r>
    </w:p>
    <w:p w14:paraId="09F58779" w14:textId="01B702EB" w:rsidR="00AF21C4" w:rsidRPr="00AF21C4" w:rsidRDefault="00AF21C4" w:rsidP="00AF21C4">
      <w:pPr>
        <w:ind w:left="720"/>
        <w:rPr>
          <w:i/>
        </w:rPr>
      </w:pPr>
      <w:r w:rsidRPr="00AF21C4">
        <w:rPr>
          <w:i/>
        </w:rPr>
        <w:t>Carcinogenicity</w:t>
      </w:r>
      <w:r>
        <w:rPr>
          <w:i/>
        </w:rPr>
        <w:t>/</w:t>
      </w:r>
      <w:r w:rsidRPr="00AF21C4">
        <w:rPr>
          <w:i/>
        </w:rPr>
        <w:t>Risk for malignancy</w:t>
      </w:r>
    </w:p>
    <w:p w14:paraId="2B5ADB30" w14:textId="76E96792" w:rsidR="00AF21C4" w:rsidRPr="00AF21C4" w:rsidRDefault="00AF21C4" w:rsidP="00AF21C4">
      <w:pPr>
        <w:ind w:left="720"/>
        <w:rPr>
          <w:i/>
        </w:rPr>
      </w:pPr>
      <w:r w:rsidRPr="00AF21C4">
        <w:rPr>
          <w:i/>
        </w:rPr>
        <w:t>Carcinogenicity studies have not be</w:t>
      </w:r>
      <w:r>
        <w:rPr>
          <w:i/>
        </w:rPr>
        <w:t>en conducted with benralizumab.</w:t>
      </w:r>
    </w:p>
    <w:p w14:paraId="70C3044F" w14:textId="57979D0C" w:rsidR="002A761E" w:rsidRPr="00AF21C4" w:rsidRDefault="00AF21C4" w:rsidP="00AF21C4">
      <w:pPr>
        <w:ind w:left="720"/>
        <w:rPr>
          <w:i/>
        </w:rPr>
      </w:pPr>
      <w:r w:rsidRPr="00AF21C4">
        <w:rPr>
          <w:i/>
        </w:rPr>
        <w:t>Long-term animal studies have not been performed to evaluate the carcinogenic potential of benralizumab. Published literature using animal models suggests that IL-5 and eosinophils are part of an early inflammatory reaction at the site of tumorigenesis and can promote tumour rejection. However, other reports indicate that eosinophil infiltration into tumours can promote tumour growth. Therefore, the malignancy risk in humans from an antibody that binds to IL-5Rα such as benralizumab is unknown.</w:t>
      </w:r>
    </w:p>
    <w:p w14:paraId="579E1F33" w14:textId="77777777" w:rsidR="00992AE1" w:rsidRPr="00992AE1" w:rsidRDefault="00992AE1" w:rsidP="00992AE1">
      <w:pPr>
        <w:pStyle w:val="Heading5"/>
      </w:pPr>
      <w:r w:rsidRPr="00992AE1">
        <w:lastRenderedPageBreak/>
        <w:t>Use in pregnancy</w:t>
      </w:r>
    </w:p>
    <w:p w14:paraId="681FC15D" w14:textId="58DAAA20" w:rsidR="00992AE1" w:rsidRPr="00992AE1" w:rsidRDefault="00827281" w:rsidP="00992AE1">
      <w:r>
        <w:t xml:space="preserve">The </w:t>
      </w:r>
      <w:r w:rsidR="00CF0D26">
        <w:t>Delegate</w:t>
      </w:r>
      <w:r w:rsidR="00992AE1" w:rsidRPr="00992AE1">
        <w:t xml:space="preserve"> considered the sponsor’s </w:t>
      </w:r>
      <w:r w:rsidR="00992AE1">
        <w:t>response to post ACM file note</w:t>
      </w:r>
      <w:r>
        <w:t xml:space="preserve"> and accepted </w:t>
      </w:r>
      <w:r w:rsidR="00992AE1" w:rsidRPr="00992AE1">
        <w:t xml:space="preserve">the sponsor’s argument that even though there is evidence of eosinophil depletion in off spring, the impact of that on the infant’s immune system is unknown. The Australian categorisation system is based upon level of evidence. A B1 </w:t>
      </w:r>
      <w:r w:rsidR="00761A3D">
        <w:t>c</w:t>
      </w:r>
      <w:r w:rsidR="00761A3D" w:rsidRPr="00992AE1">
        <w:t>ategory</w:t>
      </w:r>
      <w:proofErr w:type="gramStart"/>
      <w:r w:rsidR="00761A3D">
        <w:t>;</w:t>
      </w:r>
      <w:proofErr w:type="gramEnd"/>
      <w:r w:rsidR="00761A3D" w:rsidRPr="00761A3D">
        <w:rPr>
          <w:vertAlign w:val="superscript"/>
        </w:rPr>
        <w:fldChar w:fldCharType="begin"/>
      </w:r>
      <w:r w:rsidR="00761A3D" w:rsidRPr="00761A3D">
        <w:rPr>
          <w:vertAlign w:val="superscript"/>
        </w:rPr>
        <w:instrText xml:space="preserve"> NOTEREF _Ref1235215 \h </w:instrText>
      </w:r>
      <w:r w:rsidR="00761A3D">
        <w:rPr>
          <w:vertAlign w:val="superscript"/>
        </w:rPr>
        <w:instrText xml:space="preserve"> \* MERGEFORMAT </w:instrText>
      </w:r>
      <w:r w:rsidR="00761A3D" w:rsidRPr="00761A3D">
        <w:rPr>
          <w:vertAlign w:val="superscript"/>
        </w:rPr>
      </w:r>
      <w:r w:rsidR="00761A3D" w:rsidRPr="00761A3D">
        <w:rPr>
          <w:vertAlign w:val="superscript"/>
        </w:rPr>
        <w:fldChar w:fldCharType="separate"/>
      </w:r>
      <w:r w:rsidR="00761A3D" w:rsidRPr="00761A3D">
        <w:rPr>
          <w:vertAlign w:val="superscript"/>
        </w:rPr>
        <w:t>8</w:t>
      </w:r>
      <w:r w:rsidR="00761A3D" w:rsidRPr="00761A3D">
        <w:rPr>
          <w:vertAlign w:val="superscript"/>
        </w:rPr>
        <w:fldChar w:fldCharType="end"/>
      </w:r>
      <w:r w:rsidR="00992AE1" w:rsidRPr="00992AE1">
        <w:t xml:space="preserve"> does not imply greater safety than a C category</w:t>
      </w:r>
      <w:r w:rsidR="00761A3D">
        <w:t>;</w:t>
      </w:r>
      <w:r w:rsidR="00761A3D" w:rsidRPr="00761A3D">
        <w:rPr>
          <w:vertAlign w:val="superscript"/>
        </w:rPr>
        <w:fldChar w:fldCharType="begin"/>
      </w:r>
      <w:r w:rsidR="00761A3D" w:rsidRPr="00761A3D">
        <w:rPr>
          <w:vertAlign w:val="superscript"/>
        </w:rPr>
        <w:instrText xml:space="preserve"> NOTEREF _Ref1563665 \h </w:instrText>
      </w:r>
      <w:r w:rsidR="00761A3D">
        <w:rPr>
          <w:vertAlign w:val="superscript"/>
        </w:rPr>
        <w:instrText xml:space="preserve"> \* MERGEFORMAT </w:instrText>
      </w:r>
      <w:r w:rsidR="00761A3D" w:rsidRPr="00761A3D">
        <w:rPr>
          <w:vertAlign w:val="superscript"/>
        </w:rPr>
      </w:r>
      <w:r w:rsidR="00761A3D" w:rsidRPr="00761A3D">
        <w:rPr>
          <w:vertAlign w:val="superscript"/>
        </w:rPr>
        <w:fldChar w:fldCharType="separate"/>
      </w:r>
      <w:r w:rsidR="00761A3D" w:rsidRPr="00761A3D">
        <w:rPr>
          <w:vertAlign w:val="superscript"/>
        </w:rPr>
        <w:t>9</w:t>
      </w:r>
      <w:r w:rsidR="00761A3D" w:rsidRPr="00761A3D">
        <w:rPr>
          <w:vertAlign w:val="superscript"/>
        </w:rPr>
        <w:fldChar w:fldCharType="end"/>
      </w:r>
      <w:r w:rsidR="00992AE1" w:rsidRPr="00992AE1">
        <w:t xml:space="preserve"> and also, human data is lacking for drugs in the B1, B2 and B3 categories.</w:t>
      </w:r>
    </w:p>
    <w:p w14:paraId="254A04D2" w14:textId="77777777" w:rsidR="00992AE1" w:rsidRDefault="00992AE1" w:rsidP="00992AE1">
      <w:r w:rsidRPr="00992AE1">
        <w:t xml:space="preserve">Taking all these aspects in to consideration and to be consistent with other agents in this class, </w:t>
      </w:r>
      <w:r w:rsidR="00827281">
        <w:t xml:space="preserve">the </w:t>
      </w:r>
      <w:r w:rsidR="00CF0D26">
        <w:t>Delegate</w:t>
      </w:r>
      <w:r w:rsidRPr="00992AE1">
        <w:t xml:space="preserve"> accept</w:t>
      </w:r>
      <w:r w:rsidR="00827281">
        <w:t>ed</w:t>
      </w:r>
      <w:r w:rsidRPr="00992AE1">
        <w:t xml:space="preserve"> the sponsor’s proposed category B1 for pregnancy.</w:t>
      </w:r>
    </w:p>
    <w:p w14:paraId="4D589E8E" w14:textId="57BD666A" w:rsidR="00E703D4" w:rsidRDefault="00E703D4" w:rsidP="00E703D4">
      <w:pPr>
        <w:pStyle w:val="Heading5"/>
      </w:pPr>
      <w:r>
        <w:t>Other</w:t>
      </w:r>
      <w:r w:rsidR="00761A3D">
        <w:t xml:space="preserve"> issues</w:t>
      </w:r>
    </w:p>
    <w:p w14:paraId="353042C9" w14:textId="660F5B89" w:rsidR="0047386F" w:rsidRDefault="00992AE1" w:rsidP="00992AE1">
      <w:r>
        <w:t xml:space="preserve">Further comments were made by the </w:t>
      </w:r>
      <w:r w:rsidR="00CF0D26">
        <w:t>Delegate</w:t>
      </w:r>
      <w:r>
        <w:t xml:space="preserve"> with regard to PI</w:t>
      </w:r>
      <w:r w:rsidR="006F743D">
        <w:t xml:space="preserve"> and </w:t>
      </w:r>
      <w:r w:rsidR="0047386F">
        <w:t>CMI</w:t>
      </w:r>
      <w:r w:rsidR="00E703D4">
        <w:t xml:space="preserve"> </w:t>
      </w:r>
      <w:r w:rsidR="008478FC">
        <w:t xml:space="preserve">amendments </w:t>
      </w:r>
      <w:r>
        <w:t>but these are beyond the scope of the AusPAR.</w:t>
      </w:r>
    </w:p>
    <w:p w14:paraId="177EE539" w14:textId="180ED3B7" w:rsidR="0047386F" w:rsidRPr="006738E7" w:rsidRDefault="0047386F" w:rsidP="0047386F">
      <w:pPr>
        <w:pStyle w:val="Heading4"/>
      </w:pPr>
      <w:r>
        <w:t xml:space="preserve">Further communication from </w:t>
      </w:r>
      <w:r w:rsidR="00761A3D">
        <w:t>s</w:t>
      </w:r>
      <w:r>
        <w:t>ponsor dated 20 March 2018</w:t>
      </w:r>
    </w:p>
    <w:p w14:paraId="0340DCCC" w14:textId="501C28F6" w:rsidR="007D05A0" w:rsidRPr="007D05A0" w:rsidRDefault="007D05A0" w:rsidP="00761A3D">
      <w:pPr>
        <w:pStyle w:val="Heading5"/>
      </w:pPr>
      <w:r w:rsidRPr="007D05A0">
        <w:t>Indication and associate note for clarification</w:t>
      </w:r>
    </w:p>
    <w:p w14:paraId="783EB283" w14:textId="2CB13A1C" w:rsidR="007D05A0" w:rsidRDefault="0060395A" w:rsidP="007D05A0">
      <w:pPr>
        <w:pStyle w:val="ListBullet"/>
      </w:pPr>
      <w:r>
        <w:t>The sponsor</w:t>
      </w:r>
      <w:r w:rsidR="007D05A0">
        <w:t xml:space="preserve"> accept</w:t>
      </w:r>
      <w:r w:rsidR="00F12E7F">
        <w:t>ed</w:t>
      </w:r>
      <w:r w:rsidR="007D05A0">
        <w:t xml:space="preserve"> the modifications to the first sentence of the </w:t>
      </w:r>
      <w:proofErr w:type="gramStart"/>
      <w:r w:rsidR="007D05A0">
        <w:t>indication,</w:t>
      </w:r>
      <w:proofErr w:type="gramEnd"/>
      <w:r w:rsidR="007D05A0">
        <w:t xml:space="preserve"> however </w:t>
      </w:r>
      <w:r>
        <w:t>the sponsor</w:t>
      </w:r>
      <w:r w:rsidR="007D05A0">
        <w:t xml:space="preserve"> propos</w:t>
      </w:r>
      <w:r>
        <w:t>ed</w:t>
      </w:r>
      <w:r w:rsidR="007D05A0">
        <w:t xml:space="preserve"> amendments to the new </w:t>
      </w:r>
      <w:r w:rsidR="00761A3D">
        <w:t>‘</w:t>
      </w:r>
      <w:r w:rsidR="007D05A0">
        <w:t>Note to indication</w:t>
      </w:r>
      <w:r w:rsidR="00761A3D">
        <w:t>’</w:t>
      </w:r>
      <w:r w:rsidR="007D05A0">
        <w:t xml:space="preserve"> text requested by the Delegate.</w:t>
      </w:r>
    </w:p>
    <w:p w14:paraId="068B7218" w14:textId="0020C111" w:rsidR="007D05A0" w:rsidRDefault="007D05A0" w:rsidP="007D05A0">
      <w:pPr>
        <w:pStyle w:val="ListBullet"/>
      </w:pPr>
      <w:r>
        <w:t xml:space="preserve">As discussed, </w:t>
      </w:r>
      <w:r w:rsidR="0060395A">
        <w:t>the sponsor ha</w:t>
      </w:r>
      <w:r w:rsidR="00F12E7F">
        <w:t>d</w:t>
      </w:r>
      <w:r>
        <w:t xml:space="preserve"> concerns with the term “defined” within the Delegate’s proposed text</w:t>
      </w:r>
      <w:r w:rsidR="00D771D3">
        <w:t>.</w:t>
      </w:r>
      <w:r>
        <w:t xml:space="preserve"> This implies that a set definition for eosinophilic asthma was used within our clinical trials, rather than an arbitrary threshold used in the case of </w:t>
      </w:r>
      <w:r w:rsidR="00761A3D">
        <w:t xml:space="preserve">the </w:t>
      </w:r>
      <w:r>
        <w:t>SIROCCO/CALIMA</w:t>
      </w:r>
      <w:r w:rsidR="00761A3D">
        <w:t xml:space="preserve"> trials</w:t>
      </w:r>
      <w:r>
        <w:t xml:space="preserve"> to enrich the primary analysis populations with patients more likely to have an eosinophilic phenotype. It also implies that patients below this threshold did not have severe asthma with an eosinophilic phenotype, which is also incorrect as patients below 300 do show an efficacy benefit with Fasenra (as per PI Fig</w:t>
      </w:r>
      <w:r w:rsidR="00761A3D">
        <w:t>ure</w:t>
      </w:r>
      <w:r>
        <w:t xml:space="preserve"> 2</w:t>
      </w:r>
      <w:r w:rsidR="00761A3D">
        <w:t>,</w:t>
      </w:r>
      <w:r>
        <w:t xml:space="preserve"> FAS population eosinophil ranges forest plot for primary endpoint). However, </w:t>
      </w:r>
      <w:r w:rsidR="0060395A">
        <w:t>the sponsor</w:t>
      </w:r>
      <w:r>
        <w:t xml:space="preserve"> acknowledge</w:t>
      </w:r>
      <w:r w:rsidR="00F12E7F">
        <w:t>d</w:t>
      </w:r>
      <w:r>
        <w:t xml:space="preserve"> that higher baseline eosinophil counts are a potential predictor of improved treatment response. This is why </w:t>
      </w:r>
      <w:r w:rsidR="0060395A">
        <w:t>the sponsor</w:t>
      </w:r>
      <w:r>
        <w:t xml:space="preserve"> ha</w:t>
      </w:r>
      <w:r w:rsidR="0060395A">
        <w:t>s</w:t>
      </w:r>
      <w:r>
        <w:t xml:space="preserve"> stated this quite clearly within the clinical trials section in the text accompanying Fig</w:t>
      </w:r>
      <w:r w:rsidR="00761A3D">
        <w:t>ure</w:t>
      </w:r>
      <w:r>
        <w:t xml:space="preserve"> 2.</w:t>
      </w:r>
    </w:p>
    <w:p w14:paraId="35431F95" w14:textId="7A9D2012" w:rsidR="007D05A0" w:rsidRDefault="0060395A" w:rsidP="007D05A0">
      <w:pPr>
        <w:pStyle w:val="ListBullet"/>
        <w:numPr>
          <w:ilvl w:val="0"/>
          <w:numId w:val="37"/>
        </w:numPr>
      </w:pPr>
      <w:r>
        <w:t>The sponsor</w:t>
      </w:r>
      <w:r w:rsidR="007D05A0">
        <w:t xml:space="preserve"> therefore propose</w:t>
      </w:r>
      <w:r w:rsidR="00F12E7F">
        <w:t>d</w:t>
      </w:r>
      <w:r w:rsidR="007D05A0">
        <w:t xml:space="preserve"> to modify the text to make it clear that these were the thresholds used for the primary analyses within out trials (not the FAS) and that other analyses were also conducted. </w:t>
      </w:r>
      <w:r>
        <w:t>The sponsor</w:t>
      </w:r>
      <w:r w:rsidR="007D05A0">
        <w:t xml:space="preserve"> wish</w:t>
      </w:r>
      <w:r>
        <w:t>es</w:t>
      </w:r>
      <w:r w:rsidR="007D05A0">
        <w:t xml:space="preserve"> to retain a cross‐reference to the later </w:t>
      </w:r>
      <w:r w:rsidR="00D771D3">
        <w:t xml:space="preserve">clinical trials </w:t>
      </w:r>
      <w:r w:rsidR="007D05A0">
        <w:t>section with a hyperlink to facilitate ease of access to a physician who may prefer additional information in order to make the best decision for their patients. The following text is proposed:</w:t>
      </w:r>
    </w:p>
    <w:p w14:paraId="23A7C5AE" w14:textId="693B36B4" w:rsidR="005C2BCB" w:rsidRPr="007D05A0" w:rsidRDefault="007D05A0" w:rsidP="007D05A0">
      <w:pPr>
        <w:ind w:left="720"/>
        <w:rPr>
          <w:i/>
        </w:rPr>
      </w:pPr>
      <w:r w:rsidRPr="007D05A0">
        <w:rPr>
          <w:i/>
        </w:rPr>
        <w:t>In clinical trials, primary analyses were conducted on patients with a blood eosinophil count threshold of ≥300 cells/</w:t>
      </w:r>
      <w:r w:rsidR="00761A3D" w:rsidRPr="00761A3D">
        <w:rPr>
          <w:i/>
        </w:rPr>
        <w:t>µ</w:t>
      </w:r>
      <w:r w:rsidRPr="007D05A0">
        <w:rPr>
          <w:i/>
        </w:rPr>
        <w:t>L or ≥150 cells</w:t>
      </w:r>
      <w:r w:rsidRPr="00761A3D">
        <w:rPr>
          <w:i/>
        </w:rPr>
        <w:t>/</w:t>
      </w:r>
      <w:r w:rsidR="00761A3D" w:rsidRPr="00761A3D">
        <w:rPr>
          <w:i/>
        </w:rPr>
        <w:t>µ</w:t>
      </w:r>
      <w:r w:rsidRPr="007D05A0">
        <w:rPr>
          <w:i/>
        </w:rPr>
        <w:t>L if on oral corticosteroid treatment; additional analyses were conducted with other blood eosinophil count thresholds. See Section 5.1 [Clinical Trials].</w:t>
      </w:r>
    </w:p>
    <w:p w14:paraId="1916239B" w14:textId="648A5C0F" w:rsidR="00E703D4" w:rsidRPr="00E703D4" w:rsidRDefault="00E703D4" w:rsidP="00761A3D">
      <w:pPr>
        <w:pStyle w:val="Heading5"/>
      </w:pPr>
      <w:r w:rsidRPr="00E703D4">
        <w:t xml:space="preserve">Product </w:t>
      </w:r>
      <w:r w:rsidR="0039213E">
        <w:t>i</w:t>
      </w:r>
      <w:r w:rsidRPr="00E703D4">
        <w:t>nformation</w:t>
      </w:r>
    </w:p>
    <w:p w14:paraId="04A3053C" w14:textId="1FAE8084" w:rsidR="00E703D4" w:rsidRDefault="00E703D4" w:rsidP="00761A3D">
      <w:pPr>
        <w:pStyle w:val="ListBullet"/>
      </w:pPr>
      <w:r>
        <w:t xml:space="preserve">Section 5.3 ‐ Preclinical safety data/Carcinogenicity/Risk for malignancy: inclusion of the US malignancy class labelling text was accepted by the </w:t>
      </w:r>
      <w:r w:rsidR="00761A3D">
        <w:t xml:space="preserve">sponsor </w:t>
      </w:r>
      <w:r>
        <w:t>as an imposition</w:t>
      </w:r>
      <w:r w:rsidR="00761A3D">
        <w:t>.</w:t>
      </w:r>
    </w:p>
    <w:p w14:paraId="2911F94D" w14:textId="04851BBA" w:rsidR="0047386F" w:rsidRDefault="0047386F" w:rsidP="00761A3D">
      <w:pPr>
        <w:pStyle w:val="ListBullet"/>
      </w:pPr>
      <w:r>
        <w:t xml:space="preserve">Further comments were made by the </w:t>
      </w:r>
      <w:r w:rsidR="00761A3D">
        <w:t xml:space="preserve">sponsor </w:t>
      </w:r>
      <w:r>
        <w:t>with regard to changing text in the PI/CMI but these are beyond the scope of the AusPAR.</w:t>
      </w:r>
    </w:p>
    <w:p w14:paraId="7657726F" w14:textId="6C39471D" w:rsidR="00A6635B" w:rsidRDefault="00A6635B" w:rsidP="00A6635B">
      <w:pPr>
        <w:pStyle w:val="Heading4"/>
      </w:pPr>
      <w:r>
        <w:lastRenderedPageBreak/>
        <w:t xml:space="preserve">Further communication from </w:t>
      </w:r>
      <w:r w:rsidR="0039213E">
        <w:t>d</w:t>
      </w:r>
      <w:r w:rsidR="00CF0D26">
        <w:t>elegate</w:t>
      </w:r>
      <w:r>
        <w:t xml:space="preserve"> dated 26 March 2018</w:t>
      </w:r>
    </w:p>
    <w:p w14:paraId="3913BA55" w14:textId="5D0F4F30" w:rsidR="0047386F" w:rsidRDefault="00581777" w:rsidP="00581777">
      <w:r>
        <w:t xml:space="preserve">The TGA reconsidered the indication based </w:t>
      </w:r>
      <w:r w:rsidR="0047386F">
        <w:t xml:space="preserve">on </w:t>
      </w:r>
      <w:r w:rsidR="00761A3D">
        <w:t>the sponsor’s</w:t>
      </w:r>
      <w:r w:rsidR="0047386F">
        <w:t xml:space="preserve"> </w:t>
      </w:r>
      <w:r w:rsidR="00E324BE">
        <w:t>communication</w:t>
      </w:r>
      <w:r w:rsidR="0047386F">
        <w:t xml:space="preserve"> </w:t>
      </w:r>
      <w:r w:rsidR="00E324BE">
        <w:t>o</w:t>
      </w:r>
      <w:r w:rsidR="00AA6579">
        <w:t>f</w:t>
      </w:r>
      <w:r w:rsidR="0047386F">
        <w:t xml:space="preserve"> the 20</w:t>
      </w:r>
      <w:r w:rsidR="00AA6579">
        <w:rPr>
          <w:vertAlign w:val="superscript"/>
        </w:rPr>
        <w:t> </w:t>
      </w:r>
      <w:r w:rsidR="0047386F">
        <w:t xml:space="preserve">March 2018. </w:t>
      </w:r>
      <w:r>
        <w:t xml:space="preserve">The </w:t>
      </w:r>
      <w:r w:rsidR="00D771D3">
        <w:t xml:space="preserve">TGA was of the view that the </w:t>
      </w:r>
      <w:r>
        <w:t xml:space="preserve">indication needs to be specific and </w:t>
      </w:r>
      <w:r w:rsidR="00D771D3">
        <w:t xml:space="preserve">after further internal consultation the </w:t>
      </w:r>
      <w:r w:rsidR="0060395A">
        <w:t>‘</w:t>
      </w:r>
      <w:r>
        <w:t>note</w:t>
      </w:r>
      <w:r w:rsidR="00D771D3">
        <w:t xml:space="preserve"> </w:t>
      </w:r>
      <w:r w:rsidR="0060395A">
        <w:t>to indication’</w:t>
      </w:r>
      <w:r>
        <w:t xml:space="preserve"> may be seen as</w:t>
      </w:r>
      <w:r w:rsidR="0047386F">
        <w:t xml:space="preserve"> </w:t>
      </w:r>
      <w:r>
        <w:t>ambiguous in the definition of eosinophilic asthma.</w:t>
      </w:r>
    </w:p>
    <w:p w14:paraId="13CDFE71" w14:textId="752BBF3F" w:rsidR="00A6635B" w:rsidRPr="00A6635B" w:rsidRDefault="00D771D3" w:rsidP="00581777">
      <w:r>
        <w:t>The TGA</w:t>
      </w:r>
      <w:r w:rsidR="00AA6579">
        <w:t xml:space="preserve"> </w:t>
      </w:r>
      <w:r w:rsidR="00A6635B" w:rsidRPr="00A6635B">
        <w:t xml:space="preserve">consulted </w:t>
      </w:r>
      <w:r w:rsidR="00C43D5F">
        <w:t>a</w:t>
      </w:r>
      <w:r w:rsidR="00A6635B" w:rsidRPr="00A6635B">
        <w:t xml:space="preserve"> respiratory specialist</w:t>
      </w:r>
      <w:r w:rsidR="00A6635B">
        <w:t xml:space="preserve"> who has</w:t>
      </w:r>
      <w:r w:rsidR="00A6635B" w:rsidRPr="00A6635B">
        <w:t xml:space="preserve"> informed us that the diagnosis</w:t>
      </w:r>
      <w:r w:rsidR="00A6635B">
        <w:t xml:space="preserve"> </w:t>
      </w:r>
      <w:r w:rsidR="00A6635B" w:rsidRPr="00A6635B">
        <w:t>of eosinophilic asthma was based on reversible airway obstruction and eosinophilia, a</w:t>
      </w:r>
      <w:r w:rsidR="00A6635B">
        <w:t xml:space="preserve">nd that in general a cut-off </w:t>
      </w:r>
      <w:proofErr w:type="gramStart"/>
      <w:r w:rsidR="00A6635B">
        <w:t xml:space="preserve">of </w:t>
      </w:r>
      <w:r w:rsidR="00A6635B" w:rsidRPr="00A6635B">
        <w:t>300 cells/</w:t>
      </w:r>
      <w:r w:rsidR="00761A3D">
        <w:t>µ</w:t>
      </w:r>
      <w:r w:rsidR="00A6635B" w:rsidRPr="00A6635B">
        <w:t>L</w:t>
      </w:r>
      <w:proofErr w:type="gramEnd"/>
      <w:r w:rsidR="00A6635B" w:rsidRPr="00A6635B">
        <w:t xml:space="preserve"> was used. </w:t>
      </w:r>
      <w:r w:rsidR="00A6635B">
        <w:t xml:space="preserve">The </w:t>
      </w:r>
      <w:r w:rsidR="00C43D5F">
        <w:t>specialist</w:t>
      </w:r>
      <w:r w:rsidR="00A6635B" w:rsidRPr="00A6635B">
        <w:t xml:space="preserve"> considered that it was important to include a cut off level i</w:t>
      </w:r>
      <w:r w:rsidR="00A6635B">
        <w:t xml:space="preserve">n the indication. This would be </w:t>
      </w:r>
      <w:r w:rsidR="00A6635B" w:rsidRPr="00A6635B">
        <w:t>consistent with the most recent</w:t>
      </w:r>
      <w:r w:rsidR="00A6635B">
        <w:t>ly approved drug of this class</w:t>
      </w:r>
      <w:r w:rsidR="00A6635B" w:rsidRPr="00A6635B">
        <w:t xml:space="preserve"> reslizumab.</w:t>
      </w:r>
    </w:p>
    <w:p w14:paraId="60A7011A" w14:textId="10C1C83E" w:rsidR="00A6635B" w:rsidRDefault="00A8038A" w:rsidP="00A6635B">
      <w:r>
        <w:t>The TGA</w:t>
      </w:r>
      <w:r w:rsidRPr="00A6635B">
        <w:t xml:space="preserve"> </w:t>
      </w:r>
      <w:r w:rsidR="00A6635B" w:rsidRPr="00A6635B">
        <w:t>would prefer to avoid the word ‘phenotype’ as it is a term used to define the clinica</w:t>
      </w:r>
      <w:r w:rsidR="00A6635B">
        <w:t xml:space="preserve">l features of a genotype, which </w:t>
      </w:r>
      <w:r w:rsidR="00A6635B" w:rsidRPr="00A6635B">
        <w:t>is not appropriate for this condition.</w:t>
      </w:r>
    </w:p>
    <w:p w14:paraId="01E22A4D" w14:textId="77777777" w:rsidR="00A6635B" w:rsidRDefault="00A6635B" w:rsidP="00A6635B">
      <w:r>
        <w:t>The revised proposed wording for the indication is:</w:t>
      </w:r>
    </w:p>
    <w:p w14:paraId="5C7D7602" w14:textId="40C2C1F1" w:rsidR="00A6635B" w:rsidRDefault="00A6635B" w:rsidP="00A6635B">
      <w:pPr>
        <w:ind w:left="720"/>
        <w:rPr>
          <w:i/>
        </w:rPr>
      </w:pPr>
      <w:r w:rsidRPr="005A5085">
        <w:rPr>
          <w:i/>
        </w:rPr>
        <w:t xml:space="preserve">Fasenra is indicated as add-on </w:t>
      </w:r>
      <w:proofErr w:type="gramStart"/>
      <w:r w:rsidRPr="005A5085">
        <w:rPr>
          <w:i/>
        </w:rPr>
        <w:t xml:space="preserve">therapy in patients aged 12 years and over with severe eosinophilic asthma (blood eosinophil count </w:t>
      </w:r>
      <w:r>
        <w:rPr>
          <w:i/>
        </w:rPr>
        <w:t xml:space="preserve">≥ </w:t>
      </w:r>
      <w:r w:rsidRPr="005A5085">
        <w:rPr>
          <w:i/>
        </w:rPr>
        <w:t>300 cells/</w:t>
      </w:r>
      <w:r w:rsidR="00761A3D" w:rsidRPr="00761A3D">
        <w:rPr>
          <w:i/>
        </w:rPr>
        <w:t>µ</w:t>
      </w:r>
      <w:r w:rsidRPr="005A5085">
        <w:rPr>
          <w:i/>
        </w:rPr>
        <w:t xml:space="preserve">L or </w:t>
      </w:r>
      <w:r>
        <w:rPr>
          <w:i/>
        </w:rPr>
        <w:t>≥</w:t>
      </w:r>
      <w:r w:rsidR="00761A3D">
        <w:rPr>
          <w:i/>
        </w:rPr>
        <w:t> </w:t>
      </w:r>
      <w:r w:rsidR="00E53A6B">
        <w:rPr>
          <w:i/>
        </w:rPr>
        <w:t>1</w:t>
      </w:r>
      <w:r w:rsidRPr="005A5085">
        <w:rPr>
          <w:i/>
        </w:rPr>
        <w:t>50</w:t>
      </w:r>
      <w:r w:rsidR="00761A3D">
        <w:rPr>
          <w:i/>
        </w:rPr>
        <w:t> </w:t>
      </w:r>
      <w:r w:rsidRPr="005A5085">
        <w:rPr>
          <w:i/>
        </w:rPr>
        <w:t>cells/</w:t>
      </w:r>
      <w:r w:rsidR="00761A3D" w:rsidRPr="00761A3D">
        <w:rPr>
          <w:i/>
        </w:rPr>
        <w:t>µ</w:t>
      </w:r>
      <w:r w:rsidRPr="005A5085">
        <w:rPr>
          <w:i/>
        </w:rPr>
        <w:t>L if on oral corticosteroid treatment) (see</w:t>
      </w:r>
      <w:proofErr w:type="gramEnd"/>
      <w:r w:rsidRPr="005A5085">
        <w:rPr>
          <w:i/>
        </w:rPr>
        <w:t xml:space="preserve"> Section 5.1 [Clinical Trials]).</w:t>
      </w:r>
    </w:p>
    <w:p w14:paraId="501CD501" w14:textId="0B7FCA6D" w:rsidR="0047386F" w:rsidRPr="00A6635B" w:rsidRDefault="0047386F" w:rsidP="0047386F">
      <w:r>
        <w:t>Further comments were made by the TGA with regard to changing text in the PI/CMI but these are beyond the scope of the AusPAR.</w:t>
      </w:r>
    </w:p>
    <w:p w14:paraId="542500BF" w14:textId="77777777" w:rsidR="00827281" w:rsidRDefault="00827281" w:rsidP="00A6635B">
      <w:pPr>
        <w:pStyle w:val="Heading4"/>
      </w:pPr>
      <w:r>
        <w:t xml:space="preserve">Sponsor response </w:t>
      </w:r>
      <w:r w:rsidR="00A6635B">
        <w:t>dated 27 March 2018</w:t>
      </w:r>
    </w:p>
    <w:p w14:paraId="613B8507" w14:textId="1E277928" w:rsidR="007D05A0" w:rsidRDefault="00A6635B" w:rsidP="007D05A0">
      <w:r>
        <w:t>The sponsor</w:t>
      </w:r>
      <w:r w:rsidR="00761A3D">
        <w:t>,</w:t>
      </w:r>
      <w:r>
        <w:t xml:space="preserve"> in communication to the TGA</w:t>
      </w:r>
      <w:r w:rsidR="00761A3D">
        <w:t>,</w:t>
      </w:r>
      <w:r>
        <w:t xml:space="preserve"> accepted the </w:t>
      </w:r>
      <w:r w:rsidR="00CF0D26">
        <w:t>Delegate</w:t>
      </w:r>
      <w:r>
        <w:t>’s revised recommended indication.</w:t>
      </w:r>
    </w:p>
    <w:p w14:paraId="03DE8F99" w14:textId="77777777" w:rsidR="008E7846" w:rsidRPr="002E238E" w:rsidRDefault="008E7846" w:rsidP="005C2BCB">
      <w:pPr>
        <w:pStyle w:val="Heading3"/>
      </w:pPr>
      <w:bookmarkStart w:id="242" w:name="_Toc1653607"/>
      <w:r>
        <w:t>Outcome</w:t>
      </w:r>
      <w:bookmarkEnd w:id="240"/>
      <w:bookmarkEnd w:id="241"/>
      <w:bookmarkEnd w:id="242"/>
    </w:p>
    <w:p w14:paraId="0C379C87" w14:textId="77777777" w:rsidR="00D23139" w:rsidRPr="00D23139" w:rsidRDefault="00D23139" w:rsidP="00D23139">
      <w:bookmarkStart w:id="243" w:name="_Toc247691533"/>
      <w:bookmarkStart w:id="244" w:name="_Toc314842517"/>
      <w:r w:rsidRPr="00D23139">
        <w:t xml:space="preserve">Based on a review of quality, safety and efficacy, TGA approved the registration of </w:t>
      </w:r>
      <w:r w:rsidR="005A5085">
        <w:t>Fasenra benralizumab 30 mg in 1 mL solution for injection prefilled syringe</w:t>
      </w:r>
      <w:r w:rsidRPr="00D23139">
        <w:t>, indicated for:</w:t>
      </w:r>
    </w:p>
    <w:p w14:paraId="4C7CA682" w14:textId="35ED6C73" w:rsidR="00D23139" w:rsidRPr="005A5085" w:rsidRDefault="005A5085" w:rsidP="005A5085">
      <w:pPr>
        <w:ind w:left="720"/>
        <w:rPr>
          <w:i/>
        </w:rPr>
      </w:pPr>
      <w:r w:rsidRPr="005A5085">
        <w:rPr>
          <w:i/>
        </w:rPr>
        <w:t xml:space="preserve">Fasenra is indicated as add-on </w:t>
      </w:r>
      <w:proofErr w:type="gramStart"/>
      <w:r w:rsidRPr="005A5085">
        <w:rPr>
          <w:i/>
        </w:rPr>
        <w:t xml:space="preserve">therapy in patients aged 12 years and over with severe eosinophilic asthma (blood eosinophil </w:t>
      </w:r>
      <w:r w:rsidRPr="00761A3D">
        <w:rPr>
          <w:i/>
        </w:rPr>
        <w:t xml:space="preserve">count </w:t>
      </w:r>
      <w:r w:rsidR="007504A5" w:rsidRPr="00761A3D">
        <w:rPr>
          <w:i/>
        </w:rPr>
        <w:t xml:space="preserve">≥ </w:t>
      </w:r>
      <w:r w:rsidRPr="00761A3D">
        <w:rPr>
          <w:i/>
        </w:rPr>
        <w:t>300 cells/</w:t>
      </w:r>
      <w:r w:rsidR="00761A3D" w:rsidRPr="00761A3D">
        <w:rPr>
          <w:i/>
        </w:rPr>
        <w:t>µ</w:t>
      </w:r>
      <w:r w:rsidRPr="00761A3D">
        <w:rPr>
          <w:i/>
        </w:rPr>
        <w:t xml:space="preserve">L or </w:t>
      </w:r>
      <w:r w:rsidR="007504A5" w:rsidRPr="00761A3D">
        <w:rPr>
          <w:i/>
        </w:rPr>
        <w:t>≥</w:t>
      </w:r>
      <w:r w:rsidR="00761A3D">
        <w:rPr>
          <w:i/>
        </w:rPr>
        <w:t> </w:t>
      </w:r>
      <w:r w:rsidR="00486984" w:rsidRPr="00761A3D">
        <w:rPr>
          <w:i/>
        </w:rPr>
        <w:t>1</w:t>
      </w:r>
      <w:r w:rsidRPr="00761A3D">
        <w:rPr>
          <w:i/>
        </w:rPr>
        <w:t>50</w:t>
      </w:r>
      <w:r w:rsidR="00761A3D">
        <w:rPr>
          <w:i/>
        </w:rPr>
        <w:t> </w:t>
      </w:r>
      <w:r w:rsidRPr="00761A3D">
        <w:rPr>
          <w:i/>
        </w:rPr>
        <w:t>cells/</w:t>
      </w:r>
      <w:r w:rsidR="00761A3D" w:rsidRPr="00761A3D">
        <w:rPr>
          <w:i/>
        </w:rPr>
        <w:t>µ</w:t>
      </w:r>
      <w:r w:rsidRPr="00761A3D">
        <w:rPr>
          <w:i/>
        </w:rPr>
        <w:t>L if on oral corticosteroid treatment) (see</w:t>
      </w:r>
      <w:proofErr w:type="gramEnd"/>
      <w:r w:rsidRPr="00761A3D">
        <w:rPr>
          <w:i/>
        </w:rPr>
        <w:t xml:space="preserve"> S</w:t>
      </w:r>
      <w:r w:rsidRPr="005A5085">
        <w:rPr>
          <w:i/>
        </w:rPr>
        <w:t>ection 5.1 [Clinical Trials]).</w:t>
      </w:r>
    </w:p>
    <w:p w14:paraId="650C9D4B" w14:textId="77777777" w:rsidR="00D23139" w:rsidRDefault="00D23139" w:rsidP="00D23139">
      <w:pPr>
        <w:pStyle w:val="Heading4"/>
      </w:pPr>
      <w:r w:rsidRPr="00D23139">
        <w:t>Specific conditions of registration applying to these goods</w:t>
      </w:r>
    </w:p>
    <w:p w14:paraId="2FFB3ECF" w14:textId="77777777" w:rsidR="005A5085" w:rsidRPr="005A5085" w:rsidRDefault="00E14798" w:rsidP="005A5085">
      <w:pPr>
        <w:pStyle w:val="ListBullet"/>
      </w:pPr>
      <w:r>
        <w:t>Fasenra</w:t>
      </w:r>
      <w:r w:rsidR="005A5085" w:rsidRPr="005A5085">
        <w:t xml:space="preserve"> benralizumab is to be included in the Black Triangle Scheme. The PI and CMI</w:t>
      </w:r>
      <w:r w:rsidR="005A5085">
        <w:t xml:space="preserve"> </w:t>
      </w:r>
      <w:r w:rsidR="005A5085" w:rsidRPr="005A5085">
        <w:t xml:space="preserve">for </w:t>
      </w:r>
      <w:r>
        <w:t>Fasenra</w:t>
      </w:r>
      <w:r w:rsidR="005A5085" w:rsidRPr="005A5085">
        <w:t xml:space="preserve"> must include the black triangle symbol </w:t>
      </w:r>
      <w:r w:rsidR="005A5085">
        <w:t xml:space="preserve">and mandatory accompanying text </w:t>
      </w:r>
      <w:r w:rsidR="005A5085" w:rsidRPr="005A5085">
        <w:t>for five years, which starts from the date that the sponso</w:t>
      </w:r>
      <w:r w:rsidR="005A5085">
        <w:t xml:space="preserve">r notifies the TGA of supply of </w:t>
      </w:r>
      <w:r w:rsidR="005A5085" w:rsidRPr="005A5085">
        <w:t>the product.</w:t>
      </w:r>
    </w:p>
    <w:p w14:paraId="54A548A4" w14:textId="70663BCF" w:rsidR="005A5085" w:rsidRDefault="005A5085" w:rsidP="005A5085">
      <w:pPr>
        <w:pStyle w:val="ListBullet"/>
      </w:pPr>
      <w:r w:rsidRPr="005A5085">
        <w:t xml:space="preserve">The </w:t>
      </w:r>
      <w:r w:rsidR="00E14798">
        <w:t>Fasenra</w:t>
      </w:r>
      <w:r w:rsidRPr="005A5085">
        <w:t xml:space="preserve"> benralizumab EU-Risk Management Plan</w:t>
      </w:r>
      <w:r>
        <w:t xml:space="preserve"> (EU-RMP), version 1.0, Edition</w:t>
      </w:r>
      <w:r w:rsidR="00761A3D">
        <w:t> </w:t>
      </w:r>
      <w:r w:rsidRPr="005A5085">
        <w:t>4.0, dated 14 November 2017 (data lock point 29 S</w:t>
      </w:r>
      <w:r>
        <w:t xml:space="preserve">eptember 2016), with Australian </w:t>
      </w:r>
      <w:r w:rsidRPr="005A5085">
        <w:t>Specific Annex, version 3.0, dated 8 March 2018, a</w:t>
      </w:r>
      <w:r>
        <w:t xml:space="preserve">nd any subsequent revisions, as </w:t>
      </w:r>
      <w:r w:rsidRPr="005A5085">
        <w:t>agreed with the TGA wi</w:t>
      </w:r>
      <w:r>
        <w:t xml:space="preserve">ll be implemented in Australia. </w:t>
      </w:r>
      <w:r w:rsidRPr="005A5085">
        <w:t>An obligatory component of risk management plan</w:t>
      </w:r>
      <w:r>
        <w:t xml:space="preserve">s is routine pharmacovigilance. </w:t>
      </w:r>
      <w:r w:rsidRPr="005A5085">
        <w:t>Routine pharmacovigilance includes the submission of</w:t>
      </w:r>
      <w:r>
        <w:t xml:space="preserve"> Periodic Safety Update Reports </w:t>
      </w:r>
      <w:r w:rsidRPr="005A5085">
        <w:t>(PSURs).</w:t>
      </w:r>
    </w:p>
    <w:p w14:paraId="63E09351" w14:textId="77777777" w:rsidR="005A5085" w:rsidRPr="005A5085" w:rsidRDefault="005A5085" w:rsidP="005A5085">
      <w:pPr>
        <w:pStyle w:val="ListBullet"/>
      </w:pPr>
      <w:r w:rsidRPr="005A5085">
        <w:t>Submit data from BORA and MELTEMI studies when available.</w:t>
      </w:r>
    </w:p>
    <w:p w14:paraId="39807F2A" w14:textId="1D1171B5" w:rsidR="005A5085" w:rsidRPr="005A5085" w:rsidRDefault="005A5085" w:rsidP="005A5085">
      <w:pPr>
        <w:pStyle w:val="ListBullet"/>
      </w:pPr>
      <w:r w:rsidRPr="005A5085">
        <w:t xml:space="preserve">Batch release testing </w:t>
      </w:r>
      <w:r w:rsidR="00761A3D">
        <w:t>and</w:t>
      </w:r>
      <w:r w:rsidRPr="005A5085">
        <w:t xml:space="preserve"> compliance with Certified Product Details</w:t>
      </w:r>
    </w:p>
    <w:p w14:paraId="119B47F3" w14:textId="77777777" w:rsidR="005A5085" w:rsidRPr="005A5085" w:rsidRDefault="005A5085" w:rsidP="005A5085">
      <w:pPr>
        <w:pStyle w:val="ListBullet2"/>
      </w:pPr>
      <w:r w:rsidRPr="005A5085">
        <w:lastRenderedPageBreak/>
        <w:t xml:space="preserve">All batches of </w:t>
      </w:r>
      <w:r w:rsidR="00E14798">
        <w:t>Fasenra</w:t>
      </w:r>
      <w:r w:rsidRPr="005A5085">
        <w:t xml:space="preserve"> benralizumab impo</w:t>
      </w:r>
      <w:r>
        <w:t xml:space="preserve">rted into Australia must comply </w:t>
      </w:r>
      <w:r w:rsidRPr="005A5085">
        <w:t>with the product details and specifications</w:t>
      </w:r>
      <w:r>
        <w:t xml:space="preserve"> approved during evaluation and </w:t>
      </w:r>
      <w:r w:rsidRPr="005A5085">
        <w:t>detailed in the Certified Product Details (CPD).</w:t>
      </w:r>
    </w:p>
    <w:p w14:paraId="0D23F904" w14:textId="77777777" w:rsidR="005A5085" w:rsidRPr="005A5085" w:rsidRDefault="005A5085" w:rsidP="005A5085">
      <w:pPr>
        <w:pStyle w:val="ListBullet2"/>
      </w:pPr>
      <w:r w:rsidRPr="005A5085">
        <w:t xml:space="preserve">Each batch of </w:t>
      </w:r>
      <w:r w:rsidR="00E14798">
        <w:t>Fasenra</w:t>
      </w:r>
      <w:r w:rsidRPr="005A5085">
        <w:t xml:space="preserve"> benralizumab imported</w:t>
      </w:r>
      <w:r>
        <w:t xml:space="preserve"> into Australia is not released </w:t>
      </w:r>
      <w:r w:rsidRPr="005A5085">
        <w:t>for sale until samples and/or the manufacturer’s release data have been assessed</w:t>
      </w:r>
      <w:r>
        <w:t xml:space="preserve"> </w:t>
      </w:r>
      <w:r w:rsidRPr="005A5085">
        <w:t>and endorsed for release by the TGA Laboratories Branch.</w:t>
      </w:r>
    </w:p>
    <w:p w14:paraId="3814C9B9" w14:textId="77777777" w:rsidR="008E7846" w:rsidRDefault="00A80B5B" w:rsidP="00D23139">
      <w:pPr>
        <w:pStyle w:val="Heading2"/>
      </w:pPr>
      <w:bookmarkStart w:id="245" w:name="_Toc1653608"/>
      <w:proofErr w:type="gramStart"/>
      <w:r>
        <w:t>Attachment 1.</w:t>
      </w:r>
      <w:proofErr w:type="gramEnd"/>
      <w:r>
        <w:t xml:space="preserve"> </w:t>
      </w:r>
      <w:r w:rsidR="008E7846">
        <w:t xml:space="preserve">Product </w:t>
      </w:r>
      <w:r w:rsidR="00AA0ED0">
        <w:t>I</w:t>
      </w:r>
      <w:r w:rsidR="008E7846">
        <w:t>nformation</w:t>
      </w:r>
      <w:bookmarkEnd w:id="243"/>
      <w:bookmarkEnd w:id="244"/>
      <w:bookmarkEnd w:id="245"/>
    </w:p>
    <w:p w14:paraId="108B8BB0" w14:textId="77777777" w:rsidR="00E14798" w:rsidRDefault="006136D7" w:rsidP="00C80137">
      <w:r w:rsidRPr="002B3624">
        <w:t xml:space="preserve">The </w:t>
      </w:r>
      <w:r>
        <w:t>PI</w:t>
      </w:r>
      <w:r w:rsidRPr="002B3624">
        <w:t xml:space="preserve"> for </w:t>
      </w:r>
      <w:r w:rsidR="005A5085">
        <w:t>Fasenra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504A5">
        <w:t xml:space="preserve">&lt; </w:t>
      </w:r>
      <w:hyperlink r:id="rId48" w:history="1">
        <w:r w:rsidR="007C6B9B" w:rsidRPr="007C6B9B">
          <w:rPr>
            <w:rStyle w:val="Hyperlink"/>
          </w:rPr>
          <w:t>https://www.tga.gov.au/product-information-pi</w:t>
        </w:r>
      </w:hyperlink>
      <w:proofErr w:type="gramStart"/>
      <w:r w:rsidR="005028A8">
        <w:t xml:space="preserve">&gt; </w:t>
      </w:r>
      <w:r w:rsidR="00E14798">
        <w:t>.</w:t>
      </w:r>
      <w:proofErr w:type="gramEnd"/>
    </w:p>
    <w:p w14:paraId="547A8B5E" w14:textId="77777777" w:rsidR="00C80137" w:rsidRPr="001D043B" w:rsidRDefault="008E7846" w:rsidP="00C43D5F">
      <w:pPr>
        <w:autoSpaceDE w:val="0"/>
        <w:autoSpaceDN w:val="0"/>
        <w:adjustRightInd w:val="0"/>
        <w:spacing w:after="0"/>
        <w:rPr>
          <w:lang w:eastAsia="ja-JP"/>
        </w:rPr>
        <w:sectPr w:rsidR="00C80137" w:rsidRPr="001D043B" w:rsidSect="00B452CE">
          <w:headerReference w:type="even" r:id="rId49"/>
          <w:headerReference w:type="default" r:id="rId50"/>
          <w:headerReference w:type="first" r:id="rId51"/>
          <w:footerReference w:type="first" r:id="rId52"/>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964E260" w14:textId="77777777" w:rsidTr="00A05FA4">
        <w:trPr>
          <w:trHeight w:hRule="exact" w:val="704"/>
        </w:trPr>
        <w:tc>
          <w:tcPr>
            <w:tcW w:w="9175" w:type="dxa"/>
          </w:tcPr>
          <w:p w14:paraId="7C418A55" w14:textId="77777777" w:rsidR="001C32CD" w:rsidRPr="00487162" w:rsidRDefault="001C32CD" w:rsidP="00A05FA4">
            <w:pPr>
              <w:pStyle w:val="TGASignoff"/>
            </w:pPr>
            <w:r w:rsidRPr="00487162">
              <w:lastRenderedPageBreak/>
              <w:t>Therapeutic Goods Administration</w:t>
            </w:r>
          </w:p>
        </w:tc>
      </w:tr>
      <w:tr w:rsidR="001C32CD" w:rsidRPr="004C239D" w14:paraId="4BC7A052" w14:textId="77777777" w:rsidTr="00A05FA4">
        <w:trPr>
          <w:trHeight w:val="1221"/>
        </w:trPr>
        <w:tc>
          <w:tcPr>
            <w:tcW w:w="9175" w:type="dxa"/>
            <w:tcMar>
              <w:top w:w="28" w:type="dxa"/>
            </w:tcMar>
          </w:tcPr>
          <w:p w14:paraId="2E4D74B0" w14:textId="77777777" w:rsidR="001C32CD" w:rsidRPr="00487162" w:rsidRDefault="001C32CD" w:rsidP="00A05FA4">
            <w:pPr>
              <w:pStyle w:val="Address"/>
            </w:pPr>
            <w:r w:rsidRPr="00487162">
              <w:t>PO Box 100 Woden ACT 2606 Australia</w:t>
            </w:r>
          </w:p>
          <w:p w14:paraId="6C82487F" w14:textId="77777777" w:rsidR="001C32CD" w:rsidRPr="00487162" w:rsidRDefault="001C32CD" w:rsidP="00A05FA4">
            <w:pPr>
              <w:pStyle w:val="Address"/>
            </w:pPr>
            <w:r w:rsidRPr="00487162">
              <w:t xml:space="preserve">Email: </w:t>
            </w:r>
            <w:hyperlink r:id="rId53" w:history="1">
              <w:r w:rsidRPr="004C239D">
                <w:rPr>
                  <w:rStyle w:val="Hyperlink"/>
                </w:rPr>
                <w:t>info@tga.gov.au</w:t>
              </w:r>
            </w:hyperlink>
            <w:r w:rsidR="00F971ED">
              <w:t xml:space="preserve"> </w:t>
            </w:r>
            <w:r w:rsidRPr="00487162">
              <w:t>Phone: 1800 020 653</w:t>
            </w:r>
            <w:r w:rsidR="00F971ED">
              <w:t xml:space="preserve"> </w:t>
            </w:r>
            <w:r w:rsidRPr="00487162">
              <w:t>Fax: 02 6232 8605</w:t>
            </w:r>
          </w:p>
          <w:p w14:paraId="5D2411B1" w14:textId="77777777" w:rsidR="001C32CD" w:rsidRPr="004C239D" w:rsidRDefault="005B2C53" w:rsidP="00A05FA4">
            <w:pPr>
              <w:pStyle w:val="Address"/>
              <w:spacing w:line="260" w:lineRule="atLeast"/>
              <w:rPr>
                <w:b/>
                <w:color w:val="0000FF"/>
                <w:u w:val="single"/>
              </w:rPr>
            </w:pPr>
            <w:hyperlink r:id="rId54" w:history="1">
              <w:r w:rsidR="007C6B9B" w:rsidRPr="007C6B9B">
                <w:rPr>
                  <w:rStyle w:val="Hyperlink"/>
                  <w:b/>
                </w:rPr>
                <w:t>https://www.tga.gov.au</w:t>
              </w:r>
            </w:hyperlink>
          </w:p>
        </w:tc>
      </w:tr>
    </w:tbl>
    <w:p w14:paraId="445E4EA5" w14:textId="77777777" w:rsidR="00774E1D" w:rsidRPr="008A5E0B" w:rsidRDefault="00774E1D" w:rsidP="004C239D"/>
    <w:sectPr w:rsidR="00774E1D" w:rsidRPr="008A5E0B" w:rsidSect="001C32CD">
      <w:headerReference w:type="even" r:id="rId55"/>
      <w:headerReference w:type="default" r:id="rId56"/>
      <w:footerReference w:type="default" r:id="rId57"/>
      <w:headerReference w:type="first" r:id="rId58"/>
      <w:footerReference w:type="first" r:id="rId59"/>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A2CAC4" w15:done="0"/>
  <w15:commentEx w15:paraId="35D1875E" w15:done="0"/>
  <w15:commentEx w15:paraId="178526C3" w15:done="0"/>
  <w15:commentEx w15:paraId="1BFEA572" w15:paraIdParent="178526C3" w15:done="0"/>
  <w15:commentEx w15:paraId="321DC8D5" w15:done="0"/>
  <w15:commentEx w15:paraId="19758357" w15:done="0"/>
  <w15:commentEx w15:paraId="242D9211" w15:done="0"/>
  <w15:commentEx w15:paraId="51DD19DD" w15:paraIdParent="242D9211" w15:done="0"/>
  <w15:commentEx w15:paraId="394CC107" w15:done="0"/>
  <w15:commentEx w15:paraId="78E2C45D" w15:done="0"/>
  <w15:commentEx w15:paraId="0A757495" w15:paraIdParent="78E2C45D" w15:done="0"/>
  <w15:commentEx w15:paraId="45812FD4" w15:done="0"/>
  <w15:commentEx w15:paraId="221FCDC0" w15:done="0"/>
  <w15:commentEx w15:paraId="13060F44" w15:paraIdParent="221FCDC0" w15:done="0"/>
  <w15:commentEx w15:paraId="19743114" w15:done="0"/>
  <w15:commentEx w15:paraId="0A1D64E8" w15:done="0"/>
  <w15:commentEx w15:paraId="6047939E" w15:paraIdParent="0A1D64E8" w15:done="0"/>
  <w15:commentEx w15:paraId="06A38639" w15:done="0"/>
  <w15:commentEx w15:paraId="539EAEA4" w15:done="0"/>
  <w15:commentEx w15:paraId="2DB52E02" w15:paraIdParent="539EAEA4" w15:done="0"/>
  <w15:commentEx w15:paraId="2AA036B6" w15:done="0"/>
  <w15:commentEx w15:paraId="53D059B8" w15:paraIdParent="2AA036B6" w15:done="0"/>
  <w15:commentEx w15:paraId="37C9F512" w15:done="0"/>
  <w15:commentEx w15:paraId="356AA1B3" w15:done="0"/>
  <w15:commentEx w15:paraId="65F79DF9" w15:paraIdParent="356AA1B3" w15:done="0"/>
  <w15:commentEx w15:paraId="5FAACD91" w15:done="0"/>
  <w15:commentEx w15:paraId="2BB9148F" w15:done="0"/>
  <w15:commentEx w15:paraId="2D43315E" w15:paraIdParent="2BB9148F" w15:done="0"/>
  <w15:commentEx w15:paraId="53F84000" w15:done="0"/>
  <w15:commentEx w15:paraId="084F09B4" w15:done="0"/>
  <w15:commentEx w15:paraId="49E6B796" w15:paraIdParent="084F09B4" w15:done="0"/>
  <w15:commentEx w15:paraId="59FC35A0" w15:done="0"/>
  <w15:commentEx w15:paraId="5BA8B747" w15:done="0"/>
  <w15:commentEx w15:paraId="3473D3BC" w15:paraIdParent="5BA8B747" w15:done="0"/>
  <w15:commentEx w15:paraId="3CC2086D" w15:done="0"/>
  <w15:commentEx w15:paraId="78DD2004" w15:done="0"/>
  <w15:commentEx w15:paraId="6AD5CB11" w15:paraIdParent="78DD2004" w15:done="0"/>
  <w15:commentEx w15:paraId="3AC34B8D" w15:done="0"/>
  <w15:commentEx w15:paraId="403D3FB9" w15:done="0"/>
  <w15:commentEx w15:paraId="54421551" w15:paraIdParent="403D3FB9" w15:done="0"/>
  <w15:commentEx w15:paraId="4D7A04F6" w15:done="0"/>
  <w15:commentEx w15:paraId="3AFD983D" w15:done="0"/>
  <w15:commentEx w15:paraId="2E50E5FA" w15:paraIdParent="3AFD983D" w15:done="0"/>
  <w15:commentEx w15:paraId="764757DC" w15:done="0"/>
  <w15:commentEx w15:paraId="5E01D111" w15:done="0"/>
  <w15:commentEx w15:paraId="52A6C49E" w15:paraIdParent="5E01D111" w15:done="0"/>
  <w15:commentEx w15:paraId="01633725" w15:done="0"/>
  <w15:commentEx w15:paraId="276395DB" w15:done="0"/>
  <w15:commentEx w15:paraId="4844B9C5" w15:paraIdParent="276395DB" w15:done="0"/>
  <w15:commentEx w15:paraId="1E80729E" w15:done="0"/>
  <w15:commentEx w15:paraId="309180FA" w15:paraIdParent="1E80729E" w15:done="0"/>
  <w15:commentEx w15:paraId="2DA6A86C" w15:done="0"/>
  <w15:commentEx w15:paraId="7D36437B" w15:done="0"/>
  <w15:commentEx w15:paraId="3EA10321" w15:paraIdParent="7D36437B" w15:done="0"/>
  <w15:commentEx w15:paraId="4C5A1AE2" w15:done="0"/>
  <w15:commentEx w15:paraId="7DC338D8" w15:done="0"/>
  <w15:commentEx w15:paraId="59455DD5" w15:paraIdParent="7DC338D8" w15:done="0"/>
  <w15:commentEx w15:paraId="4ED6A122" w15:done="0"/>
  <w15:commentEx w15:paraId="72D3C80F" w15:done="0"/>
  <w15:commentEx w15:paraId="76378702" w15:paraIdParent="72D3C80F" w15:done="0"/>
  <w15:commentEx w15:paraId="60A4C44A" w15:done="0"/>
  <w15:commentEx w15:paraId="6AA2D252" w15:done="0"/>
  <w15:commentEx w15:paraId="7FDB7056" w15:paraIdParent="6AA2D2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A2CAC4" w16cid:durableId="1FE75759"/>
  <w16cid:commentId w16cid:paraId="35D1875E" w16cid:durableId="1FE7575A"/>
  <w16cid:commentId w16cid:paraId="178526C3" w16cid:durableId="1FE756E2"/>
  <w16cid:commentId w16cid:paraId="1BFEA572" w16cid:durableId="1FEBFCD5"/>
  <w16cid:commentId w16cid:paraId="321DC8D5" w16cid:durableId="1FB0F06F"/>
  <w16cid:commentId w16cid:paraId="19758357" w16cid:durableId="1FB11D43"/>
  <w16cid:commentId w16cid:paraId="242D9211" w16cid:durableId="1FE756E5"/>
  <w16cid:commentId w16cid:paraId="51DD19DD" w16cid:durableId="1FE75861"/>
  <w16cid:commentId w16cid:paraId="394CC107" w16cid:durableId="1FA78105"/>
  <w16cid:commentId w16cid:paraId="78E2C45D" w16cid:durableId="1FE756E7"/>
  <w16cid:commentId w16cid:paraId="0A757495" w16cid:durableId="1FE758FC"/>
  <w16cid:commentId w16cid:paraId="45812FD4" w16cid:durableId="1FB0F1FD"/>
  <w16cid:commentId w16cid:paraId="221FCDC0" w16cid:durableId="1FE756E9"/>
  <w16cid:commentId w16cid:paraId="13060F44" w16cid:durableId="1FE75925"/>
  <w16cid:commentId w16cid:paraId="19743114" w16cid:durableId="1FB37795"/>
  <w16cid:commentId w16cid:paraId="0A1D64E8" w16cid:durableId="1FE756F1"/>
  <w16cid:commentId w16cid:paraId="6047939E" w16cid:durableId="1FEBFD14"/>
  <w16cid:commentId w16cid:paraId="06A38639" w16cid:durableId="1FB37880"/>
  <w16cid:commentId w16cid:paraId="539EAEA4" w16cid:durableId="1FE756F3"/>
  <w16cid:commentId w16cid:paraId="2DB52E02" w16cid:durableId="1FEBFD2C"/>
  <w16cid:commentId w16cid:paraId="2AA036B6" w16cid:durableId="1FE756F4"/>
  <w16cid:commentId w16cid:paraId="53D059B8" w16cid:durableId="1FEBFD64"/>
  <w16cid:commentId w16cid:paraId="37C9F512" w16cid:durableId="1FB378A2"/>
  <w16cid:commentId w16cid:paraId="356AA1B3" w16cid:durableId="1FE756F6"/>
  <w16cid:commentId w16cid:paraId="65F79DF9" w16cid:durableId="1FEBFD47"/>
  <w16cid:commentId w16cid:paraId="5FAACD91" w16cid:durableId="1FA8CFB8"/>
  <w16cid:commentId w16cid:paraId="2BB9148F" w16cid:durableId="1FE756F8"/>
  <w16cid:commentId w16cid:paraId="2D43315E" w16cid:durableId="1FE75B47"/>
  <w16cid:commentId w16cid:paraId="53F84000" w16cid:durableId="1FA7C4BF"/>
  <w16cid:commentId w16cid:paraId="084F09B4" w16cid:durableId="1FE756FE"/>
  <w16cid:commentId w16cid:paraId="49E6B796" w16cid:durableId="1FEBFD72"/>
  <w16cid:commentId w16cid:paraId="59FC35A0" w16cid:durableId="1FA7C559"/>
  <w16cid:commentId w16cid:paraId="5BA8B747" w16cid:durableId="1FE75700"/>
  <w16cid:commentId w16cid:paraId="3473D3BC" w16cid:durableId="1FEBFD7E"/>
  <w16cid:commentId w16cid:paraId="3CC2086D" w16cid:durableId="1FB378B9"/>
  <w16cid:commentId w16cid:paraId="78DD2004" w16cid:durableId="1FE75702"/>
  <w16cid:commentId w16cid:paraId="6AD5CB11" w16cid:durableId="1FEBFD8D"/>
  <w16cid:commentId w16cid:paraId="3AC34B8D" w16cid:durableId="1FB378D2"/>
  <w16cid:commentId w16cid:paraId="403D3FB9" w16cid:durableId="1FE75704"/>
  <w16cid:commentId w16cid:paraId="54421551" w16cid:durableId="1FEBFD9B"/>
  <w16cid:commentId w16cid:paraId="4D7A04F6" w16cid:durableId="1FA650D6"/>
  <w16cid:commentId w16cid:paraId="3AFD983D" w16cid:durableId="1FE75706"/>
  <w16cid:commentId w16cid:paraId="2E50E5FA" w16cid:durableId="1FE75C72"/>
  <w16cid:commentId w16cid:paraId="764757DC" w16cid:durableId="1FA655CE"/>
  <w16cid:commentId w16cid:paraId="5E01D111" w16cid:durableId="1FE75718"/>
  <w16cid:commentId w16cid:paraId="52A6C49E" w16cid:durableId="1FE75E07"/>
  <w16cid:commentId w16cid:paraId="01633725" w16cid:durableId="1FA2990C"/>
  <w16cid:commentId w16cid:paraId="276395DB" w16cid:durableId="1FE7571E"/>
  <w16cid:commentId w16cid:paraId="4844B9C5" w16cid:durableId="1FEBFDB2"/>
  <w16cid:commentId w16cid:paraId="1E80729E" w16cid:durableId="1FE75721"/>
  <w16cid:commentId w16cid:paraId="309180FA" w16cid:durableId="1FEBFDD6"/>
  <w16cid:commentId w16cid:paraId="2DA6A86C" w16cid:durableId="1FA8E13B"/>
  <w16cid:commentId w16cid:paraId="7D36437B" w16cid:durableId="1FE75727"/>
  <w16cid:commentId w16cid:paraId="3EA10321" w16cid:durableId="1FE76615"/>
  <w16cid:commentId w16cid:paraId="4C5A1AE2" w16cid:durableId="1FA8F3C5"/>
  <w16cid:commentId w16cid:paraId="7DC338D8" w16cid:durableId="1FE75740"/>
  <w16cid:commentId w16cid:paraId="59455DD5" w16cid:durableId="1FE76441"/>
  <w16cid:commentId w16cid:paraId="4ED6A122" w16cid:durableId="1FA8FCC4"/>
  <w16cid:commentId w16cid:paraId="72D3C80F" w16cid:durableId="1FE7574E"/>
  <w16cid:commentId w16cid:paraId="76378702" w16cid:durableId="1FE76528"/>
  <w16cid:commentId w16cid:paraId="60A4C44A" w16cid:durableId="1FA79FD7"/>
  <w16cid:commentId w16cid:paraId="6AA2D252" w16cid:durableId="1FE75754"/>
  <w16cid:commentId w16cid:paraId="7FDB7056" w16cid:durableId="1FE765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8AC0E" w14:textId="77777777" w:rsidR="002471FD" w:rsidRDefault="002471FD" w:rsidP="00C40A36">
      <w:pPr>
        <w:spacing w:after="0"/>
      </w:pPr>
      <w:r>
        <w:separator/>
      </w:r>
    </w:p>
  </w:endnote>
  <w:endnote w:type="continuationSeparator" w:id="0">
    <w:p w14:paraId="2D7587D6" w14:textId="77777777" w:rsidR="002471FD" w:rsidRDefault="002471F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mbriaMath">
    <w:altName w:val="MS Mincho"/>
    <w:panose1 w:val="00000000000000000000"/>
    <w:charset w:val="00"/>
    <w:family w:val="auto"/>
    <w:notTrueType/>
    <w:pitch w:val="default"/>
    <w:sig w:usb0="00000001"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471FD" w:rsidRPr="00487162" w14:paraId="0FE77B43" w14:textId="77777777" w:rsidTr="00DB750B">
      <w:trPr>
        <w:trHeight w:val="269"/>
      </w:trPr>
      <w:tc>
        <w:tcPr>
          <w:tcW w:w="7371" w:type="dxa"/>
          <w:tcMar>
            <w:top w:w="142" w:type="dxa"/>
            <w:bottom w:w="0" w:type="dxa"/>
          </w:tcMar>
        </w:tcPr>
        <w:p w14:paraId="6F1B1045" w14:textId="7EF263C7" w:rsidR="002471FD" w:rsidRPr="00487162" w:rsidRDefault="002471FD" w:rsidP="00AA6579">
          <w:pPr>
            <w:pStyle w:val="Footer"/>
          </w:pPr>
          <w:r w:rsidRPr="00487162">
            <w:t>AusPA</w:t>
          </w:r>
          <w:r>
            <w:t xml:space="preserve">R </w:t>
          </w:r>
          <w:r w:rsidRPr="001E706D">
            <w:t xml:space="preserve">FASENRA - Benralizumab - AstraZeneca Pty Ltd - PM-2016-04636-1-5 - </w:t>
          </w:r>
          <w:r>
            <w:t>FINAL 21 February 2019</w:t>
          </w:r>
        </w:p>
      </w:tc>
      <w:tc>
        <w:tcPr>
          <w:tcW w:w="1490" w:type="dxa"/>
          <w:tcMar>
            <w:top w:w="142" w:type="dxa"/>
            <w:bottom w:w="0" w:type="dxa"/>
          </w:tcMar>
        </w:tcPr>
        <w:p w14:paraId="7C4C22FF" w14:textId="77777777" w:rsidR="002471FD" w:rsidRPr="00487162" w:rsidRDefault="002471FD" w:rsidP="00DB750B">
          <w:pPr>
            <w:pStyle w:val="Footer"/>
            <w:jc w:val="right"/>
          </w:pPr>
          <w:r w:rsidRPr="00487162">
            <w:t xml:space="preserve">Page </w:t>
          </w:r>
          <w:r>
            <w:fldChar w:fldCharType="begin"/>
          </w:r>
          <w:r>
            <w:instrText xml:space="preserve"> PAGE  \* Arabic </w:instrText>
          </w:r>
          <w:r>
            <w:fldChar w:fldCharType="separate"/>
          </w:r>
          <w:r w:rsidR="005B2C53">
            <w:rPr>
              <w:noProof/>
            </w:rPr>
            <w:t>90</w:t>
          </w:r>
          <w:r>
            <w:fldChar w:fldCharType="end"/>
          </w:r>
          <w:r w:rsidRPr="00487162">
            <w:t xml:space="preserve"> of </w:t>
          </w:r>
          <w:r w:rsidR="005B2C53">
            <w:fldChar w:fldCharType="begin"/>
          </w:r>
          <w:r w:rsidR="005B2C53">
            <w:instrText xml:space="preserve"> NUMPAGES  \* Arabic </w:instrText>
          </w:r>
          <w:r w:rsidR="005B2C53">
            <w:fldChar w:fldCharType="separate"/>
          </w:r>
          <w:r w:rsidR="005B2C53">
            <w:rPr>
              <w:noProof/>
            </w:rPr>
            <w:t>90</w:t>
          </w:r>
          <w:r w:rsidR="005B2C53">
            <w:rPr>
              <w:noProof/>
            </w:rPr>
            <w:fldChar w:fldCharType="end"/>
          </w:r>
        </w:p>
      </w:tc>
    </w:tr>
  </w:tbl>
  <w:p w14:paraId="3E707F19" w14:textId="77777777" w:rsidR="002471FD" w:rsidRDefault="002471FD"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471FD" w:rsidRPr="00487162" w14:paraId="5B8389DB" w14:textId="77777777" w:rsidTr="00E45619">
      <w:trPr>
        <w:trHeight w:val="269"/>
      </w:trPr>
      <w:tc>
        <w:tcPr>
          <w:tcW w:w="4519" w:type="dxa"/>
          <w:tcBorders>
            <w:top w:val="single" w:sz="4" w:space="0" w:color="auto"/>
          </w:tcBorders>
          <w:tcMar>
            <w:top w:w="142" w:type="dxa"/>
            <w:bottom w:w="0" w:type="dxa"/>
          </w:tcMar>
        </w:tcPr>
        <w:p w14:paraId="61DE67C4" w14:textId="77777777" w:rsidR="002471FD" w:rsidRPr="00487162" w:rsidRDefault="002471FD" w:rsidP="00FE1DEE">
          <w:pPr>
            <w:pStyle w:val="Footer"/>
          </w:pPr>
          <w:r w:rsidRPr="00487162">
            <w:t>Document title, Part #, Section # - Section title</w:t>
          </w:r>
        </w:p>
        <w:p w14:paraId="2C3FC563" w14:textId="77777777" w:rsidR="002471FD" w:rsidRPr="00487162" w:rsidRDefault="002471FD" w:rsidP="00FE1DEE">
          <w:pPr>
            <w:pStyle w:val="Footer"/>
          </w:pPr>
          <w:r w:rsidRPr="00487162">
            <w:t>V1.0 October 2010</w:t>
          </w:r>
        </w:p>
      </w:tc>
      <w:tc>
        <w:tcPr>
          <w:tcW w:w="4342" w:type="dxa"/>
          <w:tcBorders>
            <w:top w:val="single" w:sz="4" w:space="0" w:color="auto"/>
          </w:tcBorders>
          <w:tcMar>
            <w:top w:w="142" w:type="dxa"/>
            <w:bottom w:w="0" w:type="dxa"/>
          </w:tcMar>
        </w:tcPr>
        <w:p w14:paraId="2584321F" w14:textId="6D3559B9" w:rsidR="002471FD" w:rsidRPr="00487162" w:rsidRDefault="002471F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B2C53">
            <w:fldChar w:fldCharType="begin"/>
          </w:r>
          <w:r w:rsidR="005B2C53">
            <w:instrText xml:space="preserve"> NUMPAGES  </w:instrText>
          </w:r>
          <w:r w:rsidR="005B2C53">
            <w:fldChar w:fldCharType="separate"/>
          </w:r>
          <w:r>
            <w:rPr>
              <w:noProof/>
            </w:rPr>
            <w:t>104</w:t>
          </w:r>
          <w:r w:rsidR="005B2C53">
            <w:rPr>
              <w:noProof/>
            </w:rPr>
            <w:fldChar w:fldCharType="end"/>
          </w:r>
        </w:p>
      </w:tc>
    </w:tr>
  </w:tbl>
  <w:p w14:paraId="604C720B" w14:textId="77777777" w:rsidR="002471FD" w:rsidRDefault="002471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FB5CE" w14:textId="77777777" w:rsidR="002471FD" w:rsidRPr="001C32CD" w:rsidRDefault="002471FD"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471FD" w14:paraId="52304865" w14:textId="77777777" w:rsidTr="0010601F">
      <w:trPr>
        <w:trHeight w:val="108"/>
      </w:trPr>
      <w:tc>
        <w:tcPr>
          <w:tcW w:w="8875" w:type="dxa"/>
          <w:gridSpan w:val="2"/>
          <w:tcBorders>
            <w:bottom w:val="single" w:sz="4" w:space="0" w:color="auto"/>
          </w:tcBorders>
          <w:tcMar>
            <w:right w:w="284" w:type="dxa"/>
          </w:tcMar>
        </w:tcPr>
        <w:p w14:paraId="3177F726" w14:textId="77777777" w:rsidR="002471FD" w:rsidRDefault="002471FD" w:rsidP="006E08B3">
          <w:pPr>
            <w:pStyle w:val="Heading3"/>
          </w:pPr>
          <w:r>
            <w:t>Copyright</w:t>
          </w:r>
        </w:p>
        <w:p w14:paraId="62514538" w14:textId="77777777" w:rsidR="002471FD" w:rsidRDefault="002471FD" w:rsidP="006E08B3">
          <w:r>
            <w:rPr>
              <w:rFonts w:cs="Arial"/>
            </w:rPr>
            <w:t>©</w:t>
          </w:r>
          <w:r>
            <w:t xml:space="preserve"> Commonwealth of Australia [add year]</w:t>
          </w:r>
        </w:p>
        <w:p w14:paraId="62D95C12" w14:textId="77777777" w:rsidR="002471FD" w:rsidRDefault="002471FD" w:rsidP="006E08B3"/>
        <w:p w14:paraId="47ADF980" w14:textId="77777777" w:rsidR="002471FD" w:rsidRDefault="002471F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84990F8" w14:textId="77777777" w:rsidR="002471FD" w:rsidRDefault="002471FD" w:rsidP="006E08B3"/>
        <w:p w14:paraId="394B6265" w14:textId="77777777" w:rsidR="002471FD" w:rsidRDefault="002471FD" w:rsidP="006E08B3">
          <w:pPr>
            <w:pStyle w:val="Heading3"/>
          </w:pPr>
          <w:r>
            <w:t>Confidentiality</w:t>
          </w:r>
        </w:p>
        <w:p w14:paraId="1C0A908A" w14:textId="77777777" w:rsidR="002471FD" w:rsidRDefault="002471F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C57BB6C" w14:textId="77777777" w:rsidR="002471FD" w:rsidRDefault="002471FD" w:rsidP="006E08B3"/>
        <w:p w14:paraId="2CBE0E67" w14:textId="77777777" w:rsidR="002471FD" w:rsidRDefault="002471FD" w:rsidP="006E08B3">
          <w:r>
            <w:t>For submission made by individuals, all personal details, other than your name, will be removed from your submission before it is published on the TGA’s Internet site.</w:t>
          </w:r>
        </w:p>
        <w:p w14:paraId="123B5C0A" w14:textId="77777777" w:rsidR="002471FD" w:rsidRDefault="002471FD" w:rsidP="006E08B3"/>
        <w:p w14:paraId="0A469E37" w14:textId="77777777" w:rsidR="002471FD" w:rsidRDefault="002471F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471FD" w14:paraId="19D2AF0E" w14:textId="77777777" w:rsidTr="0010601F">
      <w:trPr>
        <w:trHeight w:val="417"/>
      </w:trPr>
      <w:tc>
        <w:tcPr>
          <w:tcW w:w="4519" w:type="dxa"/>
          <w:tcBorders>
            <w:top w:val="single" w:sz="4" w:space="0" w:color="auto"/>
          </w:tcBorders>
          <w:tcMar>
            <w:top w:w="142" w:type="dxa"/>
            <w:bottom w:w="0" w:type="dxa"/>
          </w:tcMar>
        </w:tcPr>
        <w:p w14:paraId="21562F2C" w14:textId="77777777" w:rsidR="002471FD" w:rsidRDefault="002471FD" w:rsidP="006E08B3">
          <w:r>
            <w:t>Document title, Part #, Section # - Section title</w:t>
          </w:r>
        </w:p>
        <w:p w14:paraId="025C74B8" w14:textId="77777777" w:rsidR="002471FD" w:rsidRDefault="002471FD" w:rsidP="006E08B3">
          <w:r>
            <w:t>V1.0 October 2010</w:t>
          </w:r>
        </w:p>
      </w:tc>
      <w:tc>
        <w:tcPr>
          <w:tcW w:w="4356" w:type="dxa"/>
          <w:tcBorders>
            <w:top w:val="single" w:sz="4" w:space="0" w:color="auto"/>
          </w:tcBorders>
          <w:tcMar>
            <w:top w:w="142" w:type="dxa"/>
            <w:bottom w:w="0" w:type="dxa"/>
          </w:tcMar>
        </w:tcPr>
        <w:p w14:paraId="2FF66021" w14:textId="6A85150D" w:rsidR="002471FD" w:rsidRDefault="002471F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B2C53">
            <w:fldChar w:fldCharType="begin"/>
          </w:r>
          <w:r w:rsidR="005B2C53">
            <w:instrText xml:space="preserve"> NUMPAGES  \* Arabic </w:instrText>
          </w:r>
          <w:r w:rsidR="005B2C53">
            <w:fldChar w:fldCharType="separate"/>
          </w:r>
          <w:r>
            <w:rPr>
              <w:noProof/>
            </w:rPr>
            <w:t>104</w:t>
          </w:r>
          <w:r w:rsidR="005B2C53">
            <w:rPr>
              <w:noProof/>
            </w:rPr>
            <w:fldChar w:fldCharType="end"/>
          </w:r>
          <w:r>
            <w:t xml:space="preserve">  </w:t>
          </w:r>
        </w:p>
      </w:tc>
    </w:tr>
  </w:tbl>
  <w:p w14:paraId="42926721" w14:textId="77777777" w:rsidR="002471FD" w:rsidRDefault="002471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07458" w14:textId="77777777" w:rsidR="002471FD" w:rsidRDefault="002471FD" w:rsidP="00C40A36">
      <w:pPr>
        <w:spacing w:after="0"/>
      </w:pPr>
      <w:r>
        <w:separator/>
      </w:r>
    </w:p>
  </w:footnote>
  <w:footnote w:type="continuationSeparator" w:id="0">
    <w:p w14:paraId="1580E21C" w14:textId="77777777" w:rsidR="002471FD" w:rsidRDefault="002471FD" w:rsidP="00C40A36">
      <w:pPr>
        <w:spacing w:after="0"/>
      </w:pPr>
      <w:r>
        <w:continuationSeparator/>
      </w:r>
    </w:p>
  </w:footnote>
  <w:footnote w:id="1">
    <w:p w14:paraId="709EAD73" w14:textId="77777777" w:rsidR="002471FD" w:rsidRPr="004F7BE2" w:rsidRDefault="002471FD" w:rsidP="004F7BE2">
      <w:pPr>
        <w:pStyle w:val="FootnoteText"/>
      </w:pPr>
      <w:r>
        <w:rPr>
          <w:rStyle w:val="FootnoteReference"/>
        </w:rPr>
        <w:footnoteRef/>
      </w:r>
      <w:r>
        <w:t xml:space="preserve"> </w:t>
      </w:r>
      <w:hyperlink r:id="rId1" w:anchor="_Information_on_the" w:history="1">
        <w:proofErr w:type="gramStart"/>
        <w:r w:rsidRPr="004F7BE2">
          <w:rPr>
            <w:rStyle w:val="FootnoteTextChar"/>
          </w:rPr>
          <w:t>Hekking PP</w:t>
        </w:r>
      </w:hyperlink>
      <w:r>
        <w:rPr>
          <w:rStyle w:val="FootnoteTextChar"/>
        </w:rPr>
        <w:t>, Bel EH.</w:t>
      </w:r>
      <w:proofErr w:type="gramEnd"/>
      <w:r>
        <w:rPr>
          <w:rStyle w:val="FootnoteTextChar"/>
        </w:rPr>
        <w:t xml:space="preserve">  </w:t>
      </w:r>
      <w:r w:rsidRPr="004F7BE2">
        <w:rPr>
          <w:rStyle w:val="FootnoteTextChar"/>
        </w:rPr>
        <w:t xml:space="preserve">Developing and emerging clinical asthma phenotypes. </w:t>
      </w:r>
      <w:r w:rsidRPr="004F7BE2">
        <w:rPr>
          <w:rStyle w:val="FootnoteTextChar"/>
          <w:i/>
        </w:rPr>
        <w:t xml:space="preserve">J Allergy </w:t>
      </w:r>
      <w:proofErr w:type="spellStart"/>
      <w:r w:rsidRPr="004F7BE2">
        <w:rPr>
          <w:rStyle w:val="FootnoteTextChar"/>
          <w:i/>
        </w:rPr>
        <w:t>Clin</w:t>
      </w:r>
      <w:proofErr w:type="spellEnd"/>
      <w:r w:rsidRPr="004F7BE2">
        <w:rPr>
          <w:rStyle w:val="FootnoteTextChar"/>
          <w:i/>
        </w:rPr>
        <w:t xml:space="preserve"> </w:t>
      </w:r>
      <w:proofErr w:type="spellStart"/>
      <w:r w:rsidRPr="004F7BE2">
        <w:rPr>
          <w:rStyle w:val="FootnoteTextChar"/>
          <w:i/>
        </w:rPr>
        <w:t>Immunol</w:t>
      </w:r>
      <w:proofErr w:type="spellEnd"/>
      <w:r w:rsidRPr="004F7BE2">
        <w:rPr>
          <w:rStyle w:val="FootnoteTextChar"/>
          <w:i/>
        </w:rPr>
        <w:t xml:space="preserve"> </w:t>
      </w:r>
      <w:proofErr w:type="spellStart"/>
      <w:r w:rsidRPr="004F7BE2">
        <w:rPr>
          <w:rStyle w:val="FootnoteTextChar"/>
          <w:i/>
        </w:rPr>
        <w:t>Pract</w:t>
      </w:r>
      <w:proofErr w:type="spellEnd"/>
      <w:r w:rsidRPr="004F7BE2">
        <w:rPr>
          <w:rStyle w:val="FootnoteTextChar"/>
        </w:rPr>
        <w:t xml:space="preserve"> 2014; 2: 671–680</w:t>
      </w:r>
    </w:p>
  </w:footnote>
  <w:footnote w:id="2">
    <w:p w14:paraId="12710792" w14:textId="77777777" w:rsidR="002471FD" w:rsidRPr="00925684" w:rsidRDefault="002471FD">
      <w:pPr>
        <w:pStyle w:val="FootnoteText"/>
        <w:rPr>
          <w:lang w:val="en-US"/>
        </w:rPr>
      </w:pPr>
      <w:r>
        <w:rPr>
          <w:rStyle w:val="FootnoteReference"/>
        </w:rPr>
        <w:footnoteRef/>
      </w:r>
      <w:r>
        <w:t xml:space="preserve"> </w:t>
      </w:r>
      <w:proofErr w:type="spellStart"/>
      <w:proofErr w:type="gramStart"/>
      <w:r w:rsidRPr="0088280B">
        <w:t>Bjerregaard</w:t>
      </w:r>
      <w:proofErr w:type="spellEnd"/>
      <w:r w:rsidRPr="0088280B">
        <w:t xml:space="preserve">, A., et al., </w:t>
      </w:r>
      <w:r w:rsidRPr="00925684">
        <w:t>Clinical characteristics of eosinophilic asthma exacerbations</w:t>
      </w:r>
      <w:r w:rsidRPr="0088280B">
        <w:rPr>
          <w:i/>
        </w:rPr>
        <w:t>.</w:t>
      </w:r>
      <w:proofErr w:type="gramEnd"/>
      <w:r w:rsidRPr="0088280B">
        <w:t xml:space="preserve"> </w:t>
      </w:r>
      <w:proofErr w:type="spellStart"/>
      <w:r w:rsidRPr="00925684">
        <w:rPr>
          <w:i/>
        </w:rPr>
        <w:t>Respirology</w:t>
      </w:r>
      <w:proofErr w:type="spellEnd"/>
      <w:r w:rsidRPr="00925684">
        <w:rPr>
          <w:i/>
        </w:rPr>
        <w:t>,</w:t>
      </w:r>
      <w:r>
        <w:t xml:space="preserve"> 2017; </w:t>
      </w:r>
      <w:r w:rsidRPr="00925684">
        <w:t>22</w:t>
      </w:r>
      <w:r>
        <w:t xml:space="preserve">: </w:t>
      </w:r>
      <w:r w:rsidRPr="0088280B">
        <w:t>295-300.</w:t>
      </w:r>
    </w:p>
  </w:footnote>
  <w:footnote w:id="3">
    <w:p w14:paraId="153C2A02" w14:textId="77777777" w:rsidR="002471FD" w:rsidRPr="00E14798" w:rsidRDefault="002471FD">
      <w:pPr>
        <w:pStyle w:val="FootnoteText"/>
        <w:rPr>
          <w:lang w:val="en-US"/>
        </w:rPr>
      </w:pPr>
      <w:r>
        <w:rPr>
          <w:rStyle w:val="FootnoteReference"/>
        </w:rPr>
        <w:footnoteRef/>
      </w:r>
      <w:r>
        <w:t xml:space="preserve"> </w:t>
      </w:r>
      <w:r w:rsidRPr="00B00804">
        <w:t>ICH S6 (R1) [Preclinical Safety Evaluation of Biotechnology-Derived Pharmaceuticals]</w:t>
      </w:r>
    </w:p>
  </w:footnote>
  <w:footnote w:id="4">
    <w:p w14:paraId="40244A85" w14:textId="77777777" w:rsidR="002471FD" w:rsidRPr="00FB4360" w:rsidRDefault="002471FD" w:rsidP="00B00804">
      <w:pPr>
        <w:pStyle w:val="FootnoteText"/>
        <w:rPr>
          <w:lang w:val="en-US"/>
        </w:rPr>
      </w:pPr>
      <w:r>
        <w:rPr>
          <w:rStyle w:val="FootnoteReference"/>
        </w:rPr>
        <w:footnoteRef/>
      </w:r>
      <w:r>
        <w:t xml:space="preserve"> </w:t>
      </w:r>
      <w:proofErr w:type="gramStart"/>
      <w:r>
        <w:t>Stone K.D., et al.</w:t>
      </w:r>
      <w:r w:rsidRPr="00240BCD">
        <w:t xml:space="preserve"> </w:t>
      </w:r>
      <w:r>
        <w:t>(2010) IgE, mast cells, basophils, and eosinophils.</w:t>
      </w:r>
      <w:proofErr w:type="gramEnd"/>
      <w:r>
        <w:t xml:space="preserve"> </w:t>
      </w:r>
      <w:r w:rsidRPr="00240BCD">
        <w:rPr>
          <w:i/>
        </w:rPr>
        <w:t xml:space="preserve">J. Allergy </w:t>
      </w:r>
      <w:proofErr w:type="spellStart"/>
      <w:r w:rsidRPr="00240BCD">
        <w:rPr>
          <w:i/>
        </w:rPr>
        <w:t>Clin</w:t>
      </w:r>
      <w:proofErr w:type="spellEnd"/>
      <w:r w:rsidRPr="00240BCD">
        <w:rPr>
          <w:i/>
        </w:rPr>
        <w:t xml:space="preserve">. </w:t>
      </w:r>
      <w:proofErr w:type="spellStart"/>
      <w:proofErr w:type="gramStart"/>
      <w:r w:rsidRPr="00240BCD">
        <w:rPr>
          <w:i/>
        </w:rPr>
        <w:t>Immunol</w:t>
      </w:r>
      <w:proofErr w:type="spellEnd"/>
      <w:r w:rsidRPr="00240BCD">
        <w:rPr>
          <w:i/>
        </w:rPr>
        <w:t>.</w:t>
      </w:r>
      <w:proofErr w:type="gramEnd"/>
      <w:r>
        <w:t xml:space="preserve"> 2010; </w:t>
      </w:r>
      <w:r w:rsidRPr="003F24A2">
        <w:t>125</w:t>
      </w:r>
      <w:r w:rsidRPr="00521522">
        <w:rPr>
          <w:w w:val="50"/>
        </w:rPr>
        <w:t xml:space="preserve"> </w:t>
      </w:r>
      <w:r w:rsidRPr="003F24A2">
        <w:t xml:space="preserve">(2 </w:t>
      </w:r>
      <w:proofErr w:type="spellStart"/>
      <w:r w:rsidRPr="003F24A2">
        <w:t>Suppl</w:t>
      </w:r>
      <w:proofErr w:type="spellEnd"/>
      <w:r w:rsidRPr="003F24A2">
        <w:t xml:space="preserve"> 2):</w:t>
      </w:r>
      <w:r w:rsidRPr="00521522">
        <w:rPr>
          <w:w w:val="50"/>
        </w:rPr>
        <w:t xml:space="preserve"> </w:t>
      </w:r>
      <w:r>
        <w:t>S73–S80.</w:t>
      </w:r>
    </w:p>
  </w:footnote>
  <w:footnote w:id="5">
    <w:p w14:paraId="4B4BA835" w14:textId="77777777" w:rsidR="002471FD" w:rsidRDefault="002471FD" w:rsidP="00B00804">
      <w:pPr>
        <w:pStyle w:val="FootnoteText"/>
      </w:pPr>
      <w:r>
        <w:rPr>
          <w:rStyle w:val="FootnoteReference"/>
        </w:rPr>
        <w:footnoteRef/>
      </w:r>
      <w:r>
        <w:t xml:space="preserve"> Rabbit and dog </w:t>
      </w:r>
      <w:r w:rsidRPr="005E7257">
        <w:rPr>
          <w:kern w:val="2"/>
        </w:rPr>
        <w:t>IL</w:t>
      </w:r>
      <w:r w:rsidRPr="005E7257">
        <w:rPr>
          <w:kern w:val="2"/>
        </w:rPr>
        <w:noBreakHyphen/>
        <w:t>5Rα</w:t>
      </w:r>
      <w:r>
        <w:t xml:space="preserve"> sequence alignment against human </w:t>
      </w:r>
      <w:r w:rsidRPr="005E7257">
        <w:rPr>
          <w:kern w:val="2"/>
        </w:rPr>
        <w:t>IL</w:t>
      </w:r>
      <w:r w:rsidRPr="005E7257">
        <w:rPr>
          <w:kern w:val="2"/>
        </w:rPr>
        <w:noBreakHyphen/>
        <w:t>5Rα</w:t>
      </w:r>
      <w:r>
        <w:t xml:space="preserve"> was performed by the Nonclinical Evaluator.</w:t>
      </w:r>
    </w:p>
  </w:footnote>
  <w:footnote w:id="6">
    <w:p w14:paraId="3080D591" w14:textId="77777777" w:rsidR="002471FD" w:rsidRDefault="002471FD" w:rsidP="00B00804">
      <w:pPr>
        <w:pStyle w:val="FootnoteText"/>
      </w:pPr>
      <w:r>
        <w:rPr>
          <w:rStyle w:val="FootnoteReference"/>
        </w:rPr>
        <w:footnoteRef/>
      </w:r>
      <w:r>
        <w:t xml:space="preserve"> </w:t>
      </w:r>
      <w:proofErr w:type="gramStart"/>
      <w:r w:rsidRPr="004B6E45">
        <w:t>EMA/CHMP/BWP/532517/2008</w:t>
      </w:r>
      <w:r>
        <w:t>; Guideline on development, production, characterisation and specification for monoclonal antibodies and related products.</w:t>
      </w:r>
      <w:proofErr w:type="gramEnd"/>
    </w:p>
  </w:footnote>
  <w:footnote w:id="7">
    <w:p w14:paraId="598DED1F" w14:textId="77777777" w:rsidR="002471FD" w:rsidRPr="00F971ED" w:rsidRDefault="002471FD">
      <w:pPr>
        <w:pStyle w:val="FootnoteText"/>
        <w:rPr>
          <w:lang w:val="en-US"/>
        </w:rPr>
      </w:pPr>
      <w:r>
        <w:rPr>
          <w:rStyle w:val="FootnoteReference"/>
        </w:rPr>
        <w:footnoteRef/>
      </w:r>
      <w:r>
        <w:t xml:space="preserve"> ICH S7A </w:t>
      </w:r>
      <w:r w:rsidRPr="00B74120">
        <w:t>Note for Guidance on Safety Pharmacology St</w:t>
      </w:r>
      <w:r>
        <w:t>udies for Human Pharmaceuticals</w:t>
      </w:r>
    </w:p>
  </w:footnote>
  <w:footnote w:id="8">
    <w:p w14:paraId="34CEA91C" w14:textId="77777777" w:rsidR="002471FD" w:rsidRPr="007504A5" w:rsidRDefault="002471FD" w:rsidP="007504A5">
      <w:pPr>
        <w:pStyle w:val="FootnoteText"/>
      </w:pPr>
      <w:r>
        <w:rPr>
          <w:rStyle w:val="FootnoteReference"/>
        </w:rPr>
        <w:footnoteRef/>
      </w:r>
      <w:r>
        <w:t xml:space="preserve"> Pregnancy Category B1 is described as: </w:t>
      </w:r>
      <w:r w:rsidRPr="007678C3">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7678C3">
        <w:t>Studies in animals have not shown evidence of an increased occurrence of fetal damage.</w:t>
      </w:r>
    </w:p>
  </w:footnote>
  <w:footnote w:id="9">
    <w:p w14:paraId="773A71C2" w14:textId="77777777" w:rsidR="002471FD" w:rsidRPr="007504A5" w:rsidRDefault="002471FD">
      <w:pPr>
        <w:pStyle w:val="FootnoteText"/>
      </w:pPr>
      <w:r>
        <w:rPr>
          <w:rStyle w:val="FootnoteReference"/>
        </w:rPr>
        <w:footnoteRef/>
      </w:r>
      <w:r>
        <w:t xml:space="preserve"> Pregnancy Category C is defined as: </w:t>
      </w:r>
      <w:r w:rsidRPr="007504A5">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0">
    <w:p w14:paraId="182B1079" w14:textId="77777777" w:rsidR="002471FD" w:rsidRPr="005028A8" w:rsidRDefault="002471FD">
      <w:pPr>
        <w:pStyle w:val="FootnoteText"/>
        <w:rPr>
          <w:lang w:val="en-US"/>
        </w:rPr>
      </w:pPr>
    </w:p>
  </w:footnote>
  <w:footnote w:id="11">
    <w:p w14:paraId="4723A223" w14:textId="77777777" w:rsidR="002471FD" w:rsidRPr="007504A5" w:rsidRDefault="002471FD" w:rsidP="007504A5">
      <w:pPr>
        <w:pStyle w:val="FootnoteText"/>
      </w:pPr>
      <w:r w:rsidRPr="007504A5">
        <w:rPr>
          <w:rStyle w:val="FootnoteReference"/>
        </w:rPr>
        <w:footnoteRef/>
      </w:r>
      <w:r w:rsidRPr="007504A5">
        <w:t xml:space="preserve"> </w:t>
      </w:r>
      <w:bookmarkStart w:id="80" w:name="AIHW2011"/>
      <w:r w:rsidRPr="007504A5">
        <w:fldChar w:fldCharType="begin"/>
      </w:r>
      <w:r w:rsidRPr="007504A5">
        <w:instrText xml:space="preserve"> HYPERLINK  \l "_Information_on_the" </w:instrText>
      </w:r>
      <w:r w:rsidRPr="007504A5">
        <w:fldChar w:fldCharType="separate"/>
      </w:r>
      <w:proofErr w:type="gramStart"/>
      <w:r w:rsidRPr="007504A5">
        <w:rPr>
          <w:rStyle w:val="Hyperlink"/>
          <w:color w:val="auto"/>
          <w:u w:val="none"/>
        </w:rPr>
        <w:t>Australian Centre for Asthma Monitoring 2011</w:t>
      </w:r>
      <w:bookmarkEnd w:id="80"/>
      <w:r w:rsidRPr="007504A5">
        <w:fldChar w:fldCharType="end"/>
      </w:r>
      <w:r w:rsidRPr="007504A5">
        <w:t>.</w:t>
      </w:r>
      <w:proofErr w:type="gramEnd"/>
      <w:r w:rsidRPr="007504A5">
        <w:t xml:space="preserve"> </w:t>
      </w:r>
      <w:proofErr w:type="gramStart"/>
      <w:r w:rsidRPr="007504A5">
        <w:t>Asthma in Australia 2011.</w:t>
      </w:r>
      <w:proofErr w:type="gramEnd"/>
      <w:r w:rsidRPr="007504A5">
        <w:t xml:space="preserve"> </w:t>
      </w:r>
      <w:proofErr w:type="gramStart"/>
      <w:r w:rsidRPr="007504A5">
        <w:t>AIHW Asthma Series no. 4.</w:t>
      </w:r>
      <w:proofErr w:type="gramEnd"/>
      <w:r w:rsidRPr="007504A5">
        <w:t xml:space="preserve"> Cat. </w:t>
      </w:r>
      <w:proofErr w:type="gramStart"/>
      <w:r w:rsidRPr="007504A5">
        <w:t>no</w:t>
      </w:r>
      <w:proofErr w:type="gramEnd"/>
      <w:r w:rsidRPr="007504A5">
        <w:t xml:space="preserve">. </w:t>
      </w:r>
      <w:proofErr w:type="gramStart"/>
      <w:r w:rsidRPr="007504A5">
        <w:t>ACM 22.</w:t>
      </w:r>
      <w:proofErr w:type="gramEnd"/>
      <w:r w:rsidRPr="007504A5">
        <w:t xml:space="preserve"> Canberra: AIHW.</w:t>
      </w:r>
    </w:p>
  </w:footnote>
  <w:footnote w:id="12">
    <w:p w14:paraId="3D0FEAB0" w14:textId="77777777" w:rsidR="002471FD" w:rsidRPr="007504A5" w:rsidRDefault="002471FD" w:rsidP="007504A5">
      <w:pPr>
        <w:pStyle w:val="FootnoteText"/>
        <w:rPr>
          <w:rFonts w:asciiTheme="minorHAnsi" w:hAnsiTheme="minorHAnsi"/>
        </w:rPr>
      </w:pPr>
      <w:r w:rsidRPr="007504A5">
        <w:rPr>
          <w:rStyle w:val="FootnoteReference"/>
        </w:rPr>
        <w:footnoteRef/>
      </w:r>
      <w:r w:rsidRPr="007504A5">
        <w:t xml:space="preserve"> </w:t>
      </w:r>
      <w:bookmarkStart w:id="82" w:name="Bjerregaard_2017"/>
      <w:r w:rsidRPr="007504A5">
        <w:rPr>
          <w:rFonts w:asciiTheme="minorHAnsi" w:hAnsiTheme="minorHAnsi" w:cs="Arial"/>
          <w:shd w:val="clear" w:color="auto" w:fill="FFFFFF"/>
        </w:rPr>
        <w:fldChar w:fldCharType="begin"/>
      </w:r>
      <w:r w:rsidRPr="007504A5">
        <w:rPr>
          <w:rFonts w:asciiTheme="minorHAnsi" w:hAnsiTheme="minorHAnsi" w:cs="Arial"/>
          <w:shd w:val="clear" w:color="auto" w:fill="FFFFFF"/>
        </w:rPr>
        <w:instrText xml:space="preserve"> HYPERLINK  \l "_Information_on_the" </w:instrText>
      </w:r>
      <w:r w:rsidRPr="007504A5">
        <w:rPr>
          <w:rFonts w:asciiTheme="minorHAnsi" w:hAnsiTheme="minorHAnsi" w:cs="Arial"/>
          <w:shd w:val="clear" w:color="auto" w:fill="FFFFFF"/>
        </w:rPr>
        <w:fldChar w:fldCharType="separate"/>
      </w:r>
      <w:proofErr w:type="spellStart"/>
      <w:r w:rsidRPr="007504A5">
        <w:rPr>
          <w:rStyle w:val="Hyperlink"/>
          <w:rFonts w:asciiTheme="minorHAnsi" w:hAnsiTheme="minorHAnsi" w:cs="Arial"/>
          <w:color w:val="auto"/>
          <w:u w:val="none"/>
          <w:shd w:val="clear" w:color="auto" w:fill="FFFFFF"/>
        </w:rPr>
        <w:t>Bjerregaard</w:t>
      </w:r>
      <w:proofErr w:type="spellEnd"/>
      <w:r w:rsidRPr="007504A5">
        <w:rPr>
          <w:rStyle w:val="Hyperlink"/>
          <w:rFonts w:asciiTheme="minorHAnsi" w:hAnsiTheme="minorHAnsi" w:cs="Arial"/>
          <w:color w:val="auto"/>
          <w:u w:val="none"/>
          <w:shd w:val="clear" w:color="auto" w:fill="FFFFFF"/>
        </w:rPr>
        <w:t xml:space="preserve"> </w:t>
      </w:r>
      <w:proofErr w:type="spellStart"/>
      <w:r w:rsidRPr="007504A5">
        <w:rPr>
          <w:rStyle w:val="Hyperlink"/>
          <w:rFonts w:asciiTheme="minorHAnsi" w:hAnsiTheme="minorHAnsi" w:cs="Arial"/>
          <w:color w:val="auto"/>
          <w:u w:val="none"/>
          <w:shd w:val="clear" w:color="auto" w:fill="FFFFFF"/>
        </w:rPr>
        <w:t>A</w:t>
      </w:r>
      <w:bookmarkEnd w:id="82"/>
      <w:r w:rsidRPr="007504A5">
        <w:rPr>
          <w:rFonts w:asciiTheme="minorHAnsi" w:hAnsiTheme="minorHAnsi" w:cs="Arial"/>
          <w:shd w:val="clear" w:color="auto" w:fill="FFFFFF"/>
        </w:rPr>
        <w:fldChar w:fldCharType="end"/>
      </w:r>
      <w:proofErr w:type="gramStart"/>
      <w:r w:rsidRPr="007504A5">
        <w:rPr>
          <w:rFonts w:asciiTheme="minorHAnsi" w:hAnsiTheme="minorHAnsi" w:cs="Arial"/>
          <w:shd w:val="clear" w:color="auto" w:fill="FFFFFF"/>
        </w:rPr>
        <w:t>,</w:t>
      </w:r>
      <w:r>
        <w:rPr>
          <w:rFonts w:asciiTheme="minorHAnsi" w:hAnsiTheme="minorHAnsi" w:cs="Arial"/>
          <w:shd w:val="clear" w:color="auto" w:fill="FFFFFF"/>
        </w:rPr>
        <w:t>et</w:t>
      </w:r>
      <w:proofErr w:type="spellEnd"/>
      <w:proofErr w:type="gramEnd"/>
      <w:r>
        <w:rPr>
          <w:rFonts w:asciiTheme="minorHAnsi" w:hAnsiTheme="minorHAnsi" w:cs="Arial"/>
          <w:shd w:val="clear" w:color="auto" w:fill="FFFFFF"/>
        </w:rPr>
        <w:t xml:space="preserve"> al. </w:t>
      </w:r>
      <w:r w:rsidRPr="007504A5">
        <w:rPr>
          <w:rFonts w:asciiTheme="minorHAnsi" w:hAnsiTheme="minorHAnsi"/>
        </w:rPr>
        <w:t>Clinical Characteristics Of Eosi</w:t>
      </w:r>
      <w:r>
        <w:rPr>
          <w:rFonts w:asciiTheme="minorHAnsi" w:hAnsiTheme="minorHAnsi"/>
        </w:rPr>
        <w:t xml:space="preserve">nophilic Asthma Exacerbations. </w:t>
      </w:r>
      <w:proofErr w:type="spellStart"/>
      <w:proofErr w:type="gramStart"/>
      <w:r w:rsidRPr="007504A5">
        <w:rPr>
          <w:rStyle w:val="jrnl"/>
          <w:rFonts w:asciiTheme="minorHAnsi" w:hAnsiTheme="minorHAnsi" w:cs="Arial"/>
          <w:i/>
          <w:shd w:val="clear" w:color="auto" w:fill="FFFFFF"/>
        </w:rPr>
        <w:t>Respirology</w:t>
      </w:r>
      <w:proofErr w:type="spellEnd"/>
      <w:r w:rsidRPr="007504A5">
        <w:rPr>
          <w:rFonts w:asciiTheme="minorHAnsi" w:hAnsiTheme="minorHAnsi" w:cs="Arial"/>
          <w:shd w:val="clear" w:color="auto" w:fill="FFFFFF"/>
        </w:rPr>
        <w:t>.</w:t>
      </w:r>
      <w:proofErr w:type="gramEnd"/>
      <w:r w:rsidRPr="007504A5">
        <w:rPr>
          <w:rFonts w:asciiTheme="minorHAnsi" w:hAnsiTheme="minorHAnsi" w:cs="Arial"/>
          <w:shd w:val="clear" w:color="auto" w:fill="FFFFFF"/>
        </w:rPr>
        <w:t xml:space="preserve"> </w:t>
      </w:r>
      <w:proofErr w:type="gramStart"/>
      <w:r w:rsidRPr="007504A5">
        <w:rPr>
          <w:rFonts w:asciiTheme="minorHAnsi" w:hAnsiTheme="minorHAnsi" w:cs="Arial"/>
          <w:shd w:val="clear" w:color="auto" w:fill="FFFFFF"/>
        </w:rPr>
        <w:t>2017;</w:t>
      </w:r>
      <w:r>
        <w:rPr>
          <w:rFonts w:asciiTheme="minorHAnsi" w:hAnsiTheme="minorHAnsi" w:cs="Arial"/>
          <w:shd w:val="clear" w:color="auto" w:fill="FFFFFF"/>
        </w:rPr>
        <w:t xml:space="preserve"> 22</w:t>
      </w:r>
      <w:r w:rsidRPr="007504A5">
        <w:rPr>
          <w:rFonts w:asciiTheme="minorHAnsi" w:hAnsiTheme="minorHAnsi" w:cs="Arial"/>
          <w:shd w:val="clear" w:color="auto" w:fill="FFFFFF"/>
        </w:rPr>
        <w:t>:</w:t>
      </w:r>
      <w:r>
        <w:rPr>
          <w:rFonts w:asciiTheme="minorHAnsi" w:hAnsiTheme="minorHAnsi" w:cs="Arial"/>
          <w:shd w:val="clear" w:color="auto" w:fill="FFFFFF"/>
        </w:rPr>
        <w:t xml:space="preserve"> </w:t>
      </w:r>
      <w:r w:rsidRPr="007504A5">
        <w:rPr>
          <w:rFonts w:asciiTheme="minorHAnsi" w:hAnsiTheme="minorHAnsi" w:cs="Arial"/>
          <w:shd w:val="clear" w:color="auto" w:fill="FFFFFF"/>
        </w:rPr>
        <w:t>295-300.</w:t>
      </w:r>
      <w:proofErr w:type="gramEnd"/>
    </w:p>
  </w:footnote>
  <w:footnote w:id="13">
    <w:p w14:paraId="26AB30D7" w14:textId="77777777" w:rsidR="002471FD" w:rsidRPr="007504A5" w:rsidRDefault="002471FD">
      <w:pPr>
        <w:pStyle w:val="FootnoteText"/>
      </w:pPr>
      <w:r w:rsidRPr="007504A5">
        <w:rPr>
          <w:rStyle w:val="FootnoteReference"/>
        </w:rPr>
        <w:footnoteRef/>
      </w:r>
      <w:r w:rsidRPr="007504A5">
        <w:t xml:space="preserve"> </w:t>
      </w:r>
      <w:bookmarkStart w:id="84" w:name="Hekking_2014"/>
      <w:r w:rsidRPr="007504A5">
        <w:fldChar w:fldCharType="begin"/>
      </w:r>
      <w:r w:rsidRPr="007504A5">
        <w:instrText xml:space="preserve"> HYPERLINK  \l "_Information_on_the" </w:instrText>
      </w:r>
      <w:r w:rsidRPr="007504A5">
        <w:fldChar w:fldCharType="separate"/>
      </w:r>
      <w:proofErr w:type="gramStart"/>
      <w:r w:rsidRPr="007504A5">
        <w:rPr>
          <w:rStyle w:val="Hyperlink"/>
          <w:color w:val="auto"/>
          <w:u w:val="none"/>
        </w:rPr>
        <w:t>Hekking PP</w:t>
      </w:r>
      <w:bookmarkEnd w:id="84"/>
      <w:r w:rsidRPr="007504A5">
        <w:fldChar w:fldCharType="end"/>
      </w:r>
      <w:r w:rsidRPr="007504A5">
        <w:t xml:space="preserve">, Bel </w:t>
      </w:r>
      <w:r>
        <w:t>EH.</w:t>
      </w:r>
      <w:proofErr w:type="gramEnd"/>
      <w:r>
        <w:t xml:space="preserve"> </w:t>
      </w:r>
      <w:proofErr w:type="gramStart"/>
      <w:r w:rsidRPr="007504A5">
        <w:t>.Developing and emerging clinical asthma phenotypes.</w:t>
      </w:r>
      <w:proofErr w:type="gramEnd"/>
      <w:r w:rsidRPr="007504A5">
        <w:t xml:space="preserve"> </w:t>
      </w:r>
      <w:r w:rsidRPr="007504A5">
        <w:rPr>
          <w:i/>
        </w:rPr>
        <w:t xml:space="preserve">J Allergy </w:t>
      </w:r>
      <w:proofErr w:type="spellStart"/>
      <w:r w:rsidRPr="007504A5">
        <w:rPr>
          <w:i/>
        </w:rPr>
        <w:t>Clin</w:t>
      </w:r>
      <w:proofErr w:type="spellEnd"/>
      <w:r w:rsidRPr="007504A5">
        <w:rPr>
          <w:i/>
        </w:rPr>
        <w:t xml:space="preserve"> </w:t>
      </w:r>
      <w:proofErr w:type="spellStart"/>
      <w:r w:rsidRPr="007504A5">
        <w:rPr>
          <w:i/>
        </w:rPr>
        <w:t>Immunol</w:t>
      </w:r>
      <w:proofErr w:type="spellEnd"/>
      <w:r w:rsidRPr="007504A5">
        <w:rPr>
          <w:i/>
        </w:rPr>
        <w:t xml:space="preserve"> </w:t>
      </w:r>
      <w:proofErr w:type="spellStart"/>
      <w:r w:rsidRPr="007504A5">
        <w:rPr>
          <w:i/>
        </w:rPr>
        <w:t>Pract</w:t>
      </w:r>
      <w:proofErr w:type="spellEnd"/>
      <w:r w:rsidRPr="007504A5">
        <w:t xml:space="preserve"> 2014; 2: 671–680</w:t>
      </w:r>
    </w:p>
  </w:footnote>
  <w:footnote w:id="14">
    <w:p w14:paraId="464F7DF1" w14:textId="5CEDA5A9" w:rsidR="002471FD" w:rsidRPr="007F2111" w:rsidRDefault="002471FD">
      <w:pPr>
        <w:pStyle w:val="FootnoteText"/>
        <w:rPr>
          <w:lang w:val="en-US"/>
        </w:rPr>
      </w:pPr>
      <w:r>
        <w:rPr>
          <w:rStyle w:val="FootnoteReference"/>
        </w:rPr>
        <w:footnoteRef/>
      </w:r>
      <w:r>
        <w:t xml:space="preserve"> Clarification: </w:t>
      </w:r>
      <w:proofErr w:type="spellStart"/>
      <w:r>
        <w:t>Rezulimab</w:t>
      </w:r>
      <w:proofErr w:type="spellEnd"/>
      <w:r>
        <w:t xml:space="preserve"> was not approved at the time of the clinical evaluation, however it was on the ARTG on the 25 July 2017 (prior to the consideration of this submission)</w:t>
      </w:r>
    </w:p>
  </w:footnote>
  <w:footnote w:id="15">
    <w:p w14:paraId="107D65DA" w14:textId="77777777" w:rsidR="002471FD" w:rsidRPr="00367960" w:rsidRDefault="002471FD">
      <w:pPr>
        <w:pStyle w:val="FootnoteText"/>
        <w:rPr>
          <w:lang w:val="en-US"/>
        </w:rPr>
      </w:pPr>
      <w:r>
        <w:rPr>
          <w:rStyle w:val="FootnoteReference"/>
        </w:rPr>
        <w:footnoteRef/>
      </w:r>
      <w:r>
        <w:t xml:space="preserve"> </w:t>
      </w:r>
      <w:r w:rsidRPr="00EF1D9A">
        <w:t>CHMP/EWP/2922/01 Rev.1</w:t>
      </w:r>
      <w:r>
        <w:t xml:space="preserve"> </w:t>
      </w:r>
      <w:r w:rsidRPr="00EF1D9A">
        <w:t>Committee for Medicinal Products for Human Use (CHMP) Guideline on the clinical investigation of medicinal produc</w:t>
      </w:r>
      <w:r>
        <w:t>ts for the treatment of asthma.</w:t>
      </w:r>
    </w:p>
  </w:footnote>
  <w:footnote w:id="16">
    <w:p w14:paraId="446998EE" w14:textId="77777777" w:rsidR="002471FD" w:rsidRPr="00367960" w:rsidRDefault="002471FD" w:rsidP="002809EA">
      <w:pPr>
        <w:rPr>
          <w:sz w:val="18"/>
          <w:szCs w:val="20"/>
        </w:rPr>
      </w:pPr>
      <w:r>
        <w:rPr>
          <w:rStyle w:val="FootnoteReference"/>
        </w:rPr>
        <w:footnoteRef/>
      </w:r>
      <w:r>
        <w:t xml:space="preserve"> </w:t>
      </w:r>
      <w:hyperlink w:anchor="_Evaluator’s_overall_conclusions" w:history="1">
        <w:proofErr w:type="gramStart"/>
        <w:r w:rsidRPr="00367960">
          <w:rPr>
            <w:rStyle w:val="FootnoteTextChar"/>
          </w:rPr>
          <w:t>Davis BP</w:t>
        </w:r>
      </w:hyperlink>
      <w:r w:rsidRPr="00367960">
        <w:rPr>
          <w:rStyle w:val="FootnoteTextChar"/>
        </w:rPr>
        <w:t>, Rothenberg ME.</w:t>
      </w:r>
      <w:proofErr w:type="gramEnd"/>
      <w:r w:rsidRPr="00367960">
        <w:rPr>
          <w:rStyle w:val="FootnoteTextChar"/>
        </w:rPr>
        <w:t xml:space="preserve">  </w:t>
      </w:r>
      <w:proofErr w:type="gramStart"/>
      <w:r w:rsidRPr="00367960">
        <w:rPr>
          <w:rStyle w:val="FootnoteTextChar"/>
        </w:rPr>
        <w:t>Eosinophils and Cancer</w:t>
      </w:r>
      <w:r>
        <w:rPr>
          <w:rStyle w:val="FootnoteTextChar"/>
        </w:rPr>
        <w:t>.</w:t>
      </w:r>
      <w:proofErr w:type="gramEnd"/>
      <w:r>
        <w:rPr>
          <w:rStyle w:val="FootnoteTextChar"/>
        </w:rPr>
        <w:t xml:space="preserve"> </w:t>
      </w:r>
      <w:r w:rsidRPr="00367960">
        <w:rPr>
          <w:rStyle w:val="FootnoteTextChar"/>
          <w:i/>
        </w:rPr>
        <w:t>Cancer Immunology Research</w:t>
      </w:r>
      <w:r w:rsidRPr="00367960">
        <w:rPr>
          <w:rStyle w:val="FootnoteTextChar"/>
        </w:rPr>
        <w:t xml:space="preserve"> 2014</w:t>
      </w:r>
      <w:r>
        <w:rPr>
          <w:rStyle w:val="FootnoteTextChar"/>
        </w:rPr>
        <w:t>; 2</w:t>
      </w:r>
      <w:r w:rsidRPr="00367960">
        <w:rPr>
          <w:rStyle w:val="FootnoteTextChar"/>
        </w:rPr>
        <w:t>; 1–8</w:t>
      </w:r>
    </w:p>
  </w:footnote>
  <w:footnote w:id="17">
    <w:p w14:paraId="15B820E3" w14:textId="77777777" w:rsidR="002471FD" w:rsidRDefault="002471FD" w:rsidP="00196E43">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3D2594A" w14:textId="77777777" w:rsidR="002471FD" w:rsidRDefault="002471FD" w:rsidP="00196E43">
      <w:pPr>
        <w:pStyle w:val="FootnoteText"/>
      </w:pPr>
      <w:r w:rsidRPr="00F12492">
        <w:rPr>
          <w:i/>
        </w:rPr>
        <w:t>Routine pharmacovigilance</w:t>
      </w:r>
      <w:r>
        <w:t xml:space="preserve"> practices involve the following activities:</w:t>
      </w:r>
    </w:p>
    <w:p w14:paraId="47B847E5" w14:textId="77777777" w:rsidR="002471FD" w:rsidRDefault="002471FD" w:rsidP="00196E43">
      <w:pPr>
        <w:pStyle w:val="FootnoteText"/>
        <w:numPr>
          <w:ilvl w:val="0"/>
          <w:numId w:val="6"/>
        </w:numPr>
      </w:pPr>
      <w:r>
        <w:t>All suspected adverse reactions that are reported to the personnel of the company are collected and collated in an accessible manner;</w:t>
      </w:r>
    </w:p>
    <w:p w14:paraId="03AAF822" w14:textId="77777777" w:rsidR="002471FD" w:rsidRDefault="002471FD" w:rsidP="00196E43">
      <w:pPr>
        <w:pStyle w:val="FootnoteText"/>
        <w:numPr>
          <w:ilvl w:val="0"/>
          <w:numId w:val="6"/>
        </w:numPr>
      </w:pPr>
      <w:r>
        <w:t>Reporting to regulatory authorities;</w:t>
      </w:r>
    </w:p>
    <w:p w14:paraId="50FDDEF5" w14:textId="77777777" w:rsidR="002471FD" w:rsidRDefault="002471FD" w:rsidP="00196E43">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365F3618" w14:textId="77777777" w:rsidR="002471FD" w:rsidRDefault="002471FD" w:rsidP="00196E43">
      <w:pPr>
        <w:pStyle w:val="FootnoteText"/>
        <w:numPr>
          <w:ilvl w:val="0"/>
          <w:numId w:val="6"/>
        </w:numPr>
      </w:pPr>
      <w:r>
        <w:t>Submission of PSURs;</w:t>
      </w:r>
    </w:p>
    <w:p w14:paraId="7DAB0F6E" w14:textId="77777777" w:rsidR="002471FD" w:rsidRPr="00F12492" w:rsidRDefault="002471FD" w:rsidP="00196E43">
      <w:pPr>
        <w:pStyle w:val="FootnoteText"/>
        <w:numPr>
          <w:ilvl w:val="0"/>
          <w:numId w:val="6"/>
        </w:numPr>
        <w:rPr>
          <w:lang w:val="en-US"/>
        </w:rPr>
      </w:pPr>
      <w:r>
        <w:t>Meeting other local regulatory agency requirements.</w:t>
      </w:r>
    </w:p>
  </w:footnote>
  <w:footnote w:id="18">
    <w:p w14:paraId="7BEEEBDD" w14:textId="77777777" w:rsidR="002471FD" w:rsidRPr="00E14798" w:rsidRDefault="002471FD" w:rsidP="00E14798">
      <w:pPr>
        <w:pStyle w:val="FootnoteText"/>
        <w:rPr>
          <w:lang w:val="en-US"/>
        </w:rPr>
      </w:pPr>
      <w:r>
        <w:rPr>
          <w:rStyle w:val="FootnoteReference"/>
        </w:rPr>
        <w:footnoteRef/>
      </w:r>
      <w:r>
        <w:t xml:space="preserve"> </w:t>
      </w:r>
      <w:r w:rsidRPr="0088280B">
        <w:t xml:space="preserve">Matera, M.G., et al., Pharmacokinetic/pharmacodynamic drug evaluation of benralizumab for the treatment of asthma. </w:t>
      </w:r>
      <w:r w:rsidRPr="008A4A1D">
        <w:rPr>
          <w:i/>
        </w:rPr>
        <w:t xml:space="preserve">Expert </w:t>
      </w:r>
      <w:proofErr w:type="spellStart"/>
      <w:r w:rsidRPr="008A4A1D">
        <w:rPr>
          <w:i/>
        </w:rPr>
        <w:t>Opin</w:t>
      </w:r>
      <w:proofErr w:type="spellEnd"/>
      <w:r w:rsidRPr="008A4A1D">
        <w:rPr>
          <w:i/>
        </w:rPr>
        <w:t xml:space="preserve"> Drug </w:t>
      </w:r>
      <w:proofErr w:type="spellStart"/>
      <w:r w:rsidRPr="008A4A1D">
        <w:rPr>
          <w:i/>
        </w:rPr>
        <w:t>Metab</w:t>
      </w:r>
      <w:proofErr w:type="spellEnd"/>
      <w:r w:rsidRPr="008A4A1D">
        <w:rPr>
          <w:i/>
        </w:rPr>
        <w:t xml:space="preserve"> </w:t>
      </w:r>
      <w:proofErr w:type="spellStart"/>
      <w:r w:rsidRPr="008A4A1D">
        <w:rPr>
          <w:i/>
        </w:rPr>
        <w:t>Toxicol</w:t>
      </w:r>
      <w:proofErr w:type="spellEnd"/>
      <w:r w:rsidRPr="0088280B">
        <w:t xml:space="preserve"> 2017</w:t>
      </w:r>
      <w:r>
        <w:t>;</w:t>
      </w:r>
      <w:r w:rsidRPr="0088280B">
        <w:t xml:space="preserve"> </w:t>
      </w:r>
      <w:r w:rsidRPr="008A4A1D">
        <w:t>13</w:t>
      </w:r>
      <w:r>
        <w:t xml:space="preserve">: </w:t>
      </w:r>
      <w:r w:rsidRPr="0088280B">
        <w:t>1007-1013.</w:t>
      </w:r>
    </w:p>
  </w:footnote>
  <w:footnote w:id="19">
    <w:p w14:paraId="17DB733A" w14:textId="77777777" w:rsidR="002471FD" w:rsidRPr="00E14798" w:rsidRDefault="002471FD">
      <w:pPr>
        <w:pStyle w:val="FootnoteText"/>
      </w:pPr>
      <w:r>
        <w:rPr>
          <w:rStyle w:val="FootnoteReference"/>
        </w:rPr>
        <w:footnoteRef/>
      </w:r>
      <w:r>
        <w:t xml:space="preserve"> </w:t>
      </w:r>
      <w:proofErr w:type="spellStart"/>
      <w:r w:rsidRPr="00E14798">
        <w:rPr>
          <w:rStyle w:val="FootnoteTextChar"/>
        </w:rPr>
        <w:t>Hilvering</w:t>
      </w:r>
      <w:proofErr w:type="spellEnd"/>
      <w:r w:rsidRPr="00E14798">
        <w:rPr>
          <w:rStyle w:val="FootnoteTextChar"/>
        </w:rPr>
        <w:t xml:space="preserve">, B., </w:t>
      </w:r>
      <w:r>
        <w:rPr>
          <w:rStyle w:val="FootnoteTextChar"/>
        </w:rPr>
        <w:t>et al.</w:t>
      </w:r>
      <w:r w:rsidRPr="00E14798">
        <w:rPr>
          <w:rStyle w:val="FootnoteTextChar"/>
        </w:rPr>
        <w:t xml:space="preserve"> Evidence for the efficacy and safety of anti-interleukin-5 treatment in the management of refractory eosinophilic asthma. </w:t>
      </w:r>
      <w:proofErr w:type="spellStart"/>
      <w:r w:rsidRPr="008A4A1D">
        <w:rPr>
          <w:rStyle w:val="FootnoteTextChar"/>
          <w:i/>
        </w:rPr>
        <w:t>Ther</w:t>
      </w:r>
      <w:proofErr w:type="spellEnd"/>
      <w:r w:rsidRPr="008A4A1D">
        <w:rPr>
          <w:rStyle w:val="FootnoteTextChar"/>
          <w:i/>
        </w:rPr>
        <w:t xml:space="preserve"> </w:t>
      </w:r>
      <w:proofErr w:type="spellStart"/>
      <w:r w:rsidRPr="008A4A1D">
        <w:rPr>
          <w:rStyle w:val="FootnoteTextChar"/>
          <w:i/>
        </w:rPr>
        <w:t>Adv</w:t>
      </w:r>
      <w:proofErr w:type="spellEnd"/>
      <w:r w:rsidRPr="008A4A1D">
        <w:rPr>
          <w:rStyle w:val="FootnoteTextChar"/>
          <w:i/>
        </w:rPr>
        <w:t xml:space="preserve"> </w:t>
      </w:r>
      <w:proofErr w:type="spellStart"/>
      <w:r w:rsidRPr="008A4A1D">
        <w:rPr>
          <w:rStyle w:val="FootnoteTextChar"/>
          <w:i/>
        </w:rPr>
        <w:t>Respir</w:t>
      </w:r>
      <w:proofErr w:type="spellEnd"/>
      <w:r w:rsidRPr="008A4A1D">
        <w:rPr>
          <w:rStyle w:val="FootnoteTextChar"/>
          <w:i/>
        </w:rPr>
        <w:t xml:space="preserve"> Dis</w:t>
      </w:r>
      <w:r>
        <w:rPr>
          <w:rStyle w:val="FootnoteTextChar"/>
        </w:rPr>
        <w:t xml:space="preserve"> 2015; 9:</w:t>
      </w:r>
      <w:r w:rsidRPr="00E14798">
        <w:rPr>
          <w:rStyle w:val="FootnoteTextChar"/>
        </w:rPr>
        <w:t xml:space="preserve"> 135-</w:t>
      </w:r>
      <w:r>
        <w:rPr>
          <w:rStyle w:val="FootnoteTextChar"/>
        </w:rPr>
        <w:t>1</w:t>
      </w:r>
      <w:r w:rsidRPr="00E14798">
        <w:rPr>
          <w:rStyle w:val="FootnoteTextChar"/>
        </w:rPr>
        <w:t>45.</w:t>
      </w:r>
    </w:p>
  </w:footnote>
  <w:footnote w:id="20">
    <w:p w14:paraId="58E027F3" w14:textId="77777777" w:rsidR="002471FD" w:rsidRPr="00E14798" w:rsidRDefault="002471FD" w:rsidP="00E14798">
      <w:pPr>
        <w:pStyle w:val="FootnoteText"/>
      </w:pPr>
      <w:r>
        <w:rPr>
          <w:rStyle w:val="FootnoteReference"/>
        </w:rPr>
        <w:footnoteRef/>
      </w:r>
      <w:r>
        <w:t xml:space="preserve"> </w:t>
      </w:r>
      <w:proofErr w:type="spellStart"/>
      <w:proofErr w:type="gramStart"/>
      <w:r>
        <w:rPr>
          <w:rStyle w:val="FootnoteTextChar"/>
        </w:rPr>
        <w:t>Bjerregaard</w:t>
      </w:r>
      <w:proofErr w:type="spellEnd"/>
      <w:r>
        <w:rPr>
          <w:rStyle w:val="FootnoteTextChar"/>
        </w:rPr>
        <w:t>, A., et al.</w:t>
      </w:r>
      <w:r w:rsidRPr="00E14798">
        <w:rPr>
          <w:rStyle w:val="FootnoteTextChar"/>
        </w:rPr>
        <w:t xml:space="preserve"> Clinical characteristics of eosinophilic asthma exacerbations.</w:t>
      </w:r>
      <w:proofErr w:type="gramEnd"/>
      <w:r w:rsidRPr="00E14798">
        <w:rPr>
          <w:rStyle w:val="FootnoteTextChar"/>
        </w:rPr>
        <w:t xml:space="preserve"> </w:t>
      </w:r>
      <w:proofErr w:type="spellStart"/>
      <w:r w:rsidRPr="008A4A1D">
        <w:rPr>
          <w:rStyle w:val="FootnoteTextChar"/>
          <w:i/>
        </w:rPr>
        <w:t>Respirology</w:t>
      </w:r>
      <w:proofErr w:type="spellEnd"/>
      <w:r>
        <w:rPr>
          <w:rStyle w:val="FootnoteTextChar"/>
        </w:rPr>
        <w:t xml:space="preserve"> 2017; 22: </w:t>
      </w:r>
      <w:r w:rsidRPr="00E14798">
        <w:rPr>
          <w:rStyle w:val="FootnoteTextChar"/>
        </w:rPr>
        <w:t>295-300.</w:t>
      </w:r>
    </w:p>
  </w:footnote>
  <w:footnote w:id="21">
    <w:p w14:paraId="2A6971BE" w14:textId="77777777" w:rsidR="002471FD" w:rsidRPr="00E14798" w:rsidRDefault="002471FD" w:rsidP="00E14798">
      <w:pPr>
        <w:pStyle w:val="FootnoteText"/>
      </w:pPr>
      <w:r>
        <w:rPr>
          <w:rStyle w:val="FootnoteReference"/>
        </w:rPr>
        <w:footnoteRef/>
      </w:r>
      <w:r>
        <w:t xml:space="preserve"> </w:t>
      </w:r>
      <w:r w:rsidRPr="00E14798">
        <w:rPr>
          <w:rStyle w:val="FootnoteTextChar"/>
        </w:rPr>
        <w:t>C</w:t>
      </w:r>
      <w:r>
        <w:rPr>
          <w:rStyle w:val="FootnoteTextChar"/>
        </w:rPr>
        <w:t>hung, K.F., et al.</w:t>
      </w:r>
      <w:r w:rsidRPr="00E14798">
        <w:rPr>
          <w:rStyle w:val="FootnoteTextChar"/>
        </w:rPr>
        <w:t xml:space="preserve"> International ERS/ATS guidelines on definition, evaluation and treatment of severe asthma. </w:t>
      </w:r>
      <w:proofErr w:type="spellStart"/>
      <w:r w:rsidRPr="008A4A1D">
        <w:rPr>
          <w:rStyle w:val="FootnoteTextChar"/>
          <w:i/>
        </w:rPr>
        <w:t>Eur</w:t>
      </w:r>
      <w:proofErr w:type="spellEnd"/>
      <w:r w:rsidRPr="008A4A1D">
        <w:rPr>
          <w:rStyle w:val="FootnoteTextChar"/>
          <w:i/>
        </w:rPr>
        <w:t xml:space="preserve"> </w:t>
      </w:r>
      <w:proofErr w:type="spellStart"/>
      <w:r w:rsidRPr="008A4A1D">
        <w:rPr>
          <w:rStyle w:val="FootnoteTextChar"/>
          <w:i/>
        </w:rPr>
        <w:t>Respir</w:t>
      </w:r>
      <w:proofErr w:type="spellEnd"/>
      <w:r w:rsidRPr="008A4A1D">
        <w:rPr>
          <w:rStyle w:val="FootnoteTextChar"/>
          <w:i/>
        </w:rPr>
        <w:t xml:space="preserve"> J</w:t>
      </w:r>
      <w:r>
        <w:rPr>
          <w:rStyle w:val="FootnoteTextChar"/>
        </w:rPr>
        <w:t xml:space="preserve"> 2014; 43: </w:t>
      </w:r>
      <w:r w:rsidRPr="00E14798">
        <w:rPr>
          <w:rStyle w:val="FootnoteTextChar"/>
        </w:rPr>
        <w:t>343-</w:t>
      </w:r>
      <w:r>
        <w:rPr>
          <w:rStyle w:val="FootnoteTextChar"/>
        </w:rPr>
        <w:t>3</w:t>
      </w:r>
      <w:r w:rsidRPr="00E14798">
        <w:rPr>
          <w:rStyle w:val="FootnoteTextChar"/>
        </w:rPr>
        <w:t>73.</w:t>
      </w:r>
    </w:p>
  </w:footnote>
  <w:footnote w:id="22">
    <w:p w14:paraId="2A3D3F0C" w14:textId="77777777" w:rsidR="002471FD" w:rsidRPr="00E14798" w:rsidRDefault="002471FD">
      <w:pPr>
        <w:pStyle w:val="FootnoteText"/>
        <w:rPr>
          <w:lang w:val="en-US"/>
        </w:rPr>
      </w:pPr>
      <w:r>
        <w:rPr>
          <w:rStyle w:val="FootnoteReference"/>
        </w:rPr>
        <w:footnoteRef/>
      </w:r>
      <w:r>
        <w:t xml:space="preserve"> Price, D.B., et al</w:t>
      </w:r>
      <w:r w:rsidRPr="008A4A1D">
        <w:t>. Blood eosinophil count and prospective annual asthma disease burden: a UK cohort study.</w:t>
      </w:r>
      <w:r w:rsidRPr="0088280B">
        <w:t xml:space="preserve"> </w:t>
      </w:r>
      <w:r w:rsidRPr="008A4A1D">
        <w:rPr>
          <w:i/>
        </w:rPr>
        <w:t xml:space="preserve">Lancet </w:t>
      </w:r>
      <w:proofErr w:type="spellStart"/>
      <w:r w:rsidRPr="008A4A1D">
        <w:rPr>
          <w:i/>
        </w:rPr>
        <w:t>Respir</w:t>
      </w:r>
      <w:proofErr w:type="spellEnd"/>
      <w:r w:rsidRPr="008A4A1D">
        <w:rPr>
          <w:i/>
        </w:rPr>
        <w:t xml:space="preserve"> Med</w:t>
      </w:r>
      <w:r>
        <w:t xml:space="preserve"> 2015;</w:t>
      </w:r>
      <w:r w:rsidRPr="0088280B">
        <w:t xml:space="preserve"> </w:t>
      </w:r>
      <w:r w:rsidRPr="008A4A1D">
        <w:t>3</w:t>
      </w:r>
      <w:r>
        <w:t>:</w:t>
      </w:r>
      <w:r w:rsidRPr="0088280B">
        <w:t xml:space="preserve"> 849-</w:t>
      </w:r>
      <w:r>
        <w:t>8</w:t>
      </w:r>
      <w:r w:rsidRPr="0088280B">
        <w:t>58.</w:t>
      </w:r>
    </w:p>
  </w:footnote>
  <w:footnote w:id="23">
    <w:p w14:paraId="0FCBF399" w14:textId="3247A76F" w:rsidR="002471FD" w:rsidRPr="002734CC" w:rsidRDefault="002471FD">
      <w:pPr>
        <w:pStyle w:val="FootnoteText"/>
        <w:rPr>
          <w:lang w:val="en-US"/>
        </w:rPr>
      </w:pPr>
      <w:r w:rsidRPr="00795EEF">
        <w:rPr>
          <w:rStyle w:val="FootnoteReference"/>
        </w:rPr>
        <w:footnoteRef/>
      </w:r>
      <w:r w:rsidRPr="00795EEF">
        <w:t xml:space="preserve"> </w:t>
      </w:r>
      <w:r w:rsidRPr="00795EEF">
        <w:rPr>
          <w:lang w:val="en-US"/>
        </w:rPr>
        <w:t>These issues have been resolved.</w:t>
      </w:r>
    </w:p>
  </w:footnote>
  <w:footnote w:id="24">
    <w:p w14:paraId="0AA86B9B" w14:textId="77777777" w:rsidR="002471FD" w:rsidRPr="00E53A6B" w:rsidRDefault="002471FD">
      <w:pPr>
        <w:pStyle w:val="FootnoteText"/>
        <w:rPr>
          <w:lang w:val="en-US"/>
        </w:rPr>
      </w:pPr>
      <w:r>
        <w:rPr>
          <w:rStyle w:val="FootnoteReference"/>
        </w:rPr>
        <w:footnoteRef/>
      </w:r>
      <w:r>
        <w:t xml:space="preserve"> </w:t>
      </w:r>
      <w:r w:rsidRPr="00E53A6B">
        <w:rPr>
          <w:sz w:val="21"/>
          <w:szCs w:val="21"/>
        </w:rPr>
        <w:t>www.asthmaaustralia.org</w:t>
      </w:r>
      <w:r w:rsidRPr="00E53A6B">
        <w:rPr>
          <w:rStyle w:val="Hyperlink"/>
          <w:color w:val="auto"/>
          <w:sz w:val="21"/>
          <w:szCs w:val="21"/>
          <w:u w:val="none"/>
        </w:rPr>
        <w:t xml:space="preserve"> accessed November 2017</w:t>
      </w:r>
    </w:p>
  </w:footnote>
  <w:footnote w:id="25">
    <w:p w14:paraId="4BF058EE" w14:textId="77777777" w:rsidR="002471FD" w:rsidRPr="00405B1C" w:rsidRDefault="002471FD" w:rsidP="00405B1C">
      <w:pPr>
        <w:rPr>
          <w:rStyle w:val="FootnoteTextChar"/>
        </w:rPr>
      </w:pPr>
      <w:r>
        <w:rPr>
          <w:rStyle w:val="FootnoteReference"/>
        </w:rPr>
        <w:footnoteRef/>
      </w:r>
      <w:r>
        <w:t xml:space="preserve"> </w:t>
      </w:r>
      <w:r w:rsidRPr="00405B1C">
        <w:rPr>
          <w:rStyle w:val="FootnoteTextChar"/>
        </w:rPr>
        <w:t xml:space="preserve">GINA 2011 Global Strategy for Asthma Management and Prevention, Global Initiative for Asthma (GINA) Updated 2011. Available from: URL: http://ginasthma.org. </w:t>
      </w:r>
      <w:proofErr w:type="gramStart"/>
      <w:r w:rsidRPr="00405B1C">
        <w:rPr>
          <w:rStyle w:val="FootnoteTextChar"/>
        </w:rPr>
        <w:t>Accessed May 2011.</w:t>
      </w:r>
      <w:proofErr w:type="gramEnd"/>
    </w:p>
  </w:footnote>
  <w:footnote w:id="26">
    <w:p w14:paraId="5E908FDB" w14:textId="77777777" w:rsidR="002471FD" w:rsidRPr="00757A38" w:rsidRDefault="002471FD">
      <w:pPr>
        <w:pStyle w:val="FootnoteText"/>
        <w:rPr>
          <w:lang w:val="en-US"/>
        </w:rPr>
      </w:pPr>
      <w:r>
        <w:rPr>
          <w:rStyle w:val="FootnoteReference"/>
        </w:rPr>
        <w:footnoteRef/>
      </w:r>
      <w:r>
        <w:t xml:space="preserve"> </w:t>
      </w:r>
      <w:r w:rsidRPr="00757A38">
        <w:t>Summary of the adolescent data provided in the US Fasenra dossier, which is in line with that submitted in AU</w:t>
      </w:r>
    </w:p>
  </w:footnote>
  <w:footnote w:id="27">
    <w:p w14:paraId="7BE4B8F6" w14:textId="77777777" w:rsidR="002471FD" w:rsidRPr="00DF0407" w:rsidRDefault="002471FD" w:rsidP="003943D8">
      <w:pPr>
        <w:pStyle w:val="FootnoteText"/>
        <w:rPr>
          <w:lang w:val="en-US"/>
        </w:rPr>
      </w:pPr>
      <w:r>
        <w:rPr>
          <w:rStyle w:val="FootnoteReference"/>
        </w:rPr>
        <w:footnoteRef/>
      </w:r>
      <w:r>
        <w:t xml:space="preserve"> Australian Bureau of Statistics (ABS), Population projections, </w:t>
      </w:r>
      <w:proofErr w:type="gramStart"/>
      <w:r>
        <w:t>By</w:t>
      </w:r>
      <w:proofErr w:type="gramEnd"/>
      <w:r>
        <w:t xml:space="preserve"> age and sex, Australia - Series B catalogue 3222.0. </w:t>
      </w:r>
      <w:proofErr w:type="gramStart"/>
      <w:r>
        <w:t>Website.</w:t>
      </w:r>
      <w:proofErr w:type="gramEnd"/>
      <w:r>
        <w:t xml:space="preserve"> Available at: http://www.abs.gov.au/websitedbs/D3310114.nsf/home/Home</w:t>
      </w:r>
    </w:p>
  </w:footnote>
  <w:footnote w:id="28">
    <w:p w14:paraId="10989F52" w14:textId="77777777" w:rsidR="002471FD" w:rsidRPr="00F41AF6" w:rsidRDefault="002471FD" w:rsidP="003943D8">
      <w:pPr>
        <w:pStyle w:val="FootnoteText"/>
        <w:rPr>
          <w:lang w:val="en-US"/>
        </w:rPr>
      </w:pPr>
      <w:r>
        <w:rPr>
          <w:rStyle w:val="FootnoteReference"/>
        </w:rPr>
        <w:footnoteRef/>
      </w:r>
      <w:r>
        <w:t xml:space="preserve"> </w:t>
      </w:r>
      <w:r w:rsidRPr="00042F57">
        <w:t>Bettering the Evaluation and Care of Health (BEACH-SAN</w:t>
      </w:r>
      <w:r>
        <w:t xml:space="preserve">D report), Management of asthma </w:t>
      </w:r>
      <w:r w:rsidRPr="00042F57">
        <w:t>and COPD in Australian general practice patients – 2015, Block 173B</w:t>
      </w:r>
    </w:p>
  </w:footnote>
  <w:footnote w:id="29">
    <w:p w14:paraId="4A24BA1F" w14:textId="77777777" w:rsidR="002471FD" w:rsidRPr="00610926" w:rsidRDefault="002471FD" w:rsidP="003943D8">
      <w:pPr>
        <w:pStyle w:val="FootnoteText"/>
        <w:rPr>
          <w:lang w:val="en-US"/>
        </w:rPr>
      </w:pPr>
      <w:r>
        <w:rPr>
          <w:rStyle w:val="FootnoteReference"/>
        </w:rPr>
        <w:footnoteRef/>
      </w:r>
      <w:r>
        <w:t xml:space="preserve"> </w:t>
      </w:r>
      <w:r w:rsidRPr="00042F57">
        <w:t>Goldman M et al.</w:t>
      </w:r>
      <w:r>
        <w:t xml:space="preserve"> 2017</w:t>
      </w:r>
      <w:r w:rsidRPr="00042F57">
        <w:t xml:space="preserve"> </w:t>
      </w:r>
      <w:proofErr w:type="gramStart"/>
      <w:r w:rsidRPr="00042F57">
        <w:t>The</w:t>
      </w:r>
      <w:proofErr w:type="gramEnd"/>
      <w:r w:rsidRPr="00042F57">
        <w:t xml:space="preserve"> association between blood eosinophil </w:t>
      </w:r>
      <w:r>
        <w:t xml:space="preserve">count and benralizumab efficacy </w:t>
      </w:r>
      <w:r w:rsidRPr="00042F57">
        <w:t>for patients with severe, uncontrolled asthma: sub analys</w:t>
      </w:r>
      <w:r>
        <w:t xml:space="preserve">es of the Phase III SIROCCO and </w:t>
      </w:r>
      <w:r w:rsidRPr="00042F57">
        <w:t xml:space="preserve">CALIMA studies. </w:t>
      </w:r>
      <w:proofErr w:type="spellStart"/>
      <w:r w:rsidRPr="00F41AF6">
        <w:rPr>
          <w:i/>
        </w:rPr>
        <w:t>Curr</w:t>
      </w:r>
      <w:proofErr w:type="spellEnd"/>
      <w:r w:rsidRPr="00F41AF6">
        <w:rPr>
          <w:i/>
        </w:rPr>
        <w:t xml:space="preserve"> Med Res and Opinion</w:t>
      </w:r>
      <w:r w:rsidRPr="00042F57">
        <w:t xml:space="preserve"> (2017):1473-4877.</w:t>
      </w:r>
    </w:p>
  </w:footnote>
  <w:footnote w:id="30">
    <w:p w14:paraId="7E050CFA" w14:textId="77777777" w:rsidR="002471FD" w:rsidRPr="00610926" w:rsidRDefault="002471FD" w:rsidP="003943D8">
      <w:pPr>
        <w:pStyle w:val="FootnoteText"/>
        <w:rPr>
          <w:lang w:val="en-US"/>
        </w:rPr>
      </w:pPr>
      <w:r>
        <w:rPr>
          <w:rStyle w:val="FootnoteReference"/>
        </w:rPr>
        <w:footnoteRef/>
      </w:r>
      <w:r>
        <w:t xml:space="preserve"> </w:t>
      </w:r>
      <w:proofErr w:type="spellStart"/>
      <w:proofErr w:type="gramStart"/>
      <w:r w:rsidRPr="00042F57">
        <w:t>Coumou</w:t>
      </w:r>
      <w:proofErr w:type="spellEnd"/>
      <w:r w:rsidRPr="00042F57">
        <w:t xml:space="preserve"> H, Bel EH.</w:t>
      </w:r>
      <w:proofErr w:type="gramEnd"/>
      <w:r w:rsidRPr="00042F57">
        <w:t xml:space="preserve"> </w:t>
      </w:r>
      <w:proofErr w:type="gramStart"/>
      <w:r>
        <w:t xml:space="preserve">2016 </w:t>
      </w:r>
      <w:r w:rsidRPr="00042F57">
        <w:t>Improving the diagnosis of eosinophilic asthma.</w:t>
      </w:r>
      <w:proofErr w:type="gramEnd"/>
      <w:r w:rsidRPr="00042F57">
        <w:t xml:space="preserve"> </w:t>
      </w:r>
      <w:r w:rsidRPr="00F41AF6">
        <w:rPr>
          <w:i/>
        </w:rPr>
        <w:t xml:space="preserve">Expert Rev </w:t>
      </w:r>
      <w:proofErr w:type="spellStart"/>
      <w:r w:rsidRPr="00F41AF6">
        <w:rPr>
          <w:i/>
        </w:rPr>
        <w:t>Respir</w:t>
      </w:r>
      <w:proofErr w:type="spellEnd"/>
      <w:r w:rsidRPr="00F41AF6">
        <w:rPr>
          <w:i/>
        </w:rPr>
        <w:t xml:space="preserve"> Med</w:t>
      </w:r>
      <w:r>
        <w:t>. 2016</w:t>
      </w:r>
      <w:r w:rsidRPr="00042F57">
        <w:t>;</w:t>
      </w:r>
      <w:r>
        <w:t xml:space="preserve"> 10</w:t>
      </w:r>
      <w:r w:rsidRPr="00042F57">
        <w:t>:</w:t>
      </w:r>
      <w:r>
        <w:t xml:space="preserve"> </w:t>
      </w:r>
      <w:r w:rsidRPr="00042F57">
        <w:t>1093-</w:t>
      </w:r>
      <w:r>
        <w:t>1</w:t>
      </w:r>
      <w:r w:rsidRPr="00042F57">
        <w:t>103</w:t>
      </w:r>
    </w:p>
  </w:footnote>
  <w:footnote w:id="31">
    <w:p w14:paraId="22CFCB3B" w14:textId="77777777" w:rsidR="002471FD" w:rsidRPr="00610926" w:rsidRDefault="002471FD" w:rsidP="003943D8">
      <w:pPr>
        <w:pStyle w:val="FootnoteText"/>
        <w:rPr>
          <w:lang w:val="en-US"/>
        </w:rPr>
      </w:pPr>
      <w:r>
        <w:rPr>
          <w:rStyle w:val="FootnoteReference"/>
        </w:rPr>
        <w:footnoteRef/>
      </w:r>
      <w:r>
        <w:t xml:space="preserve"> </w:t>
      </w:r>
      <w:r w:rsidRPr="00551FC2">
        <w:t xml:space="preserve">Louis </w:t>
      </w:r>
      <w:r>
        <w:t xml:space="preserve">R </w:t>
      </w:r>
      <w:r w:rsidRPr="00551FC2">
        <w:t>et al 2000</w:t>
      </w:r>
      <w:r w:rsidRPr="008439E0">
        <w:t xml:space="preserve"> </w:t>
      </w:r>
      <w:proofErr w:type="gramStart"/>
      <w:r>
        <w:t>The</w:t>
      </w:r>
      <w:proofErr w:type="gramEnd"/>
      <w:r>
        <w:t xml:space="preserve"> relationship </w:t>
      </w:r>
      <w:r w:rsidRPr="00042F57">
        <w:t xml:space="preserve">between airways inflammation and asthma severity. </w:t>
      </w:r>
      <w:r w:rsidRPr="00F41AF6">
        <w:rPr>
          <w:i/>
        </w:rPr>
        <w:t xml:space="preserve">Am J </w:t>
      </w:r>
      <w:proofErr w:type="spellStart"/>
      <w:r w:rsidRPr="00F41AF6">
        <w:rPr>
          <w:i/>
        </w:rPr>
        <w:t>Respir</w:t>
      </w:r>
      <w:proofErr w:type="spellEnd"/>
      <w:r w:rsidRPr="00F41AF6">
        <w:rPr>
          <w:i/>
        </w:rPr>
        <w:t xml:space="preserve"> </w:t>
      </w:r>
      <w:proofErr w:type="spellStart"/>
      <w:r w:rsidRPr="00F41AF6">
        <w:rPr>
          <w:i/>
        </w:rPr>
        <w:t>Crit</w:t>
      </w:r>
      <w:proofErr w:type="spellEnd"/>
      <w:r w:rsidRPr="00F41AF6">
        <w:rPr>
          <w:i/>
        </w:rPr>
        <w:t xml:space="preserve"> Care Med</w:t>
      </w:r>
      <w:r>
        <w:t xml:space="preserve"> 2000; 161: 9-</w:t>
      </w:r>
      <w:r w:rsidRPr="00042F57">
        <w:t>16</w:t>
      </w:r>
    </w:p>
  </w:footnote>
  <w:footnote w:id="32">
    <w:p w14:paraId="18B46C61" w14:textId="77777777" w:rsidR="002471FD" w:rsidRPr="00610926" w:rsidRDefault="002471FD" w:rsidP="003943D8">
      <w:pPr>
        <w:pStyle w:val="FootnoteText"/>
        <w:rPr>
          <w:lang w:val="en-US"/>
        </w:rPr>
      </w:pPr>
      <w:r>
        <w:rPr>
          <w:rStyle w:val="FootnoteReference"/>
        </w:rPr>
        <w:footnoteRef/>
      </w:r>
      <w:r>
        <w:t xml:space="preserve"> </w:t>
      </w:r>
      <w:proofErr w:type="spellStart"/>
      <w:r w:rsidRPr="00551FC2">
        <w:t>Jatakanon</w:t>
      </w:r>
      <w:proofErr w:type="spellEnd"/>
      <w:r>
        <w:t xml:space="preserve"> A</w:t>
      </w:r>
      <w:r w:rsidRPr="00551FC2">
        <w:t xml:space="preserve"> et al 2000</w:t>
      </w:r>
      <w:r w:rsidRPr="008439E0">
        <w:t xml:space="preserve"> </w:t>
      </w:r>
      <w:r w:rsidRPr="00042F57">
        <w:t xml:space="preserve">Changes in sputum eosinophils </w:t>
      </w:r>
      <w:r>
        <w:t xml:space="preserve">predict loss of asthma control. </w:t>
      </w:r>
      <w:r w:rsidRPr="00F41AF6">
        <w:rPr>
          <w:i/>
        </w:rPr>
        <w:t xml:space="preserve">Am J </w:t>
      </w:r>
      <w:proofErr w:type="spellStart"/>
      <w:r w:rsidRPr="00F41AF6">
        <w:rPr>
          <w:i/>
        </w:rPr>
        <w:t>Respir</w:t>
      </w:r>
      <w:proofErr w:type="spellEnd"/>
      <w:r w:rsidRPr="00F41AF6">
        <w:rPr>
          <w:i/>
        </w:rPr>
        <w:t xml:space="preserve"> </w:t>
      </w:r>
      <w:proofErr w:type="spellStart"/>
      <w:r w:rsidRPr="00F41AF6">
        <w:rPr>
          <w:i/>
        </w:rPr>
        <w:t>Crit</w:t>
      </w:r>
      <w:proofErr w:type="spellEnd"/>
      <w:r w:rsidRPr="00F41AF6">
        <w:rPr>
          <w:i/>
        </w:rPr>
        <w:t xml:space="preserve"> Care Med.</w:t>
      </w:r>
      <w:r w:rsidRPr="00042F57">
        <w:t xml:space="preserve"> 2000;</w:t>
      </w:r>
      <w:r>
        <w:t xml:space="preserve"> 161</w:t>
      </w:r>
      <w:r w:rsidRPr="00042F57">
        <w:t>:</w:t>
      </w:r>
      <w:r>
        <w:t xml:space="preserve"> </w:t>
      </w:r>
      <w:r w:rsidRPr="00042F57">
        <w:t>64-72</w:t>
      </w:r>
    </w:p>
  </w:footnote>
  <w:footnote w:id="33">
    <w:p w14:paraId="5CAE85D3" w14:textId="77777777" w:rsidR="002471FD" w:rsidRPr="00610926" w:rsidRDefault="002471FD" w:rsidP="003943D8">
      <w:pPr>
        <w:pStyle w:val="FootnoteText"/>
        <w:rPr>
          <w:lang w:val="en-US"/>
        </w:rPr>
      </w:pPr>
      <w:r>
        <w:rPr>
          <w:rStyle w:val="FootnoteReference"/>
        </w:rPr>
        <w:footnoteRef/>
      </w:r>
      <w:r>
        <w:t xml:space="preserve"> </w:t>
      </w:r>
      <w:proofErr w:type="gramStart"/>
      <w:r>
        <w:t xml:space="preserve">Woodruff PG et al 2001 </w:t>
      </w:r>
      <w:r w:rsidRPr="00042F57">
        <w:t>Relatio</w:t>
      </w:r>
      <w:r>
        <w:t xml:space="preserve">nship </w:t>
      </w:r>
      <w:r w:rsidRPr="00042F57">
        <w:t xml:space="preserve">between airway inflammation, </w:t>
      </w:r>
      <w:proofErr w:type="spellStart"/>
      <w:r w:rsidRPr="00042F57">
        <w:t>hyperresponsiveness</w:t>
      </w:r>
      <w:proofErr w:type="spellEnd"/>
      <w:r w:rsidRPr="00042F57">
        <w:t>, and obstru</w:t>
      </w:r>
      <w:r>
        <w:t>ction in asthma.</w:t>
      </w:r>
      <w:proofErr w:type="gramEnd"/>
      <w:r>
        <w:t xml:space="preserve"> </w:t>
      </w:r>
      <w:proofErr w:type="gramStart"/>
      <w:r w:rsidRPr="00F41AF6">
        <w:rPr>
          <w:i/>
        </w:rPr>
        <w:t xml:space="preserve">J Allergy </w:t>
      </w:r>
      <w:proofErr w:type="spellStart"/>
      <w:r w:rsidRPr="00F41AF6">
        <w:rPr>
          <w:i/>
        </w:rPr>
        <w:t>Clin</w:t>
      </w:r>
      <w:proofErr w:type="spellEnd"/>
      <w:r w:rsidRPr="00F41AF6">
        <w:rPr>
          <w:i/>
        </w:rPr>
        <w:t xml:space="preserve"> </w:t>
      </w:r>
      <w:proofErr w:type="spellStart"/>
      <w:r w:rsidRPr="00F41AF6">
        <w:rPr>
          <w:i/>
        </w:rPr>
        <w:t>Immunol</w:t>
      </w:r>
      <w:proofErr w:type="spellEnd"/>
      <w:r w:rsidRPr="00F41AF6">
        <w:rPr>
          <w:i/>
        </w:rPr>
        <w:t>.</w:t>
      </w:r>
      <w:proofErr w:type="gramEnd"/>
      <w:r w:rsidRPr="00042F57">
        <w:t xml:space="preserve"> </w:t>
      </w:r>
      <w:proofErr w:type="gramStart"/>
      <w:r w:rsidRPr="00042F57">
        <w:t>2001;</w:t>
      </w:r>
      <w:r>
        <w:t xml:space="preserve"> 108</w:t>
      </w:r>
      <w:r w:rsidRPr="00042F57">
        <w:t>:</w:t>
      </w:r>
      <w:r>
        <w:t xml:space="preserve"> </w:t>
      </w:r>
      <w:r w:rsidRPr="00042F57">
        <w:t>753-</w:t>
      </w:r>
      <w:r>
        <w:t>75</w:t>
      </w:r>
      <w:r w:rsidRPr="00042F57">
        <w:t>8.</w:t>
      </w:r>
      <w:proofErr w:type="gramEnd"/>
    </w:p>
  </w:footnote>
  <w:footnote w:id="34">
    <w:p w14:paraId="2E50DF86" w14:textId="77777777" w:rsidR="002471FD" w:rsidRPr="008439E0" w:rsidRDefault="002471FD" w:rsidP="003943D8">
      <w:pPr>
        <w:pStyle w:val="FootnoteText"/>
      </w:pPr>
      <w:r w:rsidRPr="008B6F19">
        <w:rPr>
          <w:rStyle w:val="FootnoteReference"/>
        </w:rPr>
        <w:footnoteRef/>
      </w:r>
      <w:r w:rsidRPr="008B6F19">
        <w:t xml:space="preserve"> </w:t>
      </w:r>
      <w:proofErr w:type="spellStart"/>
      <w:proofErr w:type="gramStart"/>
      <w:r w:rsidRPr="008B6F19">
        <w:t>Bousquet</w:t>
      </w:r>
      <w:proofErr w:type="spellEnd"/>
      <w:r w:rsidRPr="008B6F19">
        <w:t xml:space="preserve"> et al Eosinophilic inflammation in asthma.</w:t>
      </w:r>
      <w:proofErr w:type="gramEnd"/>
      <w:r w:rsidRPr="008B6F19">
        <w:t xml:space="preserve"> </w:t>
      </w:r>
      <w:r w:rsidRPr="008B6F19">
        <w:rPr>
          <w:i/>
        </w:rPr>
        <w:t xml:space="preserve">N </w:t>
      </w:r>
      <w:proofErr w:type="spellStart"/>
      <w:r w:rsidRPr="008B6F19">
        <w:rPr>
          <w:i/>
        </w:rPr>
        <w:t>Engl</w:t>
      </w:r>
      <w:proofErr w:type="spellEnd"/>
      <w:r w:rsidRPr="008B6F19">
        <w:rPr>
          <w:i/>
        </w:rPr>
        <w:t xml:space="preserve"> J Med </w:t>
      </w:r>
      <w:r w:rsidRPr="008B6F19">
        <w:t>1990; 323:1033-1039.</w:t>
      </w:r>
    </w:p>
  </w:footnote>
  <w:footnote w:id="35">
    <w:p w14:paraId="6F9BD26C" w14:textId="77777777" w:rsidR="002471FD" w:rsidRPr="00610926" w:rsidRDefault="002471FD" w:rsidP="003943D8">
      <w:pPr>
        <w:pStyle w:val="FootnoteText"/>
        <w:rPr>
          <w:lang w:val="en-US"/>
        </w:rPr>
      </w:pPr>
      <w:r>
        <w:rPr>
          <w:rStyle w:val="FootnoteReference"/>
        </w:rPr>
        <w:footnoteRef/>
      </w:r>
      <w:r>
        <w:t xml:space="preserve"> </w:t>
      </w:r>
      <w:proofErr w:type="spellStart"/>
      <w:r>
        <w:t>HospersJJ</w:t>
      </w:r>
      <w:proofErr w:type="spellEnd"/>
      <w:r>
        <w:t xml:space="preserve"> et </w:t>
      </w:r>
      <w:r w:rsidRPr="00551FC2">
        <w:t>al 2000</w:t>
      </w:r>
      <w:r w:rsidRPr="00042F57">
        <w:t xml:space="preserve">. </w:t>
      </w:r>
      <w:r>
        <w:t xml:space="preserve">Eosinophilia is associated with </w:t>
      </w:r>
      <w:r w:rsidRPr="00042F57">
        <w:t xml:space="preserve">increased all-cause mortality after a follow-up of 30 years </w:t>
      </w:r>
      <w:r>
        <w:t>in a general population sample</w:t>
      </w:r>
      <w:r w:rsidRPr="008B6F19">
        <w:rPr>
          <w:i/>
        </w:rPr>
        <w:t xml:space="preserve">. </w:t>
      </w:r>
      <w:proofErr w:type="gramStart"/>
      <w:r w:rsidRPr="008B6F19">
        <w:rPr>
          <w:i/>
        </w:rPr>
        <w:t>Epidemiology</w:t>
      </w:r>
      <w:r w:rsidRPr="00042F57">
        <w:t>.</w:t>
      </w:r>
      <w:proofErr w:type="gramEnd"/>
      <w:r w:rsidRPr="00042F57">
        <w:t xml:space="preserve"> 2000;</w:t>
      </w:r>
      <w:r>
        <w:t xml:space="preserve"> </w:t>
      </w:r>
      <w:r w:rsidRPr="00042F57">
        <w:t>11:</w:t>
      </w:r>
      <w:r>
        <w:t xml:space="preserve"> </w:t>
      </w:r>
      <w:r w:rsidRPr="00042F57">
        <w:t>261-</w:t>
      </w:r>
      <w:r>
        <w:t>26</w:t>
      </w:r>
      <w:r w:rsidRPr="00042F57">
        <w:t>8</w:t>
      </w:r>
    </w:p>
  </w:footnote>
  <w:footnote w:id="36">
    <w:p w14:paraId="47E462A9" w14:textId="77777777" w:rsidR="002471FD" w:rsidRPr="00610926" w:rsidRDefault="002471FD" w:rsidP="003943D8">
      <w:pPr>
        <w:pStyle w:val="FootnoteText"/>
        <w:rPr>
          <w:lang w:val="en-US"/>
        </w:rPr>
      </w:pPr>
      <w:r>
        <w:rPr>
          <w:rStyle w:val="FootnoteReference"/>
        </w:rPr>
        <w:footnoteRef/>
      </w:r>
      <w:r>
        <w:t xml:space="preserve"> </w:t>
      </w:r>
      <w:r w:rsidRPr="00551FC2">
        <w:t>Price</w:t>
      </w:r>
      <w:r>
        <w:t xml:space="preserve"> D</w:t>
      </w:r>
      <w:r w:rsidRPr="00551FC2">
        <w:t xml:space="preserve"> et al 2016</w:t>
      </w:r>
      <w:r w:rsidRPr="008439E0">
        <w:t xml:space="preserve"> </w:t>
      </w:r>
      <w:r>
        <w:t xml:space="preserve">Predicting frequent </w:t>
      </w:r>
      <w:r w:rsidRPr="00042F57">
        <w:t>asthma exacerbations using blood eosinophil count and other p</w:t>
      </w:r>
      <w:r>
        <w:t xml:space="preserve">atient data routinely available </w:t>
      </w:r>
      <w:r w:rsidRPr="00042F57">
        <w:t xml:space="preserve">in clinical practice. </w:t>
      </w:r>
      <w:proofErr w:type="gramStart"/>
      <w:r w:rsidRPr="008B6F19">
        <w:rPr>
          <w:i/>
        </w:rPr>
        <w:t>J Asthma Allergy</w:t>
      </w:r>
      <w:r w:rsidRPr="00042F57">
        <w:t>.</w:t>
      </w:r>
      <w:proofErr w:type="gramEnd"/>
      <w:r w:rsidRPr="00042F57">
        <w:t xml:space="preserve"> 2016;</w:t>
      </w:r>
      <w:r>
        <w:t xml:space="preserve"> </w:t>
      </w:r>
      <w:r w:rsidRPr="00042F57">
        <w:t>9:</w:t>
      </w:r>
      <w:r>
        <w:t xml:space="preserve"> </w:t>
      </w:r>
      <w:r w:rsidRPr="00042F57">
        <w:t>1-12</w:t>
      </w:r>
    </w:p>
  </w:footnote>
  <w:footnote w:id="37">
    <w:p w14:paraId="1FA9B6C0" w14:textId="77777777" w:rsidR="002471FD" w:rsidRPr="00610926" w:rsidRDefault="002471FD" w:rsidP="003943D8">
      <w:pPr>
        <w:pStyle w:val="FootnoteText"/>
        <w:rPr>
          <w:lang w:val="en-US"/>
        </w:rPr>
      </w:pPr>
      <w:r>
        <w:rPr>
          <w:rStyle w:val="FootnoteReference"/>
        </w:rPr>
        <w:footnoteRef/>
      </w:r>
      <w:r>
        <w:t xml:space="preserve"> </w:t>
      </w:r>
      <w:proofErr w:type="spellStart"/>
      <w:r w:rsidRPr="00551FC2">
        <w:t>Talini</w:t>
      </w:r>
      <w:proofErr w:type="spellEnd"/>
      <w:r>
        <w:t xml:space="preserve"> D</w:t>
      </w:r>
      <w:r w:rsidRPr="00551FC2">
        <w:t xml:space="preserve"> et al 2015</w:t>
      </w:r>
      <w:r>
        <w:t xml:space="preserve">. Sputum eosinophilia is a </w:t>
      </w:r>
      <w:r w:rsidRPr="00042F57">
        <w:t>determinant of FEV1 decline in occupational asthma: Results</w:t>
      </w:r>
      <w:r>
        <w:t xml:space="preserve"> of an observational study</w:t>
      </w:r>
      <w:r w:rsidRPr="008B6F19">
        <w:rPr>
          <w:i/>
        </w:rPr>
        <w:t xml:space="preserve">. </w:t>
      </w:r>
      <w:proofErr w:type="gramStart"/>
      <w:r w:rsidRPr="008B6F19">
        <w:rPr>
          <w:i/>
        </w:rPr>
        <w:t>BMJ Open</w:t>
      </w:r>
      <w:r>
        <w:t>.</w:t>
      </w:r>
      <w:proofErr w:type="gramEnd"/>
      <w:r>
        <w:t xml:space="preserve"> 2015; 5</w:t>
      </w:r>
      <w:r w:rsidRPr="00042F57">
        <w:t>:</w:t>
      </w:r>
      <w:r>
        <w:t xml:space="preserve"> </w:t>
      </w:r>
      <w:r w:rsidRPr="00042F57">
        <w:t>e005748</w:t>
      </w:r>
    </w:p>
  </w:footnote>
  <w:footnote w:id="38">
    <w:p w14:paraId="4CD4B6EC" w14:textId="77777777" w:rsidR="002471FD" w:rsidRPr="00610926" w:rsidRDefault="002471FD" w:rsidP="003943D8">
      <w:pPr>
        <w:pStyle w:val="FootnoteText"/>
        <w:rPr>
          <w:lang w:val="en-US"/>
        </w:rPr>
      </w:pPr>
      <w:r>
        <w:rPr>
          <w:rStyle w:val="FootnoteReference"/>
        </w:rPr>
        <w:footnoteRef/>
      </w:r>
      <w:r>
        <w:t xml:space="preserve"> </w:t>
      </w:r>
      <w:proofErr w:type="spellStart"/>
      <w:r>
        <w:t>Zeiger</w:t>
      </w:r>
      <w:proofErr w:type="spellEnd"/>
      <w:r>
        <w:t xml:space="preserve"> RS et al 2014. High blood eosinophil </w:t>
      </w:r>
      <w:r w:rsidRPr="00042F57">
        <w:t>count is a risk factor for future asthma exacerbations in adult pe</w:t>
      </w:r>
      <w:r>
        <w:t>rsistent asthma</w:t>
      </w:r>
      <w:r w:rsidRPr="008B6F19">
        <w:rPr>
          <w:i/>
        </w:rPr>
        <w:t xml:space="preserve">. </w:t>
      </w:r>
      <w:proofErr w:type="gramStart"/>
      <w:r w:rsidRPr="008B6F19">
        <w:rPr>
          <w:i/>
        </w:rPr>
        <w:t xml:space="preserve">J Allergy </w:t>
      </w:r>
      <w:proofErr w:type="spellStart"/>
      <w:r w:rsidRPr="008B6F19">
        <w:rPr>
          <w:i/>
        </w:rPr>
        <w:t>Clin</w:t>
      </w:r>
      <w:proofErr w:type="spellEnd"/>
      <w:r w:rsidRPr="008B6F19">
        <w:rPr>
          <w:i/>
        </w:rPr>
        <w:t xml:space="preserve"> </w:t>
      </w:r>
      <w:proofErr w:type="spellStart"/>
      <w:r w:rsidRPr="008B6F19">
        <w:rPr>
          <w:i/>
        </w:rPr>
        <w:t>Immunol</w:t>
      </w:r>
      <w:proofErr w:type="spellEnd"/>
      <w:r w:rsidRPr="008B6F19">
        <w:rPr>
          <w:i/>
        </w:rPr>
        <w:t xml:space="preserve"> </w:t>
      </w:r>
      <w:proofErr w:type="spellStart"/>
      <w:r w:rsidRPr="008B6F19">
        <w:rPr>
          <w:i/>
        </w:rPr>
        <w:t>Pract</w:t>
      </w:r>
      <w:proofErr w:type="spellEnd"/>
      <w:r w:rsidRPr="00042F57">
        <w:t>.</w:t>
      </w:r>
      <w:proofErr w:type="gramEnd"/>
      <w:r w:rsidRPr="00042F57">
        <w:t xml:space="preserve"> 2014;</w:t>
      </w:r>
      <w:r>
        <w:t xml:space="preserve"> 2</w:t>
      </w:r>
      <w:r w:rsidRPr="00042F57">
        <w:t>:</w:t>
      </w:r>
      <w:r>
        <w:t xml:space="preserve"> </w:t>
      </w:r>
      <w:r w:rsidRPr="00042F57">
        <w:t>741-</w:t>
      </w:r>
      <w:r>
        <w:t>7</w:t>
      </w:r>
      <w:r w:rsidRPr="00042F57">
        <w:t>50</w:t>
      </w:r>
    </w:p>
  </w:footnote>
  <w:footnote w:id="39">
    <w:p w14:paraId="177A470A" w14:textId="77777777" w:rsidR="002471FD" w:rsidRPr="00610926" w:rsidRDefault="002471FD" w:rsidP="003943D8">
      <w:pPr>
        <w:pStyle w:val="FootnoteText"/>
        <w:rPr>
          <w:lang w:val="en-US"/>
        </w:rPr>
      </w:pPr>
      <w:r>
        <w:rPr>
          <w:rStyle w:val="FootnoteReference"/>
        </w:rPr>
        <w:footnoteRef/>
      </w:r>
      <w:r>
        <w:t xml:space="preserve"> </w:t>
      </w:r>
      <w:r w:rsidRPr="00551FC2">
        <w:t>Fowler</w:t>
      </w:r>
      <w:r>
        <w:t xml:space="preserve"> SJ </w:t>
      </w:r>
      <w:r w:rsidRPr="00551FC2">
        <w:t>et al</w:t>
      </w:r>
      <w:r>
        <w:t xml:space="preserve"> </w:t>
      </w:r>
      <w:r w:rsidRPr="00551FC2">
        <w:t>2015</w:t>
      </w:r>
      <w:r w:rsidRPr="00042F57">
        <w:t>. High blood eosinophil cou</w:t>
      </w:r>
      <w:r>
        <w:t xml:space="preserve">nts predict sputum eosinophilia </w:t>
      </w:r>
      <w:r w:rsidRPr="00042F57">
        <w:t xml:space="preserve">in patients with severe asthma. </w:t>
      </w:r>
      <w:proofErr w:type="gramStart"/>
      <w:r w:rsidRPr="008B6F19">
        <w:rPr>
          <w:i/>
        </w:rPr>
        <w:t xml:space="preserve">J Allergy </w:t>
      </w:r>
      <w:proofErr w:type="spellStart"/>
      <w:r w:rsidRPr="008B6F19">
        <w:rPr>
          <w:i/>
        </w:rPr>
        <w:t>Clin</w:t>
      </w:r>
      <w:proofErr w:type="spellEnd"/>
      <w:r w:rsidRPr="008B6F19">
        <w:rPr>
          <w:i/>
        </w:rPr>
        <w:t xml:space="preserve"> </w:t>
      </w:r>
      <w:proofErr w:type="spellStart"/>
      <w:r w:rsidRPr="008B6F19">
        <w:rPr>
          <w:i/>
        </w:rPr>
        <w:t>Immunol</w:t>
      </w:r>
      <w:proofErr w:type="spellEnd"/>
      <w:r w:rsidRPr="008B6F19">
        <w:rPr>
          <w:i/>
        </w:rPr>
        <w:t>.</w:t>
      </w:r>
      <w:proofErr w:type="gramEnd"/>
      <w:r w:rsidRPr="00042F57">
        <w:t xml:space="preserve"> 2015;</w:t>
      </w:r>
      <w:r>
        <w:t xml:space="preserve"> </w:t>
      </w:r>
      <w:proofErr w:type="gramStart"/>
      <w:r w:rsidRPr="00042F57">
        <w:t>135</w:t>
      </w:r>
      <w:r>
        <w:t xml:space="preserve"> </w:t>
      </w:r>
      <w:r w:rsidRPr="00042F57">
        <w:t>:</w:t>
      </w:r>
      <w:proofErr w:type="gramEnd"/>
      <w:r w:rsidRPr="00042F57">
        <w:t>822-</w:t>
      </w:r>
      <w:r>
        <w:t>82</w:t>
      </w:r>
      <w:r w:rsidRPr="00042F57">
        <w:t>4.</w:t>
      </w:r>
    </w:p>
  </w:footnote>
  <w:footnote w:id="40">
    <w:p w14:paraId="4904132A" w14:textId="77777777" w:rsidR="002471FD" w:rsidRPr="008B6F19" w:rsidRDefault="002471FD" w:rsidP="003943D8">
      <w:pPr>
        <w:pStyle w:val="FootnoteText"/>
      </w:pPr>
      <w:r w:rsidRPr="008B6F19">
        <w:rPr>
          <w:rStyle w:val="FootnoteReference"/>
        </w:rPr>
        <w:footnoteRef/>
      </w:r>
      <w:r w:rsidRPr="008B6F19">
        <w:t xml:space="preserve"> </w:t>
      </w:r>
      <w:proofErr w:type="spellStart"/>
      <w:r w:rsidRPr="008B6F19">
        <w:t>Schleich</w:t>
      </w:r>
      <w:proofErr w:type="spellEnd"/>
      <w:r w:rsidRPr="008B6F19">
        <w:t xml:space="preserve"> FN et al 2014. </w:t>
      </w:r>
      <w:proofErr w:type="gramStart"/>
      <w:r w:rsidRPr="008B6F19">
        <w:t>Importance</w:t>
      </w:r>
      <w:r>
        <w:t xml:space="preserve"> of concomitant local and systemic eosinophilia in uncontrolled asthma.</w:t>
      </w:r>
      <w:proofErr w:type="gramEnd"/>
      <w:r>
        <w:t xml:space="preserve"> </w:t>
      </w:r>
      <w:proofErr w:type="spellStart"/>
      <w:proofErr w:type="gramStart"/>
      <w:r w:rsidRPr="008B6F19">
        <w:rPr>
          <w:i/>
        </w:rPr>
        <w:t>Eur</w:t>
      </w:r>
      <w:proofErr w:type="spellEnd"/>
      <w:r w:rsidRPr="008B6F19">
        <w:rPr>
          <w:i/>
        </w:rPr>
        <w:t xml:space="preserve"> </w:t>
      </w:r>
      <w:proofErr w:type="spellStart"/>
      <w:r w:rsidRPr="008B6F19">
        <w:rPr>
          <w:i/>
        </w:rPr>
        <w:t>Respir</w:t>
      </w:r>
      <w:proofErr w:type="spellEnd"/>
      <w:r w:rsidRPr="008B6F19">
        <w:rPr>
          <w:i/>
        </w:rPr>
        <w:t xml:space="preserve"> J.</w:t>
      </w:r>
      <w:r>
        <w:t xml:space="preserve"> 2014; 44: 97-108.</w:t>
      </w:r>
      <w:proofErr w:type="gramEnd"/>
    </w:p>
  </w:footnote>
  <w:footnote w:id="41">
    <w:p w14:paraId="3C600581" w14:textId="77777777" w:rsidR="002471FD" w:rsidRPr="00610926" w:rsidRDefault="002471FD" w:rsidP="003943D8">
      <w:pPr>
        <w:pStyle w:val="FootnoteText"/>
        <w:rPr>
          <w:lang w:val="en-US"/>
        </w:rPr>
      </w:pPr>
      <w:r>
        <w:rPr>
          <w:rStyle w:val="FootnoteReference"/>
        </w:rPr>
        <w:footnoteRef/>
      </w:r>
      <w:r>
        <w:t xml:space="preserve"> </w:t>
      </w:r>
      <w:r w:rsidRPr="00551FC2">
        <w:t>Wagener</w:t>
      </w:r>
      <w:r>
        <w:t xml:space="preserve"> AH </w:t>
      </w:r>
      <w:r w:rsidRPr="00551FC2">
        <w:t>et al 2015</w:t>
      </w:r>
      <w:r>
        <w:t xml:space="preserve">. External validation </w:t>
      </w:r>
      <w:r w:rsidRPr="00042F57">
        <w:t xml:space="preserve">of blood eosinophils, </w:t>
      </w:r>
      <w:proofErr w:type="gramStart"/>
      <w:r w:rsidRPr="00042F57">
        <w:t>FE(</w:t>
      </w:r>
      <w:proofErr w:type="gramEnd"/>
      <w:r w:rsidRPr="00042F57">
        <w:t xml:space="preserve">NO) and serum </w:t>
      </w:r>
      <w:proofErr w:type="spellStart"/>
      <w:r w:rsidRPr="00042F57">
        <w:t>periostin</w:t>
      </w:r>
      <w:proofErr w:type="spellEnd"/>
      <w:r w:rsidRPr="00042F57">
        <w:t xml:space="preserve"> as surro</w:t>
      </w:r>
      <w:r>
        <w:t xml:space="preserve">gates for sputum eosinophils in </w:t>
      </w:r>
      <w:r w:rsidRPr="00042F57">
        <w:t xml:space="preserve">asthma. </w:t>
      </w:r>
      <w:proofErr w:type="gramStart"/>
      <w:r w:rsidRPr="008B6F19">
        <w:rPr>
          <w:i/>
        </w:rPr>
        <w:t>Thorax.</w:t>
      </w:r>
      <w:proofErr w:type="gramEnd"/>
      <w:r w:rsidRPr="00042F57">
        <w:t xml:space="preserve"> 2015;</w:t>
      </w:r>
      <w:r>
        <w:t xml:space="preserve"> 70</w:t>
      </w:r>
      <w:r w:rsidRPr="00042F57">
        <w:t>:</w:t>
      </w:r>
      <w:r>
        <w:t xml:space="preserve"> </w:t>
      </w:r>
      <w:r w:rsidRPr="00042F57">
        <w:t>115-</w:t>
      </w:r>
      <w:r>
        <w:t>1</w:t>
      </w:r>
      <w:r w:rsidRPr="00042F57">
        <w:t>20</w:t>
      </w:r>
    </w:p>
  </w:footnote>
  <w:footnote w:id="42">
    <w:p w14:paraId="4ABFF822" w14:textId="77777777" w:rsidR="002471FD" w:rsidRPr="00610926" w:rsidRDefault="002471FD" w:rsidP="003943D8">
      <w:pPr>
        <w:pStyle w:val="FootnoteText"/>
        <w:rPr>
          <w:lang w:val="en-US"/>
        </w:rPr>
      </w:pPr>
      <w:r>
        <w:rPr>
          <w:rStyle w:val="FootnoteReference"/>
        </w:rPr>
        <w:footnoteRef/>
      </w:r>
      <w:r>
        <w:t xml:space="preserve"> </w:t>
      </w:r>
      <w:proofErr w:type="spellStart"/>
      <w:r w:rsidRPr="00551FC2">
        <w:t>Westerhof</w:t>
      </w:r>
      <w:proofErr w:type="spellEnd"/>
      <w:r>
        <w:t xml:space="preserve"> GA </w:t>
      </w:r>
      <w:r w:rsidRPr="00551FC2">
        <w:t>et al 2015</w:t>
      </w:r>
      <w:r>
        <w:t xml:space="preserve">. </w:t>
      </w:r>
      <w:proofErr w:type="gramStart"/>
      <w:r w:rsidRPr="00042F57">
        <w:t xml:space="preserve">Biomarkers to identify sputum eosinophilia in different adult </w:t>
      </w:r>
      <w:r>
        <w:t>asthma phenotypes.</w:t>
      </w:r>
      <w:proofErr w:type="gramEnd"/>
      <w:r>
        <w:t xml:space="preserve"> </w:t>
      </w:r>
      <w:proofErr w:type="spellStart"/>
      <w:r w:rsidRPr="008B6F19">
        <w:rPr>
          <w:i/>
        </w:rPr>
        <w:t>Eur</w:t>
      </w:r>
      <w:proofErr w:type="spellEnd"/>
      <w:r w:rsidRPr="008B6F19">
        <w:rPr>
          <w:i/>
        </w:rPr>
        <w:t xml:space="preserve"> </w:t>
      </w:r>
      <w:proofErr w:type="spellStart"/>
      <w:r w:rsidRPr="008B6F19">
        <w:rPr>
          <w:i/>
        </w:rPr>
        <w:t>Respir</w:t>
      </w:r>
      <w:proofErr w:type="spellEnd"/>
      <w:r w:rsidRPr="008B6F19">
        <w:rPr>
          <w:i/>
        </w:rPr>
        <w:t xml:space="preserve"> J</w:t>
      </w:r>
      <w:r>
        <w:t xml:space="preserve"> </w:t>
      </w:r>
      <w:r w:rsidRPr="00042F57">
        <w:t>2015;</w:t>
      </w:r>
      <w:r>
        <w:t xml:space="preserve"> </w:t>
      </w:r>
      <w:r w:rsidRPr="00042F57">
        <w:t>46:</w:t>
      </w:r>
      <w:r>
        <w:t xml:space="preserve"> </w:t>
      </w:r>
      <w:r w:rsidRPr="00042F57">
        <w:t>688-</w:t>
      </w:r>
      <w:r>
        <w:t>6</w:t>
      </w:r>
      <w:r w:rsidRPr="00042F57">
        <w:t>96</w:t>
      </w:r>
    </w:p>
  </w:footnote>
  <w:footnote w:id="43">
    <w:p w14:paraId="419F1B20" w14:textId="77777777" w:rsidR="002471FD" w:rsidRPr="00610926" w:rsidRDefault="002471FD" w:rsidP="003943D8">
      <w:pPr>
        <w:pStyle w:val="FootnoteText"/>
        <w:rPr>
          <w:lang w:val="en-US"/>
        </w:rPr>
      </w:pPr>
      <w:r>
        <w:rPr>
          <w:rStyle w:val="FootnoteReference"/>
        </w:rPr>
        <w:footnoteRef/>
      </w:r>
      <w:r>
        <w:t xml:space="preserve"> </w:t>
      </w:r>
      <w:r w:rsidRPr="00551FC2">
        <w:t xml:space="preserve">Zhang </w:t>
      </w:r>
      <w:r>
        <w:t xml:space="preserve">X-Y </w:t>
      </w:r>
      <w:r w:rsidRPr="00551FC2">
        <w:t>et al 2014</w:t>
      </w:r>
      <w:r>
        <w:t xml:space="preserve">. </w:t>
      </w:r>
      <w:proofErr w:type="gramStart"/>
      <w:r>
        <w:t xml:space="preserve">Full blood </w:t>
      </w:r>
      <w:r w:rsidRPr="00042F57">
        <w:t>count parameters for the detection of asthma inflammator</w:t>
      </w:r>
      <w:r>
        <w:t>y phenotypes.</w:t>
      </w:r>
      <w:proofErr w:type="gramEnd"/>
      <w:r>
        <w:t xml:space="preserve"> </w:t>
      </w:r>
      <w:proofErr w:type="spellStart"/>
      <w:r w:rsidRPr="008B6F19">
        <w:rPr>
          <w:i/>
        </w:rPr>
        <w:t>Clin</w:t>
      </w:r>
      <w:proofErr w:type="spellEnd"/>
      <w:r w:rsidRPr="008B6F19">
        <w:rPr>
          <w:i/>
        </w:rPr>
        <w:t xml:space="preserve"> </w:t>
      </w:r>
      <w:proofErr w:type="spellStart"/>
      <w:r w:rsidRPr="008B6F19">
        <w:rPr>
          <w:i/>
        </w:rPr>
        <w:t>Exp</w:t>
      </w:r>
      <w:proofErr w:type="spellEnd"/>
      <w:r w:rsidRPr="008B6F19">
        <w:rPr>
          <w:i/>
        </w:rPr>
        <w:t xml:space="preserve"> Allergy</w:t>
      </w:r>
      <w:r>
        <w:t xml:space="preserve">. </w:t>
      </w:r>
      <w:proofErr w:type="gramStart"/>
      <w:r w:rsidRPr="00042F57">
        <w:t>2014;</w:t>
      </w:r>
      <w:r>
        <w:t xml:space="preserve"> 44</w:t>
      </w:r>
      <w:r w:rsidRPr="00042F57">
        <w:t>:</w:t>
      </w:r>
      <w:r>
        <w:t xml:space="preserve"> </w:t>
      </w:r>
      <w:r w:rsidRPr="00042F57">
        <w:t>1137-</w:t>
      </w:r>
      <w:r>
        <w:t>11</w:t>
      </w:r>
      <w:r w:rsidRPr="00042F57">
        <w:t>45.</w:t>
      </w:r>
      <w:proofErr w:type="gramEnd"/>
    </w:p>
  </w:footnote>
  <w:footnote w:id="44">
    <w:p w14:paraId="0FE06E40" w14:textId="77777777" w:rsidR="002471FD" w:rsidRPr="00610926" w:rsidRDefault="002471FD" w:rsidP="003943D8">
      <w:pPr>
        <w:pStyle w:val="FootnoteText"/>
        <w:rPr>
          <w:lang w:val="en-US"/>
        </w:rPr>
      </w:pPr>
      <w:r>
        <w:rPr>
          <w:rStyle w:val="FootnoteReference"/>
        </w:rPr>
        <w:footnoteRef/>
      </w:r>
      <w:r>
        <w:t xml:space="preserve"> Hastie AT et al 2013. Biomarker </w:t>
      </w:r>
      <w:r w:rsidRPr="00042F57">
        <w:t>surrogates do not accurately predict sputum eosinophi</w:t>
      </w:r>
      <w:r>
        <w:t xml:space="preserve">l and neutrophil percentages in </w:t>
      </w:r>
      <w:r w:rsidRPr="00042F57">
        <w:t xml:space="preserve">asthmatic subjects. </w:t>
      </w:r>
      <w:r w:rsidRPr="008B6F19">
        <w:rPr>
          <w:i/>
        </w:rPr>
        <w:t xml:space="preserve">J Allergy </w:t>
      </w:r>
      <w:proofErr w:type="spellStart"/>
      <w:r w:rsidRPr="008B6F19">
        <w:rPr>
          <w:i/>
        </w:rPr>
        <w:t>Clin</w:t>
      </w:r>
      <w:proofErr w:type="spellEnd"/>
      <w:r w:rsidRPr="008B6F19">
        <w:rPr>
          <w:i/>
        </w:rPr>
        <w:t xml:space="preserve"> </w:t>
      </w:r>
      <w:proofErr w:type="spellStart"/>
      <w:r w:rsidRPr="008B6F19">
        <w:rPr>
          <w:i/>
        </w:rPr>
        <w:t>Immunol</w:t>
      </w:r>
      <w:proofErr w:type="spellEnd"/>
      <w:r w:rsidRPr="00042F57">
        <w:t xml:space="preserve"> 2013;</w:t>
      </w:r>
      <w:r>
        <w:t xml:space="preserve"> </w:t>
      </w:r>
      <w:r w:rsidRPr="00042F57">
        <w:t>132:</w:t>
      </w:r>
      <w:r>
        <w:t xml:space="preserve"> </w:t>
      </w:r>
      <w:r w:rsidRPr="00042F57">
        <w:t>72-80</w:t>
      </w:r>
    </w:p>
  </w:footnote>
  <w:footnote w:id="45">
    <w:p w14:paraId="2FF235A3" w14:textId="77777777" w:rsidR="002471FD" w:rsidRPr="00610926" w:rsidRDefault="002471FD" w:rsidP="003943D8">
      <w:pPr>
        <w:pStyle w:val="FootnoteText"/>
        <w:rPr>
          <w:lang w:val="en-US"/>
        </w:rPr>
      </w:pPr>
      <w:r>
        <w:rPr>
          <w:rStyle w:val="FootnoteReference"/>
        </w:rPr>
        <w:footnoteRef/>
      </w:r>
      <w:r>
        <w:t xml:space="preserve"> </w:t>
      </w:r>
      <w:proofErr w:type="spellStart"/>
      <w:r w:rsidRPr="00551FC2">
        <w:t>Korevaar</w:t>
      </w:r>
      <w:proofErr w:type="spellEnd"/>
      <w:r>
        <w:t xml:space="preserve"> DA</w:t>
      </w:r>
      <w:r w:rsidRPr="00551FC2">
        <w:t xml:space="preserve"> et al 2015</w:t>
      </w:r>
      <w:r w:rsidRPr="008439E0">
        <w:t xml:space="preserve"> </w:t>
      </w:r>
      <w:r>
        <w:t xml:space="preserve">Diagnostic </w:t>
      </w:r>
      <w:r w:rsidRPr="00042F57">
        <w:t>accuracy of minimally invasive markers for detection of airwa</w:t>
      </w:r>
      <w:r>
        <w:t xml:space="preserve">y eosinophilia in asthma: a </w:t>
      </w:r>
      <w:r w:rsidRPr="00042F57">
        <w:t xml:space="preserve">systematic review and meta-analysis. </w:t>
      </w:r>
      <w:r w:rsidRPr="008B6F19">
        <w:rPr>
          <w:i/>
        </w:rPr>
        <w:t xml:space="preserve">Lancet </w:t>
      </w:r>
      <w:proofErr w:type="spellStart"/>
      <w:r w:rsidRPr="008B6F19">
        <w:rPr>
          <w:i/>
        </w:rPr>
        <w:t>Respir</w:t>
      </w:r>
      <w:proofErr w:type="spellEnd"/>
      <w:r w:rsidRPr="008B6F19">
        <w:rPr>
          <w:i/>
        </w:rPr>
        <w:t xml:space="preserve"> Med.</w:t>
      </w:r>
      <w:r w:rsidRPr="00042F57">
        <w:t xml:space="preserve"> 2015;</w:t>
      </w:r>
      <w:r>
        <w:t xml:space="preserve"> 3</w:t>
      </w:r>
      <w:r w:rsidRPr="00042F57">
        <w:t>:</w:t>
      </w:r>
      <w:r>
        <w:t xml:space="preserve"> </w:t>
      </w:r>
      <w:r w:rsidRPr="00042F57">
        <w:t>290-300</w:t>
      </w:r>
    </w:p>
  </w:footnote>
  <w:footnote w:id="46">
    <w:p w14:paraId="7A008461" w14:textId="77777777" w:rsidR="002471FD" w:rsidRPr="00610926" w:rsidRDefault="002471FD" w:rsidP="003943D8">
      <w:pPr>
        <w:pStyle w:val="FootnoteText"/>
        <w:rPr>
          <w:lang w:val="en-US"/>
        </w:rPr>
      </w:pPr>
      <w:r>
        <w:rPr>
          <w:rStyle w:val="FootnoteReference"/>
        </w:rPr>
        <w:footnoteRef/>
      </w:r>
      <w:r>
        <w:t xml:space="preserve"> </w:t>
      </w:r>
      <w:r w:rsidRPr="00042F57">
        <w:t xml:space="preserve">Mukherjee M, Nair P. </w:t>
      </w:r>
      <w:r>
        <w:t xml:space="preserve">2015 </w:t>
      </w:r>
      <w:r w:rsidRPr="00042F57">
        <w:t xml:space="preserve">Blood or sputum eosinophils to guide asthma therapy? </w:t>
      </w:r>
      <w:proofErr w:type="gramStart"/>
      <w:r w:rsidRPr="008B6F19">
        <w:rPr>
          <w:i/>
        </w:rPr>
        <w:t xml:space="preserve">Lancet </w:t>
      </w:r>
      <w:proofErr w:type="spellStart"/>
      <w:r w:rsidRPr="008B6F19">
        <w:rPr>
          <w:i/>
        </w:rPr>
        <w:t>Respir</w:t>
      </w:r>
      <w:proofErr w:type="spellEnd"/>
      <w:r w:rsidRPr="008B6F19">
        <w:rPr>
          <w:i/>
        </w:rPr>
        <w:t xml:space="preserve"> Med</w:t>
      </w:r>
      <w:r w:rsidRPr="00042F57">
        <w:t>. 2015;</w:t>
      </w:r>
      <w:r>
        <w:t xml:space="preserve"> 3</w:t>
      </w:r>
      <w:r w:rsidRPr="00042F57">
        <w:t>:</w:t>
      </w:r>
      <w:r>
        <w:t xml:space="preserve"> </w:t>
      </w:r>
      <w:r w:rsidRPr="00042F57">
        <w:t>824-</w:t>
      </w:r>
      <w:r>
        <w:t>82</w:t>
      </w:r>
      <w:r w:rsidRPr="00042F57">
        <w:t>5.</w:t>
      </w:r>
      <w:proofErr w:type="gramEnd"/>
    </w:p>
  </w:footnote>
  <w:footnote w:id="47">
    <w:p w14:paraId="00E37919" w14:textId="77777777" w:rsidR="002471FD" w:rsidRPr="00610926" w:rsidRDefault="002471FD" w:rsidP="003943D8">
      <w:pPr>
        <w:pStyle w:val="FootnoteText"/>
        <w:rPr>
          <w:lang w:val="en-US"/>
        </w:rPr>
      </w:pPr>
      <w:r>
        <w:rPr>
          <w:rStyle w:val="FootnoteReference"/>
        </w:rPr>
        <w:footnoteRef/>
      </w:r>
      <w:r>
        <w:t xml:space="preserve"> </w:t>
      </w:r>
      <w:proofErr w:type="spellStart"/>
      <w:r w:rsidRPr="00551FC2">
        <w:t>Spahn</w:t>
      </w:r>
      <w:proofErr w:type="spellEnd"/>
      <w:r>
        <w:t xml:space="preserve"> JD</w:t>
      </w:r>
      <w:r w:rsidRPr="00551FC2">
        <w:t xml:space="preserve"> et al 2004</w:t>
      </w:r>
      <w:r w:rsidRPr="008439E0">
        <w:t xml:space="preserve"> </w:t>
      </w:r>
      <w:proofErr w:type="gramStart"/>
      <w:r w:rsidRPr="00042F57">
        <w:t>Is</w:t>
      </w:r>
      <w:proofErr w:type="gramEnd"/>
      <w:r w:rsidRPr="00042F57">
        <w:t xml:space="preserve"> forced expi</w:t>
      </w:r>
      <w:r>
        <w:t xml:space="preserve">ratory volume in one second the </w:t>
      </w:r>
      <w:r w:rsidRPr="00042F57">
        <w:t xml:space="preserve">best measure of severity in childhood asthma? </w:t>
      </w:r>
      <w:r w:rsidRPr="008B6F19">
        <w:rPr>
          <w:i/>
        </w:rPr>
        <w:t xml:space="preserve">Am J </w:t>
      </w:r>
      <w:proofErr w:type="spellStart"/>
      <w:r w:rsidRPr="008B6F19">
        <w:rPr>
          <w:i/>
        </w:rPr>
        <w:t>Respir</w:t>
      </w:r>
      <w:proofErr w:type="spellEnd"/>
      <w:r w:rsidRPr="008B6F19">
        <w:rPr>
          <w:i/>
        </w:rPr>
        <w:t xml:space="preserve"> </w:t>
      </w:r>
      <w:proofErr w:type="spellStart"/>
      <w:r w:rsidRPr="008B6F19">
        <w:rPr>
          <w:i/>
        </w:rPr>
        <w:t>Crit</w:t>
      </w:r>
      <w:proofErr w:type="spellEnd"/>
      <w:r w:rsidRPr="008B6F19">
        <w:rPr>
          <w:i/>
        </w:rPr>
        <w:t xml:space="preserve"> Care Med</w:t>
      </w:r>
      <w:r>
        <w:t>. 2004; 169:784–</w:t>
      </w:r>
      <w:r w:rsidRPr="00042F57">
        <w:t>786</w:t>
      </w:r>
    </w:p>
  </w:footnote>
  <w:footnote w:id="48">
    <w:p w14:paraId="31A9714D" w14:textId="77777777" w:rsidR="002471FD" w:rsidRPr="008439E0" w:rsidRDefault="002471FD" w:rsidP="003943D8">
      <w:pPr>
        <w:pStyle w:val="FootnoteText"/>
      </w:pPr>
      <w:r>
        <w:rPr>
          <w:rStyle w:val="FootnoteReference"/>
        </w:rPr>
        <w:footnoteRef/>
      </w:r>
      <w:r>
        <w:t xml:space="preserve"> </w:t>
      </w:r>
      <w:proofErr w:type="spellStart"/>
      <w:r w:rsidRPr="008439E0">
        <w:rPr>
          <w:rStyle w:val="FootnoteTextChar"/>
        </w:rPr>
        <w:t>Bacharier</w:t>
      </w:r>
      <w:proofErr w:type="spellEnd"/>
      <w:r w:rsidRPr="008439E0">
        <w:rPr>
          <w:rStyle w:val="FootnoteTextChar"/>
        </w:rPr>
        <w:t xml:space="preserve"> et al 2004 Classifying asthma severity in children: Mismatch between symptoms, medication use, and lung function</w:t>
      </w:r>
      <w:r w:rsidRPr="008B6F19">
        <w:rPr>
          <w:rStyle w:val="FootnoteTextChar"/>
          <w:i/>
        </w:rPr>
        <w:t xml:space="preserve">. </w:t>
      </w:r>
      <w:proofErr w:type="gramStart"/>
      <w:r w:rsidRPr="008B6F19">
        <w:rPr>
          <w:rStyle w:val="FootnoteTextChar"/>
          <w:i/>
        </w:rPr>
        <w:t>Am</w:t>
      </w:r>
      <w:proofErr w:type="gramEnd"/>
      <w:r w:rsidRPr="008B6F19">
        <w:rPr>
          <w:rStyle w:val="FootnoteTextChar"/>
          <w:i/>
        </w:rPr>
        <w:t xml:space="preserve"> J </w:t>
      </w:r>
      <w:proofErr w:type="spellStart"/>
      <w:r w:rsidRPr="008B6F19">
        <w:rPr>
          <w:rStyle w:val="FootnoteTextChar"/>
          <w:i/>
        </w:rPr>
        <w:t>Respir</w:t>
      </w:r>
      <w:proofErr w:type="spellEnd"/>
      <w:r w:rsidRPr="008B6F19">
        <w:rPr>
          <w:rStyle w:val="FootnoteTextChar"/>
          <w:i/>
        </w:rPr>
        <w:t xml:space="preserve"> </w:t>
      </w:r>
      <w:proofErr w:type="spellStart"/>
      <w:r w:rsidRPr="008B6F19">
        <w:rPr>
          <w:rStyle w:val="FootnoteTextChar"/>
          <w:i/>
        </w:rPr>
        <w:t>Crit</w:t>
      </w:r>
      <w:proofErr w:type="spellEnd"/>
      <w:r w:rsidRPr="008B6F19">
        <w:rPr>
          <w:rStyle w:val="FootnoteTextChar"/>
          <w:i/>
        </w:rPr>
        <w:t xml:space="preserve"> Care Med.</w:t>
      </w:r>
      <w:r w:rsidRPr="008439E0">
        <w:rPr>
          <w:rStyle w:val="FootnoteTextChar"/>
        </w:rPr>
        <w:t xml:space="preserve"> 2004; 170:</w:t>
      </w:r>
      <w:r>
        <w:rPr>
          <w:rStyle w:val="FootnoteTextChar"/>
        </w:rPr>
        <w:t xml:space="preserve"> </w:t>
      </w:r>
      <w:r w:rsidRPr="008439E0">
        <w:rPr>
          <w:rStyle w:val="FootnoteTextChar"/>
        </w:rPr>
        <w:t>426–432.</w:t>
      </w:r>
    </w:p>
  </w:footnote>
  <w:footnote w:id="49">
    <w:p w14:paraId="4C6C59CF" w14:textId="77777777" w:rsidR="002471FD" w:rsidRPr="008B6F19" w:rsidRDefault="002471FD" w:rsidP="003943D8">
      <w:pPr>
        <w:pStyle w:val="FootnoteText"/>
      </w:pPr>
      <w:r w:rsidRPr="00E53A6B">
        <w:rPr>
          <w:rStyle w:val="FootnoteReference"/>
        </w:rPr>
        <w:footnoteRef/>
      </w:r>
      <w:r w:rsidRPr="008B6F19">
        <w:t xml:space="preserve"> Fitzpatrick AM et al 2011 Heterogeneity of</w:t>
      </w:r>
      <w:r>
        <w:t xml:space="preserve"> </w:t>
      </w:r>
      <w:r w:rsidRPr="008B6F19">
        <w:t>severe asthma in childhood: Confirmation by cluster analy</w:t>
      </w:r>
      <w:r>
        <w:t xml:space="preserve">sis of children in the National </w:t>
      </w:r>
      <w:r w:rsidRPr="008B6F19">
        <w:t>Institutes of Health/National Heart, Lung and Blood I</w:t>
      </w:r>
      <w:r>
        <w:t xml:space="preserve">nstitute Severe Asthma Research </w:t>
      </w:r>
      <w:r w:rsidRPr="008B6F19">
        <w:t xml:space="preserve">Program. </w:t>
      </w:r>
      <w:proofErr w:type="gramStart"/>
      <w:r w:rsidRPr="008B6F19">
        <w:rPr>
          <w:i/>
        </w:rPr>
        <w:t xml:space="preserve">J Allergy </w:t>
      </w:r>
      <w:proofErr w:type="spellStart"/>
      <w:r w:rsidRPr="008B6F19">
        <w:rPr>
          <w:i/>
        </w:rPr>
        <w:t>Clin</w:t>
      </w:r>
      <w:proofErr w:type="spellEnd"/>
      <w:r w:rsidRPr="008B6F19">
        <w:rPr>
          <w:i/>
        </w:rPr>
        <w:t xml:space="preserve"> </w:t>
      </w:r>
      <w:proofErr w:type="spellStart"/>
      <w:r w:rsidRPr="008B6F19">
        <w:rPr>
          <w:i/>
        </w:rPr>
        <w:t>Immunol</w:t>
      </w:r>
      <w:proofErr w:type="spellEnd"/>
      <w:r w:rsidRPr="008B6F19">
        <w:t>.</w:t>
      </w:r>
      <w:proofErr w:type="gramEnd"/>
      <w:r w:rsidRPr="008B6F19">
        <w:t xml:space="preserve"> </w:t>
      </w:r>
      <w:proofErr w:type="gramStart"/>
      <w:r w:rsidRPr="008B6F19">
        <w:t>2011;</w:t>
      </w:r>
      <w:r>
        <w:t xml:space="preserve"> </w:t>
      </w:r>
      <w:r w:rsidRPr="008B6F19">
        <w:t>127:</w:t>
      </w:r>
      <w:r>
        <w:t xml:space="preserve"> </w:t>
      </w:r>
      <w:r w:rsidRPr="008B6F19">
        <w:t>382-</w:t>
      </w:r>
      <w:r>
        <w:t>38</w:t>
      </w:r>
      <w:r w:rsidRPr="008B6F19">
        <w:t>9.</w:t>
      </w:r>
      <w:proofErr w:type="gramEnd"/>
    </w:p>
  </w:footnote>
  <w:footnote w:id="50">
    <w:p w14:paraId="73BE4070" w14:textId="77777777" w:rsidR="002471FD" w:rsidRPr="008B6F19" w:rsidRDefault="002471FD" w:rsidP="003943D8">
      <w:pPr>
        <w:pStyle w:val="FootnoteText"/>
      </w:pPr>
      <w:r>
        <w:rPr>
          <w:rStyle w:val="FootnoteReference"/>
        </w:rPr>
        <w:footnoteRef/>
      </w:r>
      <w:r>
        <w:t xml:space="preserve"> Global Strategy for Asthma Management and Prevention, Global Initiative for Asthma (GINA) Updated 2011. Available from: URL: http://ginasthma.org. Accessed May 2011</w:t>
      </w:r>
    </w:p>
  </w:footnote>
  <w:footnote w:id="51">
    <w:p w14:paraId="64BAEFF0" w14:textId="77777777" w:rsidR="002471FD" w:rsidRPr="008B6F19" w:rsidRDefault="002471FD" w:rsidP="003943D8">
      <w:pPr>
        <w:pStyle w:val="FootnoteText"/>
      </w:pPr>
      <w:r>
        <w:rPr>
          <w:rStyle w:val="FootnoteReference"/>
        </w:rPr>
        <w:footnoteRef/>
      </w:r>
      <w:r>
        <w:t xml:space="preserve"> </w:t>
      </w:r>
      <w:proofErr w:type="gramStart"/>
      <w:r>
        <w:t>National Asthma Council Australia.</w:t>
      </w:r>
      <w:proofErr w:type="gramEnd"/>
      <w:r>
        <w:t xml:space="preserve"> Australian Asthma Handbook, Version 1.3. National Asthma Council Australia, Melbourne, 2017. </w:t>
      </w:r>
      <w:proofErr w:type="gramStart"/>
      <w:r>
        <w:t>Website.</w:t>
      </w:r>
      <w:proofErr w:type="gramEnd"/>
      <w:r>
        <w:t xml:space="preserve"> Available from: http://www.asthmahandbook.org.au</w:t>
      </w:r>
    </w:p>
  </w:footnote>
  <w:footnote w:id="52">
    <w:p w14:paraId="7293AF90" w14:textId="77777777" w:rsidR="002471FD" w:rsidRPr="008439E0" w:rsidRDefault="002471FD" w:rsidP="003943D8">
      <w:pPr>
        <w:pStyle w:val="FootnoteText"/>
        <w:rPr>
          <w:lang w:val="en-US"/>
        </w:rPr>
      </w:pPr>
      <w:r>
        <w:rPr>
          <w:rStyle w:val="FootnoteReference"/>
        </w:rPr>
        <w:footnoteRef/>
      </w:r>
      <w:r>
        <w:t xml:space="preserve"> </w:t>
      </w:r>
      <w:r w:rsidRPr="00551FC2">
        <w:t>Chung et al 2014</w:t>
      </w:r>
      <w:r>
        <w:t xml:space="preserve">. </w:t>
      </w:r>
      <w:proofErr w:type="gramStart"/>
      <w:r>
        <w:t xml:space="preserve">International ERS/ATS </w:t>
      </w:r>
      <w:r w:rsidRPr="00042F57">
        <w:t>guidelines on definition, evaluation and treatment</w:t>
      </w:r>
      <w:r>
        <w:t xml:space="preserve"> of severe asthma</w:t>
      </w:r>
      <w:r w:rsidRPr="001248A7">
        <w:rPr>
          <w:i/>
        </w:rPr>
        <w:t>.</w:t>
      </w:r>
      <w:proofErr w:type="gramEnd"/>
      <w:r w:rsidRPr="001248A7">
        <w:rPr>
          <w:i/>
        </w:rPr>
        <w:t xml:space="preserve"> </w:t>
      </w:r>
      <w:proofErr w:type="spellStart"/>
      <w:r w:rsidRPr="001248A7">
        <w:rPr>
          <w:i/>
        </w:rPr>
        <w:t>Eur</w:t>
      </w:r>
      <w:proofErr w:type="spellEnd"/>
      <w:r w:rsidRPr="001248A7">
        <w:rPr>
          <w:i/>
        </w:rPr>
        <w:t xml:space="preserve"> </w:t>
      </w:r>
      <w:proofErr w:type="spellStart"/>
      <w:r w:rsidRPr="001248A7">
        <w:rPr>
          <w:i/>
        </w:rPr>
        <w:t>Respir</w:t>
      </w:r>
      <w:proofErr w:type="spellEnd"/>
      <w:r>
        <w:t xml:space="preserve"> J </w:t>
      </w:r>
      <w:r w:rsidRPr="00042F57">
        <w:t>2014;</w:t>
      </w:r>
      <w:r>
        <w:t xml:space="preserve"> </w:t>
      </w:r>
      <w:r w:rsidRPr="00042F57">
        <w:t>43:</w:t>
      </w:r>
      <w:r>
        <w:t xml:space="preserve"> </w:t>
      </w:r>
      <w:r w:rsidRPr="00042F57">
        <w:t>343-373</w:t>
      </w:r>
    </w:p>
  </w:footnote>
  <w:footnote w:id="53">
    <w:p w14:paraId="26C31E4D" w14:textId="77777777" w:rsidR="002471FD" w:rsidRPr="008439E0" w:rsidRDefault="002471FD" w:rsidP="003943D8">
      <w:pPr>
        <w:pStyle w:val="FootnoteText"/>
        <w:rPr>
          <w:lang w:val="en-US"/>
        </w:rPr>
      </w:pPr>
      <w:r>
        <w:rPr>
          <w:rStyle w:val="FootnoteReference"/>
        </w:rPr>
        <w:footnoteRef/>
      </w:r>
      <w:r>
        <w:t xml:space="preserve"> </w:t>
      </w:r>
      <w:proofErr w:type="spellStart"/>
      <w:r w:rsidRPr="00551FC2">
        <w:t>Pizzichini</w:t>
      </w:r>
      <w:proofErr w:type="spellEnd"/>
      <w:r w:rsidRPr="00551FC2">
        <w:t xml:space="preserve"> </w:t>
      </w:r>
      <w:r>
        <w:t xml:space="preserve">MMM </w:t>
      </w:r>
      <w:r w:rsidRPr="00551FC2">
        <w:t>et al 1999</w:t>
      </w:r>
      <w:r w:rsidRPr="008439E0">
        <w:t xml:space="preserve"> </w:t>
      </w:r>
      <w:r w:rsidRPr="00042F57">
        <w:t xml:space="preserve">Prednisone-dependent asthma: inflammatory indices </w:t>
      </w:r>
      <w:r>
        <w:t xml:space="preserve">in induced sputum. </w:t>
      </w:r>
      <w:proofErr w:type="spellStart"/>
      <w:r w:rsidRPr="001248A7">
        <w:rPr>
          <w:i/>
        </w:rPr>
        <w:t>Eur</w:t>
      </w:r>
      <w:proofErr w:type="spellEnd"/>
      <w:r w:rsidRPr="001248A7">
        <w:rPr>
          <w:i/>
        </w:rPr>
        <w:t xml:space="preserve"> </w:t>
      </w:r>
      <w:proofErr w:type="spellStart"/>
      <w:r w:rsidRPr="001248A7">
        <w:rPr>
          <w:i/>
        </w:rPr>
        <w:t>Respir</w:t>
      </w:r>
      <w:proofErr w:type="spellEnd"/>
      <w:r w:rsidRPr="001248A7">
        <w:rPr>
          <w:i/>
        </w:rPr>
        <w:t xml:space="preserve"> J </w:t>
      </w:r>
      <w:r w:rsidRPr="00042F57">
        <w:t>1999;</w:t>
      </w:r>
      <w:r>
        <w:t xml:space="preserve"> </w:t>
      </w:r>
      <w:r w:rsidRPr="00042F57">
        <w:t>13:</w:t>
      </w:r>
      <w:r>
        <w:t xml:space="preserve"> </w:t>
      </w:r>
      <w:r w:rsidRPr="00042F57">
        <w:t>15-21</w:t>
      </w:r>
    </w:p>
  </w:footnote>
  <w:footnote w:id="54">
    <w:p w14:paraId="6AEBA5E3" w14:textId="77777777" w:rsidR="002471FD" w:rsidRDefault="002471FD"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D47F3CB" w14:textId="77777777" w:rsidR="002471FD" w:rsidRPr="00456765" w:rsidRDefault="002471FD"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55">
    <w:p w14:paraId="7C60962C" w14:textId="77777777" w:rsidR="002471FD" w:rsidRPr="006738E7" w:rsidRDefault="002471FD">
      <w:pPr>
        <w:pStyle w:val="FootnoteText"/>
        <w:rPr>
          <w:lang w:val="en-US"/>
        </w:rPr>
      </w:pPr>
      <w:r>
        <w:rPr>
          <w:rStyle w:val="FootnoteReference"/>
        </w:rPr>
        <w:footnoteRef/>
      </w:r>
      <w:r>
        <w:t xml:space="preserve"> The Delegate’s </w:t>
      </w:r>
      <w:r>
        <w:rPr>
          <w:lang w:val="en-US"/>
        </w:rPr>
        <w:t>record of the discussion is TRIM D18-10165404</w:t>
      </w:r>
    </w:p>
  </w:footnote>
  <w:footnote w:id="56">
    <w:p w14:paraId="206E17B0" w14:textId="77777777" w:rsidR="002471FD" w:rsidRPr="00744567" w:rsidRDefault="002471FD" w:rsidP="00744567">
      <w:pPr>
        <w:pStyle w:val="FootnoteText"/>
      </w:pPr>
      <w:r w:rsidRPr="00744567">
        <w:rPr>
          <w:rStyle w:val="FootnoteReference"/>
        </w:rPr>
        <w:footnoteRef/>
      </w:r>
      <w:r w:rsidRPr="00744567">
        <w:t xml:space="preserve"> Yancey SW, et al, 2017Biomarkers</w:t>
      </w:r>
      <w:r>
        <w:t xml:space="preserve"> for severe eosinophilic asthma. </w:t>
      </w:r>
      <w:r w:rsidRPr="00744567">
        <w:rPr>
          <w:i/>
        </w:rPr>
        <w:t>J Allergy and Clinical Immunology</w:t>
      </w:r>
      <w:r>
        <w:t xml:space="preserve"> 2017; 140: 1509-1518</w:t>
      </w:r>
    </w:p>
  </w:footnote>
  <w:footnote w:id="57">
    <w:p w14:paraId="3A8F7E99" w14:textId="77777777" w:rsidR="002471FD" w:rsidRPr="00241554" w:rsidRDefault="002471FD">
      <w:pPr>
        <w:pStyle w:val="FootnoteText"/>
        <w:rPr>
          <w:sz w:val="17"/>
        </w:rPr>
      </w:pPr>
      <w:r w:rsidRPr="00241554">
        <w:rPr>
          <w:rStyle w:val="FootnoteReference"/>
        </w:rPr>
        <w:footnoteRef/>
      </w:r>
      <w:r w:rsidRPr="00241554">
        <w:t xml:space="preserve"> Katz LE et al, 2014 Blood eosinophil count is a useful biomarker to identify patients with severe eosinophilic </w:t>
      </w:r>
      <w:r w:rsidRPr="00241554">
        <w:rPr>
          <w:rStyle w:val="FooterChar"/>
          <w:sz w:val="18"/>
          <w:szCs w:val="18"/>
        </w:rPr>
        <w:t xml:space="preserve">asthma. </w:t>
      </w:r>
      <w:hyperlink r:id="rId2" w:tooltip="Annals of the American Thoracic Society." w:history="1">
        <w:r w:rsidRPr="00241554">
          <w:rPr>
            <w:rStyle w:val="FooterChar"/>
            <w:i/>
            <w:sz w:val="18"/>
            <w:szCs w:val="18"/>
          </w:rPr>
          <w:t xml:space="preserve">Ann Am </w:t>
        </w:r>
        <w:proofErr w:type="spellStart"/>
        <w:r w:rsidRPr="00241554">
          <w:rPr>
            <w:rStyle w:val="FooterChar"/>
            <w:i/>
            <w:sz w:val="18"/>
            <w:szCs w:val="18"/>
          </w:rPr>
          <w:t>Thorac</w:t>
        </w:r>
        <w:proofErr w:type="spellEnd"/>
        <w:r w:rsidRPr="00241554">
          <w:rPr>
            <w:rStyle w:val="FooterChar"/>
            <w:i/>
            <w:sz w:val="18"/>
            <w:szCs w:val="18"/>
          </w:rPr>
          <w:t xml:space="preserve"> Soc</w:t>
        </w:r>
        <w:r w:rsidRPr="00241554">
          <w:rPr>
            <w:rStyle w:val="FooterChar"/>
            <w:sz w:val="18"/>
            <w:szCs w:val="18"/>
          </w:rPr>
          <w:t>.</w:t>
        </w:r>
      </w:hyperlink>
      <w:r w:rsidRPr="00241554">
        <w:rPr>
          <w:rStyle w:val="FooterChar"/>
          <w:sz w:val="18"/>
          <w:szCs w:val="18"/>
        </w:rPr>
        <w:t xml:space="preserve"> 2014;11: 531-536</w:t>
      </w:r>
    </w:p>
  </w:footnote>
  <w:footnote w:id="58">
    <w:p w14:paraId="2DF88E3F" w14:textId="77777777" w:rsidR="002471FD" w:rsidRPr="00241554" w:rsidRDefault="002471FD">
      <w:pPr>
        <w:pStyle w:val="FootnoteText"/>
      </w:pPr>
      <w:r w:rsidRPr="00241554">
        <w:rPr>
          <w:rStyle w:val="FootnoteReference"/>
        </w:rPr>
        <w:footnoteRef/>
      </w:r>
      <w:r w:rsidRPr="00241554">
        <w:t xml:space="preserve"> , Hastie AT et al, 2013 Biomarker surrogates do not accurately predict sputum eosinophil and neutrophil</w:t>
      </w:r>
      <w:r>
        <w:t xml:space="preserve"> percentages in asthmatic subjects. </w:t>
      </w:r>
      <w:r w:rsidRPr="00744567">
        <w:rPr>
          <w:i/>
        </w:rPr>
        <w:t>J Allergy and Clinical Immunology</w:t>
      </w:r>
      <w:r>
        <w:rPr>
          <w:i/>
        </w:rPr>
        <w:t xml:space="preserve"> </w:t>
      </w:r>
      <w:r w:rsidRPr="00241554">
        <w:t>2013; 132: 72-80</w:t>
      </w:r>
    </w:p>
  </w:footnote>
  <w:footnote w:id="59">
    <w:p w14:paraId="3375D87C" w14:textId="77777777" w:rsidR="002471FD" w:rsidRPr="00241554" w:rsidRDefault="002471FD">
      <w:pPr>
        <w:pStyle w:val="FootnoteText"/>
      </w:pPr>
      <w:r w:rsidRPr="00241554">
        <w:rPr>
          <w:rStyle w:val="FootnoteReference"/>
        </w:rPr>
        <w:footnoteRef/>
      </w:r>
      <w:r w:rsidRPr="00241554">
        <w:t xml:space="preserve"> Nair P, 2013 </w:t>
      </w:r>
      <w:proofErr w:type="gramStart"/>
      <w:r w:rsidRPr="00241554">
        <w:t>What</w:t>
      </w:r>
      <w:proofErr w:type="gramEnd"/>
      <w:r w:rsidRPr="00241554">
        <w:t xml:space="preserve"> is an </w:t>
      </w:r>
      <w:r>
        <w:t>‘</w:t>
      </w:r>
      <w:r w:rsidRPr="00241554">
        <w:t>eosinophilic phenotype</w:t>
      </w:r>
      <w:r>
        <w:t>’</w:t>
      </w:r>
      <w:r w:rsidRPr="00241554">
        <w:t xml:space="preserve"> of asthma? </w:t>
      </w:r>
      <w:r w:rsidRPr="00241554">
        <w:rPr>
          <w:i/>
        </w:rPr>
        <w:t>J Allergy and Clinical Immunology 2013;132: 81-</w:t>
      </w:r>
      <w:r>
        <w:rPr>
          <w:i/>
        </w:rPr>
        <w:t>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E4A78" w14:textId="77777777" w:rsidR="002471FD" w:rsidRDefault="002471F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C374B" w14:textId="77777777" w:rsidR="002471FD" w:rsidRDefault="002471FD">
    <w:pPr>
      <w:rPr>
        <w:noProof/>
        <w:lang w:eastAsia="en-AU"/>
      </w:rPr>
    </w:pPr>
    <w:r w:rsidRPr="00347824">
      <w:rPr>
        <w:noProof/>
        <w:lang w:eastAsia="en-AU"/>
      </w:rPr>
      <w:drawing>
        <wp:anchor distT="0" distB="0" distL="114300" distR="114300" simplePos="0" relativeHeight="251659264" behindDoc="1" locked="0" layoutInCell="1" allowOverlap="1" wp14:anchorId="4E7D3DE4" wp14:editId="35BC3B88">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462153C" w14:textId="77777777" w:rsidR="002471FD" w:rsidRDefault="002471FD" w:rsidP="00593AD1">
    <w:pPr>
      <w:pStyle w:val="HeaderNoLine"/>
    </w:pPr>
    <w:r>
      <w:rPr>
        <w:noProof/>
        <w:lang w:eastAsia="en-AU"/>
      </w:rPr>
      <w:drawing>
        <wp:inline distT="0" distB="0" distL="0" distR="0" wp14:anchorId="114492DF" wp14:editId="0EC32CE9">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65D8E" w14:textId="77777777" w:rsidR="002471FD" w:rsidRDefault="002471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F4229" w14:textId="77777777" w:rsidR="002471FD" w:rsidRDefault="002471F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E32E1" w14:textId="77777777" w:rsidR="002471FD" w:rsidRDefault="002471F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348E" w14:textId="77777777" w:rsidR="002471FD" w:rsidRDefault="002471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A7DF5" w14:textId="77777777" w:rsidR="002471FD" w:rsidRDefault="002471FD"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B871B" w14:textId="77777777" w:rsidR="002471FD" w:rsidRDefault="002471FD" w:rsidP="006E08B3">
    <w:r>
      <w:t>Therapeutic Goods Administration</w:t>
    </w:r>
  </w:p>
  <w:p w14:paraId="7D0AF8F6" w14:textId="77777777" w:rsidR="002471FD" w:rsidRDefault="002471F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8EE37AA"/>
    <w:lvl w:ilvl="0">
      <w:start w:val="1"/>
      <w:numFmt w:val="lowerRoman"/>
      <w:pStyle w:val="ListNumber2"/>
      <w:lvlText w:val="(%1)"/>
      <w:lvlJc w:val="left"/>
      <w:pPr>
        <w:ind w:left="720" w:hanging="360"/>
      </w:pPr>
      <w:rPr>
        <w:rFonts w:hint="default"/>
      </w:rPr>
    </w:lvl>
  </w:abstractNum>
  <w:abstractNum w:abstractNumId="1">
    <w:nsid w:val="FFFFFF89"/>
    <w:multiLevelType w:val="singleLevel"/>
    <w:tmpl w:val="41F262E6"/>
    <w:lvl w:ilvl="0">
      <w:start w:val="1"/>
      <w:numFmt w:val="bullet"/>
      <w:lvlText w:val=""/>
      <w:lvlJc w:val="left"/>
      <w:pPr>
        <w:tabs>
          <w:tab w:val="num" w:pos="360"/>
        </w:tabs>
        <w:ind w:left="360" w:hanging="360"/>
      </w:pPr>
      <w:rPr>
        <w:rFonts w:ascii="Symbol" w:hAnsi="Symbol" w:hint="default"/>
      </w:rPr>
    </w:lvl>
  </w:abstractNum>
  <w:abstractNum w:abstractNumId="2">
    <w:nsid w:val="002B1F22"/>
    <w:multiLevelType w:val="hybridMultilevel"/>
    <w:tmpl w:val="F8AEB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174F30"/>
    <w:multiLevelType w:val="hybridMultilevel"/>
    <w:tmpl w:val="57DE495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nsid w:val="0C251C34"/>
    <w:multiLevelType w:val="hybridMultilevel"/>
    <w:tmpl w:val="21F87EA6"/>
    <w:lvl w:ilvl="0" w:tplc="0C09000F">
      <w:start w:val="1"/>
      <w:numFmt w:val="decimal"/>
      <w:lvlText w:val="%1."/>
      <w:lvlJc w:val="left"/>
      <w:pPr>
        <w:ind w:left="767" w:hanging="360"/>
      </w:pPr>
    </w:lvl>
    <w:lvl w:ilvl="1" w:tplc="0C090019">
      <w:start w:val="1"/>
      <w:numFmt w:val="lowerLetter"/>
      <w:lvlText w:val="%2."/>
      <w:lvlJc w:val="left"/>
      <w:pPr>
        <w:ind w:left="1487" w:hanging="360"/>
      </w:pPr>
    </w:lvl>
    <w:lvl w:ilvl="2" w:tplc="0C09001B">
      <w:start w:val="1"/>
      <w:numFmt w:val="lowerRoman"/>
      <w:lvlText w:val="%3."/>
      <w:lvlJc w:val="right"/>
      <w:pPr>
        <w:ind w:left="2207" w:hanging="180"/>
      </w:pPr>
    </w:lvl>
    <w:lvl w:ilvl="3" w:tplc="0C09000F">
      <w:start w:val="1"/>
      <w:numFmt w:val="decimal"/>
      <w:lvlText w:val="%4."/>
      <w:lvlJc w:val="left"/>
      <w:pPr>
        <w:ind w:left="2927" w:hanging="360"/>
      </w:pPr>
    </w:lvl>
    <w:lvl w:ilvl="4" w:tplc="0C090019">
      <w:start w:val="1"/>
      <w:numFmt w:val="lowerLetter"/>
      <w:lvlText w:val="%5."/>
      <w:lvlJc w:val="left"/>
      <w:pPr>
        <w:ind w:left="3647" w:hanging="360"/>
      </w:pPr>
    </w:lvl>
    <w:lvl w:ilvl="5" w:tplc="0C09001B">
      <w:start w:val="1"/>
      <w:numFmt w:val="lowerRoman"/>
      <w:lvlText w:val="%6."/>
      <w:lvlJc w:val="right"/>
      <w:pPr>
        <w:ind w:left="4367" w:hanging="180"/>
      </w:pPr>
    </w:lvl>
    <w:lvl w:ilvl="6" w:tplc="0C09000F">
      <w:start w:val="1"/>
      <w:numFmt w:val="decimal"/>
      <w:lvlText w:val="%7."/>
      <w:lvlJc w:val="left"/>
      <w:pPr>
        <w:ind w:left="5087" w:hanging="360"/>
      </w:pPr>
    </w:lvl>
    <w:lvl w:ilvl="7" w:tplc="0C090019">
      <w:start w:val="1"/>
      <w:numFmt w:val="lowerLetter"/>
      <w:lvlText w:val="%8."/>
      <w:lvlJc w:val="left"/>
      <w:pPr>
        <w:ind w:left="5807" w:hanging="360"/>
      </w:pPr>
    </w:lvl>
    <w:lvl w:ilvl="8" w:tplc="0C09001B">
      <w:start w:val="1"/>
      <w:numFmt w:val="lowerRoman"/>
      <w:lvlText w:val="%9."/>
      <w:lvlJc w:val="right"/>
      <w:pPr>
        <w:ind w:left="6527" w:hanging="180"/>
      </w:pPr>
    </w:lvl>
  </w:abstractNum>
  <w:abstractNum w:abstractNumId="5">
    <w:nsid w:val="0D8854A4"/>
    <w:multiLevelType w:val="hybridMultilevel"/>
    <w:tmpl w:val="D9F05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324F1F"/>
    <w:multiLevelType w:val="hybridMultilevel"/>
    <w:tmpl w:val="5C221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9108CD"/>
    <w:multiLevelType w:val="hybridMultilevel"/>
    <w:tmpl w:val="C03C2E94"/>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2A5F1E"/>
    <w:multiLevelType w:val="hybridMultilevel"/>
    <w:tmpl w:val="B2B07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AB342F"/>
    <w:multiLevelType w:val="hybridMultilevel"/>
    <w:tmpl w:val="778A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330CD09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8787AF9"/>
    <w:multiLevelType w:val="hybridMultilevel"/>
    <w:tmpl w:val="D8908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8C4857"/>
    <w:multiLevelType w:val="hybridMultilevel"/>
    <w:tmpl w:val="023E5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D32127"/>
    <w:multiLevelType w:val="hybridMultilevel"/>
    <w:tmpl w:val="190A1D6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343457"/>
    <w:multiLevelType w:val="hybridMultilevel"/>
    <w:tmpl w:val="62EE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2D173C"/>
    <w:multiLevelType w:val="hybridMultilevel"/>
    <w:tmpl w:val="B8EC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AA5B39"/>
    <w:multiLevelType w:val="hybridMultilevel"/>
    <w:tmpl w:val="55CCD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347E02D9"/>
    <w:multiLevelType w:val="hybridMultilevel"/>
    <w:tmpl w:val="E80E124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3C420171"/>
    <w:multiLevelType w:val="hybridMultilevel"/>
    <w:tmpl w:val="F6CA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9808B8"/>
    <w:multiLevelType w:val="hybridMultilevel"/>
    <w:tmpl w:val="87264404"/>
    <w:lvl w:ilvl="0" w:tplc="4D8458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FE274C7"/>
    <w:multiLevelType w:val="hybridMultilevel"/>
    <w:tmpl w:val="3DBEE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C577670"/>
    <w:multiLevelType w:val="hybridMultilevel"/>
    <w:tmpl w:val="91B2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B022D1"/>
    <w:multiLevelType w:val="hybridMultilevel"/>
    <w:tmpl w:val="E214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7EF3FBA"/>
    <w:multiLevelType w:val="hybridMultilevel"/>
    <w:tmpl w:val="FA2E7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597647D6"/>
    <w:multiLevelType w:val="hybridMultilevel"/>
    <w:tmpl w:val="53A42104"/>
    <w:lvl w:ilvl="0" w:tplc="40C06B92">
      <w:numFmt w:val="bullet"/>
      <w:lvlText w:val=""/>
      <w:lvlJc w:val="left"/>
      <w:pPr>
        <w:ind w:left="720" w:hanging="360"/>
      </w:pPr>
      <w:rPr>
        <w:rFonts w:ascii="SymbolMT" w:eastAsia="SymbolMT" w:hAnsi="Calibri"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996507"/>
    <w:multiLevelType w:val="hybridMultilevel"/>
    <w:tmpl w:val="08727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82A58ED"/>
    <w:multiLevelType w:val="hybridMultilevel"/>
    <w:tmpl w:val="587E6B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B3E74B6"/>
    <w:multiLevelType w:val="hybridMultilevel"/>
    <w:tmpl w:val="612AE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4CE6246"/>
    <w:multiLevelType w:val="hybridMultilevel"/>
    <w:tmpl w:val="2DA46D8E"/>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2">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B5B3619"/>
    <w:multiLevelType w:val="hybridMultilevel"/>
    <w:tmpl w:val="B7501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CF3415D"/>
    <w:multiLevelType w:val="hybridMultilevel"/>
    <w:tmpl w:val="9A681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11"/>
  </w:num>
  <w:num w:numId="4">
    <w:abstractNumId w:val="10"/>
  </w:num>
  <w:num w:numId="5">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32"/>
  </w:num>
  <w:num w:numId="7">
    <w:abstractNumId w:val="17"/>
  </w:num>
  <w:num w:numId="8">
    <w:abstractNumId w:val="18"/>
  </w:num>
  <w:num w:numId="9">
    <w:abstractNumId w:val="31"/>
  </w:num>
  <w:num w:numId="10">
    <w:abstractNumId w:val="13"/>
  </w:num>
  <w:num w:numId="11">
    <w:abstractNumId w:val="2"/>
  </w:num>
  <w:num w:numId="12">
    <w:abstractNumId w:val="15"/>
  </w:num>
  <w:num w:numId="13">
    <w:abstractNumId w:val="16"/>
  </w:num>
  <w:num w:numId="14">
    <w:abstractNumId w:val="23"/>
  </w:num>
  <w:num w:numId="15">
    <w:abstractNumId w:val="27"/>
  </w:num>
  <w:num w:numId="16">
    <w:abstractNumId w:val="6"/>
  </w:num>
  <w:num w:numId="17">
    <w:abstractNumId w:val="8"/>
  </w:num>
  <w:num w:numId="18">
    <w:abstractNumId w:val="21"/>
  </w:num>
  <w:num w:numId="19">
    <w:abstractNumId w:val="9"/>
  </w:num>
  <w:num w:numId="20">
    <w:abstractNumId w:val="14"/>
  </w:num>
  <w:num w:numId="21">
    <w:abstractNumId w:val="29"/>
  </w:num>
  <w:num w:numId="22">
    <w:abstractNumId w:val="12"/>
  </w:num>
  <w:num w:numId="23">
    <w:abstractNumId w:val="24"/>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2"/>
  </w:num>
  <w:num w:numId="27">
    <w:abstractNumId w:val="0"/>
  </w:num>
  <w:num w:numId="28">
    <w:abstractNumId w:val="2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6"/>
  </w:num>
  <w:num w:numId="37">
    <w:abstractNumId w:val="34"/>
  </w:num>
  <w:num w:numId="38">
    <w:abstractNumId w:val="20"/>
  </w:num>
  <w:num w:numId="39">
    <w:abstractNumId w:val="30"/>
  </w:num>
  <w:num w:numId="40">
    <w:abstractNumId w:val="19"/>
  </w:num>
  <w:num w:numId="41">
    <w:abstractNumId w:val="5"/>
  </w:num>
  <w:num w:numId="42">
    <w:abstractNumId w:val="25"/>
  </w:num>
  <w:num w:numId="43">
    <w:abstractNumId w:val="3"/>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9CC"/>
    <w:rsid w:val="00002031"/>
    <w:rsid w:val="00004734"/>
    <w:rsid w:val="00006B22"/>
    <w:rsid w:val="0001276A"/>
    <w:rsid w:val="00013BF7"/>
    <w:rsid w:val="00020D6D"/>
    <w:rsid w:val="00021551"/>
    <w:rsid w:val="000246AE"/>
    <w:rsid w:val="00024C6B"/>
    <w:rsid w:val="00025C67"/>
    <w:rsid w:val="0003208F"/>
    <w:rsid w:val="000423DF"/>
    <w:rsid w:val="00042F57"/>
    <w:rsid w:val="00044772"/>
    <w:rsid w:val="00054AF9"/>
    <w:rsid w:val="0005559E"/>
    <w:rsid w:val="00057997"/>
    <w:rsid w:val="000604D6"/>
    <w:rsid w:val="00062C93"/>
    <w:rsid w:val="00063465"/>
    <w:rsid w:val="000734D8"/>
    <w:rsid w:val="00075C43"/>
    <w:rsid w:val="00077775"/>
    <w:rsid w:val="000779DF"/>
    <w:rsid w:val="00080D9C"/>
    <w:rsid w:val="00084F60"/>
    <w:rsid w:val="00087912"/>
    <w:rsid w:val="00090471"/>
    <w:rsid w:val="00096AA7"/>
    <w:rsid w:val="000A1ACD"/>
    <w:rsid w:val="000A1E34"/>
    <w:rsid w:val="000A3AED"/>
    <w:rsid w:val="000A3E8F"/>
    <w:rsid w:val="000B3532"/>
    <w:rsid w:val="000B3A75"/>
    <w:rsid w:val="000C00C2"/>
    <w:rsid w:val="000C690F"/>
    <w:rsid w:val="000D0C3A"/>
    <w:rsid w:val="000D1295"/>
    <w:rsid w:val="000D391B"/>
    <w:rsid w:val="000D3D6D"/>
    <w:rsid w:val="000D4801"/>
    <w:rsid w:val="000D4FC7"/>
    <w:rsid w:val="000E01A3"/>
    <w:rsid w:val="000E6196"/>
    <w:rsid w:val="000E67EF"/>
    <w:rsid w:val="000F4869"/>
    <w:rsid w:val="000F5B42"/>
    <w:rsid w:val="000F6E6F"/>
    <w:rsid w:val="00101163"/>
    <w:rsid w:val="0010601F"/>
    <w:rsid w:val="0010788A"/>
    <w:rsid w:val="00107A31"/>
    <w:rsid w:val="00107A42"/>
    <w:rsid w:val="00107E30"/>
    <w:rsid w:val="00110EA5"/>
    <w:rsid w:val="00112D71"/>
    <w:rsid w:val="00112F56"/>
    <w:rsid w:val="0011633E"/>
    <w:rsid w:val="00116557"/>
    <w:rsid w:val="001248A7"/>
    <w:rsid w:val="00124ACD"/>
    <w:rsid w:val="00125318"/>
    <w:rsid w:val="00126F8E"/>
    <w:rsid w:val="001305A2"/>
    <w:rsid w:val="00133238"/>
    <w:rsid w:val="00133A1B"/>
    <w:rsid w:val="0013784A"/>
    <w:rsid w:val="0014197B"/>
    <w:rsid w:val="00143ACA"/>
    <w:rsid w:val="001447CD"/>
    <w:rsid w:val="001516B1"/>
    <w:rsid w:val="00154EBB"/>
    <w:rsid w:val="00156316"/>
    <w:rsid w:val="00161181"/>
    <w:rsid w:val="001616D2"/>
    <w:rsid w:val="00162D14"/>
    <w:rsid w:val="00163780"/>
    <w:rsid w:val="00165389"/>
    <w:rsid w:val="00165751"/>
    <w:rsid w:val="001663CC"/>
    <w:rsid w:val="0017280D"/>
    <w:rsid w:val="0017693F"/>
    <w:rsid w:val="0018110E"/>
    <w:rsid w:val="00181684"/>
    <w:rsid w:val="0018251B"/>
    <w:rsid w:val="001843C6"/>
    <w:rsid w:val="001850E0"/>
    <w:rsid w:val="0019010F"/>
    <w:rsid w:val="00193264"/>
    <w:rsid w:val="00196E43"/>
    <w:rsid w:val="001A2158"/>
    <w:rsid w:val="001A418B"/>
    <w:rsid w:val="001A525F"/>
    <w:rsid w:val="001B09F9"/>
    <w:rsid w:val="001B0D5E"/>
    <w:rsid w:val="001B5C90"/>
    <w:rsid w:val="001B5CBE"/>
    <w:rsid w:val="001B6448"/>
    <w:rsid w:val="001B650A"/>
    <w:rsid w:val="001C32CD"/>
    <w:rsid w:val="001D2984"/>
    <w:rsid w:val="001E07CF"/>
    <w:rsid w:val="001E59F1"/>
    <w:rsid w:val="001E64B7"/>
    <w:rsid w:val="001E706D"/>
    <w:rsid w:val="001F2CEE"/>
    <w:rsid w:val="001F346F"/>
    <w:rsid w:val="001F448C"/>
    <w:rsid w:val="001F49EB"/>
    <w:rsid w:val="001F6CBA"/>
    <w:rsid w:val="00200110"/>
    <w:rsid w:val="00201D4E"/>
    <w:rsid w:val="002076C9"/>
    <w:rsid w:val="002077BE"/>
    <w:rsid w:val="00210554"/>
    <w:rsid w:val="00220B8A"/>
    <w:rsid w:val="002223FF"/>
    <w:rsid w:val="00223977"/>
    <w:rsid w:val="00223CEC"/>
    <w:rsid w:val="002257F3"/>
    <w:rsid w:val="002328CC"/>
    <w:rsid w:val="00233456"/>
    <w:rsid w:val="002339A5"/>
    <w:rsid w:val="00233AC9"/>
    <w:rsid w:val="00237254"/>
    <w:rsid w:val="00241554"/>
    <w:rsid w:val="002471FD"/>
    <w:rsid w:val="00250D0A"/>
    <w:rsid w:val="00256BE2"/>
    <w:rsid w:val="00257848"/>
    <w:rsid w:val="0027084A"/>
    <w:rsid w:val="002734CC"/>
    <w:rsid w:val="002809EA"/>
    <w:rsid w:val="00280D6C"/>
    <w:rsid w:val="002816BB"/>
    <w:rsid w:val="00286434"/>
    <w:rsid w:val="00286C59"/>
    <w:rsid w:val="00291957"/>
    <w:rsid w:val="002942D1"/>
    <w:rsid w:val="0029501A"/>
    <w:rsid w:val="002954E4"/>
    <w:rsid w:val="002A3721"/>
    <w:rsid w:val="002A4756"/>
    <w:rsid w:val="002A658B"/>
    <w:rsid w:val="002A761E"/>
    <w:rsid w:val="002B1638"/>
    <w:rsid w:val="002B3624"/>
    <w:rsid w:val="002C1902"/>
    <w:rsid w:val="002D0952"/>
    <w:rsid w:val="002D15A9"/>
    <w:rsid w:val="002D6728"/>
    <w:rsid w:val="002E40B3"/>
    <w:rsid w:val="002E4C9A"/>
    <w:rsid w:val="002E7382"/>
    <w:rsid w:val="002E7899"/>
    <w:rsid w:val="002F0B70"/>
    <w:rsid w:val="002F11F8"/>
    <w:rsid w:val="002F3F56"/>
    <w:rsid w:val="002F44B5"/>
    <w:rsid w:val="002F5122"/>
    <w:rsid w:val="002F6581"/>
    <w:rsid w:val="002F6F36"/>
    <w:rsid w:val="00311AC0"/>
    <w:rsid w:val="003176FC"/>
    <w:rsid w:val="0031776E"/>
    <w:rsid w:val="0032583B"/>
    <w:rsid w:val="00327883"/>
    <w:rsid w:val="00331732"/>
    <w:rsid w:val="00335504"/>
    <w:rsid w:val="00340C18"/>
    <w:rsid w:val="003442FD"/>
    <w:rsid w:val="003470A8"/>
    <w:rsid w:val="00347824"/>
    <w:rsid w:val="00350567"/>
    <w:rsid w:val="003521E8"/>
    <w:rsid w:val="00366318"/>
    <w:rsid w:val="00367960"/>
    <w:rsid w:val="00370CE3"/>
    <w:rsid w:val="003728F3"/>
    <w:rsid w:val="003735BC"/>
    <w:rsid w:val="0037496E"/>
    <w:rsid w:val="0037586C"/>
    <w:rsid w:val="00383221"/>
    <w:rsid w:val="00386150"/>
    <w:rsid w:val="00386406"/>
    <w:rsid w:val="003874CE"/>
    <w:rsid w:val="00390900"/>
    <w:rsid w:val="0039213E"/>
    <w:rsid w:val="00392E74"/>
    <w:rsid w:val="003943D8"/>
    <w:rsid w:val="003953C2"/>
    <w:rsid w:val="003A02E6"/>
    <w:rsid w:val="003A1589"/>
    <w:rsid w:val="003A7F6C"/>
    <w:rsid w:val="003B276B"/>
    <w:rsid w:val="003B44A7"/>
    <w:rsid w:val="003B4D60"/>
    <w:rsid w:val="003B5F46"/>
    <w:rsid w:val="003B7E39"/>
    <w:rsid w:val="003C48D7"/>
    <w:rsid w:val="003C58DC"/>
    <w:rsid w:val="003C6F1E"/>
    <w:rsid w:val="003D1E62"/>
    <w:rsid w:val="003E0B99"/>
    <w:rsid w:val="003E2486"/>
    <w:rsid w:val="003E3208"/>
    <w:rsid w:val="003F0B04"/>
    <w:rsid w:val="003F3EB6"/>
    <w:rsid w:val="0040134E"/>
    <w:rsid w:val="00405B1C"/>
    <w:rsid w:val="0041404C"/>
    <w:rsid w:val="004232E8"/>
    <w:rsid w:val="004243E3"/>
    <w:rsid w:val="0042524D"/>
    <w:rsid w:val="004334C7"/>
    <w:rsid w:val="00440A2D"/>
    <w:rsid w:val="00441C3F"/>
    <w:rsid w:val="00443CAD"/>
    <w:rsid w:val="004564A7"/>
    <w:rsid w:val="00456765"/>
    <w:rsid w:val="004617BF"/>
    <w:rsid w:val="00463658"/>
    <w:rsid w:val="004637A0"/>
    <w:rsid w:val="0046391E"/>
    <w:rsid w:val="004722CC"/>
    <w:rsid w:val="0047386F"/>
    <w:rsid w:val="00482EE0"/>
    <w:rsid w:val="0048512C"/>
    <w:rsid w:val="00486984"/>
    <w:rsid w:val="00486E2D"/>
    <w:rsid w:val="00487683"/>
    <w:rsid w:val="00492898"/>
    <w:rsid w:val="004936E4"/>
    <w:rsid w:val="00494E60"/>
    <w:rsid w:val="00497487"/>
    <w:rsid w:val="004A554F"/>
    <w:rsid w:val="004A6189"/>
    <w:rsid w:val="004A68D9"/>
    <w:rsid w:val="004A7390"/>
    <w:rsid w:val="004B3A68"/>
    <w:rsid w:val="004B6CC7"/>
    <w:rsid w:val="004B7B76"/>
    <w:rsid w:val="004C0CDB"/>
    <w:rsid w:val="004C239D"/>
    <w:rsid w:val="004C2623"/>
    <w:rsid w:val="004C2DCA"/>
    <w:rsid w:val="004C61D2"/>
    <w:rsid w:val="004C655D"/>
    <w:rsid w:val="004D042E"/>
    <w:rsid w:val="004D70B4"/>
    <w:rsid w:val="004E0EAD"/>
    <w:rsid w:val="004F0C4A"/>
    <w:rsid w:val="004F0F38"/>
    <w:rsid w:val="004F47D6"/>
    <w:rsid w:val="004F4D3E"/>
    <w:rsid w:val="004F7BE2"/>
    <w:rsid w:val="00500337"/>
    <w:rsid w:val="00501921"/>
    <w:rsid w:val="005028A8"/>
    <w:rsid w:val="005137F4"/>
    <w:rsid w:val="005236C7"/>
    <w:rsid w:val="00525235"/>
    <w:rsid w:val="00527F3D"/>
    <w:rsid w:val="00530354"/>
    <w:rsid w:val="0053625B"/>
    <w:rsid w:val="005434C6"/>
    <w:rsid w:val="00543B39"/>
    <w:rsid w:val="00544AB7"/>
    <w:rsid w:val="00546154"/>
    <w:rsid w:val="00550096"/>
    <w:rsid w:val="00551FC2"/>
    <w:rsid w:val="00554948"/>
    <w:rsid w:val="00555280"/>
    <w:rsid w:val="00557FF9"/>
    <w:rsid w:val="0056171C"/>
    <w:rsid w:val="00562327"/>
    <w:rsid w:val="005711D5"/>
    <w:rsid w:val="00573FD3"/>
    <w:rsid w:val="005759AC"/>
    <w:rsid w:val="00576378"/>
    <w:rsid w:val="00577130"/>
    <w:rsid w:val="00577945"/>
    <w:rsid w:val="00577E38"/>
    <w:rsid w:val="00581777"/>
    <w:rsid w:val="00585322"/>
    <w:rsid w:val="005857C6"/>
    <w:rsid w:val="00592F6E"/>
    <w:rsid w:val="00593AD1"/>
    <w:rsid w:val="00596091"/>
    <w:rsid w:val="00596488"/>
    <w:rsid w:val="005A2E3E"/>
    <w:rsid w:val="005A5085"/>
    <w:rsid w:val="005A6226"/>
    <w:rsid w:val="005A68B6"/>
    <w:rsid w:val="005A79C9"/>
    <w:rsid w:val="005B16C3"/>
    <w:rsid w:val="005B2C53"/>
    <w:rsid w:val="005C2BCB"/>
    <w:rsid w:val="005C5570"/>
    <w:rsid w:val="005C79A4"/>
    <w:rsid w:val="005D0A88"/>
    <w:rsid w:val="005D5442"/>
    <w:rsid w:val="005D7A92"/>
    <w:rsid w:val="005E3545"/>
    <w:rsid w:val="005E681D"/>
    <w:rsid w:val="005F0E0E"/>
    <w:rsid w:val="005F321A"/>
    <w:rsid w:val="006026FA"/>
    <w:rsid w:val="00602E37"/>
    <w:rsid w:val="0060395A"/>
    <w:rsid w:val="00603F32"/>
    <w:rsid w:val="00605AD4"/>
    <w:rsid w:val="00605ECD"/>
    <w:rsid w:val="00610926"/>
    <w:rsid w:val="006136D7"/>
    <w:rsid w:val="00623BC0"/>
    <w:rsid w:val="00625A6E"/>
    <w:rsid w:val="006303D4"/>
    <w:rsid w:val="00632398"/>
    <w:rsid w:val="00640FC3"/>
    <w:rsid w:val="00641232"/>
    <w:rsid w:val="00642020"/>
    <w:rsid w:val="0064311E"/>
    <w:rsid w:val="00643643"/>
    <w:rsid w:val="006502A1"/>
    <w:rsid w:val="0065337B"/>
    <w:rsid w:val="0065419D"/>
    <w:rsid w:val="006603BC"/>
    <w:rsid w:val="006604D8"/>
    <w:rsid w:val="006611F8"/>
    <w:rsid w:val="006615A3"/>
    <w:rsid w:val="0066443F"/>
    <w:rsid w:val="00664A5B"/>
    <w:rsid w:val="00664BEB"/>
    <w:rsid w:val="0066735C"/>
    <w:rsid w:val="006738E7"/>
    <w:rsid w:val="00674F65"/>
    <w:rsid w:val="006755C3"/>
    <w:rsid w:val="006763D2"/>
    <w:rsid w:val="0067739E"/>
    <w:rsid w:val="00680C08"/>
    <w:rsid w:val="00682611"/>
    <w:rsid w:val="00686115"/>
    <w:rsid w:val="006916A0"/>
    <w:rsid w:val="006931B1"/>
    <w:rsid w:val="00696633"/>
    <w:rsid w:val="006A15C0"/>
    <w:rsid w:val="006A44F0"/>
    <w:rsid w:val="006A682F"/>
    <w:rsid w:val="006B7CC5"/>
    <w:rsid w:val="006C3E2A"/>
    <w:rsid w:val="006C598F"/>
    <w:rsid w:val="006C6052"/>
    <w:rsid w:val="006C642F"/>
    <w:rsid w:val="006C78A6"/>
    <w:rsid w:val="006C79CC"/>
    <w:rsid w:val="006D03E5"/>
    <w:rsid w:val="006D5D3E"/>
    <w:rsid w:val="006E08B3"/>
    <w:rsid w:val="006E294E"/>
    <w:rsid w:val="006E6793"/>
    <w:rsid w:val="006E7D26"/>
    <w:rsid w:val="006F1430"/>
    <w:rsid w:val="006F17AC"/>
    <w:rsid w:val="006F25B8"/>
    <w:rsid w:val="006F572E"/>
    <w:rsid w:val="006F6581"/>
    <w:rsid w:val="006F743D"/>
    <w:rsid w:val="00700727"/>
    <w:rsid w:val="007046D6"/>
    <w:rsid w:val="00705DB0"/>
    <w:rsid w:val="00722B57"/>
    <w:rsid w:val="00723D69"/>
    <w:rsid w:val="00730F8A"/>
    <w:rsid w:val="00735A8C"/>
    <w:rsid w:val="00737C83"/>
    <w:rsid w:val="00740C3E"/>
    <w:rsid w:val="0074253D"/>
    <w:rsid w:val="0074429B"/>
    <w:rsid w:val="0074429C"/>
    <w:rsid w:val="00744567"/>
    <w:rsid w:val="007504A5"/>
    <w:rsid w:val="00752740"/>
    <w:rsid w:val="007568CD"/>
    <w:rsid w:val="00757A38"/>
    <w:rsid w:val="007615BC"/>
    <w:rsid w:val="00761A3D"/>
    <w:rsid w:val="00762F05"/>
    <w:rsid w:val="007652FF"/>
    <w:rsid w:val="007672E2"/>
    <w:rsid w:val="00770CAC"/>
    <w:rsid w:val="00770EF1"/>
    <w:rsid w:val="00773EF7"/>
    <w:rsid w:val="00774E1D"/>
    <w:rsid w:val="007765D8"/>
    <w:rsid w:val="0077675A"/>
    <w:rsid w:val="00777D52"/>
    <w:rsid w:val="00780355"/>
    <w:rsid w:val="00780400"/>
    <w:rsid w:val="007819FD"/>
    <w:rsid w:val="00785717"/>
    <w:rsid w:val="00785721"/>
    <w:rsid w:val="00793A59"/>
    <w:rsid w:val="00793C8B"/>
    <w:rsid w:val="00795EEF"/>
    <w:rsid w:val="007A014D"/>
    <w:rsid w:val="007A3926"/>
    <w:rsid w:val="007A46F5"/>
    <w:rsid w:val="007A69A5"/>
    <w:rsid w:val="007A77EC"/>
    <w:rsid w:val="007B6132"/>
    <w:rsid w:val="007B6E9F"/>
    <w:rsid w:val="007C1216"/>
    <w:rsid w:val="007C1AF7"/>
    <w:rsid w:val="007C481C"/>
    <w:rsid w:val="007C6B9B"/>
    <w:rsid w:val="007D05A0"/>
    <w:rsid w:val="007D3E9C"/>
    <w:rsid w:val="007D5DE0"/>
    <w:rsid w:val="007E6A94"/>
    <w:rsid w:val="007F0C0C"/>
    <w:rsid w:val="007F2111"/>
    <w:rsid w:val="007F2592"/>
    <w:rsid w:val="007F37C2"/>
    <w:rsid w:val="007F3CEC"/>
    <w:rsid w:val="00805D27"/>
    <w:rsid w:val="00806DCB"/>
    <w:rsid w:val="00810212"/>
    <w:rsid w:val="00813DC9"/>
    <w:rsid w:val="008149B9"/>
    <w:rsid w:val="00816DE9"/>
    <w:rsid w:val="00821776"/>
    <w:rsid w:val="00825F08"/>
    <w:rsid w:val="00827281"/>
    <w:rsid w:val="0082779B"/>
    <w:rsid w:val="008310BB"/>
    <w:rsid w:val="008321F5"/>
    <w:rsid w:val="00832369"/>
    <w:rsid w:val="00833817"/>
    <w:rsid w:val="00834660"/>
    <w:rsid w:val="008368AB"/>
    <w:rsid w:val="00836BC2"/>
    <w:rsid w:val="00841257"/>
    <w:rsid w:val="00841CCF"/>
    <w:rsid w:val="008439E0"/>
    <w:rsid w:val="00843CFC"/>
    <w:rsid w:val="008478FC"/>
    <w:rsid w:val="0085156D"/>
    <w:rsid w:val="00852B28"/>
    <w:rsid w:val="0085641B"/>
    <w:rsid w:val="00857136"/>
    <w:rsid w:val="0085721C"/>
    <w:rsid w:val="00875A6B"/>
    <w:rsid w:val="008842FF"/>
    <w:rsid w:val="0088593E"/>
    <w:rsid w:val="00885B11"/>
    <w:rsid w:val="00886D15"/>
    <w:rsid w:val="00887DD8"/>
    <w:rsid w:val="00891BA9"/>
    <w:rsid w:val="00896018"/>
    <w:rsid w:val="008960DD"/>
    <w:rsid w:val="0089635C"/>
    <w:rsid w:val="008969A7"/>
    <w:rsid w:val="008A1BC0"/>
    <w:rsid w:val="008A2B9D"/>
    <w:rsid w:val="008A3D9F"/>
    <w:rsid w:val="008A4A1D"/>
    <w:rsid w:val="008A5E0B"/>
    <w:rsid w:val="008A6D59"/>
    <w:rsid w:val="008B19F1"/>
    <w:rsid w:val="008B4B03"/>
    <w:rsid w:val="008B596F"/>
    <w:rsid w:val="008B5BAF"/>
    <w:rsid w:val="008B6F19"/>
    <w:rsid w:val="008C159F"/>
    <w:rsid w:val="008C1623"/>
    <w:rsid w:val="008C1850"/>
    <w:rsid w:val="008C51A9"/>
    <w:rsid w:val="008C6FF0"/>
    <w:rsid w:val="008D28C4"/>
    <w:rsid w:val="008E520B"/>
    <w:rsid w:val="008E7846"/>
    <w:rsid w:val="008F02E5"/>
    <w:rsid w:val="008F1CCC"/>
    <w:rsid w:val="008F2967"/>
    <w:rsid w:val="008F6943"/>
    <w:rsid w:val="00902A21"/>
    <w:rsid w:val="00904EE9"/>
    <w:rsid w:val="0091523F"/>
    <w:rsid w:val="00920330"/>
    <w:rsid w:val="009219D7"/>
    <w:rsid w:val="00922D53"/>
    <w:rsid w:val="00923B70"/>
    <w:rsid w:val="00924482"/>
    <w:rsid w:val="00925684"/>
    <w:rsid w:val="00930237"/>
    <w:rsid w:val="00934D11"/>
    <w:rsid w:val="00937C17"/>
    <w:rsid w:val="00937E3B"/>
    <w:rsid w:val="00940A89"/>
    <w:rsid w:val="00946EA5"/>
    <w:rsid w:val="00962BC2"/>
    <w:rsid w:val="00963C08"/>
    <w:rsid w:val="0096489A"/>
    <w:rsid w:val="009752A5"/>
    <w:rsid w:val="00983A8B"/>
    <w:rsid w:val="00984AE1"/>
    <w:rsid w:val="0098585A"/>
    <w:rsid w:val="00992AE1"/>
    <w:rsid w:val="00994213"/>
    <w:rsid w:val="009A1BFB"/>
    <w:rsid w:val="009A4CED"/>
    <w:rsid w:val="009A690D"/>
    <w:rsid w:val="009A784E"/>
    <w:rsid w:val="009B0E1B"/>
    <w:rsid w:val="009B1D12"/>
    <w:rsid w:val="009B416B"/>
    <w:rsid w:val="009C12FE"/>
    <w:rsid w:val="009C4BD5"/>
    <w:rsid w:val="009D16FD"/>
    <w:rsid w:val="009D3BE5"/>
    <w:rsid w:val="009D7B77"/>
    <w:rsid w:val="009E0BB0"/>
    <w:rsid w:val="009E1258"/>
    <w:rsid w:val="009E3FBB"/>
    <w:rsid w:val="009E5BDB"/>
    <w:rsid w:val="009F2FBC"/>
    <w:rsid w:val="009F6F8E"/>
    <w:rsid w:val="009F7353"/>
    <w:rsid w:val="00A04F85"/>
    <w:rsid w:val="00A05FA4"/>
    <w:rsid w:val="00A102E4"/>
    <w:rsid w:val="00A12C42"/>
    <w:rsid w:val="00A134CE"/>
    <w:rsid w:val="00A13C54"/>
    <w:rsid w:val="00A14DF7"/>
    <w:rsid w:val="00A151F2"/>
    <w:rsid w:val="00A22D57"/>
    <w:rsid w:val="00A25383"/>
    <w:rsid w:val="00A3246D"/>
    <w:rsid w:val="00A36FA7"/>
    <w:rsid w:val="00A44DDB"/>
    <w:rsid w:val="00A475B7"/>
    <w:rsid w:val="00A47AF7"/>
    <w:rsid w:val="00A47C3E"/>
    <w:rsid w:val="00A50226"/>
    <w:rsid w:val="00A52BDD"/>
    <w:rsid w:val="00A6084F"/>
    <w:rsid w:val="00A60BAD"/>
    <w:rsid w:val="00A6635B"/>
    <w:rsid w:val="00A712FA"/>
    <w:rsid w:val="00A77F87"/>
    <w:rsid w:val="00A8038A"/>
    <w:rsid w:val="00A80B5B"/>
    <w:rsid w:val="00A81AFC"/>
    <w:rsid w:val="00A84E36"/>
    <w:rsid w:val="00A91EAA"/>
    <w:rsid w:val="00A964D1"/>
    <w:rsid w:val="00AA0617"/>
    <w:rsid w:val="00AA0ED0"/>
    <w:rsid w:val="00AA6579"/>
    <w:rsid w:val="00AA65ED"/>
    <w:rsid w:val="00AB49DB"/>
    <w:rsid w:val="00AB619B"/>
    <w:rsid w:val="00AC2B40"/>
    <w:rsid w:val="00AC2BB2"/>
    <w:rsid w:val="00AC2C3C"/>
    <w:rsid w:val="00AC2D04"/>
    <w:rsid w:val="00AC512D"/>
    <w:rsid w:val="00AC6BC3"/>
    <w:rsid w:val="00AC6F77"/>
    <w:rsid w:val="00AD0083"/>
    <w:rsid w:val="00AD0C54"/>
    <w:rsid w:val="00AD2809"/>
    <w:rsid w:val="00AD3935"/>
    <w:rsid w:val="00AD6903"/>
    <w:rsid w:val="00AD79FC"/>
    <w:rsid w:val="00AE0CC2"/>
    <w:rsid w:val="00AE65EB"/>
    <w:rsid w:val="00AE67A7"/>
    <w:rsid w:val="00AF1D94"/>
    <w:rsid w:val="00AF21C4"/>
    <w:rsid w:val="00AF31E6"/>
    <w:rsid w:val="00AF60C5"/>
    <w:rsid w:val="00B00804"/>
    <w:rsid w:val="00B009C6"/>
    <w:rsid w:val="00B01548"/>
    <w:rsid w:val="00B052D1"/>
    <w:rsid w:val="00B130CB"/>
    <w:rsid w:val="00B13EBD"/>
    <w:rsid w:val="00B21D29"/>
    <w:rsid w:val="00B242BA"/>
    <w:rsid w:val="00B25034"/>
    <w:rsid w:val="00B33588"/>
    <w:rsid w:val="00B33863"/>
    <w:rsid w:val="00B37D17"/>
    <w:rsid w:val="00B4175E"/>
    <w:rsid w:val="00B41C85"/>
    <w:rsid w:val="00B42E2D"/>
    <w:rsid w:val="00B452CE"/>
    <w:rsid w:val="00B46EDF"/>
    <w:rsid w:val="00B5051E"/>
    <w:rsid w:val="00B5096E"/>
    <w:rsid w:val="00B54C25"/>
    <w:rsid w:val="00B62CD5"/>
    <w:rsid w:val="00B65D1F"/>
    <w:rsid w:val="00B67A5C"/>
    <w:rsid w:val="00B73A3A"/>
    <w:rsid w:val="00B76B91"/>
    <w:rsid w:val="00B77EB1"/>
    <w:rsid w:val="00B811C6"/>
    <w:rsid w:val="00B824CC"/>
    <w:rsid w:val="00B855B0"/>
    <w:rsid w:val="00B9202E"/>
    <w:rsid w:val="00B92E08"/>
    <w:rsid w:val="00B930D0"/>
    <w:rsid w:val="00BC622A"/>
    <w:rsid w:val="00BD6D81"/>
    <w:rsid w:val="00BE0A78"/>
    <w:rsid w:val="00BE79F0"/>
    <w:rsid w:val="00BF046D"/>
    <w:rsid w:val="00BF1190"/>
    <w:rsid w:val="00BF3774"/>
    <w:rsid w:val="00BF5D04"/>
    <w:rsid w:val="00C009AA"/>
    <w:rsid w:val="00C04E72"/>
    <w:rsid w:val="00C1164D"/>
    <w:rsid w:val="00C15F54"/>
    <w:rsid w:val="00C16861"/>
    <w:rsid w:val="00C168F7"/>
    <w:rsid w:val="00C22AA5"/>
    <w:rsid w:val="00C27A4E"/>
    <w:rsid w:val="00C346AB"/>
    <w:rsid w:val="00C404A6"/>
    <w:rsid w:val="00C40A36"/>
    <w:rsid w:val="00C43D5F"/>
    <w:rsid w:val="00C44419"/>
    <w:rsid w:val="00C45E7B"/>
    <w:rsid w:val="00C471B1"/>
    <w:rsid w:val="00C47E1C"/>
    <w:rsid w:val="00C53C6D"/>
    <w:rsid w:val="00C55AE5"/>
    <w:rsid w:val="00C6316B"/>
    <w:rsid w:val="00C634A9"/>
    <w:rsid w:val="00C63F2D"/>
    <w:rsid w:val="00C64586"/>
    <w:rsid w:val="00C70D53"/>
    <w:rsid w:val="00C7136E"/>
    <w:rsid w:val="00C73D0B"/>
    <w:rsid w:val="00C772FF"/>
    <w:rsid w:val="00C80137"/>
    <w:rsid w:val="00C801AF"/>
    <w:rsid w:val="00C80256"/>
    <w:rsid w:val="00C94CD4"/>
    <w:rsid w:val="00C9747E"/>
    <w:rsid w:val="00CA1508"/>
    <w:rsid w:val="00CB6BC0"/>
    <w:rsid w:val="00CC113E"/>
    <w:rsid w:val="00CC1B7C"/>
    <w:rsid w:val="00CC727F"/>
    <w:rsid w:val="00CD207D"/>
    <w:rsid w:val="00CD25D0"/>
    <w:rsid w:val="00CD2975"/>
    <w:rsid w:val="00CE466D"/>
    <w:rsid w:val="00CE5F08"/>
    <w:rsid w:val="00CE7363"/>
    <w:rsid w:val="00CF0D26"/>
    <w:rsid w:val="00CF15C3"/>
    <w:rsid w:val="00CF2B6F"/>
    <w:rsid w:val="00CF2F3E"/>
    <w:rsid w:val="00CF58B6"/>
    <w:rsid w:val="00D0062D"/>
    <w:rsid w:val="00D00CCE"/>
    <w:rsid w:val="00D017ED"/>
    <w:rsid w:val="00D040D3"/>
    <w:rsid w:val="00D04C65"/>
    <w:rsid w:val="00D0597F"/>
    <w:rsid w:val="00D0634E"/>
    <w:rsid w:val="00D16A6A"/>
    <w:rsid w:val="00D201D2"/>
    <w:rsid w:val="00D224FE"/>
    <w:rsid w:val="00D23139"/>
    <w:rsid w:val="00D24A98"/>
    <w:rsid w:val="00D25520"/>
    <w:rsid w:val="00D26BA3"/>
    <w:rsid w:val="00D309A7"/>
    <w:rsid w:val="00D312BC"/>
    <w:rsid w:val="00D3158F"/>
    <w:rsid w:val="00D354BE"/>
    <w:rsid w:val="00D400D4"/>
    <w:rsid w:val="00D425BB"/>
    <w:rsid w:val="00D453FA"/>
    <w:rsid w:val="00D6493E"/>
    <w:rsid w:val="00D65FDF"/>
    <w:rsid w:val="00D7039F"/>
    <w:rsid w:val="00D7195D"/>
    <w:rsid w:val="00D7301E"/>
    <w:rsid w:val="00D771D3"/>
    <w:rsid w:val="00D80D48"/>
    <w:rsid w:val="00D81D13"/>
    <w:rsid w:val="00D83AE1"/>
    <w:rsid w:val="00D855D4"/>
    <w:rsid w:val="00D902C9"/>
    <w:rsid w:val="00D91F47"/>
    <w:rsid w:val="00D931A3"/>
    <w:rsid w:val="00D93466"/>
    <w:rsid w:val="00DA1124"/>
    <w:rsid w:val="00DA6533"/>
    <w:rsid w:val="00DB06B8"/>
    <w:rsid w:val="00DB3268"/>
    <w:rsid w:val="00DB6124"/>
    <w:rsid w:val="00DB750B"/>
    <w:rsid w:val="00DB75B7"/>
    <w:rsid w:val="00DB777F"/>
    <w:rsid w:val="00DC01C3"/>
    <w:rsid w:val="00DC0AD6"/>
    <w:rsid w:val="00DC6E02"/>
    <w:rsid w:val="00DD28CD"/>
    <w:rsid w:val="00DD7CF6"/>
    <w:rsid w:val="00DE02AE"/>
    <w:rsid w:val="00DE39D1"/>
    <w:rsid w:val="00DE4AFC"/>
    <w:rsid w:val="00DE6133"/>
    <w:rsid w:val="00DE7499"/>
    <w:rsid w:val="00DF0407"/>
    <w:rsid w:val="00DF1D7F"/>
    <w:rsid w:val="00DF3B90"/>
    <w:rsid w:val="00DF4BE4"/>
    <w:rsid w:val="00E02382"/>
    <w:rsid w:val="00E023E5"/>
    <w:rsid w:val="00E02FB4"/>
    <w:rsid w:val="00E02FD3"/>
    <w:rsid w:val="00E13FC7"/>
    <w:rsid w:val="00E14798"/>
    <w:rsid w:val="00E1525C"/>
    <w:rsid w:val="00E162CD"/>
    <w:rsid w:val="00E20571"/>
    <w:rsid w:val="00E235F7"/>
    <w:rsid w:val="00E23659"/>
    <w:rsid w:val="00E239D4"/>
    <w:rsid w:val="00E24781"/>
    <w:rsid w:val="00E26130"/>
    <w:rsid w:val="00E303D3"/>
    <w:rsid w:val="00E324BE"/>
    <w:rsid w:val="00E40B22"/>
    <w:rsid w:val="00E44ED1"/>
    <w:rsid w:val="00E45046"/>
    <w:rsid w:val="00E45619"/>
    <w:rsid w:val="00E4588F"/>
    <w:rsid w:val="00E46DA3"/>
    <w:rsid w:val="00E51BB1"/>
    <w:rsid w:val="00E53A6B"/>
    <w:rsid w:val="00E624A5"/>
    <w:rsid w:val="00E64BA4"/>
    <w:rsid w:val="00E703D4"/>
    <w:rsid w:val="00E7344E"/>
    <w:rsid w:val="00E76BE9"/>
    <w:rsid w:val="00E82665"/>
    <w:rsid w:val="00E8335F"/>
    <w:rsid w:val="00E91F99"/>
    <w:rsid w:val="00EA7ABB"/>
    <w:rsid w:val="00EB0798"/>
    <w:rsid w:val="00EB0E69"/>
    <w:rsid w:val="00EB1D35"/>
    <w:rsid w:val="00EB40AD"/>
    <w:rsid w:val="00EB586E"/>
    <w:rsid w:val="00EB5FC8"/>
    <w:rsid w:val="00EC07DA"/>
    <w:rsid w:val="00EC358A"/>
    <w:rsid w:val="00EC463D"/>
    <w:rsid w:val="00EC4D39"/>
    <w:rsid w:val="00EC5C72"/>
    <w:rsid w:val="00EC7A85"/>
    <w:rsid w:val="00EC7E2D"/>
    <w:rsid w:val="00ED2922"/>
    <w:rsid w:val="00ED3CAD"/>
    <w:rsid w:val="00ED5A41"/>
    <w:rsid w:val="00EE1DE8"/>
    <w:rsid w:val="00EE22BF"/>
    <w:rsid w:val="00EE27C2"/>
    <w:rsid w:val="00EE4179"/>
    <w:rsid w:val="00EF17B5"/>
    <w:rsid w:val="00EF1D9A"/>
    <w:rsid w:val="00EF1E0B"/>
    <w:rsid w:val="00EF4BAD"/>
    <w:rsid w:val="00EF59DC"/>
    <w:rsid w:val="00F029E2"/>
    <w:rsid w:val="00F033EC"/>
    <w:rsid w:val="00F04F68"/>
    <w:rsid w:val="00F073AE"/>
    <w:rsid w:val="00F07944"/>
    <w:rsid w:val="00F1018F"/>
    <w:rsid w:val="00F1234F"/>
    <w:rsid w:val="00F12670"/>
    <w:rsid w:val="00F12E7F"/>
    <w:rsid w:val="00F14B27"/>
    <w:rsid w:val="00F1650C"/>
    <w:rsid w:val="00F17CB0"/>
    <w:rsid w:val="00F2314E"/>
    <w:rsid w:val="00F3148D"/>
    <w:rsid w:val="00F31D6C"/>
    <w:rsid w:val="00F325C5"/>
    <w:rsid w:val="00F32FE0"/>
    <w:rsid w:val="00F33FCE"/>
    <w:rsid w:val="00F35298"/>
    <w:rsid w:val="00F373C6"/>
    <w:rsid w:val="00F41563"/>
    <w:rsid w:val="00F41AF6"/>
    <w:rsid w:val="00F41F65"/>
    <w:rsid w:val="00F424D1"/>
    <w:rsid w:val="00F437D0"/>
    <w:rsid w:val="00F47333"/>
    <w:rsid w:val="00F47E37"/>
    <w:rsid w:val="00F511F9"/>
    <w:rsid w:val="00F53C07"/>
    <w:rsid w:val="00F54B65"/>
    <w:rsid w:val="00F57115"/>
    <w:rsid w:val="00F64030"/>
    <w:rsid w:val="00F640B6"/>
    <w:rsid w:val="00F66DF2"/>
    <w:rsid w:val="00F72A84"/>
    <w:rsid w:val="00F80E40"/>
    <w:rsid w:val="00F8231C"/>
    <w:rsid w:val="00F84445"/>
    <w:rsid w:val="00F848D9"/>
    <w:rsid w:val="00F9116F"/>
    <w:rsid w:val="00F958EF"/>
    <w:rsid w:val="00F971ED"/>
    <w:rsid w:val="00F97FE9"/>
    <w:rsid w:val="00FA5069"/>
    <w:rsid w:val="00FA5B82"/>
    <w:rsid w:val="00FA639E"/>
    <w:rsid w:val="00FB5559"/>
    <w:rsid w:val="00FC1FCA"/>
    <w:rsid w:val="00FC25E4"/>
    <w:rsid w:val="00FC4449"/>
    <w:rsid w:val="00FC4EF7"/>
    <w:rsid w:val="00FD0824"/>
    <w:rsid w:val="00FD119B"/>
    <w:rsid w:val="00FD1EDC"/>
    <w:rsid w:val="00FE0AD6"/>
    <w:rsid w:val="00FE1DEE"/>
    <w:rsid w:val="00FE7DC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A4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75C4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471FD"/>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EC4D39"/>
    <w:pPr>
      <w:widowControl w:val="0"/>
      <w:autoSpaceDE w:val="0"/>
      <w:autoSpaceDN w:val="0"/>
      <w:adjustRightInd w:val="0"/>
      <w:spacing w:before="0" w:after="0" w:line="240" w:lineRule="auto"/>
    </w:pPr>
    <w:rPr>
      <w:rFonts w:eastAsiaTheme="minorEastAsia" w:cs="Cambria"/>
      <w:sz w:val="21"/>
      <w:szCs w:val="21"/>
      <w:lang w:eastAsia="en-AU"/>
    </w:rPr>
  </w:style>
  <w:style w:type="character" w:customStyle="1" w:styleId="BodyTextChar">
    <w:name w:val="Body Text Char"/>
    <w:basedOn w:val="DefaultParagraphFont"/>
    <w:link w:val="BodyText"/>
    <w:uiPriority w:val="1"/>
    <w:rsid w:val="00EC4D39"/>
    <w:rPr>
      <w:rFonts w:ascii="Cambria" w:eastAsiaTheme="minorEastAsia" w:hAnsi="Cambria" w:cs="Cambria"/>
      <w:sz w:val="21"/>
      <w:szCs w:val="21"/>
      <w:lang w:eastAsia="en-AU"/>
    </w:rPr>
  </w:style>
  <w:style w:type="paragraph" w:customStyle="1" w:styleId="Body">
    <w:name w:val="Body"/>
    <w:rsid w:val="00EC4D39"/>
    <w:pPr>
      <w:pBdr>
        <w:top w:val="nil"/>
        <w:left w:val="nil"/>
        <w:bottom w:val="nil"/>
        <w:right w:val="nil"/>
        <w:between w:val="nil"/>
        <w:bar w:val="nil"/>
      </w:pBdr>
      <w:spacing w:before="180" w:after="180" w:line="240" w:lineRule="atLeast"/>
    </w:pPr>
    <w:rPr>
      <w:rFonts w:ascii="Cambria" w:eastAsia="Cambria" w:hAnsi="Cambria" w:cs="Cambria"/>
      <w:color w:val="000000"/>
      <w:u w:color="000000"/>
      <w:bdr w:val="nil"/>
      <w:lang w:eastAsia="en-AU"/>
    </w:rPr>
  </w:style>
  <w:style w:type="paragraph" w:customStyle="1" w:styleId="Default">
    <w:name w:val="Default"/>
    <w:rsid w:val="00EC4D3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E6A94"/>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5A79C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A79C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A79C9"/>
    <w:pPr>
      <w:numPr>
        <w:numId w:val="25"/>
      </w:numPr>
      <w:spacing w:after="180"/>
    </w:pPr>
    <w:rPr>
      <w:kern w:val="2"/>
    </w:rPr>
  </w:style>
  <w:style w:type="character" w:customStyle="1" w:styleId="BulletlistChar">
    <w:name w:val="Bullet list Char"/>
    <w:basedOn w:val="StandardChar"/>
    <w:link w:val="Bulletlist"/>
    <w:rsid w:val="005A79C9"/>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5A79C9"/>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5A79C9"/>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A79C9"/>
    <w:rPr>
      <w:rFonts w:ascii="Cambria" w:eastAsia="Times New Roman" w:hAnsi="Cambria" w:cs="Times New Roman"/>
      <w:b/>
      <w:snapToGrid w:val="0"/>
      <w:kern w:val="16"/>
      <w:sz w:val="20"/>
      <w:szCs w:val="24"/>
    </w:rPr>
  </w:style>
  <w:style w:type="paragraph" w:styleId="Quote">
    <w:name w:val="Quote"/>
    <w:basedOn w:val="Normal"/>
    <w:next w:val="Normal"/>
    <w:link w:val="QuoteChar"/>
    <w:qFormat/>
    <w:rsid w:val="005A79C9"/>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rsid w:val="005A79C9"/>
    <w:rPr>
      <w:rFonts w:asciiTheme="majorHAnsi" w:hAnsiTheme="majorHAnsi"/>
      <w:i/>
      <w:iCs/>
      <w:color w:val="000000" w:themeColor="text1"/>
      <w:sz w:val="23"/>
    </w:rPr>
  </w:style>
  <w:style w:type="character" w:customStyle="1" w:styleId="jrnl">
    <w:name w:val="jrnl"/>
    <w:basedOn w:val="DefaultParagraphFont"/>
    <w:rsid w:val="00F33FCE"/>
  </w:style>
  <w:style w:type="paragraph" w:customStyle="1" w:styleId="Bulletpoint">
    <w:name w:val="Bullet point"/>
    <w:basedOn w:val="Normal"/>
    <w:rsid w:val="00B00804"/>
    <w:pPr>
      <w:numPr>
        <w:numId w:val="26"/>
      </w:numPr>
      <w:tabs>
        <w:tab w:val="left" w:pos="397"/>
      </w:tabs>
      <w:spacing w:before="0" w:after="180" w:line="252" w:lineRule="auto"/>
    </w:pPr>
    <w:rPr>
      <w:rFonts w:eastAsia="Times New Roman"/>
      <w:snapToGrid w:val="0"/>
      <w:kern w:val="16"/>
      <w:szCs w:val="24"/>
    </w:rPr>
  </w:style>
  <w:style w:type="paragraph" w:customStyle="1" w:styleId="AssessmentSubsection">
    <w:name w:val="Assessment Subsection"/>
    <w:basedOn w:val="Standard"/>
    <w:next w:val="Standard"/>
    <w:rsid w:val="00B00804"/>
    <w:pPr>
      <w:keepNext/>
      <w:spacing w:after="110"/>
      <w:outlineLvl w:val="2"/>
    </w:pPr>
    <w:rPr>
      <w:b/>
      <w:i/>
      <w:sz w:val="22"/>
    </w:rPr>
  </w:style>
  <w:style w:type="paragraph" w:customStyle="1" w:styleId="WhiteSpace">
    <w:name w:val="White Space"/>
    <w:basedOn w:val="Standard"/>
    <w:next w:val="Standard"/>
    <w:link w:val="WhiteSpaceChar"/>
    <w:rsid w:val="00B00804"/>
    <w:pPr>
      <w:spacing w:after="0"/>
    </w:pPr>
    <w:rPr>
      <w:sz w:val="16"/>
      <w:szCs w:val="16"/>
    </w:rPr>
  </w:style>
  <w:style w:type="character" w:customStyle="1" w:styleId="WhiteSpaceChar">
    <w:name w:val="White Space Char"/>
    <w:basedOn w:val="DefaultParagraphFont"/>
    <w:link w:val="WhiteSpace"/>
    <w:rsid w:val="00B00804"/>
    <w:rPr>
      <w:rFonts w:ascii="Cambria" w:eastAsia="Times New Roman" w:hAnsi="Cambria" w:cs="Times New Roman"/>
      <w:snapToGrid w:val="0"/>
      <w:kern w:val="16"/>
      <w:sz w:val="16"/>
      <w:szCs w:val="16"/>
    </w:rPr>
  </w:style>
  <w:style w:type="paragraph" w:customStyle="1" w:styleId="AssessmentSubsection2">
    <w:name w:val="Assessment Subsection 2"/>
    <w:basedOn w:val="Normal"/>
    <w:next w:val="Standard"/>
    <w:rsid w:val="00B00804"/>
    <w:pPr>
      <w:keepNext/>
      <w:spacing w:before="0" w:after="110" w:line="252" w:lineRule="auto"/>
      <w:outlineLvl w:val="3"/>
    </w:pPr>
    <w:rPr>
      <w:rFonts w:eastAsia="Times New Roman"/>
      <w:i/>
      <w:snapToGrid w:val="0"/>
      <w:kern w:val="16"/>
      <w:szCs w:val="24"/>
    </w:rPr>
  </w:style>
  <w:style w:type="character" w:customStyle="1" w:styleId="TableTitleChar">
    <w:name w:val="Table Title Char"/>
    <w:basedOn w:val="DefaultParagraphFont"/>
    <w:link w:val="TableTitle"/>
    <w:rsid w:val="00B00804"/>
    <w:rPr>
      <w:rFonts w:ascii="Cambria" w:eastAsia="Cambria" w:hAnsi="Cambria" w:cs="Times New Roman"/>
      <w:b/>
    </w:rPr>
  </w:style>
  <w:style w:type="paragraph" w:customStyle="1" w:styleId="TableHeader">
    <w:name w:val="Table Header"/>
    <w:basedOn w:val="Normal"/>
    <w:rsid w:val="00B00804"/>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B00804"/>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B00804"/>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B00804"/>
    <w:pPr>
      <w:outlineLvl w:val="1"/>
    </w:pPr>
    <w:rPr>
      <w:i w:val="0"/>
    </w:rPr>
  </w:style>
  <w:style w:type="paragraph" w:styleId="ListNumber">
    <w:name w:val="List Number"/>
    <w:basedOn w:val="ListParagraph"/>
    <w:uiPriority w:val="99"/>
    <w:unhideWhenUsed/>
    <w:rsid w:val="00487683"/>
    <w:pPr>
      <w:numPr>
        <w:numId w:val="28"/>
      </w:numPr>
      <w:tabs>
        <w:tab w:val="num" w:pos="360"/>
      </w:tabs>
      <w:adjustRightInd/>
      <w:snapToGrid/>
      <w:spacing w:before="0" w:after="120" w:line="240" w:lineRule="auto"/>
      <w:ind w:left="426" w:hanging="426"/>
    </w:pPr>
    <w:rPr>
      <w:rFonts w:asciiTheme="minorHAnsi" w:eastAsia="Times New Roman" w:hAnsiTheme="minorHAnsi"/>
      <w:b/>
      <w:szCs w:val="22"/>
      <w:lang w:eastAsia="en-AU"/>
    </w:rPr>
  </w:style>
  <w:style w:type="paragraph" w:styleId="ListNumber2">
    <w:name w:val="List Number 2"/>
    <w:basedOn w:val="Normal"/>
    <w:uiPriority w:val="99"/>
    <w:unhideWhenUsed/>
    <w:rsid w:val="00487683"/>
    <w:pPr>
      <w:numPr>
        <w:numId w:val="27"/>
      </w:numPr>
      <w:adjustRightInd w:val="0"/>
      <w:snapToGrid w:val="0"/>
      <w:spacing w:before="0"/>
      <w:ind w:left="0" w:firstLine="0"/>
      <w:contextualSpacing/>
    </w:pPr>
    <w:rPr>
      <w:rFonts w:eastAsia="MS Mincho"/>
      <w:szCs w:val="20"/>
      <w:lang w:eastAsia="ja-JP"/>
    </w:rPr>
  </w:style>
  <w:style w:type="paragraph" w:customStyle="1" w:styleId="EndNoteBibliography">
    <w:name w:val="EndNote Bibliography"/>
    <w:basedOn w:val="Normal"/>
    <w:link w:val="EndNoteBibliographyChar"/>
    <w:rsid w:val="00E14798"/>
    <w:pPr>
      <w:adjustRightInd w:val="0"/>
      <w:snapToGrid w:val="0"/>
      <w:spacing w:before="180" w:after="180"/>
    </w:pPr>
    <w:rPr>
      <w:rFonts w:eastAsia="MS Mincho"/>
      <w:noProof/>
      <w:szCs w:val="20"/>
      <w:lang w:eastAsia="ja-JP"/>
    </w:rPr>
  </w:style>
  <w:style w:type="character" w:customStyle="1" w:styleId="EndNoteBibliographyChar">
    <w:name w:val="EndNote Bibliography Char"/>
    <w:basedOn w:val="DefaultParagraphFont"/>
    <w:link w:val="EndNoteBibliography"/>
    <w:rsid w:val="00E14798"/>
    <w:rPr>
      <w:rFonts w:ascii="Cambria" w:eastAsia="MS Mincho" w:hAnsi="Cambria" w:cs="Times New Roman"/>
      <w:noProof/>
      <w:szCs w:val="20"/>
      <w:lang w:eastAsia="ja-JP"/>
    </w:rPr>
  </w:style>
  <w:style w:type="character" w:customStyle="1" w:styleId="apple-converted-space">
    <w:name w:val="apple-converted-space"/>
    <w:basedOn w:val="DefaultParagraphFont"/>
    <w:rsid w:val="00F971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75C4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471FD"/>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EC4D39"/>
    <w:pPr>
      <w:widowControl w:val="0"/>
      <w:autoSpaceDE w:val="0"/>
      <w:autoSpaceDN w:val="0"/>
      <w:adjustRightInd w:val="0"/>
      <w:spacing w:before="0" w:after="0" w:line="240" w:lineRule="auto"/>
    </w:pPr>
    <w:rPr>
      <w:rFonts w:eastAsiaTheme="minorEastAsia" w:cs="Cambria"/>
      <w:sz w:val="21"/>
      <w:szCs w:val="21"/>
      <w:lang w:eastAsia="en-AU"/>
    </w:rPr>
  </w:style>
  <w:style w:type="character" w:customStyle="1" w:styleId="BodyTextChar">
    <w:name w:val="Body Text Char"/>
    <w:basedOn w:val="DefaultParagraphFont"/>
    <w:link w:val="BodyText"/>
    <w:uiPriority w:val="1"/>
    <w:rsid w:val="00EC4D39"/>
    <w:rPr>
      <w:rFonts w:ascii="Cambria" w:eastAsiaTheme="minorEastAsia" w:hAnsi="Cambria" w:cs="Cambria"/>
      <w:sz w:val="21"/>
      <w:szCs w:val="21"/>
      <w:lang w:eastAsia="en-AU"/>
    </w:rPr>
  </w:style>
  <w:style w:type="paragraph" w:customStyle="1" w:styleId="Body">
    <w:name w:val="Body"/>
    <w:rsid w:val="00EC4D39"/>
    <w:pPr>
      <w:pBdr>
        <w:top w:val="nil"/>
        <w:left w:val="nil"/>
        <w:bottom w:val="nil"/>
        <w:right w:val="nil"/>
        <w:between w:val="nil"/>
        <w:bar w:val="nil"/>
      </w:pBdr>
      <w:spacing w:before="180" w:after="180" w:line="240" w:lineRule="atLeast"/>
    </w:pPr>
    <w:rPr>
      <w:rFonts w:ascii="Cambria" w:eastAsia="Cambria" w:hAnsi="Cambria" w:cs="Cambria"/>
      <w:color w:val="000000"/>
      <w:u w:color="000000"/>
      <w:bdr w:val="nil"/>
      <w:lang w:eastAsia="en-AU"/>
    </w:rPr>
  </w:style>
  <w:style w:type="paragraph" w:customStyle="1" w:styleId="Default">
    <w:name w:val="Default"/>
    <w:rsid w:val="00EC4D3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E6A94"/>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5A79C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A79C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A79C9"/>
    <w:pPr>
      <w:numPr>
        <w:numId w:val="25"/>
      </w:numPr>
      <w:spacing w:after="180"/>
    </w:pPr>
    <w:rPr>
      <w:kern w:val="2"/>
    </w:rPr>
  </w:style>
  <w:style w:type="character" w:customStyle="1" w:styleId="BulletlistChar">
    <w:name w:val="Bullet list Char"/>
    <w:basedOn w:val="StandardChar"/>
    <w:link w:val="Bulletlist"/>
    <w:rsid w:val="005A79C9"/>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5A79C9"/>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5A79C9"/>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A79C9"/>
    <w:rPr>
      <w:rFonts w:ascii="Cambria" w:eastAsia="Times New Roman" w:hAnsi="Cambria" w:cs="Times New Roman"/>
      <w:b/>
      <w:snapToGrid w:val="0"/>
      <w:kern w:val="16"/>
      <w:sz w:val="20"/>
      <w:szCs w:val="24"/>
    </w:rPr>
  </w:style>
  <w:style w:type="paragraph" w:styleId="Quote">
    <w:name w:val="Quote"/>
    <w:basedOn w:val="Normal"/>
    <w:next w:val="Normal"/>
    <w:link w:val="QuoteChar"/>
    <w:qFormat/>
    <w:rsid w:val="005A79C9"/>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rsid w:val="005A79C9"/>
    <w:rPr>
      <w:rFonts w:asciiTheme="majorHAnsi" w:hAnsiTheme="majorHAnsi"/>
      <w:i/>
      <w:iCs/>
      <w:color w:val="000000" w:themeColor="text1"/>
      <w:sz w:val="23"/>
    </w:rPr>
  </w:style>
  <w:style w:type="character" w:customStyle="1" w:styleId="jrnl">
    <w:name w:val="jrnl"/>
    <w:basedOn w:val="DefaultParagraphFont"/>
    <w:rsid w:val="00F33FCE"/>
  </w:style>
  <w:style w:type="paragraph" w:customStyle="1" w:styleId="Bulletpoint">
    <w:name w:val="Bullet point"/>
    <w:basedOn w:val="Normal"/>
    <w:rsid w:val="00B00804"/>
    <w:pPr>
      <w:numPr>
        <w:numId w:val="26"/>
      </w:numPr>
      <w:tabs>
        <w:tab w:val="left" w:pos="397"/>
      </w:tabs>
      <w:spacing w:before="0" w:after="180" w:line="252" w:lineRule="auto"/>
    </w:pPr>
    <w:rPr>
      <w:rFonts w:eastAsia="Times New Roman"/>
      <w:snapToGrid w:val="0"/>
      <w:kern w:val="16"/>
      <w:szCs w:val="24"/>
    </w:rPr>
  </w:style>
  <w:style w:type="paragraph" w:customStyle="1" w:styleId="AssessmentSubsection">
    <w:name w:val="Assessment Subsection"/>
    <w:basedOn w:val="Standard"/>
    <w:next w:val="Standard"/>
    <w:rsid w:val="00B00804"/>
    <w:pPr>
      <w:keepNext/>
      <w:spacing w:after="110"/>
      <w:outlineLvl w:val="2"/>
    </w:pPr>
    <w:rPr>
      <w:b/>
      <w:i/>
      <w:sz w:val="22"/>
    </w:rPr>
  </w:style>
  <w:style w:type="paragraph" w:customStyle="1" w:styleId="WhiteSpace">
    <w:name w:val="White Space"/>
    <w:basedOn w:val="Standard"/>
    <w:next w:val="Standard"/>
    <w:link w:val="WhiteSpaceChar"/>
    <w:rsid w:val="00B00804"/>
    <w:pPr>
      <w:spacing w:after="0"/>
    </w:pPr>
    <w:rPr>
      <w:sz w:val="16"/>
      <w:szCs w:val="16"/>
    </w:rPr>
  </w:style>
  <w:style w:type="character" w:customStyle="1" w:styleId="WhiteSpaceChar">
    <w:name w:val="White Space Char"/>
    <w:basedOn w:val="DefaultParagraphFont"/>
    <w:link w:val="WhiteSpace"/>
    <w:rsid w:val="00B00804"/>
    <w:rPr>
      <w:rFonts w:ascii="Cambria" w:eastAsia="Times New Roman" w:hAnsi="Cambria" w:cs="Times New Roman"/>
      <w:snapToGrid w:val="0"/>
      <w:kern w:val="16"/>
      <w:sz w:val="16"/>
      <w:szCs w:val="16"/>
    </w:rPr>
  </w:style>
  <w:style w:type="paragraph" w:customStyle="1" w:styleId="AssessmentSubsection2">
    <w:name w:val="Assessment Subsection 2"/>
    <w:basedOn w:val="Normal"/>
    <w:next w:val="Standard"/>
    <w:rsid w:val="00B00804"/>
    <w:pPr>
      <w:keepNext/>
      <w:spacing w:before="0" w:after="110" w:line="252" w:lineRule="auto"/>
      <w:outlineLvl w:val="3"/>
    </w:pPr>
    <w:rPr>
      <w:rFonts w:eastAsia="Times New Roman"/>
      <w:i/>
      <w:snapToGrid w:val="0"/>
      <w:kern w:val="16"/>
      <w:szCs w:val="24"/>
    </w:rPr>
  </w:style>
  <w:style w:type="character" w:customStyle="1" w:styleId="TableTitleChar">
    <w:name w:val="Table Title Char"/>
    <w:basedOn w:val="DefaultParagraphFont"/>
    <w:link w:val="TableTitle"/>
    <w:rsid w:val="00B00804"/>
    <w:rPr>
      <w:rFonts w:ascii="Cambria" w:eastAsia="Cambria" w:hAnsi="Cambria" w:cs="Times New Roman"/>
      <w:b/>
    </w:rPr>
  </w:style>
  <w:style w:type="paragraph" w:customStyle="1" w:styleId="TableHeader">
    <w:name w:val="Table Header"/>
    <w:basedOn w:val="Normal"/>
    <w:rsid w:val="00B00804"/>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B00804"/>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B00804"/>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B00804"/>
    <w:pPr>
      <w:outlineLvl w:val="1"/>
    </w:pPr>
    <w:rPr>
      <w:i w:val="0"/>
    </w:rPr>
  </w:style>
  <w:style w:type="paragraph" w:styleId="ListNumber">
    <w:name w:val="List Number"/>
    <w:basedOn w:val="ListParagraph"/>
    <w:uiPriority w:val="99"/>
    <w:unhideWhenUsed/>
    <w:rsid w:val="00487683"/>
    <w:pPr>
      <w:numPr>
        <w:numId w:val="28"/>
      </w:numPr>
      <w:tabs>
        <w:tab w:val="num" w:pos="360"/>
      </w:tabs>
      <w:adjustRightInd/>
      <w:snapToGrid/>
      <w:spacing w:before="0" w:after="120" w:line="240" w:lineRule="auto"/>
      <w:ind w:left="426" w:hanging="426"/>
    </w:pPr>
    <w:rPr>
      <w:rFonts w:asciiTheme="minorHAnsi" w:eastAsia="Times New Roman" w:hAnsiTheme="minorHAnsi"/>
      <w:b/>
      <w:szCs w:val="22"/>
      <w:lang w:eastAsia="en-AU"/>
    </w:rPr>
  </w:style>
  <w:style w:type="paragraph" w:styleId="ListNumber2">
    <w:name w:val="List Number 2"/>
    <w:basedOn w:val="Normal"/>
    <w:uiPriority w:val="99"/>
    <w:unhideWhenUsed/>
    <w:rsid w:val="00487683"/>
    <w:pPr>
      <w:numPr>
        <w:numId w:val="27"/>
      </w:numPr>
      <w:adjustRightInd w:val="0"/>
      <w:snapToGrid w:val="0"/>
      <w:spacing w:before="0"/>
      <w:ind w:left="0" w:firstLine="0"/>
      <w:contextualSpacing/>
    </w:pPr>
    <w:rPr>
      <w:rFonts w:eastAsia="MS Mincho"/>
      <w:szCs w:val="20"/>
      <w:lang w:eastAsia="ja-JP"/>
    </w:rPr>
  </w:style>
  <w:style w:type="paragraph" w:customStyle="1" w:styleId="EndNoteBibliography">
    <w:name w:val="EndNote Bibliography"/>
    <w:basedOn w:val="Normal"/>
    <w:link w:val="EndNoteBibliographyChar"/>
    <w:rsid w:val="00E14798"/>
    <w:pPr>
      <w:adjustRightInd w:val="0"/>
      <w:snapToGrid w:val="0"/>
      <w:spacing w:before="180" w:after="180"/>
    </w:pPr>
    <w:rPr>
      <w:rFonts w:eastAsia="MS Mincho"/>
      <w:noProof/>
      <w:szCs w:val="20"/>
      <w:lang w:eastAsia="ja-JP"/>
    </w:rPr>
  </w:style>
  <w:style w:type="character" w:customStyle="1" w:styleId="EndNoteBibliographyChar">
    <w:name w:val="EndNote Bibliography Char"/>
    <w:basedOn w:val="DefaultParagraphFont"/>
    <w:link w:val="EndNoteBibliography"/>
    <w:rsid w:val="00E14798"/>
    <w:rPr>
      <w:rFonts w:ascii="Cambria" w:eastAsia="MS Mincho" w:hAnsi="Cambria" w:cs="Times New Roman"/>
      <w:noProof/>
      <w:szCs w:val="20"/>
      <w:lang w:eastAsia="ja-JP"/>
    </w:rPr>
  </w:style>
  <w:style w:type="character" w:customStyle="1" w:styleId="apple-converted-space">
    <w:name w:val="apple-converted-space"/>
    <w:basedOn w:val="DefaultParagraphFont"/>
    <w:rsid w:val="00F97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629627">
      <w:bodyDiv w:val="1"/>
      <w:marLeft w:val="0"/>
      <w:marRight w:val="0"/>
      <w:marTop w:val="0"/>
      <w:marBottom w:val="0"/>
      <w:divBdr>
        <w:top w:val="none" w:sz="0" w:space="0" w:color="auto"/>
        <w:left w:val="none" w:sz="0" w:space="0" w:color="auto"/>
        <w:bottom w:val="none" w:sz="0" w:space="0" w:color="auto"/>
        <w:right w:val="none" w:sz="0" w:space="0" w:color="auto"/>
      </w:divBdr>
    </w:div>
    <w:div w:id="528178573">
      <w:bodyDiv w:val="1"/>
      <w:marLeft w:val="0"/>
      <w:marRight w:val="0"/>
      <w:marTop w:val="0"/>
      <w:marBottom w:val="0"/>
      <w:divBdr>
        <w:top w:val="none" w:sz="0" w:space="0" w:color="auto"/>
        <w:left w:val="none" w:sz="0" w:space="0" w:color="auto"/>
        <w:bottom w:val="none" w:sz="0" w:space="0" w:color="auto"/>
        <w:right w:val="none" w:sz="0" w:space="0" w:color="auto"/>
      </w:divBdr>
    </w:div>
    <w:div w:id="549725606">
      <w:bodyDiv w:val="1"/>
      <w:marLeft w:val="0"/>
      <w:marRight w:val="0"/>
      <w:marTop w:val="0"/>
      <w:marBottom w:val="0"/>
      <w:divBdr>
        <w:top w:val="none" w:sz="0" w:space="0" w:color="auto"/>
        <w:left w:val="none" w:sz="0" w:space="0" w:color="auto"/>
        <w:bottom w:val="none" w:sz="0" w:space="0" w:color="auto"/>
        <w:right w:val="none" w:sz="0" w:space="0" w:color="auto"/>
      </w:divBdr>
    </w:div>
    <w:div w:id="711685598">
      <w:bodyDiv w:val="1"/>
      <w:marLeft w:val="0"/>
      <w:marRight w:val="0"/>
      <w:marTop w:val="0"/>
      <w:marBottom w:val="0"/>
      <w:divBdr>
        <w:top w:val="none" w:sz="0" w:space="0" w:color="auto"/>
        <w:left w:val="none" w:sz="0" w:space="0" w:color="auto"/>
        <w:bottom w:val="none" w:sz="0" w:space="0" w:color="auto"/>
        <w:right w:val="none" w:sz="0" w:space="0" w:color="auto"/>
      </w:divBdr>
    </w:div>
    <w:div w:id="1215696872">
      <w:bodyDiv w:val="1"/>
      <w:marLeft w:val="0"/>
      <w:marRight w:val="0"/>
      <w:marTop w:val="0"/>
      <w:marBottom w:val="0"/>
      <w:divBdr>
        <w:top w:val="none" w:sz="0" w:space="0" w:color="auto"/>
        <w:left w:val="none" w:sz="0" w:space="0" w:color="auto"/>
        <w:bottom w:val="none" w:sz="0" w:space="0" w:color="auto"/>
        <w:right w:val="none" w:sz="0" w:space="0" w:color="auto"/>
      </w:divBdr>
    </w:div>
    <w:div w:id="1526404598">
      <w:bodyDiv w:val="1"/>
      <w:marLeft w:val="0"/>
      <w:marRight w:val="0"/>
      <w:marTop w:val="0"/>
      <w:marBottom w:val="0"/>
      <w:divBdr>
        <w:top w:val="none" w:sz="0" w:space="0" w:color="auto"/>
        <w:left w:val="none" w:sz="0" w:space="0" w:color="auto"/>
        <w:bottom w:val="none" w:sz="0" w:space="0" w:color="auto"/>
        <w:right w:val="none" w:sz="0" w:space="0" w:color="auto"/>
      </w:divBdr>
    </w:div>
    <w:div w:id="1618368462">
      <w:bodyDiv w:val="1"/>
      <w:marLeft w:val="0"/>
      <w:marRight w:val="0"/>
      <w:marTop w:val="0"/>
      <w:marBottom w:val="0"/>
      <w:divBdr>
        <w:top w:val="none" w:sz="0" w:space="0" w:color="auto"/>
        <w:left w:val="none" w:sz="0" w:space="0" w:color="auto"/>
        <w:bottom w:val="none" w:sz="0" w:space="0" w:color="auto"/>
        <w:right w:val="none" w:sz="0" w:space="0" w:color="auto"/>
      </w:divBdr>
    </w:div>
    <w:div w:id="1665429063">
      <w:bodyDiv w:val="1"/>
      <w:marLeft w:val="0"/>
      <w:marRight w:val="0"/>
      <w:marTop w:val="0"/>
      <w:marBottom w:val="0"/>
      <w:divBdr>
        <w:top w:val="none" w:sz="0" w:space="0" w:color="auto"/>
        <w:left w:val="none" w:sz="0" w:space="0" w:color="auto"/>
        <w:bottom w:val="none" w:sz="0" w:space="0" w:color="auto"/>
        <w:right w:val="none" w:sz="0" w:space="0" w:color="auto"/>
      </w:divBdr>
    </w:div>
    <w:div w:id="1703168997">
      <w:bodyDiv w:val="1"/>
      <w:marLeft w:val="0"/>
      <w:marRight w:val="0"/>
      <w:marTop w:val="0"/>
      <w:marBottom w:val="0"/>
      <w:divBdr>
        <w:top w:val="none" w:sz="0" w:space="0" w:color="auto"/>
        <w:left w:val="none" w:sz="0" w:space="0" w:color="auto"/>
        <w:bottom w:val="none" w:sz="0" w:space="0" w:color="auto"/>
        <w:right w:val="none" w:sz="0" w:space="0" w:color="auto"/>
      </w:divBdr>
    </w:div>
    <w:div w:id="1742294827">
      <w:bodyDiv w:val="1"/>
      <w:marLeft w:val="0"/>
      <w:marRight w:val="0"/>
      <w:marTop w:val="0"/>
      <w:marBottom w:val="0"/>
      <w:divBdr>
        <w:top w:val="none" w:sz="0" w:space="0" w:color="auto"/>
        <w:left w:val="none" w:sz="0" w:space="0" w:color="auto"/>
        <w:bottom w:val="none" w:sz="0" w:space="0" w:color="auto"/>
        <w:right w:val="none" w:sz="0" w:space="0" w:color="auto"/>
      </w:divBdr>
    </w:div>
    <w:div w:id="1932077758">
      <w:bodyDiv w:val="1"/>
      <w:marLeft w:val="0"/>
      <w:marRight w:val="0"/>
      <w:marTop w:val="0"/>
      <w:marBottom w:val="0"/>
      <w:divBdr>
        <w:top w:val="none" w:sz="0" w:space="0" w:color="auto"/>
        <w:left w:val="none" w:sz="0" w:space="0" w:color="auto"/>
        <w:bottom w:val="none" w:sz="0" w:space="0" w:color="auto"/>
        <w:right w:val="none" w:sz="0" w:space="0" w:color="auto"/>
      </w:divBdr>
    </w:div>
    <w:div w:id="1945964814">
      <w:bodyDiv w:val="1"/>
      <w:marLeft w:val="0"/>
      <w:marRight w:val="0"/>
      <w:marTop w:val="0"/>
      <w:marBottom w:val="0"/>
      <w:divBdr>
        <w:top w:val="none" w:sz="0" w:space="0" w:color="auto"/>
        <w:left w:val="none" w:sz="0" w:space="0" w:color="auto"/>
        <w:bottom w:val="none" w:sz="0" w:space="0" w:color="auto"/>
        <w:right w:val="none" w:sz="0" w:space="0" w:color="auto"/>
      </w:divBdr>
    </w:div>
    <w:div w:id="202821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 TargetMode="External"/><Relationship Id="rId18" Type="http://schemas.openxmlformats.org/officeDocument/2006/relationships/hyperlink" Target="https://www.tga.gov.au/product-information-pi" TargetMode="Externa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4.xml"/><Relationship Id="rId55" Type="http://schemas.openxmlformats.org/officeDocument/2006/relationships/header" Target="header6.xml"/><Relationship Id="rId63" Type="http://schemas.microsoft.com/office/2011/relationships/commentsExtended" Target="commentsExtended.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mailto:info@tga.gov.au" TargetMode="External"/><Relationship Id="rId58" Type="http://schemas.openxmlformats.org/officeDocument/2006/relationships/header" Target="header8.xm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tga.gov.au/product-information-pi" TargetMode="External"/><Relationship Id="rId56" Type="http://schemas.openxmlformats.org/officeDocument/2006/relationships/header" Target="header7.xml"/><Relationship Id="rId8" Type="http://schemas.microsoft.com/office/2007/relationships/stylesWithEffects" Target="stylesWithEffect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4.xml"/><Relationship Id="rId67"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s://www.ncbi.nlm.nih.gov/pubmed/24606022" TargetMode="External"/><Relationship Id="rId1" Type="http://schemas.openxmlformats.org/officeDocument/2006/relationships/hyperlink" Target="file:///U:/AUS%20PARS/AusPAR%20-%20%20FASENRA%20-%20Benralizumab%20-%20AstraZeneca%20Pty%20Ltd%20-%20PM-2016-04636-1-5%20-%20DRAFT%20V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76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ee89e71-04cd-405e-9ca3-99e020c1694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BCFC47061C52A498CE3BC4D9435FF7E" ma:contentTypeVersion="18" ma:contentTypeDescription="Create a new document." ma:contentTypeScope="" ma:versionID="194c1832c40b15c6891db9eebe73d5e5">
  <xsd:schema xmlns:xsd="http://www.w3.org/2001/XMLSchema" xmlns:xs="http://www.w3.org/2001/XMLSchema" xmlns:p="http://schemas.microsoft.com/office/2006/metadata/properties" xmlns:ns1="http://schemas.microsoft.com/sharepoint/v3" xmlns:ns2="44a56295-c29e-4898-8136-a54736c65b82" xmlns:ns3="b00c2015-aaf6-4827-951d-b3732742b6ff" xmlns:ns5="9179931F-2005-4770-A3E2-D02D142DED0F" xmlns:ns6="25c48654-a40c-40e7-ac4a-d89ba66c7ecb" xmlns:ns7="8f4b1613-61b3-4441-9ef7-1b95bfe5a6f5" xmlns:ns8="http://schemas.microsoft.com/sharepoint/v4" targetNamespace="http://schemas.microsoft.com/office/2006/metadata/properties" ma:root="true" ma:fieldsID="ef8a962e9f5e69eb96ddd1f7b5832fe7" ns1:_="" ns2:_="" ns3:_="" ns5:_="" ns6:_="" ns7:_="" ns8:_="">
    <xsd:import namespace="http://schemas.microsoft.com/sharepoint/v3"/>
    <xsd:import namespace="44a56295-c29e-4898-8136-a54736c65b82"/>
    <xsd:import namespace="b00c2015-aaf6-4827-951d-b3732742b6ff"/>
    <xsd:import namespace="9179931F-2005-4770-A3E2-D02D142DED0F"/>
    <xsd:import namespace="25c48654-a40c-40e7-ac4a-d89ba66c7ecb"/>
    <xsd:import namespace="8f4b1613-61b3-4441-9ef7-1b95bfe5a6f5"/>
    <xsd:import namespace="http://schemas.microsoft.com/sharepoint/v4"/>
    <xsd:element name="properties">
      <xsd:complexType>
        <xsd:sequence>
          <xsd:element name="documentManagement">
            <xsd:complexType>
              <xsd:all>
                <xsd:element ref="ns2:Descriptions" minOccurs="0"/>
                <xsd:element ref="ns2:Keyword" minOccurs="0"/>
                <xsd:element ref="ns3:Document_x0020_Status"/>
                <xsd:element ref="ns3:Regulatory" minOccurs="0"/>
                <xsd:element ref="ns3:Team" minOccurs="0"/>
                <xsd:element ref="ns3:Stage"/>
                <xsd:element ref="ns5:Key_x0020_Project_x0020_Info" minOccurs="0"/>
                <xsd:element ref="ns1:DocumentSetDescription" minOccurs="0"/>
                <xsd:element ref="ns6:Default_x0020_Tag_x0020_1" minOccurs="0"/>
                <xsd:element ref="ns6:Default_x0020_Tag_x0020_2" minOccurs="0"/>
                <xsd:element ref="ns6:Default_x0020_Tag_x0020_3" minOccurs="0"/>
                <xsd:element ref="ns7:Study_x0020_Identifier" minOccurs="0"/>
                <xsd:element ref="ns2:Owner_x0020_Name" minOccurs="0"/>
                <xsd:element ref="ns3:Discipline_Function" minOccurs="0"/>
                <xsd:element ref="ns3:Document_x0020_Group" minOccurs="0"/>
                <xsd:element ref="ns6:Approved_x0020_Tagging" minOccurs="0"/>
                <xsd:element ref="ns3:jb1fe5a07c154fe496c5ef7af0348ce1" minOccurs="0"/>
                <xsd:element ref="ns2:TaxCatchAll" minOccurs="0"/>
                <xsd:element ref="ns3:dd1cd7228eb34b1f99c5491e5cdc56a7" minOccurs="0"/>
                <xsd:element ref="ns3:kf4359bdf8094893b38a241989df6a07" minOccurs="0"/>
                <xsd:element ref="ns3:n559dbfe5c7847eb98905cdd0130e09c" minOccurs="0"/>
                <xsd:element ref="ns3:oaf7d55668d241c3ad6387c6d5cccba4" minOccurs="0"/>
                <xsd:element ref="ns3:gc1b8379515f42e2a313ef13d2e59c1c" minOccurs="0"/>
                <xsd:element ref="ns3:j8915359188b432cb84b548fcc85f86c" minOccurs="0"/>
                <xsd:element ref="ns3:TaxKeywordTaxHTField" minOccurs="0"/>
                <xsd:element ref="ns2:TaxCatchAllLabel" minOccurs="0"/>
                <xsd:element ref="ns3:SharedWithUsers" minOccurs="0"/>
                <xsd:element ref="ns3:SharedWithDetails" minOccurs="0"/>
                <xsd:element ref="ns8:IconOverlay" minOccurs="0"/>
                <xsd:element ref="ns6:xrvs" minOccurs="0"/>
                <xsd:element ref="ns6:Area" minOccurs="0"/>
                <xsd:element ref="ns6:Country" minOccurs="0"/>
                <xsd:element ref="ns3:LastSharedByUser" minOccurs="0"/>
                <xsd:element ref="ns3:LastSharedByTime" minOccurs="0"/>
                <xsd:element ref="ns6:MediaServiceMetadata" minOccurs="0"/>
                <xsd:element ref="ns6:MediaServiceFastMetadata" minOccurs="0"/>
                <xsd:element ref="ns6:MediaServiceAutoTags" minOccurs="0"/>
                <xsd:element ref="ns3:Documen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1" nillable="true" ma:displayName="Description" ma:description="Further description of the item being uploaded."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Owner_x0020_Name" ma:index="26" nillable="true" ma:displayName="Owner Name" ma:description="Value must adhere to &quot;Family Name, Given Name&quot; format." ma:list="UserInfo" ma:SharePointGroup="0" ma:internalName="Owner_x0020_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33" nillable="true" ma:displayName="Taxonomy Catch All Column" ma:hidden="true" ma:list="{b80d3352-e59e-4ea2-909f-4e9a78d3b2f9}" ma:internalName="TaxCatchAll" ma:showField="CatchAllData" ma:web="8f4b1613-61b3-4441-9ef7-1b95bfe5a6f5">
      <xsd:complexType>
        <xsd:complexContent>
          <xsd:extension base="dms:MultiChoiceLookup">
            <xsd:sequence>
              <xsd:element name="Value" type="dms:Lookup" maxOccurs="unbounded" minOccurs="0" nillable="true"/>
            </xsd:sequence>
          </xsd:extension>
        </xsd:complexContent>
      </xsd:complexType>
    </xsd:element>
    <xsd:element name="TaxCatchAllLabel" ma:index="41" nillable="true" ma:displayName="Taxonomy Catch All Column1" ma:hidden="true" ma:list="{b80d3352-e59e-4ea2-909f-4e9a78d3b2f9}" ma:internalName="TaxCatchAllLabel" ma:readOnly="true" ma:showField="CatchAllDataLabel" ma:web="8f4b1613-61b3-4441-9ef7-1b95bfe5a6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Document_x0020_Status" ma:index="10" ma:displayName="Document Status" ma:default="Final" ma:description="Draft - Work in progress&#10;Final - Final version, approved, no more updates&#10;Final, transferred to final storage . Transferred to another system where we store regulatory documents&#10;Superseeded - This document is not valid anymore, most likely a new document has replaced as valid, approved version (kept for reference)" ma:format="Dropdown" ma:indexed="true" ma:internalName="Document_x0020_Status">
      <xsd:simpleType>
        <xsd:restriction base="dms:Choice">
          <xsd:enumeration value="Draft"/>
          <xsd:enumeration value="Final"/>
          <xsd:enumeration value="Final, transferred to final storage"/>
          <xsd:enumeration value="Superseeded"/>
        </xsd:restriction>
      </xsd:simpleType>
    </xsd:element>
    <xsd:element name="Regulatory" ma:index="11" nillable="true" ma:displayName="Regulatory" ma:description="If this document in final state needs to be transferred to eTMF, ANGEL or other regulatory systems" ma:format="Dropdown" ma:indexed="true" ma:internalName="Regulatory">
      <xsd:simpleType>
        <xsd:restriction base="dms:Choice">
          <xsd:enumeration value="Yes"/>
          <xsd:enumeration value="No"/>
        </xsd:restriction>
      </xsd:simpleType>
    </xsd:element>
    <xsd:element name="Team" ma:index="18" nillable="true" ma:displayName="Team" ma:format="Dropdown" ma:indexed="true" ma:internalName="Team">
      <xsd:simpleType>
        <xsd:union memberTypes="dms:Text">
          <xsd:simpleType>
            <xsd:restriction base="dms:Choice">
              <xsd:enumeration value="BEAR"/>
              <xsd:enumeration value="CDAT"/>
              <xsd:enumeration value="CPT"/>
              <xsd:enumeration value="GPT"/>
              <xsd:enumeration value="IMT"/>
              <xsd:enumeration value="PKT"/>
              <xsd:enumeration value="Quality"/>
              <xsd:enumeration value="TSST"/>
            </xsd:restriction>
          </xsd:simpleType>
        </xsd:union>
      </xsd:simpleType>
    </xsd:element>
    <xsd:element name="Stage" ma:index="19" ma:displayName="Retention" ma:default="LT" ma:description="ST = Short Term&#10;MT = Medium Term&#10;LT = Long Term" ma:format="RadioButtons" ma:indexed="true" ma:internalName="Stage">
      <xsd:simpleType>
        <xsd:restriction base="dms:Choice">
          <xsd:enumeration value="ST"/>
          <xsd:enumeration value="MT"/>
          <xsd:enumeration value="LT"/>
        </xsd:restriction>
      </xsd:simpleType>
    </xsd:element>
    <xsd:element name="Discipline_Function" ma:index="29" nillable="true" ma:displayName="Discipline_Function" ma:format="Dropdown" ma:indexed="true" ma:internalName="Discipline_Function">
      <xsd:simpleType>
        <xsd:restriction base="dms:Choice">
          <xsd:enumeration value="Angel"/>
          <xsd:enumeration value="Biometrics"/>
          <xsd:enumeration value="Clin Ops"/>
          <xsd:enumeration value="Clinical Science"/>
          <xsd:enumeration value="Finance"/>
          <xsd:enumeration value="GPPS"/>
          <xsd:enumeration value="Medical Affairs"/>
          <xsd:enumeration value="Patient Safety"/>
          <xsd:enumeration value="Project Management"/>
          <xsd:enumeration value="Regulatory"/>
          <xsd:enumeration value="Supply Chain"/>
          <xsd:enumeration value="Translational Science"/>
        </xsd:restriction>
      </xsd:simpleType>
    </xsd:element>
    <xsd:element name="Document_x0020_Group" ma:index="30" nillable="true" ma:displayName="Document Group" ma:format="Dropdown" ma:indexed="true" ma:internalName="Document_x0020_Group">
      <xsd:simpleType>
        <xsd:restriction base="dms:Choice">
          <xsd:enumeration value="Administration"/>
          <xsd:enumeration value="Background Information"/>
          <xsd:enumeration value="Communication &amp; Reports"/>
          <xsd:enumeration value="Data Management"/>
          <xsd:enumeration value="Drug Supply"/>
          <xsd:enumeration value="Financial"/>
          <xsd:enumeration value="Governance"/>
          <xsd:enumeration value="Logs &amp; Trackers"/>
          <xsd:enumeration value="Marketing"/>
          <xsd:enumeration value="Meetings"/>
          <xsd:enumeration value="Objectives"/>
          <xsd:enumeration value="Planning &amp; Control"/>
          <xsd:enumeration value="Project Execution"/>
          <xsd:enumeration value="Risk Management"/>
          <xsd:enumeration value="Slide &amp; Image Bank"/>
          <xsd:enumeration value="Strategy"/>
          <xsd:enumeration value="Target Product Profile"/>
        </xsd:restriction>
      </xsd:simpleType>
    </xsd:element>
    <xsd:element name="jb1fe5a07c154fe496c5ef7af0348ce1" ma:index="32" nillable="true" ma:taxonomy="true" ma:internalName="jb1fe5a07c154fe496c5ef7af0348ce1" ma:taxonomyFieldName="Drug_x0020_Project" ma:displayName="Drug Project" ma:default="86;#benralizumab IL5R asthma|4ab7eae3-792f-486a-ad65-4bdc210a795c;#82;#benralizumab IL5R COPD|2caccb7b-17a8-452e-b47b-9fc25e9441b0" ma:fieldId="{3b1fe5a0-7c15-4fe4-96c5-ef7af0348ce1}" ma:taxonomyMulti="true" ma:sspId="1ee89e71-04cd-405e-9ca3-99e020c1694d" ma:termSetId="f86a26d3-f9bd-4459-91e7-5de88e2d4aaf" ma:anchorId="280f8236-1db3-4f4d-a27e-55cada90a628" ma:open="false" ma:isKeyword="false">
      <xsd:complexType>
        <xsd:sequence>
          <xsd:element ref="pc:Terms" minOccurs="0" maxOccurs="1"/>
        </xsd:sequence>
      </xsd:complexType>
    </xsd:element>
    <xsd:element name="dd1cd7228eb34b1f99c5491e5cdc56a7" ma:index="34" nillable="true" ma:taxonomy="true" ma:internalName="dd1cd7228eb34b1f99c5491e5cdc56a7" ma:taxonomyFieldName="Disease" ma:displayName="Disease" ma:default="" ma:fieldId="{dd1cd722-8eb3-4b1f-99c5-491e5cdc56a7}" ma:taxonomyMulti="true" ma:sspId="1ee89e71-04cd-405e-9ca3-99e020c1694d" ma:termSetId="f86a26d3-f9bd-4459-91e7-5de88e2d4aaf" ma:anchorId="65708dda-997a-4035-abab-447d44ade290" ma:open="false" ma:isKeyword="false">
      <xsd:complexType>
        <xsd:sequence>
          <xsd:element ref="pc:Terms" minOccurs="0" maxOccurs="1"/>
        </xsd:sequence>
      </xsd:complexType>
    </xsd:element>
    <xsd:element name="kf4359bdf8094893b38a241989df6a07" ma:index="35" nillable="true" ma:taxonomy="true" ma:internalName="kf4359bdf8094893b38a241989df6a07" ma:taxonomyFieldName="Document_x0020_Type" ma:displayName="Document Type" ma:default="" ma:fieldId="{4f4359bd-f809-4893-b38a-241989df6a07}" ma:sspId="1ee89e71-04cd-405e-9ca3-99e020c1694d" ma:termSetId="f86a26d3-f9bd-4459-91e7-5de88e2d4aaf" ma:anchorId="ac9846ba-4980-4f7e-852d-f964670db94c" ma:open="false" ma:isKeyword="false">
      <xsd:complexType>
        <xsd:sequence>
          <xsd:element ref="pc:Terms" minOccurs="0" maxOccurs="1"/>
        </xsd:sequence>
      </xsd:complexType>
    </xsd:element>
    <xsd:element name="n559dbfe5c7847eb98905cdd0130e09c" ma:index="36" nillable="true" ma:taxonomy="true" ma:internalName="n559dbfe5c7847eb98905cdd0130e09c" ma:taxonomyFieldName="Project_x0020_Phase" ma:displayName="Project Phase" ma:default="" ma:fieldId="{7559dbfe-5c78-47eb-9890-5cdd0130e09c}" ma:sspId="1ee89e71-04cd-405e-9ca3-99e020c1694d" ma:termSetId="f86a26d3-f9bd-4459-91e7-5de88e2d4aaf" ma:anchorId="b4b28f9e-86dd-4225-922d-510b1642c6f1" ma:open="false" ma:isKeyword="false">
      <xsd:complexType>
        <xsd:sequence>
          <xsd:element ref="pc:Terms" minOccurs="0" maxOccurs="1"/>
        </xsd:sequence>
      </xsd:complexType>
    </xsd:element>
    <xsd:element name="oaf7d55668d241c3ad6387c6d5cccba4" ma:index="37" nillable="true" ma:taxonomy="true" ma:internalName="oaf7d55668d241c3ad6387c6d5cccba4" ma:taxonomyFieldName="Geographic_x0020_Location" ma:displayName="Geographic Location" ma:readOnly="false" ma:default="" ma:fieldId="{8af7d556-68d2-41c3-ad63-87c6d5cccba4}" ma:taxonomyMulti="true" ma:sspId="1ee89e71-04cd-405e-9ca3-99e020c1694d" ma:termSetId="f86a26d3-f9bd-4459-91e7-5de88e2d4aaf" ma:anchorId="74106918-de31-4456-81e1-2e6ee354bfc0" ma:open="false" ma:isKeyword="false">
      <xsd:complexType>
        <xsd:sequence>
          <xsd:element ref="pc:Terms" minOccurs="0" maxOccurs="1"/>
        </xsd:sequence>
      </xsd:complexType>
    </xsd:element>
    <xsd:element name="gc1b8379515f42e2a313ef13d2e59c1c" ma:index="38" nillable="true" ma:taxonomy="true" ma:internalName="gc1b8379515f42e2a313ef13d2e59c1c" ma:taxonomyFieldName="Organisation" ma:displayName="Organisation" ma:default="99;#Global Medicines Development|9169af7c-5f59-4728-8ec7-76b58c3f8ad4" ma:fieldId="{0c1b8379-515f-42e2-a313-ef13d2e59c1c}" ma:taxonomyMulti="true" ma:sspId="1ee89e71-04cd-405e-9ca3-99e020c1694d" ma:termSetId="f86a26d3-f9bd-4459-91e7-5de88e2d4aaf" ma:anchorId="ca46de84-4371-4aad-85a5-5de8943a1844" ma:open="false" ma:isKeyword="false">
      <xsd:complexType>
        <xsd:sequence>
          <xsd:element ref="pc:Terms" minOccurs="0" maxOccurs="1"/>
        </xsd:sequence>
      </xsd:complexType>
    </xsd:element>
    <xsd:element name="j8915359188b432cb84b548fcc85f86c" ma:index="39" nillable="true" ma:taxonomy="true" ma:internalName="j8915359188b432cb84b548fcc85f86c" ma:taxonomyFieldName="Science_x0020_Unit_x0020_Vocabulary" ma:displayName="Science Unit Vocabulary" ma:default="" ma:fieldId="{38915359-188b-432c-b84b-548fcc85f86c}" ma:taxonomyMulti="true" ma:sspId="1ee89e71-04cd-405e-9ca3-99e020c1694d" ma:termSetId="f86a26d3-f9bd-4459-91e7-5de88e2d4aaf" ma:anchorId="b4b28f9e-86dd-4225-922d-510b1642c6f1" ma:open="false" ma:isKeyword="false">
      <xsd:complexType>
        <xsd:sequence>
          <xsd:element ref="pc:Terms" minOccurs="0" maxOccurs="1"/>
        </xsd:sequence>
      </xsd:complexType>
    </xsd:element>
    <xsd:element name="TaxKeywordTaxHTField" ma:index="40" nillable="true" ma:taxonomy="true" ma:internalName="TaxKeywordTaxHTField" ma:taxonomyFieldName="TaxKeyword" ma:displayName="Enterprise Keywords" ma:fieldId="{23f27201-bee3-471e-b2e7-b64fd8b7ca38}" ma:taxonomyMulti="true" ma:sspId="1ee89e71-04cd-405e-9ca3-99e020c1694d" ma:termSetId="00000000-0000-0000-0000-000000000000" ma:anchorId="00000000-0000-0000-0000-000000000000" ma:open="true" ma:isKeyword="true">
      <xsd:complexType>
        <xsd:sequence>
          <xsd:element ref="pc:Terms" minOccurs="0" maxOccurs="1"/>
        </xsd:sequence>
      </xsd:complexType>
    </xsd:element>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description="" ma:internalName="SharedWithDetails" ma:readOnly="true">
      <xsd:simpleType>
        <xsd:restriction base="dms:Note">
          <xsd:maxLength value="255"/>
        </xsd:restriction>
      </xsd:simpleType>
    </xsd:element>
    <xsd:element name="LastSharedByUser" ma:index="48" nillable="true" ma:displayName="Last Shared By User" ma:description="" ma:internalName="LastSharedByUser" ma:readOnly="true">
      <xsd:simpleType>
        <xsd:restriction base="dms:Note">
          <xsd:maxLength value="255"/>
        </xsd:restriction>
      </xsd:simpleType>
    </xsd:element>
    <xsd:element name="LastSharedByTime" ma:index="49" nillable="true" ma:displayName="Last Shared By Time" ma:description="" ma:internalName="LastSharedByTime" ma:readOnly="true">
      <xsd:simpleType>
        <xsd:restriction base="dms:DateTime"/>
      </xsd:simpleType>
    </xsd:element>
    <xsd:element name="Document_x0020_Date" ma:index="54"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179931F-2005-4770-A3E2-D02D142DED0F" elementFormDefault="qualified">
    <xsd:import namespace="http://schemas.microsoft.com/office/2006/documentManagement/types"/>
    <xsd:import namespace="http://schemas.microsoft.com/office/infopath/2007/PartnerControls"/>
    <xsd:element name="Key_x0020_Project_x0020_Info" ma:index="20" nillable="true" ma:displayName="Key Project Info" ma:format="RadioButtons" ma:indexed="true" ma:internalName="Key_x0020_Project_x0020_Info">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25c48654-a40c-40e7-ac4a-d89ba66c7ecb" elementFormDefault="qualified">
    <xsd:import namespace="http://schemas.microsoft.com/office/2006/documentManagement/types"/>
    <xsd:import namespace="http://schemas.microsoft.com/office/infopath/2007/PartnerControls"/>
    <xsd:element name="Default_x0020_Tag_x0020_1" ma:index="22" nillable="true" ma:displayName="Add Tag 1" ma:description="Additional search terms" ma:internalName="Default_x0020_Tag_x0020_1">
      <xsd:simpleType>
        <xsd:restriction base="dms:Text">
          <xsd:maxLength value="255"/>
        </xsd:restriction>
      </xsd:simpleType>
    </xsd:element>
    <xsd:element name="Default_x0020_Tag_x0020_2" ma:index="23" nillable="true" ma:displayName="Add Tag 2" ma:description="Additional search terms" ma:internalName="Default_x0020_Tag_x0020_2">
      <xsd:simpleType>
        <xsd:restriction base="dms:Text">
          <xsd:maxLength value="255"/>
        </xsd:restriction>
      </xsd:simpleType>
    </xsd:element>
    <xsd:element name="Default_x0020_Tag_x0020_3" ma:index="24" nillable="true" ma:displayName="Add Tag 3" ma:description="Additional search terms" ma:internalName="Default_x0020_Tag_x0020_3">
      <xsd:simpleType>
        <xsd:restriction base="dms:Text">
          <xsd:maxLength value="255"/>
        </xsd:restriction>
      </xsd:simpleType>
    </xsd:element>
    <xsd:element name="Approved_x0020_Tagging" ma:index="31" nillable="true" ma:displayName="Approved Tagging" ma:description="I approve of the tags applied to this item." ma:internalName="Approved_x0020_Tagging">
      <xsd:complexType>
        <xsd:complexContent>
          <xsd:extension base="dms:MultiChoice">
            <xsd:sequence>
              <xsd:element name="Value" maxOccurs="unbounded" minOccurs="0" nillable="true">
                <xsd:simpleType>
                  <xsd:restriction base="dms:Choice">
                    <xsd:enumeration value="Approved"/>
                    <xsd:enumeration value="Not Approved"/>
                  </xsd:restriction>
                </xsd:simpleType>
              </xsd:element>
            </xsd:sequence>
          </xsd:extension>
        </xsd:complexContent>
      </xsd:complexType>
    </xsd:element>
    <xsd:element name="xrvs" ma:index="45" nillable="true" ma:displayName="Text" ma:internalName="xrvs">
      <xsd:simpleType>
        <xsd:restriction base="dms:Text"/>
      </xsd:simpleType>
    </xsd:element>
    <xsd:element name="Area" ma:index="46" nillable="true" ma:displayName="Area" ma:format="Dropdown" ma:internalName="Area">
      <xsd:simpleType>
        <xsd:restriction base="dms:Choice">
          <xsd:enumeration value="Adjudication"/>
          <xsd:enumeration value="Data Management"/>
          <xsd:enumeration value="ePRO"/>
          <xsd:enumeration value="IXRS"/>
          <xsd:enumeration value="Laboratory"/>
          <xsd:enumeration value="Spirometry"/>
        </xsd:restriction>
      </xsd:simpleType>
    </xsd:element>
    <xsd:element name="Country" ma:index="47" nillable="true" ma:displayName="Country" ma:format="Dropdown" ma:internalName="Country">
      <xsd:simpleType>
        <xsd:restriction base="dms:Choice">
          <xsd:enumeration value="Global"/>
          <xsd:enumeration value="Argentina"/>
          <xsd:enumeration value="Bulgaria"/>
          <xsd:enumeration value="Canada"/>
          <xsd:enumeration value="Chile"/>
          <xsd:enumeration value="France"/>
          <xsd:enumeration value="Germany"/>
          <xsd:enumeration value="Poland"/>
          <xsd:enumeration value="South Korea"/>
          <xsd:enumeration value="Spain"/>
          <xsd:enumeration value="Turkey"/>
          <xsd:enumeration value="Ukraine"/>
          <xsd:enumeration value="US"/>
          <xsd:enumeration value="n/a"/>
        </xsd:restriction>
      </xsd:simpleType>
    </xsd:element>
    <xsd:element name="MediaServiceMetadata" ma:index="50" nillable="true" ma:displayName="MediaServiceMetadata" ma:description="" ma:hidden="true" ma:internalName="MediaServiceMetadata" ma:readOnly="true">
      <xsd:simpleType>
        <xsd:restriction base="dms:Note"/>
      </xsd:simpleType>
    </xsd:element>
    <xsd:element name="MediaServiceFastMetadata" ma:index="51" nillable="true" ma:displayName="MediaServiceFastMetadata" ma:description="" ma:hidden="true" ma:internalName="MediaServiceFastMetadata" ma:readOnly="true">
      <xsd:simpleType>
        <xsd:restriction base="dms:Note"/>
      </xsd:simpleType>
    </xsd:element>
    <xsd:element name="MediaServiceAutoTags" ma:index="52"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b1613-61b3-4441-9ef7-1b95bfe5a6f5" elementFormDefault="qualified">
    <xsd:import namespace="http://schemas.microsoft.com/office/2006/documentManagement/types"/>
    <xsd:import namespace="http://schemas.microsoft.com/office/infopath/2007/PartnerControls"/>
    <xsd:element name="Study_x0020_Identifier" ma:index="25" nillable="true" ma:displayName="Study Identifier" ma:description="Study name, code or identifier" ma:internalName="Study_x0020_Identifier">
      <xsd:complexType>
        <xsd:complexContent>
          <xsd:extension base="dms:MultiChoiceFillIn">
            <xsd:sequence>
              <xsd:element name="Value" maxOccurs="unbounded" minOccurs="0" nillable="true">
                <xsd:simpleType>
                  <xsd:union memberTypes="dms:Text">
                    <xsd:simpleType>
                      <xsd:restriction base="dms:Choice">
                        <xsd:enumeration value="Alize 33"/>
                        <xsd:enumeration value="Bise 32"/>
                        <xsd:enumeration value="Bora 21"/>
                        <xsd:enumeration value="Calima 18"/>
                        <xsd:enumeration value="Galathea 03"/>
                        <xsd:enumeration value="Gregale 29"/>
                        <xsd:enumeration value="Meltemi 37"/>
                        <xsd:enumeration value="Pampero 16"/>
                        <xsd:enumeration value="Sirocco 17"/>
                        <xsd:enumeration value="Terranova 04"/>
                        <xsd:enumeration value="Zonda 20"/>
                        <xsd:enumeration value="Solana 38"/>
                        <xsd:enumeration value="Ostro 39"/>
                        <xsd:enumeration value="Aria 40"/>
                        <xsd:enumeration value="Greco 31"/>
                        <xsd:enumeration value="Ames 30"/>
                        <xsd:enumeration value="CP166"/>
                        <xsd:enumeration value="CP196"/>
                        <xsd:enumeration value="CP197 05"/>
                        <xsd:enumeration value="CP220 06"/>
                        <xsd:enumeration value="Tate 25"/>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7"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Study_x0020_Identifier xmlns="8f4b1613-61b3-4441-9ef7-1b95bfe5a6f5"/>
    <Owner_x0020_Name xmlns="44a56295-c29e-4898-8136-a54736c65b82">
      <UserInfo>
        <DisplayName/>
        <AccountId xsi:nil="true"/>
        <AccountType/>
      </UserInfo>
    </Owner_x0020_Name>
    <dd1cd7228eb34b1f99c5491e5cdc56a7 xmlns="b00c2015-aaf6-4827-951d-b3732742b6ff">
      <Terms xmlns="http://schemas.microsoft.com/office/infopath/2007/PartnerControls">
        <TermInfo xmlns="http://schemas.microsoft.com/office/infopath/2007/PartnerControls">
          <TermName xmlns="http://schemas.microsoft.com/office/infopath/2007/PartnerControls">Asthma</TermName>
          <TermId xmlns="http://schemas.microsoft.com/office/infopath/2007/PartnerControls">7060593c-c298-43b2-8e0b-f47bccd37709</TermId>
        </TermInfo>
      </Terms>
    </dd1cd7228eb34b1f99c5491e5cdc56a7>
    <Document_x0020_Group xmlns="b00c2015-aaf6-4827-951d-b3732742b6ff" xsi:nil="true"/>
    <xrvs xmlns="25c48654-a40c-40e7-ac4a-d89ba66c7ecb" xsi:nil="true"/>
    <jb1fe5a07c154fe496c5ef7af0348ce1 xmlns="b00c2015-aaf6-4827-951d-b3732742b6ff">
      <Terms xmlns="http://schemas.microsoft.com/office/infopath/2007/PartnerControls">
        <TermInfo xmlns="http://schemas.microsoft.com/office/infopath/2007/PartnerControls">
          <TermName xmlns="http://schemas.microsoft.com/office/infopath/2007/PartnerControls">benralizumab IL5R asthma</TermName>
          <TermId xmlns="http://schemas.microsoft.com/office/infopath/2007/PartnerControls">4ab7eae3-792f-486a-ad65-4bdc210a795c</TermId>
        </TermInfo>
      </Terms>
    </jb1fe5a07c154fe496c5ef7af0348ce1>
    <j8915359188b432cb84b548fcc85f86c xmlns="b00c2015-aaf6-4827-951d-b3732742b6ff">
      <Terms xmlns="http://schemas.microsoft.com/office/infopath/2007/PartnerControls"/>
    </j8915359188b432cb84b548fcc85f86c>
    <Document_x0020_Date xmlns="b00c2015-aaf6-4827-951d-b3732742b6ff" xsi:nil="true"/>
    <Team xmlns="b00c2015-aaf6-4827-951d-b3732742b6ff" xsi:nil="true"/>
    <gc1b8379515f42e2a313ef13d2e59c1c xmlns="b00c2015-aaf6-4827-951d-b3732742b6ff">
      <Terms xmlns="http://schemas.microsoft.com/office/infopath/2007/PartnerControls">
        <TermInfo xmlns="http://schemas.microsoft.com/office/infopath/2007/PartnerControls">
          <TermName xmlns="http://schemas.microsoft.com/office/infopath/2007/PartnerControls">Global Medicines Development</TermName>
          <TermId xmlns="http://schemas.microsoft.com/office/infopath/2007/PartnerControls">9169af7c-5f59-4728-8ec7-76b58c3f8ad4</TermId>
        </TermInfo>
      </Terms>
    </gc1b8379515f42e2a313ef13d2e59c1c>
    <IconOverlay xmlns="http://schemas.microsoft.com/sharepoint/v4" xsi:nil="true"/>
    <DocumentSetDescription xmlns="http://schemas.microsoft.com/sharepoint/v3" xsi:nil="true"/>
    <kf4359bdf8094893b38a241989df6a07 xmlns="b00c2015-aaf6-4827-951d-b3732742b6ff">
      <Terms xmlns="http://schemas.microsoft.com/office/infopath/2007/PartnerControls"/>
    </kf4359bdf8094893b38a241989df6a07>
    <n559dbfe5c7847eb98905cdd0130e09c xmlns="b00c2015-aaf6-4827-951d-b3732742b6ff">
      <Terms xmlns="http://schemas.microsoft.com/office/infopath/2007/PartnerControls"/>
    </n559dbfe5c7847eb98905cdd0130e09c>
    <oaf7d55668d241c3ad6387c6d5cccba4 xmlns="b00c2015-aaf6-4827-951d-b3732742b6ff">
      <Terms xmlns="http://schemas.microsoft.com/office/infopath/2007/PartnerControls"/>
    </oaf7d55668d241c3ad6387c6d5cccba4>
    <Regulatory xmlns="b00c2015-aaf6-4827-951d-b3732742b6ff" xsi:nil="true"/>
    <Key_x0020_Project_x0020_Info xmlns="9179931F-2005-4770-A3E2-D02D142DED0F" xsi:nil="true"/>
    <Default_x0020_Tag_x0020_1 xmlns="25c48654-a40c-40e7-ac4a-d89ba66c7ecb" xsi:nil="true"/>
    <Approved_x0020_Tagging xmlns="25c48654-a40c-40e7-ac4a-d89ba66c7ecb"/>
    <Default_x0020_Tag_x0020_2 xmlns="25c48654-a40c-40e7-ac4a-d89ba66c7ecb" xsi:nil="true"/>
    <TaxKeywordTaxHTField xmlns="b00c2015-aaf6-4827-951d-b3732742b6ff">
      <Terms xmlns="http://schemas.microsoft.com/office/infopath/2007/PartnerControls">
        <TermInfo xmlns="http://schemas.microsoft.com/office/infopath/2007/PartnerControls">
          <TermName xmlns="http://schemas.microsoft.com/office/infopath/2007/PartnerControls">AusPARs</TermName>
          <TermId xmlns="http://schemas.microsoft.com/office/infopath/2007/PartnerControls">11111111-1111-1111-1111-111111111111</TermId>
        </TermInfo>
      </Terms>
    </TaxKeywordTaxHTField>
    <Default_x0020_Tag_x0020_3 xmlns="25c48654-a40c-40e7-ac4a-d89ba66c7ecb" xsi:nil="true"/>
    <Discipline_Function xmlns="b00c2015-aaf6-4827-951d-b3732742b6ff">Regulatory</Discipline_Function>
    <Document_x0020_Status xmlns="b00c2015-aaf6-4827-951d-b3732742b6ff">Final</Document_x0020_Status>
    <TaxCatchAll xmlns="44a56295-c29e-4898-8136-a54736c65b82">
      <Value>99</Value>
      <Value>86</Value>
      <Value>85</Value>
    </TaxCatchAll>
    <Descriptions xmlns="44a56295-c29e-4898-8136-a54736c65b82" xsi:nil="true"/>
    <Country xmlns="25c48654-a40c-40e7-ac4a-d89ba66c7ecb" xsi:nil="true"/>
    <Stage xmlns="b00c2015-aaf6-4827-951d-b3732742b6ff">LT</Stage>
    <Area xmlns="25c48654-a40c-40e7-ac4a-d89ba66c7ec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F8EC-9FCB-4410-B26B-321C7E18CD3D}">
  <ds:schemaRefs>
    <ds:schemaRef ds:uri="Microsoft.SharePoint.Taxonomy.ContentTypeSync"/>
  </ds:schemaRefs>
</ds:datastoreItem>
</file>

<file path=customXml/itemProps2.xml><?xml version="1.0" encoding="utf-8"?>
<ds:datastoreItem xmlns:ds="http://schemas.openxmlformats.org/officeDocument/2006/customXml" ds:itemID="{DF2D7E3D-AA75-4853-A2A4-922FECB76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a56295-c29e-4898-8136-a54736c65b82"/>
    <ds:schemaRef ds:uri="b00c2015-aaf6-4827-951d-b3732742b6ff"/>
    <ds:schemaRef ds:uri="9179931F-2005-4770-A3E2-D02D142DED0F"/>
    <ds:schemaRef ds:uri="25c48654-a40c-40e7-ac4a-d89ba66c7ecb"/>
    <ds:schemaRef ds:uri="8f4b1613-61b3-4441-9ef7-1b95bfe5a6f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2335F-1B31-4EEB-AD9F-5AF798BAF4A1}">
  <ds:schemaRefs>
    <ds:schemaRef ds:uri="http://purl.org/dc/elements/1.1/"/>
    <ds:schemaRef ds:uri="http://www.w3.org/XML/1998/namespace"/>
    <ds:schemaRef ds:uri="http://purl.org/dc/terms/"/>
    <ds:schemaRef ds:uri="http://schemas.microsoft.com/office/infopath/2007/PartnerControls"/>
    <ds:schemaRef ds:uri="http://purl.org/dc/dcmitype/"/>
    <ds:schemaRef ds:uri="http://schemas.microsoft.com/office/2006/documentManagement/types"/>
    <ds:schemaRef ds:uri="25c48654-a40c-40e7-ac4a-d89ba66c7ecb"/>
    <ds:schemaRef ds:uri="http://schemas.openxmlformats.org/package/2006/metadata/core-properties"/>
    <ds:schemaRef ds:uri="http://schemas.microsoft.com/sharepoint/v4"/>
    <ds:schemaRef ds:uri="8f4b1613-61b3-4441-9ef7-1b95bfe5a6f5"/>
    <ds:schemaRef ds:uri="http://schemas.microsoft.com/office/2006/metadata/properties"/>
    <ds:schemaRef ds:uri="9179931F-2005-4770-A3E2-D02D142DED0F"/>
    <ds:schemaRef ds:uri="b00c2015-aaf6-4827-951d-b3732742b6ff"/>
    <ds:schemaRef ds:uri="44a56295-c29e-4898-8136-a54736c65b82"/>
    <ds:schemaRef ds:uri="http://schemas.microsoft.com/sharepoint/v3"/>
  </ds:schemaRefs>
</ds:datastoreItem>
</file>

<file path=customXml/itemProps4.xml><?xml version="1.0" encoding="utf-8"?>
<ds:datastoreItem xmlns:ds="http://schemas.openxmlformats.org/officeDocument/2006/customXml" ds:itemID="{DEFFB6D3-6370-4AEE-A18A-5C5051D3295B}">
  <ds:schemaRefs>
    <ds:schemaRef ds:uri="http://schemas.microsoft.com/sharepoint/v3/contenttype/forms"/>
  </ds:schemaRefs>
</ds:datastoreItem>
</file>

<file path=customXml/itemProps5.xml><?xml version="1.0" encoding="utf-8"?>
<ds:datastoreItem xmlns:ds="http://schemas.openxmlformats.org/officeDocument/2006/customXml" ds:itemID="{DB28918B-34EA-4902-94B3-3AECBC51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31</TotalTime>
  <Pages>91</Pages>
  <Words>30799</Words>
  <Characters>173401</Characters>
  <Application>Microsoft Office Word</Application>
  <DocSecurity>0</DocSecurity>
  <Lines>4229</Lines>
  <Paragraphs>2584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201616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Benralizumab</dc:title>
  <dc:subject>prescription medicines</dc:subject>
  <cp:keywords>AusPARs</cp:keywords>
  <cp:lastPrinted>2018-12-17T23:12:00Z</cp:lastPrinted>
  <dcterms:created xsi:type="dcterms:W3CDTF">2019-05-20T06:07:00Z</dcterms:created>
  <dcterms:modified xsi:type="dcterms:W3CDTF">2019-05-20T06:52:00Z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0x010100FBCFC47061C52A498CE3BC4D9435FF7E</vt:lpwstr>
  </property>
  <property fmtid="{D5CDD505-2E9C-101B-9397-08002B2CF9AE}" pid="3" name="TaxKeyword">
    <vt:lpwstr/>
  </property>
  <property fmtid="{D5CDD505-2E9C-101B-9397-08002B2CF9AE}" pid="4" name="Drug Project">
    <vt:lpwstr>86;#benralizumab IL5R asthma|4ab7eae3-792f-486a-ad65-4bdc210a795c</vt:lpwstr>
  </property>
  <property fmtid="{D5CDD505-2E9C-101B-9397-08002B2CF9AE}" pid="5" name="Organisation">
    <vt:lpwstr>99;#Global Medicines Development|9169af7c-5f59-4728-8ec7-76b58c3f8ad4</vt:lpwstr>
  </property>
  <property fmtid="{D5CDD505-2E9C-101B-9397-08002B2CF9AE}" pid="6" name="Geographic Location">
    <vt:lpwstr/>
  </property>
  <property fmtid="{D5CDD505-2E9C-101B-9397-08002B2CF9AE}" pid="7" name="Science Unit Vocabulary">
    <vt:lpwstr/>
  </property>
  <property fmtid="{D5CDD505-2E9C-101B-9397-08002B2CF9AE}" pid="8" name="Disease">
    <vt:lpwstr>85;#Asthma|7060593c-c298-43b2-8e0b-f47bccd37709</vt:lpwstr>
  </property>
  <property fmtid="{D5CDD505-2E9C-101B-9397-08002B2CF9AE}" pid="9" name="Project Phase">
    <vt:lpwstr/>
  </property>
  <property fmtid="{D5CDD505-2E9C-101B-9397-08002B2CF9AE}" pid="10" name="Document Type">
    <vt:lpwstr/>
  </property>
</Properties>
</file>