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0371C" w14:textId="14129D30" w:rsidR="00905C4F" w:rsidRPr="00EE1763" w:rsidRDefault="00905C4F" w:rsidP="00905C4F">
      <w:pPr>
        <w:pStyle w:val="Paragraph"/>
        <w:rPr>
          <w:lang w:val="en-AU"/>
        </w:rPr>
      </w:pPr>
      <w:bookmarkStart w:id="0" w:name="_GoBack"/>
      <w:bookmarkEnd w:id="0"/>
      <w:r w:rsidRPr="00EE1763">
        <w:rPr>
          <w:noProof/>
          <w:lang w:val="en-AU" w:eastAsia="en-AU"/>
        </w:rPr>
        <mc:AlternateContent>
          <mc:Choice Requires="wps">
            <w:drawing>
              <wp:inline distT="0" distB="0" distL="0" distR="0" wp14:anchorId="277F1373" wp14:editId="5119FA5E">
                <wp:extent cx="252095" cy="252095"/>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FA4C1" w14:textId="77777777" w:rsidR="00F334F6" w:rsidRPr="00BE2A26" w:rsidRDefault="00F334F6" w:rsidP="00905C4F">
                            <w:pPr>
                              <w:pStyle w:val="Paragraph"/>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" stroked="f">
                <v:textbox inset="0,0,0,0">
                  <w:txbxContent>
                    <w:p w14:paraId="0DCFA4C1" w14:textId="77777777" w:rsidR="00F334F6" w:rsidRPr="00BE2A26" w:rsidRDefault="00F334F6" w:rsidP="00905C4F">
                      <w:pPr>
                        <w:pStyle w:val="Paragraph"/>
                      </w:pPr>
                      <w:r w:rsidRPr="00BE2A26">
                        <w:rPr>
                          <w:rFonts w:ascii="SimSun" w:eastAsia="SimSun" w:hAnsi="SimSun" w:cs="Arial" w:hint="eastAsia"/>
                          <w:sz w:val="40"/>
                        </w:rPr>
                        <w:t>▼</w:t>
                      </w:r>
                    </w:p>
                  </w:txbxContent>
                </v:textbox>
                <w10:anchorlock/>
              </v:shape>
            </w:pict>
          </mc:Fallback>
        </mc:AlternateContent>
      </w:r>
      <w:r w:rsidRPr="00FC0675">
        <w:rPr>
          <w:lang w:val="en-AU"/>
        </w:rPr>
        <w:t xml:space="preserve">This medicinal product is subject to additional monitoring in Australia. This will allow quick identification of new safety information. Healthcare professionals are asked to report any suspected adverse events at </w:t>
      </w:r>
      <w:hyperlink r:id="rId9" w:history="1">
        <w:r w:rsidRPr="00087272">
          <w:rPr>
            <w:rStyle w:val="Hyperlink"/>
            <w:rFonts w:asciiTheme="majorHAnsi" w:eastAsiaTheme="minorHAnsi" w:hAnsiTheme="majorHAnsi" w:cstheme="minorBidi"/>
            <w:color w:val="0000FF" w:themeColor="hyperlink"/>
            <w:sz w:val="22"/>
            <w:szCs w:val="22"/>
            <w:u w:val="single"/>
            <w:lang w:val="en-AU"/>
          </w:rPr>
          <w:t>www.tga.gov.au/reporting-problems</w:t>
        </w:r>
      </w:hyperlink>
      <w:r w:rsidRPr="00EE1763">
        <w:rPr>
          <w:lang w:val="en-AU"/>
        </w:rPr>
        <w:t>.</w:t>
      </w:r>
    </w:p>
    <w:p w14:paraId="6BB6FEA4" w14:textId="77777777" w:rsidR="00657845" w:rsidRDefault="006018AE" w:rsidP="00657845">
      <w:pPr>
        <w:pStyle w:val="Heading1Unnumbered"/>
        <w:jc w:val="center"/>
        <w:rPr>
          <w:rFonts w:eastAsia="SimSun"/>
          <w:lang w:val="en-AU"/>
        </w:rPr>
      </w:pPr>
      <w:r w:rsidRPr="00EE1763">
        <w:rPr>
          <w:rFonts w:eastAsia="SimSun"/>
          <w:lang w:val="en-AU"/>
        </w:rPr>
        <w:t>Australian P</w:t>
      </w:r>
      <w:r w:rsidR="00A32E10" w:rsidRPr="00EE1763">
        <w:rPr>
          <w:rFonts w:eastAsia="SimSun"/>
          <w:lang w:val="en-AU"/>
        </w:rPr>
        <w:t xml:space="preserve">RODUCT </w:t>
      </w:r>
      <w:r w:rsidRPr="00EE1763">
        <w:rPr>
          <w:rFonts w:eastAsia="SimSun"/>
          <w:lang w:val="en-AU"/>
        </w:rPr>
        <w:t>I</w:t>
      </w:r>
      <w:r w:rsidR="00A32E10" w:rsidRPr="00EE1763">
        <w:rPr>
          <w:rFonts w:eastAsia="SimSun"/>
          <w:lang w:val="en-AU"/>
        </w:rPr>
        <w:t>NFORMATION</w:t>
      </w:r>
    </w:p>
    <w:p w14:paraId="4407D00A" w14:textId="1B0166FF" w:rsidR="006018AE" w:rsidRPr="00EE1763" w:rsidRDefault="007B7B9D" w:rsidP="00657845">
      <w:pPr>
        <w:pStyle w:val="Heading1Unnumbered"/>
        <w:jc w:val="center"/>
        <w:rPr>
          <w:rFonts w:eastAsia="SimSun"/>
          <w:lang w:val="en-AU"/>
        </w:rPr>
      </w:pPr>
      <w:r>
        <w:rPr>
          <w:rFonts w:eastAsia="SimSun"/>
          <w:caps w:val="0"/>
          <w:lang w:val="en-AU"/>
        </w:rPr>
        <w:t>F</w:t>
      </w:r>
      <w:r w:rsidRPr="00EE1763">
        <w:rPr>
          <w:rFonts w:eastAsia="SimSun"/>
          <w:caps w:val="0"/>
          <w:lang w:val="en-AU"/>
        </w:rPr>
        <w:t>ASENRA</w:t>
      </w:r>
      <w:r w:rsidR="00657845" w:rsidRPr="00EE1763">
        <w:rPr>
          <w:rFonts w:eastAsia="SimSun"/>
          <w:caps w:val="0"/>
          <w:vertAlign w:val="superscript"/>
          <w:lang w:val="en-AU"/>
        </w:rPr>
        <w:t>®</w:t>
      </w:r>
      <w:r w:rsidR="00657845" w:rsidRPr="00EE1763">
        <w:rPr>
          <w:rFonts w:eastAsia="SimSun"/>
          <w:caps w:val="0"/>
          <w:lang w:val="en-AU"/>
        </w:rPr>
        <w:t xml:space="preserve"> (benralizumab)</w:t>
      </w:r>
    </w:p>
    <w:p w14:paraId="7AC4E80C" w14:textId="77777777" w:rsidR="001A3992" w:rsidRPr="00FC0675" w:rsidRDefault="001A3992" w:rsidP="00EE3AC8">
      <w:pPr>
        <w:pStyle w:val="Heading1"/>
        <w:rPr>
          <w:lang w:val="en-AU"/>
        </w:rPr>
      </w:pPr>
      <w:bookmarkStart w:id="1" w:name="_Ref505949009"/>
      <w:r w:rsidRPr="00FC0675">
        <w:rPr>
          <w:lang w:val="en-AU"/>
        </w:rPr>
        <w:t>Name of the medicine</w:t>
      </w:r>
      <w:bookmarkEnd w:id="1"/>
    </w:p>
    <w:p w14:paraId="6F06FB15" w14:textId="4CC34EDC" w:rsidR="0080644B" w:rsidRPr="00FC0675" w:rsidRDefault="00311849" w:rsidP="00311849">
      <w:pPr>
        <w:pStyle w:val="Paragraph"/>
      </w:pPr>
      <w:r w:rsidRPr="00FC0675">
        <w:t>Benralizumab</w:t>
      </w:r>
    </w:p>
    <w:p w14:paraId="6E803F0E" w14:textId="224B48FB" w:rsidR="001A3992" w:rsidRDefault="001A3992" w:rsidP="00EE3AC8">
      <w:pPr>
        <w:pStyle w:val="Heading1"/>
        <w:rPr>
          <w:lang w:val="en-AU"/>
        </w:rPr>
      </w:pPr>
      <w:r w:rsidRPr="00FC0675">
        <w:rPr>
          <w:lang w:val="en-AU"/>
        </w:rPr>
        <w:t>Qualitative and quantitative composition</w:t>
      </w:r>
    </w:p>
    <w:p w14:paraId="3E74CCC2" w14:textId="75E1EAE9" w:rsidR="00BA7F2B" w:rsidRPr="00FC0675" w:rsidRDefault="00BA7F2B" w:rsidP="00BA7F2B">
      <w:pPr>
        <w:pStyle w:val="Paragraph"/>
        <w:rPr>
          <w:lang w:val="en-AU"/>
        </w:rPr>
      </w:pPr>
      <w:r w:rsidRPr="00612551">
        <w:rPr>
          <w:lang w:val="en-AU"/>
        </w:rPr>
        <w:t>Each prefilled syringe contains 30</w:t>
      </w:r>
      <w:r>
        <w:rPr>
          <w:lang w:val="en-AU"/>
        </w:rPr>
        <w:t> </w:t>
      </w:r>
      <w:r w:rsidRPr="00612551">
        <w:rPr>
          <w:lang w:val="en-AU"/>
        </w:rPr>
        <w:t>mg be</w:t>
      </w:r>
      <w:r>
        <w:rPr>
          <w:lang w:val="en-AU"/>
        </w:rPr>
        <w:t>nralizumab in 1 mL (30 mg/mL).</w:t>
      </w:r>
    </w:p>
    <w:p w14:paraId="3BD57823" w14:textId="76C38521" w:rsidR="00234577" w:rsidRDefault="00234577" w:rsidP="00234577">
      <w:pPr>
        <w:pStyle w:val="Paragraph"/>
        <w:rPr>
          <w:rFonts w:eastAsia="SimSun"/>
        </w:rPr>
      </w:pPr>
      <w:r w:rsidRPr="00657845">
        <w:rPr>
          <w:rFonts w:eastAsia="SimSun"/>
        </w:rPr>
        <w:t xml:space="preserve">For the full list of excipients, see Section </w:t>
      </w:r>
      <w:r w:rsidRPr="00657845">
        <w:rPr>
          <w:rFonts w:eastAsia="SimSun"/>
        </w:rPr>
        <w:fldChar w:fldCharType="begin"/>
      </w:r>
      <w:r w:rsidRPr="00657845">
        <w:rPr>
          <w:rFonts w:eastAsia="SimSun"/>
        </w:rPr>
        <w:instrText xml:space="preserve"> REF _Ref505357670 \r \h </w:instrText>
      </w:r>
      <w:r w:rsidR="00E0253C" w:rsidRPr="00657845">
        <w:rPr>
          <w:rFonts w:eastAsia="SimSun"/>
        </w:rPr>
        <w:instrText xml:space="preserve"> \* MERGEFORMAT </w:instrText>
      </w:r>
      <w:r w:rsidRPr="00657845">
        <w:rPr>
          <w:rFonts w:eastAsia="SimSun"/>
        </w:rPr>
      </w:r>
      <w:r w:rsidRPr="00657845">
        <w:rPr>
          <w:rFonts w:eastAsia="SimSun"/>
        </w:rPr>
        <w:fldChar w:fldCharType="separate"/>
      </w:r>
      <w:r w:rsidR="00997102">
        <w:rPr>
          <w:rFonts w:eastAsia="SimSun"/>
        </w:rPr>
        <w:t>6.1</w:t>
      </w:r>
      <w:r w:rsidRPr="00657845">
        <w:rPr>
          <w:rFonts w:eastAsia="SimSun"/>
        </w:rPr>
        <w:fldChar w:fldCharType="end"/>
      </w:r>
      <w:r w:rsidRPr="00657845">
        <w:rPr>
          <w:rFonts w:eastAsia="SimSun"/>
        </w:rPr>
        <w:t>.</w:t>
      </w:r>
    </w:p>
    <w:p w14:paraId="2E04DFD6" w14:textId="77777777" w:rsidR="001A3992" w:rsidRPr="00FC0675" w:rsidRDefault="001A3992" w:rsidP="00EE3AC8">
      <w:pPr>
        <w:pStyle w:val="Heading1"/>
        <w:rPr>
          <w:lang w:val="en-AU"/>
        </w:rPr>
      </w:pPr>
      <w:r w:rsidRPr="00FC0675">
        <w:rPr>
          <w:lang w:val="en-AU"/>
        </w:rPr>
        <w:t>Pharmaceutical form</w:t>
      </w:r>
    </w:p>
    <w:p w14:paraId="581857B5" w14:textId="6778F2EA" w:rsidR="00FC0675" w:rsidRPr="00FC0675" w:rsidRDefault="00FC0675" w:rsidP="00FC0675">
      <w:pPr>
        <w:pStyle w:val="Paragraph"/>
        <w:rPr>
          <w:lang w:val="en-AU"/>
        </w:rPr>
      </w:pPr>
      <w:r w:rsidRPr="00612551">
        <w:rPr>
          <w:lang w:val="en-AU"/>
        </w:rPr>
        <w:t>Fasenra is a clear to opalescent, colourless to yellow solution for injection in a prefilled syringe which is administere</w:t>
      </w:r>
      <w:r w:rsidR="00BA7F2B">
        <w:rPr>
          <w:lang w:val="en-AU"/>
        </w:rPr>
        <w:t>d as a subcutaneous injection.</w:t>
      </w:r>
    </w:p>
    <w:p w14:paraId="01574A3D" w14:textId="77777777" w:rsidR="001A3992" w:rsidRPr="00234577" w:rsidRDefault="001A3992" w:rsidP="00EE3AC8">
      <w:pPr>
        <w:pStyle w:val="Heading1"/>
        <w:rPr>
          <w:lang w:val="en-AU"/>
        </w:rPr>
      </w:pPr>
      <w:r w:rsidRPr="00234577">
        <w:rPr>
          <w:lang w:val="en-AU"/>
        </w:rPr>
        <w:t>Clinical particulars</w:t>
      </w:r>
    </w:p>
    <w:p w14:paraId="0CC7A5C9" w14:textId="77777777" w:rsidR="001A3992" w:rsidRPr="00234577" w:rsidRDefault="001A3992" w:rsidP="00EE3AC8">
      <w:pPr>
        <w:pStyle w:val="Heading2"/>
        <w:rPr>
          <w:lang w:val="en-AU"/>
        </w:rPr>
      </w:pPr>
      <w:r w:rsidRPr="00234577">
        <w:rPr>
          <w:lang w:val="en-AU"/>
        </w:rPr>
        <w:t>Therapeutic indi</w:t>
      </w:r>
      <w:r w:rsidR="003B7CFF" w:rsidRPr="00234577">
        <w:rPr>
          <w:lang w:val="en-AU"/>
        </w:rPr>
        <w:t>cations</w:t>
      </w:r>
    </w:p>
    <w:p w14:paraId="44F45988" w14:textId="4BFA5821" w:rsidR="00EE6088" w:rsidRDefault="001E1A1F" w:rsidP="00EC1DEF">
      <w:pPr>
        <w:pStyle w:val="Paragraph"/>
        <w:rPr>
          <w:lang w:val="en-AU"/>
        </w:rPr>
      </w:pPr>
      <w:bookmarkStart w:id="2" w:name="_Hlk507134947"/>
      <w:r w:rsidRPr="001E5313">
        <w:rPr>
          <w:lang w:val="en-AU"/>
        </w:rPr>
        <w:t xml:space="preserve">Fasenra is indicated as add-on </w:t>
      </w:r>
      <w:r w:rsidR="00623485">
        <w:rPr>
          <w:lang w:val="en-AU"/>
        </w:rPr>
        <w:t>therapy</w:t>
      </w:r>
      <w:r w:rsidRPr="001E5313">
        <w:rPr>
          <w:lang w:val="en-AU"/>
        </w:rPr>
        <w:t xml:space="preserve"> </w:t>
      </w:r>
      <w:r w:rsidR="00C52D6F" w:rsidRPr="00C52D6F">
        <w:rPr>
          <w:lang w:val="en-AU"/>
        </w:rPr>
        <w:t xml:space="preserve">in </w:t>
      </w:r>
      <w:r w:rsidRPr="001E5313">
        <w:rPr>
          <w:lang w:val="en-AU"/>
        </w:rPr>
        <w:t>patients aged 12</w:t>
      </w:r>
      <w:r w:rsidR="00BD569F" w:rsidRPr="001E5313">
        <w:rPr>
          <w:lang w:val="en-AU"/>
        </w:rPr>
        <w:t> </w:t>
      </w:r>
      <w:r w:rsidRPr="001E5313">
        <w:rPr>
          <w:lang w:val="en-AU"/>
        </w:rPr>
        <w:t xml:space="preserve">years and </w:t>
      </w:r>
      <w:r w:rsidRPr="00EC1DEF">
        <w:rPr>
          <w:lang w:val="en-AU"/>
        </w:rPr>
        <w:t xml:space="preserve">over with </w:t>
      </w:r>
      <w:r w:rsidR="00623485" w:rsidRPr="00C52D6F">
        <w:rPr>
          <w:lang w:val="en-AU"/>
        </w:rPr>
        <w:t xml:space="preserve">severe </w:t>
      </w:r>
      <w:r w:rsidR="004455B6" w:rsidRPr="00EC1DEF">
        <w:rPr>
          <w:lang w:val="en-AU"/>
        </w:rPr>
        <w:t>eosinophilic</w:t>
      </w:r>
      <w:r w:rsidR="004455B6" w:rsidRPr="001E5313">
        <w:rPr>
          <w:lang w:val="en-AU"/>
        </w:rPr>
        <w:t xml:space="preserve"> </w:t>
      </w:r>
      <w:r w:rsidR="00623485" w:rsidRPr="00C52D6F">
        <w:rPr>
          <w:lang w:val="en-AU"/>
        </w:rPr>
        <w:t>asthma</w:t>
      </w:r>
      <w:r w:rsidR="00443094">
        <w:rPr>
          <w:lang w:val="en-AU"/>
        </w:rPr>
        <w:t xml:space="preserve"> </w:t>
      </w:r>
      <w:bookmarkStart w:id="3" w:name="_Hlk509319309"/>
      <w:bookmarkEnd w:id="2"/>
      <w:r w:rsidR="00623485">
        <w:rPr>
          <w:lang w:val="en-AU"/>
        </w:rPr>
        <w:t>(</w:t>
      </w:r>
      <w:r w:rsidR="00724EA7" w:rsidRPr="00C1737E">
        <w:rPr>
          <w:lang w:val="en-AU"/>
        </w:rPr>
        <w:t xml:space="preserve">blood eosinophil count </w:t>
      </w:r>
      <w:r w:rsidR="00C52D6F" w:rsidRPr="00C1737E">
        <w:rPr>
          <w:lang w:val="en-AU"/>
        </w:rPr>
        <w:t>≥300</w:t>
      </w:r>
      <w:r w:rsidR="00B678AA" w:rsidRPr="00C1737E">
        <w:rPr>
          <w:lang w:val="en-AU"/>
        </w:rPr>
        <w:t> </w:t>
      </w:r>
      <w:r w:rsidR="00C52D6F" w:rsidRPr="00C1737E">
        <w:rPr>
          <w:lang w:val="en-AU"/>
        </w:rPr>
        <w:t>cells/µL or ≥150</w:t>
      </w:r>
      <w:r w:rsidR="00B678AA" w:rsidRPr="00C1737E">
        <w:rPr>
          <w:lang w:val="en-AU"/>
        </w:rPr>
        <w:t> </w:t>
      </w:r>
      <w:r w:rsidR="00C52D6F" w:rsidRPr="00C1737E">
        <w:rPr>
          <w:lang w:val="en-AU"/>
        </w:rPr>
        <w:t xml:space="preserve">cells/µL if on </w:t>
      </w:r>
      <w:r w:rsidR="00704BBA">
        <w:rPr>
          <w:lang w:val="en-AU"/>
        </w:rPr>
        <w:t>oral corticosteroid</w:t>
      </w:r>
      <w:r w:rsidR="00C52D6F" w:rsidRPr="00C1737E">
        <w:rPr>
          <w:lang w:val="en-AU"/>
        </w:rPr>
        <w:t xml:space="preserve"> treatment</w:t>
      </w:r>
      <w:r w:rsidR="00623485">
        <w:rPr>
          <w:lang w:val="en-AU"/>
        </w:rPr>
        <w:t>)</w:t>
      </w:r>
      <w:bookmarkStart w:id="4" w:name="_Hlk509262715"/>
      <w:r w:rsidR="00623485">
        <w:rPr>
          <w:lang w:val="en-AU"/>
        </w:rPr>
        <w:t xml:space="preserve"> (s</w:t>
      </w:r>
      <w:r w:rsidR="00724EA7" w:rsidRPr="00C1737E">
        <w:rPr>
          <w:lang w:val="en-AU"/>
        </w:rPr>
        <w:t xml:space="preserve">ee Section </w:t>
      </w:r>
      <w:r w:rsidR="00724EA7" w:rsidRPr="00C1737E">
        <w:rPr>
          <w:lang w:val="en-AU"/>
        </w:rPr>
        <w:fldChar w:fldCharType="begin"/>
      </w:r>
      <w:r w:rsidR="00724EA7" w:rsidRPr="00C1737E">
        <w:rPr>
          <w:lang w:val="en-AU"/>
        </w:rPr>
        <w:instrText xml:space="preserve"> REF _Ref505579241 \r \h  \* MERGEFORMAT </w:instrText>
      </w:r>
      <w:r w:rsidR="00724EA7" w:rsidRPr="00C1737E">
        <w:rPr>
          <w:lang w:val="en-AU"/>
        </w:rPr>
      </w:r>
      <w:r w:rsidR="00724EA7" w:rsidRPr="00C1737E">
        <w:rPr>
          <w:lang w:val="en-AU"/>
        </w:rPr>
        <w:fldChar w:fldCharType="separate"/>
      </w:r>
      <w:r w:rsidR="00724EA7" w:rsidRPr="00C1737E">
        <w:rPr>
          <w:lang w:val="en-AU"/>
        </w:rPr>
        <w:t>5.1</w:t>
      </w:r>
      <w:r w:rsidR="00724EA7" w:rsidRPr="00C1737E">
        <w:rPr>
          <w:lang w:val="en-AU"/>
        </w:rPr>
        <w:fldChar w:fldCharType="end"/>
      </w:r>
      <w:r w:rsidR="00724EA7" w:rsidRPr="00C1737E">
        <w:rPr>
          <w:lang w:val="en-AU"/>
        </w:rPr>
        <w:t xml:space="preserve"> [</w:t>
      </w:r>
      <w:r w:rsidR="00724EA7" w:rsidRPr="00C1737E">
        <w:rPr>
          <w:i/>
          <w:lang w:val="en-AU"/>
        </w:rPr>
        <w:t>Clinical Trials</w:t>
      </w:r>
      <w:r w:rsidR="00724EA7" w:rsidRPr="00C1737E">
        <w:rPr>
          <w:lang w:val="en-AU"/>
        </w:rPr>
        <w:t>]</w:t>
      </w:r>
      <w:bookmarkEnd w:id="3"/>
      <w:bookmarkEnd w:id="4"/>
      <w:r w:rsidR="00623485">
        <w:rPr>
          <w:lang w:val="en-AU"/>
        </w:rPr>
        <w:t>)</w:t>
      </w:r>
      <w:r w:rsidR="00724EA7" w:rsidRPr="00C1737E">
        <w:rPr>
          <w:lang w:val="en-AU"/>
        </w:rPr>
        <w:t>.</w:t>
      </w:r>
    </w:p>
    <w:p w14:paraId="5C2E6A29" w14:textId="77777777" w:rsidR="003B7CFF" w:rsidRPr="00A52422" w:rsidRDefault="001A3992" w:rsidP="003B7CFF">
      <w:pPr>
        <w:pStyle w:val="Heading2"/>
        <w:rPr>
          <w:lang w:val="en-AU"/>
        </w:rPr>
      </w:pPr>
      <w:bookmarkStart w:id="5" w:name="_Ref505358028"/>
      <w:r w:rsidRPr="00A52422">
        <w:rPr>
          <w:lang w:val="en-AU"/>
        </w:rPr>
        <w:t>Dose and method of administration</w:t>
      </w:r>
      <w:bookmarkEnd w:id="5"/>
    </w:p>
    <w:p w14:paraId="34C6AC10" w14:textId="002602F9" w:rsidR="00F84110" w:rsidRPr="00F84110" w:rsidRDefault="00F84110" w:rsidP="00F84110">
      <w:pPr>
        <w:pStyle w:val="Paragraph"/>
      </w:pPr>
      <w:r w:rsidRPr="00F84110">
        <w:t xml:space="preserve">Fasenra should be prescribed by a health care professional in consultation with a specialist physician experienced in the diagnosis and treatment of severe asthma. Treatment with high-dose </w:t>
      </w:r>
      <w:r w:rsidR="008A1ACD">
        <w:t>inhaled corticosteroids (</w:t>
      </w:r>
      <w:r w:rsidRPr="00F84110">
        <w:t>ICS</w:t>
      </w:r>
      <w:r w:rsidR="008A1ACD">
        <w:t>)</w:t>
      </w:r>
      <w:r w:rsidRPr="00F84110">
        <w:t xml:space="preserve"> and </w:t>
      </w:r>
      <w:r w:rsidR="008A1ACD">
        <w:t>long-acting β-agonists (</w:t>
      </w:r>
      <w:r w:rsidRPr="00F84110">
        <w:t>LABA</w:t>
      </w:r>
      <w:r w:rsidR="008A1ACD">
        <w:t>)</w:t>
      </w:r>
      <w:r w:rsidRPr="00F84110">
        <w:t xml:space="preserve"> should be optimised prior to commencement of treatment with Fasenra.</w:t>
      </w:r>
    </w:p>
    <w:p w14:paraId="44C3A7DF" w14:textId="49C1AF65" w:rsidR="00F84110" w:rsidRPr="00F84110" w:rsidRDefault="00F84110" w:rsidP="00234577">
      <w:pPr>
        <w:pStyle w:val="Heading3Unnumbered"/>
      </w:pPr>
      <w:bookmarkStart w:id="6" w:name="_Hlk507400191"/>
      <w:r w:rsidRPr="00F84110">
        <w:t>Adults and adolescent (12</w:t>
      </w:r>
      <w:r w:rsidR="00382574">
        <w:t> </w:t>
      </w:r>
      <w:r w:rsidRPr="00F84110">
        <w:t>years and over)</w:t>
      </w:r>
    </w:p>
    <w:p w14:paraId="210BE97C" w14:textId="1E46694E" w:rsidR="00F84110" w:rsidRDefault="00F84110" w:rsidP="00F84110">
      <w:pPr>
        <w:pStyle w:val="Paragraph"/>
        <w:rPr>
          <w:lang w:val="en-AU"/>
        </w:rPr>
      </w:pPr>
      <w:r w:rsidRPr="00F84110">
        <w:rPr>
          <w:lang w:val="en-AU"/>
        </w:rPr>
        <w:t>The recommended dose is 30 mg of Fasenra by subcutaneous injection every 4 weeks for the first 3 doses, and then every 8 weeks thereafter.</w:t>
      </w:r>
    </w:p>
    <w:p w14:paraId="0E428B4A" w14:textId="2CECED23" w:rsidR="00ED60F1" w:rsidRPr="00762EA7" w:rsidRDefault="00ED60F1" w:rsidP="00F84110">
      <w:pPr>
        <w:pStyle w:val="Paragraph"/>
        <w:rPr>
          <w:lang w:val="en-AU"/>
        </w:rPr>
      </w:pPr>
      <w:r w:rsidRPr="00762EA7">
        <w:rPr>
          <w:lang w:val="en-AU"/>
        </w:rPr>
        <w:t>If an injection is missed on a planned date, dosing should resume as soon as possible on the indicated regime; a double dose must not be administered.</w:t>
      </w:r>
    </w:p>
    <w:p w14:paraId="18522EC9" w14:textId="0A0932A9" w:rsidR="00ED60F1" w:rsidRDefault="00ED60F1" w:rsidP="00F84110">
      <w:pPr>
        <w:pStyle w:val="Paragraph"/>
        <w:rPr>
          <w:lang w:val="en-AU"/>
        </w:rPr>
      </w:pPr>
      <w:r w:rsidRPr="00762EA7">
        <w:rPr>
          <w:lang w:val="en-AU"/>
        </w:rPr>
        <w:t>Fasenra is intended for long-term treatment.  A decision to continue therapy should be made at least annually based on disease severity and level of exacerbation.</w:t>
      </w:r>
    </w:p>
    <w:bookmarkEnd w:id="6"/>
    <w:p w14:paraId="76EBDDD5" w14:textId="77777777" w:rsidR="00234577" w:rsidRPr="007B2EC6" w:rsidRDefault="00234577" w:rsidP="00234577">
      <w:pPr>
        <w:pStyle w:val="Heading3Unnumbered"/>
      </w:pPr>
      <w:r>
        <w:t>Special patient populations</w:t>
      </w:r>
    </w:p>
    <w:p w14:paraId="6108FADC" w14:textId="77777777" w:rsidR="00F84110" w:rsidRPr="00F84110" w:rsidRDefault="00F84110" w:rsidP="00234577">
      <w:pPr>
        <w:pStyle w:val="Heading4Unnumbered"/>
      </w:pPr>
      <w:r w:rsidRPr="00F84110">
        <w:t>Renal and hepatic impairment</w:t>
      </w:r>
    </w:p>
    <w:p w14:paraId="308CA855" w14:textId="57C59300" w:rsidR="00F84110" w:rsidRPr="00F84110" w:rsidRDefault="00F84110" w:rsidP="00F84110">
      <w:pPr>
        <w:pStyle w:val="Paragraph"/>
        <w:rPr>
          <w:lang w:val="en-AU"/>
        </w:rPr>
      </w:pPr>
      <w:r w:rsidRPr="00F84110">
        <w:rPr>
          <w:lang w:val="en-AU"/>
        </w:rPr>
        <w:t xml:space="preserve">No dose adjustment is required for patients with renal or hepatic impairment (see </w:t>
      </w:r>
      <w:r w:rsidR="00234577">
        <w:rPr>
          <w:lang w:val="en-AU"/>
        </w:rPr>
        <w:t xml:space="preserve">Section </w:t>
      </w:r>
      <w:r w:rsidR="00234577">
        <w:rPr>
          <w:lang w:val="en-AU"/>
        </w:rPr>
        <w:fldChar w:fldCharType="begin"/>
      </w:r>
      <w:r w:rsidR="00234577">
        <w:rPr>
          <w:lang w:val="en-AU"/>
        </w:rPr>
        <w:instrText xml:space="preserve"> REF _Ref505357834 \r \h </w:instrText>
      </w:r>
      <w:r w:rsidR="00234577">
        <w:rPr>
          <w:lang w:val="en-AU"/>
        </w:rPr>
      </w:r>
      <w:r w:rsidR="00234577">
        <w:rPr>
          <w:lang w:val="en-AU"/>
        </w:rPr>
        <w:fldChar w:fldCharType="separate"/>
      </w:r>
      <w:r w:rsidR="00997102">
        <w:rPr>
          <w:lang w:val="en-AU"/>
        </w:rPr>
        <w:t>5.2</w:t>
      </w:r>
      <w:r w:rsidR="00234577">
        <w:rPr>
          <w:lang w:val="en-AU"/>
        </w:rPr>
        <w:fldChar w:fldCharType="end"/>
      </w:r>
      <w:r w:rsidR="00234577">
        <w:rPr>
          <w:lang w:val="en-AU"/>
        </w:rPr>
        <w:t xml:space="preserve"> [</w:t>
      </w:r>
      <w:r w:rsidR="00A52422" w:rsidRPr="00A52422">
        <w:rPr>
          <w:i/>
          <w:lang w:val="en-AU"/>
        </w:rPr>
        <w:t>Special patient populations/</w:t>
      </w:r>
      <w:r w:rsidR="00A52422">
        <w:rPr>
          <w:i/>
          <w:lang w:val="en-AU"/>
        </w:rPr>
        <w:t>R</w:t>
      </w:r>
      <w:r w:rsidR="00234577" w:rsidRPr="00A52422">
        <w:rPr>
          <w:i/>
          <w:lang w:val="en-AU"/>
        </w:rPr>
        <w:t>enal impairment</w:t>
      </w:r>
      <w:r w:rsidR="00234577">
        <w:rPr>
          <w:lang w:val="en-AU"/>
        </w:rPr>
        <w:t xml:space="preserve"> and </w:t>
      </w:r>
      <w:r w:rsidR="00A52422">
        <w:rPr>
          <w:i/>
          <w:lang w:val="en-AU"/>
        </w:rPr>
        <w:t>Hepatic</w:t>
      </w:r>
      <w:r w:rsidR="00234577" w:rsidRPr="00A52422">
        <w:rPr>
          <w:i/>
          <w:lang w:val="en-AU"/>
        </w:rPr>
        <w:t xml:space="preserve"> impairment</w:t>
      </w:r>
      <w:r w:rsidR="00234577">
        <w:rPr>
          <w:lang w:val="en-AU"/>
        </w:rPr>
        <w:t>])</w:t>
      </w:r>
      <w:r w:rsidRPr="00F84110">
        <w:rPr>
          <w:lang w:val="en-AU"/>
        </w:rPr>
        <w:t>.</w:t>
      </w:r>
    </w:p>
    <w:p w14:paraId="1F2299A0" w14:textId="77777777" w:rsidR="00F84110" w:rsidRPr="00F84110" w:rsidRDefault="00F84110" w:rsidP="00234577">
      <w:pPr>
        <w:pStyle w:val="Heading4Unnumbered"/>
      </w:pPr>
      <w:r w:rsidRPr="00F84110">
        <w:lastRenderedPageBreak/>
        <w:t>Use in the elderly</w:t>
      </w:r>
    </w:p>
    <w:p w14:paraId="60352E25" w14:textId="4F10C31C" w:rsidR="00A52422" w:rsidRPr="00F84110" w:rsidRDefault="00F84110" w:rsidP="00A52422">
      <w:pPr>
        <w:pStyle w:val="Paragraph"/>
        <w:rPr>
          <w:lang w:val="en-AU"/>
        </w:rPr>
      </w:pPr>
      <w:r w:rsidRPr="00F84110">
        <w:rPr>
          <w:lang w:val="en-AU"/>
        </w:rPr>
        <w:t xml:space="preserve">No dose adjustment is required for elderly patients </w:t>
      </w:r>
      <w:r w:rsidR="007C0A49">
        <w:rPr>
          <w:lang w:val="en-AU"/>
        </w:rPr>
        <w:t>(</w:t>
      </w:r>
      <w:r w:rsidR="00A52422" w:rsidRPr="00F84110">
        <w:rPr>
          <w:lang w:val="en-AU"/>
        </w:rPr>
        <w:t xml:space="preserve">see </w:t>
      </w:r>
      <w:r w:rsidR="00A52422">
        <w:rPr>
          <w:lang w:val="en-AU"/>
        </w:rPr>
        <w:t xml:space="preserve">Section </w:t>
      </w:r>
      <w:r w:rsidR="00A52422">
        <w:rPr>
          <w:lang w:val="en-AU"/>
        </w:rPr>
        <w:fldChar w:fldCharType="begin"/>
      </w:r>
      <w:r w:rsidR="00A52422">
        <w:rPr>
          <w:lang w:val="en-AU"/>
        </w:rPr>
        <w:instrText xml:space="preserve"> REF _Ref505357834 \r \h </w:instrText>
      </w:r>
      <w:r w:rsidR="00A52422">
        <w:rPr>
          <w:lang w:val="en-AU"/>
        </w:rPr>
      </w:r>
      <w:r w:rsidR="00A52422">
        <w:rPr>
          <w:lang w:val="en-AU"/>
        </w:rPr>
        <w:fldChar w:fldCharType="separate"/>
      </w:r>
      <w:r w:rsidR="00997102">
        <w:rPr>
          <w:lang w:val="en-AU"/>
        </w:rPr>
        <w:t>5.2</w:t>
      </w:r>
      <w:r w:rsidR="00A52422">
        <w:rPr>
          <w:lang w:val="en-AU"/>
        </w:rPr>
        <w:fldChar w:fldCharType="end"/>
      </w:r>
      <w:r w:rsidR="00A52422">
        <w:rPr>
          <w:lang w:val="en-AU"/>
        </w:rPr>
        <w:t xml:space="preserve"> [</w:t>
      </w:r>
      <w:r w:rsidR="00A52422" w:rsidRPr="00A52422">
        <w:rPr>
          <w:i/>
          <w:lang w:val="en-AU"/>
        </w:rPr>
        <w:t>Special patient populations/Elderly (≥65 years old)</w:t>
      </w:r>
      <w:r w:rsidR="00A52422">
        <w:rPr>
          <w:lang w:val="en-AU"/>
        </w:rPr>
        <w:t>])</w:t>
      </w:r>
      <w:r w:rsidR="00A52422" w:rsidRPr="00F84110">
        <w:rPr>
          <w:lang w:val="en-AU"/>
        </w:rPr>
        <w:t>.</w:t>
      </w:r>
    </w:p>
    <w:p w14:paraId="0FC4E2C8" w14:textId="77777777" w:rsidR="00F84110" w:rsidRPr="00F84110" w:rsidRDefault="00F84110" w:rsidP="00234577">
      <w:pPr>
        <w:pStyle w:val="Heading4Unnumbered"/>
      </w:pPr>
      <w:r w:rsidRPr="00F84110">
        <w:t>Paediatric use</w:t>
      </w:r>
    </w:p>
    <w:p w14:paraId="0F3CC769" w14:textId="77777777" w:rsidR="00F84110" w:rsidRPr="00F84110" w:rsidRDefault="00F84110" w:rsidP="00F84110">
      <w:pPr>
        <w:pStyle w:val="Paragraph"/>
        <w:rPr>
          <w:lang w:val="en-AU"/>
        </w:rPr>
      </w:pPr>
      <w:r w:rsidRPr="00F84110">
        <w:rPr>
          <w:lang w:val="en-AU"/>
        </w:rPr>
        <w:t>The safety and efficacy of Fasenra in children below 12 years of age have not been established.</w:t>
      </w:r>
    </w:p>
    <w:p w14:paraId="29BAB5D4" w14:textId="77777777" w:rsidR="00F84110" w:rsidRPr="00F84110" w:rsidRDefault="00F84110" w:rsidP="00A52422">
      <w:pPr>
        <w:pStyle w:val="Heading3Unnumbered"/>
      </w:pPr>
      <w:r w:rsidRPr="00F84110">
        <w:t>Method of administration</w:t>
      </w:r>
    </w:p>
    <w:p w14:paraId="7ADE3FB5" w14:textId="77777777" w:rsidR="00F84110" w:rsidRPr="00F84110" w:rsidRDefault="00F84110" w:rsidP="00F84110">
      <w:pPr>
        <w:pStyle w:val="Paragraph"/>
        <w:rPr>
          <w:lang w:val="en-AU"/>
        </w:rPr>
      </w:pPr>
      <w:r w:rsidRPr="00F84110">
        <w:rPr>
          <w:lang w:val="en-AU"/>
        </w:rPr>
        <w:t>Fasenra is for single use in one patient only. Discard any residue.</w:t>
      </w:r>
    </w:p>
    <w:p w14:paraId="3B3EFDB6" w14:textId="6866246D" w:rsidR="00F84110" w:rsidRPr="00F84110" w:rsidRDefault="00F84110" w:rsidP="00F84110">
      <w:pPr>
        <w:pStyle w:val="Paragraph"/>
        <w:rPr>
          <w:lang w:val="en-AU"/>
        </w:rPr>
      </w:pPr>
      <w:r w:rsidRPr="00F84110">
        <w:rPr>
          <w:lang w:val="en-AU"/>
        </w:rPr>
        <w:t>Fasenra is administered as a subcutaneous injection by a healthcare professional, and is not for self-administration. In line with clinical practice, monitoring of patients after administration of a biological medicine is recommended (see</w:t>
      </w:r>
      <w:r w:rsidR="00A52422">
        <w:rPr>
          <w:lang w:val="en-AU"/>
        </w:rPr>
        <w:t xml:space="preserve"> Section </w:t>
      </w:r>
      <w:r w:rsidR="00A52422">
        <w:rPr>
          <w:lang w:val="en-AU"/>
        </w:rPr>
        <w:fldChar w:fldCharType="begin"/>
      </w:r>
      <w:r w:rsidR="00A52422">
        <w:rPr>
          <w:lang w:val="en-AU"/>
        </w:rPr>
        <w:instrText xml:space="preserve"> REF _Ref505358232 \r \h </w:instrText>
      </w:r>
      <w:r w:rsidR="00A52422">
        <w:rPr>
          <w:lang w:val="en-AU"/>
        </w:rPr>
      </w:r>
      <w:r w:rsidR="00A52422">
        <w:rPr>
          <w:lang w:val="en-AU"/>
        </w:rPr>
        <w:fldChar w:fldCharType="separate"/>
      </w:r>
      <w:r w:rsidR="00997102">
        <w:rPr>
          <w:lang w:val="en-AU"/>
        </w:rPr>
        <w:t>4.4</w:t>
      </w:r>
      <w:r w:rsidR="00A52422">
        <w:rPr>
          <w:lang w:val="en-AU"/>
        </w:rPr>
        <w:fldChar w:fldCharType="end"/>
      </w:r>
      <w:r w:rsidRPr="00F84110">
        <w:rPr>
          <w:lang w:val="en-AU"/>
        </w:rPr>
        <w:t xml:space="preserve"> </w:t>
      </w:r>
      <w:r w:rsidR="00A52422">
        <w:rPr>
          <w:i/>
          <w:lang w:val="en-AU"/>
        </w:rPr>
        <w:t>[</w:t>
      </w:r>
      <w:r w:rsidRPr="00087272">
        <w:rPr>
          <w:i/>
          <w:lang w:val="en-AU"/>
        </w:rPr>
        <w:t>Hypersensitivity reactions</w:t>
      </w:r>
      <w:r w:rsidR="00A52422">
        <w:rPr>
          <w:i/>
          <w:lang w:val="en-AU"/>
        </w:rPr>
        <w:t>]</w:t>
      </w:r>
      <w:r w:rsidRPr="00087272">
        <w:rPr>
          <w:lang w:val="en-AU"/>
        </w:rPr>
        <w:t>).</w:t>
      </w:r>
    </w:p>
    <w:p w14:paraId="7A980BCD" w14:textId="77777777" w:rsidR="00F84110" w:rsidRPr="00F84110" w:rsidRDefault="00F84110" w:rsidP="00F84110">
      <w:pPr>
        <w:pStyle w:val="Paragraph"/>
        <w:rPr>
          <w:lang w:val="en-AU"/>
        </w:rPr>
      </w:pPr>
      <w:r w:rsidRPr="00F84110">
        <w:rPr>
          <w:lang w:val="en-AU"/>
        </w:rPr>
        <w:t>Administer Fasenra into the upper arm, thighs or abdomen. Do not administer into areas where the skin is tender, bruised, erythematous, or hardened.</w:t>
      </w:r>
    </w:p>
    <w:p w14:paraId="3609ABC3" w14:textId="77777777" w:rsidR="00F84110" w:rsidRPr="00F84110" w:rsidRDefault="00F84110" w:rsidP="00A52422">
      <w:pPr>
        <w:pStyle w:val="Heading4Unnumbered"/>
      </w:pPr>
      <w:r w:rsidRPr="00F84110">
        <w:t>Instructions for prefilled syringe with needle safety guard</w:t>
      </w:r>
    </w:p>
    <w:p w14:paraId="2C0F2E15" w14:textId="77777777" w:rsidR="00F84110" w:rsidRPr="00F84110" w:rsidRDefault="00F84110" w:rsidP="00F84110">
      <w:pPr>
        <w:pStyle w:val="Paragraph"/>
        <w:rPr>
          <w:lang w:val="en-AU"/>
        </w:rPr>
      </w:pPr>
      <w:r w:rsidRPr="00F84110">
        <w:rPr>
          <w:lang w:val="en-AU"/>
        </w:rPr>
        <w:t>Do not shake.  Do not use if frozen.</w:t>
      </w:r>
    </w:p>
    <w:p w14:paraId="5D67B817" w14:textId="7564B14F" w:rsidR="00F84110" w:rsidRPr="00F84110" w:rsidRDefault="00F84110" w:rsidP="00F84110">
      <w:pPr>
        <w:pStyle w:val="Paragraph"/>
        <w:rPr>
          <w:lang w:val="en-AU"/>
        </w:rPr>
      </w:pPr>
      <w:r w:rsidRPr="00F84110">
        <w:rPr>
          <w:lang w:val="en-AU"/>
        </w:rPr>
        <w:t>Prior to administration, allow Fasenra to reach room temperature (approximately 30</w:t>
      </w:r>
      <w:r w:rsidR="00330B29">
        <w:rPr>
          <w:lang w:val="en-AU"/>
        </w:rPr>
        <w:t> </w:t>
      </w:r>
      <w:r w:rsidRPr="00F84110">
        <w:rPr>
          <w:lang w:val="en-AU"/>
        </w:rPr>
        <w:t>minutes).  Keep Fasenra in the carton until ready to administer to protect it from light.  Administer within 24</w:t>
      </w:r>
      <w:r w:rsidR="00330B29">
        <w:rPr>
          <w:lang w:val="en-AU"/>
        </w:rPr>
        <w:t> </w:t>
      </w:r>
      <w:r w:rsidRPr="00F84110">
        <w:rPr>
          <w:lang w:val="en-AU"/>
        </w:rPr>
        <w:t>hours after taking out of the refrigerator or discard into sharps container.</w:t>
      </w:r>
    </w:p>
    <w:p w14:paraId="6F0E29BD" w14:textId="0FC8C456" w:rsidR="00F84110" w:rsidRPr="00F84110" w:rsidRDefault="00F84110" w:rsidP="00F84110">
      <w:pPr>
        <w:pStyle w:val="Paragraph"/>
        <w:rPr>
          <w:lang w:val="en-AU"/>
        </w:rPr>
      </w:pPr>
      <w:r w:rsidRPr="00F84110">
        <w:rPr>
          <w:lang w:val="en-AU"/>
        </w:rPr>
        <w:t xml:space="preserve">See </w:t>
      </w:r>
      <w:r w:rsidRPr="00F84110">
        <w:rPr>
          <w:b/>
          <w:lang w:val="en-AU"/>
        </w:rPr>
        <w:fldChar w:fldCharType="begin"/>
      </w:r>
      <w:r w:rsidRPr="00F84110">
        <w:rPr>
          <w:lang w:val="en-AU"/>
        </w:rPr>
        <w:instrText xml:space="preserve"> REF _Ref473703660 \h </w:instrText>
      </w:r>
      <w:r w:rsidRPr="00F84110">
        <w:rPr>
          <w:b/>
          <w:lang w:val="en-AU"/>
        </w:rPr>
        <w:instrText xml:space="preserve"> \* MERGEFORMAT </w:instrText>
      </w:r>
      <w:r w:rsidRPr="00F84110">
        <w:rPr>
          <w:b/>
          <w:lang w:val="en-AU"/>
        </w:rPr>
      </w:r>
      <w:r w:rsidRPr="00F84110">
        <w:rPr>
          <w:b/>
          <w:lang w:val="en-AU"/>
        </w:rPr>
        <w:fldChar w:fldCharType="separate"/>
      </w:r>
      <w:r w:rsidR="00997102" w:rsidRPr="00997102">
        <w:rPr>
          <w:lang w:val="en-AU"/>
        </w:rPr>
        <w:t>Figure 1</w:t>
      </w:r>
      <w:r w:rsidRPr="00F84110">
        <w:rPr>
          <w:lang w:val="en-AU"/>
        </w:rPr>
        <w:fldChar w:fldCharType="end"/>
      </w:r>
      <w:r w:rsidRPr="00F84110">
        <w:rPr>
          <w:b/>
          <w:lang w:val="en-AU"/>
        </w:rPr>
        <w:t xml:space="preserve"> </w:t>
      </w:r>
      <w:r w:rsidRPr="00F84110">
        <w:rPr>
          <w:lang w:val="en-AU"/>
        </w:rPr>
        <w:t>below to identify the prefilled syringe components for use in the administration steps.</w:t>
      </w:r>
    </w:p>
    <w:p w14:paraId="0D641A45" w14:textId="5BE73766" w:rsidR="00F84110" w:rsidRPr="00382574" w:rsidRDefault="00F84110" w:rsidP="00A52422">
      <w:pPr>
        <w:pStyle w:val="FigureTitle"/>
      </w:pPr>
      <w:bookmarkStart w:id="7" w:name="_Ref473703660"/>
      <w:r w:rsidRPr="00382574">
        <w:t xml:space="preserve">Figure </w:t>
      </w:r>
      <w:r w:rsidR="00997102">
        <w:fldChar w:fldCharType="begin"/>
      </w:r>
      <w:r w:rsidR="00997102">
        <w:instrText xml:space="preserve"> SEQ Figure \* ARABIC </w:instrText>
      </w:r>
      <w:r w:rsidR="00997102">
        <w:fldChar w:fldCharType="separate"/>
      </w:r>
      <w:r w:rsidR="00997102">
        <w:rPr>
          <w:noProof/>
        </w:rPr>
        <w:t>1</w:t>
      </w:r>
      <w:r w:rsidR="00997102">
        <w:fldChar w:fldCharType="end"/>
      </w:r>
      <w:bookmarkEnd w:id="7"/>
      <w:r w:rsidRPr="00382574">
        <w:tab/>
        <w:t>Fasenra prefilled syringe</w:t>
      </w:r>
    </w:p>
    <w:tbl>
      <w:tblPr>
        <w:tblStyle w:val="TableGrid"/>
        <w:tblW w:w="8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5"/>
        <w:gridCol w:w="1259"/>
        <w:gridCol w:w="992"/>
        <w:gridCol w:w="425"/>
        <w:gridCol w:w="709"/>
        <w:gridCol w:w="567"/>
        <w:gridCol w:w="992"/>
        <w:gridCol w:w="1985"/>
        <w:gridCol w:w="236"/>
      </w:tblGrid>
      <w:tr w:rsidR="00F84110" w:rsidRPr="00382574" w14:paraId="20CC8FD2" w14:textId="77777777" w:rsidTr="009C4EEF">
        <w:trPr>
          <w:gridAfter w:val="1"/>
          <w:wAfter w:w="236" w:type="dxa"/>
          <w:trHeight w:val="548"/>
        </w:trPr>
        <w:tc>
          <w:tcPr>
            <w:tcW w:w="1435" w:type="dxa"/>
          </w:tcPr>
          <w:p w14:paraId="54507E0A" w14:textId="77777777" w:rsidR="00F84110" w:rsidRPr="00382574" w:rsidRDefault="00F84110" w:rsidP="00A52422">
            <w:pPr>
              <w:pStyle w:val="TableLeft"/>
              <w:rPr>
                <w:lang w:val="en-AU"/>
              </w:rPr>
            </w:pPr>
          </w:p>
        </w:tc>
        <w:tc>
          <w:tcPr>
            <w:tcW w:w="2251" w:type="dxa"/>
            <w:gridSpan w:val="2"/>
          </w:tcPr>
          <w:p w14:paraId="2F002F95" w14:textId="77777777" w:rsidR="00F84110" w:rsidRPr="00382574" w:rsidRDefault="00F84110" w:rsidP="009C4EEF">
            <w:pPr>
              <w:pStyle w:val="TableLeft"/>
              <w:jc w:val="center"/>
              <w:rPr>
                <w:lang w:val="en-AU"/>
              </w:rPr>
            </w:pPr>
            <w:r w:rsidRPr="00382574">
              <w:rPr>
                <w:lang w:val="en-AU"/>
              </w:rPr>
              <w:t>Needle guard activation clips</w:t>
            </w:r>
          </w:p>
        </w:tc>
        <w:tc>
          <w:tcPr>
            <w:tcW w:w="1134" w:type="dxa"/>
            <w:gridSpan w:val="2"/>
          </w:tcPr>
          <w:p w14:paraId="352E3AD3" w14:textId="77777777" w:rsidR="00F84110" w:rsidRPr="00382574" w:rsidRDefault="00F84110" w:rsidP="009C4EEF">
            <w:pPr>
              <w:pStyle w:val="TableLeft"/>
              <w:jc w:val="center"/>
              <w:rPr>
                <w:lang w:val="en-AU"/>
              </w:rPr>
            </w:pPr>
            <w:r w:rsidRPr="00382574">
              <w:rPr>
                <w:lang w:val="en-AU"/>
              </w:rPr>
              <w:t>Syringe body</w:t>
            </w:r>
          </w:p>
        </w:tc>
        <w:tc>
          <w:tcPr>
            <w:tcW w:w="1559" w:type="dxa"/>
            <w:gridSpan w:val="2"/>
          </w:tcPr>
          <w:p w14:paraId="4993865F" w14:textId="77777777" w:rsidR="00F84110" w:rsidRPr="00382574" w:rsidRDefault="00F84110" w:rsidP="009C4EEF">
            <w:pPr>
              <w:pStyle w:val="TableLeft"/>
              <w:jc w:val="center"/>
              <w:rPr>
                <w:lang w:val="en-AU"/>
              </w:rPr>
            </w:pPr>
            <w:r w:rsidRPr="00382574">
              <w:rPr>
                <w:lang w:val="en-AU"/>
              </w:rPr>
              <w:t>Label with expiration date</w:t>
            </w:r>
          </w:p>
        </w:tc>
        <w:tc>
          <w:tcPr>
            <w:tcW w:w="1985" w:type="dxa"/>
          </w:tcPr>
          <w:p w14:paraId="3B96BC8F" w14:textId="77777777" w:rsidR="00F84110" w:rsidRPr="00382574" w:rsidRDefault="00F84110" w:rsidP="009C4EEF">
            <w:pPr>
              <w:pStyle w:val="TableLeft"/>
              <w:jc w:val="center"/>
              <w:rPr>
                <w:lang w:val="en-AU"/>
              </w:rPr>
            </w:pPr>
            <w:r w:rsidRPr="00382574">
              <w:rPr>
                <w:noProof/>
                <w:lang w:val="en-AU" w:eastAsia="en-AU"/>
              </w:rPr>
              <mc:AlternateContent>
                <mc:Choice Requires="wps">
                  <w:drawing>
                    <wp:anchor distT="0" distB="0" distL="114300" distR="114300" simplePos="0" relativeHeight="251666432" behindDoc="0" locked="0" layoutInCell="1" allowOverlap="1" wp14:anchorId="0160483C" wp14:editId="47A9D64A">
                      <wp:simplePos x="0" y="0"/>
                      <wp:positionH relativeFrom="column">
                        <wp:posOffset>332740</wp:posOffset>
                      </wp:positionH>
                      <wp:positionV relativeFrom="paragraph">
                        <wp:posOffset>388620</wp:posOffset>
                      </wp:positionV>
                      <wp:extent cx="111760" cy="476250"/>
                      <wp:effectExtent l="0" t="0" r="21590" b="1905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760" cy="476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876A15C" id="_x0000_t32" coordsize="21600,21600" o:spt="32" o:oned="t" path="m,l21600,21600e" filled="f">
                      <v:path arrowok="t" fillok="f" o:connecttype="none"/>
                      <o:lock v:ext="edit" shapetype="t"/>
                    </v:shapetype>
                    <v:shape id="AutoShape 12" o:spid="_x0000_s1026" type="#_x0000_t32" style="position:absolute;margin-left:26.2pt;margin-top:30.6pt;width:8.8pt;height:3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" strokeweight="1pt"/>
                  </w:pict>
                </mc:Fallback>
              </mc:AlternateContent>
            </w:r>
            <w:r w:rsidRPr="00382574">
              <w:rPr>
                <w:lang w:val="en-US"/>
              </w:rPr>
              <w:t>Needle cover (rigid needle shield)</w:t>
            </w:r>
          </w:p>
        </w:tc>
      </w:tr>
      <w:tr w:rsidR="00F84110" w:rsidRPr="00382574" w14:paraId="492A1F53" w14:textId="77777777" w:rsidTr="009C4EEF">
        <w:tc>
          <w:tcPr>
            <w:tcW w:w="1435" w:type="dxa"/>
            <w:vAlign w:val="center"/>
          </w:tcPr>
          <w:p w14:paraId="25C2A60F" w14:textId="77777777" w:rsidR="00F84110" w:rsidRPr="00382574" w:rsidRDefault="00F84110" w:rsidP="00382574">
            <w:pPr>
              <w:pStyle w:val="TableLeft"/>
              <w:rPr>
                <w:lang w:val="en-US"/>
              </w:rPr>
            </w:pPr>
            <w:r w:rsidRPr="00382574">
              <w:rPr>
                <w:noProof/>
                <w:lang w:val="en-AU" w:eastAsia="en-AU"/>
              </w:rPr>
              <mc:AlternateContent>
                <mc:Choice Requires="wps">
                  <w:drawing>
                    <wp:anchor distT="0" distB="0" distL="114300" distR="114300" simplePos="0" relativeHeight="251665408" behindDoc="0" locked="0" layoutInCell="1" allowOverlap="1" wp14:anchorId="08CEC8D6" wp14:editId="7FFB6559">
                      <wp:simplePos x="0" y="0"/>
                      <wp:positionH relativeFrom="column">
                        <wp:posOffset>808355</wp:posOffset>
                      </wp:positionH>
                      <wp:positionV relativeFrom="paragraph">
                        <wp:posOffset>103505</wp:posOffset>
                      </wp:positionV>
                      <wp:extent cx="75565" cy="0"/>
                      <wp:effectExtent l="8255" t="8255" r="11430" b="1079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657940" id="AutoShape 11" o:spid="_x0000_s1026" type="#_x0000_t32" style="position:absolute;margin-left:63.65pt;margin-top:8.15pt;width:5.9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" strokeweight="1pt"/>
                  </w:pict>
                </mc:Fallback>
              </mc:AlternateContent>
            </w:r>
            <w:r w:rsidRPr="00382574">
              <w:rPr>
                <w:lang w:val="en-US"/>
              </w:rPr>
              <w:t>Plunger head</w:t>
            </w:r>
          </w:p>
        </w:tc>
        <w:tc>
          <w:tcPr>
            <w:tcW w:w="6929" w:type="dxa"/>
            <w:gridSpan w:val="7"/>
          </w:tcPr>
          <w:p w14:paraId="37695070" w14:textId="6467E8BD" w:rsidR="00F84110" w:rsidRPr="00382574" w:rsidRDefault="009C4EEF" w:rsidP="00A52422">
            <w:pPr>
              <w:pStyle w:val="TableLeft"/>
              <w:rPr>
                <w:lang w:val="en-AU"/>
              </w:rPr>
            </w:pPr>
            <w:r w:rsidRPr="00382574">
              <w:rPr>
                <w:noProof/>
                <w:lang w:val="en-AU" w:eastAsia="en-AU"/>
              </w:rPr>
              <mc:AlternateContent>
                <mc:Choice Requires="wps">
                  <w:drawing>
                    <wp:anchor distT="0" distB="0" distL="114300" distR="114300" simplePos="0" relativeHeight="251667456" behindDoc="0" locked="0" layoutInCell="1" allowOverlap="1" wp14:anchorId="4BC63766" wp14:editId="07BCA668">
                      <wp:simplePos x="0" y="0"/>
                      <wp:positionH relativeFrom="column">
                        <wp:posOffset>1710054</wp:posOffset>
                      </wp:positionH>
                      <wp:positionV relativeFrom="paragraph">
                        <wp:posOffset>59689</wp:posOffset>
                      </wp:positionV>
                      <wp:extent cx="66675" cy="409575"/>
                      <wp:effectExtent l="0" t="0" r="28575" b="2857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4095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73E9F40" id="AutoShape 13" o:spid="_x0000_s1026" type="#_x0000_t32" style="position:absolute;margin-left:134.65pt;margin-top:4.7pt;width:5.2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" strokeweight="1pt"/>
                  </w:pict>
                </mc:Fallback>
              </mc:AlternateContent>
            </w:r>
            <w:r w:rsidRPr="00382574">
              <w:rPr>
                <w:noProof/>
                <w:lang w:val="en-AU" w:eastAsia="en-AU"/>
              </w:rPr>
              <mc:AlternateContent>
                <mc:Choice Requires="wps">
                  <w:drawing>
                    <wp:anchor distT="0" distB="0" distL="114300" distR="114300" simplePos="0" relativeHeight="251660288" behindDoc="0" locked="0" layoutInCell="1" allowOverlap="1" wp14:anchorId="7ED8158F" wp14:editId="7D868B46">
                      <wp:simplePos x="0" y="0"/>
                      <wp:positionH relativeFrom="column">
                        <wp:posOffset>2205354</wp:posOffset>
                      </wp:positionH>
                      <wp:positionV relativeFrom="paragraph">
                        <wp:posOffset>50166</wp:posOffset>
                      </wp:positionV>
                      <wp:extent cx="257175" cy="400050"/>
                      <wp:effectExtent l="0" t="0" r="28575"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4000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6E7E1F" id="AutoShape 6" o:spid="_x0000_s1026" type="#_x0000_t32" style="position:absolute;margin-left:173.65pt;margin-top:3.95pt;width:20.25pt;height:3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" strokeweight="1pt"/>
                  </w:pict>
                </mc:Fallback>
              </mc:AlternateContent>
            </w:r>
            <w:r w:rsidRPr="00382574">
              <w:rPr>
                <w:noProof/>
                <w:lang w:val="en-AU" w:eastAsia="en-AU"/>
              </w:rPr>
              <mc:AlternateContent>
                <mc:Choice Requires="wps">
                  <w:drawing>
                    <wp:anchor distT="0" distB="0" distL="114300" distR="114300" simplePos="0" relativeHeight="251661312" behindDoc="0" locked="0" layoutInCell="1" allowOverlap="1" wp14:anchorId="5D543A04" wp14:editId="4B37FDFA">
                      <wp:simplePos x="0" y="0"/>
                      <wp:positionH relativeFrom="column">
                        <wp:posOffset>2719705</wp:posOffset>
                      </wp:positionH>
                      <wp:positionV relativeFrom="paragraph">
                        <wp:posOffset>745489</wp:posOffset>
                      </wp:positionV>
                      <wp:extent cx="47625" cy="600075"/>
                      <wp:effectExtent l="0" t="0" r="28575" b="2857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6000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4FBDB6" id="AutoShape 7" o:spid="_x0000_s1026" type="#_x0000_t32" style="position:absolute;margin-left:214.15pt;margin-top:58.7pt;width:3.75pt;height:47.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" strokeweight="1pt"/>
                  </w:pict>
                </mc:Fallback>
              </mc:AlternateContent>
            </w:r>
            <w:r w:rsidRPr="00382574">
              <w:rPr>
                <w:noProof/>
                <w:lang w:val="en-AU" w:eastAsia="en-AU"/>
              </w:rPr>
              <mc:AlternateContent>
                <mc:Choice Requires="wps">
                  <w:drawing>
                    <wp:anchor distT="0" distB="0" distL="114300" distR="114300" simplePos="0" relativeHeight="251662336" behindDoc="0" locked="0" layoutInCell="1" allowOverlap="1" wp14:anchorId="5DE17AA7" wp14:editId="0F38DA59">
                      <wp:simplePos x="0" y="0"/>
                      <wp:positionH relativeFrom="column">
                        <wp:posOffset>1881505</wp:posOffset>
                      </wp:positionH>
                      <wp:positionV relativeFrom="paragraph">
                        <wp:posOffset>831215</wp:posOffset>
                      </wp:positionV>
                      <wp:extent cx="171450" cy="533400"/>
                      <wp:effectExtent l="0" t="0" r="19050" b="1905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5334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225309" id="AutoShape 8" o:spid="_x0000_s1026" type="#_x0000_t32" style="position:absolute;margin-left:148.15pt;margin-top:65.45pt;width:13.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" strokeweight="1pt"/>
                  </w:pict>
                </mc:Fallback>
              </mc:AlternateContent>
            </w:r>
            <w:r w:rsidRPr="00382574">
              <w:rPr>
                <w:noProof/>
                <w:lang w:val="en-AU" w:eastAsia="en-AU"/>
              </w:rPr>
              <mc:AlternateContent>
                <mc:Choice Requires="wps">
                  <w:drawing>
                    <wp:anchor distT="0" distB="0" distL="114300" distR="114300" simplePos="0" relativeHeight="251664384" behindDoc="0" locked="0" layoutInCell="1" allowOverlap="1" wp14:anchorId="295107CF" wp14:editId="0FF25A0B">
                      <wp:simplePos x="0" y="0"/>
                      <wp:positionH relativeFrom="column">
                        <wp:posOffset>364490</wp:posOffset>
                      </wp:positionH>
                      <wp:positionV relativeFrom="paragraph">
                        <wp:posOffset>783589</wp:posOffset>
                      </wp:positionV>
                      <wp:extent cx="183515" cy="561975"/>
                      <wp:effectExtent l="0" t="0" r="26035" b="28575"/>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5619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678DFD" id="AutoShape 10" o:spid="_x0000_s1026" type="#_x0000_t32" style="position:absolute;margin-left:28.7pt;margin-top:61.7pt;width:14.45pt;height:44.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" strokeweight="1pt"/>
                  </w:pict>
                </mc:Fallback>
              </mc:AlternateContent>
            </w:r>
            <w:r w:rsidRPr="00382574">
              <w:rPr>
                <w:noProof/>
                <w:lang w:val="en-AU" w:eastAsia="en-AU"/>
              </w:rPr>
              <mc:AlternateContent>
                <mc:Choice Requires="wps">
                  <w:drawing>
                    <wp:anchor distT="0" distB="0" distL="114300" distR="114300" simplePos="0" relativeHeight="251663360" behindDoc="0" locked="0" layoutInCell="1" allowOverlap="1" wp14:anchorId="763E68B2" wp14:editId="67B5E15A">
                      <wp:simplePos x="0" y="0"/>
                      <wp:positionH relativeFrom="column">
                        <wp:posOffset>1138555</wp:posOffset>
                      </wp:positionH>
                      <wp:positionV relativeFrom="paragraph">
                        <wp:posOffset>1059814</wp:posOffset>
                      </wp:positionV>
                      <wp:extent cx="104775" cy="314325"/>
                      <wp:effectExtent l="0" t="0" r="28575" b="28575"/>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3143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4936AD" id="AutoShape 9" o:spid="_x0000_s1026" type="#_x0000_t32" style="position:absolute;margin-left:89.65pt;margin-top:83.45pt;width:8.25pt;height:24.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" strokeweight="1pt"/>
                  </w:pict>
                </mc:Fallback>
              </mc:AlternateContent>
            </w:r>
            <w:r w:rsidRPr="00382574">
              <w:rPr>
                <w:noProof/>
                <w:lang w:val="en-AU" w:eastAsia="en-AU"/>
              </w:rPr>
              <mc:AlternateContent>
                <mc:Choice Requires="wps">
                  <w:drawing>
                    <wp:anchor distT="0" distB="0" distL="114300" distR="114300" simplePos="0" relativeHeight="251659264" behindDoc="0" locked="0" layoutInCell="1" allowOverlap="1" wp14:anchorId="4C73BD6C" wp14:editId="56DE0F62">
                      <wp:simplePos x="0" y="0"/>
                      <wp:positionH relativeFrom="column">
                        <wp:posOffset>671830</wp:posOffset>
                      </wp:positionH>
                      <wp:positionV relativeFrom="paragraph">
                        <wp:posOffset>12064</wp:posOffset>
                      </wp:positionV>
                      <wp:extent cx="247650" cy="371475"/>
                      <wp:effectExtent l="0" t="0" r="19050" b="2857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3714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4721BF" id="AutoShape 5" o:spid="_x0000_s1026" type="#_x0000_t32" style="position:absolute;margin-left:52.9pt;margin-top:.95pt;width:19.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7nIwIAAEA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" strokeweight="1pt"/>
                  </w:pict>
                </mc:Fallback>
              </mc:AlternateContent>
            </w:r>
            <w:r w:rsidRPr="00382574">
              <w:rPr>
                <w:b/>
                <w:lang w:eastAsia="en-US"/>
              </w:rPr>
              <w:object w:dxaOrig="6960" w:dyaOrig="3015" w14:anchorId="7B562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3pt;height:105.95pt" o:ole="">
                  <v:imagedata r:id="rId10" o:title=""/>
                </v:shape>
                <o:OLEObject Type="Embed" ProgID="Acrobat.Document.DC" ShapeID="_x0000_i1025" DrawAspect="Content" ObjectID="_1619876132" r:id="rId11"/>
              </w:object>
            </w:r>
          </w:p>
        </w:tc>
        <w:tc>
          <w:tcPr>
            <w:tcW w:w="236" w:type="dxa"/>
          </w:tcPr>
          <w:p w14:paraId="5E3F9AFF" w14:textId="77777777" w:rsidR="00F84110" w:rsidRPr="00382574" w:rsidRDefault="00F84110" w:rsidP="00A52422">
            <w:pPr>
              <w:pStyle w:val="TableLeft"/>
              <w:rPr>
                <w:lang w:val="en-US"/>
              </w:rPr>
            </w:pPr>
          </w:p>
        </w:tc>
      </w:tr>
      <w:tr w:rsidR="00F84110" w:rsidRPr="00F84110" w14:paraId="3A796121" w14:textId="77777777" w:rsidTr="009C4EEF">
        <w:tc>
          <w:tcPr>
            <w:tcW w:w="1435" w:type="dxa"/>
          </w:tcPr>
          <w:p w14:paraId="70008233" w14:textId="77777777" w:rsidR="00F84110" w:rsidRPr="00382574" w:rsidRDefault="00F84110" w:rsidP="00A52422">
            <w:pPr>
              <w:pStyle w:val="TableLeft"/>
              <w:rPr>
                <w:lang w:val="en-AU"/>
              </w:rPr>
            </w:pPr>
          </w:p>
        </w:tc>
        <w:tc>
          <w:tcPr>
            <w:tcW w:w="1259" w:type="dxa"/>
          </w:tcPr>
          <w:p w14:paraId="5E8FD091" w14:textId="77777777" w:rsidR="00F84110" w:rsidRPr="00382574" w:rsidRDefault="00F84110" w:rsidP="009C4EEF">
            <w:pPr>
              <w:pStyle w:val="TableLeft"/>
              <w:jc w:val="center"/>
              <w:rPr>
                <w:lang w:val="en-AU"/>
              </w:rPr>
            </w:pPr>
            <w:r w:rsidRPr="00382574">
              <w:rPr>
                <w:lang w:val="en-AU"/>
              </w:rPr>
              <w:t>Plunger</w:t>
            </w:r>
          </w:p>
        </w:tc>
        <w:tc>
          <w:tcPr>
            <w:tcW w:w="1417" w:type="dxa"/>
            <w:gridSpan w:val="2"/>
          </w:tcPr>
          <w:p w14:paraId="4E413633" w14:textId="77777777" w:rsidR="00F84110" w:rsidRPr="00382574" w:rsidRDefault="00F84110" w:rsidP="009C4EEF">
            <w:pPr>
              <w:pStyle w:val="TableLeft"/>
              <w:jc w:val="center"/>
              <w:rPr>
                <w:lang w:val="en-AU"/>
              </w:rPr>
            </w:pPr>
            <w:r w:rsidRPr="00382574">
              <w:rPr>
                <w:lang w:val="en-AU"/>
              </w:rPr>
              <w:t>Finger flange</w:t>
            </w:r>
          </w:p>
        </w:tc>
        <w:tc>
          <w:tcPr>
            <w:tcW w:w="1276" w:type="dxa"/>
            <w:gridSpan w:val="2"/>
          </w:tcPr>
          <w:p w14:paraId="36C90F1B" w14:textId="77777777" w:rsidR="00F84110" w:rsidRPr="00382574" w:rsidRDefault="00F84110" w:rsidP="009C4EEF">
            <w:pPr>
              <w:pStyle w:val="TableLeft"/>
              <w:jc w:val="center"/>
              <w:rPr>
                <w:lang w:val="en-AU"/>
              </w:rPr>
            </w:pPr>
            <w:r w:rsidRPr="00382574">
              <w:rPr>
                <w:lang w:val="en-AU"/>
              </w:rPr>
              <w:t>Viewing window</w:t>
            </w:r>
          </w:p>
        </w:tc>
        <w:tc>
          <w:tcPr>
            <w:tcW w:w="992" w:type="dxa"/>
          </w:tcPr>
          <w:p w14:paraId="5A554AB6" w14:textId="77777777" w:rsidR="00F84110" w:rsidRPr="00F84110" w:rsidRDefault="00F84110" w:rsidP="009C4EEF">
            <w:pPr>
              <w:pStyle w:val="TableLeft"/>
              <w:jc w:val="center"/>
              <w:rPr>
                <w:lang w:val="en-AU"/>
              </w:rPr>
            </w:pPr>
            <w:r w:rsidRPr="00382574">
              <w:rPr>
                <w:lang w:val="en-AU"/>
              </w:rPr>
              <w:t>Needle</w:t>
            </w:r>
          </w:p>
        </w:tc>
        <w:tc>
          <w:tcPr>
            <w:tcW w:w="1985" w:type="dxa"/>
          </w:tcPr>
          <w:p w14:paraId="15200209" w14:textId="77777777" w:rsidR="00F84110" w:rsidRPr="00F84110" w:rsidRDefault="00F84110" w:rsidP="00A52422">
            <w:pPr>
              <w:pStyle w:val="TableLeft"/>
              <w:rPr>
                <w:lang w:val="en-AU"/>
              </w:rPr>
            </w:pPr>
          </w:p>
        </w:tc>
        <w:tc>
          <w:tcPr>
            <w:tcW w:w="236" w:type="dxa"/>
          </w:tcPr>
          <w:p w14:paraId="07FAC58D" w14:textId="77777777" w:rsidR="00F84110" w:rsidRPr="00F84110" w:rsidRDefault="00F84110" w:rsidP="00A52422">
            <w:pPr>
              <w:pStyle w:val="TableLeft"/>
              <w:rPr>
                <w:lang w:val="en-AU"/>
              </w:rPr>
            </w:pPr>
          </w:p>
        </w:tc>
      </w:tr>
    </w:tbl>
    <w:p w14:paraId="5D8FFD96" w14:textId="77777777" w:rsidR="00F84110" w:rsidRPr="00F84110" w:rsidRDefault="00F84110" w:rsidP="00F84110">
      <w:pPr>
        <w:pStyle w:val="Paragraph"/>
      </w:pPr>
    </w:p>
    <w:p w14:paraId="78005215" w14:textId="77777777" w:rsidR="00F84110" w:rsidRPr="00087272" w:rsidRDefault="00F84110" w:rsidP="00087272">
      <w:pPr>
        <w:pStyle w:val="Paragraph"/>
      </w:pPr>
      <w:r w:rsidRPr="00087272">
        <w:rPr>
          <w:b/>
        </w:rPr>
        <w:t>Do not touch the needle guard activation clips</w:t>
      </w:r>
      <w:r w:rsidRPr="00087272">
        <w:t xml:space="preserve"> to prevent premature activation of the needle safety guard.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286"/>
      </w:tblGrid>
      <w:tr w:rsidR="00F84110" w:rsidRPr="001931ED" w14:paraId="78E80966" w14:textId="77777777" w:rsidTr="009C4EEF">
        <w:tc>
          <w:tcPr>
            <w:tcW w:w="8790" w:type="dxa"/>
            <w:gridSpan w:val="2"/>
            <w:shd w:val="clear" w:color="auto" w:fill="auto"/>
          </w:tcPr>
          <w:p w14:paraId="3F59F3BA" w14:textId="77777777" w:rsidR="00F84110" w:rsidRPr="00AC2AD9" w:rsidRDefault="00F84110" w:rsidP="007C4C01">
            <w:pPr>
              <w:pStyle w:val="TableLeft"/>
              <w:numPr>
                <w:ilvl w:val="0"/>
                <w:numId w:val="39"/>
              </w:numPr>
              <w:rPr>
                <w:szCs w:val="20"/>
              </w:rPr>
            </w:pPr>
            <w:r w:rsidRPr="00AC2AD9">
              <w:rPr>
                <w:b/>
                <w:szCs w:val="20"/>
                <w:lang w:val="en-AU"/>
              </w:rPr>
              <w:t>Grasp the syringe body</w:t>
            </w:r>
            <w:r w:rsidRPr="00AC2AD9">
              <w:rPr>
                <w:szCs w:val="20"/>
                <w:lang w:val="en-AU"/>
              </w:rPr>
              <w:t xml:space="preserve">, not the plunger, to remove prefilled syringe from the tray. Check the expiry date on the syringe. </w:t>
            </w:r>
            <w:r w:rsidRPr="00AC2AD9">
              <w:rPr>
                <w:szCs w:val="20"/>
                <w:lang w:val="en-AU"/>
              </w:rPr>
              <w:br/>
            </w:r>
            <w:r w:rsidRPr="00AC2AD9">
              <w:rPr>
                <w:szCs w:val="20"/>
                <w:lang w:val="en-AU"/>
              </w:rPr>
              <w:br/>
              <w:t>Visually inspect Fasenra for particulate matter and discoloration prior to administration. Fasenra is clear, colourless to slightly yellow and may contain translucent or white to off-white particles. Do not use Fasenra if liquid is cloudy, discoloured or if it contains large particles or foreign particulate matter.</w:t>
            </w:r>
            <w:r w:rsidRPr="00AC2AD9">
              <w:rPr>
                <w:szCs w:val="20"/>
                <w:lang w:val="en-AU"/>
              </w:rPr>
              <w:br/>
            </w:r>
            <w:r w:rsidRPr="00AC2AD9">
              <w:rPr>
                <w:szCs w:val="20"/>
                <w:lang w:val="en-AU"/>
              </w:rPr>
              <w:br/>
              <w:t xml:space="preserve">The syringe may contain a small air bubble; this is normal. </w:t>
            </w:r>
            <w:r w:rsidRPr="00AC2AD9">
              <w:rPr>
                <w:b/>
                <w:szCs w:val="20"/>
                <w:lang w:val="en-AU"/>
              </w:rPr>
              <w:t>Do not</w:t>
            </w:r>
            <w:r w:rsidRPr="00AC2AD9">
              <w:rPr>
                <w:szCs w:val="20"/>
                <w:lang w:val="en-AU"/>
              </w:rPr>
              <w:t xml:space="preserve"> expel the air bubble prior to administration.</w:t>
            </w:r>
          </w:p>
        </w:tc>
      </w:tr>
      <w:tr w:rsidR="00F84110" w:rsidRPr="00F84110" w14:paraId="415D9DCD" w14:textId="77777777" w:rsidTr="00AC2AD9">
        <w:tc>
          <w:tcPr>
            <w:tcW w:w="5504" w:type="dxa"/>
            <w:shd w:val="clear" w:color="auto" w:fill="auto"/>
          </w:tcPr>
          <w:p w14:paraId="78BD7E4B" w14:textId="77777777" w:rsidR="00F84110" w:rsidRPr="00AC2AD9" w:rsidRDefault="00F84110" w:rsidP="007C4C01">
            <w:pPr>
              <w:pStyle w:val="TableLeft"/>
              <w:numPr>
                <w:ilvl w:val="0"/>
                <w:numId w:val="39"/>
              </w:numPr>
              <w:rPr>
                <w:szCs w:val="20"/>
              </w:rPr>
            </w:pPr>
            <w:r w:rsidRPr="00AC2AD9">
              <w:rPr>
                <w:szCs w:val="20"/>
                <w:lang w:val="en"/>
              </w:rPr>
              <w:lastRenderedPageBreak/>
              <w:t>Do not remove needle cover until ready to inject.</w:t>
            </w:r>
            <w:r w:rsidRPr="00AC2AD9">
              <w:rPr>
                <w:b/>
                <w:szCs w:val="20"/>
                <w:lang w:val="en-US"/>
              </w:rPr>
              <w:t xml:space="preserve"> </w:t>
            </w:r>
            <w:r w:rsidRPr="00AC2AD9">
              <w:rPr>
                <w:szCs w:val="20"/>
                <w:lang w:val="en"/>
              </w:rPr>
              <w:t>Hold the syringe body and remove the needle cover by pulling straight off. Do not hold the plunger or plunger head while removing the needle cover or the plunger may move. If the prefilled syringe is damaged or contaminated (</w:t>
            </w:r>
            <w:proofErr w:type="spellStart"/>
            <w:r w:rsidRPr="00AC2AD9">
              <w:rPr>
                <w:szCs w:val="20"/>
                <w:lang w:val="en"/>
              </w:rPr>
              <w:t>eg</w:t>
            </w:r>
            <w:proofErr w:type="spellEnd"/>
            <w:r w:rsidRPr="00AC2AD9">
              <w:rPr>
                <w:szCs w:val="20"/>
                <w:lang w:val="en"/>
              </w:rPr>
              <w:t xml:space="preserve"> dropped without needle cover in place), discard and use a new prefilled syringe. </w:t>
            </w:r>
          </w:p>
        </w:tc>
        <w:tc>
          <w:tcPr>
            <w:tcW w:w="3286" w:type="dxa"/>
            <w:shd w:val="clear" w:color="auto" w:fill="auto"/>
          </w:tcPr>
          <w:p w14:paraId="18A30759" w14:textId="77777777" w:rsidR="00F84110" w:rsidRPr="00AC2AD9" w:rsidRDefault="00F84110" w:rsidP="009C4EEF">
            <w:pPr>
              <w:pStyle w:val="TableLeft"/>
              <w:rPr>
                <w:szCs w:val="20"/>
              </w:rPr>
            </w:pPr>
            <w:r w:rsidRPr="00AC2AD9">
              <w:rPr>
                <w:szCs w:val="20"/>
                <w:lang w:eastAsia="en-US"/>
              </w:rPr>
              <w:object w:dxaOrig="12630" w:dyaOrig="8925" w14:anchorId="5D51857A">
                <v:shape id="_x0000_i1026" type="#_x0000_t75" style="width:153.5pt;height:107.3pt" o:ole="">
                  <v:imagedata r:id="rId12" o:title=""/>
                </v:shape>
                <o:OLEObject Type="Embed" ProgID="Acrobat.Document.DC" ShapeID="_x0000_i1026" DrawAspect="Content" ObjectID="_1619876133" r:id="rId13"/>
              </w:object>
            </w:r>
          </w:p>
        </w:tc>
      </w:tr>
      <w:tr w:rsidR="00F84110" w:rsidRPr="00F84110" w14:paraId="1FA573FA" w14:textId="77777777" w:rsidTr="00AC2AD9">
        <w:tc>
          <w:tcPr>
            <w:tcW w:w="5504" w:type="dxa"/>
            <w:shd w:val="clear" w:color="auto" w:fill="auto"/>
          </w:tcPr>
          <w:p w14:paraId="3F7B8B5A" w14:textId="77777777" w:rsidR="00F84110" w:rsidRPr="00AC2AD9" w:rsidRDefault="00F84110" w:rsidP="007C4C01">
            <w:pPr>
              <w:pStyle w:val="TableLeft"/>
              <w:numPr>
                <w:ilvl w:val="0"/>
                <w:numId w:val="39"/>
              </w:numPr>
              <w:rPr>
                <w:szCs w:val="20"/>
              </w:rPr>
            </w:pPr>
            <w:r w:rsidRPr="00AC2AD9">
              <w:rPr>
                <w:szCs w:val="20"/>
                <w:lang w:val="en"/>
              </w:rPr>
              <w:t>Gently pinch the skin and insert the needle at the recommended injection site (</w:t>
            </w:r>
            <w:proofErr w:type="spellStart"/>
            <w:r w:rsidRPr="00AC2AD9">
              <w:rPr>
                <w:szCs w:val="20"/>
                <w:lang w:val="en"/>
              </w:rPr>
              <w:t>ie</w:t>
            </w:r>
            <w:proofErr w:type="spellEnd"/>
            <w:r w:rsidRPr="00AC2AD9">
              <w:rPr>
                <w:szCs w:val="20"/>
                <w:lang w:val="en"/>
              </w:rPr>
              <w:t xml:space="preserve"> upper arm, thighs or abdomen).</w:t>
            </w:r>
          </w:p>
        </w:tc>
        <w:tc>
          <w:tcPr>
            <w:tcW w:w="3286" w:type="dxa"/>
            <w:shd w:val="clear" w:color="auto" w:fill="auto"/>
          </w:tcPr>
          <w:p w14:paraId="019DD949" w14:textId="7F54EB69" w:rsidR="00F84110" w:rsidRPr="00AC2AD9" w:rsidRDefault="00AC2AD9" w:rsidP="009C4EEF">
            <w:pPr>
              <w:pStyle w:val="TableLeft"/>
              <w:rPr>
                <w:szCs w:val="20"/>
              </w:rPr>
            </w:pPr>
            <w:r w:rsidRPr="00AC2AD9">
              <w:rPr>
                <w:szCs w:val="20"/>
                <w:lang w:eastAsia="en-US"/>
              </w:rPr>
              <w:object w:dxaOrig="12630" w:dyaOrig="8925" w14:anchorId="1B7A7B7B">
                <v:shape id="_x0000_i1027" type="#_x0000_t75" style="width:152.15pt;height:114.1pt" o:ole="">
                  <v:imagedata r:id="rId14" o:title=""/>
                </v:shape>
                <o:OLEObject Type="Embed" ProgID="Acrobat.Document.DC" ShapeID="_x0000_i1027" DrawAspect="Content" ObjectID="_1619876134" r:id="rId15"/>
              </w:object>
            </w:r>
          </w:p>
        </w:tc>
      </w:tr>
      <w:tr w:rsidR="00F84110" w:rsidRPr="00F84110" w14:paraId="0DDD0F26" w14:textId="77777777" w:rsidTr="00AC2AD9">
        <w:tc>
          <w:tcPr>
            <w:tcW w:w="5504" w:type="dxa"/>
            <w:shd w:val="clear" w:color="auto" w:fill="auto"/>
          </w:tcPr>
          <w:p w14:paraId="295F08FA" w14:textId="77777777" w:rsidR="00F84110" w:rsidRPr="00AC2AD9" w:rsidRDefault="00F84110" w:rsidP="007C4C01">
            <w:pPr>
              <w:pStyle w:val="TableLeft"/>
              <w:numPr>
                <w:ilvl w:val="0"/>
                <w:numId w:val="39"/>
              </w:numPr>
              <w:rPr>
                <w:szCs w:val="20"/>
                <w:lang w:val="en-US"/>
              </w:rPr>
            </w:pPr>
            <w:r w:rsidRPr="00AC2AD9">
              <w:rPr>
                <w:szCs w:val="20"/>
              </w:rPr>
              <w:t xml:space="preserve">Inject all of the medication by pushing in the plunger all the way until the plunger head is </w:t>
            </w:r>
            <w:r w:rsidRPr="00AC2AD9">
              <w:rPr>
                <w:b/>
                <w:szCs w:val="20"/>
              </w:rPr>
              <w:t>completely between</w:t>
            </w:r>
            <w:r w:rsidRPr="00AC2AD9">
              <w:rPr>
                <w:szCs w:val="20"/>
              </w:rPr>
              <w:t xml:space="preserve"> the needle guard activation clips. </w:t>
            </w:r>
            <w:r w:rsidRPr="00AC2AD9">
              <w:rPr>
                <w:b/>
                <w:szCs w:val="20"/>
              </w:rPr>
              <w:t>This is necessary to activate the needle guard</w:t>
            </w:r>
            <w:r w:rsidRPr="00AC2AD9">
              <w:rPr>
                <w:szCs w:val="20"/>
              </w:rPr>
              <w:t>.</w:t>
            </w:r>
            <w:r w:rsidRPr="00AC2AD9">
              <w:rPr>
                <w:szCs w:val="20"/>
                <w:vertAlign w:val="superscript"/>
              </w:rPr>
              <w:t xml:space="preserve"> </w:t>
            </w:r>
          </w:p>
        </w:tc>
        <w:tc>
          <w:tcPr>
            <w:tcW w:w="3286" w:type="dxa"/>
            <w:shd w:val="clear" w:color="auto" w:fill="auto"/>
          </w:tcPr>
          <w:p w14:paraId="3DE824EB" w14:textId="77777777" w:rsidR="00F84110" w:rsidRPr="00AC2AD9" w:rsidRDefault="00F84110" w:rsidP="009C4EEF">
            <w:pPr>
              <w:pStyle w:val="TableLeft"/>
              <w:rPr>
                <w:szCs w:val="20"/>
              </w:rPr>
            </w:pPr>
            <w:r w:rsidRPr="00AC2AD9">
              <w:rPr>
                <w:szCs w:val="20"/>
                <w:lang w:eastAsia="en-US"/>
              </w:rPr>
              <w:object w:dxaOrig="12630" w:dyaOrig="8925" w14:anchorId="44DFCF36">
                <v:shape id="_x0000_i1028" type="#_x0000_t75" style="width:152.15pt;height:107.3pt" o:ole="">
                  <v:imagedata r:id="rId16" o:title=""/>
                </v:shape>
                <o:OLEObject Type="Embed" ProgID="Acrobat.Document.DC" ShapeID="_x0000_i1028" DrawAspect="Content" ObjectID="_1619876135" r:id="rId17"/>
              </w:object>
            </w:r>
          </w:p>
        </w:tc>
      </w:tr>
      <w:tr w:rsidR="00F84110" w:rsidRPr="00F84110" w14:paraId="3FEC16F6" w14:textId="77777777" w:rsidTr="00AC2AD9">
        <w:tc>
          <w:tcPr>
            <w:tcW w:w="5504" w:type="dxa"/>
            <w:shd w:val="clear" w:color="auto" w:fill="auto"/>
          </w:tcPr>
          <w:p w14:paraId="749AD069" w14:textId="77777777" w:rsidR="00F84110" w:rsidRPr="00AC2AD9" w:rsidRDefault="00F84110" w:rsidP="007C4C01">
            <w:pPr>
              <w:pStyle w:val="TableLeft"/>
              <w:numPr>
                <w:ilvl w:val="0"/>
                <w:numId w:val="39"/>
              </w:numPr>
              <w:rPr>
                <w:szCs w:val="20"/>
                <w:lang w:val="en"/>
              </w:rPr>
            </w:pPr>
            <w:r w:rsidRPr="00AC2AD9">
              <w:rPr>
                <w:szCs w:val="20"/>
              </w:rPr>
              <w:t xml:space="preserve">After injection, maintain pressure on the plunger head and remove the needle from the skin. Release pressure on the plunger head to allow the needle guard to cover the needle. </w:t>
            </w:r>
            <w:r w:rsidRPr="00AC2AD9">
              <w:rPr>
                <w:b/>
                <w:szCs w:val="20"/>
              </w:rPr>
              <w:t>Do not re-cap the prefilled syringe.</w:t>
            </w:r>
          </w:p>
        </w:tc>
        <w:tc>
          <w:tcPr>
            <w:tcW w:w="3286" w:type="dxa"/>
            <w:shd w:val="clear" w:color="auto" w:fill="auto"/>
          </w:tcPr>
          <w:p w14:paraId="723A4168" w14:textId="77777777" w:rsidR="00F84110" w:rsidRPr="00AC2AD9" w:rsidRDefault="00F84110" w:rsidP="009C4EEF">
            <w:pPr>
              <w:pStyle w:val="TableLeft"/>
              <w:rPr>
                <w:szCs w:val="20"/>
              </w:rPr>
            </w:pPr>
            <w:r w:rsidRPr="00AC2AD9">
              <w:rPr>
                <w:szCs w:val="20"/>
                <w:lang w:eastAsia="en-US"/>
              </w:rPr>
              <w:object w:dxaOrig="12630" w:dyaOrig="8925" w14:anchorId="591D26ED">
                <v:shape id="_x0000_i1029" type="#_x0000_t75" style="width:153.5pt;height:110.05pt" o:ole="">
                  <v:imagedata r:id="rId18" o:title=""/>
                </v:shape>
                <o:OLEObject Type="Embed" ProgID="Acrobat.Document.DC" ShapeID="_x0000_i1029" DrawAspect="Content" ObjectID="_1619876136" r:id="rId19"/>
              </w:object>
            </w:r>
          </w:p>
        </w:tc>
      </w:tr>
      <w:tr w:rsidR="00F84110" w:rsidRPr="00F84110" w14:paraId="4314CD7F" w14:textId="77777777" w:rsidTr="00AC2AD9">
        <w:tc>
          <w:tcPr>
            <w:tcW w:w="8790" w:type="dxa"/>
            <w:gridSpan w:val="2"/>
            <w:shd w:val="clear" w:color="auto" w:fill="auto"/>
          </w:tcPr>
          <w:p w14:paraId="5F39AFA9" w14:textId="77777777" w:rsidR="00F84110" w:rsidRPr="00AC2AD9" w:rsidRDefault="00F84110" w:rsidP="007C4C01">
            <w:pPr>
              <w:pStyle w:val="TableLeft"/>
              <w:numPr>
                <w:ilvl w:val="0"/>
                <w:numId w:val="39"/>
              </w:numPr>
              <w:rPr>
                <w:szCs w:val="20"/>
              </w:rPr>
            </w:pPr>
            <w:r w:rsidRPr="00AC2AD9">
              <w:rPr>
                <w:szCs w:val="20"/>
                <w:lang w:val="en"/>
              </w:rPr>
              <w:t>Discard the used syringe into a sharps container.</w:t>
            </w:r>
          </w:p>
        </w:tc>
      </w:tr>
    </w:tbl>
    <w:p w14:paraId="101C5895" w14:textId="77777777" w:rsidR="00F84110" w:rsidRPr="007C4C01" w:rsidRDefault="00F84110" w:rsidP="00C85696">
      <w:pPr>
        <w:pStyle w:val="Paragraph"/>
        <w:rPr>
          <w:lang w:val="en-AU"/>
        </w:rPr>
      </w:pPr>
    </w:p>
    <w:p w14:paraId="2A7EFEA2" w14:textId="77777777" w:rsidR="001A3992" w:rsidRPr="007C4C01" w:rsidRDefault="001A3992" w:rsidP="00EE3AC8">
      <w:pPr>
        <w:pStyle w:val="Heading2"/>
        <w:rPr>
          <w:lang w:val="en-AU"/>
        </w:rPr>
      </w:pPr>
      <w:r w:rsidRPr="007C4C01">
        <w:rPr>
          <w:lang w:val="en-AU"/>
        </w:rPr>
        <w:t>Contraindications</w:t>
      </w:r>
    </w:p>
    <w:p w14:paraId="61CD05B7" w14:textId="1A05C209" w:rsidR="00C85696" w:rsidRPr="007C4C01" w:rsidRDefault="00875939" w:rsidP="00C85696">
      <w:pPr>
        <w:pStyle w:val="Paragraph"/>
        <w:rPr>
          <w:lang w:val="en-AU"/>
        </w:rPr>
      </w:pPr>
      <w:r w:rsidRPr="00875939">
        <w:rPr>
          <w:lang w:val="en-AU"/>
        </w:rPr>
        <w:t>Fasenra is contraindicated in patients who have known hypersensitivity to benralizumab or any of its excipients (see</w:t>
      </w:r>
      <w:r w:rsidR="007C0A49">
        <w:rPr>
          <w:lang w:val="en-AU"/>
        </w:rPr>
        <w:t xml:space="preserve"> Section</w:t>
      </w:r>
      <w:r w:rsidR="001931ED">
        <w:rPr>
          <w:lang w:val="en-AU"/>
        </w:rPr>
        <w:t xml:space="preserve"> </w:t>
      </w:r>
      <w:r w:rsidR="001931ED">
        <w:rPr>
          <w:lang w:val="en-AU"/>
        </w:rPr>
        <w:fldChar w:fldCharType="begin"/>
      </w:r>
      <w:r w:rsidR="001931ED">
        <w:rPr>
          <w:lang w:val="en-AU"/>
        </w:rPr>
        <w:instrText xml:space="preserve"> REF _Ref505358232 \r \h </w:instrText>
      </w:r>
      <w:r w:rsidR="001931ED">
        <w:rPr>
          <w:lang w:val="en-AU"/>
        </w:rPr>
      </w:r>
      <w:r w:rsidR="001931ED">
        <w:rPr>
          <w:lang w:val="en-AU"/>
        </w:rPr>
        <w:fldChar w:fldCharType="separate"/>
      </w:r>
      <w:r w:rsidR="00997102">
        <w:rPr>
          <w:lang w:val="en-AU"/>
        </w:rPr>
        <w:t>4.4</w:t>
      </w:r>
      <w:r w:rsidR="001931ED">
        <w:rPr>
          <w:lang w:val="en-AU"/>
        </w:rPr>
        <w:fldChar w:fldCharType="end"/>
      </w:r>
      <w:r w:rsidR="001931ED">
        <w:rPr>
          <w:lang w:val="en-AU"/>
        </w:rPr>
        <w:t xml:space="preserve"> [</w:t>
      </w:r>
      <w:r w:rsidR="001931ED" w:rsidRPr="001931ED">
        <w:rPr>
          <w:i/>
          <w:lang w:val="en-AU"/>
        </w:rPr>
        <w:t>Hypersensitivity reactions</w:t>
      </w:r>
      <w:r w:rsidR="001931ED">
        <w:rPr>
          <w:lang w:val="en-AU"/>
        </w:rPr>
        <w:t>])</w:t>
      </w:r>
      <w:r w:rsidRPr="00875939">
        <w:rPr>
          <w:lang w:val="en-AU"/>
        </w:rPr>
        <w:t>.</w:t>
      </w:r>
    </w:p>
    <w:p w14:paraId="11612C61" w14:textId="436B846B" w:rsidR="001A3992" w:rsidRDefault="00E74A56" w:rsidP="003B7CFF">
      <w:pPr>
        <w:pStyle w:val="Heading2"/>
        <w:rPr>
          <w:lang w:val="en-AU"/>
        </w:rPr>
      </w:pPr>
      <w:bookmarkStart w:id="8" w:name="_Ref505358232"/>
      <w:r w:rsidRPr="001931ED">
        <w:rPr>
          <w:lang w:val="en-AU"/>
        </w:rPr>
        <w:t>Special warnings and p</w:t>
      </w:r>
      <w:r w:rsidR="001A3992" w:rsidRPr="001931ED">
        <w:rPr>
          <w:lang w:val="en-AU"/>
        </w:rPr>
        <w:t xml:space="preserve">recautions </w:t>
      </w:r>
      <w:r w:rsidRPr="001931ED">
        <w:rPr>
          <w:lang w:val="en-AU"/>
        </w:rPr>
        <w:t>for use</w:t>
      </w:r>
      <w:bookmarkEnd w:id="8"/>
    </w:p>
    <w:p w14:paraId="537CE4B1" w14:textId="49A75DAE" w:rsidR="00BD569F" w:rsidRPr="00BD569F" w:rsidRDefault="00BD569F" w:rsidP="00BD569F">
      <w:pPr>
        <w:pStyle w:val="Paragraph"/>
      </w:pPr>
      <w:r w:rsidRPr="00BD569F">
        <w:t>Fasenra should not be used to treat acute asthma exacerbations.</w:t>
      </w:r>
    </w:p>
    <w:p w14:paraId="795E4FA3" w14:textId="77777777" w:rsidR="00BD569F" w:rsidRPr="00BD569F" w:rsidRDefault="00BD569F" w:rsidP="00BD569F">
      <w:pPr>
        <w:pStyle w:val="Paragraph"/>
      </w:pPr>
      <w:r w:rsidRPr="00BD569F">
        <w:t>Patients should be instructed to seek medical advice if their asthma remains uncontrolled or worsens after initiation of treatment.</w:t>
      </w:r>
    </w:p>
    <w:p w14:paraId="0EC3C34F" w14:textId="6161A03B" w:rsidR="00BD569F" w:rsidRPr="00BD569F" w:rsidRDefault="00BD569F" w:rsidP="00BD569F">
      <w:pPr>
        <w:pStyle w:val="Paragraph"/>
      </w:pPr>
      <w:r w:rsidRPr="00BD569F">
        <w:t xml:space="preserve">Reduction in </w:t>
      </w:r>
      <w:r>
        <w:t>OCS</w:t>
      </w:r>
      <w:r w:rsidRPr="00BD569F">
        <w:t xml:space="preserve"> dose, if appropriate, should be gradual and performed under the supervision of a physician. Abrupt discontinuation of </w:t>
      </w:r>
      <w:r>
        <w:t>OCS</w:t>
      </w:r>
      <w:r w:rsidRPr="00BD569F">
        <w:t xml:space="preserve"> after initiation of </w:t>
      </w:r>
      <w:r>
        <w:t>F</w:t>
      </w:r>
      <w:r w:rsidRPr="00BD569F">
        <w:t>asenra therapy is not recommended.</w:t>
      </w:r>
    </w:p>
    <w:p w14:paraId="6C511465" w14:textId="77777777" w:rsidR="00875939" w:rsidRPr="00875939" w:rsidRDefault="00875939" w:rsidP="001931ED">
      <w:pPr>
        <w:pStyle w:val="Heading3Unnumbered"/>
      </w:pPr>
      <w:r w:rsidRPr="00875939">
        <w:lastRenderedPageBreak/>
        <w:t>Hypersensitivity reactions</w:t>
      </w:r>
    </w:p>
    <w:p w14:paraId="7D884612" w14:textId="77777777" w:rsidR="00875939" w:rsidRPr="00875939" w:rsidRDefault="00875939" w:rsidP="00875939">
      <w:pPr>
        <w:pStyle w:val="Paragraph"/>
        <w:rPr>
          <w:lang w:val="en-AU"/>
        </w:rPr>
      </w:pPr>
      <w:r w:rsidRPr="00875939">
        <w:rPr>
          <w:lang w:val="en-AU"/>
        </w:rPr>
        <w:t>Hypersensitivity reactions (</w:t>
      </w:r>
      <w:proofErr w:type="spellStart"/>
      <w:r w:rsidRPr="00875939">
        <w:rPr>
          <w:lang w:val="en-AU"/>
        </w:rPr>
        <w:t>eg</w:t>
      </w:r>
      <w:proofErr w:type="spellEnd"/>
      <w:r w:rsidRPr="00875939">
        <w:rPr>
          <w:lang w:val="en-AU"/>
        </w:rPr>
        <w:t xml:space="preserve"> </w:t>
      </w:r>
      <w:proofErr w:type="spellStart"/>
      <w:r w:rsidRPr="00875939">
        <w:rPr>
          <w:lang w:val="en-AU"/>
        </w:rPr>
        <w:t>urticaria</w:t>
      </w:r>
      <w:proofErr w:type="spellEnd"/>
      <w:r w:rsidRPr="00875939">
        <w:rPr>
          <w:lang w:val="en-AU"/>
        </w:rPr>
        <w:t xml:space="preserve">, </w:t>
      </w:r>
      <w:proofErr w:type="spellStart"/>
      <w:r w:rsidRPr="00875939">
        <w:rPr>
          <w:lang w:val="en-AU"/>
        </w:rPr>
        <w:t>urticaria</w:t>
      </w:r>
      <w:proofErr w:type="spellEnd"/>
      <w:r w:rsidRPr="00875939">
        <w:rPr>
          <w:lang w:val="en-AU"/>
        </w:rPr>
        <w:t xml:space="preserve"> </w:t>
      </w:r>
      <w:proofErr w:type="spellStart"/>
      <w:r w:rsidRPr="00875939">
        <w:rPr>
          <w:lang w:val="en-AU"/>
        </w:rPr>
        <w:t>papular</w:t>
      </w:r>
      <w:proofErr w:type="spellEnd"/>
      <w:r w:rsidRPr="00875939">
        <w:rPr>
          <w:lang w:val="en-AU"/>
        </w:rPr>
        <w:t>, rash) have occurred following administration of Fasenra. These reactions generally occur within hours of administration, but in some instances have a delayed onset (</w:t>
      </w:r>
      <w:proofErr w:type="spellStart"/>
      <w:r w:rsidRPr="00875939">
        <w:rPr>
          <w:lang w:val="en-AU"/>
        </w:rPr>
        <w:t>ie</w:t>
      </w:r>
      <w:proofErr w:type="spellEnd"/>
      <w:r w:rsidRPr="00875939">
        <w:rPr>
          <w:lang w:val="en-AU"/>
        </w:rPr>
        <w:t xml:space="preserve"> days).</w:t>
      </w:r>
    </w:p>
    <w:p w14:paraId="6FF52995" w14:textId="77777777" w:rsidR="00875939" w:rsidRPr="00875939" w:rsidRDefault="00875939" w:rsidP="00875939">
      <w:pPr>
        <w:pStyle w:val="Paragraph"/>
        <w:rPr>
          <w:lang w:val="en-AU"/>
        </w:rPr>
      </w:pPr>
      <w:r w:rsidRPr="00875939">
        <w:rPr>
          <w:lang w:val="en-AU"/>
        </w:rPr>
        <w:t>In the event of a hypersensitivity reaction, Fasenra should be discontinued.</w:t>
      </w:r>
    </w:p>
    <w:p w14:paraId="2B491B83" w14:textId="77777777" w:rsidR="00875939" w:rsidRPr="00875939" w:rsidRDefault="00875939" w:rsidP="001931ED">
      <w:pPr>
        <w:pStyle w:val="Heading3Unnumbered"/>
      </w:pPr>
      <w:r w:rsidRPr="00875939">
        <w:t>Parasitic (helminth) infection</w:t>
      </w:r>
    </w:p>
    <w:p w14:paraId="2EB13719" w14:textId="77777777" w:rsidR="00875939" w:rsidRPr="00875939" w:rsidRDefault="00875939" w:rsidP="00875939">
      <w:pPr>
        <w:pStyle w:val="Paragraph"/>
        <w:rPr>
          <w:lang w:val="en-AU"/>
        </w:rPr>
      </w:pPr>
      <w:r w:rsidRPr="00875939">
        <w:rPr>
          <w:lang w:val="en-AU"/>
        </w:rPr>
        <w:t>Eosinophils may be involved in the immunological response to some helminth infections. Patients with known helminth infections were excluded from participation in clinical trials. It is unknown if Fasenra may influence a patient’s response against helminth infections.</w:t>
      </w:r>
    </w:p>
    <w:p w14:paraId="5F9B90FF" w14:textId="77777777" w:rsidR="00875939" w:rsidRPr="00875939" w:rsidRDefault="00875939" w:rsidP="00875939">
      <w:pPr>
        <w:pStyle w:val="Paragraph"/>
        <w:rPr>
          <w:lang w:val="en-AU"/>
        </w:rPr>
      </w:pPr>
      <w:r w:rsidRPr="00875939">
        <w:rPr>
          <w:lang w:val="en-AU"/>
        </w:rPr>
        <w:t>Treat patients with pre-existing helminth infections before initiating therapy with Fasenra. If patients become infected while receiving treatment with Fasenra and do not respond to anti-helminth treatment, discontinue treatment with Fasenra until infection resolves.</w:t>
      </w:r>
    </w:p>
    <w:p w14:paraId="70060FE5" w14:textId="77777777" w:rsidR="001A3992" w:rsidRPr="005F34E1" w:rsidRDefault="001A3992" w:rsidP="00D347D7">
      <w:pPr>
        <w:pStyle w:val="Heading3Unnumbered"/>
        <w:rPr>
          <w:lang w:val="en-AU"/>
        </w:rPr>
      </w:pPr>
      <w:r w:rsidRPr="005F34E1">
        <w:rPr>
          <w:lang w:val="en-AU"/>
        </w:rPr>
        <w:t>Use in the elderly</w:t>
      </w:r>
    </w:p>
    <w:p w14:paraId="339CAB4B" w14:textId="69878125" w:rsidR="00EC60F8" w:rsidRPr="005F34E1" w:rsidRDefault="00875939" w:rsidP="00EC60F8">
      <w:pPr>
        <w:pStyle w:val="Paragraph"/>
        <w:rPr>
          <w:lang w:val="en-AU"/>
        </w:rPr>
      </w:pPr>
      <w:r w:rsidRPr="00875939">
        <w:rPr>
          <w:lang w:val="en-AU"/>
        </w:rPr>
        <w:t>No dose adjustment is required for elderly patients (see</w:t>
      </w:r>
      <w:r w:rsidR="00705559">
        <w:rPr>
          <w:lang w:val="en-AU"/>
        </w:rPr>
        <w:t xml:space="preserve"> Section </w:t>
      </w:r>
      <w:r w:rsidR="00705559">
        <w:rPr>
          <w:lang w:val="en-AU"/>
        </w:rPr>
        <w:fldChar w:fldCharType="begin"/>
      </w:r>
      <w:r w:rsidR="00705559">
        <w:rPr>
          <w:lang w:val="en-AU"/>
        </w:rPr>
        <w:instrText xml:space="preserve"> REF _Ref505358028 \r \h </w:instrText>
      </w:r>
      <w:r w:rsidR="00705559">
        <w:rPr>
          <w:lang w:val="en-AU"/>
        </w:rPr>
      </w:r>
      <w:r w:rsidR="00705559">
        <w:rPr>
          <w:lang w:val="en-AU"/>
        </w:rPr>
        <w:fldChar w:fldCharType="separate"/>
      </w:r>
      <w:r w:rsidR="00997102">
        <w:rPr>
          <w:lang w:val="en-AU"/>
        </w:rPr>
        <w:t>4.2</w:t>
      </w:r>
      <w:r w:rsidR="00705559">
        <w:rPr>
          <w:lang w:val="en-AU"/>
        </w:rPr>
        <w:fldChar w:fldCharType="end"/>
      </w:r>
      <w:r w:rsidR="00705559">
        <w:rPr>
          <w:lang w:val="en-AU"/>
        </w:rPr>
        <w:t xml:space="preserve"> [</w:t>
      </w:r>
      <w:r w:rsidR="00705559" w:rsidRPr="00705559">
        <w:rPr>
          <w:i/>
          <w:lang w:val="en-AU"/>
        </w:rPr>
        <w:t>Special patient populations/Use in the elderly</w:t>
      </w:r>
      <w:r w:rsidR="00705559">
        <w:rPr>
          <w:lang w:val="en-AU"/>
        </w:rPr>
        <w:t>]</w:t>
      </w:r>
      <w:r w:rsidR="007C0A49">
        <w:rPr>
          <w:lang w:val="en-AU"/>
        </w:rPr>
        <w:t xml:space="preserve"> and Section </w:t>
      </w:r>
      <w:r w:rsidR="007C0A49">
        <w:rPr>
          <w:lang w:val="en-AU"/>
        </w:rPr>
        <w:fldChar w:fldCharType="begin"/>
      </w:r>
      <w:r w:rsidR="007C0A49">
        <w:rPr>
          <w:lang w:val="en-AU"/>
        </w:rPr>
        <w:instrText xml:space="preserve"> REF _Ref505357834 \r \h </w:instrText>
      </w:r>
      <w:r w:rsidR="007C0A49">
        <w:rPr>
          <w:lang w:val="en-AU"/>
        </w:rPr>
      </w:r>
      <w:r w:rsidR="007C0A49">
        <w:rPr>
          <w:lang w:val="en-AU"/>
        </w:rPr>
        <w:fldChar w:fldCharType="separate"/>
      </w:r>
      <w:r w:rsidR="00997102">
        <w:rPr>
          <w:lang w:val="en-AU"/>
        </w:rPr>
        <w:t>5.2</w:t>
      </w:r>
      <w:r w:rsidR="007C0A49">
        <w:rPr>
          <w:lang w:val="en-AU"/>
        </w:rPr>
        <w:fldChar w:fldCharType="end"/>
      </w:r>
      <w:r w:rsidR="007C0A49">
        <w:rPr>
          <w:lang w:val="en-AU"/>
        </w:rPr>
        <w:t xml:space="preserve"> [</w:t>
      </w:r>
      <w:r w:rsidR="007C0A49" w:rsidRPr="00705559">
        <w:rPr>
          <w:i/>
          <w:lang w:val="en-AU"/>
        </w:rPr>
        <w:t>Special patient populations/</w:t>
      </w:r>
      <w:r w:rsidR="007C0A49" w:rsidRPr="00705559">
        <w:t xml:space="preserve"> </w:t>
      </w:r>
      <w:r w:rsidR="007C0A49" w:rsidRPr="00705559">
        <w:rPr>
          <w:i/>
          <w:lang w:val="en-AU"/>
        </w:rPr>
        <w:t>Elderly (≥65 years old)</w:t>
      </w:r>
      <w:r w:rsidR="007C0A49">
        <w:rPr>
          <w:lang w:val="en-AU"/>
        </w:rPr>
        <w:t>]</w:t>
      </w:r>
      <w:r w:rsidR="00705559">
        <w:rPr>
          <w:lang w:val="en-AU"/>
        </w:rPr>
        <w:t>).</w:t>
      </w:r>
    </w:p>
    <w:p w14:paraId="1C6433B1" w14:textId="07CAC1F5" w:rsidR="001A3992" w:rsidRPr="00DF13C9" w:rsidRDefault="001A3992" w:rsidP="00D347D7">
      <w:pPr>
        <w:pStyle w:val="Heading3Unnumbered"/>
        <w:rPr>
          <w:lang w:val="en-AU"/>
        </w:rPr>
      </w:pPr>
      <w:r w:rsidRPr="00DF13C9">
        <w:rPr>
          <w:lang w:val="en-AU"/>
        </w:rPr>
        <w:t>Paediatric use</w:t>
      </w:r>
    </w:p>
    <w:p w14:paraId="5BCD9BD2" w14:textId="77777777" w:rsidR="00447D49" w:rsidRPr="00DF13C9" w:rsidRDefault="00447D49" w:rsidP="00447D49">
      <w:pPr>
        <w:pStyle w:val="Paragraph"/>
        <w:rPr>
          <w:lang w:val="en-AU"/>
        </w:rPr>
      </w:pPr>
      <w:r w:rsidRPr="00DF13C9">
        <w:rPr>
          <w:lang w:val="en-AU"/>
        </w:rPr>
        <w:t>The safety and efficacy of Fasenra in children below 12 years of age have not been established.</w:t>
      </w:r>
    </w:p>
    <w:p w14:paraId="4B1FBFCD" w14:textId="266D6A2E" w:rsidR="00875939" w:rsidRPr="00DF13C9" w:rsidRDefault="00447D49" w:rsidP="00875939">
      <w:pPr>
        <w:pStyle w:val="Paragraph"/>
        <w:rPr>
          <w:lang w:val="en-AU"/>
        </w:rPr>
      </w:pPr>
      <w:r w:rsidRPr="00AC1FF6">
        <w:rPr>
          <w:lang w:val="en-AU"/>
        </w:rPr>
        <w:t xml:space="preserve">In </w:t>
      </w:r>
      <w:r w:rsidR="004455B6" w:rsidRPr="00AC1FF6">
        <w:rPr>
          <w:lang w:val="en-AU"/>
        </w:rPr>
        <w:t>P</w:t>
      </w:r>
      <w:r w:rsidRPr="00AC1FF6">
        <w:rPr>
          <w:lang w:val="en-AU"/>
        </w:rPr>
        <w:t>hase 3 studies, t</w:t>
      </w:r>
      <w:r w:rsidR="00875939" w:rsidRPr="00AC1FF6">
        <w:rPr>
          <w:lang w:val="en-AU"/>
        </w:rPr>
        <w:t>he treatment responses in adolescent patients</w:t>
      </w:r>
      <w:r w:rsidRPr="00AC1FF6">
        <w:rPr>
          <w:lang w:val="en-AU"/>
        </w:rPr>
        <w:t xml:space="preserve"> (12 to 17</w:t>
      </w:r>
      <w:r w:rsidR="004455B6" w:rsidRPr="00AC1FF6">
        <w:rPr>
          <w:lang w:val="en-AU"/>
        </w:rPr>
        <w:t> </w:t>
      </w:r>
      <w:r w:rsidRPr="00AC1FF6">
        <w:rPr>
          <w:lang w:val="en-AU"/>
        </w:rPr>
        <w:t>years of age)</w:t>
      </w:r>
      <w:r w:rsidR="00875939" w:rsidRPr="00AC1FF6">
        <w:rPr>
          <w:lang w:val="en-AU"/>
        </w:rPr>
        <w:t xml:space="preserve"> were less than that observed in </w:t>
      </w:r>
      <w:proofErr w:type="gramStart"/>
      <w:r w:rsidR="00875939" w:rsidRPr="00AC1FF6">
        <w:rPr>
          <w:lang w:val="en-AU"/>
        </w:rPr>
        <w:t>adults</w:t>
      </w:r>
      <w:r w:rsidR="000B0CCE" w:rsidRPr="00AC1FF6">
        <w:rPr>
          <w:lang w:val="en-AU"/>
        </w:rPr>
        <w:t>,</w:t>
      </w:r>
      <w:proofErr w:type="gramEnd"/>
      <w:r w:rsidR="000B0CCE" w:rsidRPr="00AC1FF6">
        <w:rPr>
          <w:lang w:val="en-AU"/>
        </w:rPr>
        <w:t xml:space="preserve"> however they were not powered to detect a response in this sub-group</w:t>
      </w:r>
      <w:r w:rsidR="00875939" w:rsidRPr="00AC1FF6">
        <w:rPr>
          <w:lang w:val="en-AU"/>
        </w:rPr>
        <w:t>. The adverse event profile in adolescents was generally similar to the overall population in these studies of up to 56</w:t>
      </w:r>
      <w:r w:rsidR="00FC05AC" w:rsidRPr="00AC1FF6">
        <w:rPr>
          <w:lang w:val="en-AU"/>
        </w:rPr>
        <w:t> </w:t>
      </w:r>
      <w:r w:rsidR="00875939" w:rsidRPr="00AC1FF6">
        <w:rPr>
          <w:lang w:val="en-AU"/>
        </w:rPr>
        <w:t>weeks duration.  The longer term adverse effects in this age group are unknown.</w:t>
      </w:r>
    </w:p>
    <w:p w14:paraId="0A05D25F" w14:textId="5B784B79" w:rsidR="001A3992" w:rsidRPr="001E4EAB" w:rsidRDefault="001A3992" w:rsidP="001E4EAB">
      <w:pPr>
        <w:pStyle w:val="Heading3Unnumbered"/>
        <w:rPr>
          <w:lang w:val="en-AU"/>
        </w:rPr>
      </w:pPr>
      <w:r w:rsidRPr="001E4EAB">
        <w:rPr>
          <w:lang w:val="en-AU"/>
        </w:rPr>
        <w:t>Effects on laboratory tests</w:t>
      </w:r>
    </w:p>
    <w:p w14:paraId="4B2A789D" w14:textId="37319123" w:rsidR="001E4EAB" w:rsidRDefault="001E4EAB" w:rsidP="001E4EAB">
      <w:pPr>
        <w:pStyle w:val="Paragraph"/>
        <w:rPr>
          <w:lang w:val="en-AU"/>
        </w:rPr>
      </w:pPr>
      <w:r w:rsidRPr="001E4EAB">
        <w:rPr>
          <w:lang w:val="en-AU"/>
        </w:rPr>
        <w:t xml:space="preserve">As expected based on the mechanism of action of benralizumab, in the pivotal Phase </w:t>
      </w:r>
      <w:r>
        <w:rPr>
          <w:lang w:val="en-AU"/>
        </w:rPr>
        <w:t xml:space="preserve">3 </w:t>
      </w:r>
      <w:r w:rsidRPr="001E4EAB">
        <w:rPr>
          <w:lang w:val="en-AU"/>
        </w:rPr>
        <w:t xml:space="preserve">trials, following </w:t>
      </w:r>
      <w:r w:rsidR="00595B20">
        <w:rPr>
          <w:lang w:val="en-AU"/>
        </w:rPr>
        <w:t>subcutaneous</w:t>
      </w:r>
      <w:r w:rsidRPr="001E4EAB">
        <w:rPr>
          <w:lang w:val="en-AU"/>
        </w:rPr>
        <w:t xml:space="preserve"> administration of benralizumab at the recommended dose blood eosinophils were reduced to a median absolute blood eosinophil count of 0</w:t>
      </w:r>
      <w:r>
        <w:rPr>
          <w:lang w:val="en-AU"/>
        </w:rPr>
        <w:t> </w:t>
      </w:r>
      <w:r w:rsidRPr="001E4EAB">
        <w:rPr>
          <w:lang w:val="en-AU"/>
        </w:rPr>
        <w:t>cells/</w:t>
      </w:r>
      <w:proofErr w:type="spellStart"/>
      <w:r w:rsidRPr="001E4EAB">
        <w:rPr>
          <w:lang w:val="en-AU"/>
        </w:rPr>
        <w:t>μL</w:t>
      </w:r>
      <w:proofErr w:type="spellEnd"/>
      <w:r w:rsidRPr="001E4EAB">
        <w:rPr>
          <w:lang w:val="en-AU"/>
        </w:rPr>
        <w:t xml:space="preserve">. This magnitude of reduction was seen at the first observed time point, 4 weeks of treatment, and was maintained throughout the treatment period. Basophils also express IL-5Rα, and were also reduced. </w:t>
      </w:r>
    </w:p>
    <w:p w14:paraId="42BC9EBB" w14:textId="554B773E" w:rsidR="001A3992" w:rsidRPr="00705559" w:rsidRDefault="001A3992" w:rsidP="00EE3AC8">
      <w:pPr>
        <w:pStyle w:val="Heading2"/>
        <w:rPr>
          <w:lang w:val="en-AU"/>
        </w:rPr>
      </w:pPr>
      <w:r w:rsidRPr="00705559">
        <w:rPr>
          <w:lang w:val="en-AU"/>
        </w:rPr>
        <w:t>Interactions with other medicines and other forms of interactions</w:t>
      </w:r>
    </w:p>
    <w:p w14:paraId="0A32BC62" w14:textId="77777777" w:rsidR="00F84110" w:rsidRPr="00F84110" w:rsidRDefault="00F84110" w:rsidP="00F84110">
      <w:pPr>
        <w:pStyle w:val="Paragraph"/>
        <w:rPr>
          <w:lang w:val="en-AU"/>
        </w:rPr>
      </w:pPr>
      <w:r w:rsidRPr="00F84110">
        <w:rPr>
          <w:lang w:val="en-AU"/>
        </w:rPr>
        <w:t>No formal medicine interaction studies have been conducted.</w:t>
      </w:r>
    </w:p>
    <w:p w14:paraId="5771A3FD" w14:textId="77777777" w:rsidR="00F84110" w:rsidRPr="00F84110" w:rsidRDefault="00F84110" w:rsidP="00F84110">
      <w:pPr>
        <w:pStyle w:val="Paragraph"/>
        <w:rPr>
          <w:lang w:val="en-AU"/>
        </w:rPr>
      </w:pPr>
      <w:r w:rsidRPr="00F84110">
        <w:rPr>
          <w:lang w:val="en-AU"/>
        </w:rPr>
        <w:t xml:space="preserve">Cytochrome P450 enzymes, efflux pumps and protein-binding mechanisms are not involved in the clearance of benralizumab. There is no evidence of IL-5Rα expression on hepatocytes. Eosinophil depletion does not produce chronic systemic alterations of </w:t>
      </w:r>
      <w:proofErr w:type="spellStart"/>
      <w:r w:rsidRPr="00F84110">
        <w:rPr>
          <w:lang w:val="en-AU"/>
        </w:rPr>
        <w:t>proinflammatory</w:t>
      </w:r>
      <w:proofErr w:type="spellEnd"/>
      <w:r w:rsidRPr="00F84110">
        <w:rPr>
          <w:lang w:val="en-AU"/>
        </w:rPr>
        <w:t xml:space="preserve"> cytokines.</w:t>
      </w:r>
    </w:p>
    <w:p w14:paraId="318AE8FC" w14:textId="1F828B27" w:rsidR="00E45826" w:rsidRPr="00705559" w:rsidRDefault="00F84110" w:rsidP="00EC60F8">
      <w:pPr>
        <w:pStyle w:val="Paragraph"/>
        <w:rPr>
          <w:lang w:val="en-AU"/>
        </w:rPr>
      </w:pPr>
      <w:r w:rsidRPr="00F84110">
        <w:rPr>
          <w:lang w:val="en-AU"/>
        </w:rPr>
        <w:t>An effect of benralizumab on the pharmacokinetics of co-administered medications is not expected. Based on population pharmacokinetic analysis, commonly co-administered medications had no effect on the benralizumab clearance in patients with asthma.</w:t>
      </w:r>
    </w:p>
    <w:p w14:paraId="3918C76A" w14:textId="77777777" w:rsidR="001A3992" w:rsidRPr="00705559" w:rsidRDefault="001A3992" w:rsidP="00EE3AC8">
      <w:pPr>
        <w:pStyle w:val="Heading2"/>
        <w:rPr>
          <w:lang w:val="en-AU"/>
        </w:rPr>
      </w:pPr>
      <w:r w:rsidRPr="00705559">
        <w:rPr>
          <w:lang w:val="en-AU"/>
        </w:rPr>
        <w:t>Fer</w:t>
      </w:r>
      <w:r w:rsidR="00EC60F8" w:rsidRPr="00705559">
        <w:rPr>
          <w:lang w:val="en-AU"/>
        </w:rPr>
        <w:t>tility, pregnancy and lactation</w:t>
      </w:r>
    </w:p>
    <w:p w14:paraId="51924A57" w14:textId="77777777" w:rsidR="001A3992" w:rsidRPr="00705559" w:rsidRDefault="001A3992" w:rsidP="0026491B">
      <w:pPr>
        <w:pStyle w:val="Heading3Unnumbered"/>
        <w:rPr>
          <w:lang w:val="en-AU"/>
        </w:rPr>
      </w:pPr>
      <w:r w:rsidRPr="00705559">
        <w:rPr>
          <w:lang w:val="en-AU"/>
        </w:rPr>
        <w:t>Effects on fertility</w:t>
      </w:r>
    </w:p>
    <w:p w14:paraId="743ABD6D" w14:textId="77777777" w:rsidR="00875939" w:rsidRPr="00875939" w:rsidRDefault="00875939" w:rsidP="00705559">
      <w:pPr>
        <w:pStyle w:val="Paragraph"/>
        <w:rPr>
          <w:lang w:val="en-AU"/>
        </w:rPr>
      </w:pPr>
      <w:r w:rsidRPr="00875939">
        <w:rPr>
          <w:lang w:val="en-AU"/>
        </w:rPr>
        <w:t>No fertility studies have been conducted with benralizumab in humans or animals.</w:t>
      </w:r>
    </w:p>
    <w:p w14:paraId="0C81E5ED" w14:textId="0604D382" w:rsidR="00446EDD" w:rsidRPr="00705559" w:rsidRDefault="00875939" w:rsidP="00875939">
      <w:pPr>
        <w:pStyle w:val="Paragraph"/>
        <w:rPr>
          <w:lang w:val="en-AU"/>
        </w:rPr>
      </w:pPr>
      <w:r w:rsidRPr="00875939">
        <w:rPr>
          <w:lang w:val="en-AU"/>
        </w:rPr>
        <w:lastRenderedPageBreak/>
        <w:t>Examination of surrogate fertility parameters (including organ weights and histopathology of reproductive tissues) in male and female cynomolgus monkeys treated with benralizumab at intravenous doses up to 25</w:t>
      </w:r>
      <w:r w:rsidR="00313C53">
        <w:rPr>
          <w:lang w:val="en-AU"/>
        </w:rPr>
        <w:t> </w:t>
      </w:r>
      <w:r w:rsidRPr="00875939">
        <w:rPr>
          <w:lang w:val="en-AU"/>
        </w:rPr>
        <w:t>mg/kg or at subcutaneous doses of up to 30</w:t>
      </w:r>
      <w:r w:rsidR="00313C53">
        <w:rPr>
          <w:lang w:val="en-AU"/>
        </w:rPr>
        <w:t> </w:t>
      </w:r>
      <w:r w:rsidRPr="00875939">
        <w:rPr>
          <w:lang w:val="en-AU"/>
        </w:rPr>
        <w:t>mg/kg once every 2 weeks for 9</w:t>
      </w:r>
      <w:r w:rsidR="00313C53">
        <w:rPr>
          <w:lang w:val="en-AU"/>
        </w:rPr>
        <w:t> </w:t>
      </w:r>
      <w:r w:rsidRPr="00875939">
        <w:rPr>
          <w:lang w:val="en-AU"/>
        </w:rPr>
        <w:t>months suggested no impairment of fertility. Systemic exposure (serum AUC) at the no adverse effect dose in monkeys was more than 400</w:t>
      </w:r>
      <w:r w:rsidR="00313C53">
        <w:rPr>
          <w:lang w:val="en-AU"/>
        </w:rPr>
        <w:t> </w:t>
      </w:r>
      <w:r w:rsidRPr="00875939">
        <w:rPr>
          <w:lang w:val="en-AU"/>
        </w:rPr>
        <w:t>times that in patients at the maximum recommended human dose.</w:t>
      </w:r>
    </w:p>
    <w:p w14:paraId="6E5E7B27" w14:textId="65B131A4" w:rsidR="001A3992" w:rsidRPr="00705559" w:rsidRDefault="00446EDD" w:rsidP="0026491B">
      <w:pPr>
        <w:pStyle w:val="Heading3Unnumbered"/>
        <w:rPr>
          <w:lang w:val="en-AU"/>
        </w:rPr>
      </w:pPr>
      <w:r w:rsidRPr="00AC1FF6">
        <w:rPr>
          <w:lang w:val="en-AU"/>
        </w:rPr>
        <w:t xml:space="preserve">Use in pregnancy </w:t>
      </w:r>
      <w:r w:rsidR="00E45826" w:rsidRPr="00AC1FF6">
        <w:rPr>
          <w:lang w:val="en-AU"/>
        </w:rPr>
        <w:t xml:space="preserve">– Category </w:t>
      </w:r>
      <w:r w:rsidR="00875939" w:rsidRPr="00AC1FF6">
        <w:rPr>
          <w:lang w:val="en-AU"/>
        </w:rPr>
        <w:t>B1</w:t>
      </w:r>
    </w:p>
    <w:p w14:paraId="3B8FBC67" w14:textId="77777777" w:rsidR="00630329" w:rsidRDefault="00630329" w:rsidP="00630329">
      <w:pPr>
        <w:pStyle w:val="Paragraph"/>
        <w:rPr>
          <w:lang w:val="en-AU"/>
        </w:rPr>
      </w:pPr>
      <w:r w:rsidRPr="00875939">
        <w:rPr>
          <w:lang w:val="en-AU"/>
        </w:rPr>
        <w:t>It is preferable to avoid the use of Fasenra during pregnancy, especially during the third trimester due to the potential for eosinophil depletion in the newborn. Administration of Fasenra to pregnant women should only be considered if the expected benefit to the mother is greater than any possible risk to the fetus.</w:t>
      </w:r>
    </w:p>
    <w:p w14:paraId="786C5697" w14:textId="77777777" w:rsidR="00630329" w:rsidRDefault="00630329" w:rsidP="00630329">
      <w:pPr>
        <w:pStyle w:val="Paragraph"/>
        <w:rPr>
          <w:lang w:val="en-AU"/>
        </w:rPr>
      </w:pPr>
      <w:r w:rsidRPr="00875939">
        <w:rPr>
          <w:lang w:val="en-AU"/>
        </w:rPr>
        <w:t>IgG antibodies such as benralizumab are increasingly transported across the placenta as pregnancy progresses; therefore, greater fetal exposure occurs in the third trimester of pregnancy.</w:t>
      </w:r>
    </w:p>
    <w:p w14:paraId="2554501D" w14:textId="08A010F8" w:rsidR="00630329" w:rsidRDefault="00630329" w:rsidP="00705559">
      <w:pPr>
        <w:pStyle w:val="Paragraph"/>
        <w:rPr>
          <w:lang w:val="en-AU"/>
        </w:rPr>
      </w:pPr>
      <w:r w:rsidRPr="00630329">
        <w:rPr>
          <w:lang w:val="en-AU"/>
        </w:rPr>
        <w:t>The effect of FASENRA on human pregnancy is unknown</w:t>
      </w:r>
      <w:r>
        <w:rPr>
          <w:lang w:val="en-AU"/>
        </w:rPr>
        <w:t>.</w:t>
      </w:r>
    </w:p>
    <w:p w14:paraId="6A0CC453" w14:textId="0232C4D9" w:rsidR="00875939" w:rsidRPr="00875939" w:rsidRDefault="00875939" w:rsidP="00705559">
      <w:pPr>
        <w:pStyle w:val="Paragraph"/>
        <w:rPr>
          <w:lang w:val="en-AU"/>
        </w:rPr>
      </w:pPr>
      <w:r w:rsidRPr="00875939">
        <w:rPr>
          <w:lang w:val="en-AU"/>
        </w:rPr>
        <w:t xml:space="preserve">No adverse effects on pre- and postnatal survival, growth or development were observed in cynomolgus monkeys with maternal administration of </w:t>
      </w:r>
      <w:r w:rsidR="006F285F">
        <w:rPr>
          <w:lang w:val="en-AU"/>
        </w:rPr>
        <w:t>intravenous</w:t>
      </w:r>
      <w:r w:rsidR="006F285F" w:rsidRPr="00875939">
        <w:rPr>
          <w:lang w:val="en-AU"/>
        </w:rPr>
        <w:t xml:space="preserve"> </w:t>
      </w:r>
      <w:r w:rsidR="00D15CFF">
        <w:rPr>
          <w:lang w:val="en-AU"/>
        </w:rPr>
        <w:t>doses of benralizumab (10 or 30 </w:t>
      </w:r>
      <w:r w:rsidRPr="00875939">
        <w:rPr>
          <w:lang w:val="en-AU"/>
        </w:rPr>
        <w:t>mg/kg) once every 2</w:t>
      </w:r>
      <w:r w:rsidR="00D15CFF">
        <w:rPr>
          <w:lang w:val="en-AU"/>
        </w:rPr>
        <w:t> </w:t>
      </w:r>
      <w:r w:rsidRPr="00875939">
        <w:rPr>
          <w:lang w:val="en-AU"/>
        </w:rPr>
        <w:t>weeks from early pregnancy (gestation day 20–22) to 1-month postpartum. Serum benralizumab levels in infants were 66% of maternal levels 7</w:t>
      </w:r>
      <w:r w:rsidR="00313C53">
        <w:rPr>
          <w:lang w:val="en-AU"/>
        </w:rPr>
        <w:t> </w:t>
      </w:r>
      <w:r w:rsidRPr="00875939">
        <w:rPr>
          <w:lang w:val="en-AU"/>
        </w:rPr>
        <w:t>days post-partum and declined over time (</w:t>
      </w:r>
      <w:proofErr w:type="spellStart"/>
      <w:r w:rsidRPr="00875939">
        <w:rPr>
          <w:lang w:val="en-AU"/>
        </w:rPr>
        <w:t>eg</w:t>
      </w:r>
      <w:proofErr w:type="spellEnd"/>
      <w:r w:rsidRPr="00875939">
        <w:rPr>
          <w:lang w:val="en-AU"/>
        </w:rPr>
        <w:t xml:space="preserve"> 10% of maternal levels 3</w:t>
      </w:r>
      <w:r w:rsidR="00313C53">
        <w:rPr>
          <w:lang w:val="en-AU"/>
        </w:rPr>
        <w:t> </w:t>
      </w:r>
      <w:r w:rsidRPr="00875939">
        <w:rPr>
          <w:lang w:val="en-AU"/>
        </w:rPr>
        <w:t>months post-partum). While there was no effect observed on the primary and secondary humoral immune responses to immunisation or levels of serum IgM, IgG and IgA in the offspring of the treated monkeys, there was a marked eosinophil depletion, consistent with significant placental transfer of benralizumab that resulted in pharmacologically active drug levels in infants.  The immunological response to parasitic infection was not examined in the offspring.</w:t>
      </w:r>
    </w:p>
    <w:p w14:paraId="70222A4B" w14:textId="77777777" w:rsidR="001A3992" w:rsidRPr="00D15CFF" w:rsidRDefault="00446EDD" w:rsidP="0026491B">
      <w:pPr>
        <w:pStyle w:val="Heading3Unnumbered"/>
        <w:rPr>
          <w:lang w:val="en-AU"/>
        </w:rPr>
      </w:pPr>
      <w:r w:rsidRPr="00D15CFF">
        <w:rPr>
          <w:lang w:val="en-AU"/>
        </w:rPr>
        <w:t>Use in lactation</w:t>
      </w:r>
    </w:p>
    <w:p w14:paraId="69BD83A4" w14:textId="223FC139" w:rsidR="00875939" w:rsidRPr="00875939" w:rsidRDefault="00875939" w:rsidP="00875939">
      <w:pPr>
        <w:pStyle w:val="Paragraph"/>
        <w:rPr>
          <w:lang w:val="en-AU"/>
        </w:rPr>
      </w:pPr>
      <w:r w:rsidRPr="00875939">
        <w:rPr>
          <w:lang w:val="en-AU"/>
        </w:rPr>
        <w:t>It is unknown whether benralizumab is excreted in human milk.  Since antibodies can be secreted in human milk a risk to the breastfed child cannot be excluded.</w:t>
      </w:r>
    </w:p>
    <w:p w14:paraId="26702949" w14:textId="77777777" w:rsidR="00875939" w:rsidRPr="00875939" w:rsidRDefault="00875939" w:rsidP="00875939">
      <w:pPr>
        <w:pStyle w:val="Paragraph"/>
        <w:rPr>
          <w:lang w:val="en-AU"/>
        </w:rPr>
      </w:pPr>
      <w:r w:rsidRPr="00875939">
        <w:rPr>
          <w:lang w:val="en-AU"/>
        </w:rPr>
        <w:t>A decision must be made whether to discontinue breast-feeding or to discontinue/abstain from benralizumab therapy taking into account the benefit of breast-feeding for the child and the benefit of therapy for the mother.</w:t>
      </w:r>
    </w:p>
    <w:p w14:paraId="09338618" w14:textId="77777777" w:rsidR="001A3992" w:rsidRPr="00D15CFF" w:rsidRDefault="001A3992" w:rsidP="003B7CFF">
      <w:pPr>
        <w:pStyle w:val="Heading2"/>
        <w:rPr>
          <w:lang w:val="en-AU"/>
        </w:rPr>
      </w:pPr>
      <w:r w:rsidRPr="00D15CFF">
        <w:rPr>
          <w:lang w:val="en-AU"/>
        </w:rPr>
        <w:t>Effects on ability to drive and use machines</w:t>
      </w:r>
    </w:p>
    <w:p w14:paraId="0BD2B2B1" w14:textId="16805833" w:rsidR="00446EDD" w:rsidRPr="00D15CFF" w:rsidRDefault="00F84110" w:rsidP="00446EDD">
      <w:pPr>
        <w:pStyle w:val="Paragraph"/>
        <w:rPr>
          <w:lang w:val="en-AU"/>
        </w:rPr>
      </w:pPr>
      <w:r w:rsidRPr="00F84110">
        <w:rPr>
          <w:lang w:val="en-AU"/>
        </w:rPr>
        <w:t>Fasenra has no or negligible influence on the abi</w:t>
      </w:r>
      <w:r>
        <w:rPr>
          <w:lang w:val="en-AU"/>
        </w:rPr>
        <w:t>lity to drive and use machines.</w:t>
      </w:r>
    </w:p>
    <w:p w14:paraId="2D1DE55A" w14:textId="77777777" w:rsidR="001A3992" w:rsidRPr="00D15CFF" w:rsidRDefault="001A3992" w:rsidP="00EE3AC8">
      <w:pPr>
        <w:pStyle w:val="Heading2"/>
        <w:rPr>
          <w:lang w:val="en-AU"/>
        </w:rPr>
      </w:pPr>
      <w:r w:rsidRPr="00D15CFF">
        <w:rPr>
          <w:lang w:val="en-AU"/>
        </w:rPr>
        <w:t>Adverse effects (Undesirable effects)</w:t>
      </w:r>
    </w:p>
    <w:p w14:paraId="3EB923DB" w14:textId="3E0F4D19" w:rsidR="0012092E" w:rsidRPr="0012092E" w:rsidRDefault="0012092E" w:rsidP="00D15CFF">
      <w:pPr>
        <w:pStyle w:val="Heading3Unnumbered"/>
      </w:pPr>
      <w:r w:rsidRPr="0012092E">
        <w:t>Clinical trials experience - asthma</w:t>
      </w:r>
    </w:p>
    <w:p w14:paraId="5FA14C24" w14:textId="2124306C" w:rsidR="0012092E" w:rsidRPr="0012092E" w:rsidRDefault="0012092E" w:rsidP="0012092E">
      <w:pPr>
        <w:pStyle w:val="Paragraph"/>
        <w:rPr>
          <w:lang w:val="en-AU"/>
        </w:rPr>
      </w:pPr>
      <w:r w:rsidRPr="0012092E">
        <w:rPr>
          <w:lang w:val="en-AU"/>
        </w:rPr>
        <w:t>A total of 895 patients received the recommended dose of Fasenra (30 mg every 4 weeks for the first 3 doses, and then every 8 weeks thereafter) within the 3 placebo-controlled Phase 3 clinical trials – 822 patients (including 38 adolescents) in SIROCCO and CALIMA (48 and 56-week duration respectively) and 73 patients (adults only) in a 28-week OCS sparing trial (ZONDA). Note - all 3 trials assessed 2 dosing regimens of Fasenra compared to placebo, however only the safety data for the recommended dosing regimen (Q8w; see</w:t>
      </w:r>
      <w:r w:rsidR="00D15CFF">
        <w:rPr>
          <w:lang w:val="en-AU"/>
        </w:rPr>
        <w:t xml:space="preserve"> Section </w:t>
      </w:r>
      <w:r w:rsidR="00D15CFF">
        <w:rPr>
          <w:lang w:val="en-AU"/>
        </w:rPr>
        <w:fldChar w:fldCharType="begin"/>
      </w:r>
      <w:r w:rsidR="00D15CFF">
        <w:rPr>
          <w:lang w:val="en-AU"/>
        </w:rPr>
        <w:instrText xml:space="preserve"> REF _Ref505358028 \r \h </w:instrText>
      </w:r>
      <w:r w:rsidR="00D15CFF">
        <w:rPr>
          <w:lang w:val="en-AU"/>
        </w:rPr>
      </w:r>
      <w:r w:rsidR="00D15CFF">
        <w:rPr>
          <w:lang w:val="en-AU"/>
        </w:rPr>
        <w:fldChar w:fldCharType="separate"/>
      </w:r>
      <w:r w:rsidR="00997102">
        <w:rPr>
          <w:lang w:val="en-AU"/>
        </w:rPr>
        <w:t>4.2</w:t>
      </w:r>
      <w:r w:rsidR="00D15CFF">
        <w:rPr>
          <w:lang w:val="en-AU"/>
        </w:rPr>
        <w:fldChar w:fldCharType="end"/>
      </w:r>
      <w:r w:rsidR="00D15CFF">
        <w:rPr>
          <w:lang w:val="en-AU"/>
        </w:rPr>
        <w:t>)</w:t>
      </w:r>
      <w:r w:rsidRPr="0012092E">
        <w:rPr>
          <w:lang w:val="en-AU"/>
        </w:rPr>
        <w:t xml:space="preserve"> has been presented below.</w:t>
      </w:r>
    </w:p>
    <w:p w14:paraId="49F2FB23" w14:textId="77777777" w:rsidR="0012092E" w:rsidRPr="0012092E" w:rsidRDefault="0012092E" w:rsidP="0012092E">
      <w:pPr>
        <w:pStyle w:val="Paragraph"/>
        <w:rPr>
          <w:lang w:val="en-AU"/>
        </w:rPr>
      </w:pPr>
      <w:r w:rsidRPr="0012092E">
        <w:rPr>
          <w:lang w:val="en-AU"/>
        </w:rPr>
        <w:t>In clinical trials in patients with severe asthma with eosinophilic phenotype the most commonly reported adverse drug reactions during treatment were headache and pharyngitis.</w:t>
      </w:r>
    </w:p>
    <w:p w14:paraId="09994370" w14:textId="77777777" w:rsidR="0012092E" w:rsidRPr="0012092E" w:rsidRDefault="0012092E" w:rsidP="00D15CFF">
      <w:pPr>
        <w:pStyle w:val="Heading4Unnumbered"/>
      </w:pPr>
      <w:r w:rsidRPr="0012092E">
        <w:lastRenderedPageBreak/>
        <w:t>Phase 3 exacerbation trials (SIROCCO and CALIMA)</w:t>
      </w:r>
    </w:p>
    <w:p w14:paraId="57BCCB5F" w14:textId="0F1B35F7" w:rsidR="0012092E" w:rsidRDefault="0012092E" w:rsidP="0012092E">
      <w:pPr>
        <w:pStyle w:val="Paragraph"/>
        <w:rPr>
          <w:lang w:val="en-AU"/>
        </w:rPr>
      </w:pPr>
      <w:r w:rsidRPr="0012092E">
        <w:rPr>
          <w:lang w:val="en-AU"/>
        </w:rPr>
        <w:fldChar w:fldCharType="begin"/>
      </w:r>
      <w:r w:rsidRPr="0012092E">
        <w:rPr>
          <w:lang w:val="en-AU"/>
        </w:rPr>
        <w:instrText xml:space="preserve"> REF _Ref473701690 \h  \* MERGEFORMAT </w:instrText>
      </w:r>
      <w:r w:rsidRPr="0012092E">
        <w:rPr>
          <w:lang w:val="en-AU"/>
        </w:rPr>
      </w:r>
      <w:r w:rsidRPr="0012092E">
        <w:rPr>
          <w:lang w:val="en-AU"/>
        </w:rPr>
        <w:fldChar w:fldCharType="separate"/>
      </w:r>
      <w:r w:rsidR="00997102" w:rsidRPr="00997102">
        <w:rPr>
          <w:lang w:val="en-AU"/>
        </w:rPr>
        <w:t>Table 1</w:t>
      </w:r>
      <w:r w:rsidRPr="0012092E">
        <w:rPr>
          <w:lang w:val="en-AU"/>
        </w:rPr>
        <w:fldChar w:fldCharType="end"/>
      </w:r>
      <w:r w:rsidRPr="0012092E">
        <w:rPr>
          <w:lang w:val="en-AU"/>
        </w:rPr>
        <w:t xml:space="preserve"> presents the most common (≥3% frequency) adverse events regardless of causality from the two placebo-controlled trials (SIROCCO/CALIMA) in patients receiving the recommended dose (Q8w) of benralizumab.  </w:t>
      </w:r>
      <w:r w:rsidRPr="0012092E">
        <w:rPr>
          <w:lang w:val="en-AU"/>
        </w:rPr>
        <w:fldChar w:fldCharType="begin"/>
      </w:r>
      <w:r w:rsidRPr="0012092E">
        <w:rPr>
          <w:lang w:val="en-AU"/>
        </w:rPr>
        <w:instrText xml:space="preserve"> REF _Ref502925757 \h  \* MERGEFORMAT </w:instrText>
      </w:r>
      <w:r w:rsidRPr="0012092E">
        <w:rPr>
          <w:lang w:val="en-AU"/>
        </w:rPr>
      </w:r>
      <w:r w:rsidRPr="0012092E">
        <w:rPr>
          <w:lang w:val="en-AU"/>
        </w:rPr>
        <w:fldChar w:fldCharType="separate"/>
      </w:r>
      <w:r w:rsidR="00997102" w:rsidRPr="00997102">
        <w:rPr>
          <w:lang w:val="en-AU"/>
        </w:rPr>
        <w:t>Table 2</w:t>
      </w:r>
      <w:r w:rsidRPr="0012092E">
        <w:rPr>
          <w:lang w:val="en-AU"/>
        </w:rPr>
        <w:fldChar w:fldCharType="end"/>
      </w:r>
      <w:r w:rsidRPr="0012092E">
        <w:rPr>
          <w:lang w:val="en-AU"/>
        </w:rPr>
        <w:t xml:space="preserve"> presents the SIROCCO/CALIMA adverse drug reactions reported at a frequency less than 3%. All patients (including placebo) were on a background of high-dose ICS/LABA.</w:t>
      </w:r>
    </w:p>
    <w:p w14:paraId="00D2D162" w14:textId="2E419B0E" w:rsidR="0012092E" w:rsidRPr="0012092E" w:rsidRDefault="0012092E" w:rsidP="00D15CFF">
      <w:pPr>
        <w:pStyle w:val="TableTitle"/>
      </w:pPr>
      <w:bookmarkStart w:id="9" w:name="_Ref473701690"/>
      <w:r w:rsidRPr="0012092E">
        <w:t xml:space="preserve">Table </w:t>
      </w:r>
      <w:r w:rsidRPr="0012092E">
        <w:fldChar w:fldCharType="begin"/>
      </w:r>
      <w:r w:rsidRPr="0012092E">
        <w:instrText xml:space="preserve"> SEQ Table \* ARABIC </w:instrText>
      </w:r>
      <w:r w:rsidRPr="0012092E">
        <w:fldChar w:fldCharType="separate"/>
      </w:r>
      <w:r w:rsidR="00997102">
        <w:rPr>
          <w:noProof/>
        </w:rPr>
        <w:t>1</w:t>
      </w:r>
      <w:r w:rsidRPr="0012092E">
        <w:rPr>
          <w:lang w:val="en-AU"/>
        </w:rPr>
        <w:fldChar w:fldCharType="end"/>
      </w:r>
      <w:bookmarkEnd w:id="9"/>
      <w:r w:rsidRPr="0012092E">
        <w:tab/>
        <w:t>The most frequent (≥3%) adverse events regardless of causality reported during the on-treatment period and more common than placebo (SIROCCO/CALIMA - safety analyses set)</w:t>
      </w:r>
    </w:p>
    <w:tbl>
      <w:tblPr>
        <w:tblStyle w:val="TableGrid"/>
        <w:tblW w:w="9634" w:type="dxa"/>
        <w:tblLayout w:type="fixed"/>
        <w:tblLook w:val="0000" w:firstRow="0" w:lastRow="0" w:firstColumn="0" w:lastColumn="0" w:noHBand="0" w:noVBand="0"/>
      </w:tblPr>
      <w:tblGrid>
        <w:gridCol w:w="3828"/>
        <w:gridCol w:w="2971"/>
        <w:gridCol w:w="2835"/>
      </w:tblGrid>
      <w:tr w:rsidR="0012092E" w:rsidRPr="00D15CFF" w14:paraId="13A441AA" w14:textId="77777777" w:rsidTr="004C4C08">
        <w:trPr>
          <w:tblHeader/>
        </w:trPr>
        <w:tc>
          <w:tcPr>
            <w:tcW w:w="3828" w:type="dxa"/>
          </w:tcPr>
          <w:p w14:paraId="32B75639" w14:textId="77777777" w:rsidR="0012092E" w:rsidRPr="00D15CFF" w:rsidRDefault="0012092E" w:rsidP="00D15CFF">
            <w:pPr>
              <w:pStyle w:val="TableHead"/>
              <w:jc w:val="left"/>
              <w:rPr>
                <w:sz w:val="24"/>
                <w:szCs w:val="24"/>
              </w:rPr>
            </w:pPr>
            <w:r w:rsidRPr="00D15CFF">
              <w:rPr>
                <w:sz w:val="24"/>
                <w:szCs w:val="24"/>
              </w:rPr>
              <w:t>Preferred term</w:t>
            </w:r>
          </w:p>
        </w:tc>
        <w:tc>
          <w:tcPr>
            <w:tcW w:w="2971" w:type="dxa"/>
          </w:tcPr>
          <w:p w14:paraId="3E739656" w14:textId="77777777" w:rsidR="0012092E" w:rsidRPr="00D15CFF" w:rsidRDefault="0012092E" w:rsidP="00D15CFF">
            <w:pPr>
              <w:pStyle w:val="TableHead"/>
              <w:rPr>
                <w:sz w:val="24"/>
                <w:szCs w:val="24"/>
              </w:rPr>
            </w:pPr>
            <w:r w:rsidRPr="00D15CFF">
              <w:rPr>
                <w:sz w:val="24"/>
                <w:szCs w:val="24"/>
              </w:rPr>
              <w:t>Fasenra Q8w (%)</w:t>
            </w:r>
          </w:p>
          <w:p w14:paraId="735B271C" w14:textId="77777777" w:rsidR="0012092E" w:rsidRPr="00D15CFF" w:rsidRDefault="0012092E" w:rsidP="00D15CFF">
            <w:pPr>
              <w:pStyle w:val="TableHead"/>
              <w:rPr>
                <w:sz w:val="24"/>
                <w:szCs w:val="24"/>
              </w:rPr>
            </w:pPr>
            <w:r w:rsidRPr="00D15CFF">
              <w:rPr>
                <w:sz w:val="24"/>
                <w:szCs w:val="24"/>
              </w:rPr>
              <w:t>(N=822)</w:t>
            </w:r>
          </w:p>
        </w:tc>
        <w:tc>
          <w:tcPr>
            <w:tcW w:w="2835" w:type="dxa"/>
          </w:tcPr>
          <w:p w14:paraId="0AF858CF" w14:textId="77777777" w:rsidR="0012092E" w:rsidRPr="00D15CFF" w:rsidRDefault="0012092E" w:rsidP="00D15CFF">
            <w:pPr>
              <w:pStyle w:val="TableHead"/>
              <w:rPr>
                <w:sz w:val="24"/>
                <w:szCs w:val="24"/>
              </w:rPr>
            </w:pPr>
            <w:r w:rsidRPr="00D15CFF">
              <w:rPr>
                <w:sz w:val="24"/>
                <w:szCs w:val="24"/>
              </w:rPr>
              <w:t>Placebo (%)</w:t>
            </w:r>
          </w:p>
          <w:p w14:paraId="7473A595" w14:textId="77777777" w:rsidR="0012092E" w:rsidRPr="00D15CFF" w:rsidRDefault="0012092E" w:rsidP="00D15CFF">
            <w:pPr>
              <w:pStyle w:val="TableHead"/>
              <w:rPr>
                <w:sz w:val="24"/>
                <w:szCs w:val="24"/>
              </w:rPr>
            </w:pPr>
            <w:r w:rsidRPr="00D15CFF">
              <w:rPr>
                <w:sz w:val="24"/>
                <w:szCs w:val="24"/>
              </w:rPr>
              <w:t>(N=847)</w:t>
            </w:r>
          </w:p>
        </w:tc>
      </w:tr>
      <w:tr w:rsidR="0012092E" w:rsidRPr="00D15CFF" w14:paraId="5045836B" w14:textId="77777777" w:rsidTr="00D15CFF">
        <w:tc>
          <w:tcPr>
            <w:tcW w:w="3828" w:type="dxa"/>
          </w:tcPr>
          <w:p w14:paraId="1F77C60A" w14:textId="77777777" w:rsidR="0012092E" w:rsidRPr="00D15CFF" w:rsidRDefault="0012092E" w:rsidP="00D15CFF">
            <w:pPr>
              <w:pStyle w:val="TableLeft"/>
              <w:rPr>
                <w:sz w:val="24"/>
              </w:rPr>
            </w:pPr>
            <w:proofErr w:type="spellStart"/>
            <w:r w:rsidRPr="00D15CFF">
              <w:rPr>
                <w:sz w:val="24"/>
              </w:rPr>
              <w:t>Headache</w:t>
            </w:r>
            <w:r w:rsidRPr="00D15CFF">
              <w:rPr>
                <w:sz w:val="24"/>
                <w:vertAlign w:val="superscript"/>
              </w:rPr>
              <w:t>a</w:t>
            </w:r>
            <w:proofErr w:type="spellEnd"/>
          </w:p>
        </w:tc>
        <w:tc>
          <w:tcPr>
            <w:tcW w:w="2971" w:type="dxa"/>
          </w:tcPr>
          <w:p w14:paraId="50F538B6" w14:textId="77777777" w:rsidR="0012092E" w:rsidRPr="00D15CFF" w:rsidRDefault="0012092E" w:rsidP="00D15CFF">
            <w:pPr>
              <w:pStyle w:val="TableCenter"/>
              <w:rPr>
                <w:sz w:val="24"/>
              </w:rPr>
            </w:pPr>
            <w:r w:rsidRPr="00D15CFF">
              <w:rPr>
                <w:sz w:val="24"/>
              </w:rPr>
              <w:t>8.6</w:t>
            </w:r>
          </w:p>
        </w:tc>
        <w:tc>
          <w:tcPr>
            <w:tcW w:w="2835" w:type="dxa"/>
          </w:tcPr>
          <w:p w14:paraId="6A8D781B" w14:textId="77777777" w:rsidR="0012092E" w:rsidRPr="00D15CFF" w:rsidRDefault="0012092E" w:rsidP="00D15CFF">
            <w:pPr>
              <w:pStyle w:val="TableCenter"/>
              <w:rPr>
                <w:sz w:val="24"/>
              </w:rPr>
            </w:pPr>
            <w:r w:rsidRPr="00D15CFF">
              <w:rPr>
                <w:sz w:val="24"/>
              </w:rPr>
              <w:t>6.3</w:t>
            </w:r>
          </w:p>
        </w:tc>
      </w:tr>
      <w:tr w:rsidR="0012092E" w:rsidRPr="00D15CFF" w14:paraId="34BE74A3" w14:textId="77777777" w:rsidTr="00D15CFF">
        <w:tc>
          <w:tcPr>
            <w:tcW w:w="3828" w:type="dxa"/>
          </w:tcPr>
          <w:p w14:paraId="15CF7105" w14:textId="77777777" w:rsidR="0012092E" w:rsidRPr="00D15CFF" w:rsidRDefault="0012092E" w:rsidP="00D15CFF">
            <w:pPr>
              <w:pStyle w:val="TableLeft"/>
              <w:rPr>
                <w:sz w:val="24"/>
              </w:rPr>
            </w:pPr>
            <w:proofErr w:type="spellStart"/>
            <w:r w:rsidRPr="00D15CFF">
              <w:rPr>
                <w:sz w:val="24"/>
              </w:rPr>
              <w:t>Pharyngitis</w:t>
            </w:r>
            <w:r w:rsidRPr="00D15CFF">
              <w:rPr>
                <w:sz w:val="24"/>
                <w:vertAlign w:val="superscript"/>
              </w:rPr>
              <w:t>b</w:t>
            </w:r>
            <w:proofErr w:type="spellEnd"/>
          </w:p>
        </w:tc>
        <w:tc>
          <w:tcPr>
            <w:tcW w:w="2971" w:type="dxa"/>
          </w:tcPr>
          <w:p w14:paraId="522F9BCA" w14:textId="77777777" w:rsidR="0012092E" w:rsidRPr="00D15CFF" w:rsidRDefault="0012092E" w:rsidP="00D15CFF">
            <w:pPr>
              <w:pStyle w:val="TableCenter"/>
              <w:rPr>
                <w:sz w:val="24"/>
              </w:rPr>
            </w:pPr>
            <w:r w:rsidRPr="00D15CFF">
              <w:rPr>
                <w:sz w:val="24"/>
              </w:rPr>
              <w:t>4.0</w:t>
            </w:r>
          </w:p>
        </w:tc>
        <w:tc>
          <w:tcPr>
            <w:tcW w:w="2835" w:type="dxa"/>
          </w:tcPr>
          <w:p w14:paraId="07787F76" w14:textId="77777777" w:rsidR="0012092E" w:rsidRPr="00D15CFF" w:rsidRDefault="0012092E" w:rsidP="00D15CFF">
            <w:pPr>
              <w:pStyle w:val="TableCenter"/>
              <w:rPr>
                <w:sz w:val="24"/>
              </w:rPr>
            </w:pPr>
            <w:r w:rsidRPr="00D15CFF">
              <w:rPr>
                <w:sz w:val="24"/>
              </w:rPr>
              <w:t>2.5</w:t>
            </w:r>
          </w:p>
        </w:tc>
      </w:tr>
      <w:tr w:rsidR="0012092E" w:rsidRPr="00D15CFF" w14:paraId="2869F842" w14:textId="77777777" w:rsidTr="00D15CFF">
        <w:tc>
          <w:tcPr>
            <w:tcW w:w="3828" w:type="dxa"/>
          </w:tcPr>
          <w:p w14:paraId="098D4F7C" w14:textId="77777777" w:rsidR="0012092E" w:rsidRPr="00D15CFF" w:rsidRDefault="0012092E" w:rsidP="00D15CFF">
            <w:pPr>
              <w:pStyle w:val="TableLeft"/>
              <w:rPr>
                <w:sz w:val="24"/>
              </w:rPr>
            </w:pPr>
            <w:r w:rsidRPr="00D15CFF">
              <w:rPr>
                <w:sz w:val="24"/>
              </w:rPr>
              <w:t>Arthralgia</w:t>
            </w:r>
          </w:p>
        </w:tc>
        <w:tc>
          <w:tcPr>
            <w:tcW w:w="2971" w:type="dxa"/>
          </w:tcPr>
          <w:p w14:paraId="0D2EF95A" w14:textId="77777777" w:rsidR="0012092E" w:rsidRPr="00D15CFF" w:rsidDel="00AC76AF" w:rsidRDefault="0012092E" w:rsidP="00D15CFF">
            <w:pPr>
              <w:pStyle w:val="TableCenter"/>
              <w:rPr>
                <w:sz w:val="24"/>
              </w:rPr>
            </w:pPr>
            <w:r w:rsidRPr="00D15CFF">
              <w:rPr>
                <w:sz w:val="24"/>
              </w:rPr>
              <w:t>3.9</w:t>
            </w:r>
          </w:p>
        </w:tc>
        <w:tc>
          <w:tcPr>
            <w:tcW w:w="2835" w:type="dxa"/>
          </w:tcPr>
          <w:p w14:paraId="5E20B91A" w14:textId="77777777" w:rsidR="0012092E" w:rsidRPr="00D15CFF" w:rsidDel="00AC76AF" w:rsidRDefault="0012092E" w:rsidP="00D15CFF">
            <w:pPr>
              <w:pStyle w:val="TableCenter"/>
              <w:rPr>
                <w:sz w:val="24"/>
              </w:rPr>
            </w:pPr>
            <w:r w:rsidRPr="00D15CFF">
              <w:rPr>
                <w:sz w:val="24"/>
              </w:rPr>
              <w:t>2.2</w:t>
            </w:r>
          </w:p>
        </w:tc>
      </w:tr>
      <w:tr w:rsidR="0012092E" w:rsidRPr="00D15CFF" w14:paraId="250AB3DB" w14:textId="77777777" w:rsidTr="00D15CFF">
        <w:tc>
          <w:tcPr>
            <w:tcW w:w="3828" w:type="dxa"/>
          </w:tcPr>
          <w:p w14:paraId="0465BF57" w14:textId="77777777" w:rsidR="0012092E" w:rsidRPr="00D15CFF" w:rsidRDefault="0012092E" w:rsidP="00D15CFF">
            <w:pPr>
              <w:pStyle w:val="TableLeft"/>
              <w:rPr>
                <w:sz w:val="24"/>
              </w:rPr>
            </w:pPr>
            <w:r w:rsidRPr="00D15CFF">
              <w:rPr>
                <w:sz w:val="24"/>
              </w:rPr>
              <w:t>Cough</w:t>
            </w:r>
          </w:p>
        </w:tc>
        <w:tc>
          <w:tcPr>
            <w:tcW w:w="2971" w:type="dxa"/>
          </w:tcPr>
          <w:p w14:paraId="4E6A2B65" w14:textId="77777777" w:rsidR="0012092E" w:rsidRPr="00D15CFF" w:rsidRDefault="0012092E" w:rsidP="00D15CFF">
            <w:pPr>
              <w:pStyle w:val="TableCenter"/>
              <w:rPr>
                <w:sz w:val="24"/>
              </w:rPr>
            </w:pPr>
            <w:r w:rsidRPr="00D15CFF">
              <w:rPr>
                <w:sz w:val="24"/>
              </w:rPr>
              <w:t>3.3</w:t>
            </w:r>
          </w:p>
        </w:tc>
        <w:tc>
          <w:tcPr>
            <w:tcW w:w="2835" w:type="dxa"/>
          </w:tcPr>
          <w:p w14:paraId="5A0FA3C5" w14:textId="77777777" w:rsidR="0012092E" w:rsidRPr="00D15CFF" w:rsidRDefault="0012092E" w:rsidP="00D15CFF">
            <w:pPr>
              <w:pStyle w:val="TableCenter"/>
              <w:rPr>
                <w:sz w:val="24"/>
              </w:rPr>
            </w:pPr>
            <w:r w:rsidRPr="00D15CFF">
              <w:rPr>
                <w:sz w:val="24"/>
              </w:rPr>
              <w:t>2.1</w:t>
            </w:r>
          </w:p>
        </w:tc>
      </w:tr>
    </w:tbl>
    <w:p w14:paraId="26A292A1" w14:textId="77777777" w:rsidR="0012092E" w:rsidRPr="0012092E" w:rsidRDefault="0012092E" w:rsidP="00D15CFF">
      <w:pPr>
        <w:pStyle w:val="TableFootnoteLetter"/>
      </w:pPr>
      <w:r w:rsidRPr="0012092E">
        <w:t>Headache was also identified as an adverse drug reaction</w:t>
      </w:r>
    </w:p>
    <w:p w14:paraId="45DFFB90" w14:textId="61732B48" w:rsidR="0012092E" w:rsidRPr="0012092E" w:rsidRDefault="0012092E" w:rsidP="00D15CFF">
      <w:pPr>
        <w:pStyle w:val="TableFootnoteLetter"/>
      </w:pPr>
      <w:r w:rsidRPr="0012092E">
        <w:t>Pharyngitis was also identified as an adverse drug reaction which was defined by the following grouped preferred terms ‘Pharyngitis’, ‘Pharyngitis bacterial’, ‘Viral pharyngitis’, ‘Pharyngitis streptococcal’ (grouped adverse drug reaction rate of 5.0% Fasenra and 3.4% placebo)</w:t>
      </w:r>
    </w:p>
    <w:p w14:paraId="3CC28B52" w14:textId="77777777" w:rsidR="0012092E" w:rsidRPr="0012092E" w:rsidRDefault="0012092E" w:rsidP="0012092E">
      <w:pPr>
        <w:pStyle w:val="Paragraph"/>
      </w:pPr>
    </w:p>
    <w:p w14:paraId="0E67919F" w14:textId="6FDCFF82" w:rsidR="0012092E" w:rsidRDefault="0012092E" w:rsidP="00D15CFF">
      <w:pPr>
        <w:pStyle w:val="TableTitle"/>
      </w:pPr>
      <w:bookmarkStart w:id="10" w:name="_Ref502925757"/>
      <w:r w:rsidRPr="0012092E">
        <w:t xml:space="preserve">Table </w:t>
      </w:r>
      <w:r w:rsidRPr="0012092E">
        <w:fldChar w:fldCharType="begin"/>
      </w:r>
      <w:r w:rsidRPr="0012092E">
        <w:instrText xml:space="preserve"> SEQ Table \* ARABIC </w:instrText>
      </w:r>
      <w:r w:rsidRPr="0012092E">
        <w:fldChar w:fldCharType="separate"/>
      </w:r>
      <w:r w:rsidR="00997102">
        <w:rPr>
          <w:noProof/>
        </w:rPr>
        <w:t>2</w:t>
      </w:r>
      <w:r w:rsidRPr="0012092E">
        <w:rPr>
          <w:lang w:val="en-AU"/>
        </w:rPr>
        <w:fldChar w:fldCharType="end"/>
      </w:r>
      <w:bookmarkEnd w:id="10"/>
      <w:r w:rsidRPr="0012092E">
        <w:tab/>
        <w:t>Adverse drug reactions reported at a frequency less than 3% (SIROCCO/CALIMA - safety analyses set)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4394"/>
        <w:gridCol w:w="3406"/>
      </w:tblGrid>
      <w:tr w:rsidR="00CC2425" w:rsidRPr="00503CDA" w14:paraId="715FE260" w14:textId="77777777" w:rsidTr="00503CDA">
        <w:trPr>
          <w:cantSplit/>
          <w:tblHeader/>
        </w:trPr>
        <w:tc>
          <w:tcPr>
            <w:tcW w:w="1838" w:type="dxa"/>
            <w:shd w:val="clear" w:color="auto" w:fill="auto"/>
          </w:tcPr>
          <w:p w14:paraId="364A4985" w14:textId="77777777" w:rsidR="00CC2425" w:rsidRPr="00503CDA" w:rsidRDefault="00CC2425" w:rsidP="00CC2425">
            <w:pPr>
              <w:spacing w:before="40" w:after="40" w:line="240" w:lineRule="auto"/>
              <w:rPr>
                <w:b/>
                <w:sz w:val="22"/>
                <w:szCs w:val="22"/>
                <w:lang w:val="en-AU"/>
              </w:rPr>
            </w:pPr>
            <w:r w:rsidRPr="00503CDA">
              <w:rPr>
                <w:b/>
                <w:sz w:val="22"/>
                <w:szCs w:val="22"/>
                <w:lang w:val="en-AU"/>
              </w:rPr>
              <w:t>Frequency</w:t>
            </w:r>
          </w:p>
        </w:tc>
        <w:tc>
          <w:tcPr>
            <w:tcW w:w="4394" w:type="dxa"/>
            <w:shd w:val="clear" w:color="auto" w:fill="auto"/>
          </w:tcPr>
          <w:p w14:paraId="5AF3351A" w14:textId="77777777" w:rsidR="00CC2425" w:rsidRPr="00503CDA" w:rsidRDefault="00CC2425" w:rsidP="00CC2425">
            <w:pPr>
              <w:spacing w:before="40" w:after="40" w:line="240" w:lineRule="auto"/>
              <w:rPr>
                <w:b/>
                <w:sz w:val="22"/>
                <w:szCs w:val="22"/>
                <w:lang w:val="en-AU"/>
              </w:rPr>
            </w:pPr>
            <w:r w:rsidRPr="00503CDA">
              <w:rPr>
                <w:b/>
                <w:sz w:val="22"/>
                <w:szCs w:val="22"/>
                <w:lang w:val="en-AU"/>
              </w:rPr>
              <w:t>System Order Class</w:t>
            </w:r>
          </w:p>
        </w:tc>
        <w:tc>
          <w:tcPr>
            <w:tcW w:w="3406" w:type="dxa"/>
            <w:shd w:val="clear" w:color="auto" w:fill="auto"/>
          </w:tcPr>
          <w:p w14:paraId="3F4912B8" w14:textId="77777777" w:rsidR="00CC2425" w:rsidRPr="00503CDA" w:rsidRDefault="00CC2425" w:rsidP="00CC2425">
            <w:pPr>
              <w:spacing w:before="40" w:after="40" w:line="240" w:lineRule="auto"/>
              <w:rPr>
                <w:b/>
                <w:sz w:val="22"/>
                <w:szCs w:val="22"/>
                <w:lang w:val="en-AU"/>
              </w:rPr>
            </w:pPr>
            <w:r w:rsidRPr="00503CDA">
              <w:rPr>
                <w:b/>
                <w:sz w:val="22"/>
                <w:szCs w:val="22"/>
                <w:lang w:val="en-AU"/>
              </w:rPr>
              <w:t>Event</w:t>
            </w:r>
          </w:p>
        </w:tc>
      </w:tr>
      <w:tr w:rsidR="00CC2425" w:rsidRPr="00503CDA" w14:paraId="4B4F899C" w14:textId="77777777" w:rsidTr="00503CDA">
        <w:trPr>
          <w:cantSplit/>
        </w:trPr>
        <w:tc>
          <w:tcPr>
            <w:tcW w:w="1838" w:type="dxa"/>
            <w:vMerge w:val="restart"/>
            <w:shd w:val="clear" w:color="auto" w:fill="auto"/>
          </w:tcPr>
          <w:p w14:paraId="067C6C4C" w14:textId="77777777" w:rsidR="00CC2425" w:rsidRPr="00503CDA" w:rsidRDefault="0012092E" w:rsidP="00CC2425">
            <w:pPr>
              <w:spacing w:before="40" w:after="40"/>
              <w:rPr>
                <w:rFonts w:cs="Arial"/>
                <w:bCs/>
                <w:kern w:val="32"/>
                <w:sz w:val="22"/>
                <w:szCs w:val="22"/>
                <w:lang w:val="en-AU"/>
              </w:rPr>
            </w:pPr>
            <w:r w:rsidRPr="00503CDA">
              <w:rPr>
                <w:rFonts w:cs="Arial"/>
                <w:bCs/>
                <w:kern w:val="32"/>
                <w:sz w:val="22"/>
                <w:szCs w:val="22"/>
              </w:rPr>
              <w:t>Common</w:t>
            </w:r>
            <w:r w:rsidRPr="00503CDA">
              <w:rPr>
                <w:rFonts w:cs="Arial"/>
                <w:bCs/>
                <w:kern w:val="32"/>
                <w:sz w:val="22"/>
                <w:szCs w:val="22"/>
              </w:rPr>
              <w:br/>
              <w:t>(≥1% - &lt;10%*)</w:t>
            </w:r>
          </w:p>
        </w:tc>
        <w:tc>
          <w:tcPr>
            <w:tcW w:w="4394" w:type="dxa"/>
            <w:shd w:val="clear" w:color="auto" w:fill="auto"/>
          </w:tcPr>
          <w:p w14:paraId="6E5356FB" w14:textId="77777777" w:rsidR="00CC2425" w:rsidRPr="00503CDA" w:rsidRDefault="00CC2425" w:rsidP="00CC2425">
            <w:pPr>
              <w:spacing w:before="40" w:after="40"/>
              <w:rPr>
                <w:rFonts w:cs="Arial"/>
                <w:bCs/>
                <w:i/>
                <w:kern w:val="32"/>
                <w:sz w:val="22"/>
                <w:szCs w:val="22"/>
                <w:lang w:val="en-AU"/>
              </w:rPr>
            </w:pPr>
            <w:r w:rsidRPr="00503CDA">
              <w:rPr>
                <w:rFonts w:cs="Arial"/>
                <w:bCs/>
                <w:i/>
                <w:kern w:val="32"/>
                <w:sz w:val="22"/>
                <w:szCs w:val="22"/>
                <w:lang w:val="en-AU"/>
              </w:rPr>
              <w:t>Immune system disorders</w:t>
            </w:r>
          </w:p>
        </w:tc>
        <w:tc>
          <w:tcPr>
            <w:tcW w:w="3406" w:type="dxa"/>
            <w:shd w:val="clear" w:color="auto" w:fill="auto"/>
          </w:tcPr>
          <w:p w14:paraId="0E3CBDF1" w14:textId="77777777" w:rsidR="00CC2425" w:rsidRPr="00503CDA" w:rsidRDefault="0012092E" w:rsidP="00CC2425">
            <w:pPr>
              <w:spacing w:before="40" w:after="40"/>
              <w:rPr>
                <w:rFonts w:cs="Arial"/>
                <w:bCs/>
                <w:kern w:val="32"/>
                <w:sz w:val="22"/>
                <w:szCs w:val="22"/>
                <w:lang w:val="en-AU"/>
              </w:rPr>
            </w:pPr>
            <w:r w:rsidRPr="00503CDA">
              <w:rPr>
                <w:rFonts w:cs="Arial"/>
                <w:bCs/>
                <w:kern w:val="32"/>
                <w:sz w:val="22"/>
                <w:szCs w:val="22"/>
              </w:rPr>
              <w:t xml:space="preserve">Hypersensitivity </w:t>
            </w:r>
            <w:proofErr w:type="spellStart"/>
            <w:r w:rsidRPr="00503CDA">
              <w:rPr>
                <w:rFonts w:cs="Arial"/>
                <w:bCs/>
                <w:kern w:val="32"/>
                <w:sz w:val="22"/>
                <w:szCs w:val="22"/>
              </w:rPr>
              <w:t>reactions</w:t>
            </w:r>
            <w:r w:rsidRPr="00503CDA">
              <w:rPr>
                <w:rFonts w:cs="Arial"/>
                <w:bCs/>
                <w:kern w:val="32"/>
                <w:sz w:val="22"/>
                <w:szCs w:val="22"/>
                <w:vertAlign w:val="superscript"/>
              </w:rPr>
              <w:t>a</w:t>
            </w:r>
            <w:proofErr w:type="spellEnd"/>
          </w:p>
        </w:tc>
      </w:tr>
      <w:tr w:rsidR="004C4C08" w:rsidRPr="00503CDA" w14:paraId="655EBC29" w14:textId="77777777" w:rsidTr="00503CDA">
        <w:trPr>
          <w:cantSplit/>
        </w:trPr>
        <w:tc>
          <w:tcPr>
            <w:tcW w:w="1838" w:type="dxa"/>
            <w:vMerge/>
            <w:shd w:val="clear" w:color="auto" w:fill="auto"/>
          </w:tcPr>
          <w:p w14:paraId="455F1551" w14:textId="77777777" w:rsidR="004C4C08" w:rsidRPr="00503CDA" w:rsidRDefault="004C4C08" w:rsidP="004C4C08">
            <w:pPr>
              <w:spacing w:before="40" w:after="40"/>
              <w:rPr>
                <w:rFonts w:cs="Arial"/>
                <w:bCs/>
                <w:kern w:val="32"/>
                <w:sz w:val="22"/>
                <w:szCs w:val="22"/>
                <w:lang w:val="en-AU"/>
              </w:rPr>
            </w:pPr>
          </w:p>
        </w:tc>
        <w:tc>
          <w:tcPr>
            <w:tcW w:w="4394" w:type="dxa"/>
            <w:shd w:val="clear" w:color="auto" w:fill="auto"/>
          </w:tcPr>
          <w:p w14:paraId="6BC190A0" w14:textId="77777777" w:rsidR="004C4C08" w:rsidRPr="00503CDA" w:rsidRDefault="004C4C08" w:rsidP="004C4C08">
            <w:pPr>
              <w:spacing w:before="40" w:after="40"/>
              <w:rPr>
                <w:rFonts w:cs="Arial"/>
                <w:bCs/>
                <w:kern w:val="32"/>
                <w:sz w:val="22"/>
                <w:szCs w:val="22"/>
                <w:lang w:val="en-AU"/>
              </w:rPr>
            </w:pPr>
            <w:r w:rsidRPr="00503CDA">
              <w:rPr>
                <w:rFonts w:cs="Arial"/>
                <w:bCs/>
                <w:i/>
                <w:kern w:val="32"/>
                <w:sz w:val="22"/>
                <w:szCs w:val="22"/>
              </w:rPr>
              <w:t>General disorders &amp; administration site conditions</w:t>
            </w:r>
          </w:p>
        </w:tc>
        <w:tc>
          <w:tcPr>
            <w:tcW w:w="3406" w:type="dxa"/>
            <w:shd w:val="clear" w:color="auto" w:fill="auto"/>
          </w:tcPr>
          <w:p w14:paraId="7BD63FE9" w14:textId="227BE51F" w:rsidR="004C4C08" w:rsidRPr="004C4C08" w:rsidRDefault="004C4C08" w:rsidP="004C4C08">
            <w:pPr>
              <w:spacing w:before="40" w:after="40"/>
              <w:rPr>
                <w:rFonts w:cs="Arial"/>
                <w:bCs/>
                <w:kern w:val="32"/>
                <w:sz w:val="22"/>
                <w:szCs w:val="22"/>
                <w:lang w:val="en-AU"/>
              </w:rPr>
            </w:pPr>
            <w:proofErr w:type="spellStart"/>
            <w:r w:rsidRPr="00503CDA">
              <w:rPr>
                <w:rFonts w:cs="Arial"/>
                <w:bCs/>
                <w:kern w:val="32"/>
                <w:sz w:val="22"/>
                <w:szCs w:val="22"/>
              </w:rPr>
              <w:t>Pyrexia</w:t>
            </w:r>
            <w:r w:rsidRPr="00503CDA">
              <w:rPr>
                <w:rFonts w:cs="Arial"/>
                <w:bCs/>
                <w:kern w:val="32"/>
                <w:sz w:val="22"/>
                <w:szCs w:val="22"/>
                <w:vertAlign w:val="superscript"/>
              </w:rPr>
              <w:t>b</w:t>
            </w:r>
            <w:proofErr w:type="spellEnd"/>
            <w:r>
              <w:rPr>
                <w:rFonts w:cs="Arial"/>
                <w:bCs/>
                <w:kern w:val="32"/>
                <w:sz w:val="22"/>
                <w:szCs w:val="22"/>
              </w:rPr>
              <w:t xml:space="preserve">; </w:t>
            </w:r>
            <w:r w:rsidRPr="00503CDA">
              <w:rPr>
                <w:rFonts w:cs="Arial"/>
                <w:bCs/>
                <w:kern w:val="32"/>
                <w:sz w:val="22"/>
                <w:szCs w:val="22"/>
              </w:rPr>
              <w:t xml:space="preserve">Injection site </w:t>
            </w:r>
            <w:proofErr w:type="spellStart"/>
            <w:r w:rsidRPr="00503CDA">
              <w:rPr>
                <w:rFonts w:cs="Arial"/>
                <w:bCs/>
                <w:kern w:val="32"/>
                <w:sz w:val="22"/>
                <w:szCs w:val="22"/>
              </w:rPr>
              <w:t>reactions</w:t>
            </w:r>
            <w:r w:rsidRPr="00503CDA">
              <w:rPr>
                <w:rFonts w:cs="Arial"/>
                <w:bCs/>
                <w:kern w:val="32"/>
                <w:sz w:val="22"/>
                <w:szCs w:val="22"/>
                <w:vertAlign w:val="superscript"/>
              </w:rPr>
              <w:t>c</w:t>
            </w:r>
            <w:proofErr w:type="spellEnd"/>
          </w:p>
        </w:tc>
      </w:tr>
    </w:tbl>
    <w:p w14:paraId="17B4B706" w14:textId="7C9E17DF" w:rsidR="0012092E" w:rsidRPr="00D15CFF" w:rsidRDefault="00382574" w:rsidP="00382574">
      <w:pPr>
        <w:pStyle w:val="TableFootnoteInfo"/>
      </w:pPr>
      <w:r>
        <w:t xml:space="preserve">* </w:t>
      </w:r>
      <w:r w:rsidR="0012092E" w:rsidRPr="00D15CFF">
        <w:t xml:space="preserve">Definition of </w:t>
      </w:r>
      <w:r w:rsidR="00D15CFF">
        <w:t>common</w:t>
      </w:r>
      <w:r w:rsidR="0012092E" w:rsidRPr="00D15CFF">
        <w:t xml:space="preserve">, however only adverse reactions less than 3% included within this table.  See above for </w:t>
      </w:r>
      <w:proofErr w:type="gramStart"/>
      <w:r w:rsidR="0012092E" w:rsidRPr="00D15CFF">
        <w:t>those ≥3%</w:t>
      </w:r>
      <w:proofErr w:type="gramEnd"/>
    </w:p>
    <w:p w14:paraId="0ADE20DF" w14:textId="64AFAE00" w:rsidR="0012092E" w:rsidRPr="0012092E" w:rsidRDefault="0012092E" w:rsidP="00D15CFF">
      <w:pPr>
        <w:pStyle w:val="TableFootnoteLetter"/>
        <w:numPr>
          <w:ilvl w:val="0"/>
          <w:numId w:val="40"/>
        </w:numPr>
      </w:pPr>
      <w:r w:rsidRPr="0012092E">
        <w:t>In placebo-controlled trials (SIROCCO and CALIMA), hypersensitivity reactions (defined as urticaria, urticaria papular and rash) occurred at a rate of 3.2% in both patients treated with the indicated benralizumab dose and those treated with placebo.  See</w:t>
      </w:r>
      <w:r w:rsidR="00330B29">
        <w:t xml:space="preserve"> Section </w:t>
      </w:r>
      <w:r w:rsidR="00330B29">
        <w:fldChar w:fldCharType="begin"/>
      </w:r>
      <w:r w:rsidR="00330B29">
        <w:instrText xml:space="preserve"> REF _Ref505358232 \r \h </w:instrText>
      </w:r>
      <w:r w:rsidR="00330B29">
        <w:fldChar w:fldCharType="separate"/>
      </w:r>
      <w:r w:rsidR="00997102">
        <w:t>4.4</w:t>
      </w:r>
      <w:r w:rsidR="00330B29">
        <w:fldChar w:fldCharType="end"/>
      </w:r>
      <w:r w:rsidR="00330B29">
        <w:t xml:space="preserve"> [</w:t>
      </w:r>
      <w:r w:rsidRPr="00087272">
        <w:rPr>
          <w:i/>
        </w:rPr>
        <w:t>Hypersensitivity reactions</w:t>
      </w:r>
      <w:r w:rsidR="00330B29">
        <w:t>]</w:t>
      </w:r>
    </w:p>
    <w:p w14:paraId="069FCDA0" w14:textId="77777777" w:rsidR="0012092E" w:rsidRPr="0012092E" w:rsidRDefault="0012092E" w:rsidP="00D15CFF">
      <w:pPr>
        <w:pStyle w:val="TableFootnoteLetter"/>
      </w:pPr>
      <w:r w:rsidRPr="0012092E">
        <w:t>Pyrexia was also reported as an adverse drug reaction in SIROCCO and CALIMA with a rate of 2.9% and 1.7% in patients treated with benralizumab and placebo respectively</w:t>
      </w:r>
    </w:p>
    <w:p w14:paraId="3BA038F5" w14:textId="7C47D39C" w:rsidR="0012092E" w:rsidRPr="0012092E" w:rsidRDefault="0012092E" w:rsidP="00D15CFF">
      <w:pPr>
        <w:pStyle w:val="TableFootnoteLetter"/>
      </w:pPr>
      <w:r w:rsidRPr="0012092E">
        <w:t>In placebo-controlled trials (SIROCCO and CALIMA), injection site reactions (</w:t>
      </w:r>
      <w:proofErr w:type="spellStart"/>
      <w:r w:rsidRPr="0012092E">
        <w:t>eg</w:t>
      </w:r>
      <w:proofErr w:type="spellEnd"/>
      <w:r w:rsidRPr="0012092E">
        <w:t xml:space="preserve"> pain, erythema, pruritus, papule) occurred at a rate of 2.2% in patients treated with the indicated benralizumab dose compared with 1.9% in patients treated with placebo.</w:t>
      </w:r>
    </w:p>
    <w:p w14:paraId="0CB5F3F0" w14:textId="77777777" w:rsidR="0012092E" w:rsidRDefault="0012092E" w:rsidP="0012092E">
      <w:pPr>
        <w:pStyle w:val="Paragraph"/>
        <w:rPr>
          <w:lang w:val="en-AU"/>
        </w:rPr>
      </w:pPr>
    </w:p>
    <w:p w14:paraId="3B5BE500" w14:textId="77777777" w:rsidR="00CC2425" w:rsidRPr="00CC2425" w:rsidRDefault="00CC2425" w:rsidP="00D11FA5">
      <w:pPr>
        <w:pStyle w:val="Heading5unnumbered"/>
      </w:pPr>
      <w:r w:rsidRPr="00CC2425">
        <w:t>Adolescents (12 to 17 years of age)</w:t>
      </w:r>
    </w:p>
    <w:p w14:paraId="4F6D0E49" w14:textId="77777777" w:rsidR="00CC2425" w:rsidRPr="00CC2425" w:rsidRDefault="00CC2425" w:rsidP="00CC2425">
      <w:pPr>
        <w:pStyle w:val="Paragraph"/>
        <w:rPr>
          <w:lang w:val="en-AU"/>
        </w:rPr>
      </w:pPr>
      <w:r w:rsidRPr="00CC2425">
        <w:rPr>
          <w:lang w:val="en-AU"/>
        </w:rPr>
        <w:t>The frequency, type and severity of adverse drug reactions in the adolescent population were observed to be similar to those seen in adults.</w:t>
      </w:r>
    </w:p>
    <w:p w14:paraId="25C9E5D5" w14:textId="77777777" w:rsidR="00CC2425" w:rsidRPr="00CC2425" w:rsidRDefault="00CC2425" w:rsidP="00503CDA">
      <w:pPr>
        <w:pStyle w:val="Heading4Unnumbered"/>
      </w:pPr>
      <w:r w:rsidRPr="00CC2425">
        <w:t>Phase 3 OCS sparing trial (ZONDA)</w:t>
      </w:r>
    </w:p>
    <w:p w14:paraId="4D82D1A7" w14:textId="1DB71B98" w:rsidR="00CC2425" w:rsidRPr="00CC2425" w:rsidRDefault="00CC2425" w:rsidP="00CC2425">
      <w:pPr>
        <w:pStyle w:val="Paragraph"/>
        <w:rPr>
          <w:lang w:val="en-AU"/>
        </w:rPr>
      </w:pPr>
      <w:r w:rsidRPr="00CC2425">
        <w:rPr>
          <w:lang w:val="en-AU"/>
        </w:rPr>
        <w:t>In ZONDA all patients were taking daily OCS (7.5 to 40 mg per day) in addition to regular use of high-dose ICS/LABA.  In general, the safety results in ZONDA were similar to those observed in SIROCCO and CALIMA.</w:t>
      </w:r>
    </w:p>
    <w:p w14:paraId="2EB1D321" w14:textId="77777777" w:rsidR="00CC2425" w:rsidRPr="00CC2425" w:rsidRDefault="00CC2425" w:rsidP="00503CDA">
      <w:pPr>
        <w:pStyle w:val="Heading4Unnumbered"/>
      </w:pPr>
      <w:r w:rsidRPr="00CC2425">
        <w:lastRenderedPageBreak/>
        <w:t>Immunogenicity</w:t>
      </w:r>
    </w:p>
    <w:p w14:paraId="76FD5C32" w14:textId="6F2226D9" w:rsidR="00CC2425" w:rsidRDefault="00CC2425" w:rsidP="00CC2425">
      <w:pPr>
        <w:pStyle w:val="Paragraph"/>
        <w:rPr>
          <w:lang w:val="en-AU"/>
        </w:rPr>
      </w:pPr>
      <w:r w:rsidRPr="00CC2425">
        <w:rPr>
          <w:lang w:val="en-AU"/>
        </w:rPr>
        <w:t>Treatment with benralizumab, like other monoclonal antibodies, may result in an anti-drug antibody (ADA) response (see</w:t>
      </w:r>
      <w:r w:rsidR="00D11FA5">
        <w:rPr>
          <w:lang w:val="en-AU"/>
        </w:rPr>
        <w:t xml:space="preserve"> Section </w:t>
      </w:r>
      <w:r w:rsidR="00D11FA5">
        <w:rPr>
          <w:lang w:val="en-AU"/>
        </w:rPr>
        <w:fldChar w:fldCharType="begin"/>
      </w:r>
      <w:r w:rsidR="00D11FA5">
        <w:rPr>
          <w:lang w:val="en-AU"/>
        </w:rPr>
        <w:instrText xml:space="preserve"> REF _Ref505579241 \r \h </w:instrText>
      </w:r>
      <w:r w:rsidR="00D11FA5">
        <w:rPr>
          <w:lang w:val="en-AU"/>
        </w:rPr>
      </w:r>
      <w:r w:rsidR="00D11FA5">
        <w:rPr>
          <w:lang w:val="en-AU"/>
        </w:rPr>
        <w:fldChar w:fldCharType="separate"/>
      </w:r>
      <w:r w:rsidR="00997102">
        <w:rPr>
          <w:lang w:val="en-AU"/>
        </w:rPr>
        <w:t>5.1</w:t>
      </w:r>
      <w:r w:rsidR="00D11FA5">
        <w:rPr>
          <w:lang w:val="en-AU"/>
        </w:rPr>
        <w:fldChar w:fldCharType="end"/>
      </w:r>
      <w:r w:rsidR="00D11FA5">
        <w:rPr>
          <w:lang w:val="en-AU"/>
        </w:rPr>
        <w:t xml:space="preserve"> [</w:t>
      </w:r>
      <w:r w:rsidRPr="00CC2425">
        <w:rPr>
          <w:i/>
          <w:lang w:val="en-AU"/>
        </w:rPr>
        <w:t>Immunogenicity</w:t>
      </w:r>
      <w:r w:rsidR="00D11FA5" w:rsidRPr="00D11FA5">
        <w:rPr>
          <w:lang w:val="en-AU"/>
        </w:rPr>
        <w:t>]</w:t>
      </w:r>
      <w:r w:rsidRPr="00CC2425">
        <w:rPr>
          <w:lang w:val="en-AU"/>
        </w:rPr>
        <w:t>).  However, there is no apparent correlation of ADA development to efficacy or adverse events.</w:t>
      </w:r>
    </w:p>
    <w:p w14:paraId="286B3D52" w14:textId="77777777" w:rsidR="00313C53" w:rsidRDefault="00313C53" w:rsidP="00313C53">
      <w:pPr>
        <w:pStyle w:val="Heading3Unnumbered"/>
      </w:pPr>
      <w:r>
        <w:t>Reporting of suspected adverse reactions</w:t>
      </w:r>
    </w:p>
    <w:p w14:paraId="351C3E51" w14:textId="6F6D252A" w:rsidR="00313C53" w:rsidRPr="00677D6E" w:rsidRDefault="00313C53" w:rsidP="00313C53">
      <w:pPr>
        <w:pStyle w:val="Paragraph"/>
      </w:pPr>
      <w:r w:rsidRPr="00446EDD">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20" w:history="1">
        <w:r w:rsidRPr="009B2771">
          <w:rPr>
            <w:rStyle w:val="Hyperlink"/>
          </w:rPr>
          <w:t>http://www.tga.gov.au/reporting-problems</w:t>
        </w:r>
      </w:hyperlink>
      <w:r w:rsidRPr="00446EDD">
        <w:t>.</w:t>
      </w:r>
    </w:p>
    <w:p w14:paraId="5017E301" w14:textId="77777777" w:rsidR="001A3992" w:rsidRPr="00503CDA" w:rsidRDefault="001A3992" w:rsidP="00EE3AC8">
      <w:pPr>
        <w:pStyle w:val="Heading2"/>
        <w:rPr>
          <w:lang w:val="en-AU"/>
        </w:rPr>
      </w:pPr>
      <w:r w:rsidRPr="00503CDA">
        <w:rPr>
          <w:lang w:val="en-AU"/>
        </w:rPr>
        <w:t>Overdose</w:t>
      </w:r>
    </w:p>
    <w:p w14:paraId="3F6C80B8" w14:textId="77777777" w:rsidR="003063CE" w:rsidRPr="003063CE" w:rsidRDefault="003063CE" w:rsidP="003063CE">
      <w:pPr>
        <w:pStyle w:val="Paragraph"/>
        <w:rPr>
          <w:lang w:val="en-AU"/>
        </w:rPr>
      </w:pPr>
      <w:r w:rsidRPr="003063CE">
        <w:rPr>
          <w:lang w:val="en-AU"/>
        </w:rPr>
        <w:t>Doses of up to 200 mg were administered subcutaneously in clinical trials to patients with eosinophilic disease without evidence of dose-related toxicities.</w:t>
      </w:r>
    </w:p>
    <w:p w14:paraId="4092E723" w14:textId="77777777" w:rsidR="003063CE" w:rsidRDefault="003063CE" w:rsidP="003063CE">
      <w:pPr>
        <w:pStyle w:val="Paragraph"/>
        <w:rPr>
          <w:lang w:val="en-AU"/>
        </w:rPr>
      </w:pPr>
      <w:r w:rsidRPr="003063CE">
        <w:rPr>
          <w:lang w:val="en-AU"/>
        </w:rPr>
        <w:t>There is no specific treatment for an overdose with benralizumab. If overdose occurs, the patient should be treated supportively with appropriate monitoring as necessary.</w:t>
      </w:r>
    </w:p>
    <w:p w14:paraId="5EBA10D1" w14:textId="77777777" w:rsidR="001D3AF3" w:rsidRPr="00503CDA" w:rsidRDefault="001D3AF3" w:rsidP="003063CE">
      <w:pPr>
        <w:pStyle w:val="Paragraph"/>
        <w:rPr>
          <w:lang w:val="en-AU"/>
        </w:rPr>
      </w:pPr>
      <w:r w:rsidRPr="00503CDA">
        <w:rPr>
          <w:lang w:val="en-AU"/>
        </w:rPr>
        <w:t>For information on the management of overdose, contact the Poison Information Centre on 131126 (Australia).</w:t>
      </w:r>
    </w:p>
    <w:p w14:paraId="28E61CD6" w14:textId="77777777" w:rsidR="001A3992" w:rsidRPr="00D11FA5" w:rsidRDefault="001A3992" w:rsidP="00881EA6">
      <w:pPr>
        <w:pStyle w:val="Heading1"/>
        <w:keepNext w:val="0"/>
        <w:rPr>
          <w:lang w:val="en-AU"/>
        </w:rPr>
      </w:pPr>
      <w:r w:rsidRPr="00D11FA5">
        <w:rPr>
          <w:lang w:val="en-AU"/>
        </w:rPr>
        <w:t>Pharmacological properties</w:t>
      </w:r>
    </w:p>
    <w:p w14:paraId="1EED1170" w14:textId="77777777" w:rsidR="001A3992" w:rsidRPr="00D11FA5" w:rsidRDefault="007403BD" w:rsidP="00EE3AC8">
      <w:pPr>
        <w:pStyle w:val="Heading2"/>
        <w:rPr>
          <w:lang w:val="en-AU"/>
        </w:rPr>
      </w:pPr>
      <w:bookmarkStart w:id="11" w:name="_Ref505579241"/>
      <w:r w:rsidRPr="00D11FA5">
        <w:rPr>
          <w:lang w:val="en-AU"/>
        </w:rPr>
        <w:t>Pharmacodynamic properties</w:t>
      </w:r>
      <w:bookmarkEnd w:id="11"/>
    </w:p>
    <w:p w14:paraId="07C2CB69" w14:textId="3B91274B" w:rsidR="001A3992" w:rsidRPr="00D11FA5" w:rsidRDefault="001A3992" w:rsidP="0026491B">
      <w:pPr>
        <w:pStyle w:val="Heading3Unnumbered"/>
        <w:rPr>
          <w:lang w:val="en-AU"/>
        </w:rPr>
      </w:pPr>
      <w:r w:rsidRPr="00D11FA5">
        <w:rPr>
          <w:lang w:val="en-AU"/>
        </w:rPr>
        <w:t>Mechanism of action</w:t>
      </w:r>
    </w:p>
    <w:p w14:paraId="089868E3" w14:textId="11BA5671" w:rsidR="000B28B3" w:rsidRPr="000B28B3" w:rsidRDefault="000B28B3" w:rsidP="000B28B3">
      <w:pPr>
        <w:pStyle w:val="Paragraph"/>
        <w:rPr>
          <w:lang w:val="en-AU"/>
        </w:rPr>
      </w:pPr>
      <w:r w:rsidRPr="000B28B3">
        <w:rPr>
          <w:lang w:val="en-AU"/>
        </w:rPr>
        <w:t>Benralizumab is an antibody that binds to the alpha subunit of the human interleukin-5 receptor (IL-5Rα) with high affinity (16</w:t>
      </w:r>
      <w:r w:rsidR="00150B86">
        <w:rPr>
          <w:lang w:val="en-AU"/>
        </w:rPr>
        <w:t> </w:t>
      </w:r>
      <w:proofErr w:type="spellStart"/>
      <w:r w:rsidRPr="000B28B3">
        <w:rPr>
          <w:lang w:val="en-AU"/>
        </w:rPr>
        <w:t>pM</w:t>
      </w:r>
      <w:proofErr w:type="spellEnd"/>
      <w:r w:rsidRPr="000B28B3">
        <w:rPr>
          <w:lang w:val="en-AU"/>
        </w:rPr>
        <w:t xml:space="preserve">) and specificity. The IL-5 receptor is specifically expressed on the surface of eosinophils and basophils. </w:t>
      </w:r>
      <w:proofErr w:type="gramStart"/>
      <w:r w:rsidRPr="000B28B3">
        <w:rPr>
          <w:lang w:val="en-AU"/>
        </w:rPr>
        <w:t xml:space="preserve">The absence of </w:t>
      </w:r>
      <w:proofErr w:type="spellStart"/>
      <w:r w:rsidRPr="000B28B3">
        <w:rPr>
          <w:lang w:val="en-AU"/>
        </w:rPr>
        <w:t>fucose</w:t>
      </w:r>
      <w:proofErr w:type="spellEnd"/>
      <w:r w:rsidRPr="000B28B3">
        <w:rPr>
          <w:lang w:val="en-AU"/>
        </w:rPr>
        <w:t xml:space="preserve"> sugar units in the Fc domain of benralizumab results in high affinity (45.5</w:t>
      </w:r>
      <w:r w:rsidR="00150B86">
        <w:rPr>
          <w:lang w:val="en-AU"/>
        </w:rPr>
        <w:t> </w:t>
      </w:r>
      <w:proofErr w:type="spellStart"/>
      <w:r w:rsidRPr="000B28B3">
        <w:rPr>
          <w:lang w:val="en-AU"/>
        </w:rPr>
        <w:t>nM</w:t>
      </w:r>
      <w:proofErr w:type="spellEnd"/>
      <w:r w:rsidRPr="000B28B3">
        <w:rPr>
          <w:lang w:val="en-AU"/>
        </w:rPr>
        <w:t xml:space="preserve">) for </w:t>
      </w:r>
      <w:proofErr w:type="spellStart"/>
      <w:r w:rsidRPr="000B28B3">
        <w:rPr>
          <w:lang w:val="en-AU"/>
        </w:rPr>
        <w:t>FcɣRIII</w:t>
      </w:r>
      <w:proofErr w:type="spellEnd"/>
      <w:r w:rsidRPr="000B28B3">
        <w:rPr>
          <w:lang w:val="en-AU"/>
        </w:rPr>
        <w:t xml:space="preserve"> receptors on immune effectors cells such as natural killer (NK) cells leading to apoptosis of eosinophils and basophils through enhanced antibody-dependent cell-mediated cytotoxicity (ADCC).</w:t>
      </w:r>
      <w:proofErr w:type="gramEnd"/>
    </w:p>
    <w:p w14:paraId="59FC8615" w14:textId="246F0C4C" w:rsidR="007403BD" w:rsidRDefault="000B28B3" w:rsidP="000B28B3">
      <w:pPr>
        <w:pStyle w:val="Paragraph"/>
        <w:rPr>
          <w:lang w:val="en-AU"/>
        </w:rPr>
      </w:pPr>
      <w:r w:rsidRPr="000B28B3">
        <w:rPr>
          <w:lang w:val="en-AU"/>
        </w:rPr>
        <w:t xml:space="preserve">Eosinophilic inflammation is an important component in the pathogenesis of asthma. Eosinophils are a rich source of </w:t>
      </w:r>
      <w:proofErr w:type="spellStart"/>
      <w:r w:rsidRPr="000B28B3">
        <w:rPr>
          <w:lang w:val="en-AU"/>
        </w:rPr>
        <w:t>proinflammatory</w:t>
      </w:r>
      <w:proofErr w:type="spellEnd"/>
      <w:r w:rsidRPr="000B28B3">
        <w:rPr>
          <w:lang w:val="en-AU"/>
        </w:rPr>
        <w:t xml:space="preserve"> mediators (</w:t>
      </w:r>
      <w:proofErr w:type="spellStart"/>
      <w:r w:rsidRPr="000B28B3">
        <w:rPr>
          <w:lang w:val="en-AU"/>
        </w:rPr>
        <w:t>eg</w:t>
      </w:r>
      <w:proofErr w:type="spellEnd"/>
      <w:r w:rsidRPr="000B28B3">
        <w:rPr>
          <w:lang w:val="en-AU"/>
        </w:rPr>
        <w:t xml:space="preserve"> eicosanoids, leukotrienes, </w:t>
      </w:r>
      <w:proofErr w:type="gramStart"/>
      <w:r w:rsidRPr="000B28B3">
        <w:rPr>
          <w:lang w:val="en-AU"/>
        </w:rPr>
        <w:t>cytokines</w:t>
      </w:r>
      <w:proofErr w:type="gramEnd"/>
      <w:r w:rsidRPr="000B28B3">
        <w:rPr>
          <w:lang w:val="en-AU"/>
        </w:rPr>
        <w:t>) and granule proteins (</w:t>
      </w:r>
      <w:proofErr w:type="spellStart"/>
      <w:r w:rsidRPr="000B28B3">
        <w:rPr>
          <w:lang w:val="en-AU"/>
        </w:rPr>
        <w:t>eg</w:t>
      </w:r>
      <w:proofErr w:type="spellEnd"/>
      <w:r w:rsidRPr="000B28B3">
        <w:rPr>
          <w:lang w:val="en-AU"/>
        </w:rPr>
        <w:t xml:space="preserve"> eosinophil cationic protein, eosinophil peroxidase, eosinophil neurotoxin and major basic protein). Benralizumab, by enhanced ADCC, reduces eosinophilic inflammation.</w:t>
      </w:r>
    </w:p>
    <w:p w14:paraId="47B0C79E" w14:textId="77777777" w:rsidR="000B28B3" w:rsidRPr="000B28B3" w:rsidRDefault="000B28B3" w:rsidP="00D11FA5">
      <w:pPr>
        <w:pStyle w:val="Heading2Unnumbered"/>
      </w:pPr>
      <w:r w:rsidRPr="000B28B3">
        <w:t>Pharmacodynamic effects</w:t>
      </w:r>
    </w:p>
    <w:p w14:paraId="63E6D921" w14:textId="29D247A7" w:rsidR="000B28B3" w:rsidRPr="000B28B3" w:rsidRDefault="000B28B3" w:rsidP="000B28B3">
      <w:pPr>
        <w:pStyle w:val="Paragraph"/>
        <w:rPr>
          <w:lang w:val="en-AU"/>
        </w:rPr>
      </w:pPr>
      <w:r w:rsidRPr="000B28B3">
        <w:rPr>
          <w:lang w:val="en-AU"/>
        </w:rPr>
        <w:t xml:space="preserve">The pharmacodynamic response (blood eosinophil depletion) following repeat subcutaneous dosing was evaluated in asthma patients in a 12-week Phase 2 trial. Patients with mild-moderate asthma received 1 of 3 doses of benralizumab [25 mg (n=7), 100 mg (n=6) or 200 mg (n=6) subcutaneous] or placebo (n=6) every 4 weeks for a total of 3 doses. Median blood eosinophil levels at baseline were 400, 200, 120 and </w:t>
      </w:r>
      <w:proofErr w:type="gramStart"/>
      <w:r w:rsidRPr="000B28B3">
        <w:rPr>
          <w:lang w:val="en-AU"/>
        </w:rPr>
        <w:t>200</w:t>
      </w:r>
      <w:r w:rsidR="00150B86">
        <w:rPr>
          <w:lang w:val="en-AU"/>
        </w:rPr>
        <w:t> </w:t>
      </w:r>
      <w:r w:rsidRPr="000B28B3">
        <w:rPr>
          <w:lang w:val="en-AU"/>
        </w:rPr>
        <w:t>cells/</w:t>
      </w:r>
      <w:proofErr w:type="spellStart"/>
      <w:r w:rsidRPr="000B28B3">
        <w:rPr>
          <w:lang w:val="en-AU"/>
        </w:rPr>
        <w:t>μL</w:t>
      </w:r>
      <w:proofErr w:type="spellEnd"/>
      <w:r w:rsidRPr="000B28B3">
        <w:rPr>
          <w:lang w:val="en-AU"/>
        </w:rPr>
        <w:t xml:space="preserve"> in the 25, 100, and 200 mg benralizumab and placebo groups, respectively</w:t>
      </w:r>
      <w:proofErr w:type="gramEnd"/>
      <w:r w:rsidRPr="000B28B3">
        <w:rPr>
          <w:lang w:val="en-AU"/>
        </w:rPr>
        <w:t>. Blood eosinophil depletion was observed following subcutaneous administration of benralizumab at all dose levels and no depletion was observed in the placebo group. Twenty-four hours post dosing, all benralizumab dosage groups demonstrated complete or near complete depletion of median blood eosinophil levels (0, 0 and 5</w:t>
      </w:r>
      <w:r w:rsidR="00150B86">
        <w:rPr>
          <w:lang w:val="en-AU"/>
        </w:rPr>
        <w:t> </w:t>
      </w:r>
      <w:r w:rsidRPr="000B28B3">
        <w:rPr>
          <w:lang w:val="en-AU"/>
        </w:rPr>
        <w:t>cells/</w:t>
      </w:r>
      <w:proofErr w:type="spellStart"/>
      <w:r w:rsidRPr="000B28B3">
        <w:rPr>
          <w:lang w:val="en-AU"/>
        </w:rPr>
        <w:t>μL</w:t>
      </w:r>
      <w:proofErr w:type="spellEnd"/>
      <w:r w:rsidRPr="000B28B3">
        <w:rPr>
          <w:lang w:val="en-AU"/>
        </w:rPr>
        <w:t xml:space="preserve"> respectively). There were no changes in median blood eosinophils in the placebo group. The effect on blood eosinophil depletion was maintained throughout the dosing period.</w:t>
      </w:r>
    </w:p>
    <w:p w14:paraId="2A24B3F0" w14:textId="2ADA4D7D" w:rsidR="000B28B3" w:rsidRPr="000B28B3" w:rsidRDefault="000B28B3" w:rsidP="000B28B3">
      <w:pPr>
        <w:pStyle w:val="Paragraph"/>
        <w:rPr>
          <w:lang w:val="en-AU"/>
        </w:rPr>
      </w:pPr>
      <w:r w:rsidRPr="000B28B3">
        <w:rPr>
          <w:lang w:val="en-AU"/>
        </w:rPr>
        <w:lastRenderedPageBreak/>
        <w:t>In a Phase 1 trial, the effect of benralizumab on eosinophils in airway mucosa was evaluated in asthmatic patients with 2.5% or more eosinophils in sputum. Patients received 100 or 200</w:t>
      </w:r>
      <w:r w:rsidR="00150B86">
        <w:rPr>
          <w:lang w:val="en-AU"/>
        </w:rPr>
        <w:t> </w:t>
      </w:r>
      <w:r w:rsidRPr="000B28B3">
        <w:rPr>
          <w:lang w:val="en-AU"/>
        </w:rPr>
        <w:t>mg subcutaneous benralizumab once every 4 weeks for 8 weeks (total benralizumab subcutaneous group n=9) or matching placebo (n= 5). At the end of the 12-week treatment period, there was a median reduction from baseline in eosinophils in the airway mucosa of 96% in the total benralizumab subcutaneous group compared to a 47% reduction from baseline in the placebo group which was statistically significant (p=0.039).</w:t>
      </w:r>
    </w:p>
    <w:p w14:paraId="5D17B5B5" w14:textId="77777777" w:rsidR="000B28B3" w:rsidRPr="000B28B3" w:rsidRDefault="000B28B3" w:rsidP="000B28B3">
      <w:pPr>
        <w:pStyle w:val="Paragraph"/>
        <w:rPr>
          <w:lang w:val="en-AU"/>
        </w:rPr>
      </w:pPr>
      <w:r w:rsidRPr="000B28B3">
        <w:rPr>
          <w:lang w:val="en-AU"/>
        </w:rPr>
        <w:t>In the Phase 1 trial, treatment with benralizumab was also associated with reductions in blood basophils, and in both Phase 1 and 2 trials eosinophil granule products such as serum eosinophil derived neurotoxin (EDN) and eosinophil cationic protein (ECP).</w:t>
      </w:r>
    </w:p>
    <w:p w14:paraId="71A2D171" w14:textId="4B3178D6" w:rsidR="000B28B3" w:rsidRPr="000B28B3" w:rsidRDefault="000B28B3" w:rsidP="000B28B3">
      <w:pPr>
        <w:pStyle w:val="Paragraph"/>
        <w:rPr>
          <w:lang w:val="en-AU"/>
        </w:rPr>
      </w:pPr>
      <w:r w:rsidRPr="000B28B3">
        <w:rPr>
          <w:lang w:val="en-AU"/>
        </w:rPr>
        <w:t>In the two pivotal Phase 3 asthma trials (SIROCCO and CALIMA), following subcutaneous administration of benralizumab at the recommended dose blood eosinophils were reduced to a median absolute blood eosinophil count of 0 cells/</w:t>
      </w:r>
      <w:proofErr w:type="spellStart"/>
      <w:r w:rsidRPr="000B28B3">
        <w:rPr>
          <w:lang w:val="en-AU"/>
        </w:rPr>
        <w:t>μL</w:t>
      </w:r>
      <w:proofErr w:type="spellEnd"/>
      <w:r w:rsidRPr="000B28B3">
        <w:rPr>
          <w:lang w:val="en-AU"/>
        </w:rPr>
        <w:t>, which corresponds to a median reduction of 100% (see</w:t>
      </w:r>
      <w:r w:rsidR="000834C9">
        <w:rPr>
          <w:lang w:val="en-AU"/>
        </w:rPr>
        <w:t xml:space="preserve"> Section </w:t>
      </w:r>
      <w:r w:rsidR="000834C9">
        <w:rPr>
          <w:lang w:val="en-AU"/>
        </w:rPr>
        <w:fldChar w:fldCharType="begin"/>
      </w:r>
      <w:r w:rsidR="000834C9">
        <w:rPr>
          <w:lang w:val="en-AU"/>
        </w:rPr>
        <w:instrText xml:space="preserve"> REF _Ref505579241 \r \h </w:instrText>
      </w:r>
      <w:r w:rsidR="000834C9">
        <w:rPr>
          <w:lang w:val="en-AU"/>
        </w:rPr>
      </w:r>
      <w:r w:rsidR="000834C9">
        <w:rPr>
          <w:lang w:val="en-AU"/>
        </w:rPr>
        <w:fldChar w:fldCharType="separate"/>
      </w:r>
      <w:r w:rsidR="00997102">
        <w:rPr>
          <w:lang w:val="en-AU"/>
        </w:rPr>
        <w:t>5.1</w:t>
      </w:r>
      <w:r w:rsidR="000834C9">
        <w:rPr>
          <w:lang w:val="en-AU"/>
        </w:rPr>
        <w:fldChar w:fldCharType="end"/>
      </w:r>
      <w:r w:rsidR="000834C9">
        <w:rPr>
          <w:lang w:val="en-AU"/>
        </w:rPr>
        <w:t xml:space="preserve"> [</w:t>
      </w:r>
      <w:r w:rsidRPr="000B28B3">
        <w:rPr>
          <w:i/>
          <w:lang w:val="en-AU"/>
        </w:rPr>
        <w:t>Clinical trials</w:t>
      </w:r>
      <w:r w:rsidR="000834C9">
        <w:rPr>
          <w:lang w:val="en-AU"/>
        </w:rPr>
        <w:t>]</w:t>
      </w:r>
      <w:r w:rsidR="007C0A49">
        <w:rPr>
          <w:lang w:val="en-AU"/>
        </w:rPr>
        <w:t xml:space="preserve"> below</w:t>
      </w:r>
      <w:r w:rsidRPr="000B28B3">
        <w:rPr>
          <w:lang w:val="en-AU"/>
        </w:rPr>
        <w:t>). This magnitude of reduction was seen at the first observed time point, 4 weeks of treatment, and was maintained throughout the treatment period.</w:t>
      </w:r>
    </w:p>
    <w:p w14:paraId="0E49E373" w14:textId="4E9D2303" w:rsidR="000B28B3" w:rsidRPr="000B28B3" w:rsidRDefault="000B28B3" w:rsidP="000834C9">
      <w:pPr>
        <w:pStyle w:val="Heading2Unnumbered"/>
      </w:pPr>
      <w:r w:rsidRPr="000B28B3">
        <w:t>Immunogenicity</w:t>
      </w:r>
    </w:p>
    <w:p w14:paraId="43A76EF2" w14:textId="77777777" w:rsidR="000B28B3" w:rsidRPr="000B28B3" w:rsidRDefault="000B28B3" w:rsidP="000B28B3">
      <w:pPr>
        <w:pStyle w:val="Paragraph"/>
        <w:rPr>
          <w:lang w:val="en-AU"/>
        </w:rPr>
      </w:pPr>
      <w:r w:rsidRPr="000B28B3">
        <w:rPr>
          <w:lang w:val="en-AU"/>
        </w:rPr>
        <w:t xml:space="preserve">Overall, treatment-emergent anti-drug antibody (ADA) response developed in 107 out of 809 (13%) of patients treated with Fasenra at the recommended dosing regimen during the 48 to 56-week treatment period. In a majority of the ADA positive patients, in vitro neutralizing antibodies were detected. Anti-benralizumab antibodies were associated with increased clearance of benralizumab and increased blood eosinophil levels in patients with high ADA </w:t>
      </w:r>
      <w:proofErr w:type="spellStart"/>
      <w:r w:rsidRPr="000B28B3">
        <w:rPr>
          <w:lang w:val="en-AU"/>
        </w:rPr>
        <w:t>titers</w:t>
      </w:r>
      <w:proofErr w:type="spellEnd"/>
      <w:r w:rsidRPr="000B28B3">
        <w:rPr>
          <w:lang w:val="en-AU"/>
        </w:rPr>
        <w:t xml:space="preserve"> compared to antibody negative patients. No evidence of an association of anti-drug antibodies with efficacy or safety was observed.</w:t>
      </w:r>
    </w:p>
    <w:p w14:paraId="09580E49" w14:textId="77777777" w:rsidR="000B28B3" w:rsidRPr="000B28B3" w:rsidRDefault="000B28B3" w:rsidP="000B28B3">
      <w:pPr>
        <w:pStyle w:val="Paragraph"/>
        <w:rPr>
          <w:lang w:val="en-AU"/>
        </w:rPr>
      </w:pPr>
      <w:r w:rsidRPr="000B28B3">
        <w:rPr>
          <w:lang w:val="en-AU"/>
        </w:rPr>
        <w:t>The data reflect the percentage of patients whose test results were positive for antibodies to benralizumab in specific assays. The observed incidence of antibody response is highly dependent on several factors, including assay sensitivity and specificity, assay methodology, sample handling, timing of sample collection, concomitant medication, and underlying disease. For these reasons, comparison of the incidence of antibodies to benralizumab with the incidence of antibodies to other products may be misleading.</w:t>
      </w:r>
    </w:p>
    <w:p w14:paraId="427C5A64" w14:textId="77777777" w:rsidR="001A3992" w:rsidRPr="000834C9" w:rsidRDefault="001A3992" w:rsidP="0026491B">
      <w:pPr>
        <w:pStyle w:val="Heading3Unnumbered"/>
        <w:rPr>
          <w:lang w:val="en-AU"/>
        </w:rPr>
      </w:pPr>
      <w:r w:rsidRPr="000834C9">
        <w:rPr>
          <w:lang w:val="en-AU"/>
        </w:rPr>
        <w:t>Clinical trials</w:t>
      </w:r>
    </w:p>
    <w:p w14:paraId="1BD3FAD2" w14:textId="71C34E3E" w:rsidR="00636FA2" w:rsidRPr="00636FA2" w:rsidRDefault="00636FA2" w:rsidP="000834C9">
      <w:pPr>
        <w:pStyle w:val="Heading4Unnumbered"/>
      </w:pPr>
      <w:r w:rsidRPr="00636FA2">
        <w:t>Severe asthma</w:t>
      </w:r>
    </w:p>
    <w:p w14:paraId="2E4A0BDA" w14:textId="4918E069" w:rsidR="00636FA2" w:rsidRPr="00636FA2" w:rsidRDefault="00636FA2" w:rsidP="00636FA2">
      <w:pPr>
        <w:pStyle w:val="Paragraph"/>
        <w:rPr>
          <w:lang w:val="en-AU"/>
        </w:rPr>
      </w:pPr>
      <w:bookmarkStart w:id="12" w:name="_Hlk502840058"/>
      <w:r w:rsidRPr="00F07390">
        <w:rPr>
          <w:lang w:val="en-AU"/>
        </w:rPr>
        <w:t xml:space="preserve">The safety and efficacy of Fasenra as </w:t>
      </w:r>
      <w:proofErr w:type="gramStart"/>
      <w:r w:rsidRPr="00F07390">
        <w:rPr>
          <w:lang w:val="en-AU"/>
        </w:rPr>
        <w:t>an add-on therapy in patients with severe asthma were</w:t>
      </w:r>
      <w:proofErr w:type="gramEnd"/>
      <w:r w:rsidRPr="00F07390">
        <w:rPr>
          <w:lang w:val="en-AU"/>
        </w:rPr>
        <w:t xml:space="preserve"> evaluated in 3 randomised, double-blind, parallel-group, placebo-controlled clinical trials</w:t>
      </w:r>
      <w:bookmarkEnd w:id="12"/>
      <w:r w:rsidRPr="00F07390">
        <w:rPr>
          <w:lang w:val="en-AU"/>
        </w:rPr>
        <w:t>:</w:t>
      </w:r>
    </w:p>
    <w:p w14:paraId="69B5818F" w14:textId="6B831A0C" w:rsidR="00636FA2" w:rsidRPr="00636FA2" w:rsidRDefault="00636FA2" w:rsidP="00C83C9B">
      <w:pPr>
        <w:pStyle w:val="ListBullet"/>
      </w:pPr>
      <w:r w:rsidRPr="00636FA2">
        <w:t>Two replicate long-term exacerbation trials in adults and adolescents (12 years and older) with 48 and 56</w:t>
      </w:r>
      <w:r w:rsidR="00DE2264">
        <w:t> </w:t>
      </w:r>
      <w:r w:rsidRPr="00636FA2">
        <w:t>weeks duration (SIROCCO and CALIMA respectively); and</w:t>
      </w:r>
    </w:p>
    <w:p w14:paraId="73384335" w14:textId="3F134E87" w:rsidR="00636FA2" w:rsidRPr="00636FA2" w:rsidRDefault="00636FA2" w:rsidP="00C83C9B">
      <w:pPr>
        <w:pStyle w:val="ListBullet"/>
      </w:pPr>
      <w:r w:rsidRPr="00636FA2">
        <w:t>One 28-week oral corticosteroid (OCS) reduction trial in adults (18</w:t>
      </w:r>
      <w:r w:rsidR="00DE2264">
        <w:t> </w:t>
      </w:r>
      <w:r w:rsidRPr="00636FA2">
        <w:t>years and over (ZONDA)).</w:t>
      </w:r>
    </w:p>
    <w:p w14:paraId="5077368C" w14:textId="430552D1" w:rsidR="00636FA2" w:rsidRPr="00636FA2" w:rsidRDefault="00636FA2" w:rsidP="00636FA2">
      <w:pPr>
        <w:pStyle w:val="Paragraph"/>
        <w:rPr>
          <w:lang w:val="en-AU"/>
        </w:rPr>
      </w:pPr>
      <w:r w:rsidRPr="00636FA2">
        <w:rPr>
          <w:lang w:val="en-AU"/>
        </w:rPr>
        <w:t>While all 3 trials assessed 2 dosing regimens compared to placebo, the recommended dosing regimen is Fasenra administered every 4 weeks for the first 3 doses, then every 8 weeks thereafter (referred herein as Q8w; see</w:t>
      </w:r>
      <w:r w:rsidR="000834C9">
        <w:rPr>
          <w:lang w:val="en-AU"/>
        </w:rPr>
        <w:t xml:space="preserve"> Section </w:t>
      </w:r>
      <w:r w:rsidR="000834C9">
        <w:rPr>
          <w:lang w:val="en-AU"/>
        </w:rPr>
        <w:fldChar w:fldCharType="begin"/>
      </w:r>
      <w:r w:rsidR="000834C9">
        <w:rPr>
          <w:lang w:val="en-AU"/>
        </w:rPr>
        <w:instrText xml:space="preserve"> REF _Ref505358028 \r \h </w:instrText>
      </w:r>
      <w:r w:rsidR="000834C9">
        <w:rPr>
          <w:lang w:val="en-AU"/>
        </w:rPr>
      </w:r>
      <w:r w:rsidR="000834C9">
        <w:rPr>
          <w:lang w:val="en-AU"/>
        </w:rPr>
        <w:fldChar w:fldCharType="separate"/>
      </w:r>
      <w:r w:rsidR="00997102">
        <w:rPr>
          <w:lang w:val="en-AU"/>
        </w:rPr>
        <w:t>4.2</w:t>
      </w:r>
      <w:r w:rsidR="000834C9">
        <w:rPr>
          <w:lang w:val="en-AU"/>
        </w:rPr>
        <w:fldChar w:fldCharType="end"/>
      </w:r>
      <w:r w:rsidRPr="00636FA2">
        <w:rPr>
          <w:lang w:val="en-AU"/>
        </w:rPr>
        <w:t>) as no additional benefit was observed with the more frequent dosing regimen (administered ever 4 weeks).  Only the results for the recommended Q8w dosing regimen have been presented below.</w:t>
      </w:r>
    </w:p>
    <w:p w14:paraId="08748117" w14:textId="37A01751" w:rsidR="00636FA2" w:rsidRDefault="00636FA2" w:rsidP="00636FA2">
      <w:pPr>
        <w:pStyle w:val="Paragraph"/>
        <w:rPr>
          <w:lang w:val="en-AU"/>
        </w:rPr>
      </w:pPr>
      <w:r w:rsidRPr="00636FA2">
        <w:rPr>
          <w:lang w:val="en-AU"/>
        </w:rPr>
        <w:t>A total of 805, 881 and 148</w:t>
      </w:r>
      <w:r w:rsidR="00DE2264">
        <w:rPr>
          <w:lang w:val="en-AU"/>
        </w:rPr>
        <w:t> </w:t>
      </w:r>
      <w:r w:rsidRPr="00636FA2">
        <w:rPr>
          <w:lang w:val="en-AU"/>
        </w:rPr>
        <w:t>patients were randomised to treatment with Fasenra Q8w and placebo in SIROCCO, CALIMA and ZONDA respectively.  This included 84 adolescents (SIROCCO/CALIMA combined; 38</w:t>
      </w:r>
      <w:r w:rsidR="00DE2264">
        <w:rPr>
          <w:lang w:val="en-AU"/>
        </w:rPr>
        <w:t> </w:t>
      </w:r>
      <w:r w:rsidRPr="00636FA2">
        <w:rPr>
          <w:lang w:val="en-AU"/>
        </w:rPr>
        <w:t>within the Fasenra Q8w arms and 4</w:t>
      </w:r>
      <w:r w:rsidR="00DE2264">
        <w:rPr>
          <w:lang w:val="en-AU"/>
        </w:rPr>
        <w:t> </w:t>
      </w:r>
      <w:r w:rsidRPr="00636FA2">
        <w:rPr>
          <w:lang w:val="en-AU"/>
        </w:rPr>
        <w:t xml:space="preserve">within the placebo arms). See </w:t>
      </w:r>
      <w:r w:rsidRPr="00636FA2">
        <w:rPr>
          <w:lang w:val="en-AU"/>
        </w:rPr>
        <w:fldChar w:fldCharType="begin"/>
      </w:r>
      <w:r w:rsidRPr="00636FA2">
        <w:rPr>
          <w:lang w:val="en-AU"/>
        </w:rPr>
        <w:instrText xml:space="preserve"> REF _Ref473665088 \h  \* MERGEFORMAT </w:instrText>
      </w:r>
      <w:r w:rsidRPr="00636FA2">
        <w:rPr>
          <w:lang w:val="en-AU"/>
        </w:rPr>
      </w:r>
      <w:r w:rsidRPr="00636FA2">
        <w:rPr>
          <w:lang w:val="en-AU"/>
        </w:rPr>
        <w:fldChar w:fldCharType="separate"/>
      </w:r>
      <w:r w:rsidR="00997102" w:rsidRPr="00997102">
        <w:rPr>
          <w:lang w:val="en-AU"/>
        </w:rPr>
        <w:t>Table 3</w:t>
      </w:r>
      <w:r w:rsidRPr="00636FA2">
        <w:rPr>
          <w:lang w:val="en-AU"/>
        </w:rPr>
        <w:fldChar w:fldCharType="end"/>
      </w:r>
      <w:r w:rsidRPr="00636FA2">
        <w:rPr>
          <w:lang w:val="en-AU"/>
        </w:rPr>
        <w:t xml:space="preserve"> for further details.</w:t>
      </w:r>
    </w:p>
    <w:p w14:paraId="7888F5DE" w14:textId="454B36FF" w:rsidR="00636FA2" w:rsidRPr="00636FA2" w:rsidRDefault="00636FA2" w:rsidP="000834C9">
      <w:pPr>
        <w:pStyle w:val="TableTitle"/>
      </w:pPr>
      <w:bookmarkStart w:id="13" w:name="_Ref473665088"/>
      <w:r w:rsidRPr="00636FA2">
        <w:lastRenderedPageBreak/>
        <w:t xml:space="preserve">Table </w:t>
      </w:r>
      <w:r w:rsidRPr="00636FA2">
        <w:fldChar w:fldCharType="begin"/>
      </w:r>
      <w:r w:rsidRPr="00636FA2">
        <w:instrText xml:space="preserve"> SEQ Table \* ARABIC </w:instrText>
      </w:r>
      <w:r w:rsidRPr="00636FA2">
        <w:fldChar w:fldCharType="separate"/>
      </w:r>
      <w:r w:rsidR="00997102">
        <w:rPr>
          <w:noProof/>
        </w:rPr>
        <w:t>3</w:t>
      </w:r>
      <w:r w:rsidRPr="00636FA2">
        <w:rPr>
          <w:lang w:val="en-AU"/>
        </w:rPr>
        <w:fldChar w:fldCharType="end"/>
      </w:r>
      <w:bookmarkEnd w:id="13"/>
      <w:r w:rsidRPr="00636FA2">
        <w:tab/>
        <w:t>Randomised patient numbers (N) for the pivotal phase III studies (Fasenra Q8w and placebo arms only)</w:t>
      </w:r>
    </w:p>
    <w:tbl>
      <w:tblPr>
        <w:tblStyle w:val="TableGrid"/>
        <w:tblW w:w="9634" w:type="dxa"/>
        <w:tblLayout w:type="fixed"/>
        <w:tblLook w:val="0000" w:firstRow="0" w:lastRow="0" w:firstColumn="0" w:lastColumn="0" w:noHBand="0" w:noVBand="0"/>
      </w:tblPr>
      <w:tblGrid>
        <w:gridCol w:w="5245"/>
        <w:gridCol w:w="1463"/>
        <w:gridCol w:w="1463"/>
        <w:gridCol w:w="1463"/>
      </w:tblGrid>
      <w:tr w:rsidR="00636FA2" w:rsidRPr="00636FA2" w14:paraId="2A3F1996" w14:textId="77777777" w:rsidTr="00DE2264">
        <w:trPr>
          <w:tblHeader/>
        </w:trPr>
        <w:tc>
          <w:tcPr>
            <w:tcW w:w="5245" w:type="dxa"/>
          </w:tcPr>
          <w:p w14:paraId="394D2D6D" w14:textId="77777777" w:rsidR="00636FA2" w:rsidRPr="00636FA2" w:rsidRDefault="00636FA2" w:rsidP="000834C9">
            <w:pPr>
              <w:pStyle w:val="TableHead"/>
            </w:pPr>
          </w:p>
        </w:tc>
        <w:tc>
          <w:tcPr>
            <w:tcW w:w="1463" w:type="dxa"/>
          </w:tcPr>
          <w:p w14:paraId="60D4781A" w14:textId="23681113" w:rsidR="00636FA2" w:rsidRPr="00636FA2" w:rsidRDefault="00636FA2" w:rsidP="000834C9">
            <w:pPr>
              <w:pStyle w:val="TableHead"/>
            </w:pPr>
            <w:r w:rsidRPr="00636FA2">
              <w:t>SIROCCO</w:t>
            </w:r>
          </w:p>
        </w:tc>
        <w:tc>
          <w:tcPr>
            <w:tcW w:w="1463" w:type="dxa"/>
          </w:tcPr>
          <w:p w14:paraId="52105E8D" w14:textId="51371FB6" w:rsidR="00636FA2" w:rsidRPr="00636FA2" w:rsidRDefault="00636FA2" w:rsidP="000834C9">
            <w:pPr>
              <w:pStyle w:val="TableHead"/>
            </w:pPr>
            <w:r w:rsidRPr="00636FA2">
              <w:t>CALIMA</w:t>
            </w:r>
          </w:p>
        </w:tc>
        <w:tc>
          <w:tcPr>
            <w:tcW w:w="1463" w:type="dxa"/>
          </w:tcPr>
          <w:p w14:paraId="590830A5" w14:textId="75ECB4A4" w:rsidR="00636FA2" w:rsidRPr="00636FA2" w:rsidRDefault="00636FA2" w:rsidP="000834C9">
            <w:pPr>
              <w:pStyle w:val="TableHead"/>
            </w:pPr>
            <w:r w:rsidRPr="00636FA2">
              <w:t>ZONDA</w:t>
            </w:r>
          </w:p>
        </w:tc>
      </w:tr>
      <w:tr w:rsidR="00636FA2" w:rsidRPr="00636FA2" w14:paraId="66A762EF" w14:textId="77777777" w:rsidTr="000834C9">
        <w:tc>
          <w:tcPr>
            <w:tcW w:w="5245" w:type="dxa"/>
          </w:tcPr>
          <w:p w14:paraId="51C55BB2" w14:textId="77777777" w:rsidR="00636FA2" w:rsidRPr="00636FA2" w:rsidRDefault="00636FA2" w:rsidP="000834C9">
            <w:pPr>
              <w:pStyle w:val="TableLeft"/>
            </w:pPr>
            <w:r w:rsidRPr="00636FA2">
              <w:t>Total randomised population*</w:t>
            </w:r>
          </w:p>
        </w:tc>
        <w:tc>
          <w:tcPr>
            <w:tcW w:w="1463" w:type="dxa"/>
          </w:tcPr>
          <w:p w14:paraId="1B5B8B17" w14:textId="77777777" w:rsidR="00636FA2" w:rsidRPr="00636FA2" w:rsidRDefault="00636FA2" w:rsidP="000834C9">
            <w:pPr>
              <w:pStyle w:val="TableCenter"/>
            </w:pPr>
            <w:r w:rsidRPr="00636FA2">
              <w:t>805</w:t>
            </w:r>
          </w:p>
        </w:tc>
        <w:tc>
          <w:tcPr>
            <w:tcW w:w="1463" w:type="dxa"/>
          </w:tcPr>
          <w:p w14:paraId="21F3B983" w14:textId="77777777" w:rsidR="00636FA2" w:rsidRPr="00636FA2" w:rsidRDefault="00636FA2" w:rsidP="000834C9">
            <w:pPr>
              <w:pStyle w:val="TableCenter"/>
            </w:pPr>
            <w:r w:rsidRPr="00636FA2">
              <w:t>881</w:t>
            </w:r>
          </w:p>
        </w:tc>
        <w:tc>
          <w:tcPr>
            <w:tcW w:w="1463" w:type="dxa"/>
          </w:tcPr>
          <w:p w14:paraId="1E20AD5C" w14:textId="77777777" w:rsidR="00636FA2" w:rsidRPr="00636FA2" w:rsidRDefault="00636FA2" w:rsidP="000834C9">
            <w:pPr>
              <w:pStyle w:val="TableCenter"/>
            </w:pPr>
            <w:r w:rsidRPr="00636FA2">
              <w:t>148</w:t>
            </w:r>
          </w:p>
        </w:tc>
      </w:tr>
      <w:tr w:rsidR="00636FA2" w:rsidRPr="00636FA2" w14:paraId="4730F3A8" w14:textId="77777777" w:rsidTr="000834C9">
        <w:tc>
          <w:tcPr>
            <w:tcW w:w="5245" w:type="dxa"/>
          </w:tcPr>
          <w:p w14:paraId="3E8B53B9" w14:textId="77777777" w:rsidR="00636FA2" w:rsidRPr="00636FA2" w:rsidRDefault="00636FA2" w:rsidP="000834C9">
            <w:pPr>
              <w:pStyle w:val="TableLeft"/>
            </w:pPr>
            <w:r w:rsidRPr="00636FA2">
              <w:t xml:space="preserve">     Fasenra Q8w</w:t>
            </w:r>
          </w:p>
        </w:tc>
        <w:tc>
          <w:tcPr>
            <w:tcW w:w="1463" w:type="dxa"/>
          </w:tcPr>
          <w:p w14:paraId="0217C570" w14:textId="77777777" w:rsidR="00636FA2" w:rsidRPr="00636FA2" w:rsidRDefault="00636FA2" w:rsidP="000834C9">
            <w:pPr>
              <w:pStyle w:val="TableCenter"/>
            </w:pPr>
            <w:r w:rsidRPr="00636FA2">
              <w:t>398</w:t>
            </w:r>
          </w:p>
        </w:tc>
        <w:tc>
          <w:tcPr>
            <w:tcW w:w="1463" w:type="dxa"/>
          </w:tcPr>
          <w:p w14:paraId="64FE1C5F" w14:textId="77777777" w:rsidR="00636FA2" w:rsidRPr="00636FA2" w:rsidRDefault="00636FA2" w:rsidP="000834C9">
            <w:pPr>
              <w:pStyle w:val="TableCenter"/>
            </w:pPr>
            <w:r w:rsidRPr="00636FA2">
              <w:t>441</w:t>
            </w:r>
          </w:p>
        </w:tc>
        <w:tc>
          <w:tcPr>
            <w:tcW w:w="1463" w:type="dxa"/>
          </w:tcPr>
          <w:p w14:paraId="03935BAF" w14:textId="77777777" w:rsidR="00636FA2" w:rsidRPr="00636FA2" w:rsidRDefault="00636FA2" w:rsidP="000834C9">
            <w:pPr>
              <w:pStyle w:val="TableCenter"/>
            </w:pPr>
            <w:r w:rsidRPr="00636FA2">
              <w:t>73</w:t>
            </w:r>
          </w:p>
        </w:tc>
      </w:tr>
      <w:tr w:rsidR="00636FA2" w:rsidRPr="00636FA2" w14:paraId="2FE79385" w14:textId="77777777" w:rsidTr="000834C9">
        <w:tc>
          <w:tcPr>
            <w:tcW w:w="5245" w:type="dxa"/>
          </w:tcPr>
          <w:p w14:paraId="3C005EE1" w14:textId="77777777" w:rsidR="00636FA2" w:rsidRPr="00636FA2" w:rsidRDefault="00636FA2" w:rsidP="000834C9">
            <w:pPr>
              <w:pStyle w:val="TableLeft"/>
            </w:pPr>
            <w:r w:rsidRPr="00636FA2">
              <w:t xml:space="preserve">     Placebo</w:t>
            </w:r>
          </w:p>
        </w:tc>
        <w:tc>
          <w:tcPr>
            <w:tcW w:w="1463" w:type="dxa"/>
          </w:tcPr>
          <w:p w14:paraId="7544B853" w14:textId="77777777" w:rsidR="00636FA2" w:rsidRPr="00636FA2" w:rsidRDefault="00636FA2" w:rsidP="000834C9">
            <w:pPr>
              <w:pStyle w:val="TableCenter"/>
            </w:pPr>
            <w:r w:rsidRPr="00636FA2">
              <w:t>407</w:t>
            </w:r>
          </w:p>
        </w:tc>
        <w:tc>
          <w:tcPr>
            <w:tcW w:w="1463" w:type="dxa"/>
          </w:tcPr>
          <w:p w14:paraId="68603924" w14:textId="77777777" w:rsidR="00636FA2" w:rsidRPr="00636FA2" w:rsidRDefault="00636FA2" w:rsidP="000834C9">
            <w:pPr>
              <w:pStyle w:val="TableCenter"/>
            </w:pPr>
            <w:r w:rsidRPr="00636FA2">
              <w:t>440</w:t>
            </w:r>
          </w:p>
        </w:tc>
        <w:tc>
          <w:tcPr>
            <w:tcW w:w="1463" w:type="dxa"/>
          </w:tcPr>
          <w:p w14:paraId="4E7D16FC" w14:textId="77777777" w:rsidR="00636FA2" w:rsidRPr="00636FA2" w:rsidRDefault="00636FA2" w:rsidP="000834C9">
            <w:pPr>
              <w:pStyle w:val="TableCenter"/>
            </w:pPr>
            <w:r w:rsidRPr="00636FA2">
              <w:t>75</w:t>
            </w:r>
          </w:p>
        </w:tc>
      </w:tr>
      <w:tr w:rsidR="00636FA2" w:rsidRPr="00636FA2" w14:paraId="5B3C127B" w14:textId="77777777" w:rsidTr="000834C9">
        <w:tc>
          <w:tcPr>
            <w:tcW w:w="5245" w:type="dxa"/>
          </w:tcPr>
          <w:p w14:paraId="62132437" w14:textId="77777777" w:rsidR="00636FA2" w:rsidRPr="00636FA2" w:rsidRDefault="00636FA2" w:rsidP="000834C9">
            <w:pPr>
              <w:pStyle w:val="TableLeft"/>
            </w:pPr>
            <w:r w:rsidRPr="00636FA2">
              <w:t>High dose ICS/LABA &amp; ≥300 cells/µL eosinophil count**</w:t>
            </w:r>
          </w:p>
        </w:tc>
        <w:tc>
          <w:tcPr>
            <w:tcW w:w="1463" w:type="dxa"/>
          </w:tcPr>
          <w:p w14:paraId="13613616" w14:textId="77777777" w:rsidR="00636FA2" w:rsidRPr="00636FA2" w:rsidRDefault="00636FA2" w:rsidP="000834C9">
            <w:pPr>
              <w:pStyle w:val="TableCenter"/>
            </w:pPr>
            <w:r w:rsidRPr="00636FA2">
              <w:t>534</w:t>
            </w:r>
          </w:p>
        </w:tc>
        <w:tc>
          <w:tcPr>
            <w:tcW w:w="1463" w:type="dxa"/>
          </w:tcPr>
          <w:p w14:paraId="1364B73F" w14:textId="77777777" w:rsidR="00636FA2" w:rsidRPr="00636FA2" w:rsidRDefault="00636FA2" w:rsidP="000834C9">
            <w:pPr>
              <w:pStyle w:val="TableCenter"/>
            </w:pPr>
            <w:r w:rsidRPr="00636FA2">
              <w:t>487</w:t>
            </w:r>
          </w:p>
        </w:tc>
        <w:tc>
          <w:tcPr>
            <w:tcW w:w="1463" w:type="dxa"/>
          </w:tcPr>
          <w:p w14:paraId="19D6A9C8" w14:textId="77777777" w:rsidR="00636FA2" w:rsidRPr="00636FA2" w:rsidRDefault="00636FA2" w:rsidP="000834C9">
            <w:pPr>
              <w:pStyle w:val="TableCenter"/>
            </w:pPr>
            <w:r w:rsidRPr="00636FA2">
              <w:t>-</w:t>
            </w:r>
          </w:p>
        </w:tc>
      </w:tr>
      <w:tr w:rsidR="00636FA2" w:rsidRPr="00636FA2" w14:paraId="4ED97DDF" w14:textId="77777777" w:rsidTr="000834C9">
        <w:tc>
          <w:tcPr>
            <w:tcW w:w="5245" w:type="dxa"/>
          </w:tcPr>
          <w:p w14:paraId="2A9DD4B2" w14:textId="77777777" w:rsidR="00636FA2" w:rsidRPr="00636FA2" w:rsidRDefault="00636FA2" w:rsidP="000834C9">
            <w:pPr>
              <w:pStyle w:val="TableLeft"/>
            </w:pPr>
            <w:r w:rsidRPr="00636FA2">
              <w:t xml:space="preserve">     Fasenra Q8w</w:t>
            </w:r>
          </w:p>
        </w:tc>
        <w:tc>
          <w:tcPr>
            <w:tcW w:w="1463" w:type="dxa"/>
          </w:tcPr>
          <w:p w14:paraId="03F58C9B" w14:textId="77777777" w:rsidR="00636FA2" w:rsidRPr="00636FA2" w:rsidRDefault="00636FA2" w:rsidP="000834C9">
            <w:pPr>
              <w:pStyle w:val="TableCenter"/>
            </w:pPr>
            <w:r w:rsidRPr="00636FA2">
              <w:t>267</w:t>
            </w:r>
          </w:p>
        </w:tc>
        <w:tc>
          <w:tcPr>
            <w:tcW w:w="1463" w:type="dxa"/>
          </w:tcPr>
          <w:p w14:paraId="7E1FC4E9" w14:textId="77777777" w:rsidR="00636FA2" w:rsidRPr="00636FA2" w:rsidRDefault="00636FA2" w:rsidP="000834C9">
            <w:pPr>
              <w:pStyle w:val="TableCenter"/>
            </w:pPr>
            <w:r w:rsidRPr="00636FA2">
              <w:t>239</w:t>
            </w:r>
          </w:p>
        </w:tc>
        <w:tc>
          <w:tcPr>
            <w:tcW w:w="1463" w:type="dxa"/>
          </w:tcPr>
          <w:p w14:paraId="23D21E19" w14:textId="77777777" w:rsidR="00636FA2" w:rsidRPr="00636FA2" w:rsidRDefault="00636FA2" w:rsidP="000834C9">
            <w:pPr>
              <w:pStyle w:val="TableCenter"/>
            </w:pPr>
            <w:r w:rsidRPr="00636FA2">
              <w:t>-</w:t>
            </w:r>
          </w:p>
        </w:tc>
      </w:tr>
      <w:tr w:rsidR="00636FA2" w:rsidRPr="00636FA2" w14:paraId="50BC1CCC" w14:textId="77777777" w:rsidTr="000834C9">
        <w:tc>
          <w:tcPr>
            <w:tcW w:w="5245" w:type="dxa"/>
          </w:tcPr>
          <w:p w14:paraId="08BEB738" w14:textId="77777777" w:rsidR="00636FA2" w:rsidRPr="00636FA2" w:rsidRDefault="00636FA2" w:rsidP="000834C9">
            <w:pPr>
              <w:pStyle w:val="TableLeft"/>
            </w:pPr>
            <w:r w:rsidRPr="00636FA2">
              <w:t xml:space="preserve">     Placebo</w:t>
            </w:r>
          </w:p>
        </w:tc>
        <w:tc>
          <w:tcPr>
            <w:tcW w:w="1463" w:type="dxa"/>
          </w:tcPr>
          <w:p w14:paraId="1787A5B4" w14:textId="77777777" w:rsidR="00636FA2" w:rsidRPr="00636FA2" w:rsidRDefault="00636FA2" w:rsidP="000834C9">
            <w:pPr>
              <w:pStyle w:val="TableCenter"/>
            </w:pPr>
            <w:r w:rsidRPr="00636FA2">
              <w:t>267</w:t>
            </w:r>
          </w:p>
        </w:tc>
        <w:tc>
          <w:tcPr>
            <w:tcW w:w="1463" w:type="dxa"/>
          </w:tcPr>
          <w:p w14:paraId="49ECB35F" w14:textId="77777777" w:rsidR="00636FA2" w:rsidRPr="00636FA2" w:rsidRDefault="00636FA2" w:rsidP="000834C9">
            <w:pPr>
              <w:pStyle w:val="TableCenter"/>
            </w:pPr>
            <w:r w:rsidRPr="00636FA2">
              <w:t>248</w:t>
            </w:r>
          </w:p>
        </w:tc>
        <w:tc>
          <w:tcPr>
            <w:tcW w:w="1463" w:type="dxa"/>
          </w:tcPr>
          <w:p w14:paraId="18AA1A35" w14:textId="77777777" w:rsidR="00636FA2" w:rsidRPr="00636FA2" w:rsidRDefault="00636FA2" w:rsidP="000834C9">
            <w:pPr>
              <w:pStyle w:val="TableCenter"/>
            </w:pPr>
            <w:r w:rsidRPr="00636FA2">
              <w:t>-</w:t>
            </w:r>
          </w:p>
        </w:tc>
      </w:tr>
      <w:tr w:rsidR="004E0594" w:rsidRPr="00636FA2" w14:paraId="641D76E5" w14:textId="77777777" w:rsidTr="000834C9">
        <w:tc>
          <w:tcPr>
            <w:tcW w:w="5245" w:type="dxa"/>
          </w:tcPr>
          <w:p w14:paraId="34CBC0DC" w14:textId="7C1CE4BD" w:rsidR="004E0594" w:rsidRPr="00636FA2" w:rsidRDefault="004E0594" w:rsidP="004E0594">
            <w:pPr>
              <w:pStyle w:val="TableLeft"/>
            </w:pPr>
            <w:r>
              <w:t>High dose ICS/LABA &amp; &lt;300 cells/µL eosinophil count^</w:t>
            </w:r>
          </w:p>
        </w:tc>
        <w:tc>
          <w:tcPr>
            <w:tcW w:w="1463" w:type="dxa"/>
          </w:tcPr>
          <w:p w14:paraId="07B283E7" w14:textId="22580C18" w:rsidR="004E0594" w:rsidRPr="00636FA2" w:rsidRDefault="00AD7EDD" w:rsidP="004E0594">
            <w:pPr>
              <w:pStyle w:val="TableCenter"/>
            </w:pPr>
            <w:r>
              <w:t>271</w:t>
            </w:r>
          </w:p>
        </w:tc>
        <w:tc>
          <w:tcPr>
            <w:tcW w:w="1463" w:type="dxa"/>
          </w:tcPr>
          <w:p w14:paraId="667AEF6F" w14:textId="11022985" w:rsidR="004E0594" w:rsidRPr="00636FA2" w:rsidRDefault="00AD7EDD" w:rsidP="004E0594">
            <w:pPr>
              <w:pStyle w:val="TableCenter"/>
            </w:pPr>
            <w:r>
              <w:t>247</w:t>
            </w:r>
          </w:p>
        </w:tc>
        <w:tc>
          <w:tcPr>
            <w:tcW w:w="1463" w:type="dxa"/>
          </w:tcPr>
          <w:p w14:paraId="15407036" w14:textId="76F3F262" w:rsidR="004E0594" w:rsidRPr="00636FA2" w:rsidRDefault="004E0594" w:rsidP="004E0594">
            <w:pPr>
              <w:pStyle w:val="TableCenter"/>
            </w:pPr>
            <w:r>
              <w:t>-</w:t>
            </w:r>
          </w:p>
        </w:tc>
      </w:tr>
      <w:tr w:rsidR="004E0594" w:rsidRPr="00636FA2" w14:paraId="3A6FA6A3" w14:textId="77777777" w:rsidTr="000834C9">
        <w:tc>
          <w:tcPr>
            <w:tcW w:w="5245" w:type="dxa"/>
          </w:tcPr>
          <w:p w14:paraId="15DE0C2B" w14:textId="524E5CF1" w:rsidR="004E0594" w:rsidRPr="00636FA2" w:rsidRDefault="004E0594" w:rsidP="004E0594">
            <w:pPr>
              <w:pStyle w:val="TableLeft"/>
            </w:pPr>
            <w:r w:rsidRPr="00636FA2">
              <w:t xml:space="preserve">     Fasenra Q8w</w:t>
            </w:r>
          </w:p>
        </w:tc>
        <w:tc>
          <w:tcPr>
            <w:tcW w:w="1463" w:type="dxa"/>
          </w:tcPr>
          <w:p w14:paraId="02859542" w14:textId="292B7E1B" w:rsidR="004E0594" w:rsidRPr="00636FA2" w:rsidRDefault="00257CF0" w:rsidP="004E0594">
            <w:pPr>
              <w:pStyle w:val="TableCenter"/>
            </w:pPr>
            <w:r>
              <w:t>131</w:t>
            </w:r>
          </w:p>
        </w:tc>
        <w:tc>
          <w:tcPr>
            <w:tcW w:w="1463" w:type="dxa"/>
          </w:tcPr>
          <w:p w14:paraId="59BBAAF7" w14:textId="392C7211" w:rsidR="004E0594" w:rsidRPr="00636FA2" w:rsidRDefault="00AD7EDD" w:rsidP="004E0594">
            <w:pPr>
              <w:pStyle w:val="TableCenter"/>
            </w:pPr>
            <w:r>
              <w:t>125</w:t>
            </w:r>
          </w:p>
        </w:tc>
        <w:tc>
          <w:tcPr>
            <w:tcW w:w="1463" w:type="dxa"/>
          </w:tcPr>
          <w:p w14:paraId="0F9AA319" w14:textId="5EFA18A3" w:rsidR="004E0594" w:rsidRPr="00636FA2" w:rsidRDefault="004E0594" w:rsidP="004E0594">
            <w:pPr>
              <w:pStyle w:val="TableCenter"/>
            </w:pPr>
            <w:r>
              <w:t>-</w:t>
            </w:r>
          </w:p>
        </w:tc>
      </w:tr>
      <w:tr w:rsidR="004E0594" w:rsidRPr="00636FA2" w14:paraId="2FB70D5F" w14:textId="77777777" w:rsidTr="000834C9">
        <w:tc>
          <w:tcPr>
            <w:tcW w:w="5245" w:type="dxa"/>
          </w:tcPr>
          <w:p w14:paraId="4AF61FB5" w14:textId="23505CF3" w:rsidR="004E0594" w:rsidRPr="00636FA2" w:rsidRDefault="004E0594" w:rsidP="004E0594">
            <w:pPr>
              <w:pStyle w:val="TableLeft"/>
            </w:pPr>
            <w:r w:rsidRPr="00636FA2">
              <w:t xml:space="preserve">     Placebo</w:t>
            </w:r>
          </w:p>
        </w:tc>
        <w:tc>
          <w:tcPr>
            <w:tcW w:w="1463" w:type="dxa"/>
          </w:tcPr>
          <w:p w14:paraId="5F2B31CD" w14:textId="6B79E616" w:rsidR="004E0594" w:rsidRPr="00636FA2" w:rsidRDefault="00257CF0" w:rsidP="004E0594">
            <w:pPr>
              <w:pStyle w:val="TableCenter"/>
            </w:pPr>
            <w:r>
              <w:t>140</w:t>
            </w:r>
          </w:p>
        </w:tc>
        <w:tc>
          <w:tcPr>
            <w:tcW w:w="1463" w:type="dxa"/>
          </w:tcPr>
          <w:p w14:paraId="17227784" w14:textId="7D25C367" w:rsidR="004E0594" w:rsidRPr="00636FA2" w:rsidRDefault="00AD7EDD" w:rsidP="004E0594">
            <w:pPr>
              <w:pStyle w:val="TableCenter"/>
            </w:pPr>
            <w:r>
              <w:t>122</w:t>
            </w:r>
          </w:p>
        </w:tc>
        <w:tc>
          <w:tcPr>
            <w:tcW w:w="1463" w:type="dxa"/>
          </w:tcPr>
          <w:p w14:paraId="204FC7F7" w14:textId="41ADA547" w:rsidR="004E0594" w:rsidRPr="00636FA2" w:rsidRDefault="004E0594" w:rsidP="004E0594">
            <w:pPr>
              <w:pStyle w:val="TableCenter"/>
            </w:pPr>
            <w:r>
              <w:t>-</w:t>
            </w:r>
          </w:p>
        </w:tc>
      </w:tr>
    </w:tbl>
    <w:p w14:paraId="5BA9AB21" w14:textId="19932400" w:rsidR="00636FA2" w:rsidRPr="00141759" w:rsidRDefault="00636FA2" w:rsidP="000834C9">
      <w:pPr>
        <w:pStyle w:val="TableFootnoteInfo"/>
        <w:rPr>
          <w:szCs w:val="18"/>
        </w:rPr>
      </w:pPr>
      <w:r w:rsidRPr="00141759">
        <w:rPr>
          <w:szCs w:val="18"/>
        </w:rPr>
        <w:t>ICS – inhaled corticosteroids; LABA – long acting β-agonists; *all high-dose ICS/LABA patients regardless of baseline blood eosinophil count</w:t>
      </w:r>
      <w:r w:rsidR="0011453D">
        <w:rPr>
          <w:szCs w:val="18"/>
        </w:rPr>
        <w:t xml:space="preserve"> = Full analysis set (FAS) for SIROCCO/CALIMA and</w:t>
      </w:r>
      <w:r w:rsidRPr="00141759">
        <w:rPr>
          <w:szCs w:val="18"/>
        </w:rPr>
        <w:t xml:space="preserve"> ITT population for ZONDA **SIROCCO/CALIMA </w:t>
      </w:r>
      <w:r w:rsidR="004E0594">
        <w:rPr>
          <w:szCs w:val="18"/>
        </w:rPr>
        <w:t xml:space="preserve">enriched </w:t>
      </w:r>
      <w:r w:rsidRPr="00141759">
        <w:rPr>
          <w:szCs w:val="18"/>
        </w:rPr>
        <w:t>ITT population - high dose ICS/LABA and ≥300 cells/µL baseline blood eosinophil count</w:t>
      </w:r>
      <w:r w:rsidR="004E0594">
        <w:rPr>
          <w:szCs w:val="18"/>
        </w:rPr>
        <w:t>; ^prespecified analysis population</w:t>
      </w:r>
      <w:r w:rsidRPr="00141759">
        <w:rPr>
          <w:szCs w:val="18"/>
        </w:rPr>
        <w:t xml:space="preserve"> (Note: patients aged 12–17 years could have received medium-dose or high-dose ICS).</w:t>
      </w:r>
    </w:p>
    <w:p w14:paraId="1716F5D8" w14:textId="713D27F4" w:rsidR="00636FA2" w:rsidRDefault="00636FA2" w:rsidP="007403BD">
      <w:pPr>
        <w:pStyle w:val="Paragraph"/>
        <w:rPr>
          <w:lang w:val="en-AU"/>
        </w:rPr>
      </w:pPr>
    </w:p>
    <w:p w14:paraId="66E225AD" w14:textId="5A627435" w:rsidR="00636FA2" w:rsidRPr="00636FA2" w:rsidRDefault="00636FA2" w:rsidP="000834C9">
      <w:pPr>
        <w:pStyle w:val="TableTitle"/>
      </w:pPr>
      <w:r w:rsidRPr="00636FA2">
        <w:t xml:space="preserve">Table </w:t>
      </w:r>
      <w:r w:rsidRPr="00636FA2">
        <w:fldChar w:fldCharType="begin"/>
      </w:r>
      <w:r w:rsidRPr="00636FA2">
        <w:instrText xml:space="preserve"> SEQ Table \* ARABIC </w:instrText>
      </w:r>
      <w:r w:rsidRPr="00636FA2">
        <w:fldChar w:fldCharType="separate"/>
      </w:r>
      <w:r w:rsidR="00997102">
        <w:rPr>
          <w:noProof/>
        </w:rPr>
        <w:t>4</w:t>
      </w:r>
      <w:r w:rsidRPr="00636FA2">
        <w:rPr>
          <w:lang w:val="en-AU"/>
        </w:rPr>
        <w:fldChar w:fldCharType="end"/>
      </w:r>
      <w:r w:rsidRPr="00636FA2">
        <w:tab/>
        <w:t>Key demographic and baseline characteristics of the pivotal phase III studies (ITT populations only)</w:t>
      </w:r>
    </w:p>
    <w:tbl>
      <w:tblPr>
        <w:tblStyle w:val="TableGrid"/>
        <w:tblW w:w="9634" w:type="dxa"/>
        <w:tblLayout w:type="fixed"/>
        <w:tblLook w:val="0000" w:firstRow="0" w:lastRow="0" w:firstColumn="0" w:lastColumn="0" w:noHBand="0" w:noVBand="0"/>
      </w:tblPr>
      <w:tblGrid>
        <w:gridCol w:w="2410"/>
        <w:gridCol w:w="1204"/>
        <w:gridCol w:w="1204"/>
        <w:gridCol w:w="1204"/>
        <w:gridCol w:w="1204"/>
        <w:gridCol w:w="1204"/>
        <w:gridCol w:w="1204"/>
      </w:tblGrid>
      <w:tr w:rsidR="00C83C9B" w:rsidRPr="000834C9" w14:paraId="28EA8DA8" w14:textId="77777777" w:rsidTr="00C83C9B">
        <w:trPr>
          <w:tblHeader/>
        </w:trPr>
        <w:tc>
          <w:tcPr>
            <w:tcW w:w="2410" w:type="dxa"/>
            <w:vMerge w:val="restart"/>
            <w:shd w:val="clear" w:color="auto" w:fill="auto"/>
          </w:tcPr>
          <w:p w14:paraId="0CCC3F42" w14:textId="77777777" w:rsidR="00C83C9B" w:rsidRPr="000834C9" w:rsidRDefault="00C83C9B" w:rsidP="000834C9">
            <w:pPr>
              <w:pStyle w:val="TableHead"/>
            </w:pPr>
          </w:p>
        </w:tc>
        <w:tc>
          <w:tcPr>
            <w:tcW w:w="2408" w:type="dxa"/>
            <w:gridSpan w:val="2"/>
            <w:shd w:val="clear" w:color="auto" w:fill="auto"/>
          </w:tcPr>
          <w:p w14:paraId="12A37F8D" w14:textId="77777777" w:rsidR="00C83C9B" w:rsidRPr="000834C9" w:rsidRDefault="00C83C9B" w:rsidP="000834C9">
            <w:pPr>
              <w:pStyle w:val="TableHead"/>
            </w:pPr>
            <w:r w:rsidRPr="000834C9">
              <w:t>CALIMA</w:t>
            </w:r>
          </w:p>
        </w:tc>
        <w:tc>
          <w:tcPr>
            <w:tcW w:w="2408" w:type="dxa"/>
            <w:gridSpan w:val="2"/>
            <w:shd w:val="clear" w:color="auto" w:fill="auto"/>
          </w:tcPr>
          <w:p w14:paraId="2560FD05" w14:textId="77777777" w:rsidR="00C83C9B" w:rsidRPr="000834C9" w:rsidRDefault="00C83C9B" w:rsidP="000834C9">
            <w:pPr>
              <w:pStyle w:val="TableHead"/>
            </w:pPr>
            <w:r w:rsidRPr="000834C9">
              <w:t>SIROCCO</w:t>
            </w:r>
          </w:p>
        </w:tc>
        <w:tc>
          <w:tcPr>
            <w:tcW w:w="2408" w:type="dxa"/>
            <w:gridSpan w:val="2"/>
            <w:shd w:val="clear" w:color="auto" w:fill="auto"/>
          </w:tcPr>
          <w:p w14:paraId="14D77685" w14:textId="77777777" w:rsidR="00C83C9B" w:rsidRPr="000834C9" w:rsidRDefault="00C83C9B" w:rsidP="000834C9">
            <w:pPr>
              <w:pStyle w:val="TableHead"/>
            </w:pPr>
            <w:r w:rsidRPr="000834C9">
              <w:t>ZONDA</w:t>
            </w:r>
          </w:p>
        </w:tc>
      </w:tr>
      <w:tr w:rsidR="00C83C9B" w:rsidRPr="000834C9" w14:paraId="230D7BB1" w14:textId="77777777" w:rsidTr="00C83C9B">
        <w:trPr>
          <w:tblHeader/>
        </w:trPr>
        <w:tc>
          <w:tcPr>
            <w:tcW w:w="2410" w:type="dxa"/>
            <w:vMerge/>
            <w:shd w:val="clear" w:color="auto" w:fill="auto"/>
          </w:tcPr>
          <w:p w14:paraId="4949287E" w14:textId="77777777" w:rsidR="00C83C9B" w:rsidRPr="000834C9" w:rsidRDefault="00C83C9B" w:rsidP="000834C9">
            <w:pPr>
              <w:pStyle w:val="TableHead"/>
            </w:pPr>
          </w:p>
        </w:tc>
        <w:tc>
          <w:tcPr>
            <w:tcW w:w="1204" w:type="dxa"/>
            <w:shd w:val="clear" w:color="auto" w:fill="auto"/>
          </w:tcPr>
          <w:p w14:paraId="16A34809" w14:textId="77777777" w:rsidR="00C83C9B" w:rsidRPr="000834C9" w:rsidRDefault="00C83C9B" w:rsidP="000834C9">
            <w:pPr>
              <w:pStyle w:val="TableHead"/>
            </w:pPr>
            <w:r w:rsidRPr="000834C9">
              <w:t>Fasenra</w:t>
            </w:r>
          </w:p>
        </w:tc>
        <w:tc>
          <w:tcPr>
            <w:tcW w:w="1204" w:type="dxa"/>
            <w:shd w:val="clear" w:color="auto" w:fill="auto"/>
          </w:tcPr>
          <w:p w14:paraId="110F4814" w14:textId="77777777" w:rsidR="00C83C9B" w:rsidRPr="000834C9" w:rsidRDefault="00C83C9B" w:rsidP="000834C9">
            <w:pPr>
              <w:pStyle w:val="TableHead"/>
            </w:pPr>
            <w:r w:rsidRPr="000834C9">
              <w:t>Placebo</w:t>
            </w:r>
          </w:p>
        </w:tc>
        <w:tc>
          <w:tcPr>
            <w:tcW w:w="1204" w:type="dxa"/>
            <w:shd w:val="clear" w:color="auto" w:fill="auto"/>
          </w:tcPr>
          <w:p w14:paraId="124CF3B2" w14:textId="77777777" w:rsidR="00C83C9B" w:rsidRPr="000834C9" w:rsidRDefault="00C83C9B" w:rsidP="000834C9">
            <w:pPr>
              <w:pStyle w:val="TableHead"/>
            </w:pPr>
            <w:r w:rsidRPr="000834C9">
              <w:t>Fasenra</w:t>
            </w:r>
          </w:p>
        </w:tc>
        <w:tc>
          <w:tcPr>
            <w:tcW w:w="1204" w:type="dxa"/>
            <w:shd w:val="clear" w:color="auto" w:fill="auto"/>
          </w:tcPr>
          <w:p w14:paraId="2D2DB1A2" w14:textId="77777777" w:rsidR="00C83C9B" w:rsidRPr="000834C9" w:rsidRDefault="00C83C9B" w:rsidP="000834C9">
            <w:pPr>
              <w:pStyle w:val="TableHead"/>
            </w:pPr>
            <w:r w:rsidRPr="000834C9">
              <w:t>Placebo</w:t>
            </w:r>
          </w:p>
        </w:tc>
        <w:tc>
          <w:tcPr>
            <w:tcW w:w="1204" w:type="dxa"/>
            <w:shd w:val="clear" w:color="auto" w:fill="auto"/>
          </w:tcPr>
          <w:p w14:paraId="4D044FA5" w14:textId="77777777" w:rsidR="00C83C9B" w:rsidRPr="000834C9" w:rsidRDefault="00C83C9B" w:rsidP="000834C9">
            <w:pPr>
              <w:pStyle w:val="TableHead"/>
            </w:pPr>
            <w:r w:rsidRPr="000834C9">
              <w:t>Fasenra</w:t>
            </w:r>
          </w:p>
        </w:tc>
        <w:tc>
          <w:tcPr>
            <w:tcW w:w="1204" w:type="dxa"/>
            <w:shd w:val="clear" w:color="auto" w:fill="auto"/>
          </w:tcPr>
          <w:p w14:paraId="397044D5" w14:textId="77777777" w:rsidR="00C83C9B" w:rsidRPr="000834C9" w:rsidRDefault="00C83C9B" w:rsidP="000834C9">
            <w:pPr>
              <w:pStyle w:val="TableHead"/>
            </w:pPr>
            <w:r w:rsidRPr="000834C9">
              <w:t>Placebo</w:t>
            </w:r>
          </w:p>
        </w:tc>
      </w:tr>
      <w:tr w:rsidR="00636FA2" w:rsidRPr="00636FA2" w14:paraId="18E56B28" w14:textId="77777777" w:rsidTr="00C83C9B">
        <w:tc>
          <w:tcPr>
            <w:tcW w:w="2410" w:type="dxa"/>
            <w:shd w:val="clear" w:color="auto" w:fill="auto"/>
          </w:tcPr>
          <w:p w14:paraId="574F06BF" w14:textId="0B303D7A" w:rsidR="00636FA2" w:rsidRPr="00636FA2" w:rsidRDefault="00636FA2" w:rsidP="000834C9">
            <w:pPr>
              <w:pStyle w:val="TableLeft"/>
            </w:pPr>
            <w:r w:rsidRPr="00636FA2">
              <w:t>Mean age (years) [range]</w:t>
            </w:r>
            <w:r w:rsidRPr="00636FA2">
              <w:rPr>
                <w:vertAlign w:val="superscript"/>
              </w:rPr>
              <w:t xml:space="preserve"> </w:t>
            </w:r>
          </w:p>
        </w:tc>
        <w:tc>
          <w:tcPr>
            <w:tcW w:w="1204" w:type="dxa"/>
            <w:shd w:val="clear" w:color="auto" w:fill="auto"/>
          </w:tcPr>
          <w:p w14:paraId="0DC2B83D" w14:textId="77777777" w:rsidR="00636FA2" w:rsidRPr="00636FA2" w:rsidRDefault="00636FA2" w:rsidP="000834C9">
            <w:pPr>
              <w:pStyle w:val="TableCenter"/>
            </w:pPr>
            <w:r w:rsidRPr="00636FA2">
              <w:t>49.6</w:t>
            </w:r>
            <w:r w:rsidRPr="00636FA2">
              <w:br/>
              <w:t>[12, 74]</w:t>
            </w:r>
          </w:p>
        </w:tc>
        <w:tc>
          <w:tcPr>
            <w:tcW w:w="1204" w:type="dxa"/>
            <w:shd w:val="clear" w:color="auto" w:fill="auto"/>
          </w:tcPr>
          <w:p w14:paraId="0222B064" w14:textId="77777777" w:rsidR="00636FA2" w:rsidRPr="00636FA2" w:rsidRDefault="00636FA2" w:rsidP="000834C9">
            <w:pPr>
              <w:pStyle w:val="TableCenter"/>
            </w:pPr>
            <w:r w:rsidRPr="00636FA2">
              <w:t>48.5</w:t>
            </w:r>
            <w:r w:rsidRPr="00636FA2">
              <w:br/>
              <w:t>[12, 75]</w:t>
            </w:r>
          </w:p>
        </w:tc>
        <w:tc>
          <w:tcPr>
            <w:tcW w:w="1204" w:type="dxa"/>
            <w:shd w:val="clear" w:color="auto" w:fill="auto"/>
          </w:tcPr>
          <w:p w14:paraId="07D59099" w14:textId="77777777" w:rsidR="00636FA2" w:rsidRPr="00636FA2" w:rsidRDefault="00636FA2" w:rsidP="000834C9">
            <w:pPr>
              <w:pStyle w:val="TableCenter"/>
            </w:pPr>
            <w:r w:rsidRPr="00636FA2">
              <w:t>47.6</w:t>
            </w:r>
            <w:r w:rsidRPr="00636FA2">
              <w:br/>
              <w:t>[12, 74]</w:t>
            </w:r>
          </w:p>
        </w:tc>
        <w:tc>
          <w:tcPr>
            <w:tcW w:w="1204" w:type="dxa"/>
            <w:shd w:val="clear" w:color="auto" w:fill="auto"/>
          </w:tcPr>
          <w:p w14:paraId="2718EDC4" w14:textId="77777777" w:rsidR="00636FA2" w:rsidRPr="00636FA2" w:rsidRDefault="00636FA2" w:rsidP="000834C9">
            <w:pPr>
              <w:pStyle w:val="TableCenter"/>
            </w:pPr>
            <w:r w:rsidRPr="00636FA2">
              <w:t>48.6</w:t>
            </w:r>
            <w:r w:rsidRPr="00636FA2">
              <w:br/>
              <w:t>[12, 75]</w:t>
            </w:r>
          </w:p>
        </w:tc>
        <w:tc>
          <w:tcPr>
            <w:tcW w:w="1204" w:type="dxa"/>
            <w:shd w:val="clear" w:color="auto" w:fill="auto"/>
          </w:tcPr>
          <w:p w14:paraId="02663ACF" w14:textId="77777777" w:rsidR="00636FA2" w:rsidRPr="00636FA2" w:rsidRDefault="00636FA2" w:rsidP="000834C9">
            <w:pPr>
              <w:pStyle w:val="TableCenter"/>
            </w:pPr>
            <w:r w:rsidRPr="00636FA2">
              <w:t>52.9</w:t>
            </w:r>
            <w:r w:rsidRPr="00636FA2">
              <w:br/>
              <w:t>[27, 75]</w:t>
            </w:r>
          </w:p>
        </w:tc>
        <w:tc>
          <w:tcPr>
            <w:tcW w:w="1204" w:type="dxa"/>
            <w:shd w:val="clear" w:color="auto" w:fill="auto"/>
          </w:tcPr>
          <w:p w14:paraId="26EACDC9" w14:textId="77777777" w:rsidR="00636FA2" w:rsidRPr="00636FA2" w:rsidRDefault="00636FA2" w:rsidP="000834C9">
            <w:pPr>
              <w:pStyle w:val="TableCenter"/>
            </w:pPr>
            <w:r w:rsidRPr="00636FA2">
              <w:t>49.9</w:t>
            </w:r>
            <w:r w:rsidRPr="00636FA2">
              <w:br/>
              <w:t>[21, 74]</w:t>
            </w:r>
          </w:p>
        </w:tc>
      </w:tr>
      <w:tr w:rsidR="00636FA2" w:rsidRPr="00636FA2" w14:paraId="6A8773F4" w14:textId="77777777" w:rsidTr="00C83C9B">
        <w:tc>
          <w:tcPr>
            <w:tcW w:w="2410" w:type="dxa"/>
            <w:shd w:val="clear" w:color="auto" w:fill="auto"/>
          </w:tcPr>
          <w:p w14:paraId="344CA92C" w14:textId="6E0A959E" w:rsidR="00636FA2" w:rsidRPr="00636FA2" w:rsidRDefault="00636FA2" w:rsidP="000834C9">
            <w:pPr>
              <w:pStyle w:val="TableLeft"/>
            </w:pPr>
            <w:r w:rsidRPr="00636FA2">
              <w:t>Mean baseline eosinophil count (cells/</w:t>
            </w:r>
            <w:proofErr w:type="spellStart"/>
            <w:r w:rsidRPr="00636FA2">
              <w:t>μL</w:t>
            </w:r>
            <w:proofErr w:type="spellEnd"/>
            <w:r w:rsidRPr="00636FA2">
              <w:t>) [range]</w:t>
            </w:r>
            <w:r w:rsidRPr="00636FA2">
              <w:rPr>
                <w:vertAlign w:val="superscript"/>
              </w:rPr>
              <w:t xml:space="preserve"> </w:t>
            </w:r>
          </w:p>
        </w:tc>
        <w:tc>
          <w:tcPr>
            <w:tcW w:w="1204" w:type="dxa"/>
            <w:shd w:val="clear" w:color="auto" w:fill="auto"/>
          </w:tcPr>
          <w:p w14:paraId="7C02D1B0" w14:textId="77777777" w:rsidR="00636FA2" w:rsidRPr="00636FA2" w:rsidRDefault="00636FA2" w:rsidP="000834C9">
            <w:pPr>
              <w:pStyle w:val="TableCenter"/>
            </w:pPr>
            <w:r w:rsidRPr="00636FA2">
              <w:t>621</w:t>
            </w:r>
            <w:r w:rsidRPr="00636FA2">
              <w:br/>
              <w:t>[300, 2600]</w:t>
            </w:r>
          </w:p>
        </w:tc>
        <w:tc>
          <w:tcPr>
            <w:tcW w:w="1204" w:type="dxa"/>
            <w:shd w:val="clear" w:color="auto" w:fill="auto"/>
          </w:tcPr>
          <w:p w14:paraId="13334730" w14:textId="77777777" w:rsidR="00636FA2" w:rsidRPr="00636FA2" w:rsidRDefault="00636FA2" w:rsidP="000834C9">
            <w:pPr>
              <w:pStyle w:val="TableCenter"/>
            </w:pPr>
            <w:r w:rsidRPr="00636FA2">
              <w:t>642</w:t>
            </w:r>
            <w:r w:rsidRPr="00636FA2">
              <w:br/>
              <w:t>[300, 4494]</w:t>
            </w:r>
          </w:p>
        </w:tc>
        <w:tc>
          <w:tcPr>
            <w:tcW w:w="1204" w:type="dxa"/>
            <w:shd w:val="clear" w:color="auto" w:fill="auto"/>
          </w:tcPr>
          <w:p w14:paraId="313EAA12" w14:textId="77777777" w:rsidR="00636FA2" w:rsidRPr="00636FA2" w:rsidRDefault="00636FA2" w:rsidP="000834C9">
            <w:pPr>
              <w:pStyle w:val="TableCenter"/>
            </w:pPr>
            <w:r w:rsidRPr="00636FA2">
              <w:t>620</w:t>
            </w:r>
            <w:r w:rsidRPr="00636FA2">
              <w:br/>
              <w:t>[300, 3100]</w:t>
            </w:r>
          </w:p>
        </w:tc>
        <w:tc>
          <w:tcPr>
            <w:tcW w:w="1204" w:type="dxa"/>
            <w:shd w:val="clear" w:color="auto" w:fill="auto"/>
          </w:tcPr>
          <w:p w14:paraId="4C0F3FC4" w14:textId="77777777" w:rsidR="00636FA2" w:rsidRPr="00636FA2" w:rsidRDefault="00636FA2" w:rsidP="000834C9">
            <w:pPr>
              <w:pStyle w:val="TableCenter"/>
            </w:pPr>
            <w:r w:rsidRPr="00636FA2">
              <w:t>621</w:t>
            </w:r>
            <w:r w:rsidRPr="00636FA2">
              <w:br/>
              <w:t>[300, 2690]</w:t>
            </w:r>
          </w:p>
        </w:tc>
        <w:tc>
          <w:tcPr>
            <w:tcW w:w="1204" w:type="dxa"/>
            <w:shd w:val="clear" w:color="auto" w:fill="auto"/>
          </w:tcPr>
          <w:p w14:paraId="000E2A22" w14:textId="77777777" w:rsidR="00636FA2" w:rsidRPr="00636FA2" w:rsidRDefault="00636FA2" w:rsidP="000834C9">
            <w:pPr>
              <w:pStyle w:val="TableCenter"/>
            </w:pPr>
            <w:r w:rsidRPr="00636FA2">
              <w:t>509</w:t>
            </w:r>
            <w:r w:rsidRPr="00636FA2">
              <w:br/>
              <w:t>[154, 2140]</w:t>
            </w:r>
          </w:p>
        </w:tc>
        <w:tc>
          <w:tcPr>
            <w:tcW w:w="1204" w:type="dxa"/>
            <w:shd w:val="clear" w:color="auto" w:fill="auto"/>
          </w:tcPr>
          <w:p w14:paraId="3A730B5B" w14:textId="77777777" w:rsidR="00636FA2" w:rsidRPr="00636FA2" w:rsidRDefault="00636FA2" w:rsidP="000834C9">
            <w:pPr>
              <w:pStyle w:val="TableCenter"/>
            </w:pPr>
            <w:r w:rsidRPr="00636FA2">
              <w:t>656</w:t>
            </w:r>
            <w:r w:rsidRPr="00636FA2">
              <w:br/>
              <w:t>[160, 4550]</w:t>
            </w:r>
          </w:p>
        </w:tc>
      </w:tr>
      <w:tr w:rsidR="00636FA2" w:rsidRPr="00636FA2" w14:paraId="716D8981" w14:textId="77777777" w:rsidTr="00C83C9B">
        <w:tc>
          <w:tcPr>
            <w:tcW w:w="2410" w:type="dxa"/>
            <w:shd w:val="clear" w:color="auto" w:fill="auto"/>
          </w:tcPr>
          <w:p w14:paraId="69785392" w14:textId="32FC4A74" w:rsidR="00636FA2" w:rsidRPr="00636FA2" w:rsidRDefault="00636FA2" w:rsidP="000834C9">
            <w:pPr>
              <w:pStyle w:val="TableLeft"/>
            </w:pPr>
            <w:r w:rsidRPr="00636FA2">
              <w:t>Mean pre-bronchodilator FEV</w:t>
            </w:r>
            <w:r w:rsidRPr="00636FA2">
              <w:rPr>
                <w:vertAlign w:val="subscript"/>
              </w:rPr>
              <w:t>1</w:t>
            </w:r>
            <w:r w:rsidRPr="00636FA2">
              <w:t xml:space="preserve"> (L) [range]</w:t>
            </w:r>
          </w:p>
        </w:tc>
        <w:tc>
          <w:tcPr>
            <w:tcW w:w="1204" w:type="dxa"/>
            <w:shd w:val="clear" w:color="auto" w:fill="auto"/>
          </w:tcPr>
          <w:p w14:paraId="482AF283" w14:textId="77777777" w:rsidR="00636FA2" w:rsidRPr="00636FA2" w:rsidRDefault="00636FA2" w:rsidP="000834C9">
            <w:pPr>
              <w:pStyle w:val="TableCenter"/>
            </w:pPr>
            <w:r w:rsidRPr="00636FA2">
              <w:t>1.8</w:t>
            </w:r>
            <w:r w:rsidRPr="00636FA2">
              <w:br/>
              <w:t>[0.6, 3.8]</w:t>
            </w:r>
          </w:p>
        </w:tc>
        <w:tc>
          <w:tcPr>
            <w:tcW w:w="1204" w:type="dxa"/>
            <w:shd w:val="clear" w:color="auto" w:fill="auto"/>
          </w:tcPr>
          <w:p w14:paraId="32A669B3" w14:textId="77777777" w:rsidR="00636FA2" w:rsidRPr="00636FA2" w:rsidRDefault="00636FA2" w:rsidP="000834C9">
            <w:pPr>
              <w:pStyle w:val="TableCenter"/>
            </w:pPr>
            <w:r w:rsidRPr="00636FA2">
              <w:t>1.8</w:t>
            </w:r>
            <w:r w:rsidRPr="00636FA2">
              <w:br/>
              <w:t>[0.6, 3.8]</w:t>
            </w:r>
          </w:p>
        </w:tc>
        <w:tc>
          <w:tcPr>
            <w:tcW w:w="1204" w:type="dxa"/>
            <w:shd w:val="clear" w:color="auto" w:fill="auto"/>
          </w:tcPr>
          <w:p w14:paraId="3531D743" w14:textId="77777777" w:rsidR="00636FA2" w:rsidRPr="00636FA2" w:rsidRDefault="00636FA2" w:rsidP="000834C9">
            <w:pPr>
              <w:pStyle w:val="TableCenter"/>
            </w:pPr>
            <w:r w:rsidRPr="00636FA2">
              <w:t>1.7</w:t>
            </w:r>
            <w:r w:rsidRPr="00636FA2">
              <w:br/>
              <w:t>[0.5, 3.5]</w:t>
            </w:r>
          </w:p>
        </w:tc>
        <w:tc>
          <w:tcPr>
            <w:tcW w:w="1204" w:type="dxa"/>
            <w:shd w:val="clear" w:color="auto" w:fill="auto"/>
          </w:tcPr>
          <w:p w14:paraId="541BFA02" w14:textId="77777777" w:rsidR="00636FA2" w:rsidRPr="00636FA2" w:rsidRDefault="00636FA2" w:rsidP="000834C9">
            <w:pPr>
              <w:pStyle w:val="TableCenter"/>
            </w:pPr>
            <w:r w:rsidRPr="00636FA2">
              <w:t>1.7</w:t>
            </w:r>
            <w:r w:rsidRPr="00636FA2">
              <w:br/>
              <w:t>[0.5, 3.5]</w:t>
            </w:r>
          </w:p>
        </w:tc>
        <w:tc>
          <w:tcPr>
            <w:tcW w:w="1204" w:type="dxa"/>
            <w:shd w:val="clear" w:color="auto" w:fill="auto"/>
          </w:tcPr>
          <w:p w14:paraId="5053024E" w14:textId="77777777" w:rsidR="00636FA2" w:rsidRPr="00636FA2" w:rsidRDefault="00636FA2" w:rsidP="000834C9">
            <w:pPr>
              <w:pStyle w:val="TableCenter"/>
            </w:pPr>
            <w:r w:rsidRPr="00636FA2">
              <w:t>1.8</w:t>
            </w:r>
            <w:r w:rsidRPr="00636FA2">
              <w:br/>
              <w:t>[0.6, 3.6]</w:t>
            </w:r>
          </w:p>
        </w:tc>
        <w:tc>
          <w:tcPr>
            <w:tcW w:w="1204" w:type="dxa"/>
            <w:shd w:val="clear" w:color="auto" w:fill="auto"/>
          </w:tcPr>
          <w:p w14:paraId="1B8C538A" w14:textId="77777777" w:rsidR="00636FA2" w:rsidRPr="00636FA2" w:rsidRDefault="00636FA2" w:rsidP="000834C9">
            <w:pPr>
              <w:pStyle w:val="TableCenter"/>
            </w:pPr>
            <w:r w:rsidRPr="00636FA2">
              <w:t>1.9</w:t>
            </w:r>
            <w:r w:rsidRPr="00636FA2">
              <w:br/>
              <w:t>[0.7, 3.8]</w:t>
            </w:r>
          </w:p>
        </w:tc>
      </w:tr>
      <w:tr w:rsidR="00636FA2" w:rsidRPr="00636FA2" w14:paraId="2BF1946B" w14:textId="77777777" w:rsidTr="00C83C9B">
        <w:tc>
          <w:tcPr>
            <w:tcW w:w="2410" w:type="dxa"/>
            <w:shd w:val="clear" w:color="auto" w:fill="auto"/>
          </w:tcPr>
          <w:p w14:paraId="124118CC" w14:textId="3E844E0F" w:rsidR="00636FA2" w:rsidRPr="00636FA2" w:rsidRDefault="00636FA2" w:rsidP="000834C9">
            <w:pPr>
              <w:pStyle w:val="TableLeft"/>
            </w:pPr>
            <w:r w:rsidRPr="00636FA2">
              <w:t>Mean number of exacerbations in previous year [range]</w:t>
            </w:r>
            <w:r w:rsidRPr="00636FA2">
              <w:rPr>
                <w:vertAlign w:val="superscript"/>
              </w:rPr>
              <w:t xml:space="preserve"> </w:t>
            </w:r>
          </w:p>
        </w:tc>
        <w:tc>
          <w:tcPr>
            <w:tcW w:w="1204" w:type="dxa"/>
            <w:shd w:val="clear" w:color="auto" w:fill="auto"/>
          </w:tcPr>
          <w:p w14:paraId="6660F232" w14:textId="77777777" w:rsidR="00636FA2" w:rsidRPr="00636FA2" w:rsidRDefault="00636FA2" w:rsidP="000834C9">
            <w:pPr>
              <w:pStyle w:val="TableCenter"/>
            </w:pPr>
            <w:r w:rsidRPr="00636FA2">
              <w:t>2.7</w:t>
            </w:r>
            <w:r w:rsidRPr="00636FA2">
              <w:br/>
              <w:t>[2, 11]</w:t>
            </w:r>
          </w:p>
        </w:tc>
        <w:tc>
          <w:tcPr>
            <w:tcW w:w="1204" w:type="dxa"/>
            <w:shd w:val="clear" w:color="auto" w:fill="auto"/>
          </w:tcPr>
          <w:p w14:paraId="303848D3" w14:textId="77777777" w:rsidR="00636FA2" w:rsidRPr="00636FA2" w:rsidRDefault="00636FA2" w:rsidP="000834C9">
            <w:pPr>
              <w:pStyle w:val="TableCenter"/>
            </w:pPr>
            <w:r w:rsidRPr="00636FA2">
              <w:t>2.8</w:t>
            </w:r>
            <w:r w:rsidRPr="00636FA2">
              <w:br/>
              <w:t>[2, 18]</w:t>
            </w:r>
          </w:p>
        </w:tc>
        <w:tc>
          <w:tcPr>
            <w:tcW w:w="1204" w:type="dxa"/>
            <w:shd w:val="clear" w:color="auto" w:fill="auto"/>
          </w:tcPr>
          <w:p w14:paraId="7A4E8643" w14:textId="77777777" w:rsidR="00636FA2" w:rsidRPr="00636FA2" w:rsidRDefault="00636FA2" w:rsidP="000834C9">
            <w:pPr>
              <w:pStyle w:val="TableCenter"/>
            </w:pPr>
            <w:r w:rsidRPr="00636FA2">
              <w:t>2.8</w:t>
            </w:r>
            <w:r w:rsidRPr="00636FA2">
              <w:br/>
              <w:t>[2, 11]</w:t>
            </w:r>
          </w:p>
        </w:tc>
        <w:tc>
          <w:tcPr>
            <w:tcW w:w="1204" w:type="dxa"/>
            <w:shd w:val="clear" w:color="auto" w:fill="auto"/>
          </w:tcPr>
          <w:p w14:paraId="3181C0B6" w14:textId="77777777" w:rsidR="00636FA2" w:rsidRPr="00636FA2" w:rsidRDefault="00636FA2" w:rsidP="000834C9">
            <w:pPr>
              <w:pStyle w:val="TableCenter"/>
            </w:pPr>
            <w:r w:rsidRPr="00636FA2">
              <w:t>3.1</w:t>
            </w:r>
            <w:r w:rsidRPr="00636FA2">
              <w:br/>
              <w:t>[2, 15]</w:t>
            </w:r>
          </w:p>
        </w:tc>
        <w:tc>
          <w:tcPr>
            <w:tcW w:w="1204" w:type="dxa"/>
            <w:shd w:val="clear" w:color="auto" w:fill="auto"/>
          </w:tcPr>
          <w:p w14:paraId="59CAD012" w14:textId="77777777" w:rsidR="00636FA2" w:rsidRPr="00636FA2" w:rsidRDefault="00636FA2" w:rsidP="000834C9">
            <w:pPr>
              <w:pStyle w:val="TableCenter"/>
            </w:pPr>
            <w:r w:rsidRPr="00636FA2">
              <w:t>3.1</w:t>
            </w:r>
            <w:r w:rsidRPr="00636FA2">
              <w:br/>
              <w:t>[1, 15]</w:t>
            </w:r>
          </w:p>
        </w:tc>
        <w:tc>
          <w:tcPr>
            <w:tcW w:w="1204" w:type="dxa"/>
            <w:shd w:val="clear" w:color="auto" w:fill="auto"/>
          </w:tcPr>
          <w:p w14:paraId="549D2718" w14:textId="77777777" w:rsidR="00636FA2" w:rsidRPr="00636FA2" w:rsidRDefault="00636FA2" w:rsidP="000834C9">
            <w:pPr>
              <w:pStyle w:val="TableCenter"/>
            </w:pPr>
            <w:r w:rsidRPr="00636FA2">
              <w:t>2.5</w:t>
            </w:r>
            <w:r w:rsidRPr="00636FA2">
              <w:br/>
              <w:t>[1, 10]</w:t>
            </w:r>
          </w:p>
        </w:tc>
      </w:tr>
      <w:tr w:rsidR="00636FA2" w:rsidRPr="00636FA2" w14:paraId="17DE2B46" w14:textId="77777777" w:rsidTr="00C83C9B">
        <w:tc>
          <w:tcPr>
            <w:tcW w:w="2410" w:type="dxa"/>
            <w:shd w:val="clear" w:color="auto" w:fill="auto"/>
          </w:tcPr>
          <w:p w14:paraId="6DD79865" w14:textId="52EA8278" w:rsidR="00636FA2" w:rsidRPr="00636FA2" w:rsidRDefault="00636FA2" w:rsidP="000834C9">
            <w:pPr>
              <w:pStyle w:val="TableLeft"/>
            </w:pPr>
            <w:r w:rsidRPr="00636FA2">
              <w:t>Mean ACQ-6 score [range]</w:t>
            </w:r>
            <w:r w:rsidRPr="00636FA2">
              <w:rPr>
                <w:vertAlign w:val="superscript"/>
              </w:rPr>
              <w:t xml:space="preserve"> </w:t>
            </w:r>
          </w:p>
        </w:tc>
        <w:tc>
          <w:tcPr>
            <w:tcW w:w="1204" w:type="dxa"/>
            <w:shd w:val="clear" w:color="auto" w:fill="auto"/>
          </w:tcPr>
          <w:p w14:paraId="02FE5E7F" w14:textId="77777777" w:rsidR="00636FA2" w:rsidRPr="00636FA2" w:rsidRDefault="00636FA2" w:rsidP="000834C9">
            <w:pPr>
              <w:pStyle w:val="TableCenter"/>
            </w:pPr>
            <w:r w:rsidRPr="00636FA2">
              <w:t>2.8</w:t>
            </w:r>
            <w:r w:rsidRPr="00636FA2">
              <w:br/>
              <w:t>[0.2, 5.7]</w:t>
            </w:r>
          </w:p>
        </w:tc>
        <w:tc>
          <w:tcPr>
            <w:tcW w:w="1204" w:type="dxa"/>
            <w:shd w:val="clear" w:color="auto" w:fill="auto"/>
          </w:tcPr>
          <w:p w14:paraId="737BCEBA" w14:textId="77777777" w:rsidR="00636FA2" w:rsidRPr="00636FA2" w:rsidRDefault="00636FA2" w:rsidP="000834C9">
            <w:pPr>
              <w:pStyle w:val="TableCenter"/>
            </w:pPr>
            <w:r w:rsidRPr="00636FA2">
              <w:t>2.8</w:t>
            </w:r>
            <w:r w:rsidRPr="00636FA2">
              <w:br/>
              <w:t>[0.2, 5.8]</w:t>
            </w:r>
          </w:p>
        </w:tc>
        <w:tc>
          <w:tcPr>
            <w:tcW w:w="1204" w:type="dxa"/>
            <w:shd w:val="clear" w:color="auto" w:fill="auto"/>
          </w:tcPr>
          <w:p w14:paraId="6FB6B64C" w14:textId="77777777" w:rsidR="00636FA2" w:rsidRPr="00636FA2" w:rsidRDefault="00636FA2" w:rsidP="000834C9">
            <w:pPr>
              <w:pStyle w:val="TableCenter"/>
            </w:pPr>
            <w:r w:rsidRPr="00636FA2">
              <w:t>2.8</w:t>
            </w:r>
            <w:r w:rsidRPr="00636FA2">
              <w:br/>
              <w:t>[0.2, 5.7]</w:t>
            </w:r>
          </w:p>
        </w:tc>
        <w:tc>
          <w:tcPr>
            <w:tcW w:w="1204" w:type="dxa"/>
            <w:shd w:val="clear" w:color="auto" w:fill="auto"/>
          </w:tcPr>
          <w:p w14:paraId="4F7C74C6" w14:textId="77777777" w:rsidR="00636FA2" w:rsidRPr="00636FA2" w:rsidRDefault="00636FA2" w:rsidP="000834C9">
            <w:pPr>
              <w:pStyle w:val="TableCenter"/>
            </w:pPr>
            <w:r w:rsidRPr="00636FA2">
              <w:t>2.9</w:t>
            </w:r>
            <w:r w:rsidRPr="00636FA2">
              <w:br/>
              <w:t>[0.5, 5.5]</w:t>
            </w:r>
          </w:p>
        </w:tc>
        <w:tc>
          <w:tcPr>
            <w:tcW w:w="1204" w:type="dxa"/>
            <w:shd w:val="clear" w:color="auto" w:fill="auto"/>
          </w:tcPr>
          <w:p w14:paraId="7498B0CF" w14:textId="77777777" w:rsidR="00636FA2" w:rsidRPr="00636FA2" w:rsidRDefault="00636FA2" w:rsidP="000834C9">
            <w:pPr>
              <w:pStyle w:val="TableCenter"/>
            </w:pPr>
            <w:r w:rsidRPr="00636FA2">
              <w:t>2.4</w:t>
            </w:r>
            <w:r w:rsidRPr="00636FA2">
              <w:br/>
              <w:t>[0.0, 5.2]</w:t>
            </w:r>
          </w:p>
        </w:tc>
        <w:tc>
          <w:tcPr>
            <w:tcW w:w="1204" w:type="dxa"/>
            <w:shd w:val="clear" w:color="auto" w:fill="auto"/>
          </w:tcPr>
          <w:p w14:paraId="20C3F015" w14:textId="77777777" w:rsidR="00636FA2" w:rsidRPr="00636FA2" w:rsidRDefault="00636FA2" w:rsidP="000834C9">
            <w:pPr>
              <w:pStyle w:val="TableCenter"/>
            </w:pPr>
            <w:r w:rsidRPr="00636FA2">
              <w:t>2.7</w:t>
            </w:r>
            <w:r w:rsidRPr="00636FA2">
              <w:br/>
              <w:t>[0.8, 5.0]</w:t>
            </w:r>
          </w:p>
        </w:tc>
      </w:tr>
      <w:tr w:rsidR="00636FA2" w:rsidRPr="00636FA2" w14:paraId="79C66DFE" w14:textId="77777777" w:rsidTr="00C83C9B">
        <w:tc>
          <w:tcPr>
            <w:tcW w:w="2410" w:type="dxa"/>
            <w:shd w:val="clear" w:color="auto" w:fill="auto"/>
          </w:tcPr>
          <w:p w14:paraId="412EE782" w14:textId="54BB0F12" w:rsidR="00636FA2" w:rsidRPr="00636FA2" w:rsidRDefault="00636FA2" w:rsidP="000834C9">
            <w:pPr>
              <w:pStyle w:val="TableLeft"/>
            </w:pPr>
            <w:r w:rsidRPr="00636FA2">
              <w:t>Mean ICS dose (μg) [range]</w:t>
            </w:r>
          </w:p>
        </w:tc>
        <w:tc>
          <w:tcPr>
            <w:tcW w:w="1204" w:type="dxa"/>
            <w:shd w:val="clear" w:color="auto" w:fill="auto"/>
          </w:tcPr>
          <w:p w14:paraId="3F744037" w14:textId="77777777" w:rsidR="00636FA2" w:rsidRPr="00636FA2" w:rsidRDefault="00636FA2" w:rsidP="000834C9">
            <w:pPr>
              <w:pStyle w:val="TableCenter"/>
            </w:pPr>
            <w:r w:rsidRPr="00636FA2">
              <w:t>1002.3</w:t>
            </w:r>
            <w:r w:rsidRPr="00636FA2">
              <w:br/>
              <w:t>[250, 4750]</w:t>
            </w:r>
          </w:p>
        </w:tc>
        <w:tc>
          <w:tcPr>
            <w:tcW w:w="1204" w:type="dxa"/>
            <w:shd w:val="clear" w:color="auto" w:fill="auto"/>
          </w:tcPr>
          <w:p w14:paraId="69D05D96" w14:textId="77777777" w:rsidR="00636FA2" w:rsidRPr="00636FA2" w:rsidRDefault="00636FA2" w:rsidP="000834C9">
            <w:pPr>
              <w:pStyle w:val="TableCenter"/>
            </w:pPr>
            <w:r w:rsidRPr="00636FA2">
              <w:t>929.5</w:t>
            </w:r>
            <w:r w:rsidRPr="00636FA2">
              <w:br/>
              <w:t>[250, 3000]</w:t>
            </w:r>
          </w:p>
        </w:tc>
        <w:tc>
          <w:tcPr>
            <w:tcW w:w="1204" w:type="dxa"/>
            <w:shd w:val="clear" w:color="auto" w:fill="auto"/>
          </w:tcPr>
          <w:p w14:paraId="79A33B00" w14:textId="66AE2DA1" w:rsidR="00636FA2" w:rsidRPr="00636FA2" w:rsidRDefault="00141759" w:rsidP="000834C9">
            <w:pPr>
              <w:pStyle w:val="TableCenter"/>
            </w:pPr>
            <w:r>
              <w:t>913.4</w:t>
            </w:r>
            <w:r>
              <w:br/>
              <w:t>[500, 2500]</w:t>
            </w:r>
          </w:p>
        </w:tc>
        <w:tc>
          <w:tcPr>
            <w:tcW w:w="1204" w:type="dxa"/>
            <w:shd w:val="clear" w:color="auto" w:fill="auto"/>
          </w:tcPr>
          <w:p w14:paraId="061B6457" w14:textId="77777777" w:rsidR="00636FA2" w:rsidRPr="00636FA2" w:rsidRDefault="00636FA2" w:rsidP="000834C9">
            <w:pPr>
              <w:pStyle w:val="TableCenter"/>
            </w:pPr>
            <w:r w:rsidRPr="00636FA2">
              <w:t>901.6</w:t>
            </w:r>
            <w:r w:rsidRPr="00636FA2">
              <w:br/>
              <w:t>[125, 3000]</w:t>
            </w:r>
          </w:p>
        </w:tc>
        <w:tc>
          <w:tcPr>
            <w:tcW w:w="1204" w:type="dxa"/>
            <w:shd w:val="clear" w:color="auto" w:fill="auto"/>
          </w:tcPr>
          <w:p w14:paraId="63E52276" w14:textId="77777777" w:rsidR="00636FA2" w:rsidRPr="00636FA2" w:rsidRDefault="00636FA2" w:rsidP="000834C9">
            <w:pPr>
              <w:pStyle w:val="TableCenter"/>
            </w:pPr>
            <w:r w:rsidRPr="00636FA2">
              <w:t>1191.6</w:t>
            </w:r>
            <w:r w:rsidRPr="00636FA2">
              <w:br/>
              <w:t>[100, 3250]</w:t>
            </w:r>
          </w:p>
        </w:tc>
        <w:tc>
          <w:tcPr>
            <w:tcW w:w="1204" w:type="dxa"/>
            <w:shd w:val="clear" w:color="auto" w:fill="auto"/>
          </w:tcPr>
          <w:p w14:paraId="6868064C" w14:textId="77777777" w:rsidR="00636FA2" w:rsidRPr="00636FA2" w:rsidRDefault="00636FA2" w:rsidP="000834C9">
            <w:pPr>
              <w:pStyle w:val="TableCenter"/>
            </w:pPr>
            <w:r w:rsidRPr="00636FA2">
              <w:t>1232.3</w:t>
            </w:r>
            <w:r w:rsidRPr="00636FA2">
              <w:br/>
              <w:t>[100, 5000]</w:t>
            </w:r>
          </w:p>
        </w:tc>
      </w:tr>
    </w:tbl>
    <w:p w14:paraId="4C76A80D" w14:textId="77777777" w:rsidR="00636FA2" w:rsidRPr="00141759" w:rsidRDefault="00636FA2" w:rsidP="000834C9">
      <w:pPr>
        <w:pStyle w:val="TableFootnoteInfo"/>
        <w:rPr>
          <w:szCs w:val="18"/>
        </w:rPr>
      </w:pPr>
      <w:r w:rsidRPr="00141759">
        <w:rPr>
          <w:szCs w:val="18"/>
        </w:rPr>
        <w:t>ICS – inhaled corticosteroids (dose converted to fluticasone propionate dry powder equivalent); FEV</w:t>
      </w:r>
      <w:r w:rsidRPr="00141759">
        <w:rPr>
          <w:szCs w:val="18"/>
          <w:vertAlign w:val="subscript"/>
        </w:rPr>
        <w:t xml:space="preserve">1 </w:t>
      </w:r>
      <w:r w:rsidRPr="00141759">
        <w:rPr>
          <w:szCs w:val="18"/>
        </w:rPr>
        <w:t>– forced expiratory volume in 1 second</w:t>
      </w:r>
    </w:p>
    <w:p w14:paraId="7F19E172" w14:textId="77777777" w:rsidR="00636FA2" w:rsidRDefault="00636FA2" w:rsidP="007403BD">
      <w:pPr>
        <w:pStyle w:val="Paragraph"/>
        <w:rPr>
          <w:lang w:val="en-AU"/>
        </w:rPr>
      </w:pPr>
    </w:p>
    <w:p w14:paraId="1EEAD3BE" w14:textId="77777777" w:rsidR="00CE79C5" w:rsidRPr="00CE79C5" w:rsidRDefault="00CE79C5" w:rsidP="00C83C9B">
      <w:pPr>
        <w:pStyle w:val="Heading5unnumbered"/>
      </w:pPr>
      <w:r w:rsidRPr="00CE79C5">
        <w:t>SIROCCO and CALIMA</w:t>
      </w:r>
    </w:p>
    <w:p w14:paraId="31C9E748" w14:textId="4B790A28" w:rsidR="00CE79C5" w:rsidRPr="00CE79C5" w:rsidRDefault="00CE79C5" w:rsidP="00CE79C5">
      <w:pPr>
        <w:pStyle w:val="Paragraph"/>
        <w:rPr>
          <w:lang w:val="en-AU"/>
        </w:rPr>
      </w:pPr>
      <w:r w:rsidRPr="00CE79C5">
        <w:rPr>
          <w:lang w:val="en-AU"/>
        </w:rPr>
        <w:t>Patients enrolled into SIROCCO and CALIMA were required to have a history of ≥2 asthma exacerbations requiring oral or systemic corticosteroid treatment in the past 12 months, an Asthma Control Questionnaire-6 (ACQ-6) score of ≥1.5 at screening and reduced lung function at baseline [pre-bronchodilator forced expiratory volume in 1 second (FEV</w:t>
      </w:r>
      <w:r w:rsidRPr="00CE79C5">
        <w:rPr>
          <w:vertAlign w:val="subscript"/>
          <w:lang w:val="en-AU"/>
        </w:rPr>
        <w:t>1</w:t>
      </w:r>
      <w:r w:rsidRPr="00CE79C5">
        <w:rPr>
          <w:lang w:val="en-AU"/>
        </w:rPr>
        <w:t>) &lt;80% in adults and &lt;90% in adolescents] despite treatment with high</w:t>
      </w:r>
      <w:r w:rsidRPr="00CE79C5">
        <w:rPr>
          <w:lang w:val="en-AU"/>
        </w:rPr>
        <w:noBreakHyphen/>
        <w:t>dose ICS (SIROCCO) or with medium- or high</w:t>
      </w:r>
      <w:r w:rsidRPr="00CE79C5">
        <w:rPr>
          <w:lang w:val="en-AU"/>
        </w:rPr>
        <w:noBreakHyphen/>
        <w:t>dose ICS (CALIMA) and their current standard of care.  Medium- and high-dose ICS were defined as ≥250 µg and ≥500 µg/day fluticasone propionate dry powder formulation or equivalent respectively.  The medium-dose ICS arm in CALIMA was assessed as a descriptive analysis only and has not been discussed further.</w:t>
      </w:r>
    </w:p>
    <w:p w14:paraId="29BA8508" w14:textId="6EB2C942" w:rsidR="00CE79C5" w:rsidRPr="00CE79C5" w:rsidRDefault="00CE79C5" w:rsidP="00CE79C5">
      <w:pPr>
        <w:pStyle w:val="Paragraph"/>
        <w:rPr>
          <w:lang w:val="en-AU"/>
        </w:rPr>
      </w:pPr>
      <w:r w:rsidRPr="00CE79C5">
        <w:rPr>
          <w:lang w:val="en-AU"/>
        </w:rPr>
        <w:lastRenderedPageBreak/>
        <w:t>Patients were stratified 2:1 according to baseline blood eosinophils count (≥300 or &lt;300 cells/</w:t>
      </w:r>
      <w:proofErr w:type="spellStart"/>
      <w:r w:rsidRPr="00CE79C5">
        <w:rPr>
          <w:lang w:val="en-AU"/>
        </w:rPr>
        <w:t>μL</w:t>
      </w:r>
      <w:proofErr w:type="spellEnd"/>
      <w:r w:rsidRPr="00CE79C5">
        <w:rPr>
          <w:lang w:val="en-AU"/>
        </w:rPr>
        <w:t>).  The primary efficacy population (intent-to-treat (ITT)) in both studies was patients with a high-dose ICS/LABA and a baseline blood eosinophil count ≥300 cells/</w:t>
      </w:r>
      <w:proofErr w:type="spellStart"/>
      <w:r w:rsidRPr="00CE79C5">
        <w:rPr>
          <w:lang w:val="en-AU"/>
        </w:rPr>
        <w:t>μL</w:t>
      </w:r>
      <w:proofErr w:type="spellEnd"/>
      <w:r w:rsidR="0011453D">
        <w:rPr>
          <w:lang w:val="en-AU"/>
        </w:rPr>
        <w:t>.</w:t>
      </w:r>
      <w:r w:rsidR="00784A12">
        <w:rPr>
          <w:lang w:val="en-AU"/>
        </w:rPr>
        <w:t xml:space="preserve">  Prespecified</w:t>
      </w:r>
      <w:r w:rsidR="005C08A5">
        <w:rPr>
          <w:lang w:val="en-AU"/>
        </w:rPr>
        <w:t xml:space="preserve"> </w:t>
      </w:r>
      <w:r w:rsidRPr="00CE79C5">
        <w:rPr>
          <w:lang w:val="en-AU"/>
        </w:rPr>
        <w:t>analys</w:t>
      </w:r>
      <w:r w:rsidR="00784A12">
        <w:rPr>
          <w:lang w:val="en-AU"/>
        </w:rPr>
        <w:t>e</w:t>
      </w:r>
      <w:r w:rsidRPr="00CE79C5">
        <w:rPr>
          <w:lang w:val="en-AU"/>
        </w:rPr>
        <w:t xml:space="preserve">s </w:t>
      </w:r>
      <w:r w:rsidR="00784A12">
        <w:rPr>
          <w:lang w:val="en-AU"/>
        </w:rPr>
        <w:t>were</w:t>
      </w:r>
      <w:r w:rsidR="00784A12" w:rsidRPr="00CE79C5">
        <w:rPr>
          <w:lang w:val="en-AU"/>
        </w:rPr>
        <w:t xml:space="preserve"> </w:t>
      </w:r>
      <w:r w:rsidRPr="00CE79C5">
        <w:rPr>
          <w:lang w:val="en-AU"/>
        </w:rPr>
        <w:t>also conducted on the high-dose ICS/LABA populations with a baseline blood eosinophil count &lt;300 cells/</w:t>
      </w:r>
      <w:proofErr w:type="spellStart"/>
      <w:r w:rsidRPr="00CE79C5">
        <w:rPr>
          <w:lang w:val="en-AU"/>
        </w:rPr>
        <w:t>μL</w:t>
      </w:r>
      <w:proofErr w:type="spellEnd"/>
      <w:r w:rsidR="00CF22DC">
        <w:rPr>
          <w:lang w:val="en-AU"/>
        </w:rPr>
        <w:t xml:space="preserve"> (patients not included within the ITT population)</w:t>
      </w:r>
      <w:r w:rsidR="006D2F77" w:rsidRPr="006D2F77">
        <w:rPr>
          <w:lang w:val="en-AU"/>
        </w:rPr>
        <w:t xml:space="preserve"> </w:t>
      </w:r>
      <w:r w:rsidR="00784A12">
        <w:rPr>
          <w:lang w:val="en-AU"/>
        </w:rPr>
        <w:t xml:space="preserve">and the full analysis set (FAS) for predefined eosinophil ranges.  </w:t>
      </w:r>
      <w:r w:rsidR="006D2F77">
        <w:rPr>
          <w:lang w:val="en-AU"/>
        </w:rPr>
        <w:t>Table 3 provides a summary of the randomised patient numbers for the different analysis groups.</w:t>
      </w:r>
      <w:r w:rsidR="006D2F77" w:rsidRPr="006D2F77">
        <w:rPr>
          <w:rStyle w:val="FootnoteReference"/>
          <w:lang w:val="en-AU"/>
        </w:rPr>
        <w:t xml:space="preserve"> </w:t>
      </w:r>
    </w:p>
    <w:p w14:paraId="738E4F82" w14:textId="77777777" w:rsidR="00CE79C5" w:rsidRPr="00C83C9B" w:rsidRDefault="00CE79C5" w:rsidP="00C83C9B">
      <w:pPr>
        <w:pStyle w:val="Heading6unnumbered"/>
      </w:pPr>
      <w:r w:rsidRPr="00C83C9B">
        <w:t>ITT population (high-dose ICS/LABA and baseline blood eosinophil count ≥300 cells/</w:t>
      </w:r>
      <w:proofErr w:type="spellStart"/>
      <w:r w:rsidRPr="00C83C9B">
        <w:t>μL</w:t>
      </w:r>
      <w:proofErr w:type="spellEnd"/>
      <w:r w:rsidRPr="00C83C9B">
        <w:t>)</w:t>
      </w:r>
    </w:p>
    <w:p w14:paraId="358D12A2" w14:textId="77777777" w:rsidR="00CE79C5" w:rsidRPr="00CE79C5" w:rsidRDefault="00CE79C5" w:rsidP="00CE79C5">
      <w:pPr>
        <w:pStyle w:val="Paragraph"/>
        <w:rPr>
          <w:lang w:val="en-AU"/>
        </w:rPr>
      </w:pPr>
      <w:r w:rsidRPr="00CE79C5">
        <w:rPr>
          <w:lang w:val="en-AU"/>
        </w:rPr>
        <w:t>The primary endpoint for both trials was the annual asthma exacerbation rate ratio versus placebo within the primary efficacy population (ITT).  Key secondary endpoints were FEV</w:t>
      </w:r>
      <w:r w:rsidRPr="00CE79C5">
        <w:rPr>
          <w:vertAlign w:val="subscript"/>
          <w:lang w:val="en-AU"/>
        </w:rPr>
        <w:t>1</w:t>
      </w:r>
      <w:r w:rsidRPr="00CE79C5">
        <w:rPr>
          <w:lang w:val="en-AU"/>
        </w:rPr>
        <w:t xml:space="preserve"> and total asthma symptom score.  Other lung function, symptom control and quality of life measures were also assessed.</w:t>
      </w:r>
    </w:p>
    <w:p w14:paraId="0010939E" w14:textId="77777777" w:rsidR="00CE79C5" w:rsidRPr="00CE79C5" w:rsidRDefault="00CE79C5" w:rsidP="00CE79C5">
      <w:pPr>
        <w:pStyle w:val="Paragraph"/>
        <w:rPr>
          <w:lang w:val="en-AU"/>
        </w:rPr>
      </w:pPr>
      <w:r w:rsidRPr="00CE79C5">
        <w:rPr>
          <w:lang w:val="en-AU"/>
        </w:rPr>
        <w:t>Demographic, key respiratory and other baseline disease characteristics were balanced across the ITT treatment groups (Fasenra Q8w and placebo) in both trials.  The demographic and patient characteristics in the ITT population were generally similar to the overall population for the two treatment arms, as well as the &lt;300 cells/</w:t>
      </w:r>
      <w:proofErr w:type="spellStart"/>
      <w:r w:rsidRPr="00CE79C5">
        <w:rPr>
          <w:lang w:val="en-AU"/>
        </w:rPr>
        <w:t>μL</w:t>
      </w:r>
      <w:proofErr w:type="spellEnd"/>
      <w:r w:rsidRPr="00CE79C5">
        <w:rPr>
          <w:lang w:val="en-AU"/>
        </w:rPr>
        <w:t xml:space="preserve"> subgroup.</w:t>
      </w:r>
    </w:p>
    <w:p w14:paraId="16FBC1CF" w14:textId="201D8788" w:rsidR="00CE79C5" w:rsidRPr="00CE79C5" w:rsidRDefault="00CE79C5" w:rsidP="00CE79C5">
      <w:pPr>
        <w:pStyle w:val="Paragraph"/>
        <w:rPr>
          <w:lang w:val="en-AU"/>
        </w:rPr>
      </w:pPr>
      <w:r w:rsidRPr="00CE79C5">
        <w:rPr>
          <w:lang w:val="en-AU"/>
        </w:rPr>
        <w:t xml:space="preserve">Treatment with Fasenra Q8w significantly reduced the annual rate of exacerbations (primary endpoint) by 51% (SIROCCO) and 28% (CALIMA) compared to placebo (see </w:t>
      </w:r>
      <w:r w:rsidRPr="00CE79C5">
        <w:rPr>
          <w:lang w:val="en-AU"/>
        </w:rPr>
        <w:fldChar w:fldCharType="begin"/>
      </w:r>
      <w:r w:rsidRPr="00CE79C5">
        <w:rPr>
          <w:lang w:val="en-AU"/>
        </w:rPr>
        <w:instrText xml:space="preserve"> REF _Ref457822077 \h  \* MERGEFORMAT </w:instrText>
      </w:r>
      <w:r w:rsidRPr="00CE79C5">
        <w:rPr>
          <w:lang w:val="en-AU"/>
        </w:rPr>
      </w:r>
      <w:r w:rsidRPr="00CE79C5">
        <w:rPr>
          <w:lang w:val="en-AU"/>
        </w:rPr>
        <w:fldChar w:fldCharType="separate"/>
      </w:r>
      <w:r w:rsidR="00997102" w:rsidRPr="00997102">
        <w:rPr>
          <w:lang w:val="en-AU"/>
        </w:rPr>
        <w:t>Table 5</w:t>
      </w:r>
      <w:r w:rsidRPr="00CE79C5">
        <w:rPr>
          <w:lang w:val="en-AU"/>
        </w:rPr>
        <w:fldChar w:fldCharType="end"/>
      </w:r>
      <w:r w:rsidRPr="00CE79C5">
        <w:rPr>
          <w:lang w:val="en-AU"/>
        </w:rPr>
        <w:t xml:space="preserve">). Similar reductions were observed compared to placebo for exacerbations requiring hospitalisations only (52%) and emergency room </w:t>
      </w:r>
      <w:r w:rsidRPr="005315E3">
        <w:rPr>
          <w:lang w:val="en-AU"/>
        </w:rPr>
        <w:t xml:space="preserve">visits only (77%) in SIROCCO.  </w:t>
      </w:r>
      <w:r w:rsidRPr="005315E3">
        <w:rPr>
          <w:bCs/>
          <w:lang w:val="en-AU"/>
        </w:rPr>
        <w:t>In CALIMA</w:t>
      </w:r>
      <w:r w:rsidRPr="00CE79C5">
        <w:rPr>
          <w:bCs/>
          <w:lang w:val="en-AU"/>
        </w:rPr>
        <w:t xml:space="preserve">, there were too few </w:t>
      </w:r>
      <w:r w:rsidRPr="005315E3">
        <w:rPr>
          <w:bCs/>
          <w:lang w:val="en-AU"/>
        </w:rPr>
        <w:t>events in the placebo treatment arm to draw conclusions for exacerbations requiring hospitalisation or emergency room visits</w:t>
      </w:r>
      <w:r w:rsidR="005315E3" w:rsidRPr="005315E3">
        <w:rPr>
          <w:bCs/>
        </w:rPr>
        <w:t>.</w:t>
      </w:r>
    </w:p>
    <w:p w14:paraId="5346D886" w14:textId="0816D7B5" w:rsidR="00CE79C5" w:rsidRPr="00CE79C5" w:rsidRDefault="00CE79C5" w:rsidP="00CE79C5">
      <w:pPr>
        <w:pStyle w:val="Paragraph"/>
        <w:rPr>
          <w:lang w:val="en-AU"/>
        </w:rPr>
      </w:pPr>
      <w:r w:rsidRPr="00CE79C5">
        <w:rPr>
          <w:lang w:val="en-AU"/>
        </w:rPr>
        <w:t>Clinically and statistically significant improvements in lung function were also observed with a 0.159 L (SIROCCO) and 0.116 L (CALIMA) increase in pre-bronchodilator FEV</w:t>
      </w:r>
      <w:r w:rsidRPr="00CE79C5">
        <w:rPr>
          <w:vertAlign w:val="subscript"/>
          <w:lang w:val="en-AU"/>
        </w:rPr>
        <w:t>1</w:t>
      </w:r>
      <w:r w:rsidRPr="00CE79C5">
        <w:rPr>
          <w:lang w:val="en-AU"/>
        </w:rPr>
        <w:t xml:space="preserve"> relative to placebo (see </w:t>
      </w:r>
      <w:r w:rsidRPr="00CE79C5">
        <w:rPr>
          <w:lang w:val="en-AU"/>
        </w:rPr>
        <w:fldChar w:fldCharType="begin"/>
      </w:r>
      <w:r w:rsidRPr="00CE79C5">
        <w:rPr>
          <w:lang w:val="en-AU"/>
        </w:rPr>
        <w:instrText xml:space="preserve"> REF _Ref457822077 \h  \* MERGEFORMAT </w:instrText>
      </w:r>
      <w:r w:rsidRPr="00CE79C5">
        <w:rPr>
          <w:lang w:val="en-AU"/>
        </w:rPr>
      </w:r>
      <w:r w:rsidRPr="00CE79C5">
        <w:rPr>
          <w:lang w:val="en-AU"/>
        </w:rPr>
        <w:fldChar w:fldCharType="separate"/>
      </w:r>
      <w:r w:rsidR="00997102" w:rsidRPr="00997102">
        <w:rPr>
          <w:lang w:val="en-AU"/>
        </w:rPr>
        <w:t>Table 5</w:t>
      </w:r>
      <w:r w:rsidRPr="00CE79C5">
        <w:rPr>
          <w:lang w:val="en-AU"/>
        </w:rPr>
        <w:fldChar w:fldCharType="end"/>
      </w:r>
      <w:r w:rsidRPr="00CE79C5">
        <w:rPr>
          <w:lang w:val="en-AU"/>
        </w:rPr>
        <w:t xml:space="preserve">).  </w:t>
      </w:r>
      <w:r w:rsidRPr="00CE79C5">
        <w:rPr>
          <w:bCs/>
          <w:lang w:val="en-AU"/>
        </w:rPr>
        <w:t>Compared with placebo, Fasenra Q8w provided consistent improvements over time in the mean change from baseline in FEV</w:t>
      </w:r>
      <w:r w:rsidRPr="00CE79C5">
        <w:rPr>
          <w:bCs/>
          <w:vertAlign w:val="subscript"/>
          <w:lang w:val="en-AU"/>
        </w:rPr>
        <w:t>1</w:t>
      </w:r>
      <w:r w:rsidRPr="00CE79C5">
        <w:rPr>
          <w:bCs/>
          <w:lang w:val="en-AU"/>
        </w:rPr>
        <w:t>. Benefits of Fasenra Q8w on l</w:t>
      </w:r>
      <w:r w:rsidRPr="00CE79C5">
        <w:rPr>
          <w:lang w:val="en-AU"/>
        </w:rPr>
        <w:t>ung function were further supported by improvements in the mean change for morning and evening peak expiratory flow (PEF) from baseline compared to placebo.</w:t>
      </w:r>
    </w:p>
    <w:p w14:paraId="5FED6842" w14:textId="77A211CB" w:rsidR="00577C21" w:rsidRDefault="00CE79C5" w:rsidP="00CE79C5">
      <w:pPr>
        <w:pStyle w:val="Paragraph"/>
        <w:rPr>
          <w:lang w:val="en-AU"/>
        </w:rPr>
      </w:pPr>
      <w:r w:rsidRPr="00CE79C5">
        <w:rPr>
          <w:lang w:val="en-AU"/>
        </w:rPr>
        <w:t xml:space="preserve">Significant improvements were also observed for total asthma symptoms score and the Asthma Control Questionnaire (ACQ-6) after treatment with Fasenra Q8w relative to placebo (see </w:t>
      </w:r>
      <w:r w:rsidRPr="00CE79C5">
        <w:rPr>
          <w:lang w:val="en-AU"/>
        </w:rPr>
        <w:fldChar w:fldCharType="begin"/>
      </w:r>
      <w:r w:rsidRPr="00CE79C5">
        <w:rPr>
          <w:lang w:val="en-AU"/>
        </w:rPr>
        <w:instrText xml:space="preserve"> REF _Ref457822077 \h  \* MERGEFORMAT </w:instrText>
      </w:r>
      <w:r w:rsidRPr="00CE79C5">
        <w:rPr>
          <w:lang w:val="en-AU"/>
        </w:rPr>
      </w:r>
      <w:r w:rsidRPr="00CE79C5">
        <w:rPr>
          <w:lang w:val="en-AU"/>
        </w:rPr>
        <w:fldChar w:fldCharType="separate"/>
      </w:r>
      <w:r w:rsidR="00997102" w:rsidRPr="00997102">
        <w:rPr>
          <w:lang w:val="en-AU"/>
        </w:rPr>
        <w:t>Table 5</w:t>
      </w:r>
      <w:r w:rsidRPr="00CE79C5">
        <w:rPr>
          <w:lang w:val="en-AU"/>
        </w:rPr>
        <w:fldChar w:fldCharType="end"/>
      </w:r>
      <w:r w:rsidRPr="00CE79C5">
        <w:rPr>
          <w:lang w:val="en-AU"/>
        </w:rPr>
        <w:t xml:space="preserve">). Significant improvements in quality of life, as measured by the Standardised Asthma Quality of Life Questionnaire for 12 years and older (AQLQ(S)+12), were also demonstrated for Fasenra Q8w compared to placebo (see </w:t>
      </w:r>
      <w:r w:rsidRPr="00CE79C5">
        <w:rPr>
          <w:lang w:val="en-AU"/>
        </w:rPr>
        <w:fldChar w:fldCharType="begin"/>
      </w:r>
      <w:r w:rsidRPr="00CE79C5">
        <w:rPr>
          <w:lang w:val="en-AU"/>
        </w:rPr>
        <w:instrText xml:space="preserve"> REF _Ref457822077 \h  \* MERGEFORMAT </w:instrText>
      </w:r>
      <w:r w:rsidRPr="00CE79C5">
        <w:rPr>
          <w:lang w:val="en-AU"/>
        </w:rPr>
      </w:r>
      <w:r w:rsidRPr="00CE79C5">
        <w:rPr>
          <w:lang w:val="en-AU"/>
        </w:rPr>
        <w:fldChar w:fldCharType="separate"/>
      </w:r>
      <w:r w:rsidR="00997102" w:rsidRPr="00997102">
        <w:rPr>
          <w:lang w:val="en-AU"/>
        </w:rPr>
        <w:t>Table 5</w:t>
      </w:r>
      <w:r w:rsidRPr="00CE79C5">
        <w:rPr>
          <w:lang w:val="en-AU"/>
        </w:rPr>
        <w:fldChar w:fldCharType="end"/>
      </w:r>
      <w:r w:rsidRPr="00CE79C5">
        <w:rPr>
          <w:lang w:val="en-AU"/>
        </w:rPr>
        <w:t>).</w:t>
      </w:r>
    </w:p>
    <w:p w14:paraId="1F91A0E5" w14:textId="77777777" w:rsidR="00577C21" w:rsidRDefault="00577C21">
      <w:pPr>
        <w:spacing w:after="200"/>
        <w:rPr>
          <w:lang w:val="en-AU"/>
        </w:rPr>
      </w:pPr>
      <w:r>
        <w:rPr>
          <w:lang w:val="en-AU"/>
        </w:rPr>
        <w:br w:type="page"/>
      </w:r>
    </w:p>
    <w:p w14:paraId="31C5A2F7" w14:textId="2DFE80E3" w:rsidR="00CE79C5" w:rsidRPr="00CE79C5" w:rsidRDefault="00CE79C5" w:rsidP="00141759">
      <w:pPr>
        <w:pStyle w:val="TableTitle"/>
      </w:pPr>
      <w:bookmarkStart w:id="14" w:name="_Ref457822077"/>
      <w:bookmarkStart w:id="15" w:name="_Ref457822070"/>
      <w:bookmarkStart w:id="16" w:name="_Toc466300572"/>
      <w:r w:rsidRPr="00CE79C5">
        <w:lastRenderedPageBreak/>
        <w:t xml:space="preserve">Table </w:t>
      </w:r>
      <w:r w:rsidRPr="00CE79C5">
        <w:fldChar w:fldCharType="begin"/>
      </w:r>
      <w:r w:rsidRPr="00CE79C5">
        <w:instrText xml:space="preserve"> SEQ Table \* ARABIC </w:instrText>
      </w:r>
      <w:r w:rsidRPr="00CE79C5">
        <w:fldChar w:fldCharType="separate"/>
      </w:r>
      <w:r w:rsidR="00997102">
        <w:rPr>
          <w:noProof/>
        </w:rPr>
        <w:t>5</w:t>
      </w:r>
      <w:r w:rsidRPr="00CE79C5">
        <w:rPr>
          <w:lang w:val="en-AU"/>
        </w:rPr>
        <w:fldChar w:fldCharType="end"/>
      </w:r>
      <w:bookmarkEnd w:id="14"/>
      <w:r w:rsidRPr="00CE79C5">
        <w:tab/>
        <w:t>Overview of key efficacy results (ITT population – high-dose ICS/LABA &amp; baseline blood eosinophils ≥300 cells/</w:t>
      </w:r>
      <w:proofErr w:type="spellStart"/>
      <w:r w:rsidRPr="00CE79C5">
        <w:t>μL</w:t>
      </w:r>
      <w:proofErr w:type="spellEnd"/>
      <w:r w:rsidRPr="00CE79C5">
        <w:t>)</w:t>
      </w:r>
      <w:bookmarkEnd w:id="15"/>
      <w:bookmarkEnd w:id="16"/>
      <w:r w:rsidRPr="00CE79C5">
        <w:t xml:space="preserve"> – SIROCCO and CALIMA</w:t>
      </w:r>
    </w:p>
    <w:tbl>
      <w:tblPr>
        <w:tblStyle w:val="TableGrid"/>
        <w:tblW w:w="5000" w:type="pct"/>
        <w:tblLayout w:type="fixed"/>
        <w:tblLook w:val="0000" w:firstRow="0" w:lastRow="0" w:firstColumn="0" w:lastColumn="0" w:noHBand="0" w:noVBand="0"/>
      </w:tblPr>
      <w:tblGrid>
        <w:gridCol w:w="1267"/>
        <w:gridCol w:w="2702"/>
        <w:gridCol w:w="958"/>
        <w:gridCol w:w="1269"/>
        <w:gridCol w:w="2544"/>
        <w:gridCol w:w="1114"/>
      </w:tblGrid>
      <w:tr w:rsidR="00CE79C5" w:rsidRPr="00CE79C5" w14:paraId="3AA3D271" w14:textId="77777777" w:rsidTr="00553268">
        <w:trPr>
          <w:trHeight w:val="283"/>
          <w:tblHeader/>
        </w:trPr>
        <w:tc>
          <w:tcPr>
            <w:tcW w:w="5000" w:type="pct"/>
            <w:gridSpan w:val="6"/>
          </w:tcPr>
          <w:p w14:paraId="0609A24B" w14:textId="77777777" w:rsidR="00CE79C5" w:rsidRPr="00CE79C5" w:rsidRDefault="00CE79C5" w:rsidP="00141759">
            <w:pPr>
              <w:pStyle w:val="TableHead"/>
            </w:pPr>
            <w:r w:rsidRPr="00CE79C5">
              <w:t>Fasenra Q8w vs Placebo</w:t>
            </w:r>
          </w:p>
        </w:tc>
      </w:tr>
      <w:tr w:rsidR="00CE79C5" w:rsidRPr="00CE79C5" w14:paraId="07EFFE1A" w14:textId="77777777" w:rsidTr="00553268">
        <w:trPr>
          <w:trHeight w:val="209"/>
          <w:tblHeader/>
        </w:trPr>
        <w:tc>
          <w:tcPr>
            <w:tcW w:w="2500" w:type="pct"/>
            <w:gridSpan w:val="3"/>
          </w:tcPr>
          <w:p w14:paraId="39CCFF8F" w14:textId="77777777" w:rsidR="00CE79C5" w:rsidRPr="00CE79C5" w:rsidRDefault="00CE79C5" w:rsidP="00141759">
            <w:pPr>
              <w:pStyle w:val="TableHead"/>
            </w:pPr>
            <w:r w:rsidRPr="00CE79C5">
              <w:t>SIROCCO</w:t>
            </w:r>
          </w:p>
        </w:tc>
        <w:tc>
          <w:tcPr>
            <w:tcW w:w="2500" w:type="pct"/>
            <w:gridSpan w:val="3"/>
          </w:tcPr>
          <w:p w14:paraId="0874E7DF" w14:textId="77777777" w:rsidR="00CE79C5" w:rsidRPr="00CE79C5" w:rsidRDefault="00CE79C5" w:rsidP="00141759">
            <w:pPr>
              <w:pStyle w:val="TableHead"/>
            </w:pPr>
            <w:r w:rsidRPr="00CE79C5">
              <w:t>CALIMA</w:t>
            </w:r>
          </w:p>
        </w:tc>
      </w:tr>
      <w:tr w:rsidR="00CE79C5" w:rsidRPr="00CE79C5" w14:paraId="45BFDB59" w14:textId="77777777" w:rsidTr="00141759">
        <w:trPr>
          <w:trHeight w:val="469"/>
        </w:trPr>
        <w:tc>
          <w:tcPr>
            <w:tcW w:w="643" w:type="pct"/>
          </w:tcPr>
          <w:p w14:paraId="1CF3E5BE" w14:textId="77777777" w:rsidR="00CE79C5" w:rsidRPr="00CE79C5" w:rsidRDefault="00CE79C5" w:rsidP="00141759">
            <w:pPr>
              <w:pStyle w:val="TableHead"/>
            </w:pPr>
            <w:r w:rsidRPr="00CE79C5">
              <w:t>N(n) v N(n)</w:t>
            </w:r>
          </w:p>
        </w:tc>
        <w:tc>
          <w:tcPr>
            <w:tcW w:w="1371" w:type="pct"/>
          </w:tcPr>
          <w:p w14:paraId="53C169A3" w14:textId="77777777" w:rsidR="00CE79C5" w:rsidRPr="00CE79C5" w:rsidRDefault="00CE79C5" w:rsidP="00141759">
            <w:pPr>
              <w:pStyle w:val="TableHead"/>
            </w:pPr>
            <w:r w:rsidRPr="00CE79C5">
              <w:t>Comparison (95% CI)</w:t>
            </w:r>
          </w:p>
        </w:tc>
        <w:tc>
          <w:tcPr>
            <w:tcW w:w="486" w:type="pct"/>
          </w:tcPr>
          <w:p w14:paraId="3DFE7439" w14:textId="77777777" w:rsidR="00CE79C5" w:rsidRPr="00CE79C5" w:rsidRDefault="00CE79C5" w:rsidP="00141759">
            <w:pPr>
              <w:pStyle w:val="TableHead"/>
            </w:pPr>
            <w:r w:rsidRPr="00CE79C5">
              <w:t>p-value</w:t>
            </w:r>
          </w:p>
        </w:tc>
        <w:tc>
          <w:tcPr>
            <w:tcW w:w="644" w:type="pct"/>
          </w:tcPr>
          <w:p w14:paraId="65BD78A9" w14:textId="77777777" w:rsidR="00CE79C5" w:rsidRPr="00CE79C5" w:rsidRDefault="00CE79C5" w:rsidP="00141759">
            <w:pPr>
              <w:pStyle w:val="TableHead"/>
            </w:pPr>
            <w:r w:rsidRPr="00CE79C5">
              <w:t>N(n) v N(n)</w:t>
            </w:r>
          </w:p>
        </w:tc>
        <w:tc>
          <w:tcPr>
            <w:tcW w:w="1291" w:type="pct"/>
          </w:tcPr>
          <w:p w14:paraId="30CACFF3" w14:textId="77777777" w:rsidR="00CE79C5" w:rsidRPr="00CE79C5" w:rsidRDefault="00CE79C5" w:rsidP="00141759">
            <w:pPr>
              <w:pStyle w:val="TableHead"/>
            </w:pPr>
            <w:r w:rsidRPr="00CE79C5">
              <w:t>Comparison (95% CI)</w:t>
            </w:r>
          </w:p>
        </w:tc>
        <w:tc>
          <w:tcPr>
            <w:tcW w:w="565" w:type="pct"/>
          </w:tcPr>
          <w:p w14:paraId="6F986DF9" w14:textId="77777777" w:rsidR="00CE79C5" w:rsidRPr="00CE79C5" w:rsidRDefault="00CE79C5" w:rsidP="00141759">
            <w:pPr>
              <w:pStyle w:val="TableHead"/>
            </w:pPr>
            <w:r w:rsidRPr="00CE79C5">
              <w:t>p-value</w:t>
            </w:r>
          </w:p>
        </w:tc>
      </w:tr>
      <w:tr w:rsidR="00CE79C5" w:rsidRPr="00CE79C5" w14:paraId="2492C673" w14:textId="77777777" w:rsidTr="00141759">
        <w:trPr>
          <w:trHeight w:val="287"/>
        </w:trPr>
        <w:tc>
          <w:tcPr>
            <w:tcW w:w="5000" w:type="pct"/>
            <w:gridSpan w:val="6"/>
          </w:tcPr>
          <w:p w14:paraId="6C4EC2C4" w14:textId="77777777" w:rsidR="00CE79C5" w:rsidRPr="00C83C9B" w:rsidRDefault="00CE79C5" w:rsidP="00C83C9B">
            <w:pPr>
              <w:pStyle w:val="TableLeft"/>
              <w:rPr>
                <w:b/>
              </w:rPr>
            </w:pPr>
            <w:r w:rsidRPr="00C83C9B">
              <w:rPr>
                <w:b/>
              </w:rPr>
              <w:t xml:space="preserve">Primary endpoint:  Annual asthma exacerbation^ rate (rate ratio) </w:t>
            </w:r>
            <w:r w:rsidRPr="00C83C9B">
              <w:rPr>
                <w:b/>
                <w:vertAlign w:val="superscript"/>
              </w:rPr>
              <w:t>a</w:t>
            </w:r>
          </w:p>
        </w:tc>
      </w:tr>
      <w:tr w:rsidR="00CE79C5" w:rsidRPr="00CE79C5" w14:paraId="4EBEB5B3" w14:textId="77777777" w:rsidTr="00141759">
        <w:trPr>
          <w:trHeight w:val="263"/>
        </w:trPr>
        <w:tc>
          <w:tcPr>
            <w:tcW w:w="643" w:type="pct"/>
          </w:tcPr>
          <w:p w14:paraId="2DD3FD53" w14:textId="77777777" w:rsidR="00CE79C5" w:rsidRPr="00CE79C5" w:rsidRDefault="00CE79C5" w:rsidP="00141759">
            <w:pPr>
              <w:pStyle w:val="TableCenter"/>
            </w:pPr>
            <w:r w:rsidRPr="00CE79C5">
              <w:t>267 (267) v 267 (267)</w:t>
            </w:r>
          </w:p>
        </w:tc>
        <w:tc>
          <w:tcPr>
            <w:tcW w:w="1371" w:type="pct"/>
          </w:tcPr>
          <w:p w14:paraId="38AA20EF" w14:textId="77777777" w:rsidR="00CE79C5" w:rsidRPr="00CE79C5" w:rsidRDefault="00CE79C5" w:rsidP="00141759">
            <w:pPr>
              <w:pStyle w:val="TableCenter"/>
            </w:pPr>
            <w:r w:rsidRPr="00CE79C5">
              <w:t>0.49 (0.37, 0.64)</w:t>
            </w:r>
          </w:p>
        </w:tc>
        <w:tc>
          <w:tcPr>
            <w:tcW w:w="486" w:type="pct"/>
          </w:tcPr>
          <w:p w14:paraId="71BE4B1C" w14:textId="77777777" w:rsidR="00CE79C5" w:rsidRPr="00CE79C5" w:rsidRDefault="00CE79C5" w:rsidP="00141759">
            <w:pPr>
              <w:pStyle w:val="TableCenter"/>
            </w:pPr>
            <w:r w:rsidRPr="00CE79C5">
              <w:t>&lt;0.001*</w:t>
            </w:r>
          </w:p>
        </w:tc>
        <w:tc>
          <w:tcPr>
            <w:tcW w:w="644" w:type="pct"/>
          </w:tcPr>
          <w:p w14:paraId="2C546CA8" w14:textId="77777777" w:rsidR="00CE79C5" w:rsidRPr="00CE79C5" w:rsidRDefault="00CE79C5" w:rsidP="00141759">
            <w:pPr>
              <w:pStyle w:val="TableCenter"/>
            </w:pPr>
            <w:r w:rsidRPr="00CE79C5">
              <w:t>239 (239) v 248 (248)</w:t>
            </w:r>
          </w:p>
        </w:tc>
        <w:tc>
          <w:tcPr>
            <w:tcW w:w="1291" w:type="pct"/>
          </w:tcPr>
          <w:p w14:paraId="3DD929B2" w14:textId="77777777" w:rsidR="00CE79C5" w:rsidRPr="00CE79C5" w:rsidRDefault="00CE79C5" w:rsidP="00141759">
            <w:pPr>
              <w:pStyle w:val="TableCenter"/>
            </w:pPr>
            <w:r w:rsidRPr="00CE79C5">
              <w:t>0.72 (0.54, 0.95)</w:t>
            </w:r>
          </w:p>
        </w:tc>
        <w:tc>
          <w:tcPr>
            <w:tcW w:w="565" w:type="pct"/>
          </w:tcPr>
          <w:p w14:paraId="4F216223" w14:textId="77777777" w:rsidR="00CE79C5" w:rsidRPr="00CE79C5" w:rsidRDefault="00CE79C5" w:rsidP="00141759">
            <w:pPr>
              <w:pStyle w:val="TableCenter"/>
            </w:pPr>
            <w:r w:rsidRPr="00CE79C5">
              <w:t>0.019*</w:t>
            </w:r>
          </w:p>
        </w:tc>
      </w:tr>
      <w:tr w:rsidR="00CE79C5" w:rsidRPr="00CE79C5" w14:paraId="08E0F3C7" w14:textId="77777777" w:rsidTr="00141759">
        <w:trPr>
          <w:trHeight w:val="350"/>
        </w:trPr>
        <w:tc>
          <w:tcPr>
            <w:tcW w:w="5000" w:type="pct"/>
            <w:gridSpan w:val="6"/>
          </w:tcPr>
          <w:p w14:paraId="054D7DD4" w14:textId="77777777" w:rsidR="00CE79C5" w:rsidRPr="00C83C9B" w:rsidRDefault="00CE79C5" w:rsidP="00C83C9B">
            <w:pPr>
              <w:pStyle w:val="TableLeft"/>
              <w:rPr>
                <w:b/>
              </w:rPr>
            </w:pPr>
            <w:r w:rsidRPr="00C83C9B">
              <w:rPr>
                <w:b/>
              </w:rPr>
              <w:t>Pre-bronchodilator FEV</w:t>
            </w:r>
            <w:r w:rsidRPr="00C83C9B">
              <w:rPr>
                <w:b/>
                <w:vertAlign w:val="subscript"/>
              </w:rPr>
              <w:t xml:space="preserve">1 </w:t>
            </w:r>
            <w:r w:rsidRPr="00C83C9B">
              <w:rPr>
                <w:b/>
              </w:rPr>
              <w:t xml:space="preserve">(L) change from baseline at EOT (difference in LS means) </w:t>
            </w:r>
            <w:r w:rsidRPr="00C83C9B">
              <w:rPr>
                <w:b/>
                <w:vertAlign w:val="superscript"/>
              </w:rPr>
              <w:t>b</w:t>
            </w:r>
          </w:p>
        </w:tc>
      </w:tr>
      <w:tr w:rsidR="00CE79C5" w:rsidRPr="00CE79C5" w14:paraId="71E9600D" w14:textId="77777777" w:rsidTr="00141759">
        <w:trPr>
          <w:trHeight w:val="263"/>
        </w:trPr>
        <w:tc>
          <w:tcPr>
            <w:tcW w:w="643" w:type="pct"/>
          </w:tcPr>
          <w:p w14:paraId="49D64DEA" w14:textId="77777777" w:rsidR="00CE79C5" w:rsidRDefault="00CE79C5" w:rsidP="00141759">
            <w:pPr>
              <w:pStyle w:val="TableCenter"/>
            </w:pPr>
            <w:r w:rsidRPr="00CE79C5">
              <w:t>264 (235) v 261 (233)</w:t>
            </w:r>
          </w:p>
          <w:p w14:paraId="38F4D0E4" w14:textId="280102D4" w:rsidR="00F334F6" w:rsidRPr="00CE79C5" w:rsidRDefault="00F334F6" w:rsidP="00141759">
            <w:pPr>
              <w:pStyle w:val="TableCenter"/>
            </w:pPr>
          </w:p>
        </w:tc>
        <w:tc>
          <w:tcPr>
            <w:tcW w:w="1371" w:type="pct"/>
          </w:tcPr>
          <w:p w14:paraId="22FE8C21" w14:textId="77777777" w:rsidR="00CE79C5" w:rsidRPr="00CE79C5" w:rsidRDefault="00CE79C5" w:rsidP="00141759">
            <w:pPr>
              <w:pStyle w:val="TableCenter"/>
            </w:pPr>
            <w:r w:rsidRPr="00CE79C5">
              <w:t>0.159 (0.068, 0.249)</w:t>
            </w:r>
          </w:p>
        </w:tc>
        <w:tc>
          <w:tcPr>
            <w:tcW w:w="486" w:type="pct"/>
          </w:tcPr>
          <w:p w14:paraId="1A52848A" w14:textId="77777777" w:rsidR="00CE79C5" w:rsidRPr="00CE79C5" w:rsidRDefault="00CE79C5" w:rsidP="00141759">
            <w:pPr>
              <w:pStyle w:val="TableCenter"/>
            </w:pPr>
            <w:r w:rsidRPr="00CE79C5">
              <w:t>0.001*</w:t>
            </w:r>
          </w:p>
        </w:tc>
        <w:tc>
          <w:tcPr>
            <w:tcW w:w="644" w:type="pct"/>
          </w:tcPr>
          <w:p w14:paraId="6AB35E99" w14:textId="77777777" w:rsidR="00CE79C5" w:rsidRPr="00CE79C5" w:rsidRDefault="00CE79C5" w:rsidP="00141759">
            <w:pPr>
              <w:pStyle w:val="TableCenter"/>
            </w:pPr>
            <w:r w:rsidRPr="00CE79C5">
              <w:t>238 (211) v 244 (221)</w:t>
            </w:r>
          </w:p>
        </w:tc>
        <w:tc>
          <w:tcPr>
            <w:tcW w:w="1291" w:type="pct"/>
          </w:tcPr>
          <w:p w14:paraId="7E4103D2" w14:textId="77777777" w:rsidR="00CE79C5" w:rsidRPr="00CE79C5" w:rsidRDefault="00CE79C5" w:rsidP="00141759">
            <w:pPr>
              <w:pStyle w:val="TableCenter"/>
            </w:pPr>
            <w:r w:rsidRPr="00CE79C5">
              <w:t>0.116 (0.028, 0.204)</w:t>
            </w:r>
          </w:p>
        </w:tc>
        <w:tc>
          <w:tcPr>
            <w:tcW w:w="565" w:type="pct"/>
          </w:tcPr>
          <w:p w14:paraId="1F3C933D" w14:textId="77777777" w:rsidR="00CE79C5" w:rsidRPr="00CE79C5" w:rsidRDefault="00CE79C5" w:rsidP="00141759">
            <w:pPr>
              <w:pStyle w:val="TableCenter"/>
            </w:pPr>
            <w:r w:rsidRPr="00CE79C5">
              <w:t>0.010*</w:t>
            </w:r>
          </w:p>
        </w:tc>
      </w:tr>
      <w:tr w:rsidR="00CE79C5" w:rsidRPr="00CE79C5" w14:paraId="027E8D18" w14:textId="77777777" w:rsidTr="00141759">
        <w:trPr>
          <w:trHeight w:val="332"/>
        </w:trPr>
        <w:tc>
          <w:tcPr>
            <w:tcW w:w="5000" w:type="pct"/>
            <w:gridSpan w:val="6"/>
          </w:tcPr>
          <w:p w14:paraId="2116CB36" w14:textId="77777777" w:rsidR="00CE79C5" w:rsidRPr="00C83C9B" w:rsidRDefault="00CE79C5" w:rsidP="00C83C9B">
            <w:pPr>
              <w:pStyle w:val="TableLeft"/>
              <w:rPr>
                <w:b/>
              </w:rPr>
            </w:pPr>
            <w:r w:rsidRPr="00C83C9B">
              <w:rPr>
                <w:b/>
              </w:rPr>
              <w:t xml:space="preserve">Total asthma symptom score change from baseline at EOT (difference in LS means) </w:t>
            </w:r>
            <w:r w:rsidRPr="00C83C9B">
              <w:rPr>
                <w:b/>
                <w:vertAlign w:val="superscript"/>
              </w:rPr>
              <w:t>c</w:t>
            </w:r>
          </w:p>
        </w:tc>
      </w:tr>
      <w:tr w:rsidR="00CE79C5" w:rsidRPr="00CE79C5" w14:paraId="2F9084C9" w14:textId="77777777" w:rsidTr="00141759">
        <w:trPr>
          <w:trHeight w:val="263"/>
        </w:trPr>
        <w:tc>
          <w:tcPr>
            <w:tcW w:w="643" w:type="pct"/>
          </w:tcPr>
          <w:p w14:paraId="4BF78738" w14:textId="77777777" w:rsidR="00CE79C5" w:rsidRPr="00CE79C5" w:rsidRDefault="00CE79C5" w:rsidP="00141759">
            <w:pPr>
              <w:pStyle w:val="TableCenter"/>
            </w:pPr>
            <w:r w:rsidRPr="00CE79C5">
              <w:t>263 (178) v 267 (180)</w:t>
            </w:r>
          </w:p>
        </w:tc>
        <w:tc>
          <w:tcPr>
            <w:tcW w:w="1371" w:type="pct"/>
          </w:tcPr>
          <w:p w14:paraId="720B3D58" w14:textId="77777777" w:rsidR="00CE79C5" w:rsidRPr="00CE79C5" w:rsidRDefault="00CE79C5" w:rsidP="00141759">
            <w:pPr>
              <w:pStyle w:val="TableCenter"/>
            </w:pPr>
            <w:r w:rsidRPr="00CE79C5">
              <w:t>-0.25 (</w:t>
            </w:r>
            <w:r w:rsidRPr="00CE79C5">
              <w:noBreakHyphen/>
              <w:t xml:space="preserve">0.45, </w:t>
            </w:r>
            <w:r w:rsidRPr="00CE79C5">
              <w:noBreakHyphen/>
              <w:t>0.06)</w:t>
            </w:r>
          </w:p>
        </w:tc>
        <w:tc>
          <w:tcPr>
            <w:tcW w:w="486" w:type="pct"/>
          </w:tcPr>
          <w:p w14:paraId="343D4D2F" w14:textId="77777777" w:rsidR="00CE79C5" w:rsidRPr="00CE79C5" w:rsidRDefault="00CE79C5" w:rsidP="00141759">
            <w:pPr>
              <w:pStyle w:val="TableCenter"/>
            </w:pPr>
            <w:r w:rsidRPr="00CE79C5">
              <w:t>0.012*</w:t>
            </w:r>
          </w:p>
        </w:tc>
        <w:tc>
          <w:tcPr>
            <w:tcW w:w="644" w:type="pct"/>
          </w:tcPr>
          <w:p w14:paraId="2EC6D36D" w14:textId="77777777" w:rsidR="00CE79C5" w:rsidRPr="00CE79C5" w:rsidRDefault="00CE79C5" w:rsidP="00141759">
            <w:pPr>
              <w:pStyle w:val="TableCenter"/>
            </w:pPr>
            <w:r w:rsidRPr="00CE79C5">
              <w:t>237 (185) v 247 (187)</w:t>
            </w:r>
          </w:p>
        </w:tc>
        <w:tc>
          <w:tcPr>
            <w:tcW w:w="1291" w:type="pct"/>
          </w:tcPr>
          <w:p w14:paraId="1CA9BDCA" w14:textId="77777777" w:rsidR="00CE79C5" w:rsidRPr="00CE79C5" w:rsidRDefault="00CE79C5" w:rsidP="00141759">
            <w:pPr>
              <w:pStyle w:val="TableCenter"/>
            </w:pPr>
            <w:r w:rsidRPr="00CE79C5">
              <w:t xml:space="preserve">-0.23 (-0.43, </w:t>
            </w:r>
            <w:r w:rsidRPr="00CE79C5">
              <w:noBreakHyphen/>
              <w:t>0.04)</w:t>
            </w:r>
          </w:p>
        </w:tc>
        <w:tc>
          <w:tcPr>
            <w:tcW w:w="565" w:type="pct"/>
          </w:tcPr>
          <w:p w14:paraId="36E2A2E9" w14:textId="77777777" w:rsidR="00CE79C5" w:rsidRPr="00CE79C5" w:rsidRDefault="00CE79C5" w:rsidP="00141759">
            <w:pPr>
              <w:pStyle w:val="TableCenter"/>
            </w:pPr>
            <w:r w:rsidRPr="00CE79C5">
              <w:t>0.019*</w:t>
            </w:r>
          </w:p>
        </w:tc>
      </w:tr>
      <w:tr w:rsidR="00CE79C5" w:rsidRPr="00CE79C5" w14:paraId="5D8EA7BC" w14:textId="77777777" w:rsidTr="00141759">
        <w:trPr>
          <w:trHeight w:val="332"/>
        </w:trPr>
        <w:tc>
          <w:tcPr>
            <w:tcW w:w="5000" w:type="pct"/>
            <w:gridSpan w:val="6"/>
          </w:tcPr>
          <w:p w14:paraId="5642D914" w14:textId="77777777" w:rsidR="00CE79C5" w:rsidRPr="00C83C9B" w:rsidRDefault="00CE79C5" w:rsidP="00C83C9B">
            <w:pPr>
              <w:pStyle w:val="TableLeft"/>
              <w:rPr>
                <w:b/>
              </w:rPr>
            </w:pPr>
            <w:r w:rsidRPr="00C83C9B">
              <w:rPr>
                <w:b/>
              </w:rPr>
              <w:t xml:space="preserve">ACQ-6 score change from baseline at EOT (difference in LS means) </w:t>
            </w:r>
            <w:r w:rsidRPr="00C83C9B">
              <w:rPr>
                <w:b/>
                <w:vertAlign w:val="superscript"/>
              </w:rPr>
              <w:t>d</w:t>
            </w:r>
          </w:p>
        </w:tc>
      </w:tr>
      <w:tr w:rsidR="00CE79C5" w:rsidRPr="00CE79C5" w14:paraId="05F6B05D" w14:textId="77777777" w:rsidTr="00141759">
        <w:trPr>
          <w:trHeight w:val="263"/>
        </w:trPr>
        <w:tc>
          <w:tcPr>
            <w:tcW w:w="643" w:type="pct"/>
          </w:tcPr>
          <w:p w14:paraId="44C5BE79" w14:textId="77777777" w:rsidR="00CE79C5" w:rsidRPr="00CE79C5" w:rsidRDefault="00CE79C5" w:rsidP="00141759">
            <w:pPr>
              <w:pStyle w:val="TableCenter"/>
            </w:pPr>
            <w:r w:rsidRPr="00CE79C5">
              <w:t>267 (263) v 267 (267)</w:t>
            </w:r>
          </w:p>
        </w:tc>
        <w:tc>
          <w:tcPr>
            <w:tcW w:w="1371" w:type="pct"/>
          </w:tcPr>
          <w:p w14:paraId="7129065D" w14:textId="77777777" w:rsidR="00CE79C5" w:rsidRPr="00CE79C5" w:rsidRDefault="00CE79C5" w:rsidP="00141759">
            <w:pPr>
              <w:pStyle w:val="TableCenter"/>
            </w:pPr>
            <w:r w:rsidRPr="00CE79C5">
              <w:t>-0.29 (-0.48, -0.10)</w:t>
            </w:r>
          </w:p>
        </w:tc>
        <w:tc>
          <w:tcPr>
            <w:tcW w:w="486" w:type="pct"/>
          </w:tcPr>
          <w:p w14:paraId="4DE618E4" w14:textId="77777777" w:rsidR="00CE79C5" w:rsidRPr="00CE79C5" w:rsidRDefault="00CE79C5" w:rsidP="00141759">
            <w:pPr>
              <w:pStyle w:val="TableCenter"/>
            </w:pPr>
            <w:r w:rsidRPr="00CE79C5">
              <w:t>0.003</w:t>
            </w:r>
          </w:p>
        </w:tc>
        <w:tc>
          <w:tcPr>
            <w:tcW w:w="644" w:type="pct"/>
          </w:tcPr>
          <w:p w14:paraId="0F55CD74" w14:textId="77777777" w:rsidR="00CE79C5" w:rsidRPr="00CE79C5" w:rsidRDefault="00CE79C5" w:rsidP="00141759">
            <w:pPr>
              <w:pStyle w:val="TableCenter"/>
            </w:pPr>
            <w:r w:rsidRPr="00CE79C5">
              <w:t>239 (239) v 248 (247)</w:t>
            </w:r>
          </w:p>
        </w:tc>
        <w:tc>
          <w:tcPr>
            <w:tcW w:w="1291" w:type="pct"/>
          </w:tcPr>
          <w:p w14:paraId="69B7A0D2" w14:textId="77777777" w:rsidR="00CE79C5" w:rsidRPr="00CE79C5" w:rsidRDefault="00CE79C5" w:rsidP="00141759">
            <w:pPr>
              <w:pStyle w:val="TableCenter"/>
            </w:pPr>
            <w:r w:rsidRPr="00CE79C5">
              <w:t>-0.25 (-0.44, -0.07)</w:t>
            </w:r>
          </w:p>
        </w:tc>
        <w:tc>
          <w:tcPr>
            <w:tcW w:w="565" w:type="pct"/>
          </w:tcPr>
          <w:p w14:paraId="44A195A5" w14:textId="77777777" w:rsidR="00CE79C5" w:rsidRPr="00CE79C5" w:rsidRDefault="00CE79C5" w:rsidP="00141759">
            <w:pPr>
              <w:pStyle w:val="TableCenter"/>
            </w:pPr>
            <w:r w:rsidRPr="00CE79C5">
              <w:t>0.008</w:t>
            </w:r>
          </w:p>
        </w:tc>
      </w:tr>
      <w:tr w:rsidR="00CE79C5" w:rsidRPr="00553268" w14:paraId="06FDBE5C" w14:textId="77777777" w:rsidTr="00141759">
        <w:trPr>
          <w:trHeight w:val="332"/>
        </w:trPr>
        <w:tc>
          <w:tcPr>
            <w:tcW w:w="5000" w:type="pct"/>
            <w:gridSpan w:val="6"/>
          </w:tcPr>
          <w:p w14:paraId="63D895F5" w14:textId="77777777" w:rsidR="00CE79C5" w:rsidRPr="00553268" w:rsidRDefault="00CE79C5" w:rsidP="00553268">
            <w:pPr>
              <w:pStyle w:val="TableLeft"/>
              <w:rPr>
                <w:b/>
              </w:rPr>
            </w:pPr>
            <w:r w:rsidRPr="00553268">
              <w:rPr>
                <w:b/>
              </w:rPr>
              <w:t xml:space="preserve">Overall AQLQ(S)+12 score change from baseline at EOT (difference in LS means) </w:t>
            </w:r>
            <w:r w:rsidRPr="00553268">
              <w:rPr>
                <w:b/>
                <w:vertAlign w:val="superscript"/>
              </w:rPr>
              <w:t>e</w:t>
            </w:r>
          </w:p>
        </w:tc>
      </w:tr>
      <w:tr w:rsidR="00CE79C5" w:rsidRPr="00CE79C5" w14:paraId="35278A7D" w14:textId="77777777" w:rsidTr="00141759">
        <w:trPr>
          <w:trHeight w:val="263"/>
        </w:trPr>
        <w:tc>
          <w:tcPr>
            <w:tcW w:w="643" w:type="pct"/>
          </w:tcPr>
          <w:p w14:paraId="4F7C878B" w14:textId="77777777" w:rsidR="00CE79C5" w:rsidRPr="00CE79C5" w:rsidRDefault="00CE79C5" w:rsidP="00141759">
            <w:pPr>
              <w:pStyle w:val="TableCenter"/>
            </w:pPr>
            <w:r w:rsidRPr="00CE79C5">
              <w:t>267 (252) v 267 (254)</w:t>
            </w:r>
          </w:p>
        </w:tc>
        <w:tc>
          <w:tcPr>
            <w:tcW w:w="1371" w:type="pct"/>
          </w:tcPr>
          <w:p w14:paraId="7768BB35" w14:textId="77777777" w:rsidR="00CE79C5" w:rsidRPr="00CE79C5" w:rsidRDefault="00CE79C5" w:rsidP="00141759">
            <w:pPr>
              <w:pStyle w:val="TableCenter"/>
            </w:pPr>
            <w:r w:rsidRPr="00CE79C5">
              <w:t>0.30 (0.10, 0.50)</w:t>
            </w:r>
          </w:p>
        </w:tc>
        <w:tc>
          <w:tcPr>
            <w:tcW w:w="486" w:type="pct"/>
          </w:tcPr>
          <w:p w14:paraId="07E2C6AF" w14:textId="77777777" w:rsidR="00CE79C5" w:rsidRPr="00CE79C5" w:rsidRDefault="00CE79C5" w:rsidP="00141759">
            <w:pPr>
              <w:pStyle w:val="TableCenter"/>
            </w:pPr>
            <w:r w:rsidRPr="00CE79C5">
              <w:t>0.004</w:t>
            </w:r>
          </w:p>
        </w:tc>
        <w:tc>
          <w:tcPr>
            <w:tcW w:w="644" w:type="pct"/>
          </w:tcPr>
          <w:p w14:paraId="21ECE6BE" w14:textId="77777777" w:rsidR="00CE79C5" w:rsidRPr="00CE79C5" w:rsidRDefault="00CE79C5" w:rsidP="00141759">
            <w:pPr>
              <w:pStyle w:val="TableCenter"/>
            </w:pPr>
            <w:r w:rsidRPr="00CE79C5">
              <w:t>239 (230) v 248 (240)</w:t>
            </w:r>
          </w:p>
        </w:tc>
        <w:tc>
          <w:tcPr>
            <w:tcW w:w="1291" w:type="pct"/>
          </w:tcPr>
          <w:p w14:paraId="185CBF39" w14:textId="77777777" w:rsidR="00CE79C5" w:rsidRPr="00CE79C5" w:rsidRDefault="00CE79C5" w:rsidP="00141759">
            <w:pPr>
              <w:pStyle w:val="TableCenter"/>
            </w:pPr>
            <w:r w:rsidRPr="00CE79C5">
              <w:t>0.24 (0.04, 0.45)</w:t>
            </w:r>
          </w:p>
        </w:tc>
        <w:tc>
          <w:tcPr>
            <w:tcW w:w="565" w:type="pct"/>
          </w:tcPr>
          <w:p w14:paraId="3920AA06" w14:textId="77777777" w:rsidR="00CE79C5" w:rsidRPr="00CE79C5" w:rsidRDefault="00CE79C5" w:rsidP="00141759">
            <w:pPr>
              <w:pStyle w:val="TableCenter"/>
            </w:pPr>
            <w:r w:rsidRPr="00CE79C5">
              <w:t>0.019</w:t>
            </w:r>
          </w:p>
        </w:tc>
      </w:tr>
    </w:tbl>
    <w:p w14:paraId="48F89CE0" w14:textId="77777777" w:rsidR="00CE79C5" w:rsidRPr="00141759" w:rsidRDefault="00CE79C5" w:rsidP="00141759">
      <w:pPr>
        <w:pStyle w:val="TableFootnoteInfo"/>
        <w:rPr>
          <w:szCs w:val="18"/>
        </w:rPr>
      </w:pPr>
      <w:r w:rsidRPr="00141759">
        <w:rPr>
          <w:szCs w:val="18"/>
        </w:rPr>
        <w:t>^Exacerbations were defined as worsening of asthma requiring use of oral/systemic corticosteroids for ≥3 days and/or emergency department visits requiring use of oral/systemic corticosteroids and/or hospitalization. For patients on maintenance OCS, an exacerbation requiring OCS was defined as a temporary increase in stable oral/systemic corticosteroids for at ≥3 days or a single depo-injectable dose of corticosteroids.</w:t>
      </w:r>
    </w:p>
    <w:p w14:paraId="04A71173" w14:textId="77777777" w:rsidR="00CE79C5" w:rsidRPr="00141759" w:rsidRDefault="00CE79C5" w:rsidP="00141759">
      <w:pPr>
        <w:pStyle w:val="TableFootnoteInfo"/>
        <w:rPr>
          <w:szCs w:val="18"/>
        </w:rPr>
      </w:pPr>
      <w:r w:rsidRPr="00141759">
        <w:rPr>
          <w:szCs w:val="18"/>
        </w:rPr>
        <w:t>* Statistically significant under the multiple testing procedure</w:t>
      </w:r>
    </w:p>
    <w:p w14:paraId="1855149D" w14:textId="77777777" w:rsidR="00CE79C5" w:rsidRPr="00141759" w:rsidRDefault="00CE79C5" w:rsidP="00141759">
      <w:pPr>
        <w:pStyle w:val="TableFootnoteLetter"/>
        <w:numPr>
          <w:ilvl w:val="0"/>
          <w:numId w:val="42"/>
        </w:numPr>
        <w:rPr>
          <w:szCs w:val="18"/>
        </w:rPr>
      </w:pPr>
      <w:r w:rsidRPr="00141759">
        <w:rPr>
          <w:szCs w:val="18"/>
        </w:rPr>
        <w:t>The crude placebo rate was 1.53 in SIROCCO and 1.03 in CALIMA</w:t>
      </w:r>
    </w:p>
    <w:p w14:paraId="1304887B" w14:textId="77777777" w:rsidR="00CE79C5" w:rsidRPr="00141759" w:rsidRDefault="00CE79C5" w:rsidP="00141759">
      <w:pPr>
        <w:pStyle w:val="TableFootnoteLetter"/>
        <w:rPr>
          <w:szCs w:val="18"/>
        </w:rPr>
      </w:pPr>
      <w:r w:rsidRPr="00141759">
        <w:rPr>
          <w:szCs w:val="18"/>
        </w:rPr>
        <w:t>The LS mean change from baseline at EOT for placebo was 0.239 L in SIROCCO and 0.215 L in CALIMA</w:t>
      </w:r>
    </w:p>
    <w:p w14:paraId="2FF48810" w14:textId="77777777" w:rsidR="00CE79C5" w:rsidRPr="00141759" w:rsidRDefault="00CE79C5" w:rsidP="00141759">
      <w:pPr>
        <w:pStyle w:val="TableFootnoteLetter"/>
        <w:rPr>
          <w:szCs w:val="18"/>
        </w:rPr>
      </w:pPr>
      <w:r w:rsidRPr="00141759">
        <w:rPr>
          <w:szCs w:val="18"/>
        </w:rPr>
        <w:t>The LS mean change from baseline at EOT for placebo was -1.04 units in SIROCCO and -1.16 units in CALIMA</w:t>
      </w:r>
    </w:p>
    <w:p w14:paraId="53149C30" w14:textId="77777777" w:rsidR="00CE79C5" w:rsidRPr="00141759" w:rsidRDefault="00CE79C5" w:rsidP="00141759">
      <w:pPr>
        <w:pStyle w:val="TableFootnoteLetter"/>
        <w:rPr>
          <w:szCs w:val="18"/>
        </w:rPr>
      </w:pPr>
      <w:r w:rsidRPr="00141759">
        <w:rPr>
          <w:szCs w:val="18"/>
        </w:rPr>
        <w:t>The LS mean change from baseline at EOT for placebo was -1.17 units in SIROCCO and -1.19 units in CALIMA</w:t>
      </w:r>
    </w:p>
    <w:p w14:paraId="58B8B720" w14:textId="77777777" w:rsidR="00CE79C5" w:rsidRPr="00141759" w:rsidRDefault="00CE79C5" w:rsidP="00141759">
      <w:pPr>
        <w:pStyle w:val="TableFootnoteLetter"/>
        <w:rPr>
          <w:szCs w:val="18"/>
        </w:rPr>
      </w:pPr>
      <w:r w:rsidRPr="00141759">
        <w:rPr>
          <w:szCs w:val="18"/>
        </w:rPr>
        <w:t>The LS mean change from baseline at EOT for placebo was 1.26 units in SIROCCO and 1.31 units in CALIMA</w:t>
      </w:r>
    </w:p>
    <w:p w14:paraId="415630B9" w14:textId="77777777" w:rsidR="00CE79C5" w:rsidRPr="00141759" w:rsidRDefault="00CE79C5" w:rsidP="00141759">
      <w:pPr>
        <w:pStyle w:val="TableFootnoteInfo"/>
        <w:rPr>
          <w:szCs w:val="18"/>
        </w:rPr>
      </w:pPr>
      <w:r w:rsidRPr="00141759">
        <w:rPr>
          <w:szCs w:val="18"/>
        </w:rPr>
        <w:t>End of treatment (EOT) was Week 48 in Trial 1 and Week 56 in Trial 2.</w:t>
      </w:r>
    </w:p>
    <w:p w14:paraId="22980AD7" w14:textId="77777777" w:rsidR="00CE79C5" w:rsidRPr="00141759" w:rsidRDefault="00CE79C5" w:rsidP="00141759">
      <w:pPr>
        <w:pStyle w:val="TableFootnoteInfo"/>
        <w:rPr>
          <w:szCs w:val="18"/>
        </w:rPr>
      </w:pPr>
      <w:r w:rsidRPr="00141759">
        <w:rPr>
          <w:szCs w:val="18"/>
        </w:rPr>
        <w:t>CI  Confidence interval; EOT  End of treatment; FEV</w:t>
      </w:r>
      <w:r w:rsidRPr="00141759">
        <w:rPr>
          <w:szCs w:val="18"/>
          <w:vertAlign w:val="subscript"/>
        </w:rPr>
        <w:t>1</w:t>
      </w:r>
      <w:r w:rsidRPr="00141759">
        <w:rPr>
          <w:szCs w:val="18"/>
        </w:rPr>
        <w:t xml:space="preserve">  Forced expiratory volume in 1 second; LS  Least squares; N  Number of patients in the analysis; n  Number of patients with data at EOT.</w:t>
      </w:r>
    </w:p>
    <w:p w14:paraId="3DE4A795" w14:textId="4301A97F" w:rsidR="00636FA2" w:rsidRDefault="00636FA2" w:rsidP="007403BD">
      <w:pPr>
        <w:pStyle w:val="Paragraph"/>
        <w:rPr>
          <w:lang w:val="en-AU"/>
        </w:rPr>
      </w:pPr>
    </w:p>
    <w:p w14:paraId="33064EC5" w14:textId="5A622BDC" w:rsidR="005C08A5" w:rsidRPr="001F29D0" w:rsidRDefault="00784A12" w:rsidP="00442DB9">
      <w:pPr>
        <w:pStyle w:val="Heading6unnumbered"/>
      </w:pPr>
      <w:bookmarkStart w:id="17" w:name="_Hlk507434820"/>
      <w:bookmarkStart w:id="18" w:name="_Hlk509830044"/>
      <w:r w:rsidRPr="001F29D0">
        <w:t>Baseline blood eosinophil subgroup analyses</w:t>
      </w:r>
      <w:bookmarkEnd w:id="17"/>
    </w:p>
    <w:p w14:paraId="31D0404F" w14:textId="4CAB1032" w:rsidR="005C08A5" w:rsidRPr="005315E3" w:rsidRDefault="00997102" w:rsidP="00442DB9">
      <w:pPr>
        <w:pStyle w:val="Paragraph"/>
        <w:rPr>
          <w:lang w:val="en-AU"/>
        </w:rPr>
      </w:pPr>
      <w:r w:rsidRPr="005315E3">
        <w:rPr>
          <w:lang w:val="en-AU"/>
        </w:rPr>
        <w:t xml:space="preserve">While </w:t>
      </w:r>
      <w:r w:rsidR="009E16A8">
        <w:rPr>
          <w:lang w:val="en-AU"/>
        </w:rPr>
        <w:t xml:space="preserve">efficacy benefits </w:t>
      </w:r>
      <w:r w:rsidR="005C08A5" w:rsidRPr="005315E3">
        <w:rPr>
          <w:lang w:val="en-AU"/>
        </w:rPr>
        <w:t xml:space="preserve">were observed </w:t>
      </w:r>
      <w:r w:rsidR="009E16A8">
        <w:rPr>
          <w:lang w:val="en-AU"/>
        </w:rPr>
        <w:t>with Fasenra compared to placebo</w:t>
      </w:r>
      <w:r w:rsidR="009E16A8" w:rsidRPr="005315E3">
        <w:rPr>
          <w:lang w:val="en-AU"/>
        </w:rPr>
        <w:t xml:space="preserve"> </w:t>
      </w:r>
      <w:r w:rsidR="005C08A5" w:rsidRPr="005315E3">
        <w:rPr>
          <w:lang w:val="en-AU"/>
        </w:rPr>
        <w:t>irrespective of baseline eosinophil count</w:t>
      </w:r>
      <w:r w:rsidR="009E16A8">
        <w:rPr>
          <w:lang w:val="en-AU"/>
        </w:rPr>
        <w:t>,</w:t>
      </w:r>
      <w:r w:rsidR="005C08A5" w:rsidRPr="005315E3">
        <w:rPr>
          <w:lang w:val="en-AU"/>
        </w:rPr>
        <w:t xml:space="preserve"> increasing baseline eosinophil counts were identified as a potential predictor of improved treatment response</w:t>
      </w:r>
      <w:r w:rsidR="00DE7A02" w:rsidRPr="005315E3">
        <w:rPr>
          <w:lang w:val="en-AU"/>
        </w:rPr>
        <w:t xml:space="preserve"> (s</w:t>
      </w:r>
      <w:r w:rsidRPr="005315E3">
        <w:rPr>
          <w:lang w:val="en-AU"/>
        </w:rPr>
        <w:t>ee Figure 2).</w:t>
      </w:r>
    </w:p>
    <w:bookmarkEnd w:id="18"/>
    <w:p w14:paraId="747272A8" w14:textId="77206792" w:rsidR="00997102" w:rsidRDefault="00997102" w:rsidP="00997102">
      <w:pPr>
        <w:pStyle w:val="FigureTitle"/>
      </w:pPr>
      <w:r w:rsidRPr="005315E3">
        <w:lastRenderedPageBreak/>
        <w:t>Figure </w:t>
      </w:r>
      <w:r w:rsidRPr="005315E3">
        <w:fldChar w:fldCharType="begin"/>
      </w:r>
      <w:r w:rsidRPr="005315E3">
        <w:instrText xml:space="preserve"> SEQ Figure \* ARABIC </w:instrText>
      </w:r>
      <w:r w:rsidRPr="005315E3">
        <w:fldChar w:fldCharType="separate"/>
      </w:r>
      <w:r w:rsidRPr="005315E3">
        <w:rPr>
          <w:noProof/>
        </w:rPr>
        <w:t>2</w:t>
      </w:r>
      <w:r w:rsidRPr="005315E3">
        <w:fldChar w:fldCharType="end"/>
      </w:r>
      <w:r w:rsidRPr="005315E3">
        <w:tab/>
      </w:r>
      <w:r w:rsidR="005A585E" w:rsidRPr="005315E3">
        <w:t>Annual asthma exacerbation</w:t>
      </w:r>
      <w:r w:rsidR="00D6740F">
        <w:t xml:space="preserve"> (primary endpoint)</w:t>
      </w:r>
      <w:r w:rsidR="005A585E" w:rsidRPr="005315E3">
        <w:t xml:space="preserve"> rate ratio comparison by baseline blood eosinophil count category, negative binomial model - forest plot (Integrated SIROCCO/CALIMA - Full analysis set, high-dose ICS)</w:t>
      </w:r>
    </w:p>
    <w:p w14:paraId="5E9AC192" w14:textId="114ECD0D" w:rsidR="005315E3" w:rsidRDefault="00754D19" w:rsidP="00997102">
      <w:pPr>
        <w:pStyle w:val="Paragraph"/>
      </w:pPr>
      <w:r>
        <w:rPr>
          <w:noProof/>
          <w:lang w:val="en-AU" w:eastAsia="en-AU"/>
        </w:rPr>
        <w:drawing>
          <wp:inline distT="0" distB="0" distL="0" distR="0" wp14:anchorId="171D1B28" wp14:editId="20050A0A">
            <wp:extent cx="6120130" cy="4039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7357-Fasenra_intergrated-sirocco-calima-forest-plot-exacerbation-rate-ratio--blac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4039235"/>
                    </a:xfrm>
                    <a:prstGeom prst="rect">
                      <a:avLst/>
                    </a:prstGeom>
                  </pic:spPr>
                </pic:pic>
              </a:graphicData>
            </a:graphic>
          </wp:inline>
        </w:drawing>
      </w:r>
    </w:p>
    <w:p w14:paraId="16CFD495" w14:textId="77777777" w:rsidR="00884D92" w:rsidRDefault="00884D92" w:rsidP="00997102">
      <w:pPr>
        <w:pStyle w:val="Paragraph"/>
      </w:pPr>
    </w:p>
    <w:p w14:paraId="07FDD1EE" w14:textId="752A84D3" w:rsidR="00966129" w:rsidRPr="00966129" w:rsidRDefault="00713EB3" w:rsidP="00553268">
      <w:pPr>
        <w:pStyle w:val="Heading6unnumbered"/>
      </w:pPr>
      <w:bookmarkStart w:id="19" w:name="_Hlk507429310"/>
      <w:r>
        <w:t>Prior exacerbation history</w:t>
      </w:r>
      <w:bookmarkEnd w:id="19"/>
    </w:p>
    <w:p w14:paraId="2F6B3FEC" w14:textId="21136B29" w:rsidR="00966129" w:rsidRPr="00966129" w:rsidRDefault="00966129" w:rsidP="00966129">
      <w:pPr>
        <w:pStyle w:val="Paragraph"/>
        <w:rPr>
          <w:lang w:val="en-AU"/>
        </w:rPr>
      </w:pPr>
      <w:r w:rsidRPr="00966129">
        <w:rPr>
          <w:lang w:val="en-AU"/>
        </w:rPr>
        <w:t xml:space="preserve">A subgroup analysis on prior exacerbation history within the ITT population indicated that a higher prior </w:t>
      </w:r>
      <w:r w:rsidRPr="00884D92">
        <w:rPr>
          <w:lang w:val="en-AU"/>
        </w:rPr>
        <w:t>exacerbation history</w:t>
      </w:r>
      <w:r w:rsidR="00884D92" w:rsidRPr="00884D92">
        <w:rPr>
          <w:lang w:val="en-AU"/>
        </w:rPr>
        <w:t xml:space="preserve"> </w:t>
      </w:r>
      <w:r w:rsidRPr="00884D92">
        <w:rPr>
          <w:lang w:val="en-AU"/>
        </w:rPr>
        <w:t>may also</w:t>
      </w:r>
      <w:r w:rsidRPr="00966129">
        <w:rPr>
          <w:lang w:val="en-AU"/>
        </w:rPr>
        <w:t xml:space="preserve"> be a potential predictor of an improved treatment response.  When considered alone, or in combination</w:t>
      </w:r>
      <w:r w:rsidR="00713EB3">
        <w:rPr>
          <w:lang w:val="en-AU"/>
        </w:rPr>
        <w:t xml:space="preserve"> with a higher baseline eosinophil count</w:t>
      </w:r>
      <w:r w:rsidRPr="00966129">
        <w:rPr>
          <w:lang w:val="en-AU"/>
        </w:rPr>
        <w:t>, these factors may further identify patients who may achieve a greater response from treatment with Fasenra.</w:t>
      </w:r>
    </w:p>
    <w:p w14:paraId="40801DDF" w14:textId="1A8A749B" w:rsidR="00966129" w:rsidRPr="00966129" w:rsidRDefault="00966129" w:rsidP="00553268">
      <w:pPr>
        <w:pStyle w:val="Heading5unnumbered"/>
      </w:pPr>
      <w:bookmarkStart w:id="20" w:name="_Hlk502837637"/>
      <w:r w:rsidRPr="00966129">
        <w:t>OCS dose reduction trial (ZONDA)</w:t>
      </w:r>
    </w:p>
    <w:bookmarkEnd w:id="20"/>
    <w:p w14:paraId="0E06C563" w14:textId="6CBEC0CF" w:rsidR="00966129" w:rsidRPr="00966129" w:rsidRDefault="00966129" w:rsidP="00966129">
      <w:pPr>
        <w:pStyle w:val="Paragraph"/>
        <w:rPr>
          <w:lang w:val="en-AU"/>
        </w:rPr>
      </w:pPr>
      <w:r w:rsidRPr="00966129">
        <w:rPr>
          <w:lang w:val="en-AU"/>
        </w:rPr>
        <w:t>ZONDA included patients who were treated with daily OCS (7.5 to 40 mg/day) in addition to regular use of high-dose ICS/LABA with or without additional controller(s) to maintain asthma control.  The definition of high-dose ICS was as per SIROCCO/CALIMA. There was an 8-week run-in period during which a patient’s OCS dose was titrated to the minimum effective dose while maintaining asthma control. The baseline median OCS dose was 10 mg (range: 8-40 mg) for both treatment groups. Patients were also required to have blood eosinophil counts ≥150 cells/</w:t>
      </w:r>
      <w:proofErr w:type="spellStart"/>
      <w:r w:rsidRPr="00966129">
        <w:rPr>
          <w:lang w:val="en-AU"/>
        </w:rPr>
        <w:t>μL</w:t>
      </w:r>
      <w:proofErr w:type="spellEnd"/>
      <w:r w:rsidRPr="00966129">
        <w:rPr>
          <w:lang w:val="en-AU"/>
        </w:rPr>
        <w:t xml:space="preserve"> and a history of at least one exacerbation in the past 12 months.  All patients were included in the analysis, including 20 patients with a baseline blood eosinophil count of ≥150-299 cells/</w:t>
      </w:r>
      <w:proofErr w:type="spellStart"/>
      <w:r w:rsidRPr="00966129">
        <w:rPr>
          <w:lang w:val="en-AU"/>
        </w:rPr>
        <w:t>μL</w:t>
      </w:r>
      <w:proofErr w:type="spellEnd"/>
      <w:r w:rsidRPr="00966129">
        <w:rPr>
          <w:lang w:val="en-AU"/>
        </w:rPr>
        <w:t xml:space="preserve"> (12 in </w:t>
      </w:r>
      <w:proofErr w:type="spellStart"/>
      <w:r w:rsidRPr="00966129">
        <w:rPr>
          <w:lang w:val="en-AU"/>
        </w:rPr>
        <w:t>Fasenra</w:t>
      </w:r>
      <w:proofErr w:type="spellEnd"/>
      <w:r w:rsidRPr="00966129">
        <w:rPr>
          <w:lang w:val="en-AU"/>
        </w:rPr>
        <w:t xml:space="preserve"> Q8w arm and 11 in the placebo arm).</w:t>
      </w:r>
    </w:p>
    <w:p w14:paraId="34CF247B" w14:textId="5F690A45" w:rsidR="00966129" w:rsidRPr="00966129" w:rsidRDefault="00966129" w:rsidP="00966129">
      <w:pPr>
        <w:pStyle w:val="Paragraph"/>
        <w:rPr>
          <w:lang w:val="en-AU"/>
        </w:rPr>
      </w:pPr>
      <w:r w:rsidRPr="00966129">
        <w:rPr>
          <w:lang w:val="en-AU"/>
        </w:rPr>
        <w:t>Demographic, key respiratory and other baseline disease characteristics were balanced across the treatment gro</w:t>
      </w:r>
      <w:r w:rsidR="00141759">
        <w:rPr>
          <w:lang w:val="en-AU"/>
        </w:rPr>
        <w:t>ups (Fasenra Q8w and placebo).</w:t>
      </w:r>
    </w:p>
    <w:p w14:paraId="66FF5B03" w14:textId="77777777" w:rsidR="00577C21" w:rsidRDefault="00577C21">
      <w:pPr>
        <w:spacing w:after="200"/>
      </w:pPr>
      <w:r>
        <w:br w:type="page"/>
      </w:r>
    </w:p>
    <w:p w14:paraId="09B76166" w14:textId="444974D3" w:rsidR="00966129" w:rsidRPr="00966129" w:rsidRDefault="00966129" w:rsidP="00966129">
      <w:pPr>
        <w:pStyle w:val="Paragraph"/>
      </w:pPr>
      <w:r w:rsidRPr="00966129">
        <w:lastRenderedPageBreak/>
        <w:t xml:space="preserve">The primary endpoint was percent (%) reduction from baseline of </w:t>
      </w:r>
      <w:r w:rsidR="00553268">
        <w:t>the final OCS dose during Weeks </w:t>
      </w:r>
      <w:r w:rsidRPr="00966129">
        <w:t xml:space="preserve">24 to 28, while maintaining asthma control.  Compared to placebo, patients receiving Fasenra Q8w achieved greater reductions in daily maintenance OCS dose while still maintaining asthma control.  Reductions of ≥50% in the OCS dose were observed in 66% of patients receiving </w:t>
      </w:r>
      <w:proofErr w:type="spellStart"/>
      <w:r w:rsidRPr="00966129">
        <w:t>Fasenra</w:t>
      </w:r>
      <w:proofErr w:type="spellEnd"/>
      <w:r w:rsidRPr="00966129">
        <w:t xml:space="preserve"> Q8w compared to 37% for the placebo arm (see </w:t>
      </w:r>
      <w:r w:rsidRPr="00966129">
        <w:fldChar w:fldCharType="begin"/>
      </w:r>
      <w:r w:rsidRPr="00966129">
        <w:instrText xml:space="preserve"> REF _Ref473700855 \h  \* MERGEFORMAT </w:instrText>
      </w:r>
      <w:r w:rsidRPr="00966129">
        <w:fldChar w:fldCharType="separate"/>
      </w:r>
      <w:r w:rsidR="00997102" w:rsidRPr="00997102">
        <w:rPr>
          <w:lang w:val="en-AU"/>
        </w:rPr>
        <w:t>Table 6</w:t>
      </w:r>
      <w:r w:rsidRPr="00966129">
        <w:rPr>
          <w:lang w:val="en-AU"/>
        </w:rPr>
        <w:fldChar w:fldCharType="end"/>
      </w:r>
      <w:r w:rsidRPr="00966129">
        <w:t>). The proportion of patients with a mean final OCS dose ≤5 mg at Weeks</w:t>
      </w:r>
      <w:r w:rsidR="00553268">
        <w:t> </w:t>
      </w:r>
      <w:r w:rsidRPr="00966129">
        <w:t>24 to 28 were 59% for Fasenra Q8w and 33% for placebo (odds ratio 2.7</w:t>
      </w:r>
      <w:r w:rsidR="00553268">
        <w:t>4 (95% </w:t>
      </w:r>
      <w:r w:rsidRPr="00966129">
        <w:t>CI: 1.41, 5.31), p=0.002). Patients with an optimized baseline OCS dose (12.5 mg or less) were eligible to achieve a 100% reduction in OCS dose during the study.  A significant difference was observed in the percentage of eligible patients</w:t>
      </w:r>
      <w:r w:rsidRPr="00966129" w:rsidDel="001642DE">
        <w:t xml:space="preserve"> </w:t>
      </w:r>
      <w:r w:rsidRPr="00966129">
        <w:t>who achieved 100% reduction with Fasenra Q8w compared to placebo (52.4% vs 19.0%; Odds ratio 4.19 (95%</w:t>
      </w:r>
      <w:r w:rsidR="00553268">
        <w:t> </w:t>
      </w:r>
      <w:r w:rsidRPr="00966129">
        <w:t>CI: 1.58, 11.12), p=0.002).</w:t>
      </w:r>
    </w:p>
    <w:p w14:paraId="5B2029F2" w14:textId="15457F70" w:rsidR="00966129" w:rsidRPr="00966129" w:rsidRDefault="00966129" w:rsidP="00141759">
      <w:pPr>
        <w:pStyle w:val="TableTitle"/>
      </w:pPr>
      <w:bookmarkStart w:id="21" w:name="_Ref473700855"/>
      <w:r w:rsidRPr="00966129">
        <w:t xml:space="preserve">Table </w:t>
      </w:r>
      <w:r w:rsidRPr="00966129">
        <w:fldChar w:fldCharType="begin"/>
      </w:r>
      <w:r w:rsidRPr="00966129">
        <w:instrText xml:space="preserve"> SEQ Table \* ARABIC </w:instrText>
      </w:r>
      <w:r w:rsidRPr="00966129">
        <w:fldChar w:fldCharType="separate"/>
      </w:r>
      <w:r w:rsidR="00997102">
        <w:rPr>
          <w:noProof/>
        </w:rPr>
        <w:t>6</w:t>
      </w:r>
      <w:r w:rsidRPr="00966129">
        <w:rPr>
          <w:lang w:val="en-AU"/>
        </w:rPr>
        <w:fldChar w:fldCharType="end"/>
      </w:r>
      <w:bookmarkEnd w:id="21"/>
      <w:r w:rsidRPr="00966129">
        <w:tab/>
        <w:t>Effect of Fasenra Q8w on OCS dose reduction - ZONDA</w:t>
      </w:r>
    </w:p>
    <w:tbl>
      <w:tblPr>
        <w:tblStyle w:val="TableGrid"/>
        <w:tblW w:w="0" w:type="auto"/>
        <w:tblLayout w:type="fixed"/>
        <w:tblLook w:val="0000" w:firstRow="0" w:lastRow="0" w:firstColumn="0" w:lastColumn="0" w:noHBand="0" w:noVBand="0"/>
      </w:tblPr>
      <w:tblGrid>
        <w:gridCol w:w="5812"/>
        <w:gridCol w:w="1838"/>
        <w:gridCol w:w="1843"/>
      </w:tblGrid>
      <w:tr w:rsidR="00966129" w:rsidRPr="00966129" w14:paraId="4F1CE1D9" w14:textId="77777777" w:rsidTr="00553268">
        <w:trPr>
          <w:tblHeader/>
        </w:trPr>
        <w:tc>
          <w:tcPr>
            <w:tcW w:w="5812" w:type="dxa"/>
            <w:shd w:val="clear" w:color="auto" w:fill="auto"/>
          </w:tcPr>
          <w:p w14:paraId="7BF602F9" w14:textId="77777777" w:rsidR="00966129" w:rsidRPr="00966129" w:rsidRDefault="00966129" w:rsidP="00141759">
            <w:pPr>
              <w:pStyle w:val="TableHead"/>
            </w:pPr>
          </w:p>
        </w:tc>
        <w:tc>
          <w:tcPr>
            <w:tcW w:w="1838" w:type="dxa"/>
            <w:shd w:val="clear" w:color="auto" w:fill="auto"/>
          </w:tcPr>
          <w:p w14:paraId="27DD1766" w14:textId="77777777" w:rsidR="00966129" w:rsidRPr="00966129" w:rsidRDefault="00966129" w:rsidP="00141759">
            <w:pPr>
              <w:pStyle w:val="TableHead"/>
            </w:pPr>
            <w:r w:rsidRPr="00966129">
              <w:t>Fasenra</w:t>
            </w:r>
            <w:r w:rsidRPr="00966129">
              <w:br/>
              <w:t>(N=73)</w:t>
            </w:r>
          </w:p>
        </w:tc>
        <w:tc>
          <w:tcPr>
            <w:tcW w:w="1843" w:type="dxa"/>
            <w:shd w:val="clear" w:color="auto" w:fill="auto"/>
          </w:tcPr>
          <w:p w14:paraId="67D77127" w14:textId="77777777" w:rsidR="00966129" w:rsidRPr="00966129" w:rsidRDefault="00966129" w:rsidP="00141759">
            <w:pPr>
              <w:pStyle w:val="TableHead"/>
            </w:pPr>
            <w:r w:rsidRPr="00966129">
              <w:t>Placebo</w:t>
            </w:r>
            <w:r w:rsidRPr="00966129">
              <w:br/>
              <w:t>(N=75)</w:t>
            </w:r>
          </w:p>
        </w:tc>
      </w:tr>
      <w:tr w:rsidR="00966129" w:rsidRPr="00966129" w14:paraId="06CF569B" w14:textId="77777777" w:rsidTr="00141759">
        <w:tc>
          <w:tcPr>
            <w:tcW w:w="9493" w:type="dxa"/>
            <w:gridSpan w:val="3"/>
          </w:tcPr>
          <w:p w14:paraId="22112544" w14:textId="77777777" w:rsidR="00966129" w:rsidRPr="00BD569F" w:rsidRDefault="00966129" w:rsidP="00BD569F">
            <w:pPr>
              <w:pStyle w:val="TableLeft"/>
              <w:rPr>
                <w:b/>
              </w:rPr>
            </w:pPr>
            <w:r w:rsidRPr="00BD569F">
              <w:rPr>
                <w:b/>
              </w:rPr>
              <w:t>Wilcoxon rank sum test (primary analysis method)</w:t>
            </w:r>
          </w:p>
        </w:tc>
      </w:tr>
      <w:tr w:rsidR="00966129" w:rsidRPr="00966129" w14:paraId="258E5744" w14:textId="77777777" w:rsidTr="00097DA0">
        <w:tc>
          <w:tcPr>
            <w:tcW w:w="5812" w:type="dxa"/>
          </w:tcPr>
          <w:p w14:paraId="5B3A34ED" w14:textId="77777777" w:rsidR="00966129" w:rsidRPr="00966129" w:rsidRDefault="00966129" w:rsidP="00141759">
            <w:pPr>
              <w:pStyle w:val="TableLeft"/>
            </w:pPr>
            <w:r w:rsidRPr="00966129">
              <w:t>Median % reduction in daily OCS dose from baseline (95% CI)</w:t>
            </w:r>
          </w:p>
        </w:tc>
        <w:tc>
          <w:tcPr>
            <w:tcW w:w="1838" w:type="dxa"/>
          </w:tcPr>
          <w:p w14:paraId="630D3FE9" w14:textId="77777777" w:rsidR="00966129" w:rsidRPr="00966129" w:rsidRDefault="00966129" w:rsidP="00141759">
            <w:pPr>
              <w:pStyle w:val="TableCenter"/>
            </w:pPr>
            <w:r w:rsidRPr="00966129">
              <w:t>75 (60, 88)</w:t>
            </w:r>
          </w:p>
        </w:tc>
        <w:tc>
          <w:tcPr>
            <w:tcW w:w="1843" w:type="dxa"/>
          </w:tcPr>
          <w:p w14:paraId="0E59C95B" w14:textId="77777777" w:rsidR="00966129" w:rsidRPr="00966129" w:rsidRDefault="00966129" w:rsidP="00141759">
            <w:pPr>
              <w:pStyle w:val="TableCenter"/>
            </w:pPr>
            <w:r w:rsidRPr="00966129">
              <w:t>25 (0, 33)</w:t>
            </w:r>
          </w:p>
        </w:tc>
      </w:tr>
      <w:tr w:rsidR="00966129" w:rsidRPr="00966129" w14:paraId="6B6531B7" w14:textId="77777777" w:rsidTr="00141759">
        <w:tc>
          <w:tcPr>
            <w:tcW w:w="5812" w:type="dxa"/>
          </w:tcPr>
          <w:p w14:paraId="60B68FD0" w14:textId="77777777" w:rsidR="00966129" w:rsidRPr="00966129" w:rsidRDefault="00966129" w:rsidP="00141759">
            <w:pPr>
              <w:pStyle w:val="TableLeft"/>
            </w:pPr>
            <w:r w:rsidRPr="00966129">
              <w:t>Wilcoxon rank sum test p-value</w:t>
            </w:r>
          </w:p>
        </w:tc>
        <w:tc>
          <w:tcPr>
            <w:tcW w:w="3681" w:type="dxa"/>
            <w:gridSpan w:val="2"/>
          </w:tcPr>
          <w:p w14:paraId="56B7FCAC" w14:textId="77777777" w:rsidR="00966129" w:rsidRPr="00966129" w:rsidRDefault="00966129" w:rsidP="00141759">
            <w:pPr>
              <w:pStyle w:val="TableCenter"/>
            </w:pPr>
            <w:r w:rsidRPr="00966129">
              <w:t>&lt;0.001</w:t>
            </w:r>
          </w:p>
        </w:tc>
      </w:tr>
      <w:tr w:rsidR="00966129" w:rsidRPr="00966129" w14:paraId="0EB86953" w14:textId="77777777" w:rsidTr="00141759">
        <w:tc>
          <w:tcPr>
            <w:tcW w:w="9493" w:type="dxa"/>
            <w:gridSpan w:val="3"/>
          </w:tcPr>
          <w:p w14:paraId="24313484" w14:textId="77777777" w:rsidR="00966129" w:rsidRPr="00BD569F" w:rsidRDefault="00966129" w:rsidP="00BD569F">
            <w:pPr>
              <w:pStyle w:val="TableLeft"/>
              <w:rPr>
                <w:b/>
              </w:rPr>
            </w:pPr>
            <w:r w:rsidRPr="00BD569F">
              <w:rPr>
                <w:b/>
              </w:rPr>
              <w:t>Proportional odds model (sensitivity analysis)</w:t>
            </w:r>
          </w:p>
        </w:tc>
      </w:tr>
      <w:tr w:rsidR="00BD569F" w:rsidRPr="00966129" w14:paraId="32EE8636" w14:textId="77777777" w:rsidTr="00BB56A2">
        <w:tc>
          <w:tcPr>
            <w:tcW w:w="9493" w:type="dxa"/>
            <w:gridSpan w:val="3"/>
          </w:tcPr>
          <w:p w14:paraId="2D586384" w14:textId="6EE62121" w:rsidR="00BD569F" w:rsidRPr="00BD569F" w:rsidRDefault="00BD569F" w:rsidP="00BD569F">
            <w:pPr>
              <w:pStyle w:val="TableLeft"/>
              <w:rPr>
                <w:i/>
              </w:rPr>
            </w:pPr>
            <w:r w:rsidRPr="00BD569F">
              <w:rPr>
                <w:i/>
              </w:rPr>
              <w:t>Percent reduction in OCS from baseline at Week 28</w:t>
            </w:r>
          </w:p>
        </w:tc>
      </w:tr>
      <w:tr w:rsidR="00966129" w:rsidRPr="00966129" w14:paraId="4FA815EB" w14:textId="77777777" w:rsidTr="00097DA0">
        <w:tc>
          <w:tcPr>
            <w:tcW w:w="5812" w:type="dxa"/>
          </w:tcPr>
          <w:p w14:paraId="039F957F" w14:textId="77777777" w:rsidR="00966129" w:rsidRPr="00966129" w:rsidRDefault="00966129" w:rsidP="00BD569F">
            <w:pPr>
              <w:pStyle w:val="TableLeft"/>
              <w:tabs>
                <w:tab w:val="left" w:pos="240"/>
              </w:tabs>
            </w:pPr>
            <w:r w:rsidRPr="00966129">
              <w:rPr>
                <w:lang w:val="en-US"/>
              </w:rPr>
              <w:tab/>
            </w:r>
            <w:r w:rsidRPr="00966129">
              <w:rPr>
                <w:rFonts w:hint="eastAsia"/>
                <w:lang w:val="en-US"/>
              </w:rPr>
              <w:t>≥</w:t>
            </w:r>
            <w:r w:rsidRPr="00966129">
              <w:rPr>
                <w:lang w:val="en-US"/>
              </w:rPr>
              <w:t>90% reduction</w:t>
            </w:r>
          </w:p>
        </w:tc>
        <w:tc>
          <w:tcPr>
            <w:tcW w:w="1838" w:type="dxa"/>
          </w:tcPr>
          <w:p w14:paraId="1C36CE61" w14:textId="77777777" w:rsidR="00966129" w:rsidRPr="00966129" w:rsidRDefault="00966129" w:rsidP="00141759">
            <w:pPr>
              <w:pStyle w:val="TableCenter"/>
            </w:pPr>
            <w:r w:rsidRPr="00966129">
              <w:t>27 (37%)</w:t>
            </w:r>
          </w:p>
        </w:tc>
        <w:tc>
          <w:tcPr>
            <w:tcW w:w="1843" w:type="dxa"/>
          </w:tcPr>
          <w:p w14:paraId="7D981D47" w14:textId="77777777" w:rsidR="00966129" w:rsidRPr="00966129" w:rsidRDefault="00966129" w:rsidP="00141759">
            <w:pPr>
              <w:pStyle w:val="TableCenter"/>
            </w:pPr>
            <w:r w:rsidRPr="00966129">
              <w:t>9 (12%)</w:t>
            </w:r>
          </w:p>
        </w:tc>
      </w:tr>
      <w:tr w:rsidR="00966129" w:rsidRPr="00966129" w14:paraId="63EA962C" w14:textId="77777777" w:rsidTr="00097DA0">
        <w:tc>
          <w:tcPr>
            <w:tcW w:w="5812" w:type="dxa"/>
          </w:tcPr>
          <w:p w14:paraId="7E5DAC36" w14:textId="77777777" w:rsidR="00966129" w:rsidRPr="00966129" w:rsidRDefault="00966129" w:rsidP="00BD569F">
            <w:pPr>
              <w:pStyle w:val="TableLeft"/>
              <w:tabs>
                <w:tab w:val="left" w:pos="240"/>
              </w:tabs>
            </w:pPr>
            <w:r w:rsidRPr="00966129">
              <w:rPr>
                <w:lang w:val="en-US"/>
              </w:rPr>
              <w:tab/>
            </w:r>
            <w:r w:rsidRPr="00966129">
              <w:rPr>
                <w:rFonts w:hint="eastAsia"/>
                <w:lang w:val="en-US"/>
              </w:rPr>
              <w:t>≥</w:t>
            </w:r>
            <w:r w:rsidRPr="00966129">
              <w:rPr>
                <w:lang w:val="en-US"/>
              </w:rPr>
              <w:t>75% reduction</w:t>
            </w:r>
          </w:p>
        </w:tc>
        <w:tc>
          <w:tcPr>
            <w:tcW w:w="1838" w:type="dxa"/>
          </w:tcPr>
          <w:p w14:paraId="6AA49DA2" w14:textId="77777777" w:rsidR="00966129" w:rsidRPr="00966129" w:rsidRDefault="00966129" w:rsidP="00141759">
            <w:pPr>
              <w:pStyle w:val="TableCenter"/>
            </w:pPr>
            <w:r w:rsidRPr="00966129">
              <w:rPr>
                <w:lang w:val="en-US"/>
              </w:rPr>
              <w:t>37 (51%)</w:t>
            </w:r>
          </w:p>
        </w:tc>
        <w:tc>
          <w:tcPr>
            <w:tcW w:w="1843" w:type="dxa"/>
          </w:tcPr>
          <w:p w14:paraId="4840402B" w14:textId="77777777" w:rsidR="00966129" w:rsidRPr="00966129" w:rsidRDefault="00966129" w:rsidP="00141759">
            <w:pPr>
              <w:pStyle w:val="TableCenter"/>
            </w:pPr>
            <w:r w:rsidRPr="00966129">
              <w:rPr>
                <w:lang w:val="en-US"/>
              </w:rPr>
              <w:t>15 (20%)</w:t>
            </w:r>
          </w:p>
        </w:tc>
      </w:tr>
      <w:tr w:rsidR="00966129" w:rsidRPr="00966129" w14:paraId="7E84F1CC" w14:textId="77777777" w:rsidTr="00097DA0">
        <w:tc>
          <w:tcPr>
            <w:tcW w:w="5812" w:type="dxa"/>
          </w:tcPr>
          <w:p w14:paraId="39900D0C" w14:textId="77777777" w:rsidR="00966129" w:rsidRPr="00966129" w:rsidRDefault="00966129" w:rsidP="00BD569F">
            <w:pPr>
              <w:pStyle w:val="TableLeft"/>
              <w:tabs>
                <w:tab w:val="left" w:pos="240"/>
              </w:tabs>
            </w:pPr>
            <w:r w:rsidRPr="00966129">
              <w:rPr>
                <w:lang w:val="en-US"/>
              </w:rPr>
              <w:tab/>
            </w:r>
            <w:r w:rsidRPr="00966129">
              <w:rPr>
                <w:rFonts w:hint="eastAsia"/>
                <w:lang w:val="en-US"/>
              </w:rPr>
              <w:t>≥</w:t>
            </w:r>
            <w:r w:rsidRPr="00966129">
              <w:rPr>
                <w:lang w:val="en-US"/>
              </w:rPr>
              <w:t>50% reduction</w:t>
            </w:r>
          </w:p>
        </w:tc>
        <w:tc>
          <w:tcPr>
            <w:tcW w:w="1838" w:type="dxa"/>
          </w:tcPr>
          <w:p w14:paraId="665150E3" w14:textId="77777777" w:rsidR="00966129" w:rsidRPr="00966129" w:rsidRDefault="00966129" w:rsidP="00141759">
            <w:pPr>
              <w:pStyle w:val="TableCenter"/>
            </w:pPr>
            <w:r w:rsidRPr="00966129">
              <w:rPr>
                <w:lang w:val="en-US"/>
              </w:rPr>
              <w:t>48 (66%)</w:t>
            </w:r>
          </w:p>
        </w:tc>
        <w:tc>
          <w:tcPr>
            <w:tcW w:w="1843" w:type="dxa"/>
          </w:tcPr>
          <w:p w14:paraId="5898F1E6" w14:textId="77777777" w:rsidR="00966129" w:rsidRPr="00966129" w:rsidRDefault="00966129" w:rsidP="00141759">
            <w:pPr>
              <w:pStyle w:val="TableCenter"/>
            </w:pPr>
            <w:r w:rsidRPr="00966129">
              <w:rPr>
                <w:lang w:val="en-US"/>
              </w:rPr>
              <w:t>28 (37%)</w:t>
            </w:r>
          </w:p>
        </w:tc>
      </w:tr>
      <w:tr w:rsidR="00966129" w:rsidRPr="00966129" w14:paraId="7A68D09D" w14:textId="77777777" w:rsidTr="00097DA0">
        <w:tc>
          <w:tcPr>
            <w:tcW w:w="5812" w:type="dxa"/>
          </w:tcPr>
          <w:p w14:paraId="4D3D18DE" w14:textId="77777777" w:rsidR="00966129" w:rsidRPr="00966129" w:rsidRDefault="00966129" w:rsidP="00BD569F">
            <w:pPr>
              <w:pStyle w:val="TableLeft"/>
              <w:tabs>
                <w:tab w:val="left" w:pos="240"/>
              </w:tabs>
            </w:pPr>
            <w:r w:rsidRPr="00966129">
              <w:rPr>
                <w:lang w:val="en-US"/>
              </w:rPr>
              <w:tab/>
              <w:t>&gt;0% reduction</w:t>
            </w:r>
          </w:p>
        </w:tc>
        <w:tc>
          <w:tcPr>
            <w:tcW w:w="1838" w:type="dxa"/>
          </w:tcPr>
          <w:p w14:paraId="3BEFDCEF" w14:textId="77777777" w:rsidR="00966129" w:rsidRPr="00966129" w:rsidRDefault="00966129" w:rsidP="00141759">
            <w:pPr>
              <w:pStyle w:val="TableCenter"/>
            </w:pPr>
            <w:r w:rsidRPr="00966129">
              <w:rPr>
                <w:lang w:val="en-US"/>
              </w:rPr>
              <w:t>58 (79%)</w:t>
            </w:r>
          </w:p>
        </w:tc>
        <w:tc>
          <w:tcPr>
            <w:tcW w:w="1843" w:type="dxa"/>
          </w:tcPr>
          <w:p w14:paraId="7BFB7FF5" w14:textId="77777777" w:rsidR="00966129" w:rsidRPr="00966129" w:rsidRDefault="00966129" w:rsidP="00141759">
            <w:pPr>
              <w:pStyle w:val="TableCenter"/>
            </w:pPr>
            <w:r w:rsidRPr="00966129">
              <w:rPr>
                <w:lang w:val="en-US"/>
              </w:rPr>
              <w:t>40 (53%)</w:t>
            </w:r>
          </w:p>
        </w:tc>
      </w:tr>
      <w:tr w:rsidR="00966129" w:rsidRPr="00966129" w14:paraId="3A00D1D4" w14:textId="77777777" w:rsidTr="00097DA0">
        <w:tc>
          <w:tcPr>
            <w:tcW w:w="5812" w:type="dxa"/>
          </w:tcPr>
          <w:p w14:paraId="2218058E" w14:textId="77777777" w:rsidR="00966129" w:rsidRPr="00966129" w:rsidRDefault="00966129" w:rsidP="00BD569F">
            <w:pPr>
              <w:pStyle w:val="TableLeft"/>
              <w:tabs>
                <w:tab w:val="left" w:pos="240"/>
              </w:tabs>
            </w:pPr>
            <w:r w:rsidRPr="00966129">
              <w:tab/>
              <w:t xml:space="preserve">No change or no decrease in OCS </w:t>
            </w:r>
          </w:p>
        </w:tc>
        <w:tc>
          <w:tcPr>
            <w:tcW w:w="1838" w:type="dxa"/>
          </w:tcPr>
          <w:p w14:paraId="0E99EF6E" w14:textId="77777777" w:rsidR="00966129" w:rsidRPr="00966129" w:rsidRDefault="00966129" w:rsidP="00141759">
            <w:pPr>
              <w:pStyle w:val="TableCenter"/>
            </w:pPr>
            <w:r w:rsidRPr="00966129">
              <w:t>15 (21%)</w:t>
            </w:r>
          </w:p>
        </w:tc>
        <w:tc>
          <w:tcPr>
            <w:tcW w:w="1843" w:type="dxa"/>
          </w:tcPr>
          <w:p w14:paraId="42831671" w14:textId="77777777" w:rsidR="00966129" w:rsidRPr="00966129" w:rsidRDefault="00966129" w:rsidP="00141759">
            <w:pPr>
              <w:pStyle w:val="TableCenter"/>
            </w:pPr>
            <w:r w:rsidRPr="00966129">
              <w:t>35 (47%)</w:t>
            </w:r>
          </w:p>
        </w:tc>
      </w:tr>
      <w:tr w:rsidR="00966129" w:rsidRPr="00966129" w14:paraId="1304FBA9" w14:textId="77777777" w:rsidTr="00141759">
        <w:tc>
          <w:tcPr>
            <w:tcW w:w="5812" w:type="dxa"/>
          </w:tcPr>
          <w:p w14:paraId="4C7E979E" w14:textId="77777777" w:rsidR="00966129" w:rsidRPr="00966129" w:rsidRDefault="00966129" w:rsidP="00141759">
            <w:pPr>
              <w:pStyle w:val="TableLeft"/>
            </w:pPr>
            <w:r w:rsidRPr="00966129">
              <w:t>Odds ratio (95% CI), p-value</w:t>
            </w:r>
          </w:p>
        </w:tc>
        <w:tc>
          <w:tcPr>
            <w:tcW w:w="3681" w:type="dxa"/>
            <w:gridSpan w:val="2"/>
          </w:tcPr>
          <w:p w14:paraId="2F8B6DED" w14:textId="77777777" w:rsidR="00966129" w:rsidRPr="00966129" w:rsidRDefault="00966129" w:rsidP="00141759">
            <w:pPr>
              <w:pStyle w:val="TableCenter"/>
            </w:pPr>
            <w:r w:rsidRPr="00966129">
              <w:t>4.12 (2.22, 7.63), p&lt;0.001</w:t>
            </w:r>
          </w:p>
        </w:tc>
      </w:tr>
    </w:tbl>
    <w:p w14:paraId="41373EB6" w14:textId="77777777" w:rsidR="00966129" w:rsidRPr="00097DA0" w:rsidRDefault="00966129" w:rsidP="00141759">
      <w:pPr>
        <w:pStyle w:val="TableFootnoteInfo"/>
        <w:rPr>
          <w:szCs w:val="18"/>
        </w:rPr>
      </w:pPr>
      <w:r w:rsidRPr="00097DA0">
        <w:rPr>
          <w:szCs w:val="18"/>
        </w:rPr>
        <w:t>OCS – oral corticosteroids; CI – confidence intervals; N</w:t>
      </w:r>
      <w:proofErr w:type="gramStart"/>
      <w:r w:rsidRPr="00097DA0">
        <w:rPr>
          <w:szCs w:val="18"/>
        </w:rPr>
        <w:t>  Number</w:t>
      </w:r>
      <w:proofErr w:type="gramEnd"/>
      <w:r w:rsidRPr="00097DA0">
        <w:rPr>
          <w:szCs w:val="18"/>
        </w:rPr>
        <w:t xml:space="preserve"> of patients in the analysis</w:t>
      </w:r>
    </w:p>
    <w:p w14:paraId="7F6DAE6B" w14:textId="77777777" w:rsidR="00966129" w:rsidRDefault="00966129" w:rsidP="007403BD">
      <w:pPr>
        <w:pStyle w:val="Paragraph"/>
        <w:rPr>
          <w:lang w:val="en-AU"/>
        </w:rPr>
      </w:pPr>
    </w:p>
    <w:p w14:paraId="2DC94B10" w14:textId="257A8FCF" w:rsidR="00966129" w:rsidRPr="00966129" w:rsidRDefault="00966129" w:rsidP="00966129">
      <w:pPr>
        <w:pStyle w:val="Paragraph"/>
      </w:pPr>
      <w:r w:rsidRPr="00966129">
        <w:t>Fasenra Q8W demonstrated a 70% reduction in the annual asthma exacerbation rate over 28 weeks compared with placebo (Rate ratio:  0.30 (95% CI: 0.17, 0.53), p&lt;0.001)), and a 93% reduction in the annual asthma exacerbation rate associated with an emergency room visit or hospitalisations (Rate ratio:  0.07 (95% CI: 0.01, 0.63), p=0.018) over 28 weeks compared with placebo.</w:t>
      </w:r>
    </w:p>
    <w:p w14:paraId="1E5178F6" w14:textId="77777777" w:rsidR="00966129" w:rsidRPr="00966129" w:rsidRDefault="00966129" w:rsidP="00BD569F">
      <w:pPr>
        <w:pStyle w:val="Heading5unnumbered"/>
      </w:pPr>
      <w:bookmarkStart w:id="22" w:name="_Hlk502838063"/>
      <w:r w:rsidRPr="00966129">
        <w:t>Long term data</w:t>
      </w:r>
    </w:p>
    <w:bookmarkEnd w:id="22"/>
    <w:p w14:paraId="369A282B" w14:textId="77777777" w:rsidR="00966129" w:rsidRPr="00966129" w:rsidRDefault="00966129" w:rsidP="00966129">
      <w:pPr>
        <w:pStyle w:val="Paragraph"/>
      </w:pPr>
      <w:r w:rsidRPr="00966129">
        <w:t xml:space="preserve">While a long-term extension study of CALIMA and SIROCCO (BORA) is ongoing, there are currently no clinical data from studies longer than CALIMA and SIROCCO (48 and 56 </w:t>
      </w:r>
      <w:proofErr w:type="gramStart"/>
      <w:r w:rsidRPr="00966129">
        <w:t>weeks</w:t>
      </w:r>
      <w:proofErr w:type="gramEnd"/>
      <w:r w:rsidRPr="00966129">
        <w:t xml:space="preserve"> duration respectively).</w:t>
      </w:r>
    </w:p>
    <w:p w14:paraId="55B45D73" w14:textId="667197E4" w:rsidR="001A3992" w:rsidRPr="00234577" w:rsidRDefault="007403BD" w:rsidP="003B7CFF">
      <w:pPr>
        <w:pStyle w:val="Heading2"/>
        <w:rPr>
          <w:lang w:val="en-AU"/>
        </w:rPr>
      </w:pPr>
      <w:bookmarkStart w:id="23" w:name="_Ref505357834"/>
      <w:r w:rsidRPr="00234577">
        <w:rPr>
          <w:lang w:val="en-AU"/>
        </w:rPr>
        <w:t>Pharmacokinetic properties</w:t>
      </w:r>
      <w:bookmarkEnd w:id="23"/>
    </w:p>
    <w:p w14:paraId="45F6FCB8" w14:textId="1D95C362" w:rsidR="000B28B3" w:rsidRPr="00234577" w:rsidRDefault="000B28B3" w:rsidP="001E1A1F">
      <w:pPr>
        <w:pStyle w:val="Paragraph"/>
      </w:pPr>
      <w:r w:rsidRPr="00234577">
        <w:t xml:space="preserve">The pharmacokinetics of benralizumab </w:t>
      </w:r>
      <w:proofErr w:type="gramStart"/>
      <w:r w:rsidRPr="00234577">
        <w:t>were</w:t>
      </w:r>
      <w:proofErr w:type="gramEnd"/>
      <w:r w:rsidRPr="00234577">
        <w:t xml:space="preserve"> dose-proportional in patients with asthma following subcutaneous administration over a dose range of 2 to 200</w:t>
      </w:r>
      <w:r w:rsidR="00234577">
        <w:t> </w:t>
      </w:r>
      <w:r w:rsidRPr="00234577">
        <w:t>mg.</w:t>
      </w:r>
    </w:p>
    <w:p w14:paraId="2F4A0AD1" w14:textId="77777777" w:rsidR="001A3992" w:rsidRPr="00234577" w:rsidRDefault="001A3992" w:rsidP="0026491B">
      <w:pPr>
        <w:pStyle w:val="Heading3Unnumbered"/>
        <w:rPr>
          <w:lang w:val="en-AU"/>
        </w:rPr>
      </w:pPr>
      <w:r w:rsidRPr="00234577">
        <w:rPr>
          <w:lang w:val="en-AU"/>
        </w:rPr>
        <w:t>Absorption</w:t>
      </w:r>
    </w:p>
    <w:p w14:paraId="468DC3F3" w14:textId="7C35584C" w:rsidR="007403BD" w:rsidRPr="00234577" w:rsidRDefault="000B28B3" w:rsidP="007403BD">
      <w:pPr>
        <w:pStyle w:val="Paragraph"/>
        <w:rPr>
          <w:lang w:val="en-AU"/>
        </w:rPr>
      </w:pPr>
      <w:r w:rsidRPr="000B28B3">
        <w:rPr>
          <w:lang w:val="en-AU"/>
        </w:rPr>
        <w:t>Following subcutaneous administration to patients with asthma, the absorption half-life was 3.5</w:t>
      </w:r>
      <w:r w:rsidR="00DE2264">
        <w:rPr>
          <w:lang w:val="en-AU"/>
        </w:rPr>
        <w:t> </w:t>
      </w:r>
      <w:r w:rsidRPr="000B28B3">
        <w:rPr>
          <w:lang w:val="en-AU"/>
        </w:rPr>
        <w:t>days. Based on population pharmacokinetic analysis, the estimated absolute bioavailability was approximately 59% and there was no clinically relevant difference in relative bioavailability in the administration to the abdomen, thigh or upper arm.</w:t>
      </w:r>
    </w:p>
    <w:p w14:paraId="47A31AD1" w14:textId="77777777" w:rsidR="001A3992" w:rsidRPr="00234577" w:rsidRDefault="001A3992" w:rsidP="0026491B">
      <w:pPr>
        <w:pStyle w:val="Heading3Unnumbered"/>
        <w:rPr>
          <w:lang w:val="en-AU"/>
        </w:rPr>
      </w:pPr>
      <w:r w:rsidRPr="00234577">
        <w:rPr>
          <w:lang w:val="en-AU"/>
        </w:rPr>
        <w:lastRenderedPageBreak/>
        <w:t>Distribution</w:t>
      </w:r>
    </w:p>
    <w:p w14:paraId="5748A016" w14:textId="7C3DB915" w:rsidR="007403BD" w:rsidRPr="00234577" w:rsidRDefault="000B28B3" w:rsidP="007403BD">
      <w:pPr>
        <w:pStyle w:val="Paragraph"/>
        <w:rPr>
          <w:lang w:val="en-AU"/>
        </w:rPr>
      </w:pPr>
      <w:r w:rsidRPr="000B28B3">
        <w:rPr>
          <w:lang w:val="en-AU"/>
        </w:rPr>
        <w:t>Based on population pharmacokinetic analysis, central and peripheral volume of distribution of benralizumab was 3.1</w:t>
      </w:r>
      <w:r w:rsidR="00234577">
        <w:rPr>
          <w:lang w:val="en-AU"/>
        </w:rPr>
        <w:t> </w:t>
      </w:r>
      <w:r w:rsidRPr="000B28B3">
        <w:rPr>
          <w:lang w:val="en-AU"/>
        </w:rPr>
        <w:t>L and 2.5</w:t>
      </w:r>
      <w:r w:rsidR="00234577">
        <w:rPr>
          <w:lang w:val="en-AU"/>
        </w:rPr>
        <w:t> </w:t>
      </w:r>
      <w:r w:rsidRPr="000B28B3">
        <w:rPr>
          <w:lang w:val="en-AU"/>
        </w:rPr>
        <w:t>L respectively for a 70</w:t>
      </w:r>
      <w:r w:rsidR="00234577">
        <w:rPr>
          <w:lang w:val="en-AU"/>
        </w:rPr>
        <w:t> </w:t>
      </w:r>
      <w:r w:rsidRPr="000B28B3">
        <w:rPr>
          <w:lang w:val="en-AU"/>
        </w:rPr>
        <w:t>Kg individual.</w:t>
      </w:r>
    </w:p>
    <w:p w14:paraId="183255DE" w14:textId="08ED4BD8" w:rsidR="001A3992" w:rsidRPr="00234577" w:rsidRDefault="00DB6705" w:rsidP="0026491B">
      <w:pPr>
        <w:pStyle w:val="Heading3Unnumbered"/>
        <w:rPr>
          <w:lang w:val="en-AU"/>
        </w:rPr>
      </w:pPr>
      <w:r>
        <w:rPr>
          <w:lang w:val="en-AU"/>
        </w:rPr>
        <w:t>Metabolism</w:t>
      </w:r>
    </w:p>
    <w:p w14:paraId="5E14F260" w14:textId="227CD334" w:rsidR="007403BD" w:rsidRPr="00234577" w:rsidRDefault="001E1A1F" w:rsidP="007403BD">
      <w:pPr>
        <w:pStyle w:val="Paragraph"/>
        <w:rPr>
          <w:lang w:val="en-AU"/>
        </w:rPr>
      </w:pPr>
      <w:r w:rsidRPr="001E1A1F">
        <w:rPr>
          <w:lang w:val="en-AU"/>
        </w:rPr>
        <w:t>Benralizumab is a humanized IgG1 monoclonal antibody that is degraded by proteolytic enzymes widely distributed in the body and not restricted to hepatic tissue.</w:t>
      </w:r>
    </w:p>
    <w:p w14:paraId="64A326B6" w14:textId="77777777" w:rsidR="001A3992" w:rsidRPr="00234577" w:rsidRDefault="001A3992" w:rsidP="0026491B">
      <w:pPr>
        <w:pStyle w:val="Heading3Unnumbered"/>
        <w:rPr>
          <w:lang w:val="en-AU"/>
        </w:rPr>
      </w:pPr>
      <w:r w:rsidRPr="00234577">
        <w:rPr>
          <w:lang w:val="en-AU"/>
        </w:rPr>
        <w:t>Excretion</w:t>
      </w:r>
    </w:p>
    <w:p w14:paraId="62110C27" w14:textId="77777777" w:rsidR="001E1A1F" w:rsidRDefault="001E1A1F" w:rsidP="007403BD">
      <w:pPr>
        <w:pStyle w:val="Paragraph"/>
        <w:rPr>
          <w:lang w:val="en-AU"/>
        </w:rPr>
      </w:pPr>
      <w:r w:rsidRPr="001E1A1F">
        <w:rPr>
          <w:lang w:val="en-AU"/>
        </w:rPr>
        <w:t>From population pharmacokinetic analysis, benralizumab exhibited linear pharmacokinetics and no evidence of target receptor-mediated clearance pathway. The estimated systemic clearance (CL) for benralizumab was at 0.29 L/day. Following subcutaneous administration, the elimination half-life was approximately 15.5 days.</w:t>
      </w:r>
    </w:p>
    <w:p w14:paraId="430C0D8F" w14:textId="65A17A22" w:rsidR="001E1A1F" w:rsidRPr="001E1A1F" w:rsidRDefault="001E1A1F" w:rsidP="00234577">
      <w:pPr>
        <w:pStyle w:val="Heading2Unnumbered"/>
      </w:pPr>
      <w:r w:rsidRPr="001E1A1F">
        <w:t xml:space="preserve">Special </w:t>
      </w:r>
      <w:r w:rsidR="00234577">
        <w:t xml:space="preserve">patient </w:t>
      </w:r>
      <w:r w:rsidRPr="001E1A1F">
        <w:t>populations</w:t>
      </w:r>
    </w:p>
    <w:p w14:paraId="4070F52D" w14:textId="77777777" w:rsidR="001E1A1F" w:rsidRPr="001E1A1F" w:rsidRDefault="001E1A1F" w:rsidP="00234577">
      <w:pPr>
        <w:pStyle w:val="Heading4Unnumbered"/>
      </w:pPr>
      <w:r w:rsidRPr="001E1A1F">
        <w:t>Elderly (≥65 years old)</w:t>
      </w:r>
    </w:p>
    <w:p w14:paraId="487A8B1A" w14:textId="77777777" w:rsidR="001E1A1F" w:rsidRPr="001E1A1F" w:rsidRDefault="001E1A1F" w:rsidP="001E1A1F">
      <w:pPr>
        <w:pStyle w:val="Paragraph"/>
        <w:rPr>
          <w:lang w:val="en-AU"/>
        </w:rPr>
      </w:pPr>
      <w:r w:rsidRPr="001E1A1F">
        <w:rPr>
          <w:lang w:val="en-AU"/>
        </w:rPr>
        <w:t>Based on population pharmacokinetic analysis, age did not affect benralizumab clearance.</w:t>
      </w:r>
    </w:p>
    <w:p w14:paraId="2037306D" w14:textId="77777777" w:rsidR="001E1A1F" w:rsidRPr="001E1A1F" w:rsidRDefault="001E1A1F" w:rsidP="00234577">
      <w:pPr>
        <w:pStyle w:val="Heading4Unnumbered"/>
      </w:pPr>
      <w:r w:rsidRPr="001E1A1F">
        <w:t>Gender, race</w:t>
      </w:r>
    </w:p>
    <w:p w14:paraId="0049801F" w14:textId="77777777" w:rsidR="001E1A1F" w:rsidRPr="001E1A1F" w:rsidRDefault="001E1A1F" w:rsidP="001E1A1F">
      <w:pPr>
        <w:pStyle w:val="Paragraph"/>
        <w:rPr>
          <w:lang w:val="en-AU"/>
        </w:rPr>
      </w:pPr>
      <w:r w:rsidRPr="001E1A1F">
        <w:rPr>
          <w:lang w:val="en-AU"/>
        </w:rPr>
        <w:t>A population pharmacokinetics analysis indicated that there was no significant effect of gender and race on benralizumab clearance.</w:t>
      </w:r>
    </w:p>
    <w:p w14:paraId="1EC4D36B" w14:textId="77777777" w:rsidR="001E1A1F" w:rsidRPr="001E1A1F" w:rsidRDefault="001E1A1F" w:rsidP="00234577">
      <w:pPr>
        <w:pStyle w:val="Heading4Unnumbered"/>
      </w:pPr>
      <w:bookmarkStart w:id="24" w:name="_Hlk503431085"/>
      <w:r w:rsidRPr="001E1A1F">
        <w:t>Renal impairment</w:t>
      </w:r>
    </w:p>
    <w:p w14:paraId="7FEF8583" w14:textId="7420145C" w:rsidR="001E1A1F" w:rsidRPr="001E1A1F" w:rsidRDefault="001E1A1F" w:rsidP="001E1A1F">
      <w:pPr>
        <w:pStyle w:val="Paragraph"/>
        <w:rPr>
          <w:lang w:val="en-AU"/>
        </w:rPr>
      </w:pPr>
      <w:r w:rsidRPr="001E1A1F">
        <w:rPr>
          <w:lang w:val="en-AU"/>
        </w:rPr>
        <w:t>No formal clinical studies have been conducted to investigate the effect of renal impairment on benralizumab.  Based on population pharmacokinetic analysis, mild to moderate renal impairment (</w:t>
      </w:r>
      <w:proofErr w:type="spellStart"/>
      <w:r w:rsidRPr="001E1A1F">
        <w:rPr>
          <w:lang w:val="en-AU"/>
        </w:rPr>
        <w:t>eGFR</w:t>
      </w:r>
      <w:proofErr w:type="spellEnd"/>
      <w:r w:rsidR="00DE2264">
        <w:rPr>
          <w:lang w:val="en-AU"/>
        </w:rPr>
        <w:t> </w:t>
      </w:r>
      <w:r w:rsidRPr="001E1A1F">
        <w:rPr>
          <w:lang w:val="en-AU"/>
        </w:rPr>
        <w:t>30-89 mL/min/1.73m</w:t>
      </w:r>
      <w:r w:rsidRPr="001E1A1F">
        <w:rPr>
          <w:vertAlign w:val="superscript"/>
          <w:lang w:val="en-AU"/>
        </w:rPr>
        <w:t>2</w:t>
      </w:r>
      <w:r w:rsidRPr="001E1A1F">
        <w:rPr>
          <w:lang w:val="en-AU"/>
        </w:rPr>
        <w:t xml:space="preserve">) did not affect benralizumab clearance. There are limited data available in patients with </w:t>
      </w:r>
      <w:proofErr w:type="spellStart"/>
      <w:r w:rsidRPr="001E1A1F">
        <w:rPr>
          <w:lang w:val="en-AU"/>
        </w:rPr>
        <w:t>eGFR</w:t>
      </w:r>
      <w:proofErr w:type="spellEnd"/>
      <w:r w:rsidRPr="001E1A1F">
        <w:rPr>
          <w:lang w:val="en-AU"/>
        </w:rPr>
        <w:t xml:space="preserve"> less than 30</w:t>
      </w:r>
      <w:r w:rsidR="00DE2264">
        <w:rPr>
          <w:lang w:val="en-AU"/>
        </w:rPr>
        <w:t> </w:t>
      </w:r>
      <w:r w:rsidRPr="001E1A1F">
        <w:rPr>
          <w:lang w:val="en-AU"/>
        </w:rPr>
        <w:t>mL/min/</w:t>
      </w:r>
      <w:proofErr w:type="gramStart"/>
      <w:r w:rsidRPr="001E1A1F">
        <w:rPr>
          <w:lang w:val="en-AU"/>
        </w:rPr>
        <w:t>1.73m</w:t>
      </w:r>
      <w:r w:rsidRPr="001E1A1F">
        <w:rPr>
          <w:vertAlign w:val="superscript"/>
          <w:lang w:val="en-AU"/>
        </w:rPr>
        <w:t>2</w:t>
      </w:r>
      <w:r w:rsidRPr="001E1A1F">
        <w:rPr>
          <w:lang w:val="en-AU"/>
        </w:rPr>
        <w:t>,</w:t>
      </w:r>
      <w:proofErr w:type="gramEnd"/>
      <w:r w:rsidRPr="001E1A1F">
        <w:rPr>
          <w:lang w:val="en-AU"/>
        </w:rPr>
        <w:t xml:space="preserve"> however benralizumab is not cleared renally.</w:t>
      </w:r>
    </w:p>
    <w:bookmarkEnd w:id="24"/>
    <w:p w14:paraId="22E1F26B" w14:textId="77777777" w:rsidR="001E1A1F" w:rsidRPr="001E1A1F" w:rsidRDefault="001E1A1F" w:rsidP="00234577">
      <w:pPr>
        <w:pStyle w:val="Heading4Unnumbered"/>
      </w:pPr>
      <w:r w:rsidRPr="001E1A1F">
        <w:t>Hepatic impairment</w:t>
      </w:r>
    </w:p>
    <w:p w14:paraId="511DC837" w14:textId="77777777" w:rsidR="001E1A1F" w:rsidRPr="001E1A1F" w:rsidRDefault="001E1A1F" w:rsidP="001E1A1F">
      <w:pPr>
        <w:pStyle w:val="Paragraph"/>
        <w:rPr>
          <w:lang w:val="en-AU"/>
        </w:rPr>
      </w:pPr>
      <w:r w:rsidRPr="001E1A1F">
        <w:rPr>
          <w:lang w:val="en-AU"/>
        </w:rPr>
        <w:t>No formal clinical studies have been conducted to investigate the effect of hepatic impairment on benralizumab. IgG monoclonal antibodies are not primarily cleared via hepatic pathway; change in hepatic function is not expected to influence benralizumab clearance. Based on population pharmacokinetic analysis, baseline hepatic function biomarkers (ALT, AST and bilirubin) had no clinically relevant effect on benralizumab clearance.</w:t>
      </w:r>
    </w:p>
    <w:p w14:paraId="7E96BB8C" w14:textId="77777777" w:rsidR="001E1A1F" w:rsidRPr="001E1A1F" w:rsidRDefault="001E1A1F" w:rsidP="00234577">
      <w:pPr>
        <w:pStyle w:val="Heading4Unnumbered"/>
      </w:pPr>
      <w:r w:rsidRPr="001E1A1F">
        <w:t>Paediatric use</w:t>
      </w:r>
    </w:p>
    <w:p w14:paraId="77A5D454" w14:textId="38CEBC5A" w:rsidR="007403BD" w:rsidRPr="00234577" w:rsidRDefault="001E1A1F" w:rsidP="007403BD">
      <w:pPr>
        <w:pStyle w:val="Paragraph"/>
        <w:rPr>
          <w:lang w:val="en-AU"/>
        </w:rPr>
      </w:pPr>
      <w:r w:rsidRPr="007E7562">
        <w:rPr>
          <w:lang w:val="en-AU"/>
        </w:rPr>
        <w:t>Based on the population pharmacokinetic analysis, the pharmacokinetics of benralizumab in adolescents aged 12 to 17 years was consistent with adults. Benralizumab has not been studied in children below 12 years of age (see</w:t>
      </w:r>
      <w:r w:rsidR="00A52422" w:rsidRPr="007E7562">
        <w:rPr>
          <w:lang w:val="en-AU"/>
        </w:rPr>
        <w:t xml:space="preserve"> Section </w:t>
      </w:r>
      <w:r w:rsidR="00A52422" w:rsidRPr="007E7562">
        <w:rPr>
          <w:lang w:val="en-AU"/>
        </w:rPr>
        <w:fldChar w:fldCharType="begin"/>
      </w:r>
      <w:r w:rsidR="00A52422" w:rsidRPr="007E7562">
        <w:rPr>
          <w:lang w:val="en-AU"/>
        </w:rPr>
        <w:instrText xml:space="preserve"> REF _Ref505358028 \r \h </w:instrText>
      </w:r>
      <w:r w:rsidR="007E7562">
        <w:rPr>
          <w:lang w:val="en-AU"/>
        </w:rPr>
        <w:instrText xml:space="preserve"> \* MERGEFORMAT </w:instrText>
      </w:r>
      <w:r w:rsidR="00A52422" w:rsidRPr="007E7562">
        <w:rPr>
          <w:lang w:val="en-AU"/>
        </w:rPr>
      </w:r>
      <w:r w:rsidR="00A52422" w:rsidRPr="007E7562">
        <w:rPr>
          <w:lang w:val="en-AU"/>
        </w:rPr>
        <w:fldChar w:fldCharType="separate"/>
      </w:r>
      <w:r w:rsidR="00997102" w:rsidRPr="007E7562">
        <w:rPr>
          <w:lang w:val="en-AU"/>
        </w:rPr>
        <w:t>4.2</w:t>
      </w:r>
      <w:r w:rsidR="00A52422" w:rsidRPr="007E7562">
        <w:rPr>
          <w:lang w:val="en-AU"/>
        </w:rPr>
        <w:fldChar w:fldCharType="end"/>
      </w:r>
      <w:r w:rsidR="00A52422" w:rsidRPr="007E7562">
        <w:rPr>
          <w:lang w:val="en-AU"/>
        </w:rPr>
        <w:t xml:space="preserve"> [</w:t>
      </w:r>
      <w:r w:rsidR="00A52422" w:rsidRPr="007E7562">
        <w:rPr>
          <w:i/>
          <w:lang w:val="en-AU"/>
        </w:rPr>
        <w:t>Special patient populations/Paediatric Use</w:t>
      </w:r>
      <w:r w:rsidR="00A52422" w:rsidRPr="007E7562">
        <w:rPr>
          <w:lang w:val="en-AU"/>
        </w:rPr>
        <w:t>]</w:t>
      </w:r>
      <w:r w:rsidRPr="007E7562">
        <w:rPr>
          <w:lang w:val="en-AU"/>
        </w:rPr>
        <w:t>).</w:t>
      </w:r>
    </w:p>
    <w:p w14:paraId="2FCF9F11" w14:textId="77777777" w:rsidR="001A3992" w:rsidRPr="00A52422" w:rsidRDefault="001A3992" w:rsidP="00EE3AC8">
      <w:pPr>
        <w:pStyle w:val="Heading2"/>
        <w:rPr>
          <w:lang w:val="en-AU"/>
        </w:rPr>
      </w:pPr>
      <w:r w:rsidRPr="00A52422">
        <w:rPr>
          <w:lang w:val="en-AU"/>
        </w:rPr>
        <w:t>Preclinical safety data</w:t>
      </w:r>
    </w:p>
    <w:p w14:paraId="284DBCE0" w14:textId="77777777" w:rsidR="00612551" w:rsidRPr="00F84110" w:rsidRDefault="00612551" w:rsidP="00612551">
      <w:pPr>
        <w:pStyle w:val="Heading3Unnumbered"/>
      </w:pPr>
      <w:r w:rsidRPr="00F84110">
        <w:t>Genotoxicity</w:t>
      </w:r>
    </w:p>
    <w:p w14:paraId="495396D8" w14:textId="77777777" w:rsidR="00612551" w:rsidRPr="00F84110" w:rsidRDefault="00612551" w:rsidP="00612551">
      <w:pPr>
        <w:pStyle w:val="Paragraph"/>
        <w:rPr>
          <w:bCs/>
          <w:lang w:val="en-AU"/>
        </w:rPr>
      </w:pPr>
      <w:r w:rsidRPr="00F84110">
        <w:rPr>
          <w:bCs/>
          <w:lang w:val="en-AU"/>
        </w:rPr>
        <w:t>No genotoxicity studies have been conducted.  As a monoclonal antibody, benralizumab is not expected to interact with DNA or other chromosomal material.</w:t>
      </w:r>
    </w:p>
    <w:p w14:paraId="58D1BF51" w14:textId="77777777" w:rsidR="007D53D3" w:rsidRDefault="007D53D3">
      <w:pPr>
        <w:spacing w:after="200"/>
        <w:rPr>
          <w:rFonts w:cs="Arial"/>
          <w:b/>
          <w:bCs/>
        </w:rPr>
      </w:pPr>
      <w:r>
        <w:br w:type="page"/>
      </w:r>
    </w:p>
    <w:p w14:paraId="26CEC286" w14:textId="30B2DCEA" w:rsidR="00612551" w:rsidRPr="00AC1FF6" w:rsidRDefault="00612551" w:rsidP="00612551">
      <w:pPr>
        <w:pStyle w:val="Heading3Unnumbered"/>
      </w:pPr>
      <w:r w:rsidRPr="00AC1FF6">
        <w:lastRenderedPageBreak/>
        <w:t>Carcinogenicity</w:t>
      </w:r>
    </w:p>
    <w:p w14:paraId="21C5A41D" w14:textId="7C48FBC0" w:rsidR="00EA4DC1" w:rsidRPr="00A668C4" w:rsidRDefault="00EA4DC1" w:rsidP="007403BD">
      <w:pPr>
        <w:pStyle w:val="Paragraph"/>
        <w:rPr>
          <w:lang w:val="en-AU"/>
        </w:rPr>
      </w:pPr>
      <w:r w:rsidRPr="00EA4DC1">
        <w:rPr>
          <w:lang w:val="en-AU"/>
        </w:rPr>
        <w:t>Long-term animal studies have not been performed to evaluate the carcinogenic potential of benralizumab. Published literature using animal models suggests that IL-5 and eosinophils are part of an early inflammatory reaction at the site of tumorigenesis and can promote tumour rejection. However, other reports indicate that eosinophil infiltration into tumours can promote tumour growth. Therefore, the malignancy risk in humans from an antibody that binds to IL-5Rα</w:t>
      </w:r>
      <w:r>
        <w:rPr>
          <w:lang w:val="en-AU"/>
        </w:rPr>
        <w:t>,</w:t>
      </w:r>
      <w:r w:rsidRPr="00EA4DC1">
        <w:rPr>
          <w:lang w:val="en-AU"/>
        </w:rPr>
        <w:t xml:space="preserve"> such as benralizumab</w:t>
      </w:r>
      <w:r>
        <w:rPr>
          <w:lang w:val="en-AU"/>
        </w:rPr>
        <w:t>,</w:t>
      </w:r>
      <w:r w:rsidRPr="00EA4DC1">
        <w:rPr>
          <w:lang w:val="en-AU"/>
        </w:rPr>
        <w:t xml:space="preserve"> is unknown.</w:t>
      </w:r>
    </w:p>
    <w:p w14:paraId="2A6B59E5" w14:textId="77777777" w:rsidR="001A3992" w:rsidRPr="00A668C4" w:rsidRDefault="001A3992" w:rsidP="00EE3AC8">
      <w:pPr>
        <w:pStyle w:val="Heading1"/>
        <w:rPr>
          <w:lang w:val="en-AU"/>
        </w:rPr>
      </w:pPr>
      <w:r w:rsidRPr="00A668C4">
        <w:rPr>
          <w:lang w:val="en-AU"/>
        </w:rPr>
        <w:t>Pharmaceutical particulars</w:t>
      </w:r>
    </w:p>
    <w:p w14:paraId="73645F22" w14:textId="0EA18907" w:rsidR="001A3992" w:rsidRDefault="001A3992" w:rsidP="00EE3AC8">
      <w:pPr>
        <w:pStyle w:val="Heading2"/>
        <w:rPr>
          <w:lang w:val="en-AU"/>
        </w:rPr>
      </w:pPr>
      <w:bookmarkStart w:id="25" w:name="_Ref505357670"/>
      <w:r w:rsidRPr="00A668C4">
        <w:rPr>
          <w:lang w:val="en-AU"/>
        </w:rPr>
        <w:t>List of exci</w:t>
      </w:r>
      <w:r w:rsidR="00795D99" w:rsidRPr="00A668C4">
        <w:rPr>
          <w:lang w:val="en-AU"/>
        </w:rPr>
        <w:t>pients</w:t>
      </w:r>
      <w:bookmarkEnd w:id="25"/>
    </w:p>
    <w:p w14:paraId="48CE521B" w14:textId="41917B4A" w:rsidR="00FC0675" w:rsidRDefault="00FC0675" w:rsidP="00FC0675">
      <w:pPr>
        <w:pStyle w:val="Paragraph"/>
        <w:rPr>
          <w:lang w:val="en-AU"/>
        </w:rPr>
      </w:pPr>
      <w:r w:rsidRPr="00612551">
        <w:rPr>
          <w:lang w:val="en-AU"/>
        </w:rPr>
        <w:t>Fasenra contains the excipients histidine, histidine hydrochloride monohydrate, trehalose, polysorbate 20 and water for injections.</w:t>
      </w:r>
    </w:p>
    <w:p w14:paraId="05339CA7" w14:textId="5E32A9F7" w:rsidR="00BA7F2B" w:rsidRPr="00FC0675" w:rsidRDefault="00BA7F2B" w:rsidP="00FC0675">
      <w:pPr>
        <w:pStyle w:val="Paragraph"/>
        <w:rPr>
          <w:lang w:val="en-AU"/>
        </w:rPr>
      </w:pPr>
      <w:r w:rsidRPr="00612551">
        <w:rPr>
          <w:lang w:val="en-AU"/>
        </w:rPr>
        <w:t>Fasenra does not contain latex, lactose, sucrose, gluten, tartrazine or any other azo dyes.</w:t>
      </w:r>
    </w:p>
    <w:p w14:paraId="1A5C0401" w14:textId="77777777" w:rsidR="001A3992" w:rsidRPr="00A668C4" w:rsidRDefault="001A3992" w:rsidP="00EE3AC8">
      <w:pPr>
        <w:pStyle w:val="Heading2"/>
        <w:rPr>
          <w:lang w:val="en-AU"/>
        </w:rPr>
      </w:pPr>
      <w:r w:rsidRPr="00A668C4">
        <w:rPr>
          <w:lang w:val="en-AU"/>
        </w:rPr>
        <w:t>Incompatib</w:t>
      </w:r>
      <w:r w:rsidR="00795D99" w:rsidRPr="00A668C4">
        <w:rPr>
          <w:lang w:val="en-AU"/>
        </w:rPr>
        <w:t>ilities</w:t>
      </w:r>
    </w:p>
    <w:p w14:paraId="7244917C" w14:textId="77777777" w:rsidR="00097DA0" w:rsidRPr="007403BD" w:rsidRDefault="00097DA0" w:rsidP="00097DA0">
      <w:pPr>
        <w:pStyle w:val="Paragraph"/>
      </w:pPr>
      <w:r>
        <w:t>Incompatibilities were not identified as part of the registration of this medicine.</w:t>
      </w:r>
    </w:p>
    <w:p w14:paraId="48C940D3" w14:textId="77777777" w:rsidR="001A3992" w:rsidRPr="00A668C4" w:rsidRDefault="001A3992" w:rsidP="00EE3AC8">
      <w:pPr>
        <w:pStyle w:val="Heading2"/>
        <w:rPr>
          <w:lang w:val="en-AU"/>
        </w:rPr>
      </w:pPr>
      <w:r w:rsidRPr="00A668C4">
        <w:rPr>
          <w:lang w:val="en-AU"/>
        </w:rPr>
        <w:t>Shelf life</w:t>
      </w:r>
    </w:p>
    <w:p w14:paraId="3110FD2D" w14:textId="77777777" w:rsidR="007A2548" w:rsidRPr="00A668C4" w:rsidRDefault="007A2548" w:rsidP="007403BD">
      <w:pPr>
        <w:pStyle w:val="Paragraph"/>
        <w:rPr>
          <w:lang w:val="en-AU"/>
        </w:rPr>
      </w:pPr>
      <w:r w:rsidRPr="00A668C4">
        <w:rPr>
          <w:lang w:val="en-AU"/>
        </w:rPr>
        <w:t>In Australia, information on the shelf life can be found on the public summary of the Australian Register of Therapeutic Goods (ARTG). The expiry date can be found on the packaging.</w:t>
      </w:r>
    </w:p>
    <w:p w14:paraId="73CD87A1" w14:textId="77777777" w:rsidR="001A3992" w:rsidRPr="00A668C4" w:rsidRDefault="00795D99" w:rsidP="00795D99">
      <w:pPr>
        <w:pStyle w:val="Heading2"/>
        <w:rPr>
          <w:lang w:val="en-AU"/>
        </w:rPr>
      </w:pPr>
      <w:r w:rsidRPr="00A668C4">
        <w:rPr>
          <w:lang w:val="en-AU"/>
        </w:rPr>
        <w:t>Special precautions for storage</w:t>
      </w:r>
    </w:p>
    <w:p w14:paraId="5906FE28" w14:textId="77777777" w:rsidR="00DF291D" w:rsidRPr="00FC0675" w:rsidRDefault="00DF291D" w:rsidP="00FC0675">
      <w:pPr>
        <w:pStyle w:val="Paragraph"/>
      </w:pPr>
      <w:r w:rsidRPr="00FC0675">
        <w:t>Store at 2°C to 8°C (Refrigerate. Do not freeze).</w:t>
      </w:r>
    </w:p>
    <w:p w14:paraId="7C5132F9" w14:textId="25F229DF" w:rsidR="007A2548" w:rsidRDefault="00DF291D" w:rsidP="00FC0675">
      <w:pPr>
        <w:pStyle w:val="Paragraph"/>
      </w:pPr>
      <w:r w:rsidRPr="00FC0675">
        <w:t xml:space="preserve">Store the prefilled syringe in the original package </w:t>
      </w:r>
      <w:r w:rsidR="00FC0675">
        <w:t>in order to protect from light.</w:t>
      </w:r>
    </w:p>
    <w:p w14:paraId="521D709E" w14:textId="77777777" w:rsidR="001A3992" w:rsidRPr="00FC0675" w:rsidRDefault="001A3992" w:rsidP="00EE3AC8">
      <w:pPr>
        <w:pStyle w:val="Heading2"/>
        <w:rPr>
          <w:lang w:val="en-AU"/>
        </w:rPr>
      </w:pPr>
      <w:r w:rsidRPr="00FC0675">
        <w:rPr>
          <w:lang w:val="en-AU"/>
        </w:rPr>
        <w:t>N</w:t>
      </w:r>
      <w:r w:rsidR="00795D99" w:rsidRPr="00FC0675">
        <w:rPr>
          <w:lang w:val="en-AU"/>
        </w:rPr>
        <w:t>ature and contents of container</w:t>
      </w:r>
    </w:p>
    <w:p w14:paraId="732BC79C" w14:textId="4C83FB40" w:rsidR="00FC0675" w:rsidRDefault="00FC0675" w:rsidP="00FC0675">
      <w:pPr>
        <w:pStyle w:val="Paragraph"/>
        <w:rPr>
          <w:lang w:val="en-AU"/>
        </w:rPr>
      </w:pPr>
      <w:r w:rsidRPr="00612551">
        <w:rPr>
          <w:lang w:val="en-AU"/>
        </w:rPr>
        <w:t xml:space="preserve">Each prefilled syringe contains 30 mg benralizumab in 1 mL (30 mg/mL). The prefilled syringe is comprised of a type I glass barrel with a staked 29 gauge 12.7 mm stainless steel needle, rigid needle shield and </w:t>
      </w:r>
      <w:proofErr w:type="spellStart"/>
      <w:r w:rsidRPr="00612551">
        <w:rPr>
          <w:lang w:val="en-AU"/>
        </w:rPr>
        <w:t>FluoroTec</w:t>
      </w:r>
      <w:proofErr w:type="spellEnd"/>
      <w:r w:rsidRPr="00612551">
        <w:rPr>
          <w:lang w:val="en-AU"/>
        </w:rPr>
        <w:t xml:space="preserve">-coated plunger stopper in a passive safety device to prevent needle stick injuries (see </w:t>
      </w:r>
      <w:r w:rsidRPr="00612551">
        <w:rPr>
          <w:lang w:val="en-AU"/>
        </w:rPr>
        <w:fldChar w:fldCharType="begin"/>
      </w:r>
      <w:r w:rsidRPr="00612551">
        <w:rPr>
          <w:lang w:val="en-AU"/>
        </w:rPr>
        <w:instrText xml:space="preserve"> REF _Ref473703660 \h  \* MERGEFORMAT </w:instrText>
      </w:r>
      <w:r w:rsidRPr="00612551">
        <w:rPr>
          <w:lang w:val="en-AU"/>
        </w:rPr>
      </w:r>
      <w:r w:rsidRPr="00612551">
        <w:rPr>
          <w:lang w:val="en-AU"/>
        </w:rPr>
        <w:fldChar w:fldCharType="separate"/>
      </w:r>
      <w:r w:rsidR="00997102" w:rsidRPr="00997102">
        <w:rPr>
          <w:lang w:val="en-AU"/>
        </w:rPr>
        <w:t>Figure 1</w:t>
      </w:r>
      <w:r w:rsidRPr="00612551">
        <w:rPr>
          <w:lang w:val="en-AU"/>
        </w:rPr>
        <w:fldChar w:fldCharType="end"/>
      </w:r>
      <w:r w:rsidR="00793CEF">
        <w:rPr>
          <w:lang w:val="en-AU"/>
        </w:rPr>
        <w:t xml:space="preserve"> above</w:t>
      </w:r>
      <w:r w:rsidRPr="00612551">
        <w:rPr>
          <w:lang w:val="en-AU"/>
        </w:rPr>
        <w:t>).</w:t>
      </w:r>
    </w:p>
    <w:p w14:paraId="1E591061" w14:textId="53D6736A" w:rsidR="00234577" w:rsidRPr="00612551" w:rsidRDefault="00234577" w:rsidP="00FC0675">
      <w:pPr>
        <w:pStyle w:val="Paragraph"/>
        <w:rPr>
          <w:lang w:val="en-AU"/>
        </w:rPr>
      </w:pPr>
      <w:r w:rsidRPr="00612551">
        <w:rPr>
          <w:lang w:val="en-AU"/>
        </w:rPr>
        <w:t xml:space="preserve">Fasenra is available in a pack containing one single-dose, single use, </w:t>
      </w:r>
      <w:proofErr w:type="gramStart"/>
      <w:r w:rsidRPr="00612551">
        <w:rPr>
          <w:lang w:val="en-AU"/>
        </w:rPr>
        <w:t>sterile</w:t>
      </w:r>
      <w:proofErr w:type="gramEnd"/>
      <w:r w:rsidRPr="00612551">
        <w:rPr>
          <w:lang w:val="en-AU"/>
        </w:rPr>
        <w:t xml:space="preserve"> prefilled syringe.</w:t>
      </w:r>
    </w:p>
    <w:p w14:paraId="65B400F5" w14:textId="77777777" w:rsidR="001A3992" w:rsidRPr="00913975" w:rsidRDefault="001A3992" w:rsidP="00913975">
      <w:pPr>
        <w:pStyle w:val="Heading2"/>
        <w:rPr>
          <w:lang w:val="en-AU"/>
        </w:rPr>
      </w:pPr>
      <w:r w:rsidRPr="00913975">
        <w:rPr>
          <w:lang w:val="en-AU"/>
        </w:rPr>
        <w:t>S</w:t>
      </w:r>
      <w:r w:rsidR="00795D99" w:rsidRPr="00913975">
        <w:rPr>
          <w:lang w:val="en-AU"/>
        </w:rPr>
        <w:t>pecial precautions for disposal</w:t>
      </w:r>
    </w:p>
    <w:p w14:paraId="29B58481" w14:textId="6F0ACF25" w:rsidR="0038675A" w:rsidRPr="00913975" w:rsidRDefault="0038675A" w:rsidP="00913975">
      <w:pPr>
        <w:pStyle w:val="Paragraph"/>
        <w:rPr>
          <w:lang w:val="en-AU"/>
        </w:rPr>
      </w:pPr>
      <w:r w:rsidRPr="00913975">
        <w:rPr>
          <w:lang w:val="en-AU"/>
        </w:rPr>
        <w:t>Discard used syringe</w:t>
      </w:r>
      <w:r w:rsidR="00913975" w:rsidRPr="00913975">
        <w:rPr>
          <w:lang w:val="en-AU"/>
        </w:rPr>
        <w:t>s</w:t>
      </w:r>
      <w:r w:rsidRPr="00913975">
        <w:rPr>
          <w:lang w:val="en-AU"/>
        </w:rPr>
        <w:t xml:space="preserve"> into a sharps container</w:t>
      </w:r>
      <w:r w:rsidR="00913975">
        <w:rPr>
          <w:lang w:val="en-AU"/>
        </w:rPr>
        <w:t>.</w:t>
      </w:r>
    </w:p>
    <w:p w14:paraId="4595A0BA" w14:textId="1036B5F2" w:rsidR="006A727B" w:rsidRPr="00793CEF" w:rsidRDefault="006A727B" w:rsidP="00913975">
      <w:pPr>
        <w:pStyle w:val="Paragraph"/>
        <w:rPr>
          <w:lang w:val="en-AU"/>
        </w:rPr>
      </w:pPr>
      <w:r w:rsidRPr="00913975">
        <w:rPr>
          <w:lang w:val="en-AU"/>
        </w:rPr>
        <w:t>In Australia, any unused medicine should be disposed of by taking to your local pharmacy.</w:t>
      </w:r>
    </w:p>
    <w:p w14:paraId="1843E4BA" w14:textId="46FA06D9" w:rsidR="001A3992" w:rsidRDefault="001A3992" w:rsidP="00EE3AC8">
      <w:pPr>
        <w:pStyle w:val="Heading2"/>
        <w:rPr>
          <w:lang w:val="en-AU"/>
        </w:rPr>
      </w:pPr>
      <w:r w:rsidRPr="00793CEF">
        <w:rPr>
          <w:lang w:val="en-AU"/>
        </w:rPr>
        <w:t>Physicochemical properties</w:t>
      </w:r>
    </w:p>
    <w:p w14:paraId="094BD5E0" w14:textId="38FE7917" w:rsidR="00BA7F2B" w:rsidRDefault="00BA7F2B" w:rsidP="00BA7F2B">
      <w:pPr>
        <w:pStyle w:val="Paragraph"/>
        <w:rPr>
          <w:lang w:val="en-AU"/>
        </w:rPr>
      </w:pPr>
      <w:r w:rsidRPr="00FC0675">
        <w:rPr>
          <w:lang w:val="en-AU"/>
        </w:rPr>
        <w:t xml:space="preserve">Benralizumab is a humanised, </w:t>
      </w:r>
      <w:proofErr w:type="spellStart"/>
      <w:r w:rsidRPr="00FC0675">
        <w:rPr>
          <w:lang w:val="en-AU"/>
        </w:rPr>
        <w:t>afucosylated</w:t>
      </w:r>
      <w:proofErr w:type="spellEnd"/>
      <w:r w:rsidRPr="00FC0675">
        <w:rPr>
          <w:lang w:val="en-AU"/>
        </w:rPr>
        <w:t xml:space="preserve">, monoclonal antibody selective for the alpha subunit of the human interleukin-5 receptor (IL-5Rα). Benralizumab is of the IgG1, kappa-class produced in Chinese hamster ovary (CHO) cells by recombinant DNA technology.  Benralizumab has a molecular weight of approximately 150 </w:t>
      </w:r>
      <w:proofErr w:type="spellStart"/>
      <w:r w:rsidRPr="00FC0675">
        <w:rPr>
          <w:lang w:val="en-AU"/>
        </w:rPr>
        <w:t>kDa</w:t>
      </w:r>
      <w:proofErr w:type="spellEnd"/>
      <w:r w:rsidRPr="00FC0675">
        <w:rPr>
          <w:lang w:val="en-AU"/>
        </w:rPr>
        <w:t>.</w:t>
      </w:r>
    </w:p>
    <w:p w14:paraId="6173AF00" w14:textId="2FB61763" w:rsidR="0069650C" w:rsidRPr="00BB56A2" w:rsidRDefault="0069650C" w:rsidP="0069650C">
      <w:pPr>
        <w:pStyle w:val="FigureTitle"/>
        <w:rPr>
          <w:lang w:val="en-AU"/>
        </w:rPr>
      </w:pPr>
      <w:r w:rsidRPr="00BB56A2">
        <w:lastRenderedPageBreak/>
        <w:t>Figure </w:t>
      </w:r>
      <w:r w:rsidR="00997102">
        <w:fldChar w:fldCharType="begin"/>
      </w:r>
      <w:r w:rsidR="00997102">
        <w:instrText xml:space="preserve"> SEQ Figure \* ARABIC </w:instrText>
      </w:r>
      <w:r w:rsidR="00997102">
        <w:fldChar w:fldCharType="separate"/>
      </w:r>
      <w:r w:rsidR="00997102">
        <w:rPr>
          <w:noProof/>
        </w:rPr>
        <w:t>4</w:t>
      </w:r>
      <w:r w:rsidR="00997102">
        <w:fldChar w:fldCharType="end"/>
      </w:r>
      <w:r w:rsidRPr="00BB56A2">
        <w:tab/>
        <w:t>General structure of benralizumab</w:t>
      </w:r>
    </w:p>
    <w:p w14:paraId="4907F668" w14:textId="77777777" w:rsidR="00A668C4" w:rsidRPr="00BB56A2" w:rsidRDefault="00DF291D" w:rsidP="00A668C4">
      <w:pPr>
        <w:pStyle w:val="Paragraph"/>
        <w:rPr>
          <w:b/>
          <w:lang w:val="en-AU"/>
        </w:rPr>
      </w:pPr>
      <w:r w:rsidRPr="00BB56A2">
        <w:rPr>
          <w:noProof/>
          <w:lang w:val="en-AU" w:eastAsia="en-AU"/>
        </w:rPr>
        <w:drawing>
          <wp:inline distT="0" distB="0" distL="0" distR="0" wp14:anchorId="20F2414A" wp14:editId="08BF6DCE">
            <wp:extent cx="2342420" cy="24288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817" cy="2459357"/>
                    </a:xfrm>
                    <a:prstGeom prst="rect">
                      <a:avLst/>
                    </a:prstGeom>
                    <a:noFill/>
                    <a:ln>
                      <a:noFill/>
                    </a:ln>
                  </pic:spPr>
                </pic:pic>
              </a:graphicData>
            </a:graphic>
          </wp:inline>
        </w:drawing>
      </w:r>
    </w:p>
    <w:p w14:paraId="3E3E70BC" w14:textId="293A9F8F" w:rsidR="006A727B" w:rsidRPr="00913975" w:rsidRDefault="001A3992" w:rsidP="00A668C4">
      <w:pPr>
        <w:pStyle w:val="Paragraph"/>
        <w:rPr>
          <w:lang w:val="en-AU"/>
        </w:rPr>
      </w:pPr>
      <w:r w:rsidRPr="00BB56A2">
        <w:rPr>
          <w:i/>
          <w:lang w:val="en-AU"/>
        </w:rPr>
        <w:t>CAS number</w:t>
      </w:r>
      <w:r w:rsidR="00A668C4" w:rsidRPr="00BB56A2">
        <w:rPr>
          <w:i/>
          <w:lang w:val="en-AU"/>
        </w:rPr>
        <w:t>:</w:t>
      </w:r>
      <w:r w:rsidR="00A668C4" w:rsidRPr="00BB56A2">
        <w:rPr>
          <w:lang w:val="en-AU"/>
        </w:rPr>
        <w:t xml:space="preserve">  </w:t>
      </w:r>
      <w:r w:rsidR="00DF291D" w:rsidRPr="00BB56A2">
        <w:rPr>
          <w:lang w:val="en-AU"/>
        </w:rPr>
        <w:t>1044511-01-4</w:t>
      </w:r>
    </w:p>
    <w:p w14:paraId="7C77A1D4" w14:textId="77777777" w:rsidR="001A3992" w:rsidRPr="00A668C4" w:rsidRDefault="001A3992" w:rsidP="00EE3AC8">
      <w:pPr>
        <w:pStyle w:val="Heading1"/>
        <w:rPr>
          <w:lang w:val="en-AU"/>
        </w:rPr>
      </w:pPr>
      <w:r w:rsidRPr="00A668C4">
        <w:rPr>
          <w:lang w:val="en-AU"/>
        </w:rPr>
        <w:t>Medicine schedule (Poisons Standard)</w:t>
      </w:r>
    </w:p>
    <w:p w14:paraId="47DD4D0F" w14:textId="19946CEA" w:rsidR="0041004D" w:rsidRDefault="00DF291D" w:rsidP="002D3489">
      <w:pPr>
        <w:pStyle w:val="Paragraph"/>
        <w:rPr>
          <w:lang w:val="en-AU"/>
        </w:rPr>
      </w:pPr>
      <w:r w:rsidRPr="00A668C4">
        <w:rPr>
          <w:lang w:val="en-AU"/>
        </w:rPr>
        <w:t>Prescription only medicine (Schedule 4)</w:t>
      </w:r>
    </w:p>
    <w:p w14:paraId="0FE21B35" w14:textId="77777777" w:rsidR="00285173" w:rsidRPr="00A668C4" w:rsidRDefault="001A3992" w:rsidP="00EE3AC8">
      <w:pPr>
        <w:pStyle w:val="Heading1"/>
        <w:rPr>
          <w:lang w:val="en-AU"/>
        </w:rPr>
      </w:pPr>
      <w:r w:rsidRPr="00A668C4">
        <w:rPr>
          <w:lang w:val="en-AU"/>
        </w:rPr>
        <w:t>Sponsor</w:t>
      </w:r>
    </w:p>
    <w:p w14:paraId="00452007" w14:textId="77777777" w:rsidR="0041004D" w:rsidRPr="00A668C4" w:rsidRDefault="0041004D" w:rsidP="0041004D">
      <w:pPr>
        <w:pStyle w:val="Paragraph"/>
        <w:rPr>
          <w:lang w:val="en-AU"/>
        </w:rPr>
      </w:pPr>
      <w:r w:rsidRPr="00A668C4">
        <w:rPr>
          <w:lang w:val="en-AU"/>
        </w:rPr>
        <w:t>AstraZeneca Pty Ltd</w:t>
      </w:r>
      <w:r w:rsidRPr="00A668C4">
        <w:rPr>
          <w:lang w:val="en-AU"/>
        </w:rPr>
        <w:br/>
        <w:t>ABN 54 009 682 311</w:t>
      </w:r>
      <w:r w:rsidRPr="00A668C4">
        <w:rPr>
          <w:lang w:val="en-AU"/>
        </w:rPr>
        <w:br/>
        <w:t>66 Talavera Road</w:t>
      </w:r>
      <w:r w:rsidRPr="00A668C4">
        <w:rPr>
          <w:lang w:val="en-AU"/>
        </w:rPr>
        <w:br/>
        <w:t>MACQUARIE PARK NSW 2113</w:t>
      </w:r>
    </w:p>
    <w:p w14:paraId="76EA5560" w14:textId="77777777" w:rsidR="0041004D" w:rsidRPr="00A668C4" w:rsidRDefault="0041004D" w:rsidP="0041004D">
      <w:pPr>
        <w:pStyle w:val="Paragraph"/>
        <w:rPr>
          <w:lang w:val="en-AU"/>
        </w:rPr>
      </w:pPr>
      <w:r w:rsidRPr="00A668C4">
        <w:rPr>
          <w:lang w:val="en-AU"/>
        </w:rPr>
        <w:t>Telephone: 1800 805 342</w:t>
      </w:r>
    </w:p>
    <w:p w14:paraId="16DA43DB" w14:textId="6D085ACF" w:rsidR="00285173" w:rsidRDefault="00285173" w:rsidP="00EE3AC8">
      <w:pPr>
        <w:pStyle w:val="Heading1"/>
        <w:rPr>
          <w:lang w:val="en-AU"/>
        </w:rPr>
      </w:pPr>
      <w:r w:rsidRPr="00A668C4">
        <w:rPr>
          <w:lang w:val="en-AU"/>
        </w:rPr>
        <w:t xml:space="preserve">Date of first </w:t>
      </w:r>
      <w:r w:rsidR="00795D99" w:rsidRPr="00A668C4">
        <w:rPr>
          <w:lang w:val="en-AU"/>
        </w:rPr>
        <w:t>approval</w:t>
      </w:r>
    </w:p>
    <w:p w14:paraId="7490B00E" w14:textId="77777777" w:rsidR="002D392F" w:rsidRPr="002D392F" w:rsidRDefault="002D392F" w:rsidP="002D392F">
      <w:pPr>
        <w:pStyle w:val="Paragraph"/>
        <w:rPr>
          <w:lang w:val="en-AU"/>
        </w:rPr>
      </w:pPr>
    </w:p>
    <w:p w14:paraId="0506AA65" w14:textId="6E9AED65" w:rsidR="00285173" w:rsidRDefault="00285173" w:rsidP="00EE3AC8">
      <w:pPr>
        <w:pStyle w:val="Heading1"/>
        <w:rPr>
          <w:lang w:val="en-AU"/>
        </w:rPr>
      </w:pPr>
      <w:r w:rsidRPr="00A668C4">
        <w:rPr>
          <w:lang w:val="en-AU"/>
        </w:rPr>
        <w:t>Date o</w:t>
      </w:r>
      <w:r w:rsidR="00795D99" w:rsidRPr="00A668C4">
        <w:rPr>
          <w:lang w:val="en-AU"/>
        </w:rPr>
        <w:t>f revision</w:t>
      </w:r>
    </w:p>
    <w:p w14:paraId="3AF25AAB" w14:textId="3A4A388C" w:rsidR="00BB2067" w:rsidRDefault="000153AF" w:rsidP="00BB2067">
      <w:pPr>
        <w:pStyle w:val="Paragraph"/>
      </w:pPr>
      <w:r w:rsidRPr="006145C3">
        <w:t>27</w:t>
      </w:r>
      <w:r w:rsidR="00EE6088" w:rsidRPr="006145C3">
        <w:t xml:space="preserve"> </w:t>
      </w:r>
      <w:r w:rsidR="002D392F" w:rsidRPr="006145C3">
        <w:t>March</w:t>
      </w:r>
      <w:r w:rsidR="009013C4" w:rsidRPr="006145C3">
        <w:t xml:space="preserve"> 2018</w:t>
      </w:r>
    </w:p>
    <w:p w14:paraId="7E8D2BF5" w14:textId="77777777" w:rsidR="00BB2067" w:rsidRPr="00377337" w:rsidRDefault="00BB2067" w:rsidP="00BB2067">
      <w:pPr>
        <w:pStyle w:val="Heading2Unnumbered"/>
      </w:pPr>
      <w:r w:rsidRPr="00377337">
        <w:t>Summary table of changes</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t;&lt;Please Add a Table Title Here&gt;&gt;"/>
      </w:tblPr>
      <w:tblGrid>
        <w:gridCol w:w="1129"/>
        <w:gridCol w:w="8509"/>
      </w:tblGrid>
      <w:tr w:rsidR="00BB2067" w14:paraId="5D0F0725" w14:textId="77777777" w:rsidTr="005F34E1">
        <w:trPr>
          <w:cantSplit/>
          <w:tblHeader/>
        </w:trPr>
        <w:tc>
          <w:tcPr>
            <w:tcW w:w="1129" w:type="dxa"/>
            <w:shd w:val="clear" w:color="auto" w:fill="auto"/>
          </w:tcPr>
          <w:p w14:paraId="08DC4E0B" w14:textId="77777777" w:rsidR="00BB2067" w:rsidRDefault="00BB2067" w:rsidP="005F34E1">
            <w:pPr>
              <w:pStyle w:val="TableHead"/>
              <w:jc w:val="left"/>
            </w:pPr>
            <w:r>
              <w:t>Section changed</w:t>
            </w:r>
          </w:p>
        </w:tc>
        <w:tc>
          <w:tcPr>
            <w:tcW w:w="8509" w:type="dxa"/>
            <w:shd w:val="clear" w:color="auto" w:fill="auto"/>
          </w:tcPr>
          <w:p w14:paraId="06AAAF2D" w14:textId="77777777" w:rsidR="00BB2067" w:rsidRDefault="00BB2067" w:rsidP="005F34E1">
            <w:pPr>
              <w:pStyle w:val="TableHead"/>
              <w:jc w:val="left"/>
            </w:pPr>
            <w:r>
              <w:t>Summary of new information</w:t>
            </w:r>
          </w:p>
        </w:tc>
      </w:tr>
      <w:tr w:rsidR="00BB2067" w14:paraId="2763E202" w14:textId="77777777" w:rsidTr="005F34E1">
        <w:trPr>
          <w:cantSplit/>
        </w:trPr>
        <w:tc>
          <w:tcPr>
            <w:tcW w:w="1129" w:type="dxa"/>
            <w:shd w:val="clear" w:color="auto" w:fill="auto"/>
          </w:tcPr>
          <w:p w14:paraId="24920051" w14:textId="77777777" w:rsidR="00BB2067" w:rsidRPr="00150B86" w:rsidRDefault="00BB2067" w:rsidP="005F34E1">
            <w:pPr>
              <w:pStyle w:val="TableLeft"/>
            </w:pPr>
            <w:r w:rsidRPr="00150B86">
              <w:t>N/A</w:t>
            </w:r>
          </w:p>
        </w:tc>
        <w:tc>
          <w:tcPr>
            <w:tcW w:w="8509" w:type="dxa"/>
            <w:shd w:val="clear" w:color="auto" w:fill="auto"/>
          </w:tcPr>
          <w:p w14:paraId="1022F028" w14:textId="2BCAC599" w:rsidR="00BB2067" w:rsidRDefault="00793CEF" w:rsidP="005F34E1">
            <w:pPr>
              <w:pStyle w:val="TableLeft"/>
            </w:pPr>
            <w:r w:rsidRPr="00150B86">
              <w:t>New product</w:t>
            </w:r>
          </w:p>
        </w:tc>
      </w:tr>
    </w:tbl>
    <w:p w14:paraId="3DE23866" w14:textId="77777777" w:rsidR="00BB2067" w:rsidRDefault="00BB2067" w:rsidP="00BB2067">
      <w:pPr>
        <w:pStyle w:val="Paragraph"/>
      </w:pPr>
    </w:p>
    <w:p w14:paraId="727D24C7" w14:textId="33CA3A61" w:rsidR="00DF291D" w:rsidRPr="00150B86" w:rsidRDefault="00BA7F2B" w:rsidP="00DF291D">
      <w:pPr>
        <w:pStyle w:val="Paragraph"/>
        <w:rPr>
          <w:sz w:val="20"/>
          <w:szCs w:val="20"/>
          <w:lang w:val="en-AU"/>
        </w:rPr>
      </w:pPr>
      <w:r w:rsidRPr="00150B86">
        <w:rPr>
          <w:sz w:val="20"/>
          <w:szCs w:val="20"/>
          <w:lang w:val="en-AU"/>
        </w:rPr>
        <w:t xml:space="preserve">FASENRA </w:t>
      </w:r>
      <w:r w:rsidR="00DF291D" w:rsidRPr="00150B86">
        <w:rPr>
          <w:sz w:val="20"/>
          <w:szCs w:val="20"/>
          <w:lang w:val="en-AU"/>
        </w:rPr>
        <w:t>is a registered trade mark of the AstraZeneca group of companies.</w:t>
      </w:r>
    </w:p>
    <w:p w14:paraId="7905A400" w14:textId="59F2E592" w:rsidR="00513B1A" w:rsidRPr="00150B86" w:rsidRDefault="00513B1A" w:rsidP="00513B1A">
      <w:pPr>
        <w:pStyle w:val="Paragraph"/>
        <w:rPr>
          <w:sz w:val="20"/>
          <w:szCs w:val="20"/>
          <w:lang w:val="en-AU"/>
        </w:rPr>
      </w:pPr>
      <w:r w:rsidRPr="00150B86">
        <w:rPr>
          <w:sz w:val="20"/>
          <w:szCs w:val="20"/>
          <w:vertAlign w:val="superscript"/>
          <w:lang w:val="en-AU"/>
        </w:rPr>
        <w:t>©</w:t>
      </w:r>
      <w:r w:rsidRPr="00150B86">
        <w:rPr>
          <w:sz w:val="20"/>
          <w:szCs w:val="20"/>
          <w:lang w:val="en-AU"/>
        </w:rPr>
        <w:t xml:space="preserve"> AstraZeneca, </w:t>
      </w:r>
      <w:r w:rsidR="00DF291D" w:rsidRPr="00150B86">
        <w:rPr>
          <w:sz w:val="20"/>
          <w:szCs w:val="20"/>
          <w:lang w:val="en-AU"/>
        </w:rPr>
        <w:t>2018</w:t>
      </w:r>
    </w:p>
    <w:p w14:paraId="6871922D" w14:textId="7063DD1E" w:rsidR="008A35FB" w:rsidRPr="00150B86" w:rsidRDefault="007D53D3" w:rsidP="00DF291D">
      <w:pPr>
        <w:pStyle w:val="Paragraph"/>
        <w:rPr>
          <w:sz w:val="20"/>
          <w:szCs w:val="20"/>
          <w:lang w:val="en-AU"/>
        </w:rPr>
      </w:pPr>
      <w:r>
        <w:rPr>
          <w:sz w:val="20"/>
          <w:szCs w:val="20"/>
          <w:lang w:val="en-AU"/>
        </w:rPr>
        <w:t>[</w:t>
      </w:r>
      <w:r w:rsidRPr="007D53D3">
        <w:rPr>
          <w:sz w:val="20"/>
          <w:szCs w:val="20"/>
          <w:lang w:val="en-AU"/>
        </w:rPr>
        <w:t xml:space="preserve">Doc ID-003511657 </w:t>
      </w:r>
      <w:r>
        <w:rPr>
          <w:sz w:val="20"/>
          <w:szCs w:val="20"/>
          <w:lang w:val="en-AU"/>
        </w:rPr>
        <w:t xml:space="preserve">v5 – clean version of </w:t>
      </w:r>
      <w:r w:rsidR="00BA7F2B" w:rsidRPr="009013C4">
        <w:rPr>
          <w:sz w:val="20"/>
          <w:szCs w:val="20"/>
          <w:lang w:val="en-AU"/>
        </w:rPr>
        <w:t xml:space="preserve">Doc ID-003301001 </w:t>
      </w:r>
      <w:r w:rsidR="00F25E26" w:rsidRPr="009013C4">
        <w:rPr>
          <w:sz w:val="20"/>
          <w:szCs w:val="20"/>
          <w:lang w:val="en-AU"/>
        </w:rPr>
        <w:t>v</w:t>
      </w:r>
      <w:r w:rsidR="00EE6088">
        <w:rPr>
          <w:sz w:val="20"/>
          <w:szCs w:val="20"/>
          <w:lang w:val="en-AU"/>
        </w:rPr>
        <w:t>7</w:t>
      </w:r>
      <w:r w:rsidR="00BA7F2B" w:rsidRPr="009013C4">
        <w:rPr>
          <w:sz w:val="20"/>
          <w:szCs w:val="20"/>
        </w:rPr>
        <w:t>]</w:t>
      </w:r>
    </w:p>
    <w:sectPr w:rsidR="008A35FB" w:rsidRPr="00150B86" w:rsidSect="0080644B">
      <w:headerReference w:type="default" r:id="rId23"/>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51885" w14:textId="77777777" w:rsidR="00A35150" w:rsidRDefault="00A35150" w:rsidP="001A3992">
      <w:pPr>
        <w:spacing w:after="0" w:line="240" w:lineRule="auto"/>
      </w:pPr>
      <w:r>
        <w:separator/>
      </w:r>
    </w:p>
  </w:endnote>
  <w:endnote w:type="continuationSeparator" w:id="0">
    <w:p w14:paraId="29759CFE" w14:textId="77777777" w:rsidR="00A35150" w:rsidRDefault="00A35150" w:rsidP="001A3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8CADF" w14:textId="0E665BA5" w:rsidR="00F334F6" w:rsidRDefault="00F334F6" w:rsidP="00C85696">
    <w:pPr>
      <w:pStyle w:val="Footer"/>
      <w:jc w:val="center"/>
    </w:pPr>
    <w:r w:rsidRPr="00136256">
      <w:fldChar w:fldCharType="begin"/>
    </w:r>
    <w:r w:rsidRPr="00136256">
      <w:instrText xml:space="preserve"> PAGE </w:instrText>
    </w:r>
    <w:r w:rsidRPr="00136256">
      <w:fldChar w:fldCharType="separate"/>
    </w:r>
    <w:r w:rsidR="00691F3F">
      <w:rPr>
        <w:noProof/>
      </w:rPr>
      <w:t>1</w:t>
    </w:r>
    <w:r w:rsidRPr="00136256">
      <w:fldChar w:fldCharType="end"/>
    </w:r>
    <w:r w:rsidRPr="00136256">
      <w:t xml:space="preserve"> </w:t>
    </w:r>
    <w:r>
      <w:t xml:space="preserve">of </w:t>
    </w:r>
    <w:r>
      <w:fldChar w:fldCharType="begin"/>
    </w:r>
    <w:r>
      <w:instrText xml:space="preserve"> NUMPAGES </w:instrText>
    </w:r>
    <w:r>
      <w:fldChar w:fldCharType="separate"/>
    </w:r>
    <w:r w:rsidR="00691F3F">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AC95E" w14:textId="77777777" w:rsidR="00A35150" w:rsidRDefault="00A35150" w:rsidP="001A3992">
      <w:pPr>
        <w:spacing w:after="0" w:line="240" w:lineRule="auto"/>
      </w:pPr>
      <w:r>
        <w:separator/>
      </w:r>
    </w:p>
  </w:footnote>
  <w:footnote w:type="continuationSeparator" w:id="0">
    <w:p w14:paraId="62559679" w14:textId="77777777" w:rsidR="00A35150" w:rsidRDefault="00A35150" w:rsidP="001A3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E4F2E0"/>
      <w:tblLook w:val="04A0" w:firstRow="1" w:lastRow="0" w:firstColumn="1" w:lastColumn="0" w:noHBand="0" w:noVBand="1"/>
    </w:tblPr>
    <w:tblGrid>
      <w:gridCol w:w="8720"/>
    </w:tblGrid>
    <w:tr w:rsidR="00691F3F" w:rsidRPr="002E7F61" w14:paraId="1866160E" w14:textId="77777777" w:rsidTr="00A84B16">
      <w:trPr>
        <w:trHeight w:val="590"/>
      </w:trPr>
      <w:tc>
        <w:tcPr>
          <w:tcW w:w="8720" w:type="dxa"/>
          <w:shd w:val="clear" w:color="auto" w:fill="E4F2E0"/>
        </w:tcPr>
        <w:p w14:paraId="2654A5B7" w14:textId="77777777" w:rsidR="00691F3F" w:rsidRPr="002E7F61" w:rsidRDefault="00691F3F" w:rsidP="00A84B16">
          <w:pPr>
            <w:pStyle w:val="Footer"/>
            <w:rPr>
              <w:b/>
              <w:sz w:val="18"/>
              <w:szCs w:val="18"/>
            </w:rPr>
          </w:pPr>
          <w:r w:rsidRPr="002E7F61">
            <w:rPr>
              <w:b/>
              <w:sz w:val="18"/>
              <w:szCs w:val="18"/>
            </w:rPr>
            <w:t xml:space="preserve">Attachment 1: Product information </w:t>
          </w:r>
          <w:r w:rsidRPr="00544D11">
            <w:rPr>
              <w:b/>
              <w:sz w:val="18"/>
              <w:szCs w:val="18"/>
            </w:rPr>
            <w:t xml:space="preserve">AusPAR FASENRA - </w:t>
          </w:r>
          <w:proofErr w:type="spellStart"/>
          <w:r w:rsidRPr="00544D11">
            <w:rPr>
              <w:b/>
              <w:sz w:val="18"/>
              <w:szCs w:val="18"/>
            </w:rPr>
            <w:t>Benralizumab</w:t>
          </w:r>
          <w:proofErr w:type="spellEnd"/>
          <w:r w:rsidRPr="00544D11">
            <w:rPr>
              <w:b/>
              <w:sz w:val="18"/>
              <w:szCs w:val="18"/>
            </w:rPr>
            <w:t xml:space="preserve"> - AstraZeneca Pty Ltd - PM-2016-04636-1-5 - FINAL 21 February 2019</w:t>
          </w:r>
          <w:r>
            <w:rPr>
              <w:b/>
              <w:sz w:val="18"/>
              <w:szCs w:val="18"/>
            </w:rPr>
            <w:t xml:space="preserve">. </w:t>
          </w:r>
          <w:r w:rsidRPr="00FF2AA4">
            <w:rPr>
              <w:b/>
              <w:sz w:val="18"/>
              <w:szCs w:val="18"/>
            </w:rPr>
            <w:t>This is the Product Information that was approved with the submission described in this AusPAR. It may have been superseded. For the most recent PI, please refer to the TGA website at &lt;</w:t>
          </w:r>
          <w:hyperlink r:id="rId1" w:history="1">
            <w:r w:rsidRPr="00FF2AA4">
              <w:rPr>
                <w:rStyle w:val="Hyperlink"/>
                <w:b/>
                <w:sz w:val="18"/>
                <w:szCs w:val="18"/>
              </w:rPr>
              <w:t>https://www.tga.gov.au/product-information-pi</w:t>
            </w:r>
          </w:hyperlink>
          <w:r w:rsidRPr="00FF2AA4">
            <w:rPr>
              <w:b/>
              <w:sz w:val="18"/>
              <w:szCs w:val="18"/>
              <w:u w:val="single"/>
            </w:rPr>
            <w:t>&gt;</w:t>
          </w:r>
        </w:p>
      </w:tc>
    </w:tr>
  </w:tbl>
  <w:p w14:paraId="7221DE65" w14:textId="4778DB51" w:rsidR="00691F3F" w:rsidRDefault="00691F3F">
    <w:pPr>
      <w:pStyle w:val="Header"/>
    </w:pPr>
  </w:p>
  <w:p w14:paraId="6CD75919" w14:textId="77777777" w:rsidR="00691F3F" w:rsidRDefault="00691F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3F3E"/>
    <w:multiLevelType w:val="hybridMultilevel"/>
    <w:tmpl w:val="5AB64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2">
    <w:nsid w:val="062556DB"/>
    <w:multiLevelType w:val="multilevel"/>
    <w:tmpl w:val="C6DA3D6A"/>
    <w:name w:val="ListNumber"/>
    <w:lvl w:ilvl="0">
      <w:start w:val="1"/>
      <w:numFmt w:val="decimal"/>
      <w:pStyle w:val="ListNumber"/>
      <w:lvlText w:val="%1"/>
      <w:lvlJc w:val="left"/>
      <w:pPr>
        <w:ind w:left="425" w:hanging="425"/>
      </w:pPr>
      <w:rPr>
        <w:rFonts w:hint="default"/>
        <w:b w:val="0"/>
        <w:i w:val="0"/>
        <w:caps w:val="0"/>
        <w:sz w:val="24"/>
        <w:u w:val="none"/>
        <w:vertAlign w:val="baseline"/>
      </w:rPr>
    </w:lvl>
    <w:lvl w:ilvl="1">
      <w:start w:val="1"/>
      <w:numFmt w:val="lowerLetter"/>
      <w:pStyle w:val="ListNumber2"/>
      <w:lvlText w:val="(%2)"/>
      <w:lvlJc w:val="left"/>
      <w:pPr>
        <w:ind w:left="850" w:hanging="425"/>
      </w:pPr>
      <w:rPr>
        <w:rFonts w:ascii="Times New Roman" w:hAnsi="Times New Roman" w:hint="default"/>
      </w:rPr>
    </w:lvl>
    <w:lvl w:ilvl="2">
      <w:start w:val="1"/>
      <w:numFmt w:val="lowerRoman"/>
      <w:pStyle w:val="ListNumber3"/>
      <w:lvlText w:val="(%3)"/>
      <w:lvlJc w:val="left"/>
      <w:pPr>
        <w:ind w:left="1275" w:hanging="425"/>
      </w:pPr>
      <w:rPr>
        <w:rFonts w:ascii="Times New Roman" w:hAnsi="Times New Roman"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3">
    <w:nsid w:val="0B7660B4"/>
    <w:multiLevelType w:val="hybridMultilevel"/>
    <w:tmpl w:val="87043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hint="default"/>
        <w:b w:val="0"/>
        <w:i w:val="0"/>
        <w:caps w:val="0"/>
        <w:sz w:val="20"/>
        <w:u w:val="none"/>
        <w:vertAlign w:val="superscript"/>
      </w:rPr>
    </w:lvl>
    <w:lvl w:ilvl="1">
      <w:start w:val="1"/>
      <w:numFmt w:val="none"/>
      <w:lvlText w:val=""/>
      <w:lvlJc w:val="left"/>
      <w:pPr>
        <w:tabs>
          <w:tab w:val="num" w:pos="1134"/>
        </w:tabs>
        <w:ind w:left="425" w:hanging="425"/>
      </w:pPr>
      <w:rPr>
        <w:rFonts w:hint="default"/>
      </w:rPr>
    </w:lvl>
    <w:lvl w:ilvl="2">
      <w:start w:val="1"/>
      <w:numFmt w:val="none"/>
      <w:lvlText w:val=""/>
      <w:lvlJc w:val="left"/>
      <w:pPr>
        <w:tabs>
          <w:tab w:val="num" w:pos="1134"/>
        </w:tabs>
        <w:ind w:left="425" w:hanging="425"/>
      </w:pPr>
      <w:rPr>
        <w:rFonts w:hint="default"/>
      </w:rPr>
    </w:lvl>
    <w:lvl w:ilvl="3">
      <w:start w:val="1"/>
      <w:numFmt w:val="none"/>
      <w:lvlText w:val=""/>
      <w:lvlJc w:val="left"/>
      <w:pPr>
        <w:tabs>
          <w:tab w:val="num" w:pos="1134"/>
        </w:tabs>
        <w:ind w:left="425" w:hanging="425"/>
      </w:pPr>
      <w:rPr>
        <w:rFonts w:hint="default"/>
      </w:rPr>
    </w:lvl>
    <w:lvl w:ilvl="4">
      <w:start w:val="1"/>
      <w:numFmt w:val="none"/>
      <w:lvlText w:val=""/>
      <w:lvlJc w:val="left"/>
      <w:pPr>
        <w:tabs>
          <w:tab w:val="num" w:pos="1134"/>
        </w:tabs>
        <w:ind w:left="425" w:hanging="425"/>
      </w:pPr>
      <w:rPr>
        <w:rFonts w:hint="default"/>
      </w:rPr>
    </w:lvl>
    <w:lvl w:ilvl="5">
      <w:start w:val="1"/>
      <w:numFmt w:val="none"/>
      <w:lvlText w:val=""/>
      <w:lvlJc w:val="left"/>
      <w:pPr>
        <w:tabs>
          <w:tab w:val="num" w:pos="1134"/>
        </w:tabs>
        <w:ind w:left="425" w:hanging="425"/>
      </w:pPr>
      <w:rPr>
        <w:rFonts w:hint="default"/>
      </w:rPr>
    </w:lvl>
    <w:lvl w:ilvl="6">
      <w:start w:val="1"/>
      <w:numFmt w:val="none"/>
      <w:lvlText w:val=""/>
      <w:lvlJc w:val="left"/>
      <w:pPr>
        <w:tabs>
          <w:tab w:val="num" w:pos="1134"/>
        </w:tabs>
        <w:ind w:left="425" w:hanging="425"/>
      </w:pPr>
      <w:rPr>
        <w:rFonts w:hint="default"/>
      </w:rPr>
    </w:lvl>
    <w:lvl w:ilvl="7">
      <w:start w:val="1"/>
      <w:numFmt w:val="none"/>
      <w:lvlText w:val=""/>
      <w:lvlJc w:val="left"/>
      <w:pPr>
        <w:tabs>
          <w:tab w:val="num" w:pos="1134"/>
        </w:tabs>
        <w:ind w:left="425" w:hanging="425"/>
      </w:pPr>
      <w:rPr>
        <w:rFonts w:hint="default"/>
      </w:rPr>
    </w:lvl>
    <w:lvl w:ilvl="8">
      <w:start w:val="1"/>
      <w:numFmt w:val="none"/>
      <w:lvlRestart w:val="1"/>
      <w:lvlText w:val=""/>
      <w:lvlJc w:val="left"/>
      <w:pPr>
        <w:tabs>
          <w:tab w:val="num" w:pos="1134"/>
        </w:tabs>
        <w:ind w:left="425" w:hanging="425"/>
      </w:pPr>
      <w:rPr>
        <w:rFonts w:hint="default"/>
      </w:rPr>
    </w:lvl>
  </w:abstractNum>
  <w:abstractNum w:abstractNumId="5">
    <w:nsid w:val="12A441C1"/>
    <w:multiLevelType w:val="singleLevel"/>
    <w:tmpl w:val="1FA422F0"/>
    <w:lvl w:ilvl="0">
      <w:start w:val="1"/>
      <w:numFmt w:val="bullet"/>
      <w:pStyle w:val="ListHyphen"/>
      <w:lvlText w:val="-"/>
      <w:lvlJc w:val="left"/>
      <w:pPr>
        <w:tabs>
          <w:tab w:val="num" w:pos="720"/>
        </w:tabs>
        <w:ind w:left="720" w:hanging="360"/>
      </w:pPr>
      <w:rPr>
        <w:rFonts w:ascii="Times New Roman" w:hAnsi="Times New Roman" w:cs="Times New Roman"/>
        <w:b w:val="0"/>
        <w:i w:val="0"/>
        <w:caps w:val="0"/>
        <w:sz w:val="24"/>
        <w:u w:val="none"/>
        <w:vertAlign w:val="baseline"/>
      </w:rPr>
    </w:lvl>
  </w:abstractNum>
  <w:abstractNum w:abstractNumId="6">
    <w:nsid w:val="15AE6FEE"/>
    <w:multiLevelType w:val="multilevel"/>
    <w:tmpl w:val="01940AA0"/>
    <w:name w:val="ListBulletSmall1"/>
    <w:lvl w:ilvl="0">
      <w:start w:val="1"/>
      <w:numFmt w:val="bullet"/>
      <w:pStyle w:val="ListBulletSmall"/>
      <w:lvlText w:val="•"/>
      <w:lvlJc w:val="left"/>
      <w:pPr>
        <w:ind w:left="425" w:hanging="425"/>
      </w:pPr>
      <w:rPr>
        <w:rFonts w:ascii="Times New Roman" w:hAnsi="Times New Roman" w:cs="Times New Roman" w:hint="default"/>
        <w:b w:val="0"/>
        <w:i w:val="0"/>
        <w:caps w:val="0"/>
        <w:sz w:val="20"/>
        <w:u w:val="none"/>
        <w:vertAlign w:val="baseline"/>
      </w:rPr>
    </w:lvl>
    <w:lvl w:ilvl="1">
      <w:start w:val="1"/>
      <w:numFmt w:val="bullet"/>
      <w:pStyle w:val="ListBulletSmall2"/>
      <w:lvlText w:val=""/>
      <w:lvlJc w:val="left"/>
      <w:pPr>
        <w:ind w:left="850" w:hanging="425"/>
      </w:pPr>
      <w:rPr>
        <w:rFonts w:ascii="Symbol" w:hAnsi="Symbol" w:hint="default"/>
      </w:rPr>
    </w:lvl>
    <w:lvl w:ilvl="2">
      <w:start w:val="1"/>
      <w:numFmt w:val="none"/>
      <w:lvlText w:val=""/>
      <w:lvlJc w:val="left"/>
      <w:pPr>
        <w:ind w:left="1275" w:hanging="425"/>
      </w:pPr>
      <w:rPr>
        <w:rFonts w:hint="default"/>
      </w:rPr>
    </w:lvl>
    <w:lvl w:ilvl="3">
      <w:start w:val="1"/>
      <w:numFmt w:val="none"/>
      <w:lvlText w:val=""/>
      <w:lvlJc w:val="left"/>
      <w:pPr>
        <w:ind w:left="1700" w:hanging="425"/>
      </w:pPr>
      <w:rPr>
        <w:rFonts w:hint="default"/>
      </w:rPr>
    </w:lvl>
    <w:lvl w:ilvl="4">
      <w:start w:val="1"/>
      <w:numFmt w:val="bullet"/>
      <w:lvlText w:val="o"/>
      <w:lvlJc w:val="left"/>
      <w:pPr>
        <w:tabs>
          <w:tab w:val="num" w:pos="2060"/>
        </w:tabs>
        <w:ind w:left="2125" w:hanging="425"/>
      </w:pPr>
      <w:rPr>
        <w:rFonts w:ascii="Courier New" w:hAnsi="Courier New" w:cs="Courier New" w:hint="default"/>
      </w:rPr>
    </w:lvl>
    <w:lvl w:ilvl="5">
      <w:start w:val="1"/>
      <w:numFmt w:val="bullet"/>
      <w:lvlText w:val=""/>
      <w:lvlJc w:val="left"/>
      <w:pPr>
        <w:tabs>
          <w:tab w:val="num" w:pos="2485"/>
        </w:tabs>
        <w:ind w:left="2550" w:hanging="425"/>
      </w:pPr>
      <w:rPr>
        <w:rFonts w:ascii="Wingdings" w:hAnsi="Wingdings" w:hint="default"/>
      </w:rPr>
    </w:lvl>
    <w:lvl w:ilvl="6">
      <w:start w:val="1"/>
      <w:numFmt w:val="bullet"/>
      <w:lvlText w:val=""/>
      <w:lvlJc w:val="left"/>
      <w:pPr>
        <w:tabs>
          <w:tab w:val="num" w:pos="2910"/>
        </w:tabs>
        <w:ind w:left="2975" w:hanging="425"/>
      </w:pPr>
      <w:rPr>
        <w:rFonts w:ascii="Symbol" w:hAnsi="Symbol" w:hint="default"/>
      </w:rPr>
    </w:lvl>
    <w:lvl w:ilvl="7">
      <w:start w:val="1"/>
      <w:numFmt w:val="bullet"/>
      <w:lvlText w:val="o"/>
      <w:lvlJc w:val="left"/>
      <w:pPr>
        <w:tabs>
          <w:tab w:val="num" w:pos="3335"/>
        </w:tabs>
        <w:ind w:left="3400" w:hanging="425"/>
      </w:pPr>
      <w:rPr>
        <w:rFonts w:ascii="Courier New" w:hAnsi="Courier New" w:cs="Courier New" w:hint="default"/>
      </w:rPr>
    </w:lvl>
    <w:lvl w:ilvl="8">
      <w:start w:val="1"/>
      <w:numFmt w:val="bullet"/>
      <w:lvlText w:val=""/>
      <w:lvlJc w:val="left"/>
      <w:pPr>
        <w:tabs>
          <w:tab w:val="num" w:pos="3760"/>
        </w:tabs>
        <w:ind w:left="3825" w:hanging="425"/>
      </w:pPr>
      <w:rPr>
        <w:rFonts w:ascii="Wingdings" w:hAnsi="Wingdings" w:hint="default"/>
      </w:rPr>
    </w:lvl>
  </w:abstractNum>
  <w:abstractNum w:abstractNumId="7">
    <w:nsid w:val="1B467E29"/>
    <w:multiLevelType w:val="hybridMultilevel"/>
    <w:tmpl w:val="2BC0F48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4435439"/>
    <w:multiLevelType w:val="hybridMultilevel"/>
    <w:tmpl w:val="D23A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A72716"/>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2F045B79"/>
    <w:multiLevelType w:val="singleLevel"/>
    <w:tmpl w:val="443ADFB8"/>
    <w:lvl w:ilvl="0">
      <w:start w:val="1"/>
      <w:numFmt w:val="lowerRoman"/>
      <w:lvlText w:val="%1."/>
      <w:lvlJc w:val="left"/>
      <w:pPr>
        <w:tabs>
          <w:tab w:val="num" w:pos="1080"/>
        </w:tabs>
        <w:ind w:left="1080" w:hanging="360"/>
      </w:pPr>
      <w:rPr>
        <w:rFonts w:ascii="Times New Roman" w:hAnsi="Times New Roman" w:cs="Times New Roman"/>
        <w:b w:val="0"/>
        <w:i w:val="0"/>
        <w:caps w:val="0"/>
        <w:sz w:val="24"/>
        <w:u w:val="none"/>
        <w:vertAlign w:val="baseline"/>
      </w:rPr>
    </w:lvl>
  </w:abstractNum>
  <w:abstractNum w:abstractNumId="11">
    <w:nsid w:val="32913332"/>
    <w:multiLevelType w:val="multilevel"/>
    <w:tmpl w:val="969A274A"/>
    <w:name w:val="HousestyleHeadings"/>
    <w:lvl w:ilvl="0">
      <w:start w:val="1"/>
      <w:numFmt w:val="decimal"/>
      <w:pStyle w:val="Heading1"/>
      <w:lvlText w:val="%1"/>
      <w:lvlJc w:val="left"/>
      <w:pPr>
        <w:tabs>
          <w:tab w:val="num" w:pos="1134"/>
        </w:tabs>
        <w:ind w:left="1134" w:hanging="1134"/>
      </w:pPr>
      <w:rPr>
        <w:rFonts w:ascii="Times New Roman" w:hAnsi="Times New Roman" w:hint="default"/>
      </w:rPr>
    </w:lvl>
    <w:lvl w:ilvl="1">
      <w:start w:val="1"/>
      <w:numFmt w:val="decimal"/>
      <w:pStyle w:val="Heading2"/>
      <w:lvlText w:val="%1.%2"/>
      <w:lvlJc w:val="left"/>
      <w:pPr>
        <w:tabs>
          <w:tab w:val="num" w:pos="1134"/>
        </w:tabs>
        <w:ind w:left="1134" w:hanging="1134"/>
      </w:pPr>
      <w:rPr>
        <w:rFonts w:ascii="Times New Roman" w:hAnsi="Times New Roman" w:hint="default"/>
      </w:rPr>
    </w:lvl>
    <w:lvl w:ilvl="2">
      <w:start w:val="1"/>
      <w:numFmt w:val="decimal"/>
      <w:pStyle w:val="Heading3"/>
      <w:lvlText w:val="%1.%2.%3"/>
      <w:lvlJc w:val="left"/>
      <w:pPr>
        <w:tabs>
          <w:tab w:val="num" w:pos="1134"/>
        </w:tabs>
        <w:ind w:left="1134" w:hanging="1134"/>
      </w:pPr>
      <w:rPr>
        <w:rFonts w:ascii="Times New Roman" w:hAnsi="Times New Roman" w:hint="default"/>
      </w:rPr>
    </w:lvl>
    <w:lvl w:ilvl="3">
      <w:start w:val="1"/>
      <w:numFmt w:val="decimal"/>
      <w:pStyle w:val="Heading4"/>
      <w:lvlText w:val="%1.%2.%3.%4"/>
      <w:lvlJc w:val="left"/>
      <w:pPr>
        <w:tabs>
          <w:tab w:val="num" w:pos="1134"/>
        </w:tabs>
        <w:ind w:left="1134" w:hanging="1134"/>
      </w:pPr>
      <w:rPr>
        <w:rFonts w:ascii="Times New Roman" w:hAnsi="Times New Roman" w:hint="default"/>
      </w:rPr>
    </w:lvl>
    <w:lvl w:ilvl="4">
      <w:start w:val="1"/>
      <w:numFmt w:val="decimal"/>
      <w:pStyle w:val="Heading5"/>
      <w:lvlText w:val="%1.%2.%3.%4.%5"/>
      <w:lvlJc w:val="left"/>
      <w:pPr>
        <w:tabs>
          <w:tab w:val="num" w:pos="1134"/>
        </w:tabs>
        <w:ind w:left="1134" w:hanging="1134"/>
      </w:pPr>
      <w:rPr>
        <w:rFonts w:ascii="Times New Roman" w:hAnsi="Times New Roman" w:hint="default"/>
      </w:rPr>
    </w:lvl>
    <w:lvl w:ilvl="5">
      <w:start w:val="1"/>
      <w:numFmt w:val="decimal"/>
      <w:pStyle w:val="Heading6"/>
      <w:lvlText w:val="%1.%2.%3.%4.%5.%6"/>
      <w:lvlJc w:val="left"/>
      <w:pPr>
        <w:tabs>
          <w:tab w:val="num" w:pos="1134"/>
        </w:tabs>
        <w:ind w:left="1134" w:hanging="1134"/>
      </w:pPr>
      <w:rPr>
        <w:rFonts w:ascii="Times New Roman" w:hAnsi="Times New Roman" w:hint="default"/>
      </w:rPr>
    </w:lvl>
    <w:lvl w:ilvl="6">
      <w:start w:val="1"/>
      <w:numFmt w:val="decimal"/>
      <w:pStyle w:val="Heading7"/>
      <w:lvlText w:val="%1.%2.%3.%4.%5.%6.%7"/>
      <w:lvlJc w:val="left"/>
      <w:pPr>
        <w:tabs>
          <w:tab w:val="num" w:pos="1134"/>
        </w:tabs>
        <w:ind w:left="1134" w:hanging="1134"/>
      </w:pPr>
      <w:rPr>
        <w:rFonts w:ascii="Times New Roman" w:hAnsi="Times New Roman" w:hint="default"/>
      </w:rPr>
    </w:lvl>
    <w:lvl w:ilvl="7">
      <w:start w:val="1"/>
      <w:numFmt w:val="decimal"/>
      <w:pStyle w:val="Heading8"/>
      <w:lvlText w:val="%1.%2.%3.%4.%5.%6.%7.%8"/>
      <w:lvlJc w:val="left"/>
      <w:pPr>
        <w:tabs>
          <w:tab w:val="num" w:pos="1134"/>
        </w:tabs>
        <w:ind w:left="1134" w:hanging="1134"/>
      </w:pPr>
      <w:rPr>
        <w:rFonts w:ascii="Times New Roman" w:hAnsi="Times New Roman" w:hint="default"/>
      </w:rPr>
    </w:lvl>
    <w:lvl w:ilvl="8">
      <w:start w:val="1"/>
      <w:numFmt w:val="none"/>
      <w:pStyle w:val="Heading9"/>
      <w:suff w:val="nothing"/>
      <w:lvlText w:val=""/>
      <w:lvlJc w:val="left"/>
      <w:pPr>
        <w:ind w:left="0" w:firstLine="0"/>
      </w:pPr>
      <w:rPr>
        <w:rFonts w:hint="default"/>
      </w:rPr>
    </w:lvl>
  </w:abstractNum>
  <w:abstractNum w:abstractNumId="12">
    <w:nsid w:val="3A36784A"/>
    <w:multiLevelType w:val="singleLevel"/>
    <w:tmpl w:val="D9588840"/>
    <w:lvl w:ilvl="0">
      <w:start w:val="1"/>
      <w:numFmt w:val="decimal"/>
      <w:lvlText w:val="%1."/>
      <w:lvlJc w:val="left"/>
      <w:pPr>
        <w:tabs>
          <w:tab w:val="num" w:pos="360"/>
        </w:tabs>
        <w:ind w:left="360" w:hanging="360"/>
      </w:pPr>
      <w:rPr>
        <w:rFonts w:ascii="Times New Roman" w:hAnsi="Times New Roman" w:cs="Times New Roman"/>
        <w:b w:val="0"/>
        <w:i w:val="0"/>
        <w:caps w:val="0"/>
        <w:sz w:val="24"/>
        <w:u w:val="none"/>
        <w:vertAlign w:val="baseline"/>
      </w:rPr>
    </w:lvl>
  </w:abstractNum>
  <w:abstractNum w:abstractNumId="13">
    <w:nsid w:val="3A9E7E4D"/>
    <w:multiLevelType w:val="multilevel"/>
    <w:tmpl w:val="3C1EDB96"/>
    <w:name w:val="Appendix Alpha"/>
    <w:lvl w:ilvl="0">
      <w:start w:val="1"/>
      <w:numFmt w:val="upperLetter"/>
      <w:pStyle w:val="AppendixAlpha"/>
      <w:lvlText w:val="Appendix %1"/>
      <w:lvlJc w:val="left"/>
      <w:pPr>
        <w:tabs>
          <w:tab w:val="num" w:pos="1701"/>
        </w:tabs>
        <w:ind w:left="1701" w:hanging="1701"/>
      </w:pPr>
      <w:rPr>
        <w:rFonts w:ascii="Times New Roman Bold" w:hAnsi="Times New Roman Bold" w:cs="Times New Roman" w:hint="default"/>
        <w:b/>
        <w:i w:val="0"/>
        <w:caps w:val="0"/>
        <w:sz w:val="28"/>
        <w:u w:val="none"/>
        <w:vertAlign w:val="baseline"/>
      </w:rPr>
    </w:lvl>
    <w:lvl w:ilvl="1">
      <w:start w:val="1"/>
      <w:numFmt w:val="decimal"/>
      <w:pStyle w:val="AppendixAlphaSub1"/>
      <w:lvlText w:val="%1 %2"/>
      <w:lvlJc w:val="left"/>
      <w:pPr>
        <w:tabs>
          <w:tab w:val="num" w:pos="1134"/>
        </w:tabs>
        <w:ind w:left="1134" w:hanging="1134"/>
      </w:pPr>
      <w:rPr>
        <w:rFonts w:ascii="Times New Roman Bold" w:hAnsi="Times New Roman Bold" w:hint="default"/>
        <w:b/>
        <w:i w:val="0"/>
        <w:sz w:val="26"/>
      </w:rPr>
    </w:lvl>
    <w:lvl w:ilvl="2">
      <w:start w:val="1"/>
      <w:numFmt w:val="decimal"/>
      <w:pStyle w:val="AppendixAlphaSub2"/>
      <w:lvlText w:val="%1 %2.%3"/>
      <w:lvlJc w:val="left"/>
      <w:pPr>
        <w:tabs>
          <w:tab w:val="num" w:pos="1134"/>
        </w:tabs>
        <w:ind w:left="1134" w:hanging="1134"/>
      </w:pPr>
      <w:rPr>
        <w:rFonts w:ascii="Times New Roman Bold" w:hAnsi="Times New Roman Bold" w:hint="default"/>
        <w:b/>
        <w:i w:val="0"/>
        <w:sz w:val="24"/>
      </w:rPr>
    </w:lvl>
    <w:lvl w:ilvl="3">
      <w:start w:val="1"/>
      <w:numFmt w:val="decimal"/>
      <w:pStyle w:val="AppendixAlphaSub3"/>
      <w:lvlText w:val="%1 %2.%3.%4"/>
      <w:lvlJc w:val="left"/>
      <w:pPr>
        <w:tabs>
          <w:tab w:val="num" w:pos="1134"/>
        </w:tabs>
        <w:ind w:left="1134" w:hanging="1134"/>
      </w:pPr>
      <w:rPr>
        <w:rFonts w:ascii="Times New Roman Bold" w:hAnsi="Times New Roman Bold" w:hint="default"/>
        <w:b/>
        <w:i w:val="0"/>
        <w:sz w:val="24"/>
      </w:rPr>
    </w:lvl>
    <w:lvl w:ilvl="4">
      <w:start w:val="1"/>
      <w:numFmt w:val="decimal"/>
      <w:pStyle w:val="AppendixAlphaSub4"/>
      <w:lvlText w:val="%1 %2.%3.%4.%5"/>
      <w:lvlJc w:val="left"/>
      <w:pPr>
        <w:tabs>
          <w:tab w:val="num" w:pos="1134"/>
        </w:tabs>
        <w:ind w:left="1134" w:hanging="1134"/>
      </w:pPr>
      <w:rPr>
        <w:rFonts w:ascii="Times New Roman Bold" w:hAnsi="Times New Roman Bold" w:hint="default"/>
        <w:b/>
        <w:i/>
        <w:sz w:val="24"/>
      </w:rPr>
    </w:lvl>
    <w:lvl w:ilvl="5">
      <w:start w:val="1"/>
      <w:numFmt w:val="none"/>
      <w:lvlText w:val=""/>
      <w:lvlJc w:val="left"/>
      <w:pPr>
        <w:tabs>
          <w:tab w:val="num" w:pos="1985"/>
        </w:tabs>
        <w:ind w:left="992" w:hanging="992"/>
      </w:pPr>
      <w:rPr>
        <w:rFonts w:hint="default"/>
      </w:rPr>
    </w:lvl>
    <w:lvl w:ilvl="6">
      <w:start w:val="1"/>
      <w:numFmt w:val="none"/>
      <w:lvlText w:val=""/>
      <w:lvlJc w:val="left"/>
      <w:pPr>
        <w:tabs>
          <w:tab w:val="num" w:pos="1985"/>
        </w:tabs>
        <w:ind w:left="992" w:hanging="992"/>
      </w:pPr>
      <w:rPr>
        <w:rFonts w:hint="default"/>
      </w:rPr>
    </w:lvl>
    <w:lvl w:ilvl="7">
      <w:start w:val="1"/>
      <w:numFmt w:val="none"/>
      <w:lvlText w:val=""/>
      <w:lvlJc w:val="left"/>
      <w:pPr>
        <w:tabs>
          <w:tab w:val="num" w:pos="1985"/>
        </w:tabs>
        <w:ind w:left="992" w:hanging="992"/>
      </w:pPr>
      <w:rPr>
        <w:rFonts w:hint="default"/>
      </w:rPr>
    </w:lvl>
    <w:lvl w:ilvl="8">
      <w:start w:val="1"/>
      <w:numFmt w:val="none"/>
      <w:lvlText w:val=""/>
      <w:lvlJc w:val="left"/>
      <w:pPr>
        <w:tabs>
          <w:tab w:val="num" w:pos="1985"/>
        </w:tabs>
        <w:ind w:left="992" w:hanging="992"/>
      </w:pPr>
      <w:rPr>
        <w:rFonts w:hint="default"/>
      </w:rPr>
    </w:lvl>
  </w:abstractNum>
  <w:abstractNum w:abstractNumId="14">
    <w:nsid w:val="3FC360AE"/>
    <w:multiLevelType w:val="multilevel"/>
    <w:tmpl w:val="A1E207FA"/>
    <w:lvl w:ilvl="0">
      <w:start w:val="1"/>
      <w:numFmt w:val="lowerLetter"/>
      <w:lvlText w:val="%1"/>
      <w:lvlJc w:val="left"/>
      <w:pPr>
        <w:tabs>
          <w:tab w:val="num" w:pos="360"/>
        </w:tabs>
        <w:ind w:left="360" w:hanging="360"/>
      </w:pPr>
      <w:rPr>
        <w:rFonts w:ascii="Times New Roman" w:hAnsi="Times New Roman" w:cs="Times New Roman"/>
        <w:b w:val="0"/>
        <w:i w:val="0"/>
        <w:caps w:val="0"/>
        <w:sz w:val="20"/>
        <w:u w:val="none"/>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65C6A83"/>
    <w:multiLevelType w:val="hybridMultilevel"/>
    <w:tmpl w:val="E2B027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6E45803"/>
    <w:multiLevelType w:val="hybridMultilevel"/>
    <w:tmpl w:val="790A1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7E3142E"/>
    <w:multiLevelType w:val="singleLevel"/>
    <w:tmpl w:val="9900FDDE"/>
    <w:lvl w:ilvl="0">
      <w:start w:val="1"/>
      <w:numFmt w:val="decimal"/>
      <w:pStyle w:val="References"/>
      <w:lvlText w:val="%1."/>
      <w:lvlJc w:val="left"/>
      <w:pPr>
        <w:tabs>
          <w:tab w:val="num" w:pos="360"/>
        </w:tabs>
        <w:ind w:left="360" w:hanging="360"/>
      </w:pPr>
      <w:rPr>
        <w:rFonts w:ascii="Times New Roman" w:hAnsi="Times New Roman" w:cs="Times New Roman"/>
        <w:b w:val="0"/>
        <w:i w:val="0"/>
        <w:caps w:val="0"/>
        <w:sz w:val="24"/>
        <w:u w:val="none"/>
        <w:vertAlign w:val="baseline"/>
      </w:rPr>
    </w:lvl>
  </w:abstractNum>
  <w:abstractNum w:abstractNumId="18">
    <w:nsid w:val="556F4F4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7507084"/>
    <w:multiLevelType w:val="hybridMultilevel"/>
    <w:tmpl w:val="B9160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2BE70C3"/>
    <w:multiLevelType w:val="multilevel"/>
    <w:tmpl w:val="AD763C14"/>
    <w:name w:val="AppendixNum"/>
    <w:lvl w:ilvl="0">
      <w:start w:val="1"/>
      <w:numFmt w:val="decimal"/>
      <w:pStyle w:val="AppendixNumeric"/>
      <w:lvlText w:val="Appendix %1"/>
      <w:lvlJc w:val="left"/>
      <w:pPr>
        <w:tabs>
          <w:tab w:val="num" w:pos="1701"/>
        </w:tabs>
        <w:ind w:left="1701" w:hanging="1701"/>
      </w:pPr>
      <w:rPr>
        <w:rFonts w:ascii="Times New Roman Bold" w:hAnsi="Times New Roman Bold" w:cs="Times New Roman" w:hint="default"/>
        <w:b/>
        <w:i w:val="0"/>
        <w:caps w:val="0"/>
        <w:sz w:val="28"/>
        <w:u w:val="none"/>
        <w:vertAlign w:val="baseline"/>
      </w:rPr>
    </w:lvl>
    <w:lvl w:ilvl="1">
      <w:start w:val="1"/>
      <w:numFmt w:val="decimal"/>
      <w:lvlText w:val="App %1-%2"/>
      <w:lvlJc w:val="left"/>
      <w:pPr>
        <w:tabs>
          <w:tab w:val="num" w:pos="1134"/>
        </w:tabs>
        <w:ind w:left="1134" w:hanging="1134"/>
      </w:pPr>
      <w:rPr>
        <w:rFonts w:ascii="Times New Roman Bold" w:hAnsi="Times New Roman Bold" w:hint="default"/>
        <w:b/>
        <w:i w:val="0"/>
        <w:sz w:val="28"/>
      </w:rPr>
    </w:lvl>
    <w:lvl w:ilvl="2">
      <w:start w:val="1"/>
      <w:numFmt w:val="decimal"/>
      <w:lvlText w:val="App %1-%3.%2"/>
      <w:lvlJc w:val="left"/>
      <w:pPr>
        <w:tabs>
          <w:tab w:val="num" w:pos="1134"/>
        </w:tabs>
        <w:ind w:left="1134" w:hanging="1134"/>
      </w:pPr>
      <w:rPr>
        <w:rFonts w:ascii="Times New Roman Bold" w:hAnsi="Times New Roman Bold" w:hint="default"/>
        <w:b/>
        <w:i w:val="0"/>
        <w:sz w:val="26"/>
      </w:rPr>
    </w:lvl>
    <w:lvl w:ilvl="3">
      <w:start w:val="1"/>
      <w:numFmt w:val="decimal"/>
      <w:lvlText w:val="App %1-%2.%3.%4"/>
      <w:lvlJc w:val="left"/>
      <w:pPr>
        <w:tabs>
          <w:tab w:val="num" w:pos="1134"/>
        </w:tabs>
        <w:ind w:left="1134" w:hanging="1134"/>
      </w:pPr>
      <w:rPr>
        <w:rFonts w:ascii="Times New Roman Bold" w:hAnsi="Times New Roman Bold" w:hint="default"/>
        <w:b/>
        <w:i w:val="0"/>
        <w:sz w:val="24"/>
      </w:rPr>
    </w:lvl>
    <w:lvl w:ilvl="4">
      <w:start w:val="1"/>
      <w:numFmt w:val="decimal"/>
      <w:lvlText w:val="App %1-%2.%3.%4.%5"/>
      <w:lvlJc w:val="left"/>
      <w:pPr>
        <w:tabs>
          <w:tab w:val="num" w:pos="1134"/>
        </w:tabs>
        <w:ind w:left="1134" w:hanging="1134"/>
      </w:pPr>
      <w:rPr>
        <w:rFonts w:ascii="Times New Roman Bold" w:hAnsi="Times New Roman Bold" w:hint="default"/>
        <w:b/>
        <w:i/>
        <w:sz w:val="24"/>
      </w:rPr>
    </w:lvl>
    <w:lvl w:ilvl="5">
      <w:start w:val="1"/>
      <w:numFmt w:val="none"/>
      <w:lvlText w:val=""/>
      <w:lvlJc w:val="left"/>
      <w:pPr>
        <w:ind w:left="1985" w:hanging="1985"/>
      </w:pPr>
      <w:rPr>
        <w:rFonts w:hint="default"/>
      </w:rPr>
    </w:lvl>
    <w:lvl w:ilvl="6">
      <w:start w:val="1"/>
      <w:numFmt w:val="none"/>
      <w:lvlText w:val=""/>
      <w:lvlJc w:val="left"/>
      <w:pPr>
        <w:ind w:left="1985" w:hanging="1985"/>
      </w:pPr>
      <w:rPr>
        <w:rFonts w:hint="default"/>
      </w:rPr>
    </w:lvl>
    <w:lvl w:ilvl="7">
      <w:start w:val="1"/>
      <w:numFmt w:val="none"/>
      <w:lvlText w:val=""/>
      <w:lvlJc w:val="left"/>
      <w:pPr>
        <w:ind w:left="1985" w:hanging="1985"/>
      </w:pPr>
      <w:rPr>
        <w:rFonts w:hint="default"/>
      </w:rPr>
    </w:lvl>
    <w:lvl w:ilvl="8">
      <w:start w:val="1"/>
      <w:numFmt w:val="none"/>
      <w:lvlText w:val=""/>
      <w:lvlJc w:val="right"/>
      <w:pPr>
        <w:ind w:left="1985" w:hanging="1985"/>
      </w:pPr>
      <w:rPr>
        <w:rFonts w:hint="default"/>
      </w:rPr>
    </w:lvl>
  </w:abstractNum>
  <w:abstractNum w:abstractNumId="21">
    <w:nsid w:val="63433E96"/>
    <w:multiLevelType w:val="hybridMultilevel"/>
    <w:tmpl w:val="810E8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6D42C05"/>
    <w:multiLevelType w:val="multilevel"/>
    <w:tmpl w:val="88CA3A76"/>
    <w:lvl w:ilvl="0">
      <w:start w:val="1"/>
      <w:numFmt w:val="decimal"/>
      <w:lvlText w:val="Note %1:"/>
      <w:lvlJc w:val="left"/>
      <w:pPr>
        <w:ind w:left="1021" w:hanging="1021"/>
      </w:pPr>
      <w:rPr>
        <w:rFonts w:ascii="Cambria" w:hAnsi="Cambri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76F49FC"/>
    <w:multiLevelType w:val="hybridMultilevel"/>
    <w:tmpl w:val="76C6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0332797"/>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72613446"/>
    <w:multiLevelType w:val="hybridMultilevel"/>
    <w:tmpl w:val="D384F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311220D"/>
    <w:multiLevelType w:val="hybridMultilevel"/>
    <w:tmpl w:val="E814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4C030A5"/>
    <w:multiLevelType w:val="multilevel"/>
    <w:tmpl w:val="99C4946C"/>
    <w:name w:val="ListNumberSmall"/>
    <w:lvl w:ilvl="0">
      <w:start w:val="1"/>
      <w:numFmt w:val="decimal"/>
      <w:pStyle w:val="ListNumberSmall"/>
      <w:lvlText w:val="%1"/>
      <w:lvlJc w:val="left"/>
      <w:pPr>
        <w:tabs>
          <w:tab w:val="num" w:pos="425"/>
        </w:tabs>
        <w:ind w:left="425" w:hanging="425"/>
      </w:pPr>
      <w:rPr>
        <w:rFonts w:ascii="Times New Roman" w:hAnsi="Times New Roman" w:hint="default"/>
        <w:sz w:val="20"/>
      </w:rPr>
    </w:lvl>
    <w:lvl w:ilvl="1">
      <w:start w:val="1"/>
      <w:numFmt w:val="lowerLetter"/>
      <w:lvlText w:val="%2."/>
      <w:lvlJc w:val="left"/>
      <w:pPr>
        <w:tabs>
          <w:tab w:val="num" w:pos="851"/>
        </w:tabs>
        <w:ind w:left="851" w:hanging="426"/>
      </w:pPr>
      <w:rPr>
        <w:rFonts w:hint="default"/>
      </w:rPr>
    </w:lvl>
    <w:lvl w:ilvl="2">
      <w:start w:val="1"/>
      <w:numFmt w:val="lowerRoman"/>
      <w:lvlText w:val="%3."/>
      <w:lvlJc w:val="right"/>
      <w:pPr>
        <w:tabs>
          <w:tab w:val="num" w:pos="1276"/>
        </w:tabs>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C9D7603"/>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FB401D6"/>
    <w:multiLevelType w:val="hybridMultilevel"/>
    <w:tmpl w:val="270C4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FD56BF3"/>
    <w:multiLevelType w:val="singleLevel"/>
    <w:tmpl w:val="3C0E4404"/>
    <w:lvl w:ilvl="0">
      <w:start w:val="1"/>
      <w:numFmt w:val="lowerLetter"/>
      <w:lvlText w:val="%1."/>
      <w:lvlJc w:val="left"/>
      <w:pPr>
        <w:tabs>
          <w:tab w:val="num" w:pos="720"/>
        </w:tabs>
        <w:ind w:left="720" w:hanging="360"/>
      </w:pPr>
      <w:rPr>
        <w:rFonts w:ascii="Times New Roman" w:hAnsi="Times New Roman" w:cs="Times New Roman"/>
        <w:b w:val="0"/>
        <w:i w:val="0"/>
        <w:caps w:val="0"/>
        <w:sz w:val="24"/>
        <w:u w:val="none"/>
        <w:vertAlign w:val="baseline"/>
      </w:rPr>
    </w:lvl>
  </w:abstractNum>
  <w:num w:numId="1">
    <w:abstractNumId w:val="24"/>
  </w:num>
  <w:num w:numId="2">
    <w:abstractNumId w:val="3"/>
  </w:num>
  <w:num w:numId="3">
    <w:abstractNumId w:val="0"/>
  </w:num>
  <w:num w:numId="4">
    <w:abstractNumId w:val="19"/>
  </w:num>
  <w:num w:numId="5">
    <w:abstractNumId w:val="29"/>
  </w:num>
  <w:num w:numId="6">
    <w:abstractNumId w:val="25"/>
  </w:num>
  <w:num w:numId="7">
    <w:abstractNumId w:val="23"/>
  </w:num>
  <w:num w:numId="8">
    <w:abstractNumId w:val="26"/>
  </w:num>
  <w:num w:numId="9">
    <w:abstractNumId w:val="8"/>
  </w:num>
  <w:num w:numId="10">
    <w:abstractNumId w:val="22"/>
  </w:num>
  <w:num w:numId="11">
    <w:abstractNumId w:val="20"/>
  </w:num>
  <w:num w:numId="12">
    <w:abstractNumId w:val="13"/>
  </w:num>
  <w:num w:numId="13">
    <w:abstractNumId w:val="11"/>
  </w:num>
  <w:num w:numId="14">
    <w:abstractNumId w:val="5"/>
  </w:num>
  <w:num w:numId="15">
    <w:abstractNumId w:val="2"/>
  </w:num>
  <w:num w:numId="16">
    <w:abstractNumId w:val="12"/>
  </w:num>
  <w:num w:numId="17">
    <w:abstractNumId w:val="30"/>
  </w:num>
  <w:num w:numId="18">
    <w:abstractNumId w:val="10"/>
  </w:num>
  <w:num w:numId="19">
    <w:abstractNumId w:val="17"/>
  </w:num>
  <w:num w:numId="20">
    <w:abstractNumId w:val="4"/>
  </w:num>
  <w:num w:numId="21">
    <w:abstractNumId w:val="1"/>
  </w:num>
  <w:num w:numId="22">
    <w:abstractNumId w:val="6"/>
  </w:num>
  <w:num w:numId="23">
    <w:abstractNumId w:val="18"/>
  </w:num>
  <w:num w:numId="24">
    <w:abstractNumId w:val="28"/>
  </w:num>
  <w:num w:numId="25">
    <w:abstractNumId w:val="9"/>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4"/>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
  </w:num>
  <w:num w:numId="35">
    <w:abstractNumId w:val="2"/>
  </w:num>
  <w:num w:numId="36">
    <w:abstractNumId w:val="2"/>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5"/>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91D"/>
    <w:rsid w:val="000153AF"/>
    <w:rsid w:val="00042302"/>
    <w:rsid w:val="000463F1"/>
    <w:rsid w:val="000547BB"/>
    <w:rsid w:val="00063EE1"/>
    <w:rsid w:val="00066F35"/>
    <w:rsid w:val="00072C03"/>
    <w:rsid w:val="00075A0C"/>
    <w:rsid w:val="000834C9"/>
    <w:rsid w:val="00087272"/>
    <w:rsid w:val="00090C80"/>
    <w:rsid w:val="00097DA0"/>
    <w:rsid w:val="000B04B1"/>
    <w:rsid w:val="000B0CCE"/>
    <w:rsid w:val="000B28B3"/>
    <w:rsid w:val="000B3BA0"/>
    <w:rsid w:val="000E5F7F"/>
    <w:rsid w:val="0011453D"/>
    <w:rsid w:val="00120363"/>
    <w:rsid w:val="0012092E"/>
    <w:rsid w:val="00132A89"/>
    <w:rsid w:val="00141759"/>
    <w:rsid w:val="00150B86"/>
    <w:rsid w:val="001703E5"/>
    <w:rsid w:val="001931ED"/>
    <w:rsid w:val="001A3992"/>
    <w:rsid w:val="001C394C"/>
    <w:rsid w:val="001C64E4"/>
    <w:rsid w:val="001D3AF3"/>
    <w:rsid w:val="001E1A1F"/>
    <w:rsid w:val="001E24DB"/>
    <w:rsid w:val="001E4EAB"/>
    <w:rsid w:val="001E5313"/>
    <w:rsid w:val="001E5FDA"/>
    <w:rsid w:val="001F29D0"/>
    <w:rsid w:val="0022104A"/>
    <w:rsid w:val="00225743"/>
    <w:rsid w:val="002335CD"/>
    <w:rsid w:val="00234577"/>
    <w:rsid w:val="00234753"/>
    <w:rsid w:val="00257CF0"/>
    <w:rsid w:val="0026491B"/>
    <w:rsid w:val="00285173"/>
    <w:rsid w:val="00285C47"/>
    <w:rsid w:val="002B2BB2"/>
    <w:rsid w:val="002B50A4"/>
    <w:rsid w:val="002D0178"/>
    <w:rsid w:val="002D1062"/>
    <w:rsid w:val="002D3489"/>
    <w:rsid w:val="002D392F"/>
    <w:rsid w:val="002E2109"/>
    <w:rsid w:val="002E277D"/>
    <w:rsid w:val="002E65D0"/>
    <w:rsid w:val="002F4119"/>
    <w:rsid w:val="003063CE"/>
    <w:rsid w:val="00311849"/>
    <w:rsid w:val="00312001"/>
    <w:rsid w:val="00313C53"/>
    <w:rsid w:val="00327C2B"/>
    <w:rsid w:val="00330B29"/>
    <w:rsid w:val="00343935"/>
    <w:rsid w:val="00375DF3"/>
    <w:rsid w:val="00377337"/>
    <w:rsid w:val="00382574"/>
    <w:rsid w:val="0038675A"/>
    <w:rsid w:val="003A3741"/>
    <w:rsid w:val="003B3384"/>
    <w:rsid w:val="003B7CFF"/>
    <w:rsid w:val="003D2FBA"/>
    <w:rsid w:val="003E2429"/>
    <w:rsid w:val="003E64B0"/>
    <w:rsid w:val="00406274"/>
    <w:rsid w:val="0041004D"/>
    <w:rsid w:val="00412BA4"/>
    <w:rsid w:val="00415A3B"/>
    <w:rsid w:val="004175FE"/>
    <w:rsid w:val="00424387"/>
    <w:rsid w:val="0042649E"/>
    <w:rsid w:val="00431ACD"/>
    <w:rsid w:val="004379EA"/>
    <w:rsid w:val="00442DB9"/>
    <w:rsid w:val="00443094"/>
    <w:rsid w:val="004455B6"/>
    <w:rsid w:val="00446EDD"/>
    <w:rsid w:val="00447D49"/>
    <w:rsid w:val="00470DC2"/>
    <w:rsid w:val="00472170"/>
    <w:rsid w:val="004A18BB"/>
    <w:rsid w:val="004A4BA1"/>
    <w:rsid w:val="004B6B19"/>
    <w:rsid w:val="004C4C08"/>
    <w:rsid w:val="004D038C"/>
    <w:rsid w:val="004D2E15"/>
    <w:rsid w:val="004E0594"/>
    <w:rsid w:val="004E1A9F"/>
    <w:rsid w:val="004F29AF"/>
    <w:rsid w:val="00503CDA"/>
    <w:rsid w:val="00513B1A"/>
    <w:rsid w:val="005162A0"/>
    <w:rsid w:val="00524913"/>
    <w:rsid w:val="00524C50"/>
    <w:rsid w:val="005315E3"/>
    <w:rsid w:val="005477DD"/>
    <w:rsid w:val="005503E0"/>
    <w:rsid w:val="0055310D"/>
    <w:rsid w:val="00553268"/>
    <w:rsid w:val="00577C21"/>
    <w:rsid w:val="00581804"/>
    <w:rsid w:val="00595B20"/>
    <w:rsid w:val="005A0737"/>
    <w:rsid w:val="005A3EFB"/>
    <w:rsid w:val="005A585E"/>
    <w:rsid w:val="005C08A5"/>
    <w:rsid w:val="005F34E1"/>
    <w:rsid w:val="006018AE"/>
    <w:rsid w:val="00612551"/>
    <w:rsid w:val="006145C3"/>
    <w:rsid w:val="00623485"/>
    <w:rsid w:val="00630329"/>
    <w:rsid w:val="00636FA2"/>
    <w:rsid w:val="00641142"/>
    <w:rsid w:val="00657845"/>
    <w:rsid w:val="006634C0"/>
    <w:rsid w:val="00691F3F"/>
    <w:rsid w:val="0069650C"/>
    <w:rsid w:val="006A5D74"/>
    <w:rsid w:val="006A727B"/>
    <w:rsid w:val="006C6488"/>
    <w:rsid w:val="006C6C78"/>
    <w:rsid w:val="006D2F77"/>
    <w:rsid w:val="006D5845"/>
    <w:rsid w:val="006D587D"/>
    <w:rsid w:val="006F285F"/>
    <w:rsid w:val="006F47A3"/>
    <w:rsid w:val="00704BBA"/>
    <w:rsid w:val="00705559"/>
    <w:rsid w:val="00713EB3"/>
    <w:rsid w:val="00723D14"/>
    <w:rsid w:val="00724EA7"/>
    <w:rsid w:val="007403BD"/>
    <w:rsid w:val="00754D19"/>
    <w:rsid w:val="007556F2"/>
    <w:rsid w:val="00762EA7"/>
    <w:rsid w:val="007642A5"/>
    <w:rsid w:val="00764D7F"/>
    <w:rsid w:val="007715E2"/>
    <w:rsid w:val="00774061"/>
    <w:rsid w:val="00780CFF"/>
    <w:rsid w:val="00784A12"/>
    <w:rsid w:val="007878B0"/>
    <w:rsid w:val="00793CEF"/>
    <w:rsid w:val="00795D99"/>
    <w:rsid w:val="007A0A72"/>
    <w:rsid w:val="007A2548"/>
    <w:rsid w:val="007A51A3"/>
    <w:rsid w:val="007B17A2"/>
    <w:rsid w:val="007B7B9D"/>
    <w:rsid w:val="007C0A49"/>
    <w:rsid w:val="007C4C01"/>
    <w:rsid w:val="007C66C8"/>
    <w:rsid w:val="007D53D3"/>
    <w:rsid w:val="007D58A8"/>
    <w:rsid w:val="007D7703"/>
    <w:rsid w:val="007E7562"/>
    <w:rsid w:val="0080644B"/>
    <w:rsid w:val="00845737"/>
    <w:rsid w:val="0086650D"/>
    <w:rsid w:val="00875939"/>
    <w:rsid w:val="00881EA6"/>
    <w:rsid w:val="00884D92"/>
    <w:rsid w:val="008A1ACD"/>
    <w:rsid w:val="008A34D6"/>
    <w:rsid w:val="008A35FB"/>
    <w:rsid w:val="008C61F1"/>
    <w:rsid w:val="008F566C"/>
    <w:rsid w:val="009013C4"/>
    <w:rsid w:val="00905C4F"/>
    <w:rsid w:val="00905FE6"/>
    <w:rsid w:val="00906923"/>
    <w:rsid w:val="00913975"/>
    <w:rsid w:val="009249F4"/>
    <w:rsid w:val="00933B75"/>
    <w:rsid w:val="00960CD5"/>
    <w:rsid w:val="00966129"/>
    <w:rsid w:val="00997102"/>
    <w:rsid w:val="009B5738"/>
    <w:rsid w:val="009C4EEF"/>
    <w:rsid w:val="009D2259"/>
    <w:rsid w:val="009E16A8"/>
    <w:rsid w:val="00A0523B"/>
    <w:rsid w:val="00A07E39"/>
    <w:rsid w:val="00A139E8"/>
    <w:rsid w:val="00A32E10"/>
    <w:rsid w:val="00A33CB3"/>
    <w:rsid w:val="00A35150"/>
    <w:rsid w:val="00A3687B"/>
    <w:rsid w:val="00A52422"/>
    <w:rsid w:val="00A53592"/>
    <w:rsid w:val="00A668C4"/>
    <w:rsid w:val="00A83981"/>
    <w:rsid w:val="00A878A5"/>
    <w:rsid w:val="00A9155A"/>
    <w:rsid w:val="00AA0B20"/>
    <w:rsid w:val="00AC1FF6"/>
    <w:rsid w:val="00AC2AD9"/>
    <w:rsid w:val="00AC71DC"/>
    <w:rsid w:val="00AD5974"/>
    <w:rsid w:val="00AD7EDD"/>
    <w:rsid w:val="00B11B0E"/>
    <w:rsid w:val="00B14C54"/>
    <w:rsid w:val="00B27A0D"/>
    <w:rsid w:val="00B678AA"/>
    <w:rsid w:val="00BA4148"/>
    <w:rsid w:val="00BA7F2B"/>
    <w:rsid w:val="00BB2067"/>
    <w:rsid w:val="00BB56A2"/>
    <w:rsid w:val="00BC5E79"/>
    <w:rsid w:val="00BD569F"/>
    <w:rsid w:val="00BD5DAA"/>
    <w:rsid w:val="00BE2A26"/>
    <w:rsid w:val="00C06DB7"/>
    <w:rsid w:val="00C16F3A"/>
    <w:rsid w:val="00C1707F"/>
    <w:rsid w:val="00C1737E"/>
    <w:rsid w:val="00C52D6F"/>
    <w:rsid w:val="00C816B8"/>
    <w:rsid w:val="00C83C9B"/>
    <w:rsid w:val="00C85696"/>
    <w:rsid w:val="00CC2425"/>
    <w:rsid w:val="00CE6043"/>
    <w:rsid w:val="00CE79C5"/>
    <w:rsid w:val="00CF1CA9"/>
    <w:rsid w:val="00CF22DC"/>
    <w:rsid w:val="00CF5196"/>
    <w:rsid w:val="00D052B0"/>
    <w:rsid w:val="00D107AC"/>
    <w:rsid w:val="00D11FA5"/>
    <w:rsid w:val="00D1394B"/>
    <w:rsid w:val="00D15029"/>
    <w:rsid w:val="00D15CFF"/>
    <w:rsid w:val="00D1780A"/>
    <w:rsid w:val="00D347D7"/>
    <w:rsid w:val="00D6740F"/>
    <w:rsid w:val="00D855CA"/>
    <w:rsid w:val="00D94F03"/>
    <w:rsid w:val="00DA74C4"/>
    <w:rsid w:val="00DA7DA4"/>
    <w:rsid w:val="00DB6705"/>
    <w:rsid w:val="00DC7670"/>
    <w:rsid w:val="00DE2264"/>
    <w:rsid w:val="00DE7A02"/>
    <w:rsid w:val="00DF13C9"/>
    <w:rsid w:val="00DF1B38"/>
    <w:rsid w:val="00DF291D"/>
    <w:rsid w:val="00E00336"/>
    <w:rsid w:val="00E0253C"/>
    <w:rsid w:val="00E0281B"/>
    <w:rsid w:val="00E07763"/>
    <w:rsid w:val="00E15F5C"/>
    <w:rsid w:val="00E33A0E"/>
    <w:rsid w:val="00E356E7"/>
    <w:rsid w:val="00E35814"/>
    <w:rsid w:val="00E45826"/>
    <w:rsid w:val="00E56E56"/>
    <w:rsid w:val="00E627DD"/>
    <w:rsid w:val="00E73CF6"/>
    <w:rsid w:val="00E74A56"/>
    <w:rsid w:val="00E80F98"/>
    <w:rsid w:val="00EA4DC1"/>
    <w:rsid w:val="00EB708F"/>
    <w:rsid w:val="00EC1DEF"/>
    <w:rsid w:val="00EC60F8"/>
    <w:rsid w:val="00ED60F1"/>
    <w:rsid w:val="00EE0A6B"/>
    <w:rsid w:val="00EE1763"/>
    <w:rsid w:val="00EE3AC8"/>
    <w:rsid w:val="00EE6088"/>
    <w:rsid w:val="00F02A45"/>
    <w:rsid w:val="00F07390"/>
    <w:rsid w:val="00F12B2F"/>
    <w:rsid w:val="00F25E26"/>
    <w:rsid w:val="00F3231E"/>
    <w:rsid w:val="00F334F6"/>
    <w:rsid w:val="00F42864"/>
    <w:rsid w:val="00F460A2"/>
    <w:rsid w:val="00F721F5"/>
    <w:rsid w:val="00F80DBD"/>
    <w:rsid w:val="00F84110"/>
    <w:rsid w:val="00F86938"/>
    <w:rsid w:val="00F913F9"/>
    <w:rsid w:val="00F93260"/>
    <w:rsid w:val="00FA5690"/>
    <w:rsid w:val="00FB0E6F"/>
    <w:rsid w:val="00FC05AC"/>
    <w:rsid w:val="00FC0675"/>
    <w:rsid w:val="00FC3D6B"/>
    <w:rsid w:val="00FD1E94"/>
    <w:rsid w:val="00FE46AB"/>
    <w:rsid w:val="00FF72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FEB9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8" w:qFormat="1"/>
    <w:lsdException w:name="heading 6" w:uiPriority="8" w:qFormat="1"/>
    <w:lsdException w:name="heading 7" w:qFormat="1"/>
    <w:lsdException w:name="heading 8" w:qFormat="1"/>
    <w:lsdException w:name="heading 9" w:uiPriority="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69"/>
    <w:lsdException w:name="footer" w:uiPriority="0"/>
    <w:lsdException w:name="caption" w:uiPriority="49" w:qFormat="1"/>
    <w:lsdException w:name="table of figures" w:uiPriority="40"/>
    <w:lsdException w:name="envelope address" w:uiPriority="69"/>
    <w:lsdException w:name="envelope return" w:uiPriority="69"/>
    <w:lsdException w:name="annotation reference" w:uiPriority="69"/>
    <w:lsdException w:name="endnote reference" w:uiPriority="69"/>
    <w:lsdException w:name="endnote text" w:uiPriority="69"/>
    <w:lsdException w:name="table of authorities" w:uiPriority="0"/>
    <w:lsdException w:name="List Bullet" w:uiPriority="9" w:qFormat="1"/>
    <w:lsdException w:name="List Number" w:uiPriority="9" w:qFormat="1"/>
    <w:lsdException w:name="List Bullet 2" w:uiPriority="9" w:qFormat="1"/>
    <w:lsdException w:name="List Bullet 3" w:uiPriority="9" w:qFormat="1"/>
    <w:lsdException w:name="List Number 2" w:uiPriority="9" w:qFormat="1"/>
    <w:lsdException w:name="List Number 3" w:uiPriority="9" w:qFormat="1"/>
    <w:lsdException w:name="Title" w:semiHidden="0" w:uiPriority="25" w:unhideWhenUsed="0" w:qFormat="1"/>
    <w:lsdException w:name="Closing" w:uiPriority="69"/>
    <w:lsdException w:name="Signature" w:uiPriority="49"/>
    <w:lsdException w:name="Default Paragraph Font" w:uiPriority="1"/>
    <w:lsdException w:name="Body Text" w:uiPriority="69"/>
    <w:lsdException w:name="Body Text Indent" w:uiPriority="69"/>
    <w:lsdException w:name="Subtitle" w:semiHidden="0" w:unhideWhenUsed="0" w:qFormat="1"/>
    <w:lsdException w:name="Salutation" w:uiPriority="49"/>
    <w:lsdException w:name="Date" w:uiPriority="69"/>
    <w:lsdException w:name="Body Text First Indent" w:uiPriority="69"/>
    <w:lsdException w:name="Body Text First Indent 2" w:uiPriority="69"/>
    <w:lsdException w:name="Body Text 2" w:uiPriority="69"/>
    <w:lsdException w:name="Body Text 3" w:uiPriority="69"/>
    <w:lsdException w:name="Body Text Indent 2" w:uiPriority="69"/>
    <w:lsdException w:name="Body Text Indent 3" w:uiPriority="69"/>
    <w:lsdException w:name="Strong" w:semiHidden="0" w:uiPriority="49" w:unhideWhenUsed="0" w:qFormat="1"/>
    <w:lsdException w:name="Emphasis" w:semiHidden="0" w:uiPriority="69" w:unhideWhenUsed="0" w:qFormat="1"/>
    <w:lsdException w:name="Document Map" w:uiPriority="69"/>
    <w:lsdException w:name="Plain Text" w:uiPriority="49"/>
    <w:lsdException w:name="E-mail Signature" w:uiPriority="69"/>
    <w:lsdException w:name="annotation subject" w:uiPriority="69"/>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69"/>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3B7CFF"/>
    <w:pPr>
      <w:spacing w:after="240"/>
    </w:pPr>
    <w:rPr>
      <w:rFonts w:ascii="Times New Roman" w:eastAsia="Times New Roman" w:hAnsi="Times New Roman" w:cs="Times New Roman"/>
      <w:sz w:val="24"/>
      <w:szCs w:val="24"/>
      <w:lang w:val="en-GB"/>
    </w:rPr>
  </w:style>
  <w:style w:type="paragraph" w:styleId="Heading1">
    <w:name w:val="heading 1"/>
    <w:next w:val="Paragraph"/>
    <w:link w:val="Heading1Char"/>
    <w:uiPriority w:val="4"/>
    <w:qFormat/>
    <w:rsid w:val="003B7CFF"/>
    <w:pPr>
      <w:keepNext/>
      <w:keepLines/>
      <w:numPr>
        <w:numId w:val="13"/>
      </w:numPr>
      <w:spacing w:before="240" w:after="240" w:line="240" w:lineRule="auto"/>
      <w:outlineLvl w:val="0"/>
    </w:pPr>
    <w:rPr>
      <w:rFonts w:ascii="Times New Roman" w:eastAsia="Times New Roman" w:hAnsi="Times New Roman" w:cs="Arial"/>
      <w:b/>
      <w:bCs/>
      <w:caps/>
      <w:kern w:val="32"/>
      <w:sz w:val="28"/>
      <w:szCs w:val="28"/>
      <w:lang w:val="en-GB"/>
    </w:rPr>
  </w:style>
  <w:style w:type="paragraph" w:styleId="Heading2">
    <w:name w:val="heading 2"/>
    <w:next w:val="Paragraph"/>
    <w:link w:val="Heading2Char"/>
    <w:uiPriority w:val="4"/>
    <w:qFormat/>
    <w:rsid w:val="00F02A45"/>
    <w:pPr>
      <w:keepNext/>
      <w:keepLines/>
      <w:numPr>
        <w:ilvl w:val="1"/>
        <w:numId w:val="13"/>
      </w:numPr>
      <w:spacing w:before="60" w:after="120" w:line="240" w:lineRule="auto"/>
      <w:outlineLvl w:val="1"/>
    </w:pPr>
    <w:rPr>
      <w:rFonts w:ascii="Times New Roman" w:eastAsia="Times New Roman" w:hAnsi="Times New Roman" w:cs="Arial"/>
      <w:b/>
      <w:bCs/>
      <w:iCs/>
      <w:sz w:val="24"/>
      <w:szCs w:val="26"/>
      <w:lang w:val="en-GB"/>
    </w:rPr>
  </w:style>
  <w:style w:type="paragraph" w:styleId="Heading3">
    <w:name w:val="heading 3"/>
    <w:next w:val="Paragraph"/>
    <w:link w:val="Heading3Char"/>
    <w:uiPriority w:val="4"/>
    <w:qFormat/>
    <w:rsid w:val="003B7CFF"/>
    <w:pPr>
      <w:keepNext/>
      <w:keepLines/>
      <w:numPr>
        <w:ilvl w:val="2"/>
        <w:numId w:val="13"/>
      </w:numPr>
      <w:spacing w:before="60" w:after="120" w:line="240" w:lineRule="auto"/>
      <w:outlineLvl w:val="2"/>
    </w:pPr>
    <w:rPr>
      <w:rFonts w:ascii="Times New Roman" w:eastAsia="Times New Roman" w:hAnsi="Times New Roman" w:cs="Arial"/>
      <w:b/>
      <w:bCs/>
      <w:sz w:val="26"/>
      <w:szCs w:val="24"/>
      <w:lang w:val="en-GB"/>
    </w:rPr>
  </w:style>
  <w:style w:type="paragraph" w:styleId="Heading4">
    <w:name w:val="heading 4"/>
    <w:next w:val="Paragraph"/>
    <w:link w:val="Heading4Char"/>
    <w:uiPriority w:val="4"/>
    <w:qFormat/>
    <w:rsid w:val="003B7CFF"/>
    <w:pPr>
      <w:keepNext/>
      <w:keepLines/>
      <w:numPr>
        <w:ilvl w:val="3"/>
        <w:numId w:val="13"/>
      </w:numPr>
      <w:spacing w:before="60" w:after="60" w:line="240" w:lineRule="auto"/>
      <w:outlineLvl w:val="3"/>
    </w:pPr>
    <w:rPr>
      <w:rFonts w:ascii="Times New Roman" w:eastAsia="Times New Roman" w:hAnsi="Times New Roman" w:cs="Times New Roman"/>
      <w:b/>
      <w:bCs/>
      <w:sz w:val="24"/>
      <w:lang w:val="en-GB"/>
    </w:rPr>
  </w:style>
  <w:style w:type="paragraph" w:styleId="Heading5">
    <w:name w:val="heading 5"/>
    <w:next w:val="Paragraph"/>
    <w:link w:val="Heading5Char"/>
    <w:uiPriority w:val="8"/>
    <w:qFormat/>
    <w:rsid w:val="003B7CFF"/>
    <w:pPr>
      <w:keepNext/>
      <w:keepLines/>
      <w:numPr>
        <w:ilvl w:val="4"/>
        <w:numId w:val="13"/>
      </w:numPr>
      <w:tabs>
        <w:tab w:val="left" w:pos="1440"/>
      </w:tabs>
      <w:spacing w:before="60" w:after="60" w:line="240" w:lineRule="auto"/>
      <w:outlineLvl w:val="4"/>
    </w:pPr>
    <w:rPr>
      <w:rFonts w:ascii="Times New Roman Bold" w:eastAsia="Times New Roman" w:hAnsi="Times New Roman Bold" w:cs="Arial"/>
      <w:b/>
      <w:bCs/>
      <w:iCs/>
      <w:lang w:val="en-US"/>
    </w:rPr>
  </w:style>
  <w:style w:type="paragraph" w:styleId="Heading6">
    <w:name w:val="heading 6"/>
    <w:next w:val="Paragraph"/>
    <w:link w:val="Heading6Char"/>
    <w:uiPriority w:val="8"/>
    <w:qFormat/>
    <w:rsid w:val="003B7CFF"/>
    <w:pPr>
      <w:keepNext/>
      <w:keepLines/>
      <w:numPr>
        <w:ilvl w:val="5"/>
        <w:numId w:val="13"/>
      </w:numPr>
      <w:tabs>
        <w:tab w:val="left" w:pos="1680"/>
      </w:tabs>
      <w:spacing w:before="60" w:after="60" w:line="240" w:lineRule="auto"/>
      <w:outlineLvl w:val="5"/>
    </w:pPr>
    <w:rPr>
      <w:rFonts w:ascii="Times New Roman" w:eastAsia="Times New Roman" w:hAnsi="Times New Roman" w:cs="Arial"/>
      <w:b/>
      <w:bCs/>
      <w:i/>
      <w:lang w:val="en-US"/>
    </w:rPr>
  </w:style>
  <w:style w:type="paragraph" w:styleId="Heading7">
    <w:name w:val="heading 7"/>
    <w:next w:val="Paragraph"/>
    <w:link w:val="Heading7Char"/>
    <w:uiPriority w:val="99"/>
    <w:semiHidden/>
    <w:qFormat/>
    <w:rsid w:val="003B7CFF"/>
    <w:pPr>
      <w:keepNext/>
      <w:keepLines/>
      <w:numPr>
        <w:ilvl w:val="6"/>
        <w:numId w:val="13"/>
      </w:numPr>
      <w:tabs>
        <w:tab w:val="left" w:pos="1920"/>
      </w:tabs>
      <w:spacing w:after="240" w:line="240" w:lineRule="auto"/>
      <w:outlineLvl w:val="6"/>
    </w:pPr>
    <w:rPr>
      <w:rFonts w:ascii="Times New Roman" w:eastAsia="Times New Roman" w:hAnsi="Times New Roman" w:cs="Arial"/>
      <w:i/>
      <w:sz w:val="24"/>
      <w:szCs w:val="24"/>
      <w:lang w:val="en-US"/>
    </w:rPr>
  </w:style>
  <w:style w:type="paragraph" w:styleId="Heading8">
    <w:name w:val="heading 8"/>
    <w:next w:val="Paragraph"/>
    <w:link w:val="Heading8Char"/>
    <w:uiPriority w:val="99"/>
    <w:semiHidden/>
    <w:qFormat/>
    <w:rsid w:val="003B7CFF"/>
    <w:pPr>
      <w:keepNext/>
      <w:keepLines/>
      <w:numPr>
        <w:ilvl w:val="7"/>
        <w:numId w:val="13"/>
      </w:numPr>
      <w:tabs>
        <w:tab w:val="left" w:pos="2160"/>
      </w:tabs>
      <w:spacing w:after="240" w:line="240" w:lineRule="auto"/>
      <w:outlineLvl w:val="7"/>
    </w:pPr>
    <w:rPr>
      <w:rFonts w:ascii="Times New Roman" w:eastAsia="Times New Roman" w:hAnsi="Times New Roman" w:cs="Arial"/>
      <w:i/>
      <w:iCs/>
      <w:sz w:val="24"/>
      <w:szCs w:val="24"/>
      <w:lang w:val="en-US"/>
    </w:rPr>
  </w:style>
  <w:style w:type="paragraph" w:styleId="Heading9">
    <w:name w:val="heading 9"/>
    <w:aliases w:val="-References"/>
    <w:next w:val="Paragraph"/>
    <w:link w:val="Heading9Char"/>
    <w:uiPriority w:val="7"/>
    <w:qFormat/>
    <w:rsid w:val="003B7CFF"/>
    <w:pPr>
      <w:keepNext/>
      <w:keepLines/>
      <w:numPr>
        <w:ilvl w:val="8"/>
        <w:numId w:val="13"/>
      </w:numPr>
      <w:spacing w:before="120" w:after="0" w:line="240" w:lineRule="auto"/>
      <w:outlineLvl w:val="8"/>
    </w:pPr>
    <w:rPr>
      <w:rFonts w:ascii="Times New Roman" w:eastAsia="Times New Roman" w:hAnsi="Times New Roman"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3B7CFF"/>
    <w:rPr>
      <w:rFonts w:ascii="Times New Roman" w:eastAsia="Times New Roman" w:hAnsi="Times New Roman" w:cs="Arial"/>
      <w:b/>
      <w:bCs/>
      <w:caps/>
      <w:kern w:val="32"/>
      <w:sz w:val="28"/>
      <w:szCs w:val="28"/>
      <w:lang w:val="en-GB"/>
    </w:rPr>
  </w:style>
  <w:style w:type="character" w:customStyle="1" w:styleId="Heading2Char">
    <w:name w:val="Heading 2 Char"/>
    <w:basedOn w:val="DefaultParagraphFont"/>
    <w:link w:val="Heading2"/>
    <w:uiPriority w:val="4"/>
    <w:rsid w:val="00F02A45"/>
    <w:rPr>
      <w:rFonts w:ascii="Times New Roman" w:eastAsia="Times New Roman" w:hAnsi="Times New Roman" w:cs="Arial"/>
      <w:b/>
      <w:bCs/>
      <w:iCs/>
      <w:sz w:val="24"/>
      <w:szCs w:val="26"/>
      <w:lang w:val="en-GB"/>
    </w:rPr>
  </w:style>
  <w:style w:type="character" w:customStyle="1" w:styleId="Heading3Char">
    <w:name w:val="Heading 3 Char"/>
    <w:basedOn w:val="DefaultParagraphFont"/>
    <w:link w:val="Heading3"/>
    <w:uiPriority w:val="4"/>
    <w:rsid w:val="003B7CFF"/>
    <w:rPr>
      <w:rFonts w:ascii="Times New Roman" w:eastAsia="Times New Roman" w:hAnsi="Times New Roman" w:cs="Arial"/>
      <w:b/>
      <w:bCs/>
      <w:sz w:val="26"/>
      <w:szCs w:val="24"/>
      <w:lang w:val="en-GB"/>
    </w:rPr>
  </w:style>
  <w:style w:type="character" w:customStyle="1" w:styleId="Heading4Char">
    <w:name w:val="Heading 4 Char"/>
    <w:basedOn w:val="DefaultParagraphFont"/>
    <w:link w:val="Heading4"/>
    <w:uiPriority w:val="4"/>
    <w:rsid w:val="003B7CFF"/>
    <w:rPr>
      <w:rFonts w:ascii="Times New Roman" w:eastAsia="Times New Roman" w:hAnsi="Times New Roman" w:cs="Times New Roman"/>
      <w:b/>
      <w:bCs/>
      <w:sz w:val="24"/>
      <w:lang w:val="en-GB"/>
    </w:rPr>
  </w:style>
  <w:style w:type="character" w:customStyle="1" w:styleId="Heading5Char">
    <w:name w:val="Heading 5 Char"/>
    <w:basedOn w:val="DefaultParagraphFont"/>
    <w:link w:val="Heading5"/>
    <w:uiPriority w:val="8"/>
    <w:rsid w:val="003B7CFF"/>
    <w:rPr>
      <w:rFonts w:ascii="Times New Roman Bold" w:eastAsia="Times New Roman" w:hAnsi="Times New Roman Bold" w:cs="Arial"/>
      <w:b/>
      <w:bCs/>
      <w:iCs/>
      <w:lang w:val="en-US"/>
    </w:rPr>
  </w:style>
  <w:style w:type="character" w:customStyle="1" w:styleId="Heading6Char">
    <w:name w:val="Heading 6 Char"/>
    <w:basedOn w:val="DefaultParagraphFont"/>
    <w:link w:val="Heading6"/>
    <w:uiPriority w:val="8"/>
    <w:rsid w:val="003B7CFF"/>
    <w:rPr>
      <w:rFonts w:ascii="Times New Roman" w:eastAsia="Times New Roman" w:hAnsi="Times New Roman" w:cs="Arial"/>
      <w:b/>
      <w:bCs/>
      <w:i/>
      <w:lang w:val="en-US"/>
    </w:rPr>
  </w:style>
  <w:style w:type="character" w:customStyle="1" w:styleId="Heading7Char">
    <w:name w:val="Heading 7 Char"/>
    <w:basedOn w:val="DefaultParagraphFont"/>
    <w:link w:val="Heading7"/>
    <w:uiPriority w:val="99"/>
    <w:semiHidden/>
    <w:rsid w:val="003B7CFF"/>
    <w:rPr>
      <w:rFonts w:ascii="Times New Roman" w:eastAsia="Times New Roman" w:hAnsi="Times New Roman" w:cs="Arial"/>
      <w:i/>
      <w:sz w:val="24"/>
      <w:szCs w:val="24"/>
      <w:lang w:val="en-US"/>
    </w:rPr>
  </w:style>
  <w:style w:type="character" w:customStyle="1" w:styleId="Heading8Char">
    <w:name w:val="Heading 8 Char"/>
    <w:basedOn w:val="DefaultParagraphFont"/>
    <w:link w:val="Heading8"/>
    <w:uiPriority w:val="99"/>
    <w:semiHidden/>
    <w:rsid w:val="003B7CFF"/>
    <w:rPr>
      <w:rFonts w:ascii="Times New Roman" w:eastAsia="Times New Roman" w:hAnsi="Times New Roman" w:cs="Arial"/>
      <w:i/>
      <w:iCs/>
      <w:sz w:val="24"/>
      <w:szCs w:val="24"/>
      <w:lang w:val="en-US"/>
    </w:rPr>
  </w:style>
  <w:style w:type="character" w:customStyle="1" w:styleId="Heading9Char">
    <w:name w:val="Heading 9 Char"/>
    <w:aliases w:val="-References Char"/>
    <w:basedOn w:val="DefaultParagraphFont"/>
    <w:link w:val="Heading9"/>
    <w:uiPriority w:val="7"/>
    <w:rsid w:val="003B7CFF"/>
    <w:rPr>
      <w:rFonts w:ascii="Times New Roman" w:eastAsia="Times New Roman" w:hAnsi="Times New Roman" w:cs="Arial"/>
      <w:b/>
      <w:szCs w:val="24"/>
      <w:lang w:val="en-GB"/>
    </w:rPr>
  </w:style>
  <w:style w:type="paragraph" w:styleId="ListParagraph">
    <w:name w:val="List Paragraph"/>
    <w:basedOn w:val="Normal"/>
    <w:uiPriority w:val="34"/>
    <w:qFormat/>
    <w:rsid w:val="003B7CFF"/>
    <w:pPr>
      <w:contextualSpacing/>
    </w:pPr>
  </w:style>
  <w:style w:type="character" w:styleId="CommentReference">
    <w:name w:val="annotation reference"/>
    <w:uiPriority w:val="69"/>
    <w:semiHidden/>
    <w:rsid w:val="003B7CFF"/>
    <w:rPr>
      <w:sz w:val="16"/>
      <w:szCs w:val="16"/>
    </w:rPr>
  </w:style>
  <w:style w:type="paragraph" w:styleId="CommentText">
    <w:name w:val="annotation text"/>
    <w:basedOn w:val="Normal"/>
    <w:link w:val="CommentTextChar"/>
    <w:uiPriority w:val="69"/>
    <w:semiHidden/>
    <w:rsid w:val="003B7CFF"/>
    <w:rPr>
      <w:sz w:val="20"/>
      <w:szCs w:val="20"/>
    </w:rPr>
  </w:style>
  <w:style w:type="character" w:customStyle="1" w:styleId="CommentTextChar">
    <w:name w:val="Comment Text Char"/>
    <w:basedOn w:val="DefaultParagraphFont"/>
    <w:link w:val="CommentText"/>
    <w:uiPriority w:val="69"/>
    <w:semiHidden/>
    <w:rsid w:val="003B7CFF"/>
    <w:rPr>
      <w:rFonts w:ascii="Times New Roman" w:eastAsia="Times New Roman" w:hAnsi="Times New Roman" w:cs="Times New Roman"/>
      <w:sz w:val="20"/>
      <w:szCs w:val="20"/>
      <w:lang w:val="en-GB"/>
    </w:rPr>
  </w:style>
  <w:style w:type="paragraph" w:styleId="FootnoteText">
    <w:name w:val="footnote text"/>
    <w:basedOn w:val="Normal"/>
    <w:link w:val="FootnoteTextChar"/>
    <w:uiPriority w:val="99"/>
    <w:rsid w:val="009013C4"/>
    <w:pPr>
      <w:spacing w:after="0" w:line="240" w:lineRule="auto"/>
    </w:pPr>
    <w:rPr>
      <w:sz w:val="20"/>
      <w:szCs w:val="20"/>
    </w:rPr>
  </w:style>
  <w:style w:type="character" w:customStyle="1" w:styleId="FootnoteTextChar">
    <w:name w:val="Footnote Text Char"/>
    <w:basedOn w:val="DefaultParagraphFont"/>
    <w:link w:val="FootnoteText"/>
    <w:uiPriority w:val="99"/>
    <w:rsid w:val="009013C4"/>
    <w:rPr>
      <w:rFonts w:ascii="Times New Roman" w:eastAsia="Times New Roman" w:hAnsi="Times New Roman" w:cs="Times New Roman"/>
      <w:sz w:val="20"/>
      <w:szCs w:val="20"/>
      <w:lang w:val="en-GB"/>
    </w:rPr>
  </w:style>
  <w:style w:type="character" w:styleId="FootnoteReference">
    <w:name w:val="footnote reference"/>
    <w:uiPriority w:val="99"/>
    <w:rsid w:val="003B7CFF"/>
    <w:rPr>
      <w:vertAlign w:val="superscript"/>
    </w:rPr>
  </w:style>
  <w:style w:type="paragraph" w:styleId="ListBullet">
    <w:name w:val="List Bullet"/>
    <w:uiPriority w:val="9"/>
    <w:qFormat/>
    <w:rsid w:val="003B7CFF"/>
    <w:pPr>
      <w:numPr>
        <w:numId w:val="21"/>
      </w:numPr>
      <w:spacing w:before="60" w:after="60" w:line="240" w:lineRule="auto"/>
    </w:pPr>
    <w:rPr>
      <w:rFonts w:ascii="Times New Roman" w:eastAsia="Times New Roman" w:hAnsi="Times New Roman" w:cs="Times New Roman"/>
      <w:sz w:val="24"/>
      <w:szCs w:val="20"/>
      <w:lang w:val="en-GB"/>
    </w:rPr>
  </w:style>
  <w:style w:type="character" w:styleId="Hyperlink">
    <w:name w:val="Hyperlink"/>
    <w:uiPriority w:val="99"/>
    <w:rsid w:val="003B7CFF"/>
    <w:rPr>
      <w:color w:val="0000FF"/>
      <w:u w:val="non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Header"/>
    <w:link w:val="FooterChar"/>
    <w:rsid w:val="003B7CFF"/>
  </w:style>
  <w:style w:type="character" w:customStyle="1" w:styleId="FooterChar">
    <w:name w:val="Footer Char"/>
    <w:basedOn w:val="DefaultParagraphFont"/>
    <w:link w:val="Footer"/>
    <w:rsid w:val="003B7CFF"/>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69"/>
    <w:semiHidden/>
    <w:rsid w:val="003B7CFF"/>
    <w:rPr>
      <w:rFonts w:ascii="Arial Narrow" w:hAnsi="Arial Narrow" w:cs="Tahoma"/>
      <w:sz w:val="18"/>
      <w:szCs w:val="16"/>
    </w:rPr>
  </w:style>
  <w:style w:type="character" w:customStyle="1" w:styleId="BalloonTextChar">
    <w:name w:val="Balloon Text Char"/>
    <w:basedOn w:val="DefaultParagraphFont"/>
    <w:link w:val="BalloonText"/>
    <w:uiPriority w:val="69"/>
    <w:semiHidden/>
    <w:rsid w:val="003B7CFF"/>
    <w:rPr>
      <w:rFonts w:ascii="Arial Narrow" w:eastAsia="Times New Roman" w:hAnsi="Arial Narrow" w:cs="Tahoma"/>
      <w:sz w:val="18"/>
      <w:szCs w:val="16"/>
      <w:lang w:val="en-GB"/>
    </w:rPr>
  </w:style>
  <w:style w:type="paragraph" w:customStyle="1" w:styleId="AppendixNumeric">
    <w:name w:val="Appendix Numeric"/>
    <w:next w:val="Paragraph"/>
    <w:uiPriority w:val="20"/>
    <w:qFormat/>
    <w:rsid w:val="003B7CFF"/>
    <w:pPr>
      <w:pageBreakBefore/>
      <w:numPr>
        <w:numId w:val="11"/>
      </w:numPr>
      <w:spacing w:after="160" w:line="240" w:lineRule="auto"/>
    </w:pPr>
    <w:rPr>
      <w:rFonts w:ascii="Times New Roman" w:eastAsia="Times New Roman" w:hAnsi="Times New Roman" w:cs="Arial"/>
      <w:b/>
      <w:iCs/>
      <w:snapToGrid w:val="0"/>
      <w:sz w:val="28"/>
      <w:szCs w:val="26"/>
      <w:lang w:val="sv-SE"/>
    </w:rPr>
  </w:style>
  <w:style w:type="paragraph" w:customStyle="1" w:styleId="AppendixAlpha">
    <w:name w:val="Appendix Alpha"/>
    <w:basedOn w:val="AppendixNumeric"/>
    <w:next w:val="Paragraph"/>
    <w:uiPriority w:val="21"/>
    <w:qFormat/>
    <w:rsid w:val="003B7CFF"/>
    <w:pPr>
      <w:keepNext/>
      <w:keepLines/>
      <w:numPr>
        <w:numId w:val="12"/>
      </w:numPr>
    </w:pPr>
  </w:style>
  <w:style w:type="table" w:customStyle="1" w:styleId="PlainTable1">
    <w:name w:val="Plain Table 1"/>
    <w:basedOn w:val="TableNormal"/>
    <w:uiPriority w:val="41"/>
    <w:rsid w:val="00EE3A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EE3A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roval">
    <w:name w:val="Approval"/>
    <w:basedOn w:val="Paragraph"/>
    <w:uiPriority w:val="24"/>
    <w:rsid w:val="003B7CFF"/>
  </w:style>
  <w:style w:type="paragraph" w:styleId="BodyText">
    <w:name w:val="Body Text"/>
    <w:basedOn w:val="Normal"/>
    <w:link w:val="BodyTextChar"/>
    <w:uiPriority w:val="69"/>
    <w:semiHidden/>
    <w:rsid w:val="003B7CFF"/>
    <w:pPr>
      <w:spacing w:after="120"/>
    </w:pPr>
  </w:style>
  <w:style w:type="character" w:customStyle="1" w:styleId="BodyTextChar">
    <w:name w:val="Body Text Char"/>
    <w:basedOn w:val="DefaultParagraphFont"/>
    <w:link w:val="BodyText"/>
    <w:uiPriority w:val="69"/>
    <w:semiHidden/>
    <w:rsid w:val="003B7CFF"/>
    <w:rPr>
      <w:rFonts w:ascii="Times New Roman" w:eastAsia="Times New Roman" w:hAnsi="Times New Roman" w:cs="Times New Roman"/>
      <w:sz w:val="24"/>
      <w:szCs w:val="24"/>
      <w:lang w:val="en-GB"/>
    </w:rPr>
  </w:style>
  <w:style w:type="paragraph" w:styleId="BodyText2">
    <w:name w:val="Body Text 2"/>
    <w:basedOn w:val="Normal"/>
    <w:link w:val="BodyText2Char"/>
    <w:uiPriority w:val="69"/>
    <w:semiHidden/>
    <w:rsid w:val="003B7CFF"/>
    <w:pPr>
      <w:spacing w:after="120" w:line="480" w:lineRule="auto"/>
    </w:pPr>
  </w:style>
  <w:style w:type="character" w:customStyle="1" w:styleId="BodyText2Char">
    <w:name w:val="Body Text 2 Char"/>
    <w:basedOn w:val="DefaultParagraphFont"/>
    <w:link w:val="BodyText2"/>
    <w:uiPriority w:val="69"/>
    <w:semiHidden/>
    <w:rsid w:val="003B7CFF"/>
    <w:rPr>
      <w:rFonts w:ascii="Times New Roman" w:eastAsia="Times New Roman" w:hAnsi="Times New Roman" w:cs="Times New Roman"/>
      <w:sz w:val="24"/>
      <w:szCs w:val="24"/>
      <w:lang w:val="en-GB"/>
    </w:rPr>
  </w:style>
  <w:style w:type="paragraph" w:styleId="BodyText3">
    <w:name w:val="Body Text 3"/>
    <w:basedOn w:val="Normal"/>
    <w:link w:val="BodyText3Char"/>
    <w:uiPriority w:val="69"/>
    <w:semiHidden/>
    <w:rsid w:val="003B7CFF"/>
    <w:pPr>
      <w:spacing w:after="120"/>
    </w:pPr>
    <w:rPr>
      <w:sz w:val="16"/>
      <w:szCs w:val="16"/>
    </w:rPr>
  </w:style>
  <w:style w:type="character" w:customStyle="1" w:styleId="BodyText3Char">
    <w:name w:val="Body Text 3 Char"/>
    <w:basedOn w:val="DefaultParagraphFont"/>
    <w:link w:val="BodyText3"/>
    <w:uiPriority w:val="69"/>
    <w:semiHidden/>
    <w:rsid w:val="003B7CFF"/>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uiPriority w:val="69"/>
    <w:semiHidden/>
    <w:rsid w:val="003B7CFF"/>
    <w:pPr>
      <w:ind w:firstLine="210"/>
    </w:pPr>
  </w:style>
  <w:style w:type="character" w:customStyle="1" w:styleId="BodyTextFirstIndentChar">
    <w:name w:val="Body Text First Indent Char"/>
    <w:basedOn w:val="BodyTextChar"/>
    <w:link w:val="BodyTextFirstIndent"/>
    <w:uiPriority w:val="69"/>
    <w:semiHidden/>
    <w:rsid w:val="003B7CFF"/>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69"/>
    <w:semiHidden/>
    <w:rsid w:val="003B7CFF"/>
    <w:pPr>
      <w:spacing w:after="120"/>
      <w:ind w:left="360"/>
    </w:pPr>
  </w:style>
  <w:style w:type="character" w:customStyle="1" w:styleId="BodyTextIndentChar">
    <w:name w:val="Body Text Indent Char"/>
    <w:basedOn w:val="DefaultParagraphFont"/>
    <w:link w:val="BodyTextIndent"/>
    <w:uiPriority w:val="69"/>
    <w:semiHidden/>
    <w:rsid w:val="003B7CFF"/>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uiPriority w:val="69"/>
    <w:semiHidden/>
    <w:rsid w:val="003B7CFF"/>
    <w:pPr>
      <w:ind w:firstLine="210"/>
    </w:pPr>
  </w:style>
  <w:style w:type="character" w:customStyle="1" w:styleId="BodyTextFirstIndent2Char">
    <w:name w:val="Body Text First Indent 2 Char"/>
    <w:basedOn w:val="BodyTextIndentChar"/>
    <w:link w:val="BodyTextFirstIndent2"/>
    <w:uiPriority w:val="69"/>
    <w:semiHidden/>
    <w:rsid w:val="003B7CFF"/>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69"/>
    <w:semiHidden/>
    <w:rsid w:val="003B7CFF"/>
    <w:pPr>
      <w:spacing w:after="120" w:line="480" w:lineRule="auto"/>
      <w:ind w:left="360"/>
    </w:pPr>
  </w:style>
  <w:style w:type="character" w:customStyle="1" w:styleId="BodyTextIndent2Char">
    <w:name w:val="Body Text Indent 2 Char"/>
    <w:basedOn w:val="DefaultParagraphFont"/>
    <w:link w:val="BodyTextIndent2"/>
    <w:uiPriority w:val="69"/>
    <w:semiHidden/>
    <w:rsid w:val="003B7CFF"/>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69"/>
    <w:semiHidden/>
    <w:rsid w:val="003B7CFF"/>
    <w:pPr>
      <w:spacing w:after="120"/>
      <w:ind w:left="360"/>
    </w:pPr>
    <w:rPr>
      <w:sz w:val="16"/>
      <w:szCs w:val="16"/>
    </w:rPr>
  </w:style>
  <w:style w:type="character" w:customStyle="1" w:styleId="BodyTextIndent3Char">
    <w:name w:val="Body Text Indent 3 Char"/>
    <w:basedOn w:val="DefaultParagraphFont"/>
    <w:link w:val="BodyTextIndent3"/>
    <w:uiPriority w:val="69"/>
    <w:semiHidden/>
    <w:rsid w:val="003B7CFF"/>
    <w:rPr>
      <w:rFonts w:ascii="Times New Roman" w:eastAsia="Times New Roman" w:hAnsi="Times New Roman" w:cs="Times New Roman"/>
      <w:sz w:val="16"/>
      <w:szCs w:val="16"/>
      <w:lang w:val="en-GB"/>
    </w:rPr>
  </w:style>
  <w:style w:type="numbering" w:styleId="111111">
    <w:name w:val="Outline List 2"/>
    <w:basedOn w:val="NoList"/>
    <w:uiPriority w:val="99"/>
    <w:semiHidden/>
    <w:unhideWhenUsed/>
    <w:rsid w:val="003B7CFF"/>
    <w:pPr>
      <w:numPr>
        <w:numId w:val="23"/>
      </w:numPr>
    </w:pPr>
  </w:style>
  <w:style w:type="numbering" w:styleId="1ai">
    <w:name w:val="Outline List 1"/>
    <w:basedOn w:val="NoList"/>
    <w:uiPriority w:val="99"/>
    <w:semiHidden/>
    <w:unhideWhenUsed/>
    <w:rsid w:val="003B7CFF"/>
    <w:pPr>
      <w:numPr>
        <w:numId w:val="24"/>
      </w:numPr>
    </w:pPr>
  </w:style>
  <w:style w:type="numbering" w:styleId="ArticleSection">
    <w:name w:val="Outline List 3"/>
    <w:basedOn w:val="NoList"/>
    <w:uiPriority w:val="99"/>
    <w:semiHidden/>
    <w:unhideWhenUsed/>
    <w:rsid w:val="003B7CFF"/>
    <w:pPr>
      <w:numPr>
        <w:numId w:val="25"/>
      </w:numPr>
    </w:pPr>
  </w:style>
  <w:style w:type="paragraph" w:styleId="Closing">
    <w:name w:val="Closing"/>
    <w:basedOn w:val="Normal"/>
    <w:link w:val="ClosingChar"/>
    <w:uiPriority w:val="69"/>
    <w:semiHidden/>
    <w:rsid w:val="003B7CFF"/>
    <w:pPr>
      <w:ind w:left="4320"/>
    </w:pPr>
  </w:style>
  <w:style w:type="character" w:customStyle="1" w:styleId="ClosingChar">
    <w:name w:val="Closing Char"/>
    <w:basedOn w:val="DefaultParagraphFont"/>
    <w:link w:val="Closing"/>
    <w:uiPriority w:val="69"/>
    <w:semiHidden/>
    <w:rsid w:val="003B7CFF"/>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69"/>
    <w:semiHidden/>
    <w:rsid w:val="003B7CFF"/>
    <w:rPr>
      <w:b/>
      <w:bCs/>
    </w:rPr>
  </w:style>
  <w:style w:type="character" w:customStyle="1" w:styleId="CommentSubjectChar">
    <w:name w:val="Comment Subject Char"/>
    <w:basedOn w:val="CommentTextChar"/>
    <w:link w:val="CommentSubject"/>
    <w:uiPriority w:val="69"/>
    <w:semiHidden/>
    <w:rsid w:val="003B7CFF"/>
    <w:rPr>
      <w:rFonts w:ascii="Times New Roman" w:eastAsia="Times New Roman" w:hAnsi="Times New Roman" w:cs="Times New Roman"/>
      <w:b/>
      <w:bCs/>
      <w:sz w:val="20"/>
      <w:szCs w:val="20"/>
      <w:lang w:val="en-GB"/>
    </w:rPr>
  </w:style>
  <w:style w:type="paragraph" w:customStyle="1" w:styleId="Confidentiality">
    <w:name w:val="Confidentiality"/>
    <w:uiPriority w:val="24"/>
    <w:rsid w:val="003B7CFF"/>
    <w:pPr>
      <w:spacing w:after="0" w:line="240" w:lineRule="auto"/>
    </w:pPr>
    <w:rPr>
      <w:rFonts w:ascii="Times New Roman" w:eastAsia="Times New Roman" w:hAnsi="Times New Roman" w:cs="Times New Roman"/>
      <w:sz w:val="24"/>
      <w:szCs w:val="20"/>
      <w:lang w:val="en-GB"/>
    </w:rPr>
  </w:style>
  <w:style w:type="paragraph" w:styleId="Date">
    <w:name w:val="Date"/>
    <w:basedOn w:val="Normal"/>
    <w:next w:val="Normal"/>
    <w:link w:val="DateChar"/>
    <w:uiPriority w:val="69"/>
    <w:semiHidden/>
    <w:rsid w:val="003B7CFF"/>
  </w:style>
  <w:style w:type="character" w:customStyle="1" w:styleId="DateChar">
    <w:name w:val="Date Char"/>
    <w:basedOn w:val="DefaultParagraphFont"/>
    <w:link w:val="Date"/>
    <w:uiPriority w:val="69"/>
    <w:semiHidden/>
    <w:rsid w:val="003B7CFF"/>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69"/>
    <w:semiHidden/>
    <w:rsid w:val="003B7CFF"/>
    <w:pPr>
      <w:shd w:val="clear" w:color="auto" w:fill="000080"/>
    </w:pPr>
    <w:rPr>
      <w:rFonts w:ascii="Tahoma" w:hAnsi="Tahoma" w:cs="Tahoma"/>
    </w:rPr>
  </w:style>
  <w:style w:type="character" w:customStyle="1" w:styleId="DocumentMapChar">
    <w:name w:val="Document Map Char"/>
    <w:basedOn w:val="DefaultParagraphFont"/>
    <w:link w:val="DocumentMap"/>
    <w:uiPriority w:val="69"/>
    <w:semiHidden/>
    <w:rsid w:val="003B7CFF"/>
    <w:rPr>
      <w:rFonts w:ascii="Tahoma" w:eastAsia="Times New Roman" w:hAnsi="Tahoma" w:cs="Tahoma"/>
      <w:sz w:val="24"/>
      <w:szCs w:val="24"/>
      <w:shd w:val="clear" w:color="auto" w:fill="000080"/>
      <w:lang w:val="en-GB"/>
    </w:rPr>
  </w:style>
  <w:style w:type="paragraph" w:styleId="E-mailSignature">
    <w:name w:val="E-mail Signature"/>
    <w:basedOn w:val="Normal"/>
    <w:link w:val="E-mailSignatureChar"/>
    <w:uiPriority w:val="69"/>
    <w:semiHidden/>
    <w:rsid w:val="003B7CFF"/>
  </w:style>
  <w:style w:type="character" w:customStyle="1" w:styleId="E-mailSignatureChar">
    <w:name w:val="E-mail Signature Char"/>
    <w:basedOn w:val="DefaultParagraphFont"/>
    <w:link w:val="E-mailSignature"/>
    <w:uiPriority w:val="69"/>
    <w:semiHidden/>
    <w:rsid w:val="003B7CFF"/>
    <w:rPr>
      <w:rFonts w:ascii="Times New Roman" w:eastAsia="Times New Roman" w:hAnsi="Times New Roman" w:cs="Times New Roman"/>
      <w:sz w:val="24"/>
      <w:szCs w:val="24"/>
      <w:lang w:val="en-GB"/>
    </w:rPr>
  </w:style>
  <w:style w:type="character" w:styleId="Emphasis">
    <w:name w:val="Emphasis"/>
    <w:uiPriority w:val="69"/>
    <w:qFormat/>
    <w:rsid w:val="003B7CFF"/>
    <w:rPr>
      <w:i/>
      <w:iCs/>
    </w:rPr>
  </w:style>
  <w:style w:type="character" w:styleId="EndnoteReference">
    <w:name w:val="endnote reference"/>
    <w:uiPriority w:val="69"/>
    <w:semiHidden/>
    <w:rsid w:val="003B7CFF"/>
    <w:rPr>
      <w:vertAlign w:val="superscript"/>
    </w:rPr>
  </w:style>
  <w:style w:type="paragraph" w:styleId="EndnoteText">
    <w:name w:val="endnote text"/>
    <w:basedOn w:val="Normal"/>
    <w:link w:val="EndnoteTextChar"/>
    <w:uiPriority w:val="69"/>
    <w:semiHidden/>
    <w:rsid w:val="003B7CFF"/>
    <w:rPr>
      <w:sz w:val="20"/>
      <w:szCs w:val="20"/>
    </w:rPr>
  </w:style>
  <w:style w:type="character" w:customStyle="1" w:styleId="EndnoteTextChar">
    <w:name w:val="Endnote Text Char"/>
    <w:basedOn w:val="DefaultParagraphFont"/>
    <w:link w:val="EndnoteText"/>
    <w:uiPriority w:val="69"/>
    <w:semiHidden/>
    <w:rsid w:val="003B7CFF"/>
    <w:rPr>
      <w:rFonts w:ascii="Times New Roman" w:eastAsia="Times New Roman" w:hAnsi="Times New Roman" w:cs="Times New Roman"/>
      <w:sz w:val="20"/>
      <w:szCs w:val="20"/>
      <w:lang w:val="en-GB"/>
    </w:rPr>
  </w:style>
  <w:style w:type="paragraph" w:styleId="EnvelopeAddress">
    <w:name w:val="envelope address"/>
    <w:basedOn w:val="Normal"/>
    <w:uiPriority w:val="69"/>
    <w:semiHidden/>
    <w:rsid w:val="003B7CFF"/>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69"/>
    <w:semiHidden/>
    <w:rsid w:val="003B7CFF"/>
    <w:rPr>
      <w:rFonts w:ascii="Arial" w:hAnsi="Arial" w:cs="Arial"/>
      <w:sz w:val="20"/>
      <w:szCs w:val="20"/>
    </w:rPr>
  </w:style>
  <w:style w:type="paragraph" w:customStyle="1" w:styleId="Equation">
    <w:name w:val="Equation"/>
    <w:next w:val="Paragraph"/>
    <w:uiPriority w:val="19"/>
    <w:rsid w:val="003B7CFF"/>
    <w:pPr>
      <w:keepLines/>
      <w:spacing w:after="120" w:line="240" w:lineRule="auto"/>
      <w:jc w:val="center"/>
    </w:pPr>
    <w:rPr>
      <w:rFonts w:ascii="Times New Roman" w:eastAsia="Times New Roman" w:hAnsi="Times New Roman" w:cs="Times New Roman"/>
      <w:color w:val="000000"/>
      <w:sz w:val="24"/>
      <w:szCs w:val="24"/>
      <w:lang w:val="en-US"/>
    </w:rPr>
  </w:style>
  <w:style w:type="paragraph" w:customStyle="1" w:styleId="EquationTitle">
    <w:name w:val="Equation Title"/>
    <w:next w:val="Equation"/>
    <w:uiPriority w:val="19"/>
    <w:rsid w:val="003B7CFF"/>
    <w:pPr>
      <w:keepNext/>
      <w:keepLines/>
      <w:spacing w:after="120" w:line="240" w:lineRule="auto"/>
      <w:ind w:left="1134" w:hanging="1134"/>
    </w:pPr>
    <w:rPr>
      <w:rFonts w:ascii="Times New Roman" w:eastAsia="Times New Roman" w:hAnsi="Times New Roman" w:cs="Times New Roman"/>
      <w:b/>
      <w:color w:val="000000"/>
      <w:sz w:val="24"/>
      <w:szCs w:val="24"/>
      <w:lang w:val="en-US"/>
    </w:rPr>
  </w:style>
  <w:style w:type="paragraph" w:customStyle="1" w:styleId="Figure">
    <w:name w:val="Figure"/>
    <w:next w:val="Paragraph"/>
    <w:uiPriority w:val="17"/>
    <w:rsid w:val="003B7CFF"/>
    <w:pPr>
      <w:spacing w:after="240" w:line="240" w:lineRule="auto"/>
      <w:jc w:val="center"/>
    </w:pPr>
    <w:rPr>
      <w:rFonts w:ascii="Times New Roman" w:eastAsia="Times New Roman" w:hAnsi="Times New Roman" w:cs="Times New Roman"/>
      <w:sz w:val="24"/>
      <w:szCs w:val="20"/>
      <w:lang w:val="en-GB"/>
    </w:rPr>
  </w:style>
  <w:style w:type="paragraph" w:customStyle="1" w:styleId="FigureEndofTextTitle">
    <w:name w:val="Figure End of Text Title"/>
    <w:next w:val="Figure"/>
    <w:uiPriority w:val="18"/>
    <w:rsid w:val="003B7CFF"/>
    <w:pPr>
      <w:spacing w:after="120" w:line="240" w:lineRule="auto"/>
    </w:pPr>
    <w:rPr>
      <w:rFonts w:ascii="Times New Roman" w:eastAsia="Times New Roman" w:hAnsi="Times New Roman" w:cs="Arial"/>
      <w:b/>
      <w:bCs/>
      <w:iCs/>
      <w:sz w:val="24"/>
      <w:szCs w:val="48"/>
      <w:lang w:val="en-GB"/>
    </w:rPr>
  </w:style>
  <w:style w:type="paragraph" w:customStyle="1" w:styleId="TableTitle">
    <w:name w:val="Table Title"/>
    <w:next w:val="Paragraph"/>
    <w:uiPriority w:val="10"/>
    <w:qFormat/>
    <w:rsid w:val="003B7CFF"/>
    <w:pPr>
      <w:keepNext/>
      <w:keepLines/>
      <w:tabs>
        <w:tab w:val="left" w:pos="1701"/>
      </w:tabs>
      <w:spacing w:after="120" w:line="240" w:lineRule="auto"/>
      <w:ind w:left="1701" w:hanging="1701"/>
    </w:pPr>
    <w:rPr>
      <w:rFonts w:ascii="Times New Roman" w:eastAsia="Times New Roman" w:hAnsi="Times New Roman" w:cs="Times New Roman"/>
      <w:b/>
      <w:color w:val="000000"/>
      <w:sz w:val="24"/>
      <w:szCs w:val="24"/>
      <w:lang w:val="en-GB"/>
    </w:rPr>
  </w:style>
  <w:style w:type="paragraph" w:customStyle="1" w:styleId="FigureTitle">
    <w:name w:val="Figure Title"/>
    <w:basedOn w:val="TableTitle"/>
    <w:next w:val="Figure"/>
    <w:uiPriority w:val="17"/>
    <w:qFormat/>
    <w:rsid w:val="003B7CFF"/>
  </w:style>
  <w:style w:type="paragraph" w:customStyle="1" w:styleId="FigureSummaryTitle">
    <w:name w:val="Figure Summary Title"/>
    <w:basedOn w:val="FigureTitle"/>
    <w:next w:val="Paragraph"/>
    <w:uiPriority w:val="99"/>
    <w:semiHidden/>
    <w:rsid w:val="003B7CFF"/>
  </w:style>
  <w:style w:type="character" w:styleId="FollowedHyperlink">
    <w:name w:val="FollowedHyperlink"/>
    <w:uiPriority w:val="99"/>
    <w:semiHidden/>
    <w:rsid w:val="003B7CFF"/>
    <w:rPr>
      <w:color w:val="800080"/>
      <w:u w:val="single"/>
    </w:rPr>
  </w:style>
  <w:style w:type="paragraph" w:styleId="Header">
    <w:name w:val="header"/>
    <w:link w:val="HeaderChar"/>
    <w:uiPriority w:val="99"/>
    <w:rsid w:val="003B7CFF"/>
    <w:pPr>
      <w:spacing w:after="0" w:line="240" w:lineRule="auto"/>
    </w:pPr>
    <w:rPr>
      <w:rFonts w:ascii="Times New Roman" w:eastAsia="Times New Roman" w:hAnsi="Times New Roman" w:cs="Times New Roman"/>
      <w:sz w:val="20"/>
      <w:szCs w:val="20"/>
      <w:lang w:val="en-GB"/>
    </w:rPr>
  </w:style>
  <w:style w:type="character" w:customStyle="1" w:styleId="HeaderChar">
    <w:name w:val="Header Char"/>
    <w:basedOn w:val="DefaultParagraphFont"/>
    <w:link w:val="Header"/>
    <w:uiPriority w:val="99"/>
    <w:rsid w:val="003B7CFF"/>
    <w:rPr>
      <w:rFonts w:ascii="Times New Roman" w:eastAsia="Times New Roman" w:hAnsi="Times New Roman" w:cs="Times New Roman"/>
      <w:sz w:val="20"/>
      <w:szCs w:val="20"/>
      <w:lang w:val="en-GB"/>
    </w:rPr>
  </w:style>
  <w:style w:type="paragraph" w:customStyle="1" w:styleId="Heading1NoTOC">
    <w:name w:val="Heading 1 No TOC"/>
    <w:basedOn w:val="Heading1"/>
    <w:next w:val="Paragraph"/>
    <w:uiPriority w:val="6"/>
    <w:qFormat/>
    <w:rsid w:val="003B7CFF"/>
    <w:pPr>
      <w:numPr>
        <w:numId w:val="0"/>
      </w:numPr>
      <w:outlineLvl w:val="9"/>
    </w:pPr>
    <w:rPr>
      <w:rFonts w:ascii="Times New Roman Bold" w:hAnsi="Times New Roman Bold"/>
      <w:bCs w:val="0"/>
      <w:szCs w:val="48"/>
    </w:rPr>
  </w:style>
  <w:style w:type="paragraph" w:customStyle="1" w:styleId="Heading1Unnumbered">
    <w:name w:val="Heading 1 Unnumbered"/>
    <w:basedOn w:val="Heading1"/>
    <w:next w:val="Paragraph"/>
    <w:uiPriority w:val="5"/>
    <w:qFormat/>
    <w:rsid w:val="003B7CFF"/>
    <w:pPr>
      <w:numPr>
        <w:numId w:val="0"/>
      </w:numPr>
      <w:tabs>
        <w:tab w:val="left" w:pos="0"/>
        <w:tab w:val="left" w:pos="1134"/>
      </w:tabs>
      <w:outlineLvl w:val="4"/>
    </w:pPr>
    <w:rPr>
      <w:szCs w:val="48"/>
    </w:rPr>
  </w:style>
  <w:style w:type="paragraph" w:customStyle="1" w:styleId="Heading2NoTOC">
    <w:name w:val="Heading 2 No TOC"/>
    <w:basedOn w:val="Heading2"/>
    <w:next w:val="Paragraph"/>
    <w:uiPriority w:val="6"/>
    <w:qFormat/>
    <w:rsid w:val="003B7CFF"/>
    <w:pPr>
      <w:numPr>
        <w:ilvl w:val="0"/>
        <w:numId w:val="0"/>
      </w:numPr>
      <w:outlineLvl w:val="9"/>
    </w:pPr>
  </w:style>
  <w:style w:type="paragraph" w:customStyle="1" w:styleId="Heading2Unnumbered">
    <w:name w:val="Heading 2 Unnumbered"/>
    <w:basedOn w:val="Heading2"/>
    <w:next w:val="Paragraph"/>
    <w:uiPriority w:val="5"/>
    <w:qFormat/>
    <w:rsid w:val="003B7CFF"/>
    <w:pPr>
      <w:numPr>
        <w:ilvl w:val="0"/>
        <w:numId w:val="0"/>
      </w:numPr>
      <w:tabs>
        <w:tab w:val="left" w:pos="1134"/>
      </w:tabs>
      <w:outlineLvl w:val="5"/>
    </w:pPr>
  </w:style>
  <w:style w:type="paragraph" w:customStyle="1" w:styleId="Heading3NoTOC">
    <w:name w:val="Heading 3 No TOC"/>
    <w:basedOn w:val="Heading3"/>
    <w:next w:val="Paragraph"/>
    <w:uiPriority w:val="6"/>
    <w:qFormat/>
    <w:rsid w:val="003B7CFF"/>
    <w:pPr>
      <w:numPr>
        <w:ilvl w:val="0"/>
        <w:numId w:val="0"/>
      </w:numPr>
      <w:outlineLvl w:val="9"/>
    </w:pPr>
    <w:rPr>
      <w:sz w:val="24"/>
      <w:u w:val="single"/>
    </w:rPr>
  </w:style>
  <w:style w:type="paragraph" w:customStyle="1" w:styleId="Heading3Unnumbered">
    <w:name w:val="Heading 3 Unnumbered"/>
    <w:basedOn w:val="Heading3"/>
    <w:next w:val="Paragraph"/>
    <w:uiPriority w:val="5"/>
    <w:qFormat/>
    <w:rsid w:val="00EC60F8"/>
    <w:pPr>
      <w:numPr>
        <w:ilvl w:val="0"/>
        <w:numId w:val="0"/>
      </w:numPr>
      <w:tabs>
        <w:tab w:val="left" w:pos="1134"/>
      </w:tabs>
      <w:outlineLvl w:val="5"/>
    </w:pPr>
    <w:rPr>
      <w:sz w:val="24"/>
    </w:rPr>
  </w:style>
  <w:style w:type="paragraph" w:customStyle="1" w:styleId="Heading4NoTOC">
    <w:name w:val="Heading 4 No TOC"/>
    <w:basedOn w:val="Heading4"/>
    <w:next w:val="Paragraph"/>
    <w:uiPriority w:val="6"/>
    <w:qFormat/>
    <w:rsid w:val="003B7CFF"/>
    <w:pPr>
      <w:numPr>
        <w:ilvl w:val="0"/>
        <w:numId w:val="0"/>
      </w:numPr>
      <w:outlineLvl w:val="9"/>
    </w:pPr>
    <w:rPr>
      <w:b w:val="0"/>
      <w:u w:val="single"/>
    </w:rPr>
  </w:style>
  <w:style w:type="paragraph" w:customStyle="1" w:styleId="Heading4Unnumbered">
    <w:name w:val="Heading 4 Unnumbered"/>
    <w:basedOn w:val="Heading4"/>
    <w:next w:val="Paragraph"/>
    <w:uiPriority w:val="5"/>
    <w:qFormat/>
    <w:rsid w:val="003B7CFF"/>
    <w:pPr>
      <w:numPr>
        <w:ilvl w:val="0"/>
        <w:numId w:val="0"/>
      </w:numPr>
      <w:tabs>
        <w:tab w:val="left" w:pos="1134"/>
      </w:tabs>
      <w:outlineLvl w:val="6"/>
    </w:pPr>
    <w:rPr>
      <w:i/>
    </w:rPr>
  </w:style>
  <w:style w:type="paragraph" w:styleId="Bibliography">
    <w:name w:val="Bibliography"/>
    <w:basedOn w:val="Normal"/>
    <w:next w:val="Normal"/>
    <w:uiPriority w:val="37"/>
    <w:semiHidden/>
    <w:unhideWhenUsed/>
    <w:rsid w:val="003B7CFF"/>
  </w:style>
  <w:style w:type="paragraph" w:styleId="BlockText">
    <w:name w:val="Block Text"/>
    <w:basedOn w:val="Normal"/>
    <w:uiPriority w:val="99"/>
    <w:semiHidden/>
    <w:unhideWhenUsed/>
    <w:rsid w:val="003B7CF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Caption">
    <w:name w:val="caption"/>
    <w:basedOn w:val="TableTitle"/>
    <w:next w:val="Normal"/>
    <w:uiPriority w:val="49"/>
    <w:unhideWhenUsed/>
    <w:qFormat/>
    <w:rsid w:val="003B7CFF"/>
    <w:pPr>
      <w:spacing w:after="0"/>
    </w:pPr>
    <w:rPr>
      <w:rFonts w:ascii="Times New Roman Bold" w:hAnsi="Times New Roman Bold"/>
      <w:iCs/>
      <w:color w:val="auto"/>
      <w:szCs w:val="18"/>
    </w:rPr>
  </w:style>
  <w:style w:type="character" w:styleId="HTMLAcronym">
    <w:name w:val="HTML Acronym"/>
    <w:basedOn w:val="DefaultParagraphFont"/>
    <w:uiPriority w:val="99"/>
    <w:semiHidden/>
    <w:rsid w:val="003B7CFF"/>
  </w:style>
  <w:style w:type="paragraph" w:styleId="HTMLAddress">
    <w:name w:val="HTML Address"/>
    <w:basedOn w:val="Normal"/>
    <w:link w:val="HTMLAddressChar"/>
    <w:uiPriority w:val="99"/>
    <w:semiHidden/>
    <w:rsid w:val="003B7CFF"/>
    <w:rPr>
      <w:i/>
      <w:iCs/>
    </w:rPr>
  </w:style>
  <w:style w:type="character" w:customStyle="1" w:styleId="HTMLAddressChar">
    <w:name w:val="HTML Address Char"/>
    <w:basedOn w:val="DefaultParagraphFont"/>
    <w:link w:val="HTMLAddress"/>
    <w:uiPriority w:val="99"/>
    <w:semiHidden/>
    <w:rsid w:val="003B7CFF"/>
    <w:rPr>
      <w:rFonts w:ascii="Times New Roman" w:eastAsia="Times New Roman" w:hAnsi="Times New Roman" w:cs="Times New Roman"/>
      <w:i/>
      <w:iCs/>
      <w:sz w:val="24"/>
      <w:szCs w:val="24"/>
      <w:lang w:val="en-GB"/>
    </w:rPr>
  </w:style>
  <w:style w:type="character" w:styleId="HTMLCite">
    <w:name w:val="HTML Cite"/>
    <w:uiPriority w:val="99"/>
    <w:semiHidden/>
    <w:rsid w:val="003B7CFF"/>
    <w:rPr>
      <w:i/>
      <w:iCs/>
    </w:rPr>
  </w:style>
  <w:style w:type="character" w:styleId="HTMLCode">
    <w:name w:val="HTML Code"/>
    <w:uiPriority w:val="99"/>
    <w:semiHidden/>
    <w:rsid w:val="003B7CFF"/>
    <w:rPr>
      <w:rFonts w:ascii="Courier New" w:hAnsi="Courier New" w:cs="Courier New"/>
      <w:sz w:val="20"/>
      <w:szCs w:val="20"/>
    </w:rPr>
  </w:style>
  <w:style w:type="character" w:styleId="HTMLDefinition">
    <w:name w:val="HTML Definition"/>
    <w:uiPriority w:val="99"/>
    <w:semiHidden/>
    <w:rsid w:val="003B7CFF"/>
    <w:rPr>
      <w:i/>
      <w:iCs/>
    </w:rPr>
  </w:style>
  <w:style w:type="character" w:styleId="HTMLKeyboard">
    <w:name w:val="HTML Keyboard"/>
    <w:uiPriority w:val="99"/>
    <w:semiHidden/>
    <w:rsid w:val="003B7CFF"/>
    <w:rPr>
      <w:rFonts w:ascii="Courier New" w:hAnsi="Courier New" w:cs="Courier New"/>
      <w:sz w:val="20"/>
      <w:szCs w:val="20"/>
    </w:rPr>
  </w:style>
  <w:style w:type="paragraph" w:styleId="HTMLPreformatted">
    <w:name w:val="HTML Preformatted"/>
    <w:basedOn w:val="Normal"/>
    <w:link w:val="HTMLPreformattedChar"/>
    <w:uiPriority w:val="99"/>
    <w:semiHidden/>
    <w:rsid w:val="003B7CFF"/>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B7CFF"/>
    <w:rPr>
      <w:rFonts w:ascii="Courier New" w:eastAsia="Times New Roman" w:hAnsi="Courier New" w:cs="Courier New"/>
      <w:sz w:val="20"/>
      <w:szCs w:val="20"/>
      <w:lang w:val="en-GB"/>
    </w:rPr>
  </w:style>
  <w:style w:type="character" w:styleId="HTMLSample">
    <w:name w:val="HTML Sample"/>
    <w:uiPriority w:val="99"/>
    <w:semiHidden/>
    <w:rsid w:val="003B7CFF"/>
    <w:rPr>
      <w:rFonts w:ascii="Courier New" w:hAnsi="Courier New" w:cs="Courier New"/>
    </w:rPr>
  </w:style>
  <w:style w:type="character" w:styleId="HTMLTypewriter">
    <w:name w:val="HTML Typewriter"/>
    <w:uiPriority w:val="99"/>
    <w:semiHidden/>
    <w:rsid w:val="003B7CFF"/>
    <w:rPr>
      <w:rFonts w:ascii="Courier New" w:hAnsi="Courier New" w:cs="Courier New"/>
      <w:sz w:val="20"/>
      <w:szCs w:val="20"/>
    </w:rPr>
  </w:style>
  <w:style w:type="character" w:styleId="HTMLVariable">
    <w:name w:val="HTML Variable"/>
    <w:uiPriority w:val="99"/>
    <w:semiHidden/>
    <w:rsid w:val="003B7CFF"/>
    <w:rPr>
      <w:i/>
      <w:iCs/>
    </w:rPr>
  </w:style>
  <w:style w:type="paragraph" w:styleId="Index1">
    <w:name w:val="index 1"/>
    <w:basedOn w:val="Normal"/>
    <w:next w:val="Normal"/>
    <w:uiPriority w:val="99"/>
    <w:semiHidden/>
    <w:rsid w:val="003B7CFF"/>
    <w:pPr>
      <w:ind w:left="240" w:hanging="240"/>
    </w:pPr>
  </w:style>
  <w:style w:type="paragraph" w:styleId="Index2">
    <w:name w:val="index 2"/>
    <w:basedOn w:val="Normal"/>
    <w:next w:val="Normal"/>
    <w:uiPriority w:val="99"/>
    <w:semiHidden/>
    <w:rsid w:val="003B7CFF"/>
    <w:pPr>
      <w:ind w:left="480" w:hanging="240"/>
    </w:pPr>
  </w:style>
  <w:style w:type="paragraph" w:styleId="Index3">
    <w:name w:val="index 3"/>
    <w:basedOn w:val="Normal"/>
    <w:next w:val="Normal"/>
    <w:uiPriority w:val="99"/>
    <w:semiHidden/>
    <w:rsid w:val="003B7CFF"/>
    <w:pPr>
      <w:ind w:left="720" w:hanging="240"/>
    </w:pPr>
  </w:style>
  <w:style w:type="paragraph" w:styleId="Index4">
    <w:name w:val="index 4"/>
    <w:basedOn w:val="Normal"/>
    <w:next w:val="Normal"/>
    <w:uiPriority w:val="99"/>
    <w:semiHidden/>
    <w:rsid w:val="003B7CFF"/>
    <w:pPr>
      <w:ind w:left="960" w:hanging="240"/>
    </w:pPr>
  </w:style>
  <w:style w:type="paragraph" w:styleId="Index5">
    <w:name w:val="index 5"/>
    <w:basedOn w:val="Normal"/>
    <w:next w:val="Normal"/>
    <w:uiPriority w:val="99"/>
    <w:semiHidden/>
    <w:rsid w:val="003B7CFF"/>
    <w:pPr>
      <w:ind w:left="1200" w:hanging="240"/>
    </w:pPr>
  </w:style>
  <w:style w:type="paragraph" w:styleId="Index6">
    <w:name w:val="index 6"/>
    <w:basedOn w:val="Normal"/>
    <w:next w:val="Normal"/>
    <w:uiPriority w:val="99"/>
    <w:semiHidden/>
    <w:rsid w:val="003B7CFF"/>
    <w:pPr>
      <w:ind w:left="1440" w:hanging="240"/>
    </w:pPr>
  </w:style>
  <w:style w:type="paragraph" w:styleId="Index7">
    <w:name w:val="index 7"/>
    <w:basedOn w:val="Normal"/>
    <w:next w:val="Normal"/>
    <w:uiPriority w:val="99"/>
    <w:semiHidden/>
    <w:rsid w:val="003B7CFF"/>
    <w:pPr>
      <w:ind w:left="1680" w:hanging="240"/>
    </w:pPr>
  </w:style>
  <w:style w:type="paragraph" w:styleId="Index8">
    <w:name w:val="index 8"/>
    <w:basedOn w:val="Normal"/>
    <w:next w:val="Normal"/>
    <w:uiPriority w:val="99"/>
    <w:semiHidden/>
    <w:rsid w:val="003B7CFF"/>
    <w:pPr>
      <w:ind w:left="1920" w:hanging="240"/>
    </w:pPr>
  </w:style>
  <w:style w:type="paragraph" w:styleId="Index9">
    <w:name w:val="index 9"/>
    <w:basedOn w:val="Normal"/>
    <w:next w:val="Normal"/>
    <w:uiPriority w:val="99"/>
    <w:semiHidden/>
    <w:rsid w:val="003B7CFF"/>
    <w:pPr>
      <w:ind w:left="2160" w:hanging="240"/>
    </w:pPr>
  </w:style>
  <w:style w:type="paragraph" w:styleId="IndexHeading">
    <w:name w:val="index heading"/>
    <w:basedOn w:val="Normal"/>
    <w:next w:val="Index1"/>
    <w:uiPriority w:val="99"/>
    <w:semiHidden/>
    <w:rsid w:val="003B7CFF"/>
    <w:rPr>
      <w:rFonts w:ascii="Arial" w:hAnsi="Arial" w:cs="Arial"/>
      <w:b/>
      <w:bCs/>
    </w:rPr>
  </w:style>
  <w:style w:type="character" w:customStyle="1" w:styleId="Instructions">
    <w:name w:val="Instructions"/>
    <w:uiPriority w:val="22"/>
    <w:qFormat/>
    <w:rsid w:val="003B7CFF"/>
    <w:rPr>
      <w:i/>
      <w:vanish/>
      <w:color w:val="008080"/>
    </w:rPr>
  </w:style>
  <w:style w:type="character" w:styleId="LineNumber">
    <w:name w:val="line number"/>
    <w:basedOn w:val="DefaultParagraphFont"/>
    <w:uiPriority w:val="99"/>
    <w:semiHidden/>
    <w:rsid w:val="003B7CFF"/>
  </w:style>
  <w:style w:type="paragraph" w:styleId="List">
    <w:name w:val="List"/>
    <w:basedOn w:val="Normal"/>
    <w:uiPriority w:val="99"/>
    <w:semiHidden/>
    <w:rsid w:val="003B7CFF"/>
    <w:pPr>
      <w:ind w:left="360" w:hanging="360"/>
    </w:pPr>
  </w:style>
  <w:style w:type="paragraph" w:styleId="List2">
    <w:name w:val="List 2"/>
    <w:basedOn w:val="Normal"/>
    <w:uiPriority w:val="99"/>
    <w:semiHidden/>
    <w:rsid w:val="003B7CFF"/>
    <w:pPr>
      <w:ind w:left="720" w:hanging="360"/>
    </w:pPr>
  </w:style>
  <w:style w:type="paragraph" w:styleId="List3">
    <w:name w:val="List 3"/>
    <w:basedOn w:val="Normal"/>
    <w:uiPriority w:val="99"/>
    <w:semiHidden/>
    <w:rsid w:val="003B7CFF"/>
    <w:pPr>
      <w:ind w:left="1080" w:hanging="360"/>
    </w:pPr>
  </w:style>
  <w:style w:type="paragraph" w:styleId="List4">
    <w:name w:val="List 4"/>
    <w:basedOn w:val="Normal"/>
    <w:uiPriority w:val="99"/>
    <w:semiHidden/>
    <w:rsid w:val="003B7CFF"/>
    <w:pPr>
      <w:ind w:left="1440" w:hanging="360"/>
    </w:pPr>
  </w:style>
  <w:style w:type="paragraph" w:styleId="List5">
    <w:name w:val="List 5"/>
    <w:basedOn w:val="Normal"/>
    <w:uiPriority w:val="99"/>
    <w:semiHidden/>
    <w:rsid w:val="003B7CFF"/>
    <w:pPr>
      <w:ind w:left="1800" w:hanging="360"/>
    </w:pPr>
  </w:style>
  <w:style w:type="paragraph" w:styleId="ListBullet2">
    <w:name w:val="List Bullet 2"/>
    <w:basedOn w:val="Normal"/>
    <w:uiPriority w:val="9"/>
    <w:qFormat/>
    <w:rsid w:val="003B7CFF"/>
    <w:pPr>
      <w:numPr>
        <w:ilvl w:val="1"/>
        <w:numId w:val="21"/>
      </w:numPr>
      <w:spacing w:before="60" w:after="60"/>
    </w:pPr>
  </w:style>
  <w:style w:type="paragraph" w:styleId="ListBullet3">
    <w:name w:val="List Bullet 3"/>
    <w:basedOn w:val="Normal"/>
    <w:uiPriority w:val="9"/>
    <w:qFormat/>
    <w:rsid w:val="003B7CFF"/>
    <w:pPr>
      <w:numPr>
        <w:ilvl w:val="2"/>
        <w:numId w:val="21"/>
      </w:numPr>
      <w:spacing w:before="60" w:after="60"/>
    </w:pPr>
  </w:style>
  <w:style w:type="paragraph" w:styleId="ListBullet4">
    <w:name w:val="List Bullet 4"/>
    <w:basedOn w:val="Normal"/>
    <w:uiPriority w:val="99"/>
    <w:semiHidden/>
    <w:rsid w:val="003B7CFF"/>
    <w:pPr>
      <w:numPr>
        <w:ilvl w:val="3"/>
        <w:numId w:val="21"/>
      </w:numPr>
      <w:spacing w:before="60" w:after="60"/>
    </w:pPr>
  </w:style>
  <w:style w:type="paragraph" w:styleId="ListBullet5">
    <w:name w:val="List Bullet 5"/>
    <w:basedOn w:val="Normal"/>
    <w:uiPriority w:val="99"/>
    <w:semiHidden/>
    <w:rsid w:val="003B7CFF"/>
    <w:pPr>
      <w:tabs>
        <w:tab w:val="num" w:pos="1800"/>
      </w:tabs>
      <w:spacing w:after="60"/>
      <w:ind w:left="1797" w:hanging="357"/>
    </w:pPr>
  </w:style>
  <w:style w:type="paragraph" w:customStyle="1" w:styleId="ListBulletSmall">
    <w:name w:val="List Bullet Small"/>
    <w:basedOn w:val="ListBullet"/>
    <w:uiPriority w:val="9"/>
    <w:qFormat/>
    <w:rsid w:val="003B7CFF"/>
    <w:pPr>
      <w:numPr>
        <w:numId w:val="22"/>
      </w:numPr>
      <w:spacing w:before="40" w:after="40"/>
    </w:pPr>
    <w:rPr>
      <w:sz w:val="20"/>
      <w:szCs w:val="48"/>
    </w:rPr>
  </w:style>
  <w:style w:type="paragraph" w:customStyle="1" w:styleId="ListBulletSmall2">
    <w:name w:val="List Bullet Small 2"/>
    <w:basedOn w:val="ListBullet2"/>
    <w:uiPriority w:val="9"/>
    <w:qFormat/>
    <w:rsid w:val="003B7CFF"/>
    <w:pPr>
      <w:numPr>
        <w:numId w:val="22"/>
      </w:numPr>
      <w:spacing w:before="40" w:after="40"/>
    </w:pPr>
    <w:rPr>
      <w:sz w:val="20"/>
      <w:szCs w:val="48"/>
    </w:rPr>
  </w:style>
  <w:style w:type="paragraph" w:styleId="ListContinue">
    <w:name w:val="List Continue"/>
    <w:basedOn w:val="Normal"/>
    <w:uiPriority w:val="99"/>
    <w:semiHidden/>
    <w:rsid w:val="003B7CFF"/>
    <w:pPr>
      <w:spacing w:after="120"/>
      <w:ind w:left="360"/>
    </w:pPr>
  </w:style>
  <w:style w:type="paragraph" w:styleId="ListContinue2">
    <w:name w:val="List Continue 2"/>
    <w:basedOn w:val="Normal"/>
    <w:uiPriority w:val="99"/>
    <w:semiHidden/>
    <w:rsid w:val="003B7CFF"/>
    <w:pPr>
      <w:spacing w:after="120"/>
      <w:ind w:left="720"/>
    </w:pPr>
  </w:style>
  <w:style w:type="paragraph" w:styleId="ListContinue3">
    <w:name w:val="List Continue 3"/>
    <w:basedOn w:val="Normal"/>
    <w:uiPriority w:val="99"/>
    <w:semiHidden/>
    <w:rsid w:val="003B7CFF"/>
    <w:pPr>
      <w:spacing w:after="120"/>
      <w:ind w:left="1080"/>
    </w:pPr>
  </w:style>
  <w:style w:type="paragraph" w:styleId="ListContinue4">
    <w:name w:val="List Continue 4"/>
    <w:basedOn w:val="Normal"/>
    <w:uiPriority w:val="99"/>
    <w:semiHidden/>
    <w:rsid w:val="003B7CFF"/>
    <w:pPr>
      <w:spacing w:after="120"/>
      <w:ind w:left="1440"/>
    </w:pPr>
  </w:style>
  <w:style w:type="paragraph" w:styleId="ListContinue5">
    <w:name w:val="List Continue 5"/>
    <w:basedOn w:val="Normal"/>
    <w:uiPriority w:val="99"/>
    <w:semiHidden/>
    <w:rsid w:val="003B7CFF"/>
    <w:pPr>
      <w:spacing w:after="120"/>
      <w:ind w:left="1800"/>
    </w:pPr>
  </w:style>
  <w:style w:type="paragraph" w:customStyle="1" w:styleId="ListEnd">
    <w:name w:val="List End"/>
    <w:next w:val="Paragraph"/>
    <w:uiPriority w:val="10"/>
    <w:qFormat/>
    <w:rsid w:val="003B7CFF"/>
    <w:pPr>
      <w:spacing w:after="0" w:line="240" w:lineRule="auto"/>
    </w:pPr>
    <w:rPr>
      <w:rFonts w:ascii="Times New Roman" w:eastAsia="Times New Roman" w:hAnsi="Times New Roman" w:cs="Times New Roman"/>
      <w:sz w:val="24"/>
      <w:szCs w:val="20"/>
      <w:lang w:val="en-GB"/>
    </w:rPr>
  </w:style>
  <w:style w:type="paragraph" w:customStyle="1" w:styleId="ListHyphen">
    <w:name w:val="List Hyphen"/>
    <w:uiPriority w:val="99"/>
    <w:semiHidden/>
    <w:rsid w:val="003B7CFF"/>
    <w:pPr>
      <w:numPr>
        <w:numId w:val="14"/>
      </w:numPr>
      <w:spacing w:after="0" w:line="240" w:lineRule="auto"/>
    </w:pPr>
    <w:rPr>
      <w:rFonts w:ascii="Times New Roman" w:eastAsia="Times New Roman" w:hAnsi="Times New Roman" w:cs="Times New Roman"/>
      <w:sz w:val="24"/>
      <w:szCs w:val="20"/>
      <w:lang w:val="en-US"/>
    </w:rPr>
  </w:style>
  <w:style w:type="paragraph" w:styleId="ListNumber">
    <w:name w:val="List Number"/>
    <w:basedOn w:val="Normal"/>
    <w:uiPriority w:val="9"/>
    <w:qFormat/>
    <w:rsid w:val="003B7CFF"/>
    <w:pPr>
      <w:numPr>
        <w:numId w:val="26"/>
      </w:numPr>
      <w:spacing w:before="60" w:after="60"/>
    </w:pPr>
  </w:style>
  <w:style w:type="paragraph" w:styleId="ListNumber2">
    <w:name w:val="List Number 2"/>
    <w:basedOn w:val="ListNumber"/>
    <w:uiPriority w:val="9"/>
    <w:qFormat/>
    <w:rsid w:val="003B7CFF"/>
    <w:pPr>
      <w:numPr>
        <w:ilvl w:val="1"/>
      </w:numPr>
    </w:pPr>
  </w:style>
  <w:style w:type="paragraph" w:styleId="ListNumber3">
    <w:name w:val="List Number 3"/>
    <w:basedOn w:val="ListNumber"/>
    <w:uiPriority w:val="9"/>
    <w:qFormat/>
    <w:rsid w:val="003B7CFF"/>
    <w:pPr>
      <w:numPr>
        <w:ilvl w:val="2"/>
      </w:numPr>
    </w:pPr>
  </w:style>
  <w:style w:type="paragraph" w:styleId="ListNumber4">
    <w:name w:val="List Number 4"/>
    <w:basedOn w:val="Normal"/>
    <w:uiPriority w:val="99"/>
    <w:semiHidden/>
    <w:rsid w:val="003B7CFF"/>
    <w:pPr>
      <w:tabs>
        <w:tab w:val="num" w:pos="1440"/>
      </w:tabs>
      <w:spacing w:after="60"/>
      <w:ind w:left="1434" w:hanging="357"/>
    </w:pPr>
  </w:style>
  <w:style w:type="paragraph" w:styleId="ListNumber5">
    <w:name w:val="List Number 5"/>
    <w:basedOn w:val="Normal"/>
    <w:uiPriority w:val="99"/>
    <w:semiHidden/>
    <w:rsid w:val="003B7CFF"/>
    <w:pPr>
      <w:tabs>
        <w:tab w:val="num" w:pos="1800"/>
      </w:tabs>
      <w:spacing w:after="60"/>
      <w:ind w:left="1797" w:hanging="357"/>
    </w:pPr>
  </w:style>
  <w:style w:type="paragraph" w:styleId="MacroText">
    <w:name w:val="macro"/>
    <w:link w:val="MacroTextChar"/>
    <w:uiPriority w:val="99"/>
    <w:semiHidden/>
    <w:rsid w:val="003B7CF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uiPriority w:val="99"/>
    <w:semiHidden/>
    <w:rsid w:val="003B7CFF"/>
    <w:rPr>
      <w:rFonts w:ascii="Courier New" w:eastAsia="Times New Roman" w:hAnsi="Courier New" w:cs="Courier New"/>
      <w:sz w:val="20"/>
      <w:szCs w:val="20"/>
      <w:lang w:val="en-US"/>
    </w:rPr>
  </w:style>
  <w:style w:type="paragraph" w:styleId="MessageHeader">
    <w:name w:val="Message Header"/>
    <w:basedOn w:val="Normal"/>
    <w:link w:val="MessageHeaderChar"/>
    <w:uiPriority w:val="99"/>
    <w:semiHidden/>
    <w:rsid w:val="003B7CF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rsid w:val="003B7CFF"/>
    <w:rPr>
      <w:rFonts w:ascii="Arial" w:eastAsia="Times New Roman" w:hAnsi="Arial" w:cs="Arial"/>
      <w:sz w:val="24"/>
      <w:szCs w:val="24"/>
      <w:shd w:val="pct20" w:color="auto" w:fill="auto"/>
      <w:lang w:val="en-GB"/>
    </w:rPr>
  </w:style>
  <w:style w:type="paragraph" w:styleId="NormalWeb">
    <w:name w:val="Normal (Web)"/>
    <w:basedOn w:val="Normal"/>
    <w:uiPriority w:val="99"/>
    <w:semiHidden/>
    <w:rsid w:val="003B7CFF"/>
  </w:style>
  <w:style w:type="paragraph" w:styleId="NormalIndent">
    <w:name w:val="Normal Indent"/>
    <w:basedOn w:val="Normal"/>
    <w:uiPriority w:val="99"/>
    <w:semiHidden/>
    <w:rsid w:val="003B7CFF"/>
    <w:pPr>
      <w:ind w:left="720"/>
    </w:pPr>
  </w:style>
  <w:style w:type="paragraph" w:styleId="NoteHeading">
    <w:name w:val="Note Heading"/>
    <w:basedOn w:val="Normal"/>
    <w:next w:val="Normal"/>
    <w:link w:val="NoteHeadingChar"/>
    <w:uiPriority w:val="99"/>
    <w:semiHidden/>
    <w:rsid w:val="003B7CFF"/>
  </w:style>
  <w:style w:type="character" w:customStyle="1" w:styleId="NoteHeadingChar">
    <w:name w:val="Note Heading Char"/>
    <w:basedOn w:val="DefaultParagraphFont"/>
    <w:link w:val="NoteHeading"/>
    <w:uiPriority w:val="99"/>
    <w:semiHidden/>
    <w:rsid w:val="003B7CFF"/>
    <w:rPr>
      <w:rFonts w:ascii="Times New Roman" w:eastAsia="Times New Roman" w:hAnsi="Times New Roman" w:cs="Times New Roman"/>
      <w:sz w:val="24"/>
      <w:szCs w:val="24"/>
      <w:lang w:val="en-GB"/>
    </w:rPr>
  </w:style>
  <w:style w:type="character" w:styleId="PageNumber">
    <w:name w:val="page number"/>
    <w:basedOn w:val="DefaultParagraphFont"/>
    <w:uiPriority w:val="99"/>
    <w:semiHidden/>
    <w:rsid w:val="003B7CFF"/>
  </w:style>
  <w:style w:type="character" w:styleId="PlaceholderText">
    <w:name w:val="Placeholder Text"/>
    <w:basedOn w:val="DefaultParagraphFont"/>
    <w:uiPriority w:val="99"/>
    <w:semiHidden/>
    <w:rsid w:val="003B7CFF"/>
    <w:rPr>
      <w:color w:val="808080"/>
    </w:rPr>
  </w:style>
  <w:style w:type="paragraph" w:styleId="PlainText">
    <w:name w:val="Plain Text"/>
    <w:basedOn w:val="Normal"/>
    <w:link w:val="PlainTextChar"/>
    <w:uiPriority w:val="49"/>
    <w:semiHidden/>
    <w:rsid w:val="003B7CFF"/>
    <w:rPr>
      <w:rFonts w:ascii="Courier New" w:hAnsi="Courier New" w:cs="Courier New"/>
      <w:sz w:val="20"/>
      <w:szCs w:val="20"/>
    </w:rPr>
  </w:style>
  <w:style w:type="character" w:customStyle="1" w:styleId="PlainTextChar">
    <w:name w:val="Plain Text Char"/>
    <w:basedOn w:val="DefaultParagraphFont"/>
    <w:link w:val="PlainText"/>
    <w:uiPriority w:val="49"/>
    <w:semiHidden/>
    <w:rsid w:val="003B7CFF"/>
    <w:rPr>
      <w:rFonts w:ascii="Courier New" w:eastAsia="Times New Roman" w:hAnsi="Courier New" w:cs="Courier New"/>
      <w:sz w:val="20"/>
      <w:szCs w:val="20"/>
      <w:lang w:val="en-GB"/>
    </w:rPr>
  </w:style>
  <w:style w:type="paragraph" w:customStyle="1" w:styleId="References">
    <w:name w:val="References"/>
    <w:uiPriority w:val="24"/>
    <w:rsid w:val="003B7CFF"/>
    <w:pPr>
      <w:numPr>
        <w:numId w:val="19"/>
      </w:numPr>
      <w:tabs>
        <w:tab w:val="clear" w:pos="360"/>
        <w:tab w:val="left" w:pos="425"/>
      </w:tabs>
      <w:spacing w:after="240" w:line="240" w:lineRule="auto"/>
      <w:ind w:left="425" w:hanging="425"/>
    </w:pPr>
    <w:rPr>
      <w:rFonts w:ascii="Times New Roman" w:eastAsia="Times New Roman" w:hAnsi="Times New Roman" w:cs="Arial"/>
      <w:bCs/>
      <w:kern w:val="32"/>
      <w:sz w:val="24"/>
      <w:szCs w:val="24"/>
      <w:lang w:val="en-GB"/>
    </w:rPr>
  </w:style>
  <w:style w:type="paragraph" w:styleId="Salutation">
    <w:name w:val="Salutation"/>
    <w:basedOn w:val="Normal"/>
    <w:next w:val="Normal"/>
    <w:link w:val="SalutationChar"/>
    <w:uiPriority w:val="49"/>
    <w:semiHidden/>
    <w:rsid w:val="003B7CFF"/>
  </w:style>
  <w:style w:type="character" w:customStyle="1" w:styleId="SalutationChar">
    <w:name w:val="Salutation Char"/>
    <w:basedOn w:val="DefaultParagraphFont"/>
    <w:link w:val="Salutation"/>
    <w:uiPriority w:val="49"/>
    <w:semiHidden/>
    <w:rsid w:val="003B7CFF"/>
    <w:rPr>
      <w:rFonts w:ascii="Times New Roman" w:eastAsia="Times New Roman" w:hAnsi="Times New Roman" w:cs="Times New Roman"/>
      <w:sz w:val="24"/>
      <w:szCs w:val="24"/>
      <w:lang w:val="en-GB"/>
    </w:rPr>
  </w:style>
  <w:style w:type="paragraph" w:customStyle="1" w:styleId="Sequence">
    <w:name w:val="Sequence"/>
    <w:basedOn w:val="Normal"/>
    <w:next w:val="Paragraph"/>
    <w:uiPriority w:val="24"/>
    <w:rsid w:val="003B7CFF"/>
    <w:pPr>
      <w:keepNext/>
      <w:spacing w:after="0" w:line="240" w:lineRule="auto"/>
    </w:pPr>
    <w:rPr>
      <w:rFonts w:ascii="Courier New" w:hAnsi="Courier New"/>
      <w:sz w:val="20"/>
    </w:rPr>
  </w:style>
  <w:style w:type="paragraph" w:styleId="Signature">
    <w:name w:val="Signature"/>
    <w:basedOn w:val="Normal"/>
    <w:link w:val="SignatureChar"/>
    <w:uiPriority w:val="49"/>
    <w:semiHidden/>
    <w:rsid w:val="003B7CFF"/>
    <w:pPr>
      <w:ind w:left="4320"/>
    </w:pPr>
  </w:style>
  <w:style w:type="character" w:customStyle="1" w:styleId="SignatureChar">
    <w:name w:val="Signature Char"/>
    <w:basedOn w:val="DefaultParagraphFont"/>
    <w:link w:val="Signature"/>
    <w:uiPriority w:val="49"/>
    <w:semiHidden/>
    <w:rsid w:val="003B7CFF"/>
    <w:rPr>
      <w:rFonts w:ascii="Times New Roman" w:eastAsia="Times New Roman" w:hAnsi="Times New Roman" w:cs="Times New Roman"/>
      <w:sz w:val="24"/>
      <w:szCs w:val="24"/>
      <w:lang w:val="en-GB"/>
    </w:rPr>
  </w:style>
  <w:style w:type="character" w:styleId="Strong">
    <w:name w:val="Strong"/>
    <w:uiPriority w:val="49"/>
    <w:qFormat/>
    <w:rsid w:val="003B7CFF"/>
    <w:rPr>
      <w:b/>
      <w:bCs/>
    </w:rPr>
  </w:style>
  <w:style w:type="paragraph" w:styleId="Subtitle">
    <w:name w:val="Subtitle"/>
    <w:basedOn w:val="Normal"/>
    <w:next w:val="Normal"/>
    <w:link w:val="SubtitleChar"/>
    <w:uiPriority w:val="99"/>
    <w:rsid w:val="003B7CF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B7CFF"/>
    <w:rPr>
      <w:rFonts w:eastAsiaTheme="minorEastAsia"/>
      <w:color w:val="5A5A5A" w:themeColor="text1" w:themeTint="A5"/>
      <w:spacing w:val="15"/>
      <w:lang w:val="en-GB"/>
    </w:rPr>
  </w:style>
  <w:style w:type="table" w:customStyle="1" w:styleId="GridTableLight">
    <w:name w:val="Grid Table Light"/>
    <w:basedOn w:val="TableNormal"/>
    <w:uiPriority w:val="40"/>
    <w:rsid w:val="00EE3A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AHeading">
    <w:name w:val="toa heading"/>
    <w:basedOn w:val="Normal"/>
    <w:next w:val="Normal"/>
    <w:uiPriority w:val="99"/>
    <w:semiHidden/>
    <w:unhideWhenUsed/>
    <w:rsid w:val="00EE3AC8"/>
    <w:pPr>
      <w:spacing w:before="120"/>
    </w:pPr>
    <w:rPr>
      <w:rFonts w:asciiTheme="majorHAnsi" w:eastAsiaTheme="majorEastAsia" w:hAnsiTheme="majorHAnsi" w:cstheme="majorBidi"/>
      <w:b/>
      <w:bCs/>
    </w:rPr>
  </w:style>
  <w:style w:type="character" w:customStyle="1" w:styleId="UnresolvedMention">
    <w:name w:val="Unresolved Mention"/>
    <w:basedOn w:val="DefaultParagraphFont"/>
    <w:uiPriority w:val="99"/>
    <w:semiHidden/>
    <w:unhideWhenUsed/>
    <w:rsid w:val="00EE3AC8"/>
    <w:rPr>
      <w:color w:val="808080"/>
      <w:shd w:val="clear" w:color="auto" w:fill="E6E6E6"/>
    </w:rPr>
  </w:style>
  <w:style w:type="paragraph" w:customStyle="1" w:styleId="TableCenter">
    <w:name w:val="Table Center"/>
    <w:basedOn w:val="Normal"/>
    <w:uiPriority w:val="12"/>
    <w:qFormat/>
    <w:rsid w:val="003B7CFF"/>
    <w:pPr>
      <w:spacing w:before="40" w:after="40"/>
      <w:jc w:val="center"/>
    </w:pPr>
    <w:rPr>
      <w:sz w:val="20"/>
    </w:rPr>
  </w:style>
  <w:style w:type="paragraph" w:customStyle="1" w:styleId="TableEndofTextTitle">
    <w:name w:val="Table End of Text Title"/>
    <w:next w:val="Paragraph"/>
    <w:uiPriority w:val="11"/>
    <w:qFormat/>
    <w:rsid w:val="003B7CFF"/>
    <w:pPr>
      <w:spacing w:after="120" w:line="240" w:lineRule="auto"/>
    </w:pPr>
    <w:rPr>
      <w:rFonts w:ascii="Times New Roman" w:eastAsia="Times New Roman" w:hAnsi="Times New Roman" w:cs="Times New Roman"/>
      <w:b/>
      <w:sz w:val="24"/>
      <w:szCs w:val="24"/>
      <w:lang w:val="en-GB"/>
    </w:rPr>
  </w:style>
  <w:style w:type="paragraph" w:customStyle="1" w:styleId="TableFixedWidth">
    <w:name w:val="Table Fixed Width"/>
    <w:uiPriority w:val="15"/>
    <w:qFormat/>
    <w:rsid w:val="003B7CFF"/>
    <w:pPr>
      <w:spacing w:after="0" w:line="240" w:lineRule="auto"/>
    </w:pPr>
    <w:rPr>
      <w:rFonts w:ascii="Courier New" w:eastAsia="Times New Roman" w:hAnsi="Courier New" w:cs="Times New Roman"/>
      <w:sz w:val="20"/>
      <w:szCs w:val="20"/>
      <w:lang w:val="en-GB"/>
    </w:rPr>
  </w:style>
  <w:style w:type="paragraph" w:styleId="NoSpacing">
    <w:name w:val="No Spacing"/>
    <w:uiPriority w:val="1"/>
    <w:qFormat/>
    <w:rsid w:val="003B7CFF"/>
    <w:pPr>
      <w:spacing w:after="0" w:line="240" w:lineRule="auto"/>
    </w:pPr>
    <w:rPr>
      <w:rFonts w:ascii="Times New Roman" w:eastAsia="Times New Roman" w:hAnsi="Times New Roman" w:cs="Times New Roman"/>
      <w:sz w:val="24"/>
      <w:szCs w:val="24"/>
      <w:lang w:val="en-GB"/>
    </w:rPr>
  </w:style>
  <w:style w:type="paragraph" w:customStyle="1" w:styleId="TableFootnoteInfo">
    <w:name w:val="Table Footnote Info"/>
    <w:basedOn w:val="Normal"/>
    <w:uiPriority w:val="14"/>
    <w:qFormat/>
    <w:rsid w:val="00DE2264"/>
    <w:pPr>
      <w:keepLines/>
      <w:spacing w:before="40" w:after="40" w:line="240" w:lineRule="auto"/>
    </w:pPr>
    <w:rPr>
      <w:sz w:val="18"/>
      <w:szCs w:val="48"/>
    </w:rPr>
  </w:style>
  <w:style w:type="paragraph" w:customStyle="1" w:styleId="TableFootnoteLetter">
    <w:name w:val="Table Footnote Letter"/>
    <w:basedOn w:val="Normal"/>
    <w:uiPriority w:val="13"/>
    <w:rsid w:val="00553268"/>
    <w:pPr>
      <w:keepLines/>
      <w:numPr>
        <w:numId w:val="28"/>
      </w:numPr>
      <w:spacing w:before="40" w:after="40" w:line="240" w:lineRule="auto"/>
    </w:pPr>
    <w:rPr>
      <w:sz w:val="18"/>
      <w:szCs w:val="20"/>
    </w:rPr>
  </w:style>
  <w:style w:type="paragraph" w:styleId="IntenseQuote">
    <w:name w:val="Intense Quote"/>
    <w:basedOn w:val="Normal"/>
    <w:next w:val="Normal"/>
    <w:link w:val="IntenseQuoteChar"/>
    <w:uiPriority w:val="30"/>
    <w:qFormat/>
    <w:rsid w:val="003B7CF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B7CFF"/>
    <w:rPr>
      <w:rFonts w:ascii="Times New Roman" w:eastAsia="Times New Roman" w:hAnsi="Times New Roman" w:cs="Times New Roman"/>
      <w:i/>
      <w:iCs/>
      <w:color w:val="4F81BD" w:themeColor="accent1"/>
      <w:sz w:val="24"/>
      <w:szCs w:val="24"/>
      <w:lang w:val="en-GB"/>
    </w:rPr>
  </w:style>
  <w:style w:type="table" w:styleId="LightList">
    <w:name w:val="Light List"/>
    <w:basedOn w:val="TableNormal"/>
    <w:uiPriority w:val="61"/>
    <w:rsid w:val="003B7CFF"/>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Head">
    <w:name w:val="Table Head"/>
    <w:basedOn w:val="TableText"/>
    <w:uiPriority w:val="11"/>
    <w:qFormat/>
    <w:rsid w:val="003B7CFF"/>
    <w:rPr>
      <w:b/>
      <w:szCs w:val="48"/>
    </w:rPr>
  </w:style>
  <w:style w:type="paragraph" w:customStyle="1" w:styleId="TableLeft">
    <w:name w:val="Table Left"/>
    <w:uiPriority w:val="12"/>
    <w:qFormat/>
    <w:rsid w:val="003B7CFF"/>
    <w:pPr>
      <w:spacing w:before="40" w:after="40"/>
    </w:pPr>
    <w:rPr>
      <w:rFonts w:ascii="Times New Roman" w:eastAsia="Times New Roman" w:hAnsi="Times New Roman" w:cs="Arial"/>
      <w:bCs/>
      <w:kern w:val="32"/>
      <w:sz w:val="20"/>
      <w:szCs w:val="24"/>
      <w:lang w:val="en-GB"/>
    </w:rPr>
  </w:style>
  <w:style w:type="paragraph" w:styleId="TableofFigures">
    <w:name w:val="table of figures"/>
    <w:basedOn w:val="Normal"/>
    <w:next w:val="Paragraph"/>
    <w:uiPriority w:val="40"/>
    <w:rsid w:val="003B7CFF"/>
    <w:pPr>
      <w:tabs>
        <w:tab w:val="left" w:pos="1701"/>
        <w:tab w:val="right" w:leader="dot" w:pos="9000"/>
      </w:tabs>
      <w:spacing w:before="60" w:after="0"/>
      <w:ind w:left="1701" w:right="357" w:hanging="1701"/>
    </w:pPr>
  </w:style>
  <w:style w:type="table" w:styleId="TableGrid">
    <w:name w:val="Table Grid"/>
    <w:basedOn w:val="TableNormal"/>
    <w:uiPriority w:val="59"/>
    <w:rsid w:val="003B7CFF"/>
    <w:pPr>
      <w:spacing w:after="0" w:line="240" w:lineRule="auto"/>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Continued">
    <w:name w:val="Table Title Continued"/>
    <w:basedOn w:val="Normal"/>
    <w:uiPriority w:val="10"/>
    <w:qFormat/>
    <w:rsid w:val="003B7CFF"/>
    <w:pPr>
      <w:spacing w:after="120"/>
    </w:pPr>
    <w:rPr>
      <w:b/>
    </w:rPr>
  </w:style>
  <w:style w:type="paragraph" w:styleId="Title">
    <w:name w:val="Title"/>
    <w:link w:val="TitleChar"/>
    <w:uiPriority w:val="25"/>
    <w:rsid w:val="003B7CFF"/>
    <w:pPr>
      <w:spacing w:before="240" w:after="240" w:line="240" w:lineRule="auto"/>
      <w:jc w:val="center"/>
    </w:pPr>
    <w:rPr>
      <w:rFonts w:ascii="Times New Roman" w:eastAsia="Times New Roman" w:hAnsi="Times New Roman" w:cs="Arial"/>
      <w:b/>
      <w:bCs/>
      <w:kern w:val="28"/>
      <w:sz w:val="32"/>
      <w:szCs w:val="32"/>
      <w:lang w:val="en-GB"/>
    </w:rPr>
  </w:style>
  <w:style w:type="character" w:customStyle="1" w:styleId="TitleChar">
    <w:name w:val="Title Char"/>
    <w:basedOn w:val="DefaultParagraphFont"/>
    <w:link w:val="Title"/>
    <w:uiPriority w:val="25"/>
    <w:rsid w:val="003B7CFF"/>
    <w:rPr>
      <w:rFonts w:ascii="Times New Roman" w:eastAsia="Times New Roman" w:hAnsi="Times New Roman" w:cs="Arial"/>
      <w:b/>
      <w:bCs/>
      <w:kern w:val="28"/>
      <w:sz w:val="32"/>
      <w:szCs w:val="32"/>
      <w:lang w:val="en-GB"/>
    </w:rPr>
  </w:style>
  <w:style w:type="paragraph" w:styleId="TOC1">
    <w:name w:val="toc 1"/>
    <w:next w:val="Paragraph"/>
    <w:uiPriority w:val="39"/>
    <w:rsid w:val="003B7CFF"/>
    <w:pPr>
      <w:tabs>
        <w:tab w:val="left" w:pos="1134"/>
        <w:tab w:val="right" w:leader="dot" w:pos="9000"/>
      </w:tabs>
      <w:spacing w:before="120" w:after="0" w:line="240" w:lineRule="auto"/>
      <w:ind w:left="1134" w:right="357" w:hanging="1134"/>
    </w:pPr>
    <w:rPr>
      <w:rFonts w:ascii="Times New Roman" w:eastAsia="Times New Roman" w:hAnsi="Times New Roman" w:cs="Times New Roman"/>
      <w:caps/>
      <w:sz w:val="24"/>
      <w:szCs w:val="20"/>
      <w:lang w:val="en-GB"/>
    </w:rPr>
  </w:style>
  <w:style w:type="paragraph" w:styleId="TOC2">
    <w:name w:val="toc 2"/>
    <w:basedOn w:val="TOC1"/>
    <w:next w:val="Paragraph"/>
    <w:uiPriority w:val="39"/>
    <w:rsid w:val="003B7CFF"/>
    <w:pPr>
      <w:spacing w:before="60"/>
    </w:pPr>
    <w:rPr>
      <w:caps w:val="0"/>
      <w:szCs w:val="24"/>
    </w:rPr>
  </w:style>
  <w:style w:type="paragraph" w:styleId="TOC3">
    <w:name w:val="toc 3"/>
    <w:basedOn w:val="TOC1"/>
    <w:next w:val="Paragraph"/>
    <w:uiPriority w:val="39"/>
    <w:rsid w:val="003B7CFF"/>
    <w:pPr>
      <w:spacing w:before="0"/>
    </w:pPr>
    <w:rPr>
      <w:caps w:val="0"/>
      <w:szCs w:val="24"/>
    </w:rPr>
  </w:style>
  <w:style w:type="paragraph" w:styleId="TOC4">
    <w:name w:val="toc 4"/>
    <w:basedOn w:val="Normal"/>
    <w:next w:val="Paragraph"/>
    <w:uiPriority w:val="39"/>
    <w:rsid w:val="003B7CFF"/>
    <w:pPr>
      <w:tabs>
        <w:tab w:val="left" w:pos="1134"/>
        <w:tab w:val="right" w:leader="dot" w:pos="9000"/>
      </w:tabs>
      <w:spacing w:after="0" w:line="240" w:lineRule="auto"/>
      <w:ind w:left="1134" w:right="357" w:hanging="1134"/>
    </w:pPr>
  </w:style>
  <w:style w:type="paragraph" w:styleId="TOC5">
    <w:name w:val="toc 5"/>
    <w:basedOn w:val="TOC1"/>
    <w:next w:val="Normal"/>
    <w:uiPriority w:val="39"/>
    <w:rsid w:val="003B7CFF"/>
    <w:pPr>
      <w:tabs>
        <w:tab w:val="clear" w:pos="1134"/>
      </w:tabs>
      <w:ind w:left="0" w:firstLine="0"/>
    </w:pPr>
    <w:rPr>
      <w:noProof/>
    </w:rPr>
  </w:style>
  <w:style w:type="paragraph" w:styleId="TOC6">
    <w:name w:val="toc 6"/>
    <w:basedOn w:val="TOC2"/>
    <w:next w:val="Normal"/>
    <w:uiPriority w:val="39"/>
    <w:rsid w:val="003B7CFF"/>
    <w:pPr>
      <w:tabs>
        <w:tab w:val="clear" w:pos="1134"/>
      </w:tabs>
      <w:ind w:left="0" w:firstLine="0"/>
    </w:pPr>
    <w:rPr>
      <w:noProof/>
    </w:rPr>
  </w:style>
  <w:style w:type="paragraph" w:styleId="TOC7">
    <w:name w:val="toc 7"/>
    <w:basedOn w:val="Normal"/>
    <w:next w:val="Normal"/>
    <w:uiPriority w:val="39"/>
    <w:rsid w:val="003B7CFF"/>
    <w:pPr>
      <w:tabs>
        <w:tab w:val="right" w:leader="dot" w:pos="9000"/>
      </w:tabs>
      <w:spacing w:after="0" w:line="240" w:lineRule="auto"/>
      <w:ind w:right="357"/>
    </w:pPr>
    <w:rPr>
      <w:noProof/>
    </w:rPr>
  </w:style>
  <w:style w:type="paragraph" w:styleId="TOC8">
    <w:name w:val="toc 8"/>
    <w:basedOn w:val="TOC7"/>
    <w:next w:val="Normal"/>
    <w:uiPriority w:val="39"/>
    <w:rsid w:val="003B7CFF"/>
    <w:rPr>
      <w:i/>
    </w:rPr>
  </w:style>
  <w:style w:type="paragraph" w:styleId="TOC9">
    <w:name w:val="toc 9"/>
    <w:basedOn w:val="Normal"/>
    <w:next w:val="Normal"/>
    <w:uiPriority w:val="39"/>
    <w:rsid w:val="003B7CFF"/>
    <w:pPr>
      <w:tabs>
        <w:tab w:val="left" w:pos="1134"/>
        <w:tab w:val="right" w:leader="dot" w:pos="9000"/>
      </w:tabs>
      <w:ind w:left="1134" w:right="360" w:hanging="1134"/>
    </w:pPr>
  </w:style>
  <w:style w:type="paragraph" w:styleId="TOCHeading">
    <w:name w:val="TOC Heading"/>
    <w:basedOn w:val="TOCTitle"/>
    <w:next w:val="Normal"/>
    <w:uiPriority w:val="39"/>
    <w:rsid w:val="003B7CFF"/>
    <w:pPr>
      <w:spacing w:after="0"/>
    </w:pPr>
    <w:rPr>
      <w:rFonts w:asciiTheme="majorHAnsi" w:eastAsiaTheme="majorEastAsia" w:hAnsiTheme="majorHAnsi" w:cstheme="majorBidi"/>
      <w:bCs w:val="0"/>
      <w:caps w:val="0"/>
      <w:kern w:val="0"/>
      <w:szCs w:val="32"/>
    </w:rPr>
  </w:style>
  <w:style w:type="paragraph" w:customStyle="1" w:styleId="TOCSection">
    <w:name w:val="TOC Section"/>
    <w:basedOn w:val="Heading1"/>
    <w:uiPriority w:val="25"/>
    <w:rsid w:val="003B7CFF"/>
    <w:pPr>
      <w:numPr>
        <w:numId w:val="0"/>
      </w:numPr>
      <w:tabs>
        <w:tab w:val="left" w:pos="0"/>
        <w:tab w:val="left" w:pos="480"/>
      </w:tabs>
      <w:spacing w:after="120"/>
      <w:outlineLvl w:val="9"/>
    </w:pPr>
  </w:style>
  <w:style w:type="paragraph" w:customStyle="1" w:styleId="TOCTitle">
    <w:name w:val="TOC Title"/>
    <w:basedOn w:val="Title"/>
    <w:next w:val="TOC1"/>
    <w:uiPriority w:val="25"/>
    <w:rsid w:val="003B7CFF"/>
    <w:pPr>
      <w:pageBreakBefore/>
      <w:jc w:val="left"/>
    </w:pPr>
    <w:rPr>
      <w:caps/>
      <w:sz w:val="28"/>
      <w:szCs w:val="28"/>
    </w:rPr>
  </w:style>
  <w:style w:type="character" w:customStyle="1" w:styleId="UserTips">
    <w:name w:val="User Tips"/>
    <w:uiPriority w:val="22"/>
    <w:rsid w:val="003B7CFF"/>
    <w:rPr>
      <w:i/>
      <w:vanish/>
      <w:color w:val="FF0000"/>
    </w:rPr>
  </w:style>
  <w:style w:type="paragraph" w:customStyle="1" w:styleId="AppendixAlphaSub1">
    <w:name w:val="Appendix Alpha Sub 1"/>
    <w:basedOn w:val="AppendixAlpha"/>
    <w:next w:val="Paragraph"/>
    <w:uiPriority w:val="21"/>
    <w:qFormat/>
    <w:rsid w:val="003B7CFF"/>
    <w:pPr>
      <w:pageBreakBefore w:val="0"/>
      <w:numPr>
        <w:ilvl w:val="1"/>
      </w:numPr>
      <w:spacing w:before="120"/>
    </w:pPr>
  </w:style>
  <w:style w:type="paragraph" w:styleId="Quote">
    <w:name w:val="Quote"/>
    <w:basedOn w:val="Normal"/>
    <w:next w:val="Normal"/>
    <w:link w:val="QuoteChar"/>
    <w:uiPriority w:val="29"/>
    <w:qFormat/>
    <w:rsid w:val="003B7C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7CFF"/>
    <w:rPr>
      <w:rFonts w:ascii="Times New Roman" w:eastAsia="Times New Roman" w:hAnsi="Times New Roman" w:cs="Times New Roman"/>
      <w:i/>
      <w:iCs/>
      <w:color w:val="404040" w:themeColor="text1" w:themeTint="BF"/>
      <w:sz w:val="24"/>
      <w:szCs w:val="24"/>
      <w:lang w:val="en-GB"/>
    </w:rPr>
  </w:style>
  <w:style w:type="paragraph" w:customStyle="1" w:styleId="AppendixAlphaSub2">
    <w:name w:val="Appendix Alpha Sub 2"/>
    <w:basedOn w:val="AppendixAlphaSub1"/>
    <w:next w:val="Paragraph"/>
    <w:uiPriority w:val="21"/>
    <w:unhideWhenUsed/>
    <w:qFormat/>
    <w:rsid w:val="003B7CFF"/>
    <w:pPr>
      <w:numPr>
        <w:ilvl w:val="2"/>
      </w:numPr>
    </w:pPr>
    <w:rPr>
      <w:sz w:val="26"/>
    </w:rPr>
  </w:style>
  <w:style w:type="paragraph" w:customStyle="1" w:styleId="AppendixAlphaSub3">
    <w:name w:val="Appendix Alpha Sub 3"/>
    <w:basedOn w:val="AppendixAlphaSub1"/>
    <w:next w:val="Paragraph"/>
    <w:uiPriority w:val="21"/>
    <w:unhideWhenUsed/>
    <w:qFormat/>
    <w:rsid w:val="003B7CFF"/>
    <w:pPr>
      <w:numPr>
        <w:ilvl w:val="3"/>
      </w:numPr>
    </w:pPr>
    <w:rPr>
      <w:sz w:val="24"/>
    </w:rPr>
  </w:style>
  <w:style w:type="paragraph" w:customStyle="1" w:styleId="AppendixAlphaSub4">
    <w:name w:val="Appendix Alpha Sub 4"/>
    <w:basedOn w:val="AppendixAlphaSub1"/>
    <w:next w:val="Paragraph"/>
    <w:uiPriority w:val="21"/>
    <w:unhideWhenUsed/>
    <w:qFormat/>
    <w:rsid w:val="003B7CFF"/>
    <w:pPr>
      <w:numPr>
        <w:ilvl w:val="4"/>
      </w:numPr>
      <w:spacing w:after="60"/>
    </w:pPr>
    <w:rPr>
      <w:i/>
      <w:sz w:val="24"/>
    </w:rPr>
  </w:style>
  <w:style w:type="paragraph" w:customStyle="1" w:styleId="ListNumberSmall">
    <w:name w:val="List Number Small"/>
    <w:basedOn w:val="ListBulletSmall"/>
    <w:uiPriority w:val="9"/>
    <w:qFormat/>
    <w:rsid w:val="003B7CFF"/>
    <w:pPr>
      <w:numPr>
        <w:numId w:val="33"/>
      </w:numPr>
      <w:tabs>
        <w:tab w:val="left" w:pos="425"/>
      </w:tabs>
    </w:pPr>
  </w:style>
  <w:style w:type="paragraph" w:customStyle="1" w:styleId="TableHidden">
    <w:name w:val="Table Hidden"/>
    <w:basedOn w:val="Paragraph"/>
    <w:uiPriority w:val="23"/>
    <w:qFormat/>
    <w:rsid w:val="003B7CFF"/>
    <w:rPr>
      <w:vanish/>
    </w:rPr>
  </w:style>
  <w:style w:type="paragraph" w:customStyle="1" w:styleId="FigureTitleContinued">
    <w:name w:val="Figure Title Continued"/>
    <w:basedOn w:val="FigureTitle"/>
    <w:uiPriority w:val="17"/>
    <w:qFormat/>
    <w:rsid w:val="003B7CFF"/>
    <w:rPr>
      <w:lang w:val="sv-SE"/>
    </w:rPr>
  </w:style>
  <w:style w:type="paragraph" w:customStyle="1" w:styleId="Z-LineL1">
    <w:name w:val="Z-Line L 1"/>
    <w:basedOn w:val="Normal"/>
    <w:uiPriority w:val="42"/>
    <w:rsid w:val="003B7CFF"/>
    <w:pPr>
      <w:spacing w:before="60" w:after="0" w:line="240" w:lineRule="auto"/>
    </w:pPr>
    <w:rPr>
      <w:sz w:val="20"/>
      <w:szCs w:val="20"/>
    </w:rPr>
  </w:style>
  <w:style w:type="paragraph" w:customStyle="1" w:styleId="Z-LineL2">
    <w:name w:val="Z-Line L 2"/>
    <w:basedOn w:val="Normal"/>
    <w:uiPriority w:val="42"/>
    <w:rsid w:val="003B7CFF"/>
    <w:pPr>
      <w:spacing w:before="60" w:after="0" w:line="240" w:lineRule="auto"/>
    </w:pPr>
    <w:rPr>
      <w:sz w:val="20"/>
      <w:szCs w:val="20"/>
    </w:rPr>
  </w:style>
  <w:style w:type="paragraph" w:customStyle="1" w:styleId="Z-LineL3">
    <w:name w:val="Z-Line L 3"/>
    <w:basedOn w:val="Normal"/>
    <w:uiPriority w:val="42"/>
    <w:rsid w:val="003B7CFF"/>
    <w:pPr>
      <w:spacing w:before="60" w:after="0" w:line="240" w:lineRule="auto"/>
    </w:pPr>
    <w:rPr>
      <w:sz w:val="20"/>
      <w:szCs w:val="20"/>
    </w:rPr>
  </w:style>
  <w:style w:type="paragraph" w:customStyle="1" w:styleId="Z-LineL4">
    <w:name w:val="Z-Line L 4"/>
    <w:basedOn w:val="Normal"/>
    <w:uiPriority w:val="42"/>
    <w:rsid w:val="003B7CFF"/>
    <w:pPr>
      <w:spacing w:before="60" w:after="0" w:line="240" w:lineRule="auto"/>
    </w:pPr>
    <w:rPr>
      <w:sz w:val="20"/>
      <w:szCs w:val="20"/>
    </w:rPr>
  </w:style>
  <w:style w:type="paragraph" w:customStyle="1" w:styleId="Z-LineR1">
    <w:name w:val="Z-Line R 1"/>
    <w:basedOn w:val="Normal"/>
    <w:uiPriority w:val="42"/>
    <w:rsid w:val="003B7CFF"/>
    <w:pPr>
      <w:spacing w:before="60" w:after="0" w:line="240" w:lineRule="auto"/>
    </w:pPr>
    <w:rPr>
      <w:sz w:val="20"/>
      <w:szCs w:val="20"/>
    </w:rPr>
  </w:style>
  <w:style w:type="paragraph" w:customStyle="1" w:styleId="Z-LineR2">
    <w:name w:val="Z-Line R 2"/>
    <w:basedOn w:val="Normal"/>
    <w:uiPriority w:val="42"/>
    <w:rsid w:val="003B7CFF"/>
    <w:pPr>
      <w:spacing w:before="60" w:after="0" w:line="240" w:lineRule="auto"/>
    </w:pPr>
    <w:rPr>
      <w:sz w:val="20"/>
      <w:szCs w:val="20"/>
    </w:rPr>
  </w:style>
  <w:style w:type="paragraph" w:customStyle="1" w:styleId="Z-LineR3">
    <w:name w:val="Z-Line R 3"/>
    <w:basedOn w:val="Normal"/>
    <w:uiPriority w:val="42"/>
    <w:rsid w:val="003B7CFF"/>
    <w:pPr>
      <w:spacing w:before="60" w:after="0" w:line="240" w:lineRule="auto"/>
    </w:pPr>
    <w:rPr>
      <w:sz w:val="20"/>
      <w:szCs w:val="20"/>
    </w:rPr>
  </w:style>
  <w:style w:type="paragraph" w:customStyle="1" w:styleId="Z-LineR4">
    <w:name w:val="Z-Line R 4"/>
    <w:basedOn w:val="Normal"/>
    <w:uiPriority w:val="42"/>
    <w:rsid w:val="003B7CFF"/>
    <w:pPr>
      <w:spacing w:after="60" w:line="240" w:lineRule="auto"/>
    </w:pPr>
    <w:rPr>
      <w:sz w:val="20"/>
      <w:szCs w:val="20"/>
    </w:rPr>
  </w:style>
  <w:style w:type="paragraph" w:customStyle="1" w:styleId="Z-DocumentName">
    <w:name w:val="Z-Document Name"/>
    <w:basedOn w:val="Z-LineL1"/>
    <w:uiPriority w:val="42"/>
    <w:qFormat/>
    <w:rsid w:val="003B7CFF"/>
    <w:rPr>
      <w:b/>
    </w:rPr>
  </w:style>
  <w:style w:type="character" w:styleId="BookTitle">
    <w:name w:val="Book Title"/>
    <w:basedOn w:val="DefaultParagraphFont"/>
    <w:uiPriority w:val="33"/>
    <w:qFormat/>
    <w:rsid w:val="00EE3AC8"/>
    <w:rPr>
      <w:b/>
      <w:bCs/>
      <w:i/>
      <w:iCs/>
      <w:spacing w:val="5"/>
    </w:rPr>
  </w:style>
  <w:style w:type="table" w:styleId="ColorfulGrid">
    <w:name w:val="Colorful Grid"/>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GridTable1Light">
    <w:name w:val="Grid Table 1 Light"/>
    <w:basedOn w:val="TableNormal"/>
    <w:uiPriority w:val="46"/>
    <w:rsid w:val="00EE3A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EE3AC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EE3AC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EE3AC8"/>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EE3AC8"/>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EE3AC8"/>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EE3AC8"/>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EE3A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EE3AC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TableNormal"/>
    <w:uiPriority w:val="47"/>
    <w:rsid w:val="00EE3AC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TableNormal"/>
    <w:uiPriority w:val="47"/>
    <w:rsid w:val="00EE3AC8"/>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
    <w:name w:val="Grid Table 2 Accent 4"/>
    <w:basedOn w:val="TableNormal"/>
    <w:uiPriority w:val="47"/>
    <w:rsid w:val="00EE3AC8"/>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EE3AC8"/>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EE3AC8"/>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TableNormal"/>
    <w:uiPriority w:val="48"/>
    <w:rsid w:val="00EE3A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EE3A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
    <w:name w:val="Grid Table 3 Accent 2"/>
    <w:basedOn w:val="TableNormal"/>
    <w:uiPriority w:val="48"/>
    <w:rsid w:val="00EE3A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
    <w:name w:val="Grid Table 3 Accent 3"/>
    <w:basedOn w:val="TableNormal"/>
    <w:uiPriority w:val="48"/>
    <w:rsid w:val="00EE3A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
    <w:name w:val="Grid Table 3 Accent 4"/>
    <w:basedOn w:val="TableNormal"/>
    <w:uiPriority w:val="48"/>
    <w:rsid w:val="00EE3A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
    <w:name w:val="Grid Table 3 Accent 5"/>
    <w:basedOn w:val="TableNormal"/>
    <w:uiPriority w:val="48"/>
    <w:rsid w:val="00EE3A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
    <w:name w:val="Grid Table 3 Accent 6"/>
    <w:basedOn w:val="TableNormal"/>
    <w:uiPriority w:val="48"/>
    <w:rsid w:val="00EE3A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
    <w:name w:val="Grid Table 4"/>
    <w:basedOn w:val="TableNormal"/>
    <w:uiPriority w:val="49"/>
    <w:rsid w:val="00EE3A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EE3A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
    <w:name w:val="Grid Table 4 Accent 2"/>
    <w:basedOn w:val="TableNormal"/>
    <w:uiPriority w:val="49"/>
    <w:rsid w:val="00EE3A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TableNormal"/>
    <w:uiPriority w:val="49"/>
    <w:rsid w:val="00EE3A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EE3A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TableNormal"/>
    <w:uiPriority w:val="49"/>
    <w:rsid w:val="00EE3A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TableNormal"/>
    <w:uiPriority w:val="49"/>
    <w:rsid w:val="00EE3A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
    <w:name w:val="Grid Table 5 Dark"/>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
    <w:name w:val="Grid Table 5 Dark Accent 2"/>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TableNormal"/>
    <w:uiPriority w:val="51"/>
    <w:rsid w:val="00EE3A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EE3AC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
    <w:name w:val="Grid Table 6 Colorful Accent 2"/>
    <w:basedOn w:val="TableNormal"/>
    <w:uiPriority w:val="51"/>
    <w:rsid w:val="00EE3AC8"/>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
    <w:name w:val="Grid Table 6 Colorful Accent 3"/>
    <w:basedOn w:val="TableNormal"/>
    <w:uiPriority w:val="51"/>
    <w:rsid w:val="00EE3AC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TableNormal"/>
    <w:uiPriority w:val="51"/>
    <w:rsid w:val="00EE3AC8"/>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TableNormal"/>
    <w:uiPriority w:val="51"/>
    <w:rsid w:val="00EE3AC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
    <w:name w:val="Grid Table 6 Colorful Accent 6"/>
    <w:basedOn w:val="TableNormal"/>
    <w:uiPriority w:val="51"/>
    <w:rsid w:val="00EE3AC8"/>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
    <w:name w:val="Grid Table 7 Colorful"/>
    <w:basedOn w:val="TableNormal"/>
    <w:uiPriority w:val="52"/>
    <w:rsid w:val="00EE3A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EE3AC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
    <w:name w:val="Grid Table 7 Colorful Accent 2"/>
    <w:basedOn w:val="TableNormal"/>
    <w:uiPriority w:val="52"/>
    <w:rsid w:val="00EE3AC8"/>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
    <w:name w:val="Grid Table 7 Colorful Accent 3"/>
    <w:basedOn w:val="TableNormal"/>
    <w:uiPriority w:val="52"/>
    <w:rsid w:val="00EE3AC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
    <w:name w:val="Grid Table 7 Colorful Accent 4"/>
    <w:basedOn w:val="TableNormal"/>
    <w:uiPriority w:val="52"/>
    <w:rsid w:val="00EE3AC8"/>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
    <w:name w:val="Grid Table 7 Colorful Accent 5"/>
    <w:basedOn w:val="TableNormal"/>
    <w:uiPriority w:val="52"/>
    <w:rsid w:val="00EE3AC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
    <w:name w:val="Grid Table 7 Colorful Accent 6"/>
    <w:basedOn w:val="TableNormal"/>
    <w:uiPriority w:val="52"/>
    <w:rsid w:val="00EE3AC8"/>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
    <w:name w:val="Hashtag"/>
    <w:basedOn w:val="DefaultParagraphFont"/>
    <w:uiPriority w:val="99"/>
    <w:semiHidden/>
    <w:unhideWhenUsed/>
    <w:rsid w:val="00EE3AC8"/>
    <w:rPr>
      <w:color w:val="2B579A"/>
      <w:shd w:val="clear" w:color="auto" w:fill="E6E6E6"/>
    </w:rPr>
  </w:style>
  <w:style w:type="character" w:styleId="IntenseEmphasis">
    <w:name w:val="Intense Emphasis"/>
    <w:basedOn w:val="DefaultParagraphFont"/>
    <w:uiPriority w:val="21"/>
    <w:qFormat/>
    <w:rsid w:val="00EE3AC8"/>
    <w:rPr>
      <w:i/>
      <w:iCs/>
      <w:color w:val="4F81BD" w:themeColor="accent1"/>
    </w:rPr>
  </w:style>
  <w:style w:type="character" w:styleId="IntenseReference">
    <w:name w:val="Intense Reference"/>
    <w:basedOn w:val="DefaultParagraphFont"/>
    <w:uiPriority w:val="32"/>
    <w:qFormat/>
    <w:rsid w:val="00EE3AC8"/>
    <w:rPr>
      <w:b/>
      <w:bCs/>
      <w:smallCaps/>
      <w:color w:val="4F81BD" w:themeColor="accent1"/>
      <w:spacing w:val="5"/>
    </w:rPr>
  </w:style>
  <w:style w:type="table" w:styleId="LightGrid-Accent1">
    <w:name w:val="Light Grid Accent 1"/>
    <w:basedOn w:val="TableNormal"/>
    <w:uiPriority w:val="62"/>
    <w:semiHidden/>
    <w:unhideWhenUsed/>
    <w:rsid w:val="00EE3A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EE3A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EE3A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EE3AC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EE3AC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EE3AC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1">
    <w:name w:val="Light List Accent 1"/>
    <w:basedOn w:val="TableNormal"/>
    <w:uiPriority w:val="61"/>
    <w:semiHidden/>
    <w:unhideWhenUsed/>
    <w:rsid w:val="00EE3A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EE3A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EE3A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EE3AC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EE3AC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EE3AC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EE3A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E3A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EE3AC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EE3AC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EE3AC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EE3AC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EE3AC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Table1Light">
    <w:name w:val="List Table 1 Light"/>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
    <w:name w:val="List Table 1 Light Accent 2"/>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
    <w:name w:val="List Table 1 Light Accent 3"/>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
    <w:name w:val="List Table 1 Light Accent 4"/>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
    <w:name w:val="List Table 1 Light Accent 5"/>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
    <w:name w:val="List Table 1 Light Accent 6"/>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
    <w:name w:val="List Table 2"/>
    <w:basedOn w:val="TableNormal"/>
    <w:uiPriority w:val="47"/>
    <w:rsid w:val="00EE3A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EE3AC8"/>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
    <w:name w:val="List Table 2 Accent 2"/>
    <w:basedOn w:val="TableNormal"/>
    <w:uiPriority w:val="47"/>
    <w:rsid w:val="00EE3AC8"/>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
    <w:name w:val="List Table 2 Accent 3"/>
    <w:basedOn w:val="TableNormal"/>
    <w:uiPriority w:val="47"/>
    <w:rsid w:val="00EE3AC8"/>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TableNormal"/>
    <w:uiPriority w:val="47"/>
    <w:rsid w:val="00EE3AC8"/>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TableNormal"/>
    <w:uiPriority w:val="47"/>
    <w:rsid w:val="00EE3AC8"/>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
    <w:name w:val="List Table 2 Accent 6"/>
    <w:basedOn w:val="TableNormal"/>
    <w:uiPriority w:val="47"/>
    <w:rsid w:val="00EE3AC8"/>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
    <w:name w:val="List Table 3"/>
    <w:basedOn w:val="TableNormal"/>
    <w:uiPriority w:val="48"/>
    <w:rsid w:val="00EE3A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EE3AC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
    <w:name w:val="List Table 3 Accent 2"/>
    <w:basedOn w:val="TableNormal"/>
    <w:uiPriority w:val="48"/>
    <w:rsid w:val="00EE3AC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
    <w:name w:val="List Table 3 Accent 3"/>
    <w:basedOn w:val="TableNormal"/>
    <w:uiPriority w:val="48"/>
    <w:rsid w:val="00EE3AC8"/>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
    <w:name w:val="List Table 3 Accent 4"/>
    <w:basedOn w:val="TableNormal"/>
    <w:uiPriority w:val="48"/>
    <w:rsid w:val="00EE3AC8"/>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
    <w:name w:val="List Table 3 Accent 5"/>
    <w:basedOn w:val="TableNormal"/>
    <w:uiPriority w:val="48"/>
    <w:rsid w:val="00EE3AC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TableNormal"/>
    <w:uiPriority w:val="48"/>
    <w:rsid w:val="00EE3AC8"/>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
    <w:name w:val="List Table 4"/>
    <w:basedOn w:val="TableNormal"/>
    <w:uiPriority w:val="49"/>
    <w:rsid w:val="00EE3A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EE3A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
    <w:name w:val="List Table 4 Accent 2"/>
    <w:basedOn w:val="TableNormal"/>
    <w:uiPriority w:val="49"/>
    <w:rsid w:val="00EE3A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
    <w:name w:val="List Table 4 Accent 3"/>
    <w:basedOn w:val="TableNormal"/>
    <w:uiPriority w:val="49"/>
    <w:rsid w:val="00EE3A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
    <w:name w:val="List Table 4 Accent 4"/>
    <w:basedOn w:val="TableNormal"/>
    <w:uiPriority w:val="49"/>
    <w:rsid w:val="00EE3A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
    <w:name w:val="List Table 4 Accent 5"/>
    <w:basedOn w:val="TableNormal"/>
    <w:uiPriority w:val="49"/>
    <w:rsid w:val="00EE3A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TableNormal"/>
    <w:uiPriority w:val="49"/>
    <w:rsid w:val="00EE3A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
    <w:name w:val="List Table 5 Dark"/>
    <w:basedOn w:val="TableNormal"/>
    <w:uiPriority w:val="50"/>
    <w:rsid w:val="00EE3A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EE3AC8"/>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EE3AC8"/>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EE3AC8"/>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EE3AC8"/>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EE3AC8"/>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EE3AC8"/>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EE3A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EE3AC8"/>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
    <w:name w:val="List Table 6 Colorful Accent 2"/>
    <w:basedOn w:val="TableNormal"/>
    <w:uiPriority w:val="51"/>
    <w:rsid w:val="00EE3AC8"/>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
    <w:name w:val="List Table 6 Colorful Accent 3"/>
    <w:basedOn w:val="TableNormal"/>
    <w:uiPriority w:val="51"/>
    <w:rsid w:val="00EE3AC8"/>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
    <w:name w:val="List Table 6 Colorful Accent 4"/>
    <w:basedOn w:val="TableNormal"/>
    <w:uiPriority w:val="51"/>
    <w:rsid w:val="00EE3AC8"/>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
    <w:name w:val="List Table 6 Colorful Accent 5"/>
    <w:basedOn w:val="TableNormal"/>
    <w:uiPriority w:val="51"/>
    <w:rsid w:val="00EE3AC8"/>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
    <w:name w:val="List Table 6 Colorful Accent 6"/>
    <w:basedOn w:val="TableNormal"/>
    <w:uiPriority w:val="51"/>
    <w:rsid w:val="00EE3AC8"/>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
    <w:name w:val="List Table 7 Colorful"/>
    <w:basedOn w:val="TableNormal"/>
    <w:uiPriority w:val="52"/>
    <w:rsid w:val="00EE3A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EE3AC8"/>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EE3AC8"/>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EE3AC8"/>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EE3AC8"/>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EE3AC8"/>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EE3AC8"/>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EE3A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E3AC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EE3AC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EE3AC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EE3AC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EE3A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EE3A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E3A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E3AC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E3AC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E3AC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E3AC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E3A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E3A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EE3AC8"/>
    <w:rPr>
      <w:color w:val="2B579A"/>
      <w:shd w:val="clear" w:color="auto" w:fill="E6E6E6"/>
    </w:rPr>
  </w:style>
  <w:style w:type="table" w:customStyle="1" w:styleId="PlainTable3">
    <w:name w:val="Plain Table 3"/>
    <w:basedOn w:val="TableNormal"/>
    <w:uiPriority w:val="43"/>
    <w:rsid w:val="00EE3A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EE3A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EE3A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
    <w:name w:val="Smart Hyperlink"/>
    <w:basedOn w:val="DefaultParagraphFont"/>
    <w:uiPriority w:val="99"/>
    <w:semiHidden/>
    <w:unhideWhenUsed/>
    <w:rsid w:val="00EE3AC8"/>
    <w:rPr>
      <w:u w:val="dotted"/>
    </w:rPr>
  </w:style>
  <w:style w:type="character" w:styleId="SubtleEmphasis">
    <w:name w:val="Subtle Emphasis"/>
    <w:basedOn w:val="DefaultParagraphFont"/>
    <w:uiPriority w:val="19"/>
    <w:qFormat/>
    <w:rsid w:val="00EE3AC8"/>
    <w:rPr>
      <w:i/>
      <w:iCs/>
      <w:color w:val="404040" w:themeColor="text1" w:themeTint="BF"/>
    </w:rPr>
  </w:style>
  <w:style w:type="character" w:styleId="SubtleReference">
    <w:name w:val="Subtle Reference"/>
    <w:basedOn w:val="DefaultParagraphFont"/>
    <w:uiPriority w:val="31"/>
    <w:qFormat/>
    <w:rsid w:val="00EE3AC8"/>
    <w:rPr>
      <w:smallCaps/>
      <w:color w:val="5A5A5A" w:themeColor="text1" w:themeTint="A5"/>
    </w:rPr>
  </w:style>
  <w:style w:type="paragraph" w:customStyle="1" w:styleId="Paragraph">
    <w:name w:val="Paragraph"/>
    <w:link w:val="ParagraphChar"/>
    <w:qFormat/>
    <w:rsid w:val="00F913F9"/>
    <w:pPr>
      <w:spacing w:after="240" w:line="240" w:lineRule="auto"/>
    </w:pPr>
    <w:rPr>
      <w:rFonts w:ascii="Times New Roman" w:eastAsia="Times New Roman" w:hAnsi="Times New Roman" w:cs="Times New Roman"/>
      <w:sz w:val="24"/>
      <w:szCs w:val="24"/>
      <w:lang w:val="en-GB"/>
    </w:rPr>
  </w:style>
  <w:style w:type="character" w:customStyle="1" w:styleId="ParagraphChar">
    <w:name w:val="Paragraph Char"/>
    <w:basedOn w:val="DefaultParagraphFont"/>
    <w:link w:val="Paragraph"/>
    <w:rsid w:val="00F913F9"/>
    <w:rPr>
      <w:rFonts w:ascii="Times New Roman" w:eastAsia="Times New Roman" w:hAnsi="Times New Roman" w:cs="Times New Roman"/>
      <w:sz w:val="24"/>
      <w:szCs w:val="24"/>
      <w:lang w:val="en-GB"/>
    </w:rPr>
  </w:style>
  <w:style w:type="table" w:styleId="Table3Deffects1">
    <w:name w:val="Table 3D effects 1"/>
    <w:basedOn w:val="TableNormal"/>
    <w:semiHidden/>
    <w:rsid w:val="003B7CFF"/>
    <w:pPr>
      <w:spacing w:after="0" w:line="240" w:lineRule="auto"/>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7CFF"/>
    <w:pPr>
      <w:spacing w:after="0" w:line="240" w:lineRule="auto"/>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7CFF"/>
    <w:pPr>
      <w:spacing w:after="0" w:line="240" w:lineRule="auto"/>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Text">
    <w:name w:val="Table Text"/>
    <w:semiHidden/>
    <w:rsid w:val="003B7CFF"/>
    <w:pPr>
      <w:spacing w:before="40" w:after="40" w:line="240" w:lineRule="auto"/>
      <w:jc w:val="center"/>
    </w:pPr>
    <w:rPr>
      <w:rFonts w:ascii="Times New Roman" w:eastAsia="Times New Roman" w:hAnsi="Times New Roman" w:cs="Times New Roman"/>
      <w:sz w:val="20"/>
      <w:szCs w:val="20"/>
      <w:lang w:val="en-GB"/>
    </w:rPr>
  </w:style>
  <w:style w:type="table" w:styleId="TableGrid1">
    <w:name w:val="Table Grid 1"/>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B7CFF"/>
    <w:pPr>
      <w:ind w:left="240" w:hanging="240"/>
    </w:pPr>
  </w:style>
  <w:style w:type="table" w:styleId="TableProfessional">
    <w:name w:val="Table Professional"/>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RowHead">
    <w:name w:val="Table Row Head"/>
    <w:basedOn w:val="TableText"/>
    <w:semiHidden/>
    <w:rsid w:val="003B7CFF"/>
    <w:pPr>
      <w:tabs>
        <w:tab w:val="left" w:pos="360"/>
      </w:tabs>
      <w:jc w:val="left"/>
    </w:pPr>
  </w:style>
  <w:style w:type="table" w:styleId="TableSimple1">
    <w:name w:val="Table Simple 1"/>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SummaryHead">
    <w:name w:val="Table Summary Head"/>
    <w:basedOn w:val="TableText"/>
    <w:semiHidden/>
    <w:rsid w:val="003B7CFF"/>
  </w:style>
  <w:style w:type="paragraph" w:customStyle="1" w:styleId="TableSummaryTitle">
    <w:name w:val="Table Summary Title"/>
    <w:basedOn w:val="TableTitle"/>
    <w:next w:val="TableHead"/>
    <w:semiHidden/>
    <w:rsid w:val="003B7CFF"/>
    <w:pPr>
      <w:pageBreakBefore/>
    </w:pPr>
  </w:style>
  <w:style w:type="table" w:styleId="TableTheme">
    <w:name w:val="Table Theme"/>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B7CFF"/>
    <w:pPr>
      <w:spacing w:after="0" w:line="240" w:lineRule="auto"/>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B7CFF"/>
    <w:pPr>
      <w:spacing w:after="0" w:line="240" w:lineRule="auto"/>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B7CFF"/>
    <w:pPr>
      <w:spacing w:after="0" w:line="240" w:lineRule="auto"/>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087272"/>
    <w:pPr>
      <w:spacing w:after="0" w:line="240" w:lineRule="auto"/>
    </w:pPr>
    <w:rPr>
      <w:rFonts w:ascii="Times New Roman" w:eastAsia="Times New Roman" w:hAnsi="Times New Roman" w:cs="Times New Roman"/>
      <w:sz w:val="24"/>
      <w:szCs w:val="24"/>
      <w:lang w:val="en-GB"/>
    </w:rPr>
  </w:style>
  <w:style w:type="paragraph" w:customStyle="1" w:styleId="Heading5unnumbered">
    <w:name w:val="Heading 5 unnumbered"/>
    <w:basedOn w:val="Heading4Unnumbered"/>
    <w:uiPriority w:val="99"/>
    <w:qFormat/>
    <w:rsid w:val="00D11FA5"/>
    <w:rPr>
      <w:b w:val="0"/>
    </w:rPr>
  </w:style>
  <w:style w:type="paragraph" w:customStyle="1" w:styleId="Heading6unnumbered">
    <w:name w:val="Heading 6 unnumbered"/>
    <w:basedOn w:val="Heading5unnumbered"/>
    <w:uiPriority w:val="99"/>
    <w:qFormat/>
    <w:rsid w:val="00C83C9B"/>
    <w:rPr>
      <w:i w:val="0"/>
      <w:u w:val="single"/>
    </w:rPr>
  </w:style>
  <w:style w:type="paragraph" w:customStyle="1" w:styleId="A-TableFootnoteText">
    <w:name w:val="A-Table Footnote Text"/>
    <w:next w:val="Normal"/>
    <w:qFormat/>
    <w:rsid w:val="000547BB"/>
    <w:pPr>
      <w:tabs>
        <w:tab w:val="left" w:pos="432"/>
      </w:tabs>
      <w:spacing w:after="0" w:line="240" w:lineRule="auto"/>
      <w:ind w:left="432" w:hanging="432"/>
    </w:pPr>
    <w:rPr>
      <w:rFonts w:ascii="Times New Roman" w:eastAsia="Times New Roman" w:hAnsi="Times New Roman" w:cs="Times New Roman"/>
      <w:sz w:val="20"/>
      <w:szCs w:val="20"/>
      <w:lang w:val="en-GB"/>
    </w:rPr>
  </w:style>
  <w:style w:type="paragraph" w:customStyle="1" w:styleId="A-FigureTitle">
    <w:name w:val="A-Figure Title"/>
    <w:next w:val="Normal"/>
    <w:link w:val="A-FigureTitleChar"/>
    <w:rsid w:val="000547BB"/>
    <w:pPr>
      <w:keepNext/>
      <w:tabs>
        <w:tab w:val="left" w:pos="1418"/>
      </w:tabs>
      <w:spacing w:after="120" w:line="280" w:lineRule="atLeast"/>
      <w:ind w:left="1411" w:hanging="1411"/>
    </w:pPr>
    <w:rPr>
      <w:rFonts w:ascii="Times New Roman" w:eastAsia="Times New Roman" w:hAnsi="Times New Roman" w:cs="Times New Roman"/>
      <w:b/>
      <w:sz w:val="24"/>
      <w:szCs w:val="20"/>
      <w:lang w:val="en-GB"/>
    </w:rPr>
  </w:style>
  <w:style w:type="character" w:customStyle="1" w:styleId="A-FigureTitleChar">
    <w:name w:val="A-Figure Title Char"/>
    <w:link w:val="A-FigureTitle"/>
    <w:locked/>
    <w:rsid w:val="000547BB"/>
    <w:rPr>
      <w:rFonts w:ascii="Times New Roman" w:eastAsia="Times New Roman" w:hAnsi="Times New Roman" w:cs="Times New Roman"/>
      <w:b/>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8" w:qFormat="1"/>
    <w:lsdException w:name="heading 6" w:uiPriority="8" w:qFormat="1"/>
    <w:lsdException w:name="heading 7" w:qFormat="1"/>
    <w:lsdException w:name="heading 8" w:qFormat="1"/>
    <w:lsdException w:name="heading 9" w:uiPriority="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69"/>
    <w:lsdException w:name="footer" w:uiPriority="0"/>
    <w:lsdException w:name="caption" w:uiPriority="49" w:qFormat="1"/>
    <w:lsdException w:name="table of figures" w:uiPriority="40"/>
    <w:lsdException w:name="envelope address" w:uiPriority="69"/>
    <w:lsdException w:name="envelope return" w:uiPriority="69"/>
    <w:lsdException w:name="annotation reference" w:uiPriority="69"/>
    <w:lsdException w:name="endnote reference" w:uiPriority="69"/>
    <w:lsdException w:name="endnote text" w:uiPriority="69"/>
    <w:lsdException w:name="table of authorities" w:uiPriority="0"/>
    <w:lsdException w:name="List Bullet" w:uiPriority="9" w:qFormat="1"/>
    <w:lsdException w:name="List Number" w:uiPriority="9" w:qFormat="1"/>
    <w:lsdException w:name="List Bullet 2" w:uiPriority="9" w:qFormat="1"/>
    <w:lsdException w:name="List Bullet 3" w:uiPriority="9" w:qFormat="1"/>
    <w:lsdException w:name="List Number 2" w:uiPriority="9" w:qFormat="1"/>
    <w:lsdException w:name="List Number 3" w:uiPriority="9" w:qFormat="1"/>
    <w:lsdException w:name="Title" w:semiHidden="0" w:uiPriority="25" w:unhideWhenUsed="0" w:qFormat="1"/>
    <w:lsdException w:name="Closing" w:uiPriority="69"/>
    <w:lsdException w:name="Signature" w:uiPriority="49"/>
    <w:lsdException w:name="Default Paragraph Font" w:uiPriority="1"/>
    <w:lsdException w:name="Body Text" w:uiPriority="69"/>
    <w:lsdException w:name="Body Text Indent" w:uiPriority="69"/>
    <w:lsdException w:name="Subtitle" w:semiHidden="0" w:unhideWhenUsed="0" w:qFormat="1"/>
    <w:lsdException w:name="Salutation" w:uiPriority="49"/>
    <w:lsdException w:name="Date" w:uiPriority="69"/>
    <w:lsdException w:name="Body Text First Indent" w:uiPriority="69"/>
    <w:lsdException w:name="Body Text First Indent 2" w:uiPriority="69"/>
    <w:lsdException w:name="Body Text 2" w:uiPriority="69"/>
    <w:lsdException w:name="Body Text 3" w:uiPriority="69"/>
    <w:lsdException w:name="Body Text Indent 2" w:uiPriority="69"/>
    <w:lsdException w:name="Body Text Indent 3" w:uiPriority="69"/>
    <w:lsdException w:name="Strong" w:semiHidden="0" w:uiPriority="49" w:unhideWhenUsed="0" w:qFormat="1"/>
    <w:lsdException w:name="Emphasis" w:semiHidden="0" w:uiPriority="69" w:unhideWhenUsed="0" w:qFormat="1"/>
    <w:lsdException w:name="Document Map" w:uiPriority="69"/>
    <w:lsdException w:name="Plain Text" w:uiPriority="49"/>
    <w:lsdException w:name="E-mail Signature" w:uiPriority="69"/>
    <w:lsdException w:name="annotation subject" w:uiPriority="69"/>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69"/>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3B7CFF"/>
    <w:pPr>
      <w:spacing w:after="240"/>
    </w:pPr>
    <w:rPr>
      <w:rFonts w:ascii="Times New Roman" w:eastAsia="Times New Roman" w:hAnsi="Times New Roman" w:cs="Times New Roman"/>
      <w:sz w:val="24"/>
      <w:szCs w:val="24"/>
      <w:lang w:val="en-GB"/>
    </w:rPr>
  </w:style>
  <w:style w:type="paragraph" w:styleId="Heading1">
    <w:name w:val="heading 1"/>
    <w:next w:val="Paragraph"/>
    <w:link w:val="Heading1Char"/>
    <w:uiPriority w:val="4"/>
    <w:qFormat/>
    <w:rsid w:val="003B7CFF"/>
    <w:pPr>
      <w:keepNext/>
      <w:keepLines/>
      <w:numPr>
        <w:numId w:val="13"/>
      </w:numPr>
      <w:spacing w:before="240" w:after="240" w:line="240" w:lineRule="auto"/>
      <w:outlineLvl w:val="0"/>
    </w:pPr>
    <w:rPr>
      <w:rFonts w:ascii="Times New Roman" w:eastAsia="Times New Roman" w:hAnsi="Times New Roman" w:cs="Arial"/>
      <w:b/>
      <w:bCs/>
      <w:caps/>
      <w:kern w:val="32"/>
      <w:sz w:val="28"/>
      <w:szCs w:val="28"/>
      <w:lang w:val="en-GB"/>
    </w:rPr>
  </w:style>
  <w:style w:type="paragraph" w:styleId="Heading2">
    <w:name w:val="heading 2"/>
    <w:next w:val="Paragraph"/>
    <w:link w:val="Heading2Char"/>
    <w:uiPriority w:val="4"/>
    <w:qFormat/>
    <w:rsid w:val="00F02A45"/>
    <w:pPr>
      <w:keepNext/>
      <w:keepLines/>
      <w:numPr>
        <w:ilvl w:val="1"/>
        <w:numId w:val="13"/>
      </w:numPr>
      <w:spacing w:before="60" w:after="120" w:line="240" w:lineRule="auto"/>
      <w:outlineLvl w:val="1"/>
    </w:pPr>
    <w:rPr>
      <w:rFonts w:ascii="Times New Roman" w:eastAsia="Times New Roman" w:hAnsi="Times New Roman" w:cs="Arial"/>
      <w:b/>
      <w:bCs/>
      <w:iCs/>
      <w:sz w:val="24"/>
      <w:szCs w:val="26"/>
      <w:lang w:val="en-GB"/>
    </w:rPr>
  </w:style>
  <w:style w:type="paragraph" w:styleId="Heading3">
    <w:name w:val="heading 3"/>
    <w:next w:val="Paragraph"/>
    <w:link w:val="Heading3Char"/>
    <w:uiPriority w:val="4"/>
    <w:qFormat/>
    <w:rsid w:val="003B7CFF"/>
    <w:pPr>
      <w:keepNext/>
      <w:keepLines/>
      <w:numPr>
        <w:ilvl w:val="2"/>
        <w:numId w:val="13"/>
      </w:numPr>
      <w:spacing w:before="60" w:after="120" w:line="240" w:lineRule="auto"/>
      <w:outlineLvl w:val="2"/>
    </w:pPr>
    <w:rPr>
      <w:rFonts w:ascii="Times New Roman" w:eastAsia="Times New Roman" w:hAnsi="Times New Roman" w:cs="Arial"/>
      <w:b/>
      <w:bCs/>
      <w:sz w:val="26"/>
      <w:szCs w:val="24"/>
      <w:lang w:val="en-GB"/>
    </w:rPr>
  </w:style>
  <w:style w:type="paragraph" w:styleId="Heading4">
    <w:name w:val="heading 4"/>
    <w:next w:val="Paragraph"/>
    <w:link w:val="Heading4Char"/>
    <w:uiPriority w:val="4"/>
    <w:qFormat/>
    <w:rsid w:val="003B7CFF"/>
    <w:pPr>
      <w:keepNext/>
      <w:keepLines/>
      <w:numPr>
        <w:ilvl w:val="3"/>
        <w:numId w:val="13"/>
      </w:numPr>
      <w:spacing w:before="60" w:after="60" w:line="240" w:lineRule="auto"/>
      <w:outlineLvl w:val="3"/>
    </w:pPr>
    <w:rPr>
      <w:rFonts w:ascii="Times New Roman" w:eastAsia="Times New Roman" w:hAnsi="Times New Roman" w:cs="Times New Roman"/>
      <w:b/>
      <w:bCs/>
      <w:sz w:val="24"/>
      <w:lang w:val="en-GB"/>
    </w:rPr>
  </w:style>
  <w:style w:type="paragraph" w:styleId="Heading5">
    <w:name w:val="heading 5"/>
    <w:next w:val="Paragraph"/>
    <w:link w:val="Heading5Char"/>
    <w:uiPriority w:val="8"/>
    <w:qFormat/>
    <w:rsid w:val="003B7CFF"/>
    <w:pPr>
      <w:keepNext/>
      <w:keepLines/>
      <w:numPr>
        <w:ilvl w:val="4"/>
        <w:numId w:val="13"/>
      </w:numPr>
      <w:tabs>
        <w:tab w:val="left" w:pos="1440"/>
      </w:tabs>
      <w:spacing w:before="60" w:after="60" w:line="240" w:lineRule="auto"/>
      <w:outlineLvl w:val="4"/>
    </w:pPr>
    <w:rPr>
      <w:rFonts w:ascii="Times New Roman Bold" w:eastAsia="Times New Roman" w:hAnsi="Times New Roman Bold" w:cs="Arial"/>
      <w:b/>
      <w:bCs/>
      <w:iCs/>
      <w:lang w:val="en-US"/>
    </w:rPr>
  </w:style>
  <w:style w:type="paragraph" w:styleId="Heading6">
    <w:name w:val="heading 6"/>
    <w:next w:val="Paragraph"/>
    <w:link w:val="Heading6Char"/>
    <w:uiPriority w:val="8"/>
    <w:qFormat/>
    <w:rsid w:val="003B7CFF"/>
    <w:pPr>
      <w:keepNext/>
      <w:keepLines/>
      <w:numPr>
        <w:ilvl w:val="5"/>
        <w:numId w:val="13"/>
      </w:numPr>
      <w:tabs>
        <w:tab w:val="left" w:pos="1680"/>
      </w:tabs>
      <w:spacing w:before="60" w:after="60" w:line="240" w:lineRule="auto"/>
      <w:outlineLvl w:val="5"/>
    </w:pPr>
    <w:rPr>
      <w:rFonts w:ascii="Times New Roman" w:eastAsia="Times New Roman" w:hAnsi="Times New Roman" w:cs="Arial"/>
      <w:b/>
      <w:bCs/>
      <w:i/>
      <w:lang w:val="en-US"/>
    </w:rPr>
  </w:style>
  <w:style w:type="paragraph" w:styleId="Heading7">
    <w:name w:val="heading 7"/>
    <w:next w:val="Paragraph"/>
    <w:link w:val="Heading7Char"/>
    <w:uiPriority w:val="99"/>
    <w:semiHidden/>
    <w:qFormat/>
    <w:rsid w:val="003B7CFF"/>
    <w:pPr>
      <w:keepNext/>
      <w:keepLines/>
      <w:numPr>
        <w:ilvl w:val="6"/>
        <w:numId w:val="13"/>
      </w:numPr>
      <w:tabs>
        <w:tab w:val="left" w:pos="1920"/>
      </w:tabs>
      <w:spacing w:after="240" w:line="240" w:lineRule="auto"/>
      <w:outlineLvl w:val="6"/>
    </w:pPr>
    <w:rPr>
      <w:rFonts w:ascii="Times New Roman" w:eastAsia="Times New Roman" w:hAnsi="Times New Roman" w:cs="Arial"/>
      <w:i/>
      <w:sz w:val="24"/>
      <w:szCs w:val="24"/>
      <w:lang w:val="en-US"/>
    </w:rPr>
  </w:style>
  <w:style w:type="paragraph" w:styleId="Heading8">
    <w:name w:val="heading 8"/>
    <w:next w:val="Paragraph"/>
    <w:link w:val="Heading8Char"/>
    <w:uiPriority w:val="99"/>
    <w:semiHidden/>
    <w:qFormat/>
    <w:rsid w:val="003B7CFF"/>
    <w:pPr>
      <w:keepNext/>
      <w:keepLines/>
      <w:numPr>
        <w:ilvl w:val="7"/>
        <w:numId w:val="13"/>
      </w:numPr>
      <w:tabs>
        <w:tab w:val="left" w:pos="2160"/>
      </w:tabs>
      <w:spacing w:after="240" w:line="240" w:lineRule="auto"/>
      <w:outlineLvl w:val="7"/>
    </w:pPr>
    <w:rPr>
      <w:rFonts w:ascii="Times New Roman" w:eastAsia="Times New Roman" w:hAnsi="Times New Roman" w:cs="Arial"/>
      <w:i/>
      <w:iCs/>
      <w:sz w:val="24"/>
      <w:szCs w:val="24"/>
      <w:lang w:val="en-US"/>
    </w:rPr>
  </w:style>
  <w:style w:type="paragraph" w:styleId="Heading9">
    <w:name w:val="heading 9"/>
    <w:aliases w:val="-References"/>
    <w:next w:val="Paragraph"/>
    <w:link w:val="Heading9Char"/>
    <w:uiPriority w:val="7"/>
    <w:qFormat/>
    <w:rsid w:val="003B7CFF"/>
    <w:pPr>
      <w:keepNext/>
      <w:keepLines/>
      <w:numPr>
        <w:ilvl w:val="8"/>
        <w:numId w:val="13"/>
      </w:numPr>
      <w:spacing w:before="120" w:after="0" w:line="240" w:lineRule="auto"/>
      <w:outlineLvl w:val="8"/>
    </w:pPr>
    <w:rPr>
      <w:rFonts w:ascii="Times New Roman" w:eastAsia="Times New Roman" w:hAnsi="Times New Roman"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3B7CFF"/>
    <w:rPr>
      <w:rFonts w:ascii="Times New Roman" w:eastAsia="Times New Roman" w:hAnsi="Times New Roman" w:cs="Arial"/>
      <w:b/>
      <w:bCs/>
      <w:caps/>
      <w:kern w:val="32"/>
      <w:sz w:val="28"/>
      <w:szCs w:val="28"/>
      <w:lang w:val="en-GB"/>
    </w:rPr>
  </w:style>
  <w:style w:type="character" w:customStyle="1" w:styleId="Heading2Char">
    <w:name w:val="Heading 2 Char"/>
    <w:basedOn w:val="DefaultParagraphFont"/>
    <w:link w:val="Heading2"/>
    <w:uiPriority w:val="4"/>
    <w:rsid w:val="00F02A45"/>
    <w:rPr>
      <w:rFonts w:ascii="Times New Roman" w:eastAsia="Times New Roman" w:hAnsi="Times New Roman" w:cs="Arial"/>
      <w:b/>
      <w:bCs/>
      <w:iCs/>
      <w:sz w:val="24"/>
      <w:szCs w:val="26"/>
      <w:lang w:val="en-GB"/>
    </w:rPr>
  </w:style>
  <w:style w:type="character" w:customStyle="1" w:styleId="Heading3Char">
    <w:name w:val="Heading 3 Char"/>
    <w:basedOn w:val="DefaultParagraphFont"/>
    <w:link w:val="Heading3"/>
    <w:uiPriority w:val="4"/>
    <w:rsid w:val="003B7CFF"/>
    <w:rPr>
      <w:rFonts w:ascii="Times New Roman" w:eastAsia="Times New Roman" w:hAnsi="Times New Roman" w:cs="Arial"/>
      <w:b/>
      <w:bCs/>
      <w:sz w:val="26"/>
      <w:szCs w:val="24"/>
      <w:lang w:val="en-GB"/>
    </w:rPr>
  </w:style>
  <w:style w:type="character" w:customStyle="1" w:styleId="Heading4Char">
    <w:name w:val="Heading 4 Char"/>
    <w:basedOn w:val="DefaultParagraphFont"/>
    <w:link w:val="Heading4"/>
    <w:uiPriority w:val="4"/>
    <w:rsid w:val="003B7CFF"/>
    <w:rPr>
      <w:rFonts w:ascii="Times New Roman" w:eastAsia="Times New Roman" w:hAnsi="Times New Roman" w:cs="Times New Roman"/>
      <w:b/>
      <w:bCs/>
      <w:sz w:val="24"/>
      <w:lang w:val="en-GB"/>
    </w:rPr>
  </w:style>
  <w:style w:type="character" w:customStyle="1" w:styleId="Heading5Char">
    <w:name w:val="Heading 5 Char"/>
    <w:basedOn w:val="DefaultParagraphFont"/>
    <w:link w:val="Heading5"/>
    <w:uiPriority w:val="8"/>
    <w:rsid w:val="003B7CFF"/>
    <w:rPr>
      <w:rFonts w:ascii="Times New Roman Bold" w:eastAsia="Times New Roman" w:hAnsi="Times New Roman Bold" w:cs="Arial"/>
      <w:b/>
      <w:bCs/>
      <w:iCs/>
      <w:lang w:val="en-US"/>
    </w:rPr>
  </w:style>
  <w:style w:type="character" w:customStyle="1" w:styleId="Heading6Char">
    <w:name w:val="Heading 6 Char"/>
    <w:basedOn w:val="DefaultParagraphFont"/>
    <w:link w:val="Heading6"/>
    <w:uiPriority w:val="8"/>
    <w:rsid w:val="003B7CFF"/>
    <w:rPr>
      <w:rFonts w:ascii="Times New Roman" w:eastAsia="Times New Roman" w:hAnsi="Times New Roman" w:cs="Arial"/>
      <w:b/>
      <w:bCs/>
      <w:i/>
      <w:lang w:val="en-US"/>
    </w:rPr>
  </w:style>
  <w:style w:type="character" w:customStyle="1" w:styleId="Heading7Char">
    <w:name w:val="Heading 7 Char"/>
    <w:basedOn w:val="DefaultParagraphFont"/>
    <w:link w:val="Heading7"/>
    <w:uiPriority w:val="99"/>
    <w:semiHidden/>
    <w:rsid w:val="003B7CFF"/>
    <w:rPr>
      <w:rFonts w:ascii="Times New Roman" w:eastAsia="Times New Roman" w:hAnsi="Times New Roman" w:cs="Arial"/>
      <w:i/>
      <w:sz w:val="24"/>
      <w:szCs w:val="24"/>
      <w:lang w:val="en-US"/>
    </w:rPr>
  </w:style>
  <w:style w:type="character" w:customStyle="1" w:styleId="Heading8Char">
    <w:name w:val="Heading 8 Char"/>
    <w:basedOn w:val="DefaultParagraphFont"/>
    <w:link w:val="Heading8"/>
    <w:uiPriority w:val="99"/>
    <w:semiHidden/>
    <w:rsid w:val="003B7CFF"/>
    <w:rPr>
      <w:rFonts w:ascii="Times New Roman" w:eastAsia="Times New Roman" w:hAnsi="Times New Roman" w:cs="Arial"/>
      <w:i/>
      <w:iCs/>
      <w:sz w:val="24"/>
      <w:szCs w:val="24"/>
      <w:lang w:val="en-US"/>
    </w:rPr>
  </w:style>
  <w:style w:type="character" w:customStyle="1" w:styleId="Heading9Char">
    <w:name w:val="Heading 9 Char"/>
    <w:aliases w:val="-References Char"/>
    <w:basedOn w:val="DefaultParagraphFont"/>
    <w:link w:val="Heading9"/>
    <w:uiPriority w:val="7"/>
    <w:rsid w:val="003B7CFF"/>
    <w:rPr>
      <w:rFonts w:ascii="Times New Roman" w:eastAsia="Times New Roman" w:hAnsi="Times New Roman" w:cs="Arial"/>
      <w:b/>
      <w:szCs w:val="24"/>
      <w:lang w:val="en-GB"/>
    </w:rPr>
  </w:style>
  <w:style w:type="paragraph" w:styleId="ListParagraph">
    <w:name w:val="List Paragraph"/>
    <w:basedOn w:val="Normal"/>
    <w:uiPriority w:val="34"/>
    <w:qFormat/>
    <w:rsid w:val="003B7CFF"/>
    <w:pPr>
      <w:contextualSpacing/>
    </w:pPr>
  </w:style>
  <w:style w:type="character" w:styleId="CommentReference">
    <w:name w:val="annotation reference"/>
    <w:uiPriority w:val="69"/>
    <w:semiHidden/>
    <w:rsid w:val="003B7CFF"/>
    <w:rPr>
      <w:sz w:val="16"/>
      <w:szCs w:val="16"/>
    </w:rPr>
  </w:style>
  <w:style w:type="paragraph" w:styleId="CommentText">
    <w:name w:val="annotation text"/>
    <w:basedOn w:val="Normal"/>
    <w:link w:val="CommentTextChar"/>
    <w:uiPriority w:val="69"/>
    <w:semiHidden/>
    <w:rsid w:val="003B7CFF"/>
    <w:rPr>
      <w:sz w:val="20"/>
      <w:szCs w:val="20"/>
    </w:rPr>
  </w:style>
  <w:style w:type="character" w:customStyle="1" w:styleId="CommentTextChar">
    <w:name w:val="Comment Text Char"/>
    <w:basedOn w:val="DefaultParagraphFont"/>
    <w:link w:val="CommentText"/>
    <w:uiPriority w:val="69"/>
    <w:semiHidden/>
    <w:rsid w:val="003B7CFF"/>
    <w:rPr>
      <w:rFonts w:ascii="Times New Roman" w:eastAsia="Times New Roman" w:hAnsi="Times New Roman" w:cs="Times New Roman"/>
      <w:sz w:val="20"/>
      <w:szCs w:val="20"/>
      <w:lang w:val="en-GB"/>
    </w:rPr>
  </w:style>
  <w:style w:type="paragraph" w:styleId="FootnoteText">
    <w:name w:val="footnote text"/>
    <w:basedOn w:val="Normal"/>
    <w:link w:val="FootnoteTextChar"/>
    <w:uiPriority w:val="99"/>
    <w:rsid w:val="009013C4"/>
    <w:pPr>
      <w:spacing w:after="0" w:line="240" w:lineRule="auto"/>
    </w:pPr>
    <w:rPr>
      <w:sz w:val="20"/>
      <w:szCs w:val="20"/>
    </w:rPr>
  </w:style>
  <w:style w:type="character" w:customStyle="1" w:styleId="FootnoteTextChar">
    <w:name w:val="Footnote Text Char"/>
    <w:basedOn w:val="DefaultParagraphFont"/>
    <w:link w:val="FootnoteText"/>
    <w:uiPriority w:val="99"/>
    <w:rsid w:val="009013C4"/>
    <w:rPr>
      <w:rFonts w:ascii="Times New Roman" w:eastAsia="Times New Roman" w:hAnsi="Times New Roman" w:cs="Times New Roman"/>
      <w:sz w:val="20"/>
      <w:szCs w:val="20"/>
      <w:lang w:val="en-GB"/>
    </w:rPr>
  </w:style>
  <w:style w:type="character" w:styleId="FootnoteReference">
    <w:name w:val="footnote reference"/>
    <w:uiPriority w:val="99"/>
    <w:rsid w:val="003B7CFF"/>
    <w:rPr>
      <w:vertAlign w:val="superscript"/>
    </w:rPr>
  </w:style>
  <w:style w:type="paragraph" w:styleId="ListBullet">
    <w:name w:val="List Bullet"/>
    <w:uiPriority w:val="9"/>
    <w:qFormat/>
    <w:rsid w:val="003B7CFF"/>
    <w:pPr>
      <w:numPr>
        <w:numId w:val="21"/>
      </w:numPr>
      <w:spacing w:before="60" w:after="60" w:line="240" w:lineRule="auto"/>
    </w:pPr>
    <w:rPr>
      <w:rFonts w:ascii="Times New Roman" w:eastAsia="Times New Roman" w:hAnsi="Times New Roman" w:cs="Times New Roman"/>
      <w:sz w:val="24"/>
      <w:szCs w:val="20"/>
      <w:lang w:val="en-GB"/>
    </w:rPr>
  </w:style>
  <w:style w:type="character" w:styleId="Hyperlink">
    <w:name w:val="Hyperlink"/>
    <w:uiPriority w:val="99"/>
    <w:rsid w:val="003B7CFF"/>
    <w:rPr>
      <w:color w:val="0000FF"/>
      <w:u w:val="non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Header"/>
    <w:link w:val="FooterChar"/>
    <w:rsid w:val="003B7CFF"/>
  </w:style>
  <w:style w:type="character" w:customStyle="1" w:styleId="FooterChar">
    <w:name w:val="Footer Char"/>
    <w:basedOn w:val="DefaultParagraphFont"/>
    <w:link w:val="Footer"/>
    <w:rsid w:val="003B7CFF"/>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69"/>
    <w:semiHidden/>
    <w:rsid w:val="003B7CFF"/>
    <w:rPr>
      <w:rFonts w:ascii="Arial Narrow" w:hAnsi="Arial Narrow" w:cs="Tahoma"/>
      <w:sz w:val="18"/>
      <w:szCs w:val="16"/>
    </w:rPr>
  </w:style>
  <w:style w:type="character" w:customStyle="1" w:styleId="BalloonTextChar">
    <w:name w:val="Balloon Text Char"/>
    <w:basedOn w:val="DefaultParagraphFont"/>
    <w:link w:val="BalloonText"/>
    <w:uiPriority w:val="69"/>
    <w:semiHidden/>
    <w:rsid w:val="003B7CFF"/>
    <w:rPr>
      <w:rFonts w:ascii="Arial Narrow" w:eastAsia="Times New Roman" w:hAnsi="Arial Narrow" w:cs="Tahoma"/>
      <w:sz w:val="18"/>
      <w:szCs w:val="16"/>
      <w:lang w:val="en-GB"/>
    </w:rPr>
  </w:style>
  <w:style w:type="paragraph" w:customStyle="1" w:styleId="AppendixNumeric">
    <w:name w:val="Appendix Numeric"/>
    <w:next w:val="Paragraph"/>
    <w:uiPriority w:val="20"/>
    <w:qFormat/>
    <w:rsid w:val="003B7CFF"/>
    <w:pPr>
      <w:pageBreakBefore/>
      <w:numPr>
        <w:numId w:val="11"/>
      </w:numPr>
      <w:spacing w:after="160" w:line="240" w:lineRule="auto"/>
    </w:pPr>
    <w:rPr>
      <w:rFonts w:ascii="Times New Roman" w:eastAsia="Times New Roman" w:hAnsi="Times New Roman" w:cs="Arial"/>
      <w:b/>
      <w:iCs/>
      <w:snapToGrid w:val="0"/>
      <w:sz w:val="28"/>
      <w:szCs w:val="26"/>
      <w:lang w:val="sv-SE"/>
    </w:rPr>
  </w:style>
  <w:style w:type="paragraph" w:customStyle="1" w:styleId="AppendixAlpha">
    <w:name w:val="Appendix Alpha"/>
    <w:basedOn w:val="AppendixNumeric"/>
    <w:next w:val="Paragraph"/>
    <w:uiPriority w:val="21"/>
    <w:qFormat/>
    <w:rsid w:val="003B7CFF"/>
    <w:pPr>
      <w:keepNext/>
      <w:keepLines/>
      <w:numPr>
        <w:numId w:val="12"/>
      </w:numPr>
    </w:pPr>
  </w:style>
  <w:style w:type="table" w:customStyle="1" w:styleId="PlainTable1">
    <w:name w:val="Plain Table 1"/>
    <w:basedOn w:val="TableNormal"/>
    <w:uiPriority w:val="41"/>
    <w:rsid w:val="00EE3A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EE3A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roval">
    <w:name w:val="Approval"/>
    <w:basedOn w:val="Paragraph"/>
    <w:uiPriority w:val="24"/>
    <w:rsid w:val="003B7CFF"/>
  </w:style>
  <w:style w:type="paragraph" w:styleId="BodyText">
    <w:name w:val="Body Text"/>
    <w:basedOn w:val="Normal"/>
    <w:link w:val="BodyTextChar"/>
    <w:uiPriority w:val="69"/>
    <w:semiHidden/>
    <w:rsid w:val="003B7CFF"/>
    <w:pPr>
      <w:spacing w:after="120"/>
    </w:pPr>
  </w:style>
  <w:style w:type="character" w:customStyle="1" w:styleId="BodyTextChar">
    <w:name w:val="Body Text Char"/>
    <w:basedOn w:val="DefaultParagraphFont"/>
    <w:link w:val="BodyText"/>
    <w:uiPriority w:val="69"/>
    <w:semiHidden/>
    <w:rsid w:val="003B7CFF"/>
    <w:rPr>
      <w:rFonts w:ascii="Times New Roman" w:eastAsia="Times New Roman" w:hAnsi="Times New Roman" w:cs="Times New Roman"/>
      <w:sz w:val="24"/>
      <w:szCs w:val="24"/>
      <w:lang w:val="en-GB"/>
    </w:rPr>
  </w:style>
  <w:style w:type="paragraph" w:styleId="BodyText2">
    <w:name w:val="Body Text 2"/>
    <w:basedOn w:val="Normal"/>
    <w:link w:val="BodyText2Char"/>
    <w:uiPriority w:val="69"/>
    <w:semiHidden/>
    <w:rsid w:val="003B7CFF"/>
    <w:pPr>
      <w:spacing w:after="120" w:line="480" w:lineRule="auto"/>
    </w:pPr>
  </w:style>
  <w:style w:type="character" w:customStyle="1" w:styleId="BodyText2Char">
    <w:name w:val="Body Text 2 Char"/>
    <w:basedOn w:val="DefaultParagraphFont"/>
    <w:link w:val="BodyText2"/>
    <w:uiPriority w:val="69"/>
    <w:semiHidden/>
    <w:rsid w:val="003B7CFF"/>
    <w:rPr>
      <w:rFonts w:ascii="Times New Roman" w:eastAsia="Times New Roman" w:hAnsi="Times New Roman" w:cs="Times New Roman"/>
      <w:sz w:val="24"/>
      <w:szCs w:val="24"/>
      <w:lang w:val="en-GB"/>
    </w:rPr>
  </w:style>
  <w:style w:type="paragraph" w:styleId="BodyText3">
    <w:name w:val="Body Text 3"/>
    <w:basedOn w:val="Normal"/>
    <w:link w:val="BodyText3Char"/>
    <w:uiPriority w:val="69"/>
    <w:semiHidden/>
    <w:rsid w:val="003B7CFF"/>
    <w:pPr>
      <w:spacing w:after="120"/>
    </w:pPr>
    <w:rPr>
      <w:sz w:val="16"/>
      <w:szCs w:val="16"/>
    </w:rPr>
  </w:style>
  <w:style w:type="character" w:customStyle="1" w:styleId="BodyText3Char">
    <w:name w:val="Body Text 3 Char"/>
    <w:basedOn w:val="DefaultParagraphFont"/>
    <w:link w:val="BodyText3"/>
    <w:uiPriority w:val="69"/>
    <w:semiHidden/>
    <w:rsid w:val="003B7CFF"/>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uiPriority w:val="69"/>
    <w:semiHidden/>
    <w:rsid w:val="003B7CFF"/>
    <w:pPr>
      <w:ind w:firstLine="210"/>
    </w:pPr>
  </w:style>
  <w:style w:type="character" w:customStyle="1" w:styleId="BodyTextFirstIndentChar">
    <w:name w:val="Body Text First Indent Char"/>
    <w:basedOn w:val="BodyTextChar"/>
    <w:link w:val="BodyTextFirstIndent"/>
    <w:uiPriority w:val="69"/>
    <w:semiHidden/>
    <w:rsid w:val="003B7CFF"/>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69"/>
    <w:semiHidden/>
    <w:rsid w:val="003B7CFF"/>
    <w:pPr>
      <w:spacing w:after="120"/>
      <w:ind w:left="360"/>
    </w:pPr>
  </w:style>
  <w:style w:type="character" w:customStyle="1" w:styleId="BodyTextIndentChar">
    <w:name w:val="Body Text Indent Char"/>
    <w:basedOn w:val="DefaultParagraphFont"/>
    <w:link w:val="BodyTextIndent"/>
    <w:uiPriority w:val="69"/>
    <w:semiHidden/>
    <w:rsid w:val="003B7CFF"/>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uiPriority w:val="69"/>
    <w:semiHidden/>
    <w:rsid w:val="003B7CFF"/>
    <w:pPr>
      <w:ind w:firstLine="210"/>
    </w:pPr>
  </w:style>
  <w:style w:type="character" w:customStyle="1" w:styleId="BodyTextFirstIndent2Char">
    <w:name w:val="Body Text First Indent 2 Char"/>
    <w:basedOn w:val="BodyTextIndentChar"/>
    <w:link w:val="BodyTextFirstIndent2"/>
    <w:uiPriority w:val="69"/>
    <w:semiHidden/>
    <w:rsid w:val="003B7CFF"/>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69"/>
    <w:semiHidden/>
    <w:rsid w:val="003B7CFF"/>
    <w:pPr>
      <w:spacing w:after="120" w:line="480" w:lineRule="auto"/>
      <w:ind w:left="360"/>
    </w:pPr>
  </w:style>
  <w:style w:type="character" w:customStyle="1" w:styleId="BodyTextIndent2Char">
    <w:name w:val="Body Text Indent 2 Char"/>
    <w:basedOn w:val="DefaultParagraphFont"/>
    <w:link w:val="BodyTextIndent2"/>
    <w:uiPriority w:val="69"/>
    <w:semiHidden/>
    <w:rsid w:val="003B7CFF"/>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69"/>
    <w:semiHidden/>
    <w:rsid w:val="003B7CFF"/>
    <w:pPr>
      <w:spacing w:after="120"/>
      <w:ind w:left="360"/>
    </w:pPr>
    <w:rPr>
      <w:sz w:val="16"/>
      <w:szCs w:val="16"/>
    </w:rPr>
  </w:style>
  <w:style w:type="character" w:customStyle="1" w:styleId="BodyTextIndent3Char">
    <w:name w:val="Body Text Indent 3 Char"/>
    <w:basedOn w:val="DefaultParagraphFont"/>
    <w:link w:val="BodyTextIndent3"/>
    <w:uiPriority w:val="69"/>
    <w:semiHidden/>
    <w:rsid w:val="003B7CFF"/>
    <w:rPr>
      <w:rFonts w:ascii="Times New Roman" w:eastAsia="Times New Roman" w:hAnsi="Times New Roman" w:cs="Times New Roman"/>
      <w:sz w:val="16"/>
      <w:szCs w:val="16"/>
      <w:lang w:val="en-GB"/>
    </w:rPr>
  </w:style>
  <w:style w:type="numbering" w:styleId="111111">
    <w:name w:val="Outline List 2"/>
    <w:basedOn w:val="NoList"/>
    <w:uiPriority w:val="99"/>
    <w:semiHidden/>
    <w:unhideWhenUsed/>
    <w:rsid w:val="003B7CFF"/>
    <w:pPr>
      <w:numPr>
        <w:numId w:val="23"/>
      </w:numPr>
    </w:pPr>
  </w:style>
  <w:style w:type="numbering" w:styleId="1ai">
    <w:name w:val="Outline List 1"/>
    <w:basedOn w:val="NoList"/>
    <w:uiPriority w:val="99"/>
    <w:semiHidden/>
    <w:unhideWhenUsed/>
    <w:rsid w:val="003B7CFF"/>
    <w:pPr>
      <w:numPr>
        <w:numId w:val="24"/>
      </w:numPr>
    </w:pPr>
  </w:style>
  <w:style w:type="numbering" w:styleId="ArticleSection">
    <w:name w:val="Outline List 3"/>
    <w:basedOn w:val="NoList"/>
    <w:uiPriority w:val="99"/>
    <w:semiHidden/>
    <w:unhideWhenUsed/>
    <w:rsid w:val="003B7CFF"/>
    <w:pPr>
      <w:numPr>
        <w:numId w:val="25"/>
      </w:numPr>
    </w:pPr>
  </w:style>
  <w:style w:type="paragraph" w:styleId="Closing">
    <w:name w:val="Closing"/>
    <w:basedOn w:val="Normal"/>
    <w:link w:val="ClosingChar"/>
    <w:uiPriority w:val="69"/>
    <w:semiHidden/>
    <w:rsid w:val="003B7CFF"/>
    <w:pPr>
      <w:ind w:left="4320"/>
    </w:pPr>
  </w:style>
  <w:style w:type="character" w:customStyle="1" w:styleId="ClosingChar">
    <w:name w:val="Closing Char"/>
    <w:basedOn w:val="DefaultParagraphFont"/>
    <w:link w:val="Closing"/>
    <w:uiPriority w:val="69"/>
    <w:semiHidden/>
    <w:rsid w:val="003B7CFF"/>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69"/>
    <w:semiHidden/>
    <w:rsid w:val="003B7CFF"/>
    <w:rPr>
      <w:b/>
      <w:bCs/>
    </w:rPr>
  </w:style>
  <w:style w:type="character" w:customStyle="1" w:styleId="CommentSubjectChar">
    <w:name w:val="Comment Subject Char"/>
    <w:basedOn w:val="CommentTextChar"/>
    <w:link w:val="CommentSubject"/>
    <w:uiPriority w:val="69"/>
    <w:semiHidden/>
    <w:rsid w:val="003B7CFF"/>
    <w:rPr>
      <w:rFonts w:ascii="Times New Roman" w:eastAsia="Times New Roman" w:hAnsi="Times New Roman" w:cs="Times New Roman"/>
      <w:b/>
      <w:bCs/>
      <w:sz w:val="20"/>
      <w:szCs w:val="20"/>
      <w:lang w:val="en-GB"/>
    </w:rPr>
  </w:style>
  <w:style w:type="paragraph" w:customStyle="1" w:styleId="Confidentiality">
    <w:name w:val="Confidentiality"/>
    <w:uiPriority w:val="24"/>
    <w:rsid w:val="003B7CFF"/>
    <w:pPr>
      <w:spacing w:after="0" w:line="240" w:lineRule="auto"/>
    </w:pPr>
    <w:rPr>
      <w:rFonts w:ascii="Times New Roman" w:eastAsia="Times New Roman" w:hAnsi="Times New Roman" w:cs="Times New Roman"/>
      <w:sz w:val="24"/>
      <w:szCs w:val="20"/>
      <w:lang w:val="en-GB"/>
    </w:rPr>
  </w:style>
  <w:style w:type="paragraph" w:styleId="Date">
    <w:name w:val="Date"/>
    <w:basedOn w:val="Normal"/>
    <w:next w:val="Normal"/>
    <w:link w:val="DateChar"/>
    <w:uiPriority w:val="69"/>
    <w:semiHidden/>
    <w:rsid w:val="003B7CFF"/>
  </w:style>
  <w:style w:type="character" w:customStyle="1" w:styleId="DateChar">
    <w:name w:val="Date Char"/>
    <w:basedOn w:val="DefaultParagraphFont"/>
    <w:link w:val="Date"/>
    <w:uiPriority w:val="69"/>
    <w:semiHidden/>
    <w:rsid w:val="003B7CFF"/>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69"/>
    <w:semiHidden/>
    <w:rsid w:val="003B7CFF"/>
    <w:pPr>
      <w:shd w:val="clear" w:color="auto" w:fill="000080"/>
    </w:pPr>
    <w:rPr>
      <w:rFonts w:ascii="Tahoma" w:hAnsi="Tahoma" w:cs="Tahoma"/>
    </w:rPr>
  </w:style>
  <w:style w:type="character" w:customStyle="1" w:styleId="DocumentMapChar">
    <w:name w:val="Document Map Char"/>
    <w:basedOn w:val="DefaultParagraphFont"/>
    <w:link w:val="DocumentMap"/>
    <w:uiPriority w:val="69"/>
    <w:semiHidden/>
    <w:rsid w:val="003B7CFF"/>
    <w:rPr>
      <w:rFonts w:ascii="Tahoma" w:eastAsia="Times New Roman" w:hAnsi="Tahoma" w:cs="Tahoma"/>
      <w:sz w:val="24"/>
      <w:szCs w:val="24"/>
      <w:shd w:val="clear" w:color="auto" w:fill="000080"/>
      <w:lang w:val="en-GB"/>
    </w:rPr>
  </w:style>
  <w:style w:type="paragraph" w:styleId="E-mailSignature">
    <w:name w:val="E-mail Signature"/>
    <w:basedOn w:val="Normal"/>
    <w:link w:val="E-mailSignatureChar"/>
    <w:uiPriority w:val="69"/>
    <w:semiHidden/>
    <w:rsid w:val="003B7CFF"/>
  </w:style>
  <w:style w:type="character" w:customStyle="1" w:styleId="E-mailSignatureChar">
    <w:name w:val="E-mail Signature Char"/>
    <w:basedOn w:val="DefaultParagraphFont"/>
    <w:link w:val="E-mailSignature"/>
    <w:uiPriority w:val="69"/>
    <w:semiHidden/>
    <w:rsid w:val="003B7CFF"/>
    <w:rPr>
      <w:rFonts w:ascii="Times New Roman" w:eastAsia="Times New Roman" w:hAnsi="Times New Roman" w:cs="Times New Roman"/>
      <w:sz w:val="24"/>
      <w:szCs w:val="24"/>
      <w:lang w:val="en-GB"/>
    </w:rPr>
  </w:style>
  <w:style w:type="character" w:styleId="Emphasis">
    <w:name w:val="Emphasis"/>
    <w:uiPriority w:val="69"/>
    <w:qFormat/>
    <w:rsid w:val="003B7CFF"/>
    <w:rPr>
      <w:i/>
      <w:iCs/>
    </w:rPr>
  </w:style>
  <w:style w:type="character" w:styleId="EndnoteReference">
    <w:name w:val="endnote reference"/>
    <w:uiPriority w:val="69"/>
    <w:semiHidden/>
    <w:rsid w:val="003B7CFF"/>
    <w:rPr>
      <w:vertAlign w:val="superscript"/>
    </w:rPr>
  </w:style>
  <w:style w:type="paragraph" w:styleId="EndnoteText">
    <w:name w:val="endnote text"/>
    <w:basedOn w:val="Normal"/>
    <w:link w:val="EndnoteTextChar"/>
    <w:uiPriority w:val="69"/>
    <w:semiHidden/>
    <w:rsid w:val="003B7CFF"/>
    <w:rPr>
      <w:sz w:val="20"/>
      <w:szCs w:val="20"/>
    </w:rPr>
  </w:style>
  <w:style w:type="character" w:customStyle="1" w:styleId="EndnoteTextChar">
    <w:name w:val="Endnote Text Char"/>
    <w:basedOn w:val="DefaultParagraphFont"/>
    <w:link w:val="EndnoteText"/>
    <w:uiPriority w:val="69"/>
    <w:semiHidden/>
    <w:rsid w:val="003B7CFF"/>
    <w:rPr>
      <w:rFonts w:ascii="Times New Roman" w:eastAsia="Times New Roman" w:hAnsi="Times New Roman" w:cs="Times New Roman"/>
      <w:sz w:val="20"/>
      <w:szCs w:val="20"/>
      <w:lang w:val="en-GB"/>
    </w:rPr>
  </w:style>
  <w:style w:type="paragraph" w:styleId="EnvelopeAddress">
    <w:name w:val="envelope address"/>
    <w:basedOn w:val="Normal"/>
    <w:uiPriority w:val="69"/>
    <w:semiHidden/>
    <w:rsid w:val="003B7CFF"/>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69"/>
    <w:semiHidden/>
    <w:rsid w:val="003B7CFF"/>
    <w:rPr>
      <w:rFonts w:ascii="Arial" w:hAnsi="Arial" w:cs="Arial"/>
      <w:sz w:val="20"/>
      <w:szCs w:val="20"/>
    </w:rPr>
  </w:style>
  <w:style w:type="paragraph" w:customStyle="1" w:styleId="Equation">
    <w:name w:val="Equation"/>
    <w:next w:val="Paragraph"/>
    <w:uiPriority w:val="19"/>
    <w:rsid w:val="003B7CFF"/>
    <w:pPr>
      <w:keepLines/>
      <w:spacing w:after="120" w:line="240" w:lineRule="auto"/>
      <w:jc w:val="center"/>
    </w:pPr>
    <w:rPr>
      <w:rFonts w:ascii="Times New Roman" w:eastAsia="Times New Roman" w:hAnsi="Times New Roman" w:cs="Times New Roman"/>
      <w:color w:val="000000"/>
      <w:sz w:val="24"/>
      <w:szCs w:val="24"/>
      <w:lang w:val="en-US"/>
    </w:rPr>
  </w:style>
  <w:style w:type="paragraph" w:customStyle="1" w:styleId="EquationTitle">
    <w:name w:val="Equation Title"/>
    <w:next w:val="Equation"/>
    <w:uiPriority w:val="19"/>
    <w:rsid w:val="003B7CFF"/>
    <w:pPr>
      <w:keepNext/>
      <w:keepLines/>
      <w:spacing w:after="120" w:line="240" w:lineRule="auto"/>
      <w:ind w:left="1134" w:hanging="1134"/>
    </w:pPr>
    <w:rPr>
      <w:rFonts w:ascii="Times New Roman" w:eastAsia="Times New Roman" w:hAnsi="Times New Roman" w:cs="Times New Roman"/>
      <w:b/>
      <w:color w:val="000000"/>
      <w:sz w:val="24"/>
      <w:szCs w:val="24"/>
      <w:lang w:val="en-US"/>
    </w:rPr>
  </w:style>
  <w:style w:type="paragraph" w:customStyle="1" w:styleId="Figure">
    <w:name w:val="Figure"/>
    <w:next w:val="Paragraph"/>
    <w:uiPriority w:val="17"/>
    <w:rsid w:val="003B7CFF"/>
    <w:pPr>
      <w:spacing w:after="240" w:line="240" w:lineRule="auto"/>
      <w:jc w:val="center"/>
    </w:pPr>
    <w:rPr>
      <w:rFonts w:ascii="Times New Roman" w:eastAsia="Times New Roman" w:hAnsi="Times New Roman" w:cs="Times New Roman"/>
      <w:sz w:val="24"/>
      <w:szCs w:val="20"/>
      <w:lang w:val="en-GB"/>
    </w:rPr>
  </w:style>
  <w:style w:type="paragraph" w:customStyle="1" w:styleId="FigureEndofTextTitle">
    <w:name w:val="Figure End of Text Title"/>
    <w:next w:val="Figure"/>
    <w:uiPriority w:val="18"/>
    <w:rsid w:val="003B7CFF"/>
    <w:pPr>
      <w:spacing w:after="120" w:line="240" w:lineRule="auto"/>
    </w:pPr>
    <w:rPr>
      <w:rFonts w:ascii="Times New Roman" w:eastAsia="Times New Roman" w:hAnsi="Times New Roman" w:cs="Arial"/>
      <w:b/>
      <w:bCs/>
      <w:iCs/>
      <w:sz w:val="24"/>
      <w:szCs w:val="48"/>
      <w:lang w:val="en-GB"/>
    </w:rPr>
  </w:style>
  <w:style w:type="paragraph" w:customStyle="1" w:styleId="TableTitle">
    <w:name w:val="Table Title"/>
    <w:next w:val="Paragraph"/>
    <w:uiPriority w:val="10"/>
    <w:qFormat/>
    <w:rsid w:val="003B7CFF"/>
    <w:pPr>
      <w:keepNext/>
      <w:keepLines/>
      <w:tabs>
        <w:tab w:val="left" w:pos="1701"/>
      </w:tabs>
      <w:spacing w:after="120" w:line="240" w:lineRule="auto"/>
      <w:ind w:left="1701" w:hanging="1701"/>
    </w:pPr>
    <w:rPr>
      <w:rFonts w:ascii="Times New Roman" w:eastAsia="Times New Roman" w:hAnsi="Times New Roman" w:cs="Times New Roman"/>
      <w:b/>
      <w:color w:val="000000"/>
      <w:sz w:val="24"/>
      <w:szCs w:val="24"/>
      <w:lang w:val="en-GB"/>
    </w:rPr>
  </w:style>
  <w:style w:type="paragraph" w:customStyle="1" w:styleId="FigureTitle">
    <w:name w:val="Figure Title"/>
    <w:basedOn w:val="TableTitle"/>
    <w:next w:val="Figure"/>
    <w:uiPriority w:val="17"/>
    <w:qFormat/>
    <w:rsid w:val="003B7CFF"/>
  </w:style>
  <w:style w:type="paragraph" w:customStyle="1" w:styleId="FigureSummaryTitle">
    <w:name w:val="Figure Summary Title"/>
    <w:basedOn w:val="FigureTitle"/>
    <w:next w:val="Paragraph"/>
    <w:uiPriority w:val="99"/>
    <w:semiHidden/>
    <w:rsid w:val="003B7CFF"/>
  </w:style>
  <w:style w:type="character" w:styleId="FollowedHyperlink">
    <w:name w:val="FollowedHyperlink"/>
    <w:uiPriority w:val="99"/>
    <w:semiHidden/>
    <w:rsid w:val="003B7CFF"/>
    <w:rPr>
      <w:color w:val="800080"/>
      <w:u w:val="single"/>
    </w:rPr>
  </w:style>
  <w:style w:type="paragraph" w:styleId="Header">
    <w:name w:val="header"/>
    <w:link w:val="HeaderChar"/>
    <w:uiPriority w:val="99"/>
    <w:rsid w:val="003B7CFF"/>
    <w:pPr>
      <w:spacing w:after="0" w:line="240" w:lineRule="auto"/>
    </w:pPr>
    <w:rPr>
      <w:rFonts w:ascii="Times New Roman" w:eastAsia="Times New Roman" w:hAnsi="Times New Roman" w:cs="Times New Roman"/>
      <w:sz w:val="20"/>
      <w:szCs w:val="20"/>
      <w:lang w:val="en-GB"/>
    </w:rPr>
  </w:style>
  <w:style w:type="character" w:customStyle="1" w:styleId="HeaderChar">
    <w:name w:val="Header Char"/>
    <w:basedOn w:val="DefaultParagraphFont"/>
    <w:link w:val="Header"/>
    <w:uiPriority w:val="99"/>
    <w:rsid w:val="003B7CFF"/>
    <w:rPr>
      <w:rFonts w:ascii="Times New Roman" w:eastAsia="Times New Roman" w:hAnsi="Times New Roman" w:cs="Times New Roman"/>
      <w:sz w:val="20"/>
      <w:szCs w:val="20"/>
      <w:lang w:val="en-GB"/>
    </w:rPr>
  </w:style>
  <w:style w:type="paragraph" w:customStyle="1" w:styleId="Heading1NoTOC">
    <w:name w:val="Heading 1 No TOC"/>
    <w:basedOn w:val="Heading1"/>
    <w:next w:val="Paragraph"/>
    <w:uiPriority w:val="6"/>
    <w:qFormat/>
    <w:rsid w:val="003B7CFF"/>
    <w:pPr>
      <w:numPr>
        <w:numId w:val="0"/>
      </w:numPr>
      <w:outlineLvl w:val="9"/>
    </w:pPr>
    <w:rPr>
      <w:rFonts w:ascii="Times New Roman Bold" w:hAnsi="Times New Roman Bold"/>
      <w:bCs w:val="0"/>
      <w:szCs w:val="48"/>
    </w:rPr>
  </w:style>
  <w:style w:type="paragraph" w:customStyle="1" w:styleId="Heading1Unnumbered">
    <w:name w:val="Heading 1 Unnumbered"/>
    <w:basedOn w:val="Heading1"/>
    <w:next w:val="Paragraph"/>
    <w:uiPriority w:val="5"/>
    <w:qFormat/>
    <w:rsid w:val="003B7CFF"/>
    <w:pPr>
      <w:numPr>
        <w:numId w:val="0"/>
      </w:numPr>
      <w:tabs>
        <w:tab w:val="left" w:pos="0"/>
        <w:tab w:val="left" w:pos="1134"/>
      </w:tabs>
      <w:outlineLvl w:val="4"/>
    </w:pPr>
    <w:rPr>
      <w:szCs w:val="48"/>
    </w:rPr>
  </w:style>
  <w:style w:type="paragraph" w:customStyle="1" w:styleId="Heading2NoTOC">
    <w:name w:val="Heading 2 No TOC"/>
    <w:basedOn w:val="Heading2"/>
    <w:next w:val="Paragraph"/>
    <w:uiPriority w:val="6"/>
    <w:qFormat/>
    <w:rsid w:val="003B7CFF"/>
    <w:pPr>
      <w:numPr>
        <w:ilvl w:val="0"/>
        <w:numId w:val="0"/>
      </w:numPr>
      <w:outlineLvl w:val="9"/>
    </w:pPr>
  </w:style>
  <w:style w:type="paragraph" w:customStyle="1" w:styleId="Heading2Unnumbered">
    <w:name w:val="Heading 2 Unnumbered"/>
    <w:basedOn w:val="Heading2"/>
    <w:next w:val="Paragraph"/>
    <w:uiPriority w:val="5"/>
    <w:qFormat/>
    <w:rsid w:val="003B7CFF"/>
    <w:pPr>
      <w:numPr>
        <w:ilvl w:val="0"/>
        <w:numId w:val="0"/>
      </w:numPr>
      <w:tabs>
        <w:tab w:val="left" w:pos="1134"/>
      </w:tabs>
      <w:outlineLvl w:val="5"/>
    </w:pPr>
  </w:style>
  <w:style w:type="paragraph" w:customStyle="1" w:styleId="Heading3NoTOC">
    <w:name w:val="Heading 3 No TOC"/>
    <w:basedOn w:val="Heading3"/>
    <w:next w:val="Paragraph"/>
    <w:uiPriority w:val="6"/>
    <w:qFormat/>
    <w:rsid w:val="003B7CFF"/>
    <w:pPr>
      <w:numPr>
        <w:ilvl w:val="0"/>
        <w:numId w:val="0"/>
      </w:numPr>
      <w:outlineLvl w:val="9"/>
    </w:pPr>
    <w:rPr>
      <w:sz w:val="24"/>
      <w:u w:val="single"/>
    </w:rPr>
  </w:style>
  <w:style w:type="paragraph" w:customStyle="1" w:styleId="Heading3Unnumbered">
    <w:name w:val="Heading 3 Unnumbered"/>
    <w:basedOn w:val="Heading3"/>
    <w:next w:val="Paragraph"/>
    <w:uiPriority w:val="5"/>
    <w:qFormat/>
    <w:rsid w:val="00EC60F8"/>
    <w:pPr>
      <w:numPr>
        <w:ilvl w:val="0"/>
        <w:numId w:val="0"/>
      </w:numPr>
      <w:tabs>
        <w:tab w:val="left" w:pos="1134"/>
      </w:tabs>
      <w:outlineLvl w:val="5"/>
    </w:pPr>
    <w:rPr>
      <w:sz w:val="24"/>
    </w:rPr>
  </w:style>
  <w:style w:type="paragraph" w:customStyle="1" w:styleId="Heading4NoTOC">
    <w:name w:val="Heading 4 No TOC"/>
    <w:basedOn w:val="Heading4"/>
    <w:next w:val="Paragraph"/>
    <w:uiPriority w:val="6"/>
    <w:qFormat/>
    <w:rsid w:val="003B7CFF"/>
    <w:pPr>
      <w:numPr>
        <w:ilvl w:val="0"/>
        <w:numId w:val="0"/>
      </w:numPr>
      <w:outlineLvl w:val="9"/>
    </w:pPr>
    <w:rPr>
      <w:b w:val="0"/>
      <w:u w:val="single"/>
    </w:rPr>
  </w:style>
  <w:style w:type="paragraph" w:customStyle="1" w:styleId="Heading4Unnumbered">
    <w:name w:val="Heading 4 Unnumbered"/>
    <w:basedOn w:val="Heading4"/>
    <w:next w:val="Paragraph"/>
    <w:uiPriority w:val="5"/>
    <w:qFormat/>
    <w:rsid w:val="003B7CFF"/>
    <w:pPr>
      <w:numPr>
        <w:ilvl w:val="0"/>
        <w:numId w:val="0"/>
      </w:numPr>
      <w:tabs>
        <w:tab w:val="left" w:pos="1134"/>
      </w:tabs>
      <w:outlineLvl w:val="6"/>
    </w:pPr>
    <w:rPr>
      <w:i/>
    </w:rPr>
  </w:style>
  <w:style w:type="paragraph" w:styleId="Bibliography">
    <w:name w:val="Bibliography"/>
    <w:basedOn w:val="Normal"/>
    <w:next w:val="Normal"/>
    <w:uiPriority w:val="37"/>
    <w:semiHidden/>
    <w:unhideWhenUsed/>
    <w:rsid w:val="003B7CFF"/>
  </w:style>
  <w:style w:type="paragraph" w:styleId="BlockText">
    <w:name w:val="Block Text"/>
    <w:basedOn w:val="Normal"/>
    <w:uiPriority w:val="99"/>
    <w:semiHidden/>
    <w:unhideWhenUsed/>
    <w:rsid w:val="003B7CF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Caption">
    <w:name w:val="caption"/>
    <w:basedOn w:val="TableTitle"/>
    <w:next w:val="Normal"/>
    <w:uiPriority w:val="49"/>
    <w:unhideWhenUsed/>
    <w:qFormat/>
    <w:rsid w:val="003B7CFF"/>
    <w:pPr>
      <w:spacing w:after="0"/>
    </w:pPr>
    <w:rPr>
      <w:rFonts w:ascii="Times New Roman Bold" w:hAnsi="Times New Roman Bold"/>
      <w:iCs/>
      <w:color w:val="auto"/>
      <w:szCs w:val="18"/>
    </w:rPr>
  </w:style>
  <w:style w:type="character" w:styleId="HTMLAcronym">
    <w:name w:val="HTML Acronym"/>
    <w:basedOn w:val="DefaultParagraphFont"/>
    <w:uiPriority w:val="99"/>
    <w:semiHidden/>
    <w:rsid w:val="003B7CFF"/>
  </w:style>
  <w:style w:type="paragraph" w:styleId="HTMLAddress">
    <w:name w:val="HTML Address"/>
    <w:basedOn w:val="Normal"/>
    <w:link w:val="HTMLAddressChar"/>
    <w:uiPriority w:val="99"/>
    <w:semiHidden/>
    <w:rsid w:val="003B7CFF"/>
    <w:rPr>
      <w:i/>
      <w:iCs/>
    </w:rPr>
  </w:style>
  <w:style w:type="character" w:customStyle="1" w:styleId="HTMLAddressChar">
    <w:name w:val="HTML Address Char"/>
    <w:basedOn w:val="DefaultParagraphFont"/>
    <w:link w:val="HTMLAddress"/>
    <w:uiPriority w:val="99"/>
    <w:semiHidden/>
    <w:rsid w:val="003B7CFF"/>
    <w:rPr>
      <w:rFonts w:ascii="Times New Roman" w:eastAsia="Times New Roman" w:hAnsi="Times New Roman" w:cs="Times New Roman"/>
      <w:i/>
      <w:iCs/>
      <w:sz w:val="24"/>
      <w:szCs w:val="24"/>
      <w:lang w:val="en-GB"/>
    </w:rPr>
  </w:style>
  <w:style w:type="character" w:styleId="HTMLCite">
    <w:name w:val="HTML Cite"/>
    <w:uiPriority w:val="99"/>
    <w:semiHidden/>
    <w:rsid w:val="003B7CFF"/>
    <w:rPr>
      <w:i/>
      <w:iCs/>
    </w:rPr>
  </w:style>
  <w:style w:type="character" w:styleId="HTMLCode">
    <w:name w:val="HTML Code"/>
    <w:uiPriority w:val="99"/>
    <w:semiHidden/>
    <w:rsid w:val="003B7CFF"/>
    <w:rPr>
      <w:rFonts w:ascii="Courier New" w:hAnsi="Courier New" w:cs="Courier New"/>
      <w:sz w:val="20"/>
      <w:szCs w:val="20"/>
    </w:rPr>
  </w:style>
  <w:style w:type="character" w:styleId="HTMLDefinition">
    <w:name w:val="HTML Definition"/>
    <w:uiPriority w:val="99"/>
    <w:semiHidden/>
    <w:rsid w:val="003B7CFF"/>
    <w:rPr>
      <w:i/>
      <w:iCs/>
    </w:rPr>
  </w:style>
  <w:style w:type="character" w:styleId="HTMLKeyboard">
    <w:name w:val="HTML Keyboard"/>
    <w:uiPriority w:val="99"/>
    <w:semiHidden/>
    <w:rsid w:val="003B7CFF"/>
    <w:rPr>
      <w:rFonts w:ascii="Courier New" w:hAnsi="Courier New" w:cs="Courier New"/>
      <w:sz w:val="20"/>
      <w:szCs w:val="20"/>
    </w:rPr>
  </w:style>
  <w:style w:type="paragraph" w:styleId="HTMLPreformatted">
    <w:name w:val="HTML Preformatted"/>
    <w:basedOn w:val="Normal"/>
    <w:link w:val="HTMLPreformattedChar"/>
    <w:uiPriority w:val="99"/>
    <w:semiHidden/>
    <w:rsid w:val="003B7CFF"/>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B7CFF"/>
    <w:rPr>
      <w:rFonts w:ascii="Courier New" w:eastAsia="Times New Roman" w:hAnsi="Courier New" w:cs="Courier New"/>
      <w:sz w:val="20"/>
      <w:szCs w:val="20"/>
      <w:lang w:val="en-GB"/>
    </w:rPr>
  </w:style>
  <w:style w:type="character" w:styleId="HTMLSample">
    <w:name w:val="HTML Sample"/>
    <w:uiPriority w:val="99"/>
    <w:semiHidden/>
    <w:rsid w:val="003B7CFF"/>
    <w:rPr>
      <w:rFonts w:ascii="Courier New" w:hAnsi="Courier New" w:cs="Courier New"/>
    </w:rPr>
  </w:style>
  <w:style w:type="character" w:styleId="HTMLTypewriter">
    <w:name w:val="HTML Typewriter"/>
    <w:uiPriority w:val="99"/>
    <w:semiHidden/>
    <w:rsid w:val="003B7CFF"/>
    <w:rPr>
      <w:rFonts w:ascii="Courier New" w:hAnsi="Courier New" w:cs="Courier New"/>
      <w:sz w:val="20"/>
      <w:szCs w:val="20"/>
    </w:rPr>
  </w:style>
  <w:style w:type="character" w:styleId="HTMLVariable">
    <w:name w:val="HTML Variable"/>
    <w:uiPriority w:val="99"/>
    <w:semiHidden/>
    <w:rsid w:val="003B7CFF"/>
    <w:rPr>
      <w:i/>
      <w:iCs/>
    </w:rPr>
  </w:style>
  <w:style w:type="paragraph" w:styleId="Index1">
    <w:name w:val="index 1"/>
    <w:basedOn w:val="Normal"/>
    <w:next w:val="Normal"/>
    <w:uiPriority w:val="99"/>
    <w:semiHidden/>
    <w:rsid w:val="003B7CFF"/>
    <w:pPr>
      <w:ind w:left="240" w:hanging="240"/>
    </w:pPr>
  </w:style>
  <w:style w:type="paragraph" w:styleId="Index2">
    <w:name w:val="index 2"/>
    <w:basedOn w:val="Normal"/>
    <w:next w:val="Normal"/>
    <w:uiPriority w:val="99"/>
    <w:semiHidden/>
    <w:rsid w:val="003B7CFF"/>
    <w:pPr>
      <w:ind w:left="480" w:hanging="240"/>
    </w:pPr>
  </w:style>
  <w:style w:type="paragraph" w:styleId="Index3">
    <w:name w:val="index 3"/>
    <w:basedOn w:val="Normal"/>
    <w:next w:val="Normal"/>
    <w:uiPriority w:val="99"/>
    <w:semiHidden/>
    <w:rsid w:val="003B7CFF"/>
    <w:pPr>
      <w:ind w:left="720" w:hanging="240"/>
    </w:pPr>
  </w:style>
  <w:style w:type="paragraph" w:styleId="Index4">
    <w:name w:val="index 4"/>
    <w:basedOn w:val="Normal"/>
    <w:next w:val="Normal"/>
    <w:uiPriority w:val="99"/>
    <w:semiHidden/>
    <w:rsid w:val="003B7CFF"/>
    <w:pPr>
      <w:ind w:left="960" w:hanging="240"/>
    </w:pPr>
  </w:style>
  <w:style w:type="paragraph" w:styleId="Index5">
    <w:name w:val="index 5"/>
    <w:basedOn w:val="Normal"/>
    <w:next w:val="Normal"/>
    <w:uiPriority w:val="99"/>
    <w:semiHidden/>
    <w:rsid w:val="003B7CFF"/>
    <w:pPr>
      <w:ind w:left="1200" w:hanging="240"/>
    </w:pPr>
  </w:style>
  <w:style w:type="paragraph" w:styleId="Index6">
    <w:name w:val="index 6"/>
    <w:basedOn w:val="Normal"/>
    <w:next w:val="Normal"/>
    <w:uiPriority w:val="99"/>
    <w:semiHidden/>
    <w:rsid w:val="003B7CFF"/>
    <w:pPr>
      <w:ind w:left="1440" w:hanging="240"/>
    </w:pPr>
  </w:style>
  <w:style w:type="paragraph" w:styleId="Index7">
    <w:name w:val="index 7"/>
    <w:basedOn w:val="Normal"/>
    <w:next w:val="Normal"/>
    <w:uiPriority w:val="99"/>
    <w:semiHidden/>
    <w:rsid w:val="003B7CFF"/>
    <w:pPr>
      <w:ind w:left="1680" w:hanging="240"/>
    </w:pPr>
  </w:style>
  <w:style w:type="paragraph" w:styleId="Index8">
    <w:name w:val="index 8"/>
    <w:basedOn w:val="Normal"/>
    <w:next w:val="Normal"/>
    <w:uiPriority w:val="99"/>
    <w:semiHidden/>
    <w:rsid w:val="003B7CFF"/>
    <w:pPr>
      <w:ind w:left="1920" w:hanging="240"/>
    </w:pPr>
  </w:style>
  <w:style w:type="paragraph" w:styleId="Index9">
    <w:name w:val="index 9"/>
    <w:basedOn w:val="Normal"/>
    <w:next w:val="Normal"/>
    <w:uiPriority w:val="99"/>
    <w:semiHidden/>
    <w:rsid w:val="003B7CFF"/>
    <w:pPr>
      <w:ind w:left="2160" w:hanging="240"/>
    </w:pPr>
  </w:style>
  <w:style w:type="paragraph" w:styleId="IndexHeading">
    <w:name w:val="index heading"/>
    <w:basedOn w:val="Normal"/>
    <w:next w:val="Index1"/>
    <w:uiPriority w:val="99"/>
    <w:semiHidden/>
    <w:rsid w:val="003B7CFF"/>
    <w:rPr>
      <w:rFonts w:ascii="Arial" w:hAnsi="Arial" w:cs="Arial"/>
      <w:b/>
      <w:bCs/>
    </w:rPr>
  </w:style>
  <w:style w:type="character" w:customStyle="1" w:styleId="Instructions">
    <w:name w:val="Instructions"/>
    <w:uiPriority w:val="22"/>
    <w:qFormat/>
    <w:rsid w:val="003B7CFF"/>
    <w:rPr>
      <w:i/>
      <w:vanish/>
      <w:color w:val="008080"/>
    </w:rPr>
  </w:style>
  <w:style w:type="character" w:styleId="LineNumber">
    <w:name w:val="line number"/>
    <w:basedOn w:val="DefaultParagraphFont"/>
    <w:uiPriority w:val="99"/>
    <w:semiHidden/>
    <w:rsid w:val="003B7CFF"/>
  </w:style>
  <w:style w:type="paragraph" w:styleId="List">
    <w:name w:val="List"/>
    <w:basedOn w:val="Normal"/>
    <w:uiPriority w:val="99"/>
    <w:semiHidden/>
    <w:rsid w:val="003B7CFF"/>
    <w:pPr>
      <w:ind w:left="360" w:hanging="360"/>
    </w:pPr>
  </w:style>
  <w:style w:type="paragraph" w:styleId="List2">
    <w:name w:val="List 2"/>
    <w:basedOn w:val="Normal"/>
    <w:uiPriority w:val="99"/>
    <w:semiHidden/>
    <w:rsid w:val="003B7CFF"/>
    <w:pPr>
      <w:ind w:left="720" w:hanging="360"/>
    </w:pPr>
  </w:style>
  <w:style w:type="paragraph" w:styleId="List3">
    <w:name w:val="List 3"/>
    <w:basedOn w:val="Normal"/>
    <w:uiPriority w:val="99"/>
    <w:semiHidden/>
    <w:rsid w:val="003B7CFF"/>
    <w:pPr>
      <w:ind w:left="1080" w:hanging="360"/>
    </w:pPr>
  </w:style>
  <w:style w:type="paragraph" w:styleId="List4">
    <w:name w:val="List 4"/>
    <w:basedOn w:val="Normal"/>
    <w:uiPriority w:val="99"/>
    <w:semiHidden/>
    <w:rsid w:val="003B7CFF"/>
    <w:pPr>
      <w:ind w:left="1440" w:hanging="360"/>
    </w:pPr>
  </w:style>
  <w:style w:type="paragraph" w:styleId="List5">
    <w:name w:val="List 5"/>
    <w:basedOn w:val="Normal"/>
    <w:uiPriority w:val="99"/>
    <w:semiHidden/>
    <w:rsid w:val="003B7CFF"/>
    <w:pPr>
      <w:ind w:left="1800" w:hanging="360"/>
    </w:pPr>
  </w:style>
  <w:style w:type="paragraph" w:styleId="ListBullet2">
    <w:name w:val="List Bullet 2"/>
    <w:basedOn w:val="Normal"/>
    <w:uiPriority w:val="9"/>
    <w:qFormat/>
    <w:rsid w:val="003B7CFF"/>
    <w:pPr>
      <w:numPr>
        <w:ilvl w:val="1"/>
        <w:numId w:val="21"/>
      </w:numPr>
      <w:spacing w:before="60" w:after="60"/>
    </w:pPr>
  </w:style>
  <w:style w:type="paragraph" w:styleId="ListBullet3">
    <w:name w:val="List Bullet 3"/>
    <w:basedOn w:val="Normal"/>
    <w:uiPriority w:val="9"/>
    <w:qFormat/>
    <w:rsid w:val="003B7CFF"/>
    <w:pPr>
      <w:numPr>
        <w:ilvl w:val="2"/>
        <w:numId w:val="21"/>
      </w:numPr>
      <w:spacing w:before="60" w:after="60"/>
    </w:pPr>
  </w:style>
  <w:style w:type="paragraph" w:styleId="ListBullet4">
    <w:name w:val="List Bullet 4"/>
    <w:basedOn w:val="Normal"/>
    <w:uiPriority w:val="99"/>
    <w:semiHidden/>
    <w:rsid w:val="003B7CFF"/>
    <w:pPr>
      <w:numPr>
        <w:ilvl w:val="3"/>
        <w:numId w:val="21"/>
      </w:numPr>
      <w:spacing w:before="60" w:after="60"/>
    </w:pPr>
  </w:style>
  <w:style w:type="paragraph" w:styleId="ListBullet5">
    <w:name w:val="List Bullet 5"/>
    <w:basedOn w:val="Normal"/>
    <w:uiPriority w:val="99"/>
    <w:semiHidden/>
    <w:rsid w:val="003B7CFF"/>
    <w:pPr>
      <w:tabs>
        <w:tab w:val="num" w:pos="1800"/>
      </w:tabs>
      <w:spacing w:after="60"/>
      <w:ind w:left="1797" w:hanging="357"/>
    </w:pPr>
  </w:style>
  <w:style w:type="paragraph" w:customStyle="1" w:styleId="ListBulletSmall">
    <w:name w:val="List Bullet Small"/>
    <w:basedOn w:val="ListBullet"/>
    <w:uiPriority w:val="9"/>
    <w:qFormat/>
    <w:rsid w:val="003B7CFF"/>
    <w:pPr>
      <w:numPr>
        <w:numId w:val="22"/>
      </w:numPr>
      <w:spacing w:before="40" w:after="40"/>
    </w:pPr>
    <w:rPr>
      <w:sz w:val="20"/>
      <w:szCs w:val="48"/>
    </w:rPr>
  </w:style>
  <w:style w:type="paragraph" w:customStyle="1" w:styleId="ListBulletSmall2">
    <w:name w:val="List Bullet Small 2"/>
    <w:basedOn w:val="ListBullet2"/>
    <w:uiPriority w:val="9"/>
    <w:qFormat/>
    <w:rsid w:val="003B7CFF"/>
    <w:pPr>
      <w:numPr>
        <w:numId w:val="22"/>
      </w:numPr>
      <w:spacing w:before="40" w:after="40"/>
    </w:pPr>
    <w:rPr>
      <w:sz w:val="20"/>
      <w:szCs w:val="48"/>
    </w:rPr>
  </w:style>
  <w:style w:type="paragraph" w:styleId="ListContinue">
    <w:name w:val="List Continue"/>
    <w:basedOn w:val="Normal"/>
    <w:uiPriority w:val="99"/>
    <w:semiHidden/>
    <w:rsid w:val="003B7CFF"/>
    <w:pPr>
      <w:spacing w:after="120"/>
      <w:ind w:left="360"/>
    </w:pPr>
  </w:style>
  <w:style w:type="paragraph" w:styleId="ListContinue2">
    <w:name w:val="List Continue 2"/>
    <w:basedOn w:val="Normal"/>
    <w:uiPriority w:val="99"/>
    <w:semiHidden/>
    <w:rsid w:val="003B7CFF"/>
    <w:pPr>
      <w:spacing w:after="120"/>
      <w:ind w:left="720"/>
    </w:pPr>
  </w:style>
  <w:style w:type="paragraph" w:styleId="ListContinue3">
    <w:name w:val="List Continue 3"/>
    <w:basedOn w:val="Normal"/>
    <w:uiPriority w:val="99"/>
    <w:semiHidden/>
    <w:rsid w:val="003B7CFF"/>
    <w:pPr>
      <w:spacing w:after="120"/>
      <w:ind w:left="1080"/>
    </w:pPr>
  </w:style>
  <w:style w:type="paragraph" w:styleId="ListContinue4">
    <w:name w:val="List Continue 4"/>
    <w:basedOn w:val="Normal"/>
    <w:uiPriority w:val="99"/>
    <w:semiHidden/>
    <w:rsid w:val="003B7CFF"/>
    <w:pPr>
      <w:spacing w:after="120"/>
      <w:ind w:left="1440"/>
    </w:pPr>
  </w:style>
  <w:style w:type="paragraph" w:styleId="ListContinue5">
    <w:name w:val="List Continue 5"/>
    <w:basedOn w:val="Normal"/>
    <w:uiPriority w:val="99"/>
    <w:semiHidden/>
    <w:rsid w:val="003B7CFF"/>
    <w:pPr>
      <w:spacing w:after="120"/>
      <w:ind w:left="1800"/>
    </w:pPr>
  </w:style>
  <w:style w:type="paragraph" w:customStyle="1" w:styleId="ListEnd">
    <w:name w:val="List End"/>
    <w:next w:val="Paragraph"/>
    <w:uiPriority w:val="10"/>
    <w:qFormat/>
    <w:rsid w:val="003B7CFF"/>
    <w:pPr>
      <w:spacing w:after="0" w:line="240" w:lineRule="auto"/>
    </w:pPr>
    <w:rPr>
      <w:rFonts w:ascii="Times New Roman" w:eastAsia="Times New Roman" w:hAnsi="Times New Roman" w:cs="Times New Roman"/>
      <w:sz w:val="24"/>
      <w:szCs w:val="20"/>
      <w:lang w:val="en-GB"/>
    </w:rPr>
  </w:style>
  <w:style w:type="paragraph" w:customStyle="1" w:styleId="ListHyphen">
    <w:name w:val="List Hyphen"/>
    <w:uiPriority w:val="99"/>
    <w:semiHidden/>
    <w:rsid w:val="003B7CFF"/>
    <w:pPr>
      <w:numPr>
        <w:numId w:val="14"/>
      </w:numPr>
      <w:spacing w:after="0" w:line="240" w:lineRule="auto"/>
    </w:pPr>
    <w:rPr>
      <w:rFonts w:ascii="Times New Roman" w:eastAsia="Times New Roman" w:hAnsi="Times New Roman" w:cs="Times New Roman"/>
      <w:sz w:val="24"/>
      <w:szCs w:val="20"/>
      <w:lang w:val="en-US"/>
    </w:rPr>
  </w:style>
  <w:style w:type="paragraph" w:styleId="ListNumber">
    <w:name w:val="List Number"/>
    <w:basedOn w:val="Normal"/>
    <w:uiPriority w:val="9"/>
    <w:qFormat/>
    <w:rsid w:val="003B7CFF"/>
    <w:pPr>
      <w:numPr>
        <w:numId w:val="26"/>
      </w:numPr>
      <w:spacing w:before="60" w:after="60"/>
    </w:pPr>
  </w:style>
  <w:style w:type="paragraph" w:styleId="ListNumber2">
    <w:name w:val="List Number 2"/>
    <w:basedOn w:val="ListNumber"/>
    <w:uiPriority w:val="9"/>
    <w:qFormat/>
    <w:rsid w:val="003B7CFF"/>
    <w:pPr>
      <w:numPr>
        <w:ilvl w:val="1"/>
      </w:numPr>
    </w:pPr>
  </w:style>
  <w:style w:type="paragraph" w:styleId="ListNumber3">
    <w:name w:val="List Number 3"/>
    <w:basedOn w:val="ListNumber"/>
    <w:uiPriority w:val="9"/>
    <w:qFormat/>
    <w:rsid w:val="003B7CFF"/>
    <w:pPr>
      <w:numPr>
        <w:ilvl w:val="2"/>
      </w:numPr>
    </w:pPr>
  </w:style>
  <w:style w:type="paragraph" w:styleId="ListNumber4">
    <w:name w:val="List Number 4"/>
    <w:basedOn w:val="Normal"/>
    <w:uiPriority w:val="99"/>
    <w:semiHidden/>
    <w:rsid w:val="003B7CFF"/>
    <w:pPr>
      <w:tabs>
        <w:tab w:val="num" w:pos="1440"/>
      </w:tabs>
      <w:spacing w:after="60"/>
      <w:ind w:left="1434" w:hanging="357"/>
    </w:pPr>
  </w:style>
  <w:style w:type="paragraph" w:styleId="ListNumber5">
    <w:name w:val="List Number 5"/>
    <w:basedOn w:val="Normal"/>
    <w:uiPriority w:val="99"/>
    <w:semiHidden/>
    <w:rsid w:val="003B7CFF"/>
    <w:pPr>
      <w:tabs>
        <w:tab w:val="num" w:pos="1800"/>
      </w:tabs>
      <w:spacing w:after="60"/>
      <w:ind w:left="1797" w:hanging="357"/>
    </w:pPr>
  </w:style>
  <w:style w:type="paragraph" w:styleId="MacroText">
    <w:name w:val="macro"/>
    <w:link w:val="MacroTextChar"/>
    <w:uiPriority w:val="99"/>
    <w:semiHidden/>
    <w:rsid w:val="003B7CF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uiPriority w:val="99"/>
    <w:semiHidden/>
    <w:rsid w:val="003B7CFF"/>
    <w:rPr>
      <w:rFonts w:ascii="Courier New" w:eastAsia="Times New Roman" w:hAnsi="Courier New" w:cs="Courier New"/>
      <w:sz w:val="20"/>
      <w:szCs w:val="20"/>
      <w:lang w:val="en-US"/>
    </w:rPr>
  </w:style>
  <w:style w:type="paragraph" w:styleId="MessageHeader">
    <w:name w:val="Message Header"/>
    <w:basedOn w:val="Normal"/>
    <w:link w:val="MessageHeaderChar"/>
    <w:uiPriority w:val="99"/>
    <w:semiHidden/>
    <w:rsid w:val="003B7CF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rsid w:val="003B7CFF"/>
    <w:rPr>
      <w:rFonts w:ascii="Arial" w:eastAsia="Times New Roman" w:hAnsi="Arial" w:cs="Arial"/>
      <w:sz w:val="24"/>
      <w:szCs w:val="24"/>
      <w:shd w:val="pct20" w:color="auto" w:fill="auto"/>
      <w:lang w:val="en-GB"/>
    </w:rPr>
  </w:style>
  <w:style w:type="paragraph" w:styleId="NormalWeb">
    <w:name w:val="Normal (Web)"/>
    <w:basedOn w:val="Normal"/>
    <w:uiPriority w:val="99"/>
    <w:semiHidden/>
    <w:rsid w:val="003B7CFF"/>
  </w:style>
  <w:style w:type="paragraph" w:styleId="NormalIndent">
    <w:name w:val="Normal Indent"/>
    <w:basedOn w:val="Normal"/>
    <w:uiPriority w:val="99"/>
    <w:semiHidden/>
    <w:rsid w:val="003B7CFF"/>
    <w:pPr>
      <w:ind w:left="720"/>
    </w:pPr>
  </w:style>
  <w:style w:type="paragraph" w:styleId="NoteHeading">
    <w:name w:val="Note Heading"/>
    <w:basedOn w:val="Normal"/>
    <w:next w:val="Normal"/>
    <w:link w:val="NoteHeadingChar"/>
    <w:uiPriority w:val="99"/>
    <w:semiHidden/>
    <w:rsid w:val="003B7CFF"/>
  </w:style>
  <w:style w:type="character" w:customStyle="1" w:styleId="NoteHeadingChar">
    <w:name w:val="Note Heading Char"/>
    <w:basedOn w:val="DefaultParagraphFont"/>
    <w:link w:val="NoteHeading"/>
    <w:uiPriority w:val="99"/>
    <w:semiHidden/>
    <w:rsid w:val="003B7CFF"/>
    <w:rPr>
      <w:rFonts w:ascii="Times New Roman" w:eastAsia="Times New Roman" w:hAnsi="Times New Roman" w:cs="Times New Roman"/>
      <w:sz w:val="24"/>
      <w:szCs w:val="24"/>
      <w:lang w:val="en-GB"/>
    </w:rPr>
  </w:style>
  <w:style w:type="character" w:styleId="PageNumber">
    <w:name w:val="page number"/>
    <w:basedOn w:val="DefaultParagraphFont"/>
    <w:uiPriority w:val="99"/>
    <w:semiHidden/>
    <w:rsid w:val="003B7CFF"/>
  </w:style>
  <w:style w:type="character" w:styleId="PlaceholderText">
    <w:name w:val="Placeholder Text"/>
    <w:basedOn w:val="DefaultParagraphFont"/>
    <w:uiPriority w:val="99"/>
    <w:semiHidden/>
    <w:rsid w:val="003B7CFF"/>
    <w:rPr>
      <w:color w:val="808080"/>
    </w:rPr>
  </w:style>
  <w:style w:type="paragraph" w:styleId="PlainText">
    <w:name w:val="Plain Text"/>
    <w:basedOn w:val="Normal"/>
    <w:link w:val="PlainTextChar"/>
    <w:uiPriority w:val="49"/>
    <w:semiHidden/>
    <w:rsid w:val="003B7CFF"/>
    <w:rPr>
      <w:rFonts w:ascii="Courier New" w:hAnsi="Courier New" w:cs="Courier New"/>
      <w:sz w:val="20"/>
      <w:szCs w:val="20"/>
    </w:rPr>
  </w:style>
  <w:style w:type="character" w:customStyle="1" w:styleId="PlainTextChar">
    <w:name w:val="Plain Text Char"/>
    <w:basedOn w:val="DefaultParagraphFont"/>
    <w:link w:val="PlainText"/>
    <w:uiPriority w:val="49"/>
    <w:semiHidden/>
    <w:rsid w:val="003B7CFF"/>
    <w:rPr>
      <w:rFonts w:ascii="Courier New" w:eastAsia="Times New Roman" w:hAnsi="Courier New" w:cs="Courier New"/>
      <w:sz w:val="20"/>
      <w:szCs w:val="20"/>
      <w:lang w:val="en-GB"/>
    </w:rPr>
  </w:style>
  <w:style w:type="paragraph" w:customStyle="1" w:styleId="References">
    <w:name w:val="References"/>
    <w:uiPriority w:val="24"/>
    <w:rsid w:val="003B7CFF"/>
    <w:pPr>
      <w:numPr>
        <w:numId w:val="19"/>
      </w:numPr>
      <w:tabs>
        <w:tab w:val="clear" w:pos="360"/>
        <w:tab w:val="left" w:pos="425"/>
      </w:tabs>
      <w:spacing w:after="240" w:line="240" w:lineRule="auto"/>
      <w:ind w:left="425" w:hanging="425"/>
    </w:pPr>
    <w:rPr>
      <w:rFonts w:ascii="Times New Roman" w:eastAsia="Times New Roman" w:hAnsi="Times New Roman" w:cs="Arial"/>
      <w:bCs/>
      <w:kern w:val="32"/>
      <w:sz w:val="24"/>
      <w:szCs w:val="24"/>
      <w:lang w:val="en-GB"/>
    </w:rPr>
  </w:style>
  <w:style w:type="paragraph" w:styleId="Salutation">
    <w:name w:val="Salutation"/>
    <w:basedOn w:val="Normal"/>
    <w:next w:val="Normal"/>
    <w:link w:val="SalutationChar"/>
    <w:uiPriority w:val="49"/>
    <w:semiHidden/>
    <w:rsid w:val="003B7CFF"/>
  </w:style>
  <w:style w:type="character" w:customStyle="1" w:styleId="SalutationChar">
    <w:name w:val="Salutation Char"/>
    <w:basedOn w:val="DefaultParagraphFont"/>
    <w:link w:val="Salutation"/>
    <w:uiPriority w:val="49"/>
    <w:semiHidden/>
    <w:rsid w:val="003B7CFF"/>
    <w:rPr>
      <w:rFonts w:ascii="Times New Roman" w:eastAsia="Times New Roman" w:hAnsi="Times New Roman" w:cs="Times New Roman"/>
      <w:sz w:val="24"/>
      <w:szCs w:val="24"/>
      <w:lang w:val="en-GB"/>
    </w:rPr>
  </w:style>
  <w:style w:type="paragraph" w:customStyle="1" w:styleId="Sequence">
    <w:name w:val="Sequence"/>
    <w:basedOn w:val="Normal"/>
    <w:next w:val="Paragraph"/>
    <w:uiPriority w:val="24"/>
    <w:rsid w:val="003B7CFF"/>
    <w:pPr>
      <w:keepNext/>
      <w:spacing w:after="0" w:line="240" w:lineRule="auto"/>
    </w:pPr>
    <w:rPr>
      <w:rFonts w:ascii="Courier New" w:hAnsi="Courier New"/>
      <w:sz w:val="20"/>
    </w:rPr>
  </w:style>
  <w:style w:type="paragraph" w:styleId="Signature">
    <w:name w:val="Signature"/>
    <w:basedOn w:val="Normal"/>
    <w:link w:val="SignatureChar"/>
    <w:uiPriority w:val="49"/>
    <w:semiHidden/>
    <w:rsid w:val="003B7CFF"/>
    <w:pPr>
      <w:ind w:left="4320"/>
    </w:pPr>
  </w:style>
  <w:style w:type="character" w:customStyle="1" w:styleId="SignatureChar">
    <w:name w:val="Signature Char"/>
    <w:basedOn w:val="DefaultParagraphFont"/>
    <w:link w:val="Signature"/>
    <w:uiPriority w:val="49"/>
    <w:semiHidden/>
    <w:rsid w:val="003B7CFF"/>
    <w:rPr>
      <w:rFonts w:ascii="Times New Roman" w:eastAsia="Times New Roman" w:hAnsi="Times New Roman" w:cs="Times New Roman"/>
      <w:sz w:val="24"/>
      <w:szCs w:val="24"/>
      <w:lang w:val="en-GB"/>
    </w:rPr>
  </w:style>
  <w:style w:type="character" w:styleId="Strong">
    <w:name w:val="Strong"/>
    <w:uiPriority w:val="49"/>
    <w:qFormat/>
    <w:rsid w:val="003B7CFF"/>
    <w:rPr>
      <w:b/>
      <w:bCs/>
    </w:rPr>
  </w:style>
  <w:style w:type="paragraph" w:styleId="Subtitle">
    <w:name w:val="Subtitle"/>
    <w:basedOn w:val="Normal"/>
    <w:next w:val="Normal"/>
    <w:link w:val="SubtitleChar"/>
    <w:uiPriority w:val="99"/>
    <w:rsid w:val="003B7CF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B7CFF"/>
    <w:rPr>
      <w:rFonts w:eastAsiaTheme="minorEastAsia"/>
      <w:color w:val="5A5A5A" w:themeColor="text1" w:themeTint="A5"/>
      <w:spacing w:val="15"/>
      <w:lang w:val="en-GB"/>
    </w:rPr>
  </w:style>
  <w:style w:type="table" w:customStyle="1" w:styleId="GridTableLight">
    <w:name w:val="Grid Table Light"/>
    <w:basedOn w:val="TableNormal"/>
    <w:uiPriority w:val="40"/>
    <w:rsid w:val="00EE3A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AHeading">
    <w:name w:val="toa heading"/>
    <w:basedOn w:val="Normal"/>
    <w:next w:val="Normal"/>
    <w:uiPriority w:val="99"/>
    <w:semiHidden/>
    <w:unhideWhenUsed/>
    <w:rsid w:val="00EE3AC8"/>
    <w:pPr>
      <w:spacing w:before="120"/>
    </w:pPr>
    <w:rPr>
      <w:rFonts w:asciiTheme="majorHAnsi" w:eastAsiaTheme="majorEastAsia" w:hAnsiTheme="majorHAnsi" w:cstheme="majorBidi"/>
      <w:b/>
      <w:bCs/>
    </w:rPr>
  </w:style>
  <w:style w:type="character" w:customStyle="1" w:styleId="UnresolvedMention">
    <w:name w:val="Unresolved Mention"/>
    <w:basedOn w:val="DefaultParagraphFont"/>
    <w:uiPriority w:val="99"/>
    <w:semiHidden/>
    <w:unhideWhenUsed/>
    <w:rsid w:val="00EE3AC8"/>
    <w:rPr>
      <w:color w:val="808080"/>
      <w:shd w:val="clear" w:color="auto" w:fill="E6E6E6"/>
    </w:rPr>
  </w:style>
  <w:style w:type="paragraph" w:customStyle="1" w:styleId="TableCenter">
    <w:name w:val="Table Center"/>
    <w:basedOn w:val="Normal"/>
    <w:uiPriority w:val="12"/>
    <w:qFormat/>
    <w:rsid w:val="003B7CFF"/>
    <w:pPr>
      <w:spacing w:before="40" w:after="40"/>
      <w:jc w:val="center"/>
    </w:pPr>
    <w:rPr>
      <w:sz w:val="20"/>
    </w:rPr>
  </w:style>
  <w:style w:type="paragraph" w:customStyle="1" w:styleId="TableEndofTextTitle">
    <w:name w:val="Table End of Text Title"/>
    <w:next w:val="Paragraph"/>
    <w:uiPriority w:val="11"/>
    <w:qFormat/>
    <w:rsid w:val="003B7CFF"/>
    <w:pPr>
      <w:spacing w:after="120" w:line="240" w:lineRule="auto"/>
    </w:pPr>
    <w:rPr>
      <w:rFonts w:ascii="Times New Roman" w:eastAsia="Times New Roman" w:hAnsi="Times New Roman" w:cs="Times New Roman"/>
      <w:b/>
      <w:sz w:val="24"/>
      <w:szCs w:val="24"/>
      <w:lang w:val="en-GB"/>
    </w:rPr>
  </w:style>
  <w:style w:type="paragraph" w:customStyle="1" w:styleId="TableFixedWidth">
    <w:name w:val="Table Fixed Width"/>
    <w:uiPriority w:val="15"/>
    <w:qFormat/>
    <w:rsid w:val="003B7CFF"/>
    <w:pPr>
      <w:spacing w:after="0" w:line="240" w:lineRule="auto"/>
    </w:pPr>
    <w:rPr>
      <w:rFonts w:ascii="Courier New" w:eastAsia="Times New Roman" w:hAnsi="Courier New" w:cs="Times New Roman"/>
      <w:sz w:val="20"/>
      <w:szCs w:val="20"/>
      <w:lang w:val="en-GB"/>
    </w:rPr>
  </w:style>
  <w:style w:type="paragraph" w:styleId="NoSpacing">
    <w:name w:val="No Spacing"/>
    <w:uiPriority w:val="1"/>
    <w:qFormat/>
    <w:rsid w:val="003B7CFF"/>
    <w:pPr>
      <w:spacing w:after="0" w:line="240" w:lineRule="auto"/>
    </w:pPr>
    <w:rPr>
      <w:rFonts w:ascii="Times New Roman" w:eastAsia="Times New Roman" w:hAnsi="Times New Roman" w:cs="Times New Roman"/>
      <w:sz w:val="24"/>
      <w:szCs w:val="24"/>
      <w:lang w:val="en-GB"/>
    </w:rPr>
  </w:style>
  <w:style w:type="paragraph" w:customStyle="1" w:styleId="TableFootnoteInfo">
    <w:name w:val="Table Footnote Info"/>
    <w:basedOn w:val="Normal"/>
    <w:uiPriority w:val="14"/>
    <w:qFormat/>
    <w:rsid w:val="00DE2264"/>
    <w:pPr>
      <w:keepLines/>
      <w:spacing w:before="40" w:after="40" w:line="240" w:lineRule="auto"/>
    </w:pPr>
    <w:rPr>
      <w:sz w:val="18"/>
      <w:szCs w:val="48"/>
    </w:rPr>
  </w:style>
  <w:style w:type="paragraph" w:customStyle="1" w:styleId="TableFootnoteLetter">
    <w:name w:val="Table Footnote Letter"/>
    <w:basedOn w:val="Normal"/>
    <w:uiPriority w:val="13"/>
    <w:rsid w:val="00553268"/>
    <w:pPr>
      <w:keepLines/>
      <w:numPr>
        <w:numId w:val="28"/>
      </w:numPr>
      <w:spacing w:before="40" w:after="40" w:line="240" w:lineRule="auto"/>
    </w:pPr>
    <w:rPr>
      <w:sz w:val="18"/>
      <w:szCs w:val="20"/>
    </w:rPr>
  </w:style>
  <w:style w:type="paragraph" w:styleId="IntenseQuote">
    <w:name w:val="Intense Quote"/>
    <w:basedOn w:val="Normal"/>
    <w:next w:val="Normal"/>
    <w:link w:val="IntenseQuoteChar"/>
    <w:uiPriority w:val="30"/>
    <w:qFormat/>
    <w:rsid w:val="003B7CF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B7CFF"/>
    <w:rPr>
      <w:rFonts w:ascii="Times New Roman" w:eastAsia="Times New Roman" w:hAnsi="Times New Roman" w:cs="Times New Roman"/>
      <w:i/>
      <w:iCs/>
      <w:color w:val="4F81BD" w:themeColor="accent1"/>
      <w:sz w:val="24"/>
      <w:szCs w:val="24"/>
      <w:lang w:val="en-GB"/>
    </w:rPr>
  </w:style>
  <w:style w:type="table" w:styleId="LightList">
    <w:name w:val="Light List"/>
    <w:basedOn w:val="TableNormal"/>
    <w:uiPriority w:val="61"/>
    <w:rsid w:val="003B7CFF"/>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Head">
    <w:name w:val="Table Head"/>
    <w:basedOn w:val="TableText"/>
    <w:uiPriority w:val="11"/>
    <w:qFormat/>
    <w:rsid w:val="003B7CFF"/>
    <w:rPr>
      <w:b/>
      <w:szCs w:val="48"/>
    </w:rPr>
  </w:style>
  <w:style w:type="paragraph" w:customStyle="1" w:styleId="TableLeft">
    <w:name w:val="Table Left"/>
    <w:uiPriority w:val="12"/>
    <w:qFormat/>
    <w:rsid w:val="003B7CFF"/>
    <w:pPr>
      <w:spacing w:before="40" w:after="40"/>
    </w:pPr>
    <w:rPr>
      <w:rFonts w:ascii="Times New Roman" w:eastAsia="Times New Roman" w:hAnsi="Times New Roman" w:cs="Arial"/>
      <w:bCs/>
      <w:kern w:val="32"/>
      <w:sz w:val="20"/>
      <w:szCs w:val="24"/>
      <w:lang w:val="en-GB"/>
    </w:rPr>
  </w:style>
  <w:style w:type="paragraph" w:styleId="TableofFigures">
    <w:name w:val="table of figures"/>
    <w:basedOn w:val="Normal"/>
    <w:next w:val="Paragraph"/>
    <w:uiPriority w:val="40"/>
    <w:rsid w:val="003B7CFF"/>
    <w:pPr>
      <w:tabs>
        <w:tab w:val="left" w:pos="1701"/>
        <w:tab w:val="right" w:leader="dot" w:pos="9000"/>
      </w:tabs>
      <w:spacing w:before="60" w:after="0"/>
      <w:ind w:left="1701" w:right="357" w:hanging="1701"/>
    </w:pPr>
  </w:style>
  <w:style w:type="table" w:styleId="TableGrid">
    <w:name w:val="Table Grid"/>
    <w:basedOn w:val="TableNormal"/>
    <w:uiPriority w:val="59"/>
    <w:rsid w:val="003B7CFF"/>
    <w:pPr>
      <w:spacing w:after="0" w:line="240" w:lineRule="auto"/>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Continued">
    <w:name w:val="Table Title Continued"/>
    <w:basedOn w:val="Normal"/>
    <w:uiPriority w:val="10"/>
    <w:qFormat/>
    <w:rsid w:val="003B7CFF"/>
    <w:pPr>
      <w:spacing w:after="120"/>
    </w:pPr>
    <w:rPr>
      <w:b/>
    </w:rPr>
  </w:style>
  <w:style w:type="paragraph" w:styleId="Title">
    <w:name w:val="Title"/>
    <w:link w:val="TitleChar"/>
    <w:uiPriority w:val="25"/>
    <w:rsid w:val="003B7CFF"/>
    <w:pPr>
      <w:spacing w:before="240" w:after="240" w:line="240" w:lineRule="auto"/>
      <w:jc w:val="center"/>
    </w:pPr>
    <w:rPr>
      <w:rFonts w:ascii="Times New Roman" w:eastAsia="Times New Roman" w:hAnsi="Times New Roman" w:cs="Arial"/>
      <w:b/>
      <w:bCs/>
      <w:kern w:val="28"/>
      <w:sz w:val="32"/>
      <w:szCs w:val="32"/>
      <w:lang w:val="en-GB"/>
    </w:rPr>
  </w:style>
  <w:style w:type="character" w:customStyle="1" w:styleId="TitleChar">
    <w:name w:val="Title Char"/>
    <w:basedOn w:val="DefaultParagraphFont"/>
    <w:link w:val="Title"/>
    <w:uiPriority w:val="25"/>
    <w:rsid w:val="003B7CFF"/>
    <w:rPr>
      <w:rFonts w:ascii="Times New Roman" w:eastAsia="Times New Roman" w:hAnsi="Times New Roman" w:cs="Arial"/>
      <w:b/>
      <w:bCs/>
      <w:kern w:val="28"/>
      <w:sz w:val="32"/>
      <w:szCs w:val="32"/>
      <w:lang w:val="en-GB"/>
    </w:rPr>
  </w:style>
  <w:style w:type="paragraph" w:styleId="TOC1">
    <w:name w:val="toc 1"/>
    <w:next w:val="Paragraph"/>
    <w:uiPriority w:val="39"/>
    <w:rsid w:val="003B7CFF"/>
    <w:pPr>
      <w:tabs>
        <w:tab w:val="left" w:pos="1134"/>
        <w:tab w:val="right" w:leader="dot" w:pos="9000"/>
      </w:tabs>
      <w:spacing w:before="120" w:after="0" w:line="240" w:lineRule="auto"/>
      <w:ind w:left="1134" w:right="357" w:hanging="1134"/>
    </w:pPr>
    <w:rPr>
      <w:rFonts w:ascii="Times New Roman" w:eastAsia="Times New Roman" w:hAnsi="Times New Roman" w:cs="Times New Roman"/>
      <w:caps/>
      <w:sz w:val="24"/>
      <w:szCs w:val="20"/>
      <w:lang w:val="en-GB"/>
    </w:rPr>
  </w:style>
  <w:style w:type="paragraph" w:styleId="TOC2">
    <w:name w:val="toc 2"/>
    <w:basedOn w:val="TOC1"/>
    <w:next w:val="Paragraph"/>
    <w:uiPriority w:val="39"/>
    <w:rsid w:val="003B7CFF"/>
    <w:pPr>
      <w:spacing w:before="60"/>
    </w:pPr>
    <w:rPr>
      <w:caps w:val="0"/>
      <w:szCs w:val="24"/>
    </w:rPr>
  </w:style>
  <w:style w:type="paragraph" w:styleId="TOC3">
    <w:name w:val="toc 3"/>
    <w:basedOn w:val="TOC1"/>
    <w:next w:val="Paragraph"/>
    <w:uiPriority w:val="39"/>
    <w:rsid w:val="003B7CFF"/>
    <w:pPr>
      <w:spacing w:before="0"/>
    </w:pPr>
    <w:rPr>
      <w:caps w:val="0"/>
      <w:szCs w:val="24"/>
    </w:rPr>
  </w:style>
  <w:style w:type="paragraph" w:styleId="TOC4">
    <w:name w:val="toc 4"/>
    <w:basedOn w:val="Normal"/>
    <w:next w:val="Paragraph"/>
    <w:uiPriority w:val="39"/>
    <w:rsid w:val="003B7CFF"/>
    <w:pPr>
      <w:tabs>
        <w:tab w:val="left" w:pos="1134"/>
        <w:tab w:val="right" w:leader="dot" w:pos="9000"/>
      </w:tabs>
      <w:spacing w:after="0" w:line="240" w:lineRule="auto"/>
      <w:ind w:left="1134" w:right="357" w:hanging="1134"/>
    </w:pPr>
  </w:style>
  <w:style w:type="paragraph" w:styleId="TOC5">
    <w:name w:val="toc 5"/>
    <w:basedOn w:val="TOC1"/>
    <w:next w:val="Normal"/>
    <w:uiPriority w:val="39"/>
    <w:rsid w:val="003B7CFF"/>
    <w:pPr>
      <w:tabs>
        <w:tab w:val="clear" w:pos="1134"/>
      </w:tabs>
      <w:ind w:left="0" w:firstLine="0"/>
    </w:pPr>
    <w:rPr>
      <w:noProof/>
    </w:rPr>
  </w:style>
  <w:style w:type="paragraph" w:styleId="TOC6">
    <w:name w:val="toc 6"/>
    <w:basedOn w:val="TOC2"/>
    <w:next w:val="Normal"/>
    <w:uiPriority w:val="39"/>
    <w:rsid w:val="003B7CFF"/>
    <w:pPr>
      <w:tabs>
        <w:tab w:val="clear" w:pos="1134"/>
      </w:tabs>
      <w:ind w:left="0" w:firstLine="0"/>
    </w:pPr>
    <w:rPr>
      <w:noProof/>
    </w:rPr>
  </w:style>
  <w:style w:type="paragraph" w:styleId="TOC7">
    <w:name w:val="toc 7"/>
    <w:basedOn w:val="Normal"/>
    <w:next w:val="Normal"/>
    <w:uiPriority w:val="39"/>
    <w:rsid w:val="003B7CFF"/>
    <w:pPr>
      <w:tabs>
        <w:tab w:val="right" w:leader="dot" w:pos="9000"/>
      </w:tabs>
      <w:spacing w:after="0" w:line="240" w:lineRule="auto"/>
      <w:ind w:right="357"/>
    </w:pPr>
    <w:rPr>
      <w:noProof/>
    </w:rPr>
  </w:style>
  <w:style w:type="paragraph" w:styleId="TOC8">
    <w:name w:val="toc 8"/>
    <w:basedOn w:val="TOC7"/>
    <w:next w:val="Normal"/>
    <w:uiPriority w:val="39"/>
    <w:rsid w:val="003B7CFF"/>
    <w:rPr>
      <w:i/>
    </w:rPr>
  </w:style>
  <w:style w:type="paragraph" w:styleId="TOC9">
    <w:name w:val="toc 9"/>
    <w:basedOn w:val="Normal"/>
    <w:next w:val="Normal"/>
    <w:uiPriority w:val="39"/>
    <w:rsid w:val="003B7CFF"/>
    <w:pPr>
      <w:tabs>
        <w:tab w:val="left" w:pos="1134"/>
        <w:tab w:val="right" w:leader="dot" w:pos="9000"/>
      </w:tabs>
      <w:ind w:left="1134" w:right="360" w:hanging="1134"/>
    </w:pPr>
  </w:style>
  <w:style w:type="paragraph" w:styleId="TOCHeading">
    <w:name w:val="TOC Heading"/>
    <w:basedOn w:val="TOCTitle"/>
    <w:next w:val="Normal"/>
    <w:uiPriority w:val="39"/>
    <w:rsid w:val="003B7CFF"/>
    <w:pPr>
      <w:spacing w:after="0"/>
    </w:pPr>
    <w:rPr>
      <w:rFonts w:asciiTheme="majorHAnsi" w:eastAsiaTheme="majorEastAsia" w:hAnsiTheme="majorHAnsi" w:cstheme="majorBidi"/>
      <w:bCs w:val="0"/>
      <w:caps w:val="0"/>
      <w:kern w:val="0"/>
      <w:szCs w:val="32"/>
    </w:rPr>
  </w:style>
  <w:style w:type="paragraph" w:customStyle="1" w:styleId="TOCSection">
    <w:name w:val="TOC Section"/>
    <w:basedOn w:val="Heading1"/>
    <w:uiPriority w:val="25"/>
    <w:rsid w:val="003B7CFF"/>
    <w:pPr>
      <w:numPr>
        <w:numId w:val="0"/>
      </w:numPr>
      <w:tabs>
        <w:tab w:val="left" w:pos="0"/>
        <w:tab w:val="left" w:pos="480"/>
      </w:tabs>
      <w:spacing w:after="120"/>
      <w:outlineLvl w:val="9"/>
    </w:pPr>
  </w:style>
  <w:style w:type="paragraph" w:customStyle="1" w:styleId="TOCTitle">
    <w:name w:val="TOC Title"/>
    <w:basedOn w:val="Title"/>
    <w:next w:val="TOC1"/>
    <w:uiPriority w:val="25"/>
    <w:rsid w:val="003B7CFF"/>
    <w:pPr>
      <w:pageBreakBefore/>
      <w:jc w:val="left"/>
    </w:pPr>
    <w:rPr>
      <w:caps/>
      <w:sz w:val="28"/>
      <w:szCs w:val="28"/>
    </w:rPr>
  </w:style>
  <w:style w:type="character" w:customStyle="1" w:styleId="UserTips">
    <w:name w:val="User Tips"/>
    <w:uiPriority w:val="22"/>
    <w:rsid w:val="003B7CFF"/>
    <w:rPr>
      <w:i/>
      <w:vanish/>
      <w:color w:val="FF0000"/>
    </w:rPr>
  </w:style>
  <w:style w:type="paragraph" w:customStyle="1" w:styleId="AppendixAlphaSub1">
    <w:name w:val="Appendix Alpha Sub 1"/>
    <w:basedOn w:val="AppendixAlpha"/>
    <w:next w:val="Paragraph"/>
    <w:uiPriority w:val="21"/>
    <w:qFormat/>
    <w:rsid w:val="003B7CFF"/>
    <w:pPr>
      <w:pageBreakBefore w:val="0"/>
      <w:numPr>
        <w:ilvl w:val="1"/>
      </w:numPr>
      <w:spacing w:before="120"/>
    </w:pPr>
  </w:style>
  <w:style w:type="paragraph" w:styleId="Quote">
    <w:name w:val="Quote"/>
    <w:basedOn w:val="Normal"/>
    <w:next w:val="Normal"/>
    <w:link w:val="QuoteChar"/>
    <w:uiPriority w:val="29"/>
    <w:qFormat/>
    <w:rsid w:val="003B7C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7CFF"/>
    <w:rPr>
      <w:rFonts w:ascii="Times New Roman" w:eastAsia="Times New Roman" w:hAnsi="Times New Roman" w:cs="Times New Roman"/>
      <w:i/>
      <w:iCs/>
      <w:color w:val="404040" w:themeColor="text1" w:themeTint="BF"/>
      <w:sz w:val="24"/>
      <w:szCs w:val="24"/>
      <w:lang w:val="en-GB"/>
    </w:rPr>
  </w:style>
  <w:style w:type="paragraph" w:customStyle="1" w:styleId="AppendixAlphaSub2">
    <w:name w:val="Appendix Alpha Sub 2"/>
    <w:basedOn w:val="AppendixAlphaSub1"/>
    <w:next w:val="Paragraph"/>
    <w:uiPriority w:val="21"/>
    <w:unhideWhenUsed/>
    <w:qFormat/>
    <w:rsid w:val="003B7CFF"/>
    <w:pPr>
      <w:numPr>
        <w:ilvl w:val="2"/>
      </w:numPr>
    </w:pPr>
    <w:rPr>
      <w:sz w:val="26"/>
    </w:rPr>
  </w:style>
  <w:style w:type="paragraph" w:customStyle="1" w:styleId="AppendixAlphaSub3">
    <w:name w:val="Appendix Alpha Sub 3"/>
    <w:basedOn w:val="AppendixAlphaSub1"/>
    <w:next w:val="Paragraph"/>
    <w:uiPriority w:val="21"/>
    <w:unhideWhenUsed/>
    <w:qFormat/>
    <w:rsid w:val="003B7CFF"/>
    <w:pPr>
      <w:numPr>
        <w:ilvl w:val="3"/>
      </w:numPr>
    </w:pPr>
    <w:rPr>
      <w:sz w:val="24"/>
    </w:rPr>
  </w:style>
  <w:style w:type="paragraph" w:customStyle="1" w:styleId="AppendixAlphaSub4">
    <w:name w:val="Appendix Alpha Sub 4"/>
    <w:basedOn w:val="AppendixAlphaSub1"/>
    <w:next w:val="Paragraph"/>
    <w:uiPriority w:val="21"/>
    <w:unhideWhenUsed/>
    <w:qFormat/>
    <w:rsid w:val="003B7CFF"/>
    <w:pPr>
      <w:numPr>
        <w:ilvl w:val="4"/>
      </w:numPr>
      <w:spacing w:after="60"/>
    </w:pPr>
    <w:rPr>
      <w:i/>
      <w:sz w:val="24"/>
    </w:rPr>
  </w:style>
  <w:style w:type="paragraph" w:customStyle="1" w:styleId="ListNumberSmall">
    <w:name w:val="List Number Small"/>
    <w:basedOn w:val="ListBulletSmall"/>
    <w:uiPriority w:val="9"/>
    <w:qFormat/>
    <w:rsid w:val="003B7CFF"/>
    <w:pPr>
      <w:numPr>
        <w:numId w:val="33"/>
      </w:numPr>
      <w:tabs>
        <w:tab w:val="left" w:pos="425"/>
      </w:tabs>
    </w:pPr>
  </w:style>
  <w:style w:type="paragraph" w:customStyle="1" w:styleId="TableHidden">
    <w:name w:val="Table Hidden"/>
    <w:basedOn w:val="Paragraph"/>
    <w:uiPriority w:val="23"/>
    <w:qFormat/>
    <w:rsid w:val="003B7CFF"/>
    <w:rPr>
      <w:vanish/>
    </w:rPr>
  </w:style>
  <w:style w:type="paragraph" w:customStyle="1" w:styleId="FigureTitleContinued">
    <w:name w:val="Figure Title Continued"/>
    <w:basedOn w:val="FigureTitle"/>
    <w:uiPriority w:val="17"/>
    <w:qFormat/>
    <w:rsid w:val="003B7CFF"/>
    <w:rPr>
      <w:lang w:val="sv-SE"/>
    </w:rPr>
  </w:style>
  <w:style w:type="paragraph" w:customStyle="1" w:styleId="Z-LineL1">
    <w:name w:val="Z-Line L 1"/>
    <w:basedOn w:val="Normal"/>
    <w:uiPriority w:val="42"/>
    <w:rsid w:val="003B7CFF"/>
    <w:pPr>
      <w:spacing w:before="60" w:after="0" w:line="240" w:lineRule="auto"/>
    </w:pPr>
    <w:rPr>
      <w:sz w:val="20"/>
      <w:szCs w:val="20"/>
    </w:rPr>
  </w:style>
  <w:style w:type="paragraph" w:customStyle="1" w:styleId="Z-LineL2">
    <w:name w:val="Z-Line L 2"/>
    <w:basedOn w:val="Normal"/>
    <w:uiPriority w:val="42"/>
    <w:rsid w:val="003B7CFF"/>
    <w:pPr>
      <w:spacing w:before="60" w:after="0" w:line="240" w:lineRule="auto"/>
    </w:pPr>
    <w:rPr>
      <w:sz w:val="20"/>
      <w:szCs w:val="20"/>
    </w:rPr>
  </w:style>
  <w:style w:type="paragraph" w:customStyle="1" w:styleId="Z-LineL3">
    <w:name w:val="Z-Line L 3"/>
    <w:basedOn w:val="Normal"/>
    <w:uiPriority w:val="42"/>
    <w:rsid w:val="003B7CFF"/>
    <w:pPr>
      <w:spacing w:before="60" w:after="0" w:line="240" w:lineRule="auto"/>
    </w:pPr>
    <w:rPr>
      <w:sz w:val="20"/>
      <w:szCs w:val="20"/>
    </w:rPr>
  </w:style>
  <w:style w:type="paragraph" w:customStyle="1" w:styleId="Z-LineL4">
    <w:name w:val="Z-Line L 4"/>
    <w:basedOn w:val="Normal"/>
    <w:uiPriority w:val="42"/>
    <w:rsid w:val="003B7CFF"/>
    <w:pPr>
      <w:spacing w:before="60" w:after="0" w:line="240" w:lineRule="auto"/>
    </w:pPr>
    <w:rPr>
      <w:sz w:val="20"/>
      <w:szCs w:val="20"/>
    </w:rPr>
  </w:style>
  <w:style w:type="paragraph" w:customStyle="1" w:styleId="Z-LineR1">
    <w:name w:val="Z-Line R 1"/>
    <w:basedOn w:val="Normal"/>
    <w:uiPriority w:val="42"/>
    <w:rsid w:val="003B7CFF"/>
    <w:pPr>
      <w:spacing w:before="60" w:after="0" w:line="240" w:lineRule="auto"/>
    </w:pPr>
    <w:rPr>
      <w:sz w:val="20"/>
      <w:szCs w:val="20"/>
    </w:rPr>
  </w:style>
  <w:style w:type="paragraph" w:customStyle="1" w:styleId="Z-LineR2">
    <w:name w:val="Z-Line R 2"/>
    <w:basedOn w:val="Normal"/>
    <w:uiPriority w:val="42"/>
    <w:rsid w:val="003B7CFF"/>
    <w:pPr>
      <w:spacing w:before="60" w:after="0" w:line="240" w:lineRule="auto"/>
    </w:pPr>
    <w:rPr>
      <w:sz w:val="20"/>
      <w:szCs w:val="20"/>
    </w:rPr>
  </w:style>
  <w:style w:type="paragraph" w:customStyle="1" w:styleId="Z-LineR3">
    <w:name w:val="Z-Line R 3"/>
    <w:basedOn w:val="Normal"/>
    <w:uiPriority w:val="42"/>
    <w:rsid w:val="003B7CFF"/>
    <w:pPr>
      <w:spacing w:before="60" w:after="0" w:line="240" w:lineRule="auto"/>
    </w:pPr>
    <w:rPr>
      <w:sz w:val="20"/>
      <w:szCs w:val="20"/>
    </w:rPr>
  </w:style>
  <w:style w:type="paragraph" w:customStyle="1" w:styleId="Z-LineR4">
    <w:name w:val="Z-Line R 4"/>
    <w:basedOn w:val="Normal"/>
    <w:uiPriority w:val="42"/>
    <w:rsid w:val="003B7CFF"/>
    <w:pPr>
      <w:spacing w:after="60" w:line="240" w:lineRule="auto"/>
    </w:pPr>
    <w:rPr>
      <w:sz w:val="20"/>
      <w:szCs w:val="20"/>
    </w:rPr>
  </w:style>
  <w:style w:type="paragraph" w:customStyle="1" w:styleId="Z-DocumentName">
    <w:name w:val="Z-Document Name"/>
    <w:basedOn w:val="Z-LineL1"/>
    <w:uiPriority w:val="42"/>
    <w:qFormat/>
    <w:rsid w:val="003B7CFF"/>
    <w:rPr>
      <w:b/>
    </w:rPr>
  </w:style>
  <w:style w:type="character" w:styleId="BookTitle">
    <w:name w:val="Book Title"/>
    <w:basedOn w:val="DefaultParagraphFont"/>
    <w:uiPriority w:val="33"/>
    <w:qFormat/>
    <w:rsid w:val="00EE3AC8"/>
    <w:rPr>
      <w:b/>
      <w:bCs/>
      <w:i/>
      <w:iCs/>
      <w:spacing w:val="5"/>
    </w:rPr>
  </w:style>
  <w:style w:type="table" w:styleId="ColorfulGrid">
    <w:name w:val="Colorful Grid"/>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EE3A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EE3AC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E3AC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EE3AC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GridTable1Light">
    <w:name w:val="Grid Table 1 Light"/>
    <w:basedOn w:val="TableNormal"/>
    <w:uiPriority w:val="46"/>
    <w:rsid w:val="00EE3A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EE3AC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EE3AC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EE3AC8"/>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EE3AC8"/>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EE3AC8"/>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EE3AC8"/>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EE3A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EE3AC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TableNormal"/>
    <w:uiPriority w:val="47"/>
    <w:rsid w:val="00EE3AC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TableNormal"/>
    <w:uiPriority w:val="47"/>
    <w:rsid w:val="00EE3AC8"/>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
    <w:name w:val="Grid Table 2 Accent 4"/>
    <w:basedOn w:val="TableNormal"/>
    <w:uiPriority w:val="47"/>
    <w:rsid w:val="00EE3AC8"/>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EE3AC8"/>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EE3AC8"/>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TableNormal"/>
    <w:uiPriority w:val="48"/>
    <w:rsid w:val="00EE3A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EE3A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
    <w:name w:val="Grid Table 3 Accent 2"/>
    <w:basedOn w:val="TableNormal"/>
    <w:uiPriority w:val="48"/>
    <w:rsid w:val="00EE3A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
    <w:name w:val="Grid Table 3 Accent 3"/>
    <w:basedOn w:val="TableNormal"/>
    <w:uiPriority w:val="48"/>
    <w:rsid w:val="00EE3A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
    <w:name w:val="Grid Table 3 Accent 4"/>
    <w:basedOn w:val="TableNormal"/>
    <w:uiPriority w:val="48"/>
    <w:rsid w:val="00EE3A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
    <w:name w:val="Grid Table 3 Accent 5"/>
    <w:basedOn w:val="TableNormal"/>
    <w:uiPriority w:val="48"/>
    <w:rsid w:val="00EE3A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
    <w:name w:val="Grid Table 3 Accent 6"/>
    <w:basedOn w:val="TableNormal"/>
    <w:uiPriority w:val="48"/>
    <w:rsid w:val="00EE3A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
    <w:name w:val="Grid Table 4"/>
    <w:basedOn w:val="TableNormal"/>
    <w:uiPriority w:val="49"/>
    <w:rsid w:val="00EE3A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EE3A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
    <w:name w:val="Grid Table 4 Accent 2"/>
    <w:basedOn w:val="TableNormal"/>
    <w:uiPriority w:val="49"/>
    <w:rsid w:val="00EE3A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TableNormal"/>
    <w:uiPriority w:val="49"/>
    <w:rsid w:val="00EE3A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EE3A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TableNormal"/>
    <w:uiPriority w:val="49"/>
    <w:rsid w:val="00EE3A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TableNormal"/>
    <w:uiPriority w:val="49"/>
    <w:rsid w:val="00EE3A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
    <w:name w:val="Grid Table 5 Dark"/>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
    <w:name w:val="Grid Table 5 Dark Accent 2"/>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TableNormal"/>
    <w:uiPriority w:val="50"/>
    <w:rsid w:val="00EE3A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TableNormal"/>
    <w:uiPriority w:val="51"/>
    <w:rsid w:val="00EE3A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EE3AC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
    <w:name w:val="Grid Table 6 Colorful Accent 2"/>
    <w:basedOn w:val="TableNormal"/>
    <w:uiPriority w:val="51"/>
    <w:rsid w:val="00EE3AC8"/>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
    <w:name w:val="Grid Table 6 Colorful Accent 3"/>
    <w:basedOn w:val="TableNormal"/>
    <w:uiPriority w:val="51"/>
    <w:rsid w:val="00EE3AC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TableNormal"/>
    <w:uiPriority w:val="51"/>
    <w:rsid w:val="00EE3AC8"/>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TableNormal"/>
    <w:uiPriority w:val="51"/>
    <w:rsid w:val="00EE3AC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
    <w:name w:val="Grid Table 6 Colorful Accent 6"/>
    <w:basedOn w:val="TableNormal"/>
    <w:uiPriority w:val="51"/>
    <w:rsid w:val="00EE3AC8"/>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
    <w:name w:val="Grid Table 7 Colorful"/>
    <w:basedOn w:val="TableNormal"/>
    <w:uiPriority w:val="52"/>
    <w:rsid w:val="00EE3A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EE3AC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
    <w:name w:val="Grid Table 7 Colorful Accent 2"/>
    <w:basedOn w:val="TableNormal"/>
    <w:uiPriority w:val="52"/>
    <w:rsid w:val="00EE3AC8"/>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
    <w:name w:val="Grid Table 7 Colorful Accent 3"/>
    <w:basedOn w:val="TableNormal"/>
    <w:uiPriority w:val="52"/>
    <w:rsid w:val="00EE3AC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
    <w:name w:val="Grid Table 7 Colorful Accent 4"/>
    <w:basedOn w:val="TableNormal"/>
    <w:uiPriority w:val="52"/>
    <w:rsid w:val="00EE3AC8"/>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
    <w:name w:val="Grid Table 7 Colorful Accent 5"/>
    <w:basedOn w:val="TableNormal"/>
    <w:uiPriority w:val="52"/>
    <w:rsid w:val="00EE3AC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
    <w:name w:val="Grid Table 7 Colorful Accent 6"/>
    <w:basedOn w:val="TableNormal"/>
    <w:uiPriority w:val="52"/>
    <w:rsid w:val="00EE3AC8"/>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
    <w:name w:val="Hashtag"/>
    <w:basedOn w:val="DefaultParagraphFont"/>
    <w:uiPriority w:val="99"/>
    <w:semiHidden/>
    <w:unhideWhenUsed/>
    <w:rsid w:val="00EE3AC8"/>
    <w:rPr>
      <w:color w:val="2B579A"/>
      <w:shd w:val="clear" w:color="auto" w:fill="E6E6E6"/>
    </w:rPr>
  </w:style>
  <w:style w:type="character" w:styleId="IntenseEmphasis">
    <w:name w:val="Intense Emphasis"/>
    <w:basedOn w:val="DefaultParagraphFont"/>
    <w:uiPriority w:val="21"/>
    <w:qFormat/>
    <w:rsid w:val="00EE3AC8"/>
    <w:rPr>
      <w:i/>
      <w:iCs/>
      <w:color w:val="4F81BD" w:themeColor="accent1"/>
    </w:rPr>
  </w:style>
  <w:style w:type="character" w:styleId="IntenseReference">
    <w:name w:val="Intense Reference"/>
    <w:basedOn w:val="DefaultParagraphFont"/>
    <w:uiPriority w:val="32"/>
    <w:qFormat/>
    <w:rsid w:val="00EE3AC8"/>
    <w:rPr>
      <w:b/>
      <w:bCs/>
      <w:smallCaps/>
      <w:color w:val="4F81BD" w:themeColor="accent1"/>
      <w:spacing w:val="5"/>
    </w:rPr>
  </w:style>
  <w:style w:type="table" w:styleId="LightGrid-Accent1">
    <w:name w:val="Light Grid Accent 1"/>
    <w:basedOn w:val="TableNormal"/>
    <w:uiPriority w:val="62"/>
    <w:semiHidden/>
    <w:unhideWhenUsed/>
    <w:rsid w:val="00EE3A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EE3A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EE3A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EE3AC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EE3AC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EE3AC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1">
    <w:name w:val="Light List Accent 1"/>
    <w:basedOn w:val="TableNormal"/>
    <w:uiPriority w:val="61"/>
    <w:semiHidden/>
    <w:unhideWhenUsed/>
    <w:rsid w:val="00EE3A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EE3A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EE3A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EE3AC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EE3AC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EE3AC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EE3A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E3A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EE3AC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EE3AC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EE3AC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EE3AC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EE3AC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Table1Light">
    <w:name w:val="List Table 1 Light"/>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
    <w:name w:val="List Table 1 Light Accent 2"/>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
    <w:name w:val="List Table 1 Light Accent 3"/>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
    <w:name w:val="List Table 1 Light Accent 4"/>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
    <w:name w:val="List Table 1 Light Accent 5"/>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
    <w:name w:val="List Table 1 Light Accent 6"/>
    <w:basedOn w:val="TableNormal"/>
    <w:uiPriority w:val="46"/>
    <w:rsid w:val="00EE3AC8"/>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
    <w:name w:val="List Table 2"/>
    <w:basedOn w:val="TableNormal"/>
    <w:uiPriority w:val="47"/>
    <w:rsid w:val="00EE3A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EE3AC8"/>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
    <w:name w:val="List Table 2 Accent 2"/>
    <w:basedOn w:val="TableNormal"/>
    <w:uiPriority w:val="47"/>
    <w:rsid w:val="00EE3AC8"/>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
    <w:name w:val="List Table 2 Accent 3"/>
    <w:basedOn w:val="TableNormal"/>
    <w:uiPriority w:val="47"/>
    <w:rsid w:val="00EE3AC8"/>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TableNormal"/>
    <w:uiPriority w:val="47"/>
    <w:rsid w:val="00EE3AC8"/>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TableNormal"/>
    <w:uiPriority w:val="47"/>
    <w:rsid w:val="00EE3AC8"/>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
    <w:name w:val="List Table 2 Accent 6"/>
    <w:basedOn w:val="TableNormal"/>
    <w:uiPriority w:val="47"/>
    <w:rsid w:val="00EE3AC8"/>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
    <w:name w:val="List Table 3"/>
    <w:basedOn w:val="TableNormal"/>
    <w:uiPriority w:val="48"/>
    <w:rsid w:val="00EE3A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EE3AC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
    <w:name w:val="List Table 3 Accent 2"/>
    <w:basedOn w:val="TableNormal"/>
    <w:uiPriority w:val="48"/>
    <w:rsid w:val="00EE3AC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
    <w:name w:val="List Table 3 Accent 3"/>
    <w:basedOn w:val="TableNormal"/>
    <w:uiPriority w:val="48"/>
    <w:rsid w:val="00EE3AC8"/>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
    <w:name w:val="List Table 3 Accent 4"/>
    <w:basedOn w:val="TableNormal"/>
    <w:uiPriority w:val="48"/>
    <w:rsid w:val="00EE3AC8"/>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
    <w:name w:val="List Table 3 Accent 5"/>
    <w:basedOn w:val="TableNormal"/>
    <w:uiPriority w:val="48"/>
    <w:rsid w:val="00EE3AC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TableNormal"/>
    <w:uiPriority w:val="48"/>
    <w:rsid w:val="00EE3AC8"/>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
    <w:name w:val="List Table 4"/>
    <w:basedOn w:val="TableNormal"/>
    <w:uiPriority w:val="49"/>
    <w:rsid w:val="00EE3A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EE3A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
    <w:name w:val="List Table 4 Accent 2"/>
    <w:basedOn w:val="TableNormal"/>
    <w:uiPriority w:val="49"/>
    <w:rsid w:val="00EE3A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
    <w:name w:val="List Table 4 Accent 3"/>
    <w:basedOn w:val="TableNormal"/>
    <w:uiPriority w:val="49"/>
    <w:rsid w:val="00EE3A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
    <w:name w:val="List Table 4 Accent 4"/>
    <w:basedOn w:val="TableNormal"/>
    <w:uiPriority w:val="49"/>
    <w:rsid w:val="00EE3A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
    <w:name w:val="List Table 4 Accent 5"/>
    <w:basedOn w:val="TableNormal"/>
    <w:uiPriority w:val="49"/>
    <w:rsid w:val="00EE3A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TableNormal"/>
    <w:uiPriority w:val="49"/>
    <w:rsid w:val="00EE3A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
    <w:name w:val="List Table 5 Dark"/>
    <w:basedOn w:val="TableNormal"/>
    <w:uiPriority w:val="50"/>
    <w:rsid w:val="00EE3A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EE3AC8"/>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EE3AC8"/>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EE3AC8"/>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EE3AC8"/>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EE3AC8"/>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EE3AC8"/>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EE3A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EE3AC8"/>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
    <w:name w:val="List Table 6 Colorful Accent 2"/>
    <w:basedOn w:val="TableNormal"/>
    <w:uiPriority w:val="51"/>
    <w:rsid w:val="00EE3AC8"/>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
    <w:name w:val="List Table 6 Colorful Accent 3"/>
    <w:basedOn w:val="TableNormal"/>
    <w:uiPriority w:val="51"/>
    <w:rsid w:val="00EE3AC8"/>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
    <w:name w:val="List Table 6 Colorful Accent 4"/>
    <w:basedOn w:val="TableNormal"/>
    <w:uiPriority w:val="51"/>
    <w:rsid w:val="00EE3AC8"/>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
    <w:name w:val="List Table 6 Colorful Accent 5"/>
    <w:basedOn w:val="TableNormal"/>
    <w:uiPriority w:val="51"/>
    <w:rsid w:val="00EE3AC8"/>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
    <w:name w:val="List Table 6 Colorful Accent 6"/>
    <w:basedOn w:val="TableNormal"/>
    <w:uiPriority w:val="51"/>
    <w:rsid w:val="00EE3AC8"/>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
    <w:name w:val="List Table 7 Colorful"/>
    <w:basedOn w:val="TableNormal"/>
    <w:uiPriority w:val="52"/>
    <w:rsid w:val="00EE3A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EE3AC8"/>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EE3AC8"/>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EE3AC8"/>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EE3AC8"/>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EE3AC8"/>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EE3AC8"/>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EE3A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E3AC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EE3AC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EE3AC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EE3AC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EE3A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EE3A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EE3A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EE3AC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E3A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E3A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E3AC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E3AC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E3AC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E3AC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E3A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E3A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E3A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EE3AC8"/>
    <w:rPr>
      <w:color w:val="2B579A"/>
      <w:shd w:val="clear" w:color="auto" w:fill="E6E6E6"/>
    </w:rPr>
  </w:style>
  <w:style w:type="table" w:customStyle="1" w:styleId="PlainTable3">
    <w:name w:val="Plain Table 3"/>
    <w:basedOn w:val="TableNormal"/>
    <w:uiPriority w:val="43"/>
    <w:rsid w:val="00EE3A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EE3A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EE3A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
    <w:name w:val="Smart Hyperlink"/>
    <w:basedOn w:val="DefaultParagraphFont"/>
    <w:uiPriority w:val="99"/>
    <w:semiHidden/>
    <w:unhideWhenUsed/>
    <w:rsid w:val="00EE3AC8"/>
    <w:rPr>
      <w:u w:val="dotted"/>
    </w:rPr>
  </w:style>
  <w:style w:type="character" w:styleId="SubtleEmphasis">
    <w:name w:val="Subtle Emphasis"/>
    <w:basedOn w:val="DefaultParagraphFont"/>
    <w:uiPriority w:val="19"/>
    <w:qFormat/>
    <w:rsid w:val="00EE3AC8"/>
    <w:rPr>
      <w:i/>
      <w:iCs/>
      <w:color w:val="404040" w:themeColor="text1" w:themeTint="BF"/>
    </w:rPr>
  </w:style>
  <w:style w:type="character" w:styleId="SubtleReference">
    <w:name w:val="Subtle Reference"/>
    <w:basedOn w:val="DefaultParagraphFont"/>
    <w:uiPriority w:val="31"/>
    <w:qFormat/>
    <w:rsid w:val="00EE3AC8"/>
    <w:rPr>
      <w:smallCaps/>
      <w:color w:val="5A5A5A" w:themeColor="text1" w:themeTint="A5"/>
    </w:rPr>
  </w:style>
  <w:style w:type="paragraph" w:customStyle="1" w:styleId="Paragraph">
    <w:name w:val="Paragraph"/>
    <w:link w:val="ParagraphChar"/>
    <w:qFormat/>
    <w:rsid w:val="00F913F9"/>
    <w:pPr>
      <w:spacing w:after="240" w:line="240" w:lineRule="auto"/>
    </w:pPr>
    <w:rPr>
      <w:rFonts w:ascii="Times New Roman" w:eastAsia="Times New Roman" w:hAnsi="Times New Roman" w:cs="Times New Roman"/>
      <w:sz w:val="24"/>
      <w:szCs w:val="24"/>
      <w:lang w:val="en-GB"/>
    </w:rPr>
  </w:style>
  <w:style w:type="character" w:customStyle="1" w:styleId="ParagraphChar">
    <w:name w:val="Paragraph Char"/>
    <w:basedOn w:val="DefaultParagraphFont"/>
    <w:link w:val="Paragraph"/>
    <w:rsid w:val="00F913F9"/>
    <w:rPr>
      <w:rFonts w:ascii="Times New Roman" w:eastAsia="Times New Roman" w:hAnsi="Times New Roman" w:cs="Times New Roman"/>
      <w:sz w:val="24"/>
      <w:szCs w:val="24"/>
      <w:lang w:val="en-GB"/>
    </w:rPr>
  </w:style>
  <w:style w:type="table" w:styleId="Table3Deffects1">
    <w:name w:val="Table 3D effects 1"/>
    <w:basedOn w:val="TableNormal"/>
    <w:semiHidden/>
    <w:rsid w:val="003B7CFF"/>
    <w:pPr>
      <w:spacing w:after="0" w:line="240" w:lineRule="auto"/>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7CFF"/>
    <w:pPr>
      <w:spacing w:after="0" w:line="240" w:lineRule="auto"/>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7CFF"/>
    <w:pPr>
      <w:spacing w:after="0" w:line="240" w:lineRule="auto"/>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Text">
    <w:name w:val="Table Text"/>
    <w:semiHidden/>
    <w:rsid w:val="003B7CFF"/>
    <w:pPr>
      <w:spacing w:before="40" w:after="40" w:line="240" w:lineRule="auto"/>
      <w:jc w:val="center"/>
    </w:pPr>
    <w:rPr>
      <w:rFonts w:ascii="Times New Roman" w:eastAsia="Times New Roman" w:hAnsi="Times New Roman" w:cs="Times New Roman"/>
      <w:sz w:val="20"/>
      <w:szCs w:val="20"/>
      <w:lang w:val="en-GB"/>
    </w:rPr>
  </w:style>
  <w:style w:type="table" w:styleId="TableGrid1">
    <w:name w:val="Table Grid 1"/>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7CFF"/>
    <w:pPr>
      <w:spacing w:after="0" w:line="240" w:lineRule="auto"/>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B7CFF"/>
    <w:pPr>
      <w:ind w:left="240" w:hanging="240"/>
    </w:pPr>
  </w:style>
  <w:style w:type="table" w:styleId="TableProfessional">
    <w:name w:val="Table Professional"/>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RowHead">
    <w:name w:val="Table Row Head"/>
    <w:basedOn w:val="TableText"/>
    <w:semiHidden/>
    <w:rsid w:val="003B7CFF"/>
    <w:pPr>
      <w:tabs>
        <w:tab w:val="left" w:pos="360"/>
      </w:tabs>
      <w:jc w:val="left"/>
    </w:pPr>
  </w:style>
  <w:style w:type="table" w:styleId="TableSimple1">
    <w:name w:val="Table Simple 1"/>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B7CFF"/>
    <w:pPr>
      <w:spacing w:after="0" w:line="240" w:lineRule="auto"/>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SummaryHead">
    <w:name w:val="Table Summary Head"/>
    <w:basedOn w:val="TableText"/>
    <w:semiHidden/>
    <w:rsid w:val="003B7CFF"/>
  </w:style>
  <w:style w:type="paragraph" w:customStyle="1" w:styleId="TableSummaryTitle">
    <w:name w:val="Table Summary Title"/>
    <w:basedOn w:val="TableTitle"/>
    <w:next w:val="TableHead"/>
    <w:semiHidden/>
    <w:rsid w:val="003B7CFF"/>
    <w:pPr>
      <w:pageBreakBefore/>
    </w:pPr>
  </w:style>
  <w:style w:type="table" w:styleId="TableTheme">
    <w:name w:val="Table Theme"/>
    <w:basedOn w:val="TableNormal"/>
    <w:semiHidden/>
    <w:rsid w:val="003B7CF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B7CFF"/>
    <w:pPr>
      <w:spacing w:after="0" w:line="240" w:lineRule="auto"/>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B7CFF"/>
    <w:pPr>
      <w:spacing w:after="0" w:line="240" w:lineRule="auto"/>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B7CFF"/>
    <w:pPr>
      <w:spacing w:after="0" w:line="240" w:lineRule="auto"/>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087272"/>
    <w:pPr>
      <w:spacing w:after="0" w:line="240" w:lineRule="auto"/>
    </w:pPr>
    <w:rPr>
      <w:rFonts w:ascii="Times New Roman" w:eastAsia="Times New Roman" w:hAnsi="Times New Roman" w:cs="Times New Roman"/>
      <w:sz w:val="24"/>
      <w:szCs w:val="24"/>
      <w:lang w:val="en-GB"/>
    </w:rPr>
  </w:style>
  <w:style w:type="paragraph" w:customStyle="1" w:styleId="Heading5unnumbered">
    <w:name w:val="Heading 5 unnumbered"/>
    <w:basedOn w:val="Heading4Unnumbered"/>
    <w:uiPriority w:val="99"/>
    <w:qFormat/>
    <w:rsid w:val="00D11FA5"/>
    <w:rPr>
      <w:b w:val="0"/>
    </w:rPr>
  </w:style>
  <w:style w:type="paragraph" w:customStyle="1" w:styleId="Heading6unnumbered">
    <w:name w:val="Heading 6 unnumbered"/>
    <w:basedOn w:val="Heading5unnumbered"/>
    <w:uiPriority w:val="99"/>
    <w:qFormat/>
    <w:rsid w:val="00C83C9B"/>
    <w:rPr>
      <w:i w:val="0"/>
      <w:u w:val="single"/>
    </w:rPr>
  </w:style>
  <w:style w:type="paragraph" w:customStyle="1" w:styleId="A-TableFootnoteText">
    <w:name w:val="A-Table Footnote Text"/>
    <w:next w:val="Normal"/>
    <w:qFormat/>
    <w:rsid w:val="000547BB"/>
    <w:pPr>
      <w:tabs>
        <w:tab w:val="left" w:pos="432"/>
      </w:tabs>
      <w:spacing w:after="0" w:line="240" w:lineRule="auto"/>
      <w:ind w:left="432" w:hanging="432"/>
    </w:pPr>
    <w:rPr>
      <w:rFonts w:ascii="Times New Roman" w:eastAsia="Times New Roman" w:hAnsi="Times New Roman" w:cs="Times New Roman"/>
      <w:sz w:val="20"/>
      <w:szCs w:val="20"/>
      <w:lang w:val="en-GB"/>
    </w:rPr>
  </w:style>
  <w:style w:type="paragraph" w:customStyle="1" w:styleId="A-FigureTitle">
    <w:name w:val="A-Figure Title"/>
    <w:next w:val="Normal"/>
    <w:link w:val="A-FigureTitleChar"/>
    <w:rsid w:val="000547BB"/>
    <w:pPr>
      <w:keepNext/>
      <w:tabs>
        <w:tab w:val="left" w:pos="1418"/>
      </w:tabs>
      <w:spacing w:after="120" w:line="280" w:lineRule="atLeast"/>
      <w:ind w:left="1411" w:hanging="1411"/>
    </w:pPr>
    <w:rPr>
      <w:rFonts w:ascii="Times New Roman" w:eastAsia="Times New Roman" w:hAnsi="Times New Roman" w:cs="Times New Roman"/>
      <w:b/>
      <w:sz w:val="24"/>
      <w:szCs w:val="20"/>
      <w:lang w:val="en-GB"/>
    </w:rPr>
  </w:style>
  <w:style w:type="character" w:customStyle="1" w:styleId="A-FigureTitleChar">
    <w:name w:val="A-Figure Title Char"/>
    <w:link w:val="A-FigureTitle"/>
    <w:locked/>
    <w:rsid w:val="000547BB"/>
    <w:rPr>
      <w:rFonts w:ascii="Times New Roman" w:eastAsia="Times New Roman" w:hAnsi="Times New Roman" w:cs="Times New Roman"/>
      <w:b/>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tga.gov.au/reporting-proble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yperlink" Target="https://www.tga.gov.au/reporting-problems" TargetMode="External"/><Relationship Id="rId14" Type="http://schemas.openxmlformats.org/officeDocument/2006/relationships/image" Target="media/image3.emf"/><Relationship Id="rId22"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qr393\Desktop\fasenra%20pi-template-black-triangle%20Jan%202018%20WORK%20IN%20PROGRE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FFC1F-7F30-44D6-B287-7CA5BF56C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fasenra pi-template-black-triangle Jan 2018 WORK IN PROGRESS.dotx</Template>
  <TotalTime>35</TotalTime>
  <Pages>19</Pages>
  <Words>6119</Words>
  <Characters>34148</Characters>
  <Application>Microsoft Office Word</Application>
  <DocSecurity>0</DocSecurity>
  <Lines>711</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Benralizumab</dc:title>
  <dc:subject>prescription medicines</dc:subject>
  <dc:creator/>
  <cp:keywords>AusPARs</cp:keywords>
  <cp:lastPrinted>2017-11-13T05:13:00Z</cp:lastPrinted>
  <dcterms:created xsi:type="dcterms:W3CDTF">2019-05-20T06:08:00Z</dcterms:created>
  <dcterms:modified xsi:type="dcterms:W3CDTF">2019-05-20T06:48:00Z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ingCaptions">
    <vt:lpwstr>No</vt:lpwstr>
  </property>
  <property fmtid="{D5CDD505-2E9C-101B-9397-08002B2CF9AE}" pid="3" name="Prefix">
    <vt:lpwstr/>
  </property>
  <property fmtid="{D5CDD505-2E9C-101B-9397-08002B2CF9AE}" pid="4" name="ANGEL_Document_ID">
    <vt:lpwstr>ANGEL_DocID</vt:lpwstr>
  </property>
  <property fmtid="{D5CDD505-2E9C-101B-9397-08002B2CF9AE}" pid="5" name="ANGEL_Document_Status">
    <vt:lpwstr>ANGEL_Status </vt:lpwstr>
  </property>
  <property fmtid="{D5CDD505-2E9C-101B-9397-08002B2CF9AE}" pid="6" name="ANGEL_PPN">
    <vt:lpwstr>ANGEL_PPN</vt:lpwstr>
  </property>
  <property fmtid="{D5CDD505-2E9C-101B-9397-08002B2CF9AE}" pid="7" name="ANGEL_Product">
    <vt:lpwstr>ProductName</vt:lpwstr>
  </property>
  <property fmtid="{D5CDD505-2E9C-101B-9397-08002B2CF9AE}" pid="8" name="ANGEL_Study_Code">
    <vt:lpwstr>StudyCode</vt:lpwstr>
  </property>
  <property fmtid="{D5CDD505-2E9C-101B-9397-08002B2CF9AE}" pid="9" name="ANGEL_DosageForm">
    <vt:lpwstr>DosageForm</vt:lpwstr>
  </property>
  <property fmtid="{D5CDD505-2E9C-101B-9397-08002B2CF9AE}" pid="10" name="ANGEL_Version">
    <vt:lpwstr>ANGEL_Version</vt:lpwstr>
  </property>
  <property fmtid="{D5CDD505-2E9C-101B-9397-08002B2CF9AE}" pid="11" name="ANGEL_DocumentName">
    <vt:lpwstr>ANGEL_DocumentName</vt:lpwstr>
  </property>
</Properties>
</file>