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52001" w:rsidRPr="00A019E2" w:rsidRDefault="003A1363" w:rsidP="0033282E">
      <w:pPr>
        <w:pStyle w:val="PIMAINHEADING"/>
        <w:rPr>
          <w:rFonts w:asciiTheme="minorHAnsi" w:hAnsiTheme="minorHAnsi"/>
          <w:sz w:val="48"/>
          <w:lang w:val="en-AU"/>
        </w:rPr>
      </w:pPr>
      <w:bookmarkStart w:id="0" w:name="_GoBack"/>
      <w:bookmarkEnd w:id="0"/>
      <w:r w:rsidRPr="003A1363">
        <w:rPr>
          <w:rFonts w:asciiTheme="minorHAnsi" w:hAnsiTheme="minorHAnsi"/>
          <w:sz w:val="48"/>
          <w:lang w:val="en-AU"/>
        </w:rPr>
        <w:t>RIBOMUSTIN</w:t>
      </w:r>
      <w:r w:rsidRPr="003A1363">
        <w:rPr>
          <w:rFonts w:asciiTheme="minorHAnsi" w:hAnsiTheme="minorHAnsi"/>
          <w:sz w:val="48"/>
          <w:vertAlign w:val="superscript"/>
          <w:lang w:val="en-AU"/>
        </w:rPr>
        <w:sym w:font="Symbol" w:char="F0D2"/>
      </w:r>
    </w:p>
    <w:p w:rsidR="00E52001" w:rsidRPr="00A019E2" w:rsidRDefault="003A1363" w:rsidP="0033282E">
      <w:pPr>
        <w:pStyle w:val="PIProductInfo"/>
        <w:rPr>
          <w:b w:val="0"/>
          <w:spacing w:val="-3"/>
          <w:lang w:val="en-AU"/>
        </w:rPr>
      </w:pPr>
      <w:r w:rsidRPr="003A1363">
        <w:rPr>
          <w:lang w:val="en-AU"/>
        </w:rPr>
        <w:t>PRODUCT INFORMATION</w:t>
      </w:r>
    </w:p>
    <w:p w:rsidR="0033282E" w:rsidRPr="00A019E2" w:rsidRDefault="003A1363" w:rsidP="0033282E">
      <w:pPr>
        <w:pStyle w:val="PIHEADTOP"/>
        <w:keepLines/>
        <w:spacing w:before="360"/>
        <w:rPr>
          <w:lang w:val="en-AU"/>
        </w:rPr>
      </w:pPr>
      <w:r w:rsidRPr="003A1363">
        <w:rPr>
          <w:lang w:val="en-AU"/>
        </w:rPr>
        <w:t>name of the MEDICINE</w:t>
      </w:r>
    </w:p>
    <w:p w:rsidR="0033282E" w:rsidRPr="00A019E2" w:rsidRDefault="003A1363" w:rsidP="0033282E">
      <w:pPr>
        <w:pStyle w:val="PIEXPLAIN"/>
        <w:keepLines/>
        <w:rPr>
          <w:lang w:val="en-AU"/>
        </w:rPr>
      </w:pPr>
      <w:r w:rsidRPr="003A1363">
        <w:rPr>
          <w:lang w:val="en-AU"/>
        </w:rPr>
        <w:t>Bendamustine hydrochloride</w:t>
      </w:r>
    </w:p>
    <w:p w:rsidR="0033282E" w:rsidRPr="00A019E2" w:rsidRDefault="003A1363" w:rsidP="0033282E">
      <w:pPr>
        <w:pStyle w:val="PIEXPLAIN"/>
        <w:keepLines/>
        <w:rPr>
          <w:lang w:val="en-AU"/>
        </w:rPr>
      </w:pPr>
      <w:r w:rsidRPr="003A1363">
        <w:rPr>
          <w:lang w:val="en-AU"/>
        </w:rPr>
        <w:t>Bendamustine hydrochloride has the following chemical structure:</w:t>
      </w:r>
    </w:p>
    <w:p w:rsidR="0033282E" w:rsidRPr="00A019E2" w:rsidRDefault="00FE3720" w:rsidP="0033282E">
      <w:pPr>
        <w:pStyle w:val="PIEXPLAIN"/>
        <w:keepLines/>
        <w:spacing w:line="360" w:lineRule="auto"/>
        <w:rPr>
          <w:noProof/>
          <w:sz w:val="20"/>
          <w:lang w:val="en-AU"/>
        </w:rPr>
      </w:pPr>
      <w:r w:rsidRPr="00F06F04">
        <w:rPr>
          <w:noProof/>
          <w:sz w:val="20"/>
          <w:lang w:val="en-AU" w:eastAsia="en-AU" w:bidi="ar-SA"/>
        </w:rPr>
        <w:drawing>
          <wp:inline distT="0" distB="0" distL="0" distR="0">
            <wp:extent cx="3762375" cy="128587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762375" cy="1285875"/>
                    </a:xfrm>
                    <a:prstGeom prst="rect">
                      <a:avLst/>
                    </a:prstGeom>
                    <a:noFill/>
                    <a:ln w="9525">
                      <a:noFill/>
                      <a:miter lim="800000"/>
                      <a:headEnd/>
                      <a:tailEnd/>
                    </a:ln>
                  </pic:spPr>
                </pic:pic>
              </a:graphicData>
            </a:graphic>
          </wp:inline>
        </w:drawing>
      </w:r>
    </w:p>
    <w:p w:rsidR="0033282E" w:rsidRPr="00A019E2" w:rsidRDefault="003A1363" w:rsidP="005449CA">
      <w:pPr>
        <w:pStyle w:val="PIEXPLAIN"/>
        <w:keepLines/>
        <w:spacing w:line="360" w:lineRule="auto"/>
        <w:rPr>
          <w:lang w:val="en-AU"/>
        </w:rPr>
      </w:pPr>
      <w:r w:rsidRPr="003A1363">
        <w:rPr>
          <w:lang w:val="en-AU"/>
        </w:rPr>
        <w:t>C</w:t>
      </w:r>
      <w:r w:rsidRPr="003A1363">
        <w:rPr>
          <w:vertAlign w:val="subscript"/>
          <w:lang w:val="en-AU"/>
        </w:rPr>
        <w:t>16</w:t>
      </w:r>
      <w:r w:rsidRPr="003A1363">
        <w:rPr>
          <w:lang w:val="en-AU"/>
        </w:rPr>
        <w:t>H</w:t>
      </w:r>
      <w:r w:rsidRPr="003A1363">
        <w:rPr>
          <w:vertAlign w:val="subscript"/>
          <w:lang w:val="en-AU"/>
        </w:rPr>
        <w:t>21</w:t>
      </w:r>
      <w:r w:rsidRPr="003A1363">
        <w:rPr>
          <w:lang w:val="en-AU"/>
        </w:rPr>
        <w:t>Cl</w:t>
      </w:r>
      <w:r w:rsidRPr="003A1363">
        <w:rPr>
          <w:vertAlign w:val="subscript"/>
          <w:lang w:val="en-AU"/>
        </w:rPr>
        <w:t>2</w:t>
      </w:r>
      <w:r w:rsidRPr="003A1363">
        <w:rPr>
          <w:lang w:val="en-AU"/>
        </w:rPr>
        <w:t>N</w:t>
      </w:r>
      <w:r w:rsidRPr="003A1363">
        <w:rPr>
          <w:vertAlign w:val="subscript"/>
          <w:lang w:val="en-AU"/>
        </w:rPr>
        <w:t>3</w:t>
      </w:r>
      <w:r w:rsidRPr="003A1363">
        <w:rPr>
          <w:lang w:val="en-AU"/>
        </w:rPr>
        <w:t>O</w:t>
      </w:r>
      <w:r w:rsidRPr="003A1363">
        <w:rPr>
          <w:vertAlign w:val="subscript"/>
          <w:lang w:val="en-AU"/>
        </w:rPr>
        <w:t>2.</w:t>
      </w:r>
      <w:r w:rsidRPr="003A1363">
        <w:rPr>
          <w:lang w:val="en-AU"/>
        </w:rPr>
        <w:sym w:font="Wingdings" w:char="F09F"/>
      </w:r>
      <w:r w:rsidRPr="003A1363">
        <w:rPr>
          <w:lang w:val="en-AU"/>
        </w:rPr>
        <w:t>HCl</w:t>
      </w:r>
      <w:r w:rsidRPr="003A1363">
        <w:rPr>
          <w:lang w:val="en-AU"/>
        </w:rPr>
        <w:tab/>
      </w:r>
      <w:r w:rsidRPr="003A1363">
        <w:rPr>
          <w:lang w:val="en-AU"/>
        </w:rPr>
        <w:tab/>
      </w:r>
      <w:r w:rsidRPr="003A1363">
        <w:rPr>
          <w:lang w:val="en-AU"/>
        </w:rPr>
        <w:tab/>
        <w:t>MW: 394.7</w:t>
      </w:r>
      <w:proofErr w:type="gramStart"/>
      <w:r w:rsidRPr="003A1363">
        <w:rPr>
          <w:lang w:val="en-AU"/>
        </w:rPr>
        <w:tab/>
      </w:r>
      <w:r w:rsidRPr="003A1363">
        <w:rPr>
          <w:lang w:val="en-AU"/>
        </w:rPr>
        <w:tab/>
        <w:t>CAS Registry</w:t>
      </w:r>
      <w:proofErr w:type="gramEnd"/>
      <w:r w:rsidRPr="003A1363">
        <w:rPr>
          <w:lang w:val="en-AU"/>
        </w:rPr>
        <w:t xml:space="preserve"> No. 3543-75-7</w:t>
      </w:r>
    </w:p>
    <w:p w:rsidR="0033282E" w:rsidRPr="00A019E2" w:rsidRDefault="003A1363" w:rsidP="0033282E">
      <w:pPr>
        <w:pStyle w:val="PIEXPLAIN"/>
        <w:keepLines/>
        <w:spacing w:line="360" w:lineRule="auto"/>
        <w:rPr>
          <w:lang w:val="en-AU"/>
        </w:rPr>
      </w:pPr>
      <w:r w:rsidRPr="003A1363">
        <w:rPr>
          <w:lang w:val="en-AU"/>
        </w:rPr>
        <w:t xml:space="preserve">The chemical name for bendamustine hydrochloride is </w:t>
      </w:r>
      <w:r w:rsidRPr="003A1363">
        <w:rPr>
          <w:color w:val="000000"/>
          <w:lang w:val="en-AU"/>
        </w:rPr>
        <w:t>1H-benzimidazole-2-butanoic acid, 5-[</w:t>
      </w:r>
      <w:proofErr w:type="spellStart"/>
      <w:r w:rsidRPr="003A1363">
        <w:rPr>
          <w:color w:val="000000"/>
          <w:lang w:val="en-AU"/>
        </w:rPr>
        <w:t>bis</w:t>
      </w:r>
      <w:proofErr w:type="spellEnd"/>
      <w:r w:rsidRPr="003A1363">
        <w:rPr>
          <w:color w:val="000000"/>
          <w:lang w:val="en-AU"/>
        </w:rPr>
        <w:t xml:space="preserve">(2-chloroethyl)amino]-1 methyl-, </w:t>
      </w:r>
      <w:proofErr w:type="spellStart"/>
      <w:r w:rsidRPr="003A1363">
        <w:rPr>
          <w:color w:val="000000"/>
          <w:lang w:val="en-AU"/>
        </w:rPr>
        <w:t>monohydrochloride</w:t>
      </w:r>
      <w:proofErr w:type="spellEnd"/>
      <w:r w:rsidRPr="003A1363">
        <w:rPr>
          <w:lang w:val="en-AU"/>
        </w:rPr>
        <w:t>.</w:t>
      </w:r>
    </w:p>
    <w:p w:rsidR="0033282E" w:rsidRPr="00D417D6" w:rsidRDefault="003A1363" w:rsidP="00D417D6">
      <w:pPr>
        <w:rPr>
          <w:b/>
          <w:sz w:val="28"/>
          <w:szCs w:val="28"/>
          <w:lang w:val="en-AU"/>
        </w:rPr>
      </w:pPr>
      <w:r w:rsidRPr="00D417D6">
        <w:rPr>
          <w:b/>
          <w:sz w:val="28"/>
          <w:szCs w:val="28"/>
          <w:lang w:val="en-AU"/>
        </w:rPr>
        <w:t>DESCRIPTION</w:t>
      </w:r>
    </w:p>
    <w:p w:rsidR="008235EC" w:rsidRPr="00A019E2" w:rsidRDefault="003A1363" w:rsidP="008235EC">
      <w:pPr>
        <w:pStyle w:val="CM35"/>
        <w:spacing w:line="208" w:lineRule="atLeast"/>
        <w:jc w:val="both"/>
        <w:rPr>
          <w:rFonts w:cs="Arial"/>
          <w:color w:val="000000"/>
          <w:sz w:val="22"/>
          <w:szCs w:val="22"/>
          <w:lang w:val="en-AU"/>
        </w:rPr>
      </w:pPr>
      <w:r w:rsidRPr="003A1363">
        <w:rPr>
          <w:rFonts w:cs="Arial"/>
          <w:color w:val="000000"/>
          <w:sz w:val="22"/>
          <w:szCs w:val="22"/>
          <w:lang w:val="en-AU"/>
        </w:rPr>
        <w:t xml:space="preserve">RIBOMUSTIN is a white, microcrystalline </w:t>
      </w:r>
      <w:proofErr w:type="spellStart"/>
      <w:r w:rsidRPr="003A1363">
        <w:rPr>
          <w:rFonts w:cs="Arial"/>
          <w:color w:val="000000"/>
          <w:sz w:val="22"/>
          <w:szCs w:val="22"/>
          <w:lang w:val="en-AU"/>
        </w:rPr>
        <w:t>lyophilisate</w:t>
      </w:r>
      <w:proofErr w:type="spellEnd"/>
      <w:r w:rsidRPr="003A1363">
        <w:rPr>
          <w:rFonts w:cs="Arial"/>
          <w:color w:val="000000"/>
          <w:sz w:val="22"/>
          <w:szCs w:val="22"/>
          <w:lang w:val="en-AU"/>
        </w:rPr>
        <w:t xml:space="preserve"> powder for concentrate for solution for infusion. Bendamustine is soluble in water when at room temperature. It is administered by intravenous infusion after reconstitution with 10 mL (for the 25 mg vial) or 40 mL (for the 100 mg vial) water for injection and further dilution with physiological saline (0.9%). Each 25 mg vial contains 25 mg of bendamustine hydrochloride (equivalent to 22.7mg bendamustine) and 30 mg of </w:t>
      </w:r>
      <w:proofErr w:type="spellStart"/>
      <w:r w:rsidRPr="003A1363">
        <w:rPr>
          <w:rFonts w:cs="Arial"/>
          <w:color w:val="000000"/>
          <w:sz w:val="22"/>
          <w:szCs w:val="22"/>
          <w:lang w:val="en-AU"/>
        </w:rPr>
        <w:t>mannitol</w:t>
      </w:r>
      <w:proofErr w:type="spellEnd"/>
      <w:r w:rsidRPr="003A1363">
        <w:rPr>
          <w:rFonts w:cs="Arial"/>
          <w:color w:val="000000"/>
          <w:sz w:val="22"/>
          <w:szCs w:val="22"/>
          <w:lang w:val="en-AU"/>
        </w:rPr>
        <w:t xml:space="preserve">. Each 100 mg vial contains 100 mg of bendamustine hydrochloride (equivalent to 90.8 bendamustine) and 120 mg of </w:t>
      </w:r>
      <w:proofErr w:type="spellStart"/>
      <w:r w:rsidRPr="003A1363">
        <w:rPr>
          <w:rFonts w:cs="Arial"/>
          <w:color w:val="000000"/>
          <w:sz w:val="22"/>
          <w:szCs w:val="22"/>
          <w:lang w:val="en-AU"/>
        </w:rPr>
        <w:t>mannitol</w:t>
      </w:r>
      <w:proofErr w:type="spellEnd"/>
      <w:r w:rsidRPr="003A1363">
        <w:rPr>
          <w:rFonts w:cs="Arial"/>
          <w:color w:val="000000"/>
          <w:sz w:val="22"/>
          <w:szCs w:val="22"/>
          <w:lang w:val="en-AU"/>
        </w:rPr>
        <w:t xml:space="preserve">. The pH of the reconstituted solution is 2.5 - 3.5. </w:t>
      </w:r>
    </w:p>
    <w:p w:rsidR="0033282E" w:rsidRPr="00A019E2" w:rsidRDefault="003A1363" w:rsidP="008235EC">
      <w:pPr>
        <w:pStyle w:val="CM35"/>
        <w:spacing w:line="208" w:lineRule="atLeast"/>
        <w:jc w:val="both"/>
        <w:rPr>
          <w:rFonts w:cs="Arial"/>
          <w:color w:val="000000"/>
          <w:sz w:val="22"/>
          <w:szCs w:val="22"/>
          <w:lang w:val="en-AU"/>
        </w:rPr>
      </w:pPr>
      <w:r w:rsidRPr="003A1363">
        <w:rPr>
          <w:rFonts w:cs="Arial"/>
          <w:color w:val="000000"/>
          <w:sz w:val="22"/>
          <w:szCs w:val="22"/>
          <w:lang w:val="en-AU"/>
        </w:rPr>
        <w:t xml:space="preserve">RIBOMUSTIN contains </w:t>
      </w:r>
      <w:proofErr w:type="spellStart"/>
      <w:r w:rsidRPr="003A1363">
        <w:rPr>
          <w:rFonts w:cs="Arial"/>
          <w:color w:val="000000"/>
          <w:sz w:val="22"/>
          <w:szCs w:val="22"/>
          <w:lang w:val="en-AU"/>
        </w:rPr>
        <w:t>bendamustine</w:t>
      </w:r>
      <w:proofErr w:type="spellEnd"/>
      <w:r w:rsidRPr="003A1363">
        <w:rPr>
          <w:rFonts w:cs="Arial"/>
          <w:color w:val="000000"/>
          <w:sz w:val="22"/>
          <w:szCs w:val="22"/>
          <w:lang w:val="en-AU"/>
        </w:rPr>
        <w:t xml:space="preserve"> hydrochloride, an alkylating drug, as the active ingredient. Bendamustine hydrochloride contains a </w:t>
      </w:r>
      <w:proofErr w:type="spellStart"/>
      <w:r w:rsidRPr="003A1363">
        <w:rPr>
          <w:rFonts w:cs="Arial"/>
          <w:color w:val="000000"/>
          <w:sz w:val="22"/>
          <w:szCs w:val="22"/>
          <w:lang w:val="en-AU"/>
        </w:rPr>
        <w:t>mechlorethamine</w:t>
      </w:r>
      <w:proofErr w:type="spellEnd"/>
      <w:r w:rsidRPr="003A1363">
        <w:rPr>
          <w:rFonts w:cs="Arial"/>
          <w:color w:val="000000"/>
          <w:sz w:val="22"/>
          <w:szCs w:val="22"/>
          <w:lang w:val="en-AU"/>
        </w:rPr>
        <w:t xml:space="preserve"> group and a </w:t>
      </w:r>
      <w:proofErr w:type="spellStart"/>
      <w:r w:rsidRPr="003A1363">
        <w:rPr>
          <w:rFonts w:cs="Arial"/>
          <w:color w:val="000000"/>
          <w:sz w:val="22"/>
          <w:szCs w:val="22"/>
          <w:lang w:val="en-AU"/>
        </w:rPr>
        <w:t>benzimidazole</w:t>
      </w:r>
      <w:proofErr w:type="spellEnd"/>
      <w:r w:rsidRPr="003A1363">
        <w:rPr>
          <w:rFonts w:cs="Arial"/>
          <w:color w:val="000000"/>
          <w:sz w:val="22"/>
          <w:szCs w:val="22"/>
          <w:lang w:val="en-AU"/>
        </w:rPr>
        <w:t xml:space="preserve"> heterocyclic ring with a butyric acid substituent</w:t>
      </w:r>
      <w:r w:rsidRPr="003A1363">
        <w:rPr>
          <w:rFonts w:cs="Arial"/>
          <w:sz w:val="22"/>
          <w:szCs w:val="22"/>
          <w:lang w:val="en-AU"/>
        </w:rPr>
        <w:t>.</w:t>
      </w:r>
    </w:p>
    <w:p w:rsidR="004E110E" w:rsidRPr="00A019E2" w:rsidRDefault="003A1363" w:rsidP="004E110E">
      <w:pPr>
        <w:rPr>
          <w:lang w:val="en-AU"/>
        </w:rPr>
      </w:pPr>
      <w:r w:rsidRPr="003A1363">
        <w:rPr>
          <w:b/>
          <w:sz w:val="28"/>
          <w:szCs w:val="28"/>
          <w:lang w:val="en-AU"/>
        </w:rPr>
        <w:t>PHARMACOLOGY</w:t>
      </w:r>
    </w:p>
    <w:p w:rsidR="0033282E" w:rsidRPr="00A019E2" w:rsidRDefault="001A3761" w:rsidP="009D2E6A">
      <w:pPr>
        <w:pStyle w:val="PIHEADING2"/>
        <w:keepNext/>
        <w:keepLines/>
        <w:rPr>
          <w:color w:val="000000" w:themeColor="text1"/>
          <w:sz w:val="24"/>
          <w:szCs w:val="24"/>
          <w:lang w:val="en-AU"/>
        </w:rPr>
      </w:pPr>
      <w:r w:rsidRPr="00A019E2">
        <w:rPr>
          <w:color w:val="000000" w:themeColor="text1"/>
          <w:sz w:val="24"/>
          <w:szCs w:val="24"/>
          <w:lang w:val="en-AU"/>
        </w:rPr>
        <w:t>Pharmacodynamics</w:t>
      </w:r>
    </w:p>
    <w:p w:rsidR="0033282E" w:rsidRPr="00A019E2" w:rsidRDefault="00D6316F" w:rsidP="00196F94">
      <w:pPr>
        <w:pStyle w:val="Heading5"/>
        <w:spacing w:before="20" w:after="80"/>
        <w:ind w:left="360" w:hanging="360"/>
        <w:rPr>
          <w:rFonts w:asciiTheme="minorHAnsi" w:hAnsiTheme="minorHAnsi"/>
          <w:b/>
          <w:i/>
          <w:iCs/>
          <w:color w:val="000000" w:themeColor="text1"/>
          <w:lang w:val="en-AU"/>
        </w:rPr>
      </w:pPr>
      <w:r w:rsidRPr="00A019E2">
        <w:rPr>
          <w:rFonts w:asciiTheme="minorHAnsi" w:hAnsiTheme="minorHAnsi"/>
          <w:b/>
          <w:i/>
          <w:iCs/>
          <w:color w:val="000000" w:themeColor="text1"/>
          <w:lang w:val="en-AU"/>
        </w:rPr>
        <w:t>Mechanism of Action</w:t>
      </w:r>
    </w:p>
    <w:p w:rsidR="00136A68" w:rsidRPr="00A019E2" w:rsidRDefault="00D6316F" w:rsidP="00194253">
      <w:pPr>
        <w:pStyle w:val="PIHEADING2"/>
        <w:keepLines/>
        <w:rPr>
          <w:b w:val="0"/>
          <w:spacing w:val="0"/>
          <w:lang w:val="en-AU"/>
        </w:rPr>
      </w:pPr>
      <w:r w:rsidRPr="00A019E2">
        <w:rPr>
          <w:b w:val="0"/>
          <w:spacing w:val="0"/>
          <w:lang w:val="en-AU"/>
        </w:rPr>
        <w:t xml:space="preserve">Bendamustine hydrochloride is an alkylating </w:t>
      </w:r>
      <w:proofErr w:type="spellStart"/>
      <w:r w:rsidRPr="00A019E2">
        <w:rPr>
          <w:b w:val="0"/>
          <w:spacing w:val="0"/>
          <w:lang w:val="en-AU"/>
        </w:rPr>
        <w:t>antitumour</w:t>
      </w:r>
      <w:proofErr w:type="spellEnd"/>
      <w:r w:rsidRPr="00A019E2">
        <w:rPr>
          <w:b w:val="0"/>
          <w:spacing w:val="0"/>
          <w:lang w:val="en-AU"/>
        </w:rPr>
        <w:t xml:space="preserve"> agent with unique activity. The antineoplastic and </w:t>
      </w:r>
      <w:proofErr w:type="spellStart"/>
      <w:r w:rsidRPr="00A019E2">
        <w:rPr>
          <w:b w:val="0"/>
          <w:spacing w:val="0"/>
          <w:lang w:val="en-AU"/>
        </w:rPr>
        <w:t>cytocidal</w:t>
      </w:r>
      <w:proofErr w:type="spellEnd"/>
      <w:r w:rsidRPr="00A019E2">
        <w:rPr>
          <w:b w:val="0"/>
          <w:spacing w:val="0"/>
          <w:lang w:val="en-AU"/>
        </w:rPr>
        <w:t xml:space="preserve"> effect of </w:t>
      </w:r>
      <w:proofErr w:type="spellStart"/>
      <w:r w:rsidRPr="00A019E2">
        <w:rPr>
          <w:b w:val="0"/>
          <w:spacing w:val="0"/>
          <w:lang w:val="en-AU"/>
        </w:rPr>
        <w:t>bendamustine</w:t>
      </w:r>
      <w:proofErr w:type="spellEnd"/>
      <w:r w:rsidRPr="00A019E2">
        <w:rPr>
          <w:b w:val="0"/>
          <w:spacing w:val="0"/>
          <w:lang w:val="en-AU"/>
        </w:rPr>
        <w:t xml:space="preserve"> hydrochloride is based essentially on a cross-linking of DNA single and double strands by alkylation. As a result, DNA matrix functions and DNA synthesis and repair are impaired. Bendamustine is active against both quiescent and dividing cells.</w:t>
      </w:r>
    </w:p>
    <w:p w:rsidR="00261D71" w:rsidRPr="00A019E2" w:rsidRDefault="00D6316F" w:rsidP="00194253">
      <w:pPr>
        <w:pStyle w:val="PIHEADING2"/>
        <w:keepLines/>
        <w:rPr>
          <w:b w:val="0"/>
          <w:spacing w:val="0"/>
          <w:lang w:val="en-AU"/>
        </w:rPr>
      </w:pPr>
      <w:r w:rsidRPr="00A019E2">
        <w:rPr>
          <w:b w:val="0"/>
          <w:spacing w:val="0"/>
          <w:lang w:val="en-AU"/>
        </w:rPr>
        <w:lastRenderedPageBreak/>
        <w:t>The active substance revealed no or very low cross-resistance in human tumour cell lines with different resistance mechanisms.</w:t>
      </w:r>
    </w:p>
    <w:p w:rsidR="00261D71" w:rsidRPr="00A019E2" w:rsidRDefault="00D6316F" w:rsidP="00194253">
      <w:pPr>
        <w:pStyle w:val="PIHEADING2"/>
        <w:keepLines/>
        <w:rPr>
          <w:b w:val="0"/>
          <w:spacing w:val="0"/>
          <w:lang w:val="en-AU"/>
        </w:rPr>
      </w:pPr>
      <w:r w:rsidRPr="00A019E2">
        <w:rPr>
          <w:b w:val="0"/>
          <w:spacing w:val="0"/>
          <w:lang w:val="en-AU"/>
        </w:rPr>
        <w:t>The exact mechanism of action of bendamustine remains unknown.</w:t>
      </w:r>
    </w:p>
    <w:p w:rsidR="0033282E" w:rsidRPr="00A019E2" w:rsidRDefault="0033282E" w:rsidP="00136A68">
      <w:pPr>
        <w:pStyle w:val="PIHEADING2"/>
        <w:keepLines/>
        <w:rPr>
          <w:lang w:val="en-AU"/>
        </w:rPr>
      </w:pPr>
      <w:r w:rsidRPr="00A019E2">
        <w:rPr>
          <w:lang w:val="en-AU"/>
        </w:rPr>
        <w:t xml:space="preserve">Pharmacokinetics </w:t>
      </w:r>
    </w:p>
    <w:p w:rsidR="00CF3F2C" w:rsidRPr="00A019E2" w:rsidRDefault="00CC4FDA">
      <w:pPr>
        <w:spacing w:before="20" w:after="80"/>
        <w:rPr>
          <w:snapToGrid w:val="0"/>
          <w:lang w:val="en-AU"/>
        </w:rPr>
      </w:pPr>
      <w:r w:rsidRPr="00A019E2">
        <w:rPr>
          <w:b/>
          <w:i/>
          <w:snapToGrid w:val="0"/>
          <w:lang w:val="en-AU"/>
        </w:rPr>
        <w:t>Absorption</w:t>
      </w:r>
      <w:r w:rsidR="003F2862" w:rsidRPr="00A019E2">
        <w:rPr>
          <w:b/>
          <w:i/>
          <w:snapToGrid w:val="0"/>
          <w:lang w:val="en-AU"/>
        </w:rPr>
        <w:t xml:space="preserve">: </w:t>
      </w:r>
      <w:r w:rsidRPr="00A019E2">
        <w:rPr>
          <w:snapToGrid w:val="0"/>
          <w:lang w:val="en-AU"/>
        </w:rPr>
        <w:t>Peak  plasma  concentrations  of  bendamustine  occurred  typically at the completion of 30 or 60 minute infusions, after which the drug was rapidly cleared from the plasma.  After a single</w:t>
      </w:r>
      <w:r w:rsidRPr="00A019E2">
        <w:rPr>
          <w:rFonts w:cs="Cambria Math"/>
          <w:snapToGrid w:val="0"/>
          <w:lang w:val="en-AU"/>
        </w:rPr>
        <w:t>‐</w:t>
      </w:r>
      <w:r w:rsidRPr="00A019E2">
        <w:rPr>
          <w:rFonts w:cs="Arial"/>
          <w:snapToGrid w:val="0"/>
          <w:lang w:val="en-AU"/>
        </w:rPr>
        <w:t>dose of bendamustine 120 mg/m</w:t>
      </w:r>
      <w:r w:rsidR="0094273D" w:rsidRPr="00A019E2">
        <w:rPr>
          <w:rFonts w:cs="Arial"/>
          <w:snapToGrid w:val="0"/>
          <w:vertAlign w:val="superscript"/>
          <w:lang w:val="en-AU"/>
        </w:rPr>
        <w:t>2</w:t>
      </w:r>
      <w:r w:rsidRPr="00A019E2">
        <w:rPr>
          <w:rFonts w:cs="Arial"/>
          <w:snapToGrid w:val="0"/>
          <w:lang w:val="en-AU"/>
        </w:rPr>
        <w:t xml:space="preserve"> infused over 60 minutes in a clinical study </w:t>
      </w:r>
      <w:r w:rsidRPr="00A019E2">
        <w:rPr>
          <w:snapToGrid w:val="0"/>
          <w:lang w:val="en-AU"/>
        </w:rPr>
        <w:t>in patients with indolent NHL refractory to rituximab, the drug was eliminated from the plasma in a generally tri</w:t>
      </w:r>
      <w:r w:rsidRPr="00A019E2">
        <w:rPr>
          <w:rFonts w:cs="Cambria Math"/>
          <w:snapToGrid w:val="0"/>
          <w:lang w:val="en-AU"/>
        </w:rPr>
        <w:t>‐</w:t>
      </w:r>
      <w:r w:rsidRPr="00A019E2">
        <w:rPr>
          <w:rFonts w:cs="Arial"/>
          <w:snapToGrid w:val="0"/>
          <w:lang w:val="en-AU"/>
        </w:rPr>
        <w:t xml:space="preserve">phasic manner characterized by an initial rapid distribution phase, a slower </w:t>
      </w:r>
      <w:r w:rsidRPr="00A019E2">
        <w:rPr>
          <w:snapToGrid w:val="0"/>
          <w:lang w:val="en-AU"/>
        </w:rPr>
        <w:t>secondary phase, and a longer terminal phase.  In this study, the mean ± SD C</w:t>
      </w:r>
      <w:r w:rsidR="0094273D" w:rsidRPr="00A019E2">
        <w:rPr>
          <w:snapToGrid w:val="0"/>
          <w:vertAlign w:val="subscript"/>
          <w:lang w:val="en-AU"/>
        </w:rPr>
        <w:t xml:space="preserve">max </w:t>
      </w:r>
      <w:r w:rsidRPr="00A019E2">
        <w:rPr>
          <w:snapToGrid w:val="0"/>
          <w:lang w:val="en-AU"/>
        </w:rPr>
        <w:t xml:space="preserve">was 5.6 ± 2.4 µg/mL and the mean  ±  SD  </w:t>
      </w:r>
      <w:proofErr w:type="spellStart"/>
      <w:r w:rsidRPr="00A019E2">
        <w:rPr>
          <w:snapToGrid w:val="0"/>
          <w:lang w:val="en-AU"/>
        </w:rPr>
        <w:t>AUC</w:t>
      </w:r>
      <w:r w:rsidR="0094273D" w:rsidRPr="00A019E2">
        <w:rPr>
          <w:snapToGrid w:val="0"/>
          <w:vertAlign w:val="subscript"/>
          <w:lang w:val="en-AU"/>
        </w:rPr>
        <w:t>inf</w:t>
      </w:r>
      <w:proofErr w:type="spellEnd"/>
      <w:r w:rsidR="0094273D" w:rsidRPr="00A019E2">
        <w:rPr>
          <w:snapToGrid w:val="0"/>
          <w:vertAlign w:val="subscript"/>
          <w:lang w:val="en-AU"/>
        </w:rPr>
        <w:t xml:space="preserve"> </w:t>
      </w:r>
      <w:r w:rsidRPr="00A019E2">
        <w:rPr>
          <w:snapToGrid w:val="0"/>
          <w:lang w:val="en-AU"/>
        </w:rPr>
        <w:t xml:space="preserve"> was 7.2±3.8  µ</w:t>
      </w:r>
      <w:proofErr w:type="spellStart"/>
      <w:r w:rsidRPr="00A019E2">
        <w:rPr>
          <w:snapToGrid w:val="0"/>
          <w:lang w:val="en-AU"/>
        </w:rPr>
        <w:t>g•hr</w:t>
      </w:r>
      <w:proofErr w:type="spellEnd"/>
      <w:r w:rsidRPr="00A019E2">
        <w:rPr>
          <w:snapToGrid w:val="0"/>
          <w:lang w:val="en-AU"/>
        </w:rPr>
        <w:t>/</w:t>
      </w:r>
      <w:proofErr w:type="spellStart"/>
      <w:r w:rsidRPr="00A019E2">
        <w:rPr>
          <w:snapToGrid w:val="0"/>
          <w:lang w:val="en-AU"/>
        </w:rPr>
        <w:t>mL.</w:t>
      </w:r>
      <w:proofErr w:type="spellEnd"/>
      <w:r w:rsidRPr="00A019E2">
        <w:rPr>
          <w:snapToGrid w:val="0"/>
          <w:lang w:val="en-AU"/>
        </w:rPr>
        <w:t xml:space="preserve">  There </w:t>
      </w:r>
      <w:r w:rsidR="009D2E6A" w:rsidRPr="00A019E2">
        <w:rPr>
          <w:snapToGrid w:val="0"/>
          <w:lang w:val="en-AU"/>
        </w:rPr>
        <w:t xml:space="preserve">were no formal dose proportionality studies </w:t>
      </w:r>
      <w:r w:rsidRPr="00A019E2">
        <w:rPr>
          <w:snapToGrid w:val="0"/>
          <w:lang w:val="en-AU"/>
        </w:rPr>
        <w:t xml:space="preserve">in humans with bendamustine administered by </w:t>
      </w:r>
      <w:r w:rsidR="00F06F04" w:rsidRPr="00A019E2">
        <w:rPr>
          <w:snapToGrid w:val="0"/>
          <w:lang w:val="en-AU"/>
        </w:rPr>
        <w:t>I</w:t>
      </w:r>
      <w:r w:rsidR="00F06F04">
        <w:rPr>
          <w:snapToGrid w:val="0"/>
          <w:lang w:val="en-AU"/>
        </w:rPr>
        <w:t>.</w:t>
      </w:r>
      <w:r w:rsidR="00F06F04" w:rsidRPr="00A019E2">
        <w:rPr>
          <w:snapToGrid w:val="0"/>
          <w:lang w:val="en-AU"/>
        </w:rPr>
        <w:t>V</w:t>
      </w:r>
      <w:r w:rsidR="00F06F04">
        <w:rPr>
          <w:snapToGrid w:val="0"/>
          <w:lang w:val="en-AU"/>
        </w:rPr>
        <w:t>.</w:t>
      </w:r>
      <w:r w:rsidRPr="00A019E2">
        <w:rPr>
          <w:snapToGrid w:val="0"/>
          <w:lang w:val="en-AU"/>
        </w:rPr>
        <w:t xml:space="preserve"> infusion.</w:t>
      </w:r>
    </w:p>
    <w:p w:rsidR="00136A68" w:rsidRPr="00A019E2" w:rsidRDefault="0033282E" w:rsidP="00136A68">
      <w:pPr>
        <w:spacing w:before="20" w:after="80"/>
        <w:rPr>
          <w:lang w:val="en-AU"/>
        </w:rPr>
      </w:pPr>
      <w:r w:rsidRPr="00A019E2">
        <w:rPr>
          <w:b/>
          <w:i/>
          <w:snapToGrid w:val="0"/>
          <w:lang w:val="en-AU"/>
        </w:rPr>
        <w:t>Distribution:</w:t>
      </w:r>
      <w:r w:rsidRPr="00A019E2">
        <w:rPr>
          <w:snapToGrid w:val="0"/>
          <w:lang w:val="en-AU"/>
        </w:rPr>
        <w:t xml:space="preserve"> </w:t>
      </w:r>
      <w:r w:rsidR="00136A68" w:rsidRPr="00A019E2">
        <w:rPr>
          <w:lang w:val="en-AU"/>
        </w:rPr>
        <w:t>Following 30 min I.V. infusion the central v</w:t>
      </w:r>
      <w:r w:rsidR="00261D71" w:rsidRPr="00A019E2">
        <w:rPr>
          <w:lang w:val="en-AU"/>
        </w:rPr>
        <w:t>olume of distribution was 19.3 L</w:t>
      </w:r>
      <w:r w:rsidR="00136A68" w:rsidRPr="00A019E2">
        <w:rPr>
          <w:lang w:val="en-AU"/>
        </w:rPr>
        <w:t xml:space="preserve">. Under steady-state conditions following </w:t>
      </w:r>
      <w:r w:rsidR="00D6316F" w:rsidRPr="00A019E2">
        <w:rPr>
          <w:lang w:val="en-AU"/>
        </w:rPr>
        <w:t>I.V. bolus injection the volume of distribution was 15.8-20.5 L.</w:t>
      </w:r>
    </w:p>
    <w:p w:rsidR="00136A68" w:rsidRPr="00A019E2" w:rsidRDefault="00D6316F" w:rsidP="00136A68">
      <w:pPr>
        <w:spacing w:before="20" w:after="80"/>
        <w:rPr>
          <w:lang w:val="en-AU"/>
        </w:rPr>
      </w:pPr>
      <w:r w:rsidRPr="00A019E2">
        <w:rPr>
          <w:lang w:val="en-AU"/>
        </w:rPr>
        <w:t>More than 95% of the substance is bound to plasma proteins (primarily albumin).</w:t>
      </w:r>
    </w:p>
    <w:p w:rsidR="00136A68" w:rsidRPr="00A019E2" w:rsidRDefault="00D6316F" w:rsidP="00136A68">
      <w:pPr>
        <w:spacing w:before="20" w:after="80"/>
        <w:rPr>
          <w:rFonts w:cs="Arial"/>
          <w:bCs/>
          <w:iCs/>
          <w:lang w:val="en-AU"/>
        </w:rPr>
      </w:pPr>
      <w:r w:rsidRPr="00A019E2">
        <w:rPr>
          <w:rFonts w:cs="Arial"/>
          <w:b/>
          <w:i/>
          <w:lang w:val="en-AU"/>
        </w:rPr>
        <w:t>Metabolism</w:t>
      </w:r>
      <w:r w:rsidRPr="00A019E2">
        <w:rPr>
          <w:rFonts w:cs="Arial"/>
          <w:b/>
          <w:bCs/>
          <w:i/>
          <w:lang w:val="en-AU"/>
        </w:rPr>
        <w:t>:</w:t>
      </w:r>
      <w:r w:rsidRPr="00A019E2">
        <w:rPr>
          <w:rFonts w:cs="Arial"/>
          <w:bCs/>
          <w:iCs/>
          <w:lang w:val="en-AU"/>
        </w:rPr>
        <w:t xml:space="preserve"> A major route of clearance of bendamustine is the hydrolysis to monohydroxy- and dihydroxy-bendamustine. Formation of N-desmethyl-bendamustine and gamma-hydroxy-bendamustine by hepatic metabolism involves cytochrome P450 (CYP) 1A2 </w:t>
      </w:r>
      <w:proofErr w:type="spellStart"/>
      <w:r w:rsidR="00A019E2" w:rsidRPr="00A019E2">
        <w:rPr>
          <w:rFonts w:cs="Arial"/>
          <w:bCs/>
          <w:iCs/>
          <w:lang w:val="en-AU"/>
        </w:rPr>
        <w:t>isoenzyme</w:t>
      </w:r>
      <w:proofErr w:type="spellEnd"/>
      <w:r w:rsidRPr="00A019E2">
        <w:rPr>
          <w:rFonts w:cs="Arial"/>
          <w:bCs/>
          <w:iCs/>
          <w:lang w:val="en-AU"/>
        </w:rPr>
        <w:t>. Another major route of bendamustine metabolism involves conjugation with glutathione.</w:t>
      </w:r>
    </w:p>
    <w:p w:rsidR="0033282E" w:rsidRPr="00A019E2" w:rsidRDefault="00D6316F" w:rsidP="00136A68">
      <w:pPr>
        <w:pStyle w:val="BodyText"/>
        <w:spacing w:before="20" w:after="80"/>
        <w:jc w:val="both"/>
        <w:rPr>
          <w:rFonts w:cs="Arial"/>
          <w:b/>
          <w:bCs/>
          <w:i/>
          <w:lang w:val="en-AU"/>
        </w:rPr>
      </w:pPr>
      <w:r w:rsidRPr="00A019E2">
        <w:rPr>
          <w:rFonts w:cs="Arial"/>
          <w:bCs/>
          <w:i/>
          <w:iCs/>
          <w:lang w:val="en-AU"/>
        </w:rPr>
        <w:t>In-vitro</w:t>
      </w:r>
      <w:r w:rsidRPr="00A019E2">
        <w:rPr>
          <w:rFonts w:cs="Arial"/>
          <w:bCs/>
          <w:iCs/>
          <w:lang w:val="en-AU"/>
        </w:rPr>
        <w:t xml:space="preserve"> bendamustine does not inhibit CYP 1A2, CYP 2C9/10, CYP 2D6, CYP 2E1 and CYP 3A4.</w:t>
      </w:r>
    </w:p>
    <w:p w:rsidR="00330E5E" w:rsidRPr="00A019E2" w:rsidRDefault="00D6316F" w:rsidP="00330E5E">
      <w:pPr>
        <w:pStyle w:val="BodyText"/>
        <w:spacing w:before="20" w:after="80"/>
        <w:jc w:val="both"/>
        <w:rPr>
          <w:rFonts w:cs="Arial"/>
          <w:bCs/>
          <w:iCs/>
          <w:snapToGrid w:val="0"/>
          <w:lang w:val="en-AU"/>
        </w:rPr>
      </w:pPr>
      <w:r w:rsidRPr="00A019E2">
        <w:rPr>
          <w:rFonts w:cs="Arial"/>
          <w:b/>
          <w:i/>
          <w:lang w:val="en-AU"/>
        </w:rPr>
        <w:t>Elimination</w:t>
      </w:r>
      <w:r w:rsidRPr="00A019E2">
        <w:rPr>
          <w:rFonts w:cs="Arial"/>
          <w:b/>
          <w:bCs/>
          <w:i/>
          <w:lang w:val="en-AU"/>
        </w:rPr>
        <w:t>:</w:t>
      </w:r>
      <w:r w:rsidRPr="00A019E2">
        <w:rPr>
          <w:rFonts w:cs="Arial"/>
          <w:bCs/>
          <w:lang w:val="en-AU"/>
        </w:rPr>
        <w:t xml:space="preserve"> the elimination half-life t</w:t>
      </w:r>
      <w:r w:rsidRPr="00A019E2">
        <w:rPr>
          <w:rFonts w:cs="Arial"/>
          <w:bCs/>
          <w:vertAlign w:val="subscript"/>
          <w:lang w:val="en-AU"/>
        </w:rPr>
        <w:t xml:space="preserve">1/2ß </w:t>
      </w:r>
      <w:r w:rsidRPr="00A019E2">
        <w:rPr>
          <w:rFonts w:cs="Arial"/>
          <w:bCs/>
          <w:lang w:val="en-AU"/>
        </w:rPr>
        <w:t>after 30 min I.V. infusion of 120 mg/m</w:t>
      </w:r>
      <w:r w:rsidRPr="00A019E2">
        <w:rPr>
          <w:rFonts w:cs="Arial"/>
          <w:bCs/>
          <w:vertAlign w:val="superscript"/>
          <w:lang w:val="en-AU"/>
        </w:rPr>
        <w:t>2</w:t>
      </w:r>
      <w:r w:rsidRPr="00A019E2">
        <w:rPr>
          <w:rFonts w:cs="Arial"/>
          <w:bCs/>
          <w:lang w:val="en-AU"/>
        </w:rPr>
        <w:t xml:space="preserve"> to 12 subjects was 28.2 minutes. </w:t>
      </w:r>
      <w:r w:rsidRPr="00A019E2">
        <w:rPr>
          <w:rFonts w:cs="Arial"/>
          <w:bCs/>
          <w:iCs/>
          <w:snapToGrid w:val="0"/>
          <w:lang w:val="en-AU"/>
        </w:rPr>
        <w:t>The mean total clearance after 30 min I.V. infusion of 120 mg/m</w:t>
      </w:r>
      <w:r w:rsidRPr="00A019E2">
        <w:rPr>
          <w:rFonts w:cs="Arial"/>
          <w:bCs/>
          <w:iCs/>
          <w:snapToGrid w:val="0"/>
          <w:vertAlign w:val="superscript"/>
          <w:lang w:val="en-AU"/>
        </w:rPr>
        <w:t>2</w:t>
      </w:r>
      <w:r w:rsidRPr="00A019E2">
        <w:rPr>
          <w:rFonts w:cs="Arial"/>
          <w:bCs/>
          <w:iCs/>
          <w:snapToGrid w:val="0"/>
          <w:lang w:val="en-AU"/>
        </w:rPr>
        <w:t xml:space="preserve"> body surface area to 12 subjects was 639.4 mL/minute. About 20% of the administered dose was recovered in urine within 24 hours. Amounts excreted in urine were in the order monohydroxy-bendamustine &gt; bendamustine &gt; dihydroxy-bendamustine &gt; oxidised metabolite &gt; N-desmethyl bendamustine. In the bile, primarily polar metabolites are eliminated.</w:t>
      </w:r>
      <w:r w:rsidRPr="00A019E2">
        <w:rPr>
          <w:lang w:val="en-AU"/>
        </w:rPr>
        <w:t xml:space="preserve"> </w:t>
      </w:r>
      <w:r w:rsidRPr="00A019E2">
        <w:rPr>
          <w:rFonts w:cs="Arial"/>
          <w:bCs/>
          <w:iCs/>
          <w:snapToGrid w:val="0"/>
          <w:lang w:val="en-AU"/>
        </w:rPr>
        <w:t xml:space="preserve">Mean recovery of total radioactivity in cancer patients following intravenous infusion of [14C]-bendamustine hydrochloride was approximately 76% of the radiochemical dose when collected up to day 8 (168 hrs post-dose). Approximately half (45.5%) of the dose was recovered in the urine and approximately a quarter (25.2%) of the dose was recovered in the faeces. </w:t>
      </w:r>
    </w:p>
    <w:p w:rsidR="0033282E" w:rsidRPr="00A019E2" w:rsidRDefault="00D6316F" w:rsidP="00330E5E">
      <w:pPr>
        <w:pStyle w:val="BodyText"/>
        <w:spacing w:before="20" w:after="80"/>
        <w:jc w:val="both"/>
        <w:rPr>
          <w:rFonts w:cs="Arial"/>
          <w:b/>
          <w:bCs/>
          <w:i/>
          <w:iCs/>
          <w:snapToGrid w:val="0"/>
          <w:lang w:val="en-AU"/>
        </w:rPr>
      </w:pPr>
      <w:r w:rsidRPr="00A019E2">
        <w:rPr>
          <w:rFonts w:cs="Arial"/>
          <w:bCs/>
          <w:iCs/>
          <w:snapToGrid w:val="0"/>
          <w:lang w:val="en-AU"/>
        </w:rPr>
        <w:t>Urinary excretion was confirmed as a relatively minor pathway of elimination of unmodified bendamustine, with only approximately 3.3% of the dose recovered in the urine as the parent compound. Less than 1% of the dose was recovered in the urine as M3 and M4, and less than 5% of the dose was recovered in the urine as HP2.</w:t>
      </w:r>
    </w:p>
    <w:p w:rsidR="00136A68" w:rsidRPr="00A019E2" w:rsidRDefault="0033282E" w:rsidP="0033282E">
      <w:pPr>
        <w:spacing w:before="20" w:after="80"/>
        <w:rPr>
          <w:bCs/>
          <w:lang w:val="en-AU"/>
        </w:rPr>
      </w:pPr>
      <w:r w:rsidRPr="00A019E2">
        <w:rPr>
          <w:b/>
          <w:bCs/>
          <w:i/>
          <w:lang w:val="en-AU"/>
        </w:rPr>
        <w:t xml:space="preserve">Renal Impairment: </w:t>
      </w:r>
      <w:r w:rsidR="00136A68" w:rsidRPr="00A019E2">
        <w:rPr>
          <w:bCs/>
          <w:lang w:val="en-AU"/>
        </w:rPr>
        <w:t xml:space="preserve">In patients </w:t>
      </w:r>
      <w:r w:rsidR="00D97139" w:rsidRPr="00A019E2">
        <w:rPr>
          <w:bCs/>
          <w:lang w:val="en-AU"/>
        </w:rPr>
        <w:t>with creatinine clearance &gt;10 mL</w:t>
      </w:r>
      <w:r w:rsidR="00136A68" w:rsidRPr="00A019E2">
        <w:rPr>
          <w:bCs/>
          <w:lang w:val="en-AU"/>
        </w:rPr>
        <w:t>/min including dialysis dependent patients, no significant difference to patients with normal liver and kidney function was observed with respect to C</w:t>
      </w:r>
      <w:r w:rsidR="00E63FC4" w:rsidRPr="00A019E2">
        <w:rPr>
          <w:bCs/>
          <w:vertAlign w:val="subscript"/>
          <w:lang w:val="en-AU"/>
        </w:rPr>
        <w:t>max</w:t>
      </w:r>
      <w:r w:rsidR="00E63FC4" w:rsidRPr="00A019E2">
        <w:rPr>
          <w:bCs/>
          <w:lang w:val="en-AU"/>
        </w:rPr>
        <w:t>, t</w:t>
      </w:r>
      <w:r w:rsidR="00E63FC4" w:rsidRPr="00A019E2">
        <w:rPr>
          <w:bCs/>
          <w:vertAlign w:val="subscript"/>
          <w:lang w:val="en-AU"/>
        </w:rPr>
        <w:t>max</w:t>
      </w:r>
      <w:r w:rsidR="00E63FC4" w:rsidRPr="00A019E2">
        <w:rPr>
          <w:bCs/>
          <w:lang w:val="en-AU"/>
        </w:rPr>
        <w:t>, AUC, t</w:t>
      </w:r>
      <w:r w:rsidR="00E63FC4" w:rsidRPr="00A019E2">
        <w:rPr>
          <w:bCs/>
          <w:vertAlign w:val="subscript"/>
          <w:lang w:val="en-AU"/>
        </w:rPr>
        <w:t>1/2ß</w:t>
      </w:r>
      <w:r w:rsidR="00E63FC4" w:rsidRPr="00A019E2">
        <w:rPr>
          <w:bCs/>
          <w:lang w:val="en-AU"/>
        </w:rPr>
        <w:t>, volume of distribution and clearance.</w:t>
      </w:r>
    </w:p>
    <w:p w:rsidR="0033282E" w:rsidRPr="00A019E2" w:rsidRDefault="00E63FC4" w:rsidP="0033282E">
      <w:pPr>
        <w:spacing w:before="20" w:after="80"/>
        <w:rPr>
          <w:snapToGrid w:val="0"/>
          <w:lang w:val="en-AU"/>
        </w:rPr>
      </w:pPr>
      <w:r w:rsidRPr="00A019E2">
        <w:rPr>
          <w:b/>
          <w:bCs/>
          <w:i/>
          <w:lang w:val="en-AU"/>
        </w:rPr>
        <w:t>Hepatic Impairment</w:t>
      </w:r>
      <w:r w:rsidRPr="00A019E2">
        <w:rPr>
          <w:b/>
          <w:i/>
          <w:lang w:val="en-AU"/>
        </w:rPr>
        <w:t>:</w:t>
      </w:r>
      <w:r w:rsidRPr="00A019E2">
        <w:rPr>
          <w:iCs/>
          <w:lang w:val="en-AU"/>
        </w:rPr>
        <w:t xml:space="preserve"> </w:t>
      </w:r>
      <w:r w:rsidRPr="00A019E2">
        <w:rPr>
          <w:snapToGrid w:val="0"/>
          <w:lang w:val="en-AU"/>
        </w:rPr>
        <w:t xml:space="preserve">In patients with 30 - 70% tumour </w:t>
      </w:r>
      <w:r w:rsidR="00A019E2">
        <w:rPr>
          <w:snapToGrid w:val="0"/>
          <w:lang w:val="en-AU"/>
        </w:rPr>
        <w:t xml:space="preserve">involvement </w:t>
      </w:r>
      <w:r w:rsidR="00136A68" w:rsidRPr="00A019E2">
        <w:rPr>
          <w:snapToGrid w:val="0"/>
          <w:lang w:val="en-AU"/>
        </w:rPr>
        <w:t>of the liver and mild hepatic impairm</w:t>
      </w:r>
      <w:r w:rsidR="00D97139" w:rsidRPr="00A019E2">
        <w:rPr>
          <w:snapToGrid w:val="0"/>
          <w:lang w:val="en-AU"/>
        </w:rPr>
        <w:t>ent (serum bilirubin &lt; 1.2 mg/dL</w:t>
      </w:r>
      <w:r w:rsidR="00136A68" w:rsidRPr="00A019E2">
        <w:rPr>
          <w:snapToGrid w:val="0"/>
          <w:lang w:val="en-AU"/>
        </w:rPr>
        <w:t>) the pharmacokinetic behaviour was not changed. There was no significant difference to patients with normal liver and kidney function with respect to C</w:t>
      </w:r>
      <w:r w:rsidR="00136A68" w:rsidRPr="00A019E2">
        <w:rPr>
          <w:snapToGrid w:val="0"/>
          <w:vertAlign w:val="subscript"/>
          <w:lang w:val="en-AU"/>
        </w:rPr>
        <w:t>max</w:t>
      </w:r>
      <w:r w:rsidR="00136A68" w:rsidRPr="00A019E2">
        <w:rPr>
          <w:snapToGrid w:val="0"/>
          <w:lang w:val="en-AU"/>
        </w:rPr>
        <w:t xml:space="preserve">, </w:t>
      </w:r>
      <w:r w:rsidR="00136A68" w:rsidRPr="00A019E2">
        <w:rPr>
          <w:snapToGrid w:val="0"/>
          <w:lang w:val="en-AU"/>
        </w:rPr>
        <w:lastRenderedPageBreak/>
        <w:t>t</w:t>
      </w:r>
      <w:r w:rsidR="00136A68" w:rsidRPr="00A019E2">
        <w:rPr>
          <w:snapToGrid w:val="0"/>
          <w:vertAlign w:val="subscript"/>
          <w:lang w:val="en-AU"/>
        </w:rPr>
        <w:t>max</w:t>
      </w:r>
      <w:r w:rsidR="00136A68" w:rsidRPr="00A019E2">
        <w:rPr>
          <w:snapToGrid w:val="0"/>
          <w:lang w:val="en-AU"/>
        </w:rPr>
        <w:t>, AUC, t</w:t>
      </w:r>
      <w:r w:rsidRPr="00A019E2">
        <w:rPr>
          <w:snapToGrid w:val="0"/>
          <w:vertAlign w:val="subscript"/>
          <w:lang w:val="en-AU"/>
        </w:rPr>
        <w:t>1/2ß</w:t>
      </w:r>
      <w:r w:rsidRPr="00A019E2">
        <w:rPr>
          <w:snapToGrid w:val="0"/>
          <w:lang w:val="en-AU"/>
        </w:rPr>
        <w:t>, volume of distribution and clearance. AUC and total body clearance of bendamustine correlate inversely with serum bilirubin.  Patients with moderate to severe hepatic impairment , whether measured by tumour involvement and serum bilirubin or Child-Pugh classification have not been assessed.</w:t>
      </w:r>
    </w:p>
    <w:p w:rsidR="00136A68" w:rsidRPr="00A019E2" w:rsidRDefault="00136A68" w:rsidP="00136A68">
      <w:pPr>
        <w:spacing w:before="20" w:after="80"/>
        <w:rPr>
          <w:b/>
          <w:i/>
          <w:snapToGrid w:val="0"/>
          <w:lang w:val="en-AU"/>
        </w:rPr>
      </w:pPr>
      <w:r w:rsidRPr="00A019E2">
        <w:rPr>
          <w:b/>
          <w:i/>
          <w:snapToGrid w:val="0"/>
          <w:lang w:val="en-AU"/>
        </w:rPr>
        <w:t xml:space="preserve">Elderly subjects: </w:t>
      </w:r>
      <w:r w:rsidRPr="00A019E2">
        <w:rPr>
          <w:snapToGrid w:val="0"/>
          <w:lang w:val="en-AU"/>
        </w:rPr>
        <w:t xml:space="preserve">Subjects up to 84 years of age </w:t>
      </w:r>
      <w:r w:rsidR="0094273D" w:rsidRPr="00A019E2">
        <w:rPr>
          <w:snapToGrid w:val="0"/>
          <w:lang w:val="en-AU"/>
        </w:rPr>
        <w:t>[&lt;65 yrs (n=</w:t>
      </w:r>
      <w:r w:rsidR="00CF3F2C" w:rsidRPr="00A019E2">
        <w:rPr>
          <w:snapToGrid w:val="0"/>
          <w:lang w:val="en-AU"/>
        </w:rPr>
        <w:t>30</w:t>
      </w:r>
      <w:r w:rsidR="0094273D" w:rsidRPr="00A019E2">
        <w:rPr>
          <w:snapToGrid w:val="0"/>
          <w:lang w:val="en-AU"/>
        </w:rPr>
        <w:t>); 65-75yrs (n=</w:t>
      </w:r>
      <w:r w:rsidR="00CF3F2C" w:rsidRPr="00A019E2">
        <w:rPr>
          <w:snapToGrid w:val="0"/>
          <w:lang w:val="en-AU"/>
        </w:rPr>
        <w:t>14</w:t>
      </w:r>
      <w:r w:rsidR="0094273D" w:rsidRPr="00A019E2">
        <w:rPr>
          <w:snapToGrid w:val="0"/>
          <w:lang w:val="en-AU"/>
        </w:rPr>
        <w:t>) and &gt;75 yrs (n=</w:t>
      </w:r>
      <w:r w:rsidR="00CF3F2C" w:rsidRPr="00A019E2">
        <w:rPr>
          <w:snapToGrid w:val="0"/>
          <w:lang w:val="en-AU"/>
        </w:rPr>
        <w:t>5</w:t>
      </w:r>
      <w:r w:rsidR="0094273D" w:rsidRPr="00A019E2">
        <w:rPr>
          <w:snapToGrid w:val="0"/>
          <w:lang w:val="en-AU"/>
        </w:rPr>
        <w:t>)]</w:t>
      </w:r>
      <w:r w:rsidR="00E63FC4" w:rsidRPr="00A019E2">
        <w:rPr>
          <w:snapToGrid w:val="0"/>
          <w:lang w:val="en-AU"/>
        </w:rPr>
        <w:t xml:space="preserve"> </w:t>
      </w:r>
      <w:r w:rsidRPr="00A019E2">
        <w:rPr>
          <w:snapToGrid w:val="0"/>
          <w:lang w:val="en-AU"/>
        </w:rPr>
        <w:t xml:space="preserve">were included in pharmacokinetic studies. </w:t>
      </w:r>
      <w:r w:rsidR="00E63FC4" w:rsidRPr="00A019E2">
        <w:rPr>
          <w:snapToGrid w:val="0"/>
          <w:lang w:val="en-AU"/>
        </w:rPr>
        <w:t>Higher age does not influence the pharmacokinetics of</w:t>
      </w:r>
      <w:r w:rsidRPr="00A019E2">
        <w:rPr>
          <w:snapToGrid w:val="0"/>
          <w:lang w:val="en-AU"/>
        </w:rPr>
        <w:t xml:space="preserve"> bendamustine.</w:t>
      </w:r>
    </w:p>
    <w:p w:rsidR="0033282E" w:rsidRPr="00A019E2" w:rsidRDefault="0033282E" w:rsidP="00650196">
      <w:pPr>
        <w:pStyle w:val="PIHEADING1"/>
        <w:rPr>
          <w:lang w:val="en-AU"/>
        </w:rPr>
      </w:pPr>
      <w:r w:rsidRPr="00A019E2">
        <w:rPr>
          <w:lang w:val="en-AU"/>
        </w:rPr>
        <w:t>Clinical trials</w:t>
      </w:r>
    </w:p>
    <w:p w:rsidR="00B13541" w:rsidRPr="00A019E2" w:rsidRDefault="00E63FC4" w:rsidP="00B13541">
      <w:pPr>
        <w:pStyle w:val="PIHEADING2"/>
        <w:rPr>
          <w:i/>
          <w:lang w:val="en-AU"/>
        </w:rPr>
      </w:pPr>
      <w:r w:rsidRPr="00A019E2">
        <w:rPr>
          <w:i/>
          <w:lang w:val="en-AU"/>
        </w:rPr>
        <w:t>Chronic Lymphocytic Lymphoma</w:t>
      </w:r>
    </w:p>
    <w:p w:rsidR="00B13541" w:rsidRPr="00A019E2" w:rsidRDefault="00E63FC4" w:rsidP="00B13541">
      <w:pPr>
        <w:rPr>
          <w:rFonts w:cs="Arial"/>
          <w:lang w:val="en-AU"/>
        </w:rPr>
      </w:pPr>
      <w:r w:rsidRPr="00A019E2">
        <w:rPr>
          <w:rFonts w:cs="Arial"/>
          <w:lang w:val="en-AU"/>
        </w:rPr>
        <w:t xml:space="preserve">The safety and efficacy of RIBOMUSTIN were evaluated in an open-label, randomised, controlled multicenter trial (02CLLIII) comparing RIBOMUSTIN to chlorambucil. The trial was conducted in 319 previously-untreated patients with Binet Stage B or C CLL requiring treatment. Need-to-treat criteria included hematopoietic insufficiency, B-symptoms, rapidly progressive disease or risk of complications from bulky lymphadenopathy. Patients with autoimmune </w:t>
      </w:r>
      <w:r w:rsidR="00A019E2" w:rsidRPr="00A019E2">
        <w:rPr>
          <w:rFonts w:cs="Arial"/>
          <w:lang w:val="en-AU"/>
        </w:rPr>
        <w:t>haemolytic</w:t>
      </w:r>
      <w:r w:rsidRPr="00A019E2">
        <w:rPr>
          <w:rFonts w:cs="Arial"/>
          <w:lang w:val="en-AU"/>
        </w:rPr>
        <w:t xml:space="preserve"> </w:t>
      </w:r>
      <w:r w:rsidR="00A019E2" w:rsidRPr="00A019E2">
        <w:rPr>
          <w:rFonts w:cs="Arial"/>
          <w:lang w:val="en-AU"/>
        </w:rPr>
        <w:t>anaemia</w:t>
      </w:r>
      <w:r w:rsidRPr="00A019E2">
        <w:rPr>
          <w:rFonts w:cs="Arial"/>
          <w:lang w:val="en-AU"/>
        </w:rPr>
        <w:t xml:space="preserve"> or autoimmune </w:t>
      </w:r>
      <w:r w:rsidR="00A019E2" w:rsidRPr="00A019E2">
        <w:rPr>
          <w:rFonts w:cs="Arial"/>
          <w:lang w:val="en-AU"/>
        </w:rPr>
        <w:t>thrombocytopenia</w:t>
      </w:r>
      <w:r w:rsidRPr="00A019E2">
        <w:rPr>
          <w:rFonts w:cs="Arial"/>
          <w:lang w:val="en-AU"/>
        </w:rPr>
        <w:t xml:space="preserve">, Richter’s syndrome, or transformation to prolymphocytic </w:t>
      </w:r>
      <w:r w:rsidR="00A019E2" w:rsidRPr="00A019E2">
        <w:rPr>
          <w:rFonts w:cs="Arial"/>
          <w:lang w:val="en-AU"/>
        </w:rPr>
        <w:t>leukaemia</w:t>
      </w:r>
      <w:r w:rsidRPr="00A019E2">
        <w:rPr>
          <w:rFonts w:cs="Arial"/>
          <w:lang w:val="en-AU"/>
        </w:rPr>
        <w:t xml:space="preserve"> were excluded from the study.</w:t>
      </w:r>
    </w:p>
    <w:p w:rsidR="00B13541" w:rsidRPr="00A019E2" w:rsidRDefault="00E63FC4" w:rsidP="00B13541">
      <w:pPr>
        <w:rPr>
          <w:rFonts w:cs="Arial"/>
          <w:lang w:val="en-AU"/>
        </w:rPr>
      </w:pPr>
      <w:r w:rsidRPr="00A019E2">
        <w:rPr>
          <w:rFonts w:cs="Arial"/>
          <w:lang w:val="en-AU"/>
        </w:rPr>
        <w:t>The patient populations in the RIBOMUSTIN and chlorambucil treatment groups were balanced with regard to the following baseline characteristics: age (median 63 vs. 66 years), gender (63% vs. 61% male), Binet stage (72% vs. 71% Binet B), lymphadenopathy (79% vs. 82%), enlarged spleen (77% vs. 78%), enlarged liver (49% vs. 45%), hypercellular bone marrow (80% vs. 73%), lymphocyte count (mean 68.9x109/L vs. 62.4x109/L). Ninety percent of patients in both treatment groups had immuno-phenotypic confirmation of CLL (CD5, CD23 and either CD19 or CD20 or both).</w:t>
      </w:r>
      <w:r w:rsidRPr="00A019E2">
        <w:rPr>
          <w:lang w:val="en-AU"/>
        </w:rPr>
        <w:t xml:space="preserve"> </w:t>
      </w:r>
      <w:r w:rsidRPr="00A019E2">
        <w:rPr>
          <w:rFonts w:cs="Arial"/>
          <w:lang w:val="en-AU"/>
        </w:rPr>
        <w:t>Most of the patients had WHO-performance status (PS) 0 (70% vs. 65%). PS 1 was documented in 27%vs 29%</w:t>
      </w:r>
      <w:r w:rsidR="00A95646" w:rsidRPr="00A019E2">
        <w:rPr>
          <w:rFonts w:cs="Arial"/>
          <w:lang w:val="en-AU"/>
        </w:rPr>
        <w:t xml:space="preserve"> patients.</w:t>
      </w:r>
    </w:p>
    <w:p w:rsidR="00B13541" w:rsidRPr="00A019E2" w:rsidRDefault="00B13541" w:rsidP="00B13541">
      <w:pPr>
        <w:rPr>
          <w:rFonts w:cs="Arial"/>
          <w:lang w:val="en-AU"/>
        </w:rPr>
      </w:pPr>
      <w:r w:rsidRPr="00A019E2">
        <w:rPr>
          <w:rFonts w:cs="Arial"/>
          <w:lang w:val="en-AU"/>
        </w:rPr>
        <w:t xml:space="preserve">Patients were randomly assigned to receive either RIBOMUSTIN at 100 mg/m2, administered intravenously over a period of 30 minutes </w:t>
      </w:r>
      <w:r w:rsidR="00E63FC4" w:rsidRPr="00A019E2">
        <w:rPr>
          <w:rFonts w:cs="Arial"/>
          <w:lang w:val="en-AU"/>
        </w:rPr>
        <w:t>on Days 1 and 2 or chlorambucil at 0.8 mg/kg (Broca’s normal weight) administered orally on Days 1 and 15 of each 28-day cycle.</w:t>
      </w:r>
    </w:p>
    <w:p w:rsidR="00B13541" w:rsidRPr="00A019E2" w:rsidRDefault="00E63FC4" w:rsidP="00B13541">
      <w:pPr>
        <w:rPr>
          <w:rFonts w:cs="Arial"/>
          <w:lang w:val="en-AU"/>
        </w:rPr>
      </w:pPr>
      <w:r w:rsidRPr="00A019E2">
        <w:rPr>
          <w:rFonts w:cs="Arial"/>
          <w:lang w:val="en-AU"/>
        </w:rPr>
        <w:t xml:space="preserve">The primary efficacy endpoints of overall </w:t>
      </w:r>
      <w:r w:rsidR="00B13541" w:rsidRPr="00A019E2">
        <w:rPr>
          <w:rFonts w:cs="Arial"/>
          <w:lang w:val="en-AU"/>
        </w:rPr>
        <w:t>response rate and progression-free survival were calculated using a pre-specified algorithm based on NCI working group criteria for CLL.</w:t>
      </w:r>
    </w:p>
    <w:p w:rsidR="00B13541" w:rsidRPr="00A019E2" w:rsidRDefault="00E63FC4" w:rsidP="00B13541">
      <w:pPr>
        <w:rPr>
          <w:rFonts w:cs="Arial"/>
          <w:lang w:val="en-AU"/>
        </w:rPr>
      </w:pPr>
      <w:r w:rsidRPr="00A019E2">
        <w:rPr>
          <w:rFonts w:cs="Arial"/>
          <w:lang w:val="en-AU"/>
        </w:rPr>
        <w:t>The results of this open-label randomised study demonstrated a higher rate of overall response and a longer progression-free survival for RIBOMUSTIN compared to chlorambucil</w:t>
      </w:r>
      <w:r w:rsidR="001C0668" w:rsidRPr="00A019E2">
        <w:rPr>
          <w:rFonts w:cs="Arial"/>
          <w:lang w:val="en-AU"/>
        </w:rPr>
        <w:t>.</w:t>
      </w:r>
      <w:r w:rsidRPr="00A019E2">
        <w:rPr>
          <w:rFonts w:cs="Arial"/>
          <w:lang w:val="en-AU"/>
        </w:rPr>
        <w:t xml:space="preserve"> Survival data are not mature.</w:t>
      </w:r>
    </w:p>
    <w:p w:rsidR="00B13541" w:rsidRPr="00A019E2" w:rsidRDefault="00E63FC4" w:rsidP="00BF0E4E">
      <w:pPr>
        <w:rPr>
          <w:rFonts w:cs="Arial"/>
          <w:lang w:val="en-AU"/>
        </w:rPr>
      </w:pPr>
      <w:r w:rsidRPr="00A019E2">
        <w:rPr>
          <w:rFonts w:cs="Arial"/>
          <w:lang w:val="en-AU"/>
        </w:rPr>
        <w:t>An ICRA (Independent Committee for Response Assessment) review was completed 12 months after the last patient completed treatment in the study. The results from this follow up ITT analysis are presented below in Table 1</w:t>
      </w:r>
    </w:p>
    <w:p w:rsidR="00B13541" w:rsidRPr="00A019E2" w:rsidRDefault="00B13541" w:rsidP="00A40AD3">
      <w:pPr>
        <w:rPr>
          <w:b/>
          <w:lang w:val="en-AU"/>
        </w:rPr>
      </w:pPr>
      <w:r w:rsidRPr="00A019E2">
        <w:rPr>
          <w:b/>
          <w:lang w:val="en-AU"/>
        </w:rPr>
        <w:t xml:space="preserve">Table </w:t>
      </w:r>
      <w:r w:rsidR="00924FE8" w:rsidRPr="00A019E2">
        <w:rPr>
          <w:b/>
          <w:lang w:val="en-AU"/>
        </w:rPr>
        <w:t>1</w:t>
      </w:r>
      <w:r w:rsidRPr="00A019E2">
        <w:rPr>
          <w:b/>
          <w:lang w:val="en-AU"/>
        </w:rPr>
        <w:t xml:space="preserve">: </w:t>
      </w:r>
      <w:r w:rsidR="00577F10" w:rsidRPr="00A019E2">
        <w:rPr>
          <w:b/>
          <w:lang w:val="en-AU"/>
        </w:rPr>
        <w:t>Overall Response Rate based on ICRA (ITT analysis of follow-up data</w:t>
      </w:r>
      <w:r w:rsidR="00056811" w:rsidRPr="00A019E2">
        <w:rPr>
          <w:b/>
          <w:lang w:val="en-AU"/>
        </w:rPr>
        <w:t xml:space="preserve"> study 02CLLIII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2033"/>
        <w:gridCol w:w="2033"/>
        <w:gridCol w:w="2706"/>
      </w:tblGrid>
      <w:tr w:rsidR="00B13541" w:rsidRPr="00A019E2" w:rsidTr="00B13541">
        <w:tc>
          <w:tcPr>
            <w:tcW w:w="2515" w:type="dxa"/>
          </w:tcPr>
          <w:p w:rsidR="00B13541" w:rsidRPr="00A019E2" w:rsidRDefault="00B13541" w:rsidP="00B13541">
            <w:pPr>
              <w:jc w:val="center"/>
              <w:rPr>
                <w:b/>
                <w:sz w:val="20"/>
                <w:lang w:val="en-AU"/>
              </w:rPr>
            </w:pPr>
          </w:p>
        </w:tc>
        <w:tc>
          <w:tcPr>
            <w:tcW w:w="2033" w:type="dxa"/>
          </w:tcPr>
          <w:p w:rsidR="00B13541" w:rsidRPr="00A019E2" w:rsidRDefault="00D6316F" w:rsidP="00B13541">
            <w:pPr>
              <w:jc w:val="center"/>
              <w:rPr>
                <w:b/>
                <w:sz w:val="20"/>
                <w:lang w:val="en-AU"/>
              </w:rPr>
            </w:pPr>
            <w:r w:rsidRPr="00A019E2">
              <w:rPr>
                <w:b/>
                <w:sz w:val="20"/>
                <w:lang w:val="en-AU"/>
              </w:rPr>
              <w:t>RIBOMUSTIN</w:t>
            </w:r>
          </w:p>
          <w:p w:rsidR="00B13541" w:rsidRPr="00A019E2" w:rsidRDefault="00D6316F" w:rsidP="00EC4212">
            <w:pPr>
              <w:jc w:val="center"/>
              <w:rPr>
                <w:b/>
                <w:sz w:val="20"/>
                <w:lang w:val="en-AU"/>
              </w:rPr>
            </w:pPr>
            <w:r w:rsidRPr="00A019E2">
              <w:rPr>
                <w:b/>
                <w:sz w:val="20"/>
                <w:lang w:val="en-AU"/>
              </w:rPr>
              <w:t>(N=162)</w:t>
            </w:r>
          </w:p>
        </w:tc>
        <w:tc>
          <w:tcPr>
            <w:tcW w:w="2033" w:type="dxa"/>
          </w:tcPr>
          <w:p w:rsidR="00B13541" w:rsidRPr="00A019E2" w:rsidRDefault="00D6316F" w:rsidP="00B13541">
            <w:pPr>
              <w:jc w:val="center"/>
              <w:rPr>
                <w:b/>
                <w:sz w:val="20"/>
                <w:lang w:val="en-AU"/>
              </w:rPr>
            </w:pPr>
            <w:r w:rsidRPr="00A019E2">
              <w:rPr>
                <w:b/>
                <w:sz w:val="20"/>
                <w:lang w:val="en-AU"/>
              </w:rPr>
              <w:t xml:space="preserve">Chlorambucil </w:t>
            </w:r>
          </w:p>
          <w:p w:rsidR="00B13541" w:rsidRPr="00A019E2" w:rsidRDefault="00D6316F" w:rsidP="00EC4212">
            <w:pPr>
              <w:jc w:val="center"/>
              <w:rPr>
                <w:b/>
                <w:sz w:val="20"/>
                <w:lang w:val="en-AU"/>
              </w:rPr>
            </w:pPr>
            <w:r w:rsidRPr="00A019E2">
              <w:rPr>
                <w:b/>
                <w:sz w:val="20"/>
                <w:lang w:val="en-AU"/>
              </w:rPr>
              <w:t>(N=157)</w:t>
            </w:r>
          </w:p>
        </w:tc>
        <w:tc>
          <w:tcPr>
            <w:tcW w:w="2706" w:type="dxa"/>
          </w:tcPr>
          <w:p w:rsidR="00B13541" w:rsidRPr="00A019E2" w:rsidRDefault="00E63FC4" w:rsidP="00B13541">
            <w:pPr>
              <w:jc w:val="center"/>
              <w:rPr>
                <w:b/>
                <w:sz w:val="20"/>
                <w:lang w:val="en-AU"/>
              </w:rPr>
            </w:pPr>
            <w:r w:rsidRPr="00A019E2">
              <w:rPr>
                <w:b/>
                <w:sz w:val="20"/>
                <w:lang w:val="en-AU"/>
              </w:rPr>
              <w:t>p</w:t>
            </w:r>
            <w:r w:rsidR="00B13541" w:rsidRPr="00A019E2">
              <w:rPr>
                <w:b/>
                <w:sz w:val="20"/>
                <w:lang w:val="en-AU"/>
              </w:rPr>
              <w:t>-value</w:t>
            </w:r>
          </w:p>
        </w:tc>
      </w:tr>
      <w:tr w:rsidR="00B13541" w:rsidRPr="00A019E2" w:rsidTr="00B13541">
        <w:tc>
          <w:tcPr>
            <w:tcW w:w="9287" w:type="dxa"/>
            <w:gridSpan w:val="4"/>
          </w:tcPr>
          <w:p w:rsidR="00B13541" w:rsidRPr="00A019E2" w:rsidRDefault="00D6316F" w:rsidP="00B13541">
            <w:pPr>
              <w:rPr>
                <w:b/>
                <w:sz w:val="20"/>
                <w:lang w:val="en-AU"/>
              </w:rPr>
            </w:pPr>
            <w:r w:rsidRPr="00A019E2">
              <w:rPr>
                <w:b/>
                <w:sz w:val="20"/>
                <w:lang w:val="en-AU"/>
              </w:rPr>
              <w:t>Response Rate n(%)</w:t>
            </w:r>
          </w:p>
        </w:tc>
      </w:tr>
      <w:tr w:rsidR="00B13541" w:rsidRPr="00A019E2" w:rsidTr="00B13541">
        <w:tc>
          <w:tcPr>
            <w:tcW w:w="2515" w:type="dxa"/>
          </w:tcPr>
          <w:p w:rsidR="00B13541" w:rsidRPr="00A019E2" w:rsidRDefault="00D6316F" w:rsidP="00B13541">
            <w:pPr>
              <w:rPr>
                <w:sz w:val="20"/>
                <w:lang w:val="en-AU"/>
              </w:rPr>
            </w:pPr>
            <w:r w:rsidRPr="00A019E2">
              <w:rPr>
                <w:sz w:val="20"/>
                <w:lang w:val="en-AU"/>
              </w:rPr>
              <w:t xml:space="preserve">Overall response rate </w:t>
            </w:r>
          </w:p>
        </w:tc>
        <w:tc>
          <w:tcPr>
            <w:tcW w:w="2033" w:type="dxa"/>
          </w:tcPr>
          <w:p w:rsidR="00B13541" w:rsidRPr="00A019E2" w:rsidRDefault="00D6316F" w:rsidP="00B13541">
            <w:pPr>
              <w:jc w:val="center"/>
              <w:rPr>
                <w:sz w:val="20"/>
                <w:lang w:val="en-AU"/>
              </w:rPr>
            </w:pPr>
            <w:r w:rsidRPr="00A019E2">
              <w:rPr>
                <w:sz w:val="20"/>
                <w:lang w:val="en-AU"/>
              </w:rPr>
              <w:t>110 (67.9%)</w:t>
            </w:r>
          </w:p>
        </w:tc>
        <w:tc>
          <w:tcPr>
            <w:tcW w:w="2033" w:type="dxa"/>
          </w:tcPr>
          <w:p w:rsidR="00B13541" w:rsidRPr="00A019E2" w:rsidRDefault="00D6316F" w:rsidP="00B13541">
            <w:pPr>
              <w:jc w:val="center"/>
              <w:rPr>
                <w:sz w:val="20"/>
                <w:lang w:val="en-AU"/>
              </w:rPr>
            </w:pPr>
            <w:r w:rsidRPr="00A019E2">
              <w:rPr>
                <w:sz w:val="20"/>
                <w:lang w:val="en-AU"/>
              </w:rPr>
              <w:t>48 (30.6%)</w:t>
            </w:r>
          </w:p>
        </w:tc>
        <w:tc>
          <w:tcPr>
            <w:tcW w:w="2706" w:type="dxa"/>
          </w:tcPr>
          <w:p w:rsidR="00B13541" w:rsidRPr="00A019E2" w:rsidRDefault="00D6316F" w:rsidP="00B13541">
            <w:pPr>
              <w:jc w:val="center"/>
              <w:rPr>
                <w:sz w:val="20"/>
                <w:lang w:val="en-AU"/>
              </w:rPr>
            </w:pPr>
            <w:r w:rsidRPr="00A019E2">
              <w:rPr>
                <w:rFonts w:cs="Arial"/>
                <w:sz w:val="20"/>
                <w:lang w:val="en-AU"/>
              </w:rPr>
              <w:t>&lt;</w:t>
            </w:r>
            <w:r w:rsidRPr="00A019E2">
              <w:rPr>
                <w:sz w:val="20"/>
                <w:lang w:val="en-AU"/>
              </w:rPr>
              <w:t>0.0001</w:t>
            </w:r>
          </w:p>
        </w:tc>
      </w:tr>
      <w:tr w:rsidR="00B13541" w:rsidRPr="00A019E2" w:rsidTr="00B13541">
        <w:tc>
          <w:tcPr>
            <w:tcW w:w="2515" w:type="dxa"/>
          </w:tcPr>
          <w:p w:rsidR="00B13541" w:rsidRPr="00A019E2" w:rsidRDefault="00D6316F" w:rsidP="00B13541">
            <w:pPr>
              <w:rPr>
                <w:sz w:val="20"/>
                <w:lang w:val="en-AU"/>
              </w:rPr>
            </w:pPr>
            <w:r w:rsidRPr="00A019E2">
              <w:rPr>
                <w:sz w:val="20"/>
                <w:lang w:val="en-AU"/>
              </w:rPr>
              <w:t>Complete</w:t>
            </w:r>
            <w:r w:rsidR="0094273D" w:rsidRPr="00A019E2">
              <w:rPr>
                <w:sz w:val="20"/>
                <w:lang w:val="en-AU"/>
              </w:rPr>
              <w:t xml:space="preserve"> response (CR)*</w:t>
            </w:r>
          </w:p>
        </w:tc>
        <w:tc>
          <w:tcPr>
            <w:tcW w:w="2033" w:type="dxa"/>
          </w:tcPr>
          <w:p w:rsidR="00B13541" w:rsidRPr="00A019E2" w:rsidRDefault="00925A2F" w:rsidP="00B13541">
            <w:pPr>
              <w:jc w:val="center"/>
              <w:rPr>
                <w:sz w:val="20"/>
                <w:lang w:val="en-AU"/>
              </w:rPr>
            </w:pPr>
            <w:r w:rsidRPr="00A019E2">
              <w:rPr>
                <w:sz w:val="20"/>
                <w:lang w:val="en-AU"/>
              </w:rPr>
              <w:t>50 (30.9</w:t>
            </w:r>
            <w:r w:rsidR="00577F10" w:rsidRPr="00A019E2">
              <w:rPr>
                <w:sz w:val="20"/>
                <w:lang w:val="en-AU"/>
              </w:rPr>
              <w:t>%</w:t>
            </w:r>
            <w:r w:rsidRPr="00A019E2">
              <w:rPr>
                <w:sz w:val="20"/>
                <w:lang w:val="en-AU"/>
              </w:rPr>
              <w:t>)</w:t>
            </w:r>
          </w:p>
        </w:tc>
        <w:tc>
          <w:tcPr>
            <w:tcW w:w="2033" w:type="dxa"/>
          </w:tcPr>
          <w:p w:rsidR="00B13541" w:rsidRPr="00A019E2" w:rsidRDefault="00D6316F" w:rsidP="00B13541">
            <w:pPr>
              <w:jc w:val="center"/>
              <w:rPr>
                <w:sz w:val="20"/>
                <w:lang w:val="en-AU"/>
              </w:rPr>
            </w:pPr>
            <w:r w:rsidRPr="00A019E2">
              <w:rPr>
                <w:sz w:val="20"/>
                <w:lang w:val="en-AU"/>
              </w:rPr>
              <w:t>3 (1.9%)</w:t>
            </w:r>
          </w:p>
        </w:tc>
        <w:tc>
          <w:tcPr>
            <w:tcW w:w="2706" w:type="dxa"/>
          </w:tcPr>
          <w:p w:rsidR="00B13541" w:rsidRPr="00A019E2" w:rsidRDefault="00D6316F" w:rsidP="00B13541">
            <w:pPr>
              <w:jc w:val="center"/>
              <w:rPr>
                <w:sz w:val="20"/>
                <w:lang w:val="en-AU"/>
              </w:rPr>
            </w:pPr>
            <w:r w:rsidRPr="00A019E2">
              <w:rPr>
                <w:sz w:val="20"/>
                <w:lang w:val="en-AU"/>
              </w:rPr>
              <w:t>-</w:t>
            </w:r>
          </w:p>
        </w:tc>
      </w:tr>
      <w:tr w:rsidR="00B13541" w:rsidRPr="00A019E2" w:rsidTr="00B13541">
        <w:tc>
          <w:tcPr>
            <w:tcW w:w="2515" w:type="dxa"/>
          </w:tcPr>
          <w:p w:rsidR="00B13541" w:rsidRPr="00A019E2" w:rsidRDefault="00D6316F" w:rsidP="00B13541">
            <w:pPr>
              <w:rPr>
                <w:sz w:val="20"/>
                <w:lang w:val="en-AU"/>
              </w:rPr>
            </w:pPr>
            <w:r w:rsidRPr="00A019E2">
              <w:rPr>
                <w:sz w:val="20"/>
                <w:lang w:val="en-AU"/>
              </w:rPr>
              <w:t>Nodular partial response (nPR)**</w:t>
            </w:r>
          </w:p>
        </w:tc>
        <w:tc>
          <w:tcPr>
            <w:tcW w:w="2033" w:type="dxa"/>
          </w:tcPr>
          <w:p w:rsidR="00B13541" w:rsidRPr="00A019E2" w:rsidRDefault="00D6316F" w:rsidP="00B13541">
            <w:pPr>
              <w:jc w:val="center"/>
              <w:rPr>
                <w:sz w:val="20"/>
                <w:lang w:val="en-AU"/>
              </w:rPr>
            </w:pPr>
            <w:r w:rsidRPr="00A019E2">
              <w:rPr>
                <w:sz w:val="20"/>
                <w:lang w:val="en-AU"/>
              </w:rPr>
              <w:t>17 (10.5%)</w:t>
            </w:r>
          </w:p>
        </w:tc>
        <w:tc>
          <w:tcPr>
            <w:tcW w:w="2033" w:type="dxa"/>
          </w:tcPr>
          <w:p w:rsidR="00B13541" w:rsidRPr="00A019E2" w:rsidRDefault="00D6316F" w:rsidP="00B13541">
            <w:pPr>
              <w:jc w:val="center"/>
              <w:rPr>
                <w:sz w:val="20"/>
                <w:lang w:val="en-AU"/>
              </w:rPr>
            </w:pPr>
            <w:r w:rsidRPr="00A019E2">
              <w:rPr>
                <w:sz w:val="20"/>
                <w:lang w:val="en-AU"/>
              </w:rPr>
              <w:t>4 (2.5%)</w:t>
            </w:r>
          </w:p>
        </w:tc>
        <w:tc>
          <w:tcPr>
            <w:tcW w:w="2706" w:type="dxa"/>
          </w:tcPr>
          <w:p w:rsidR="00B13541" w:rsidRPr="00A019E2" w:rsidRDefault="00D6316F" w:rsidP="00B13541">
            <w:pPr>
              <w:jc w:val="center"/>
              <w:rPr>
                <w:sz w:val="20"/>
                <w:lang w:val="en-AU"/>
              </w:rPr>
            </w:pPr>
            <w:r w:rsidRPr="00A019E2">
              <w:rPr>
                <w:sz w:val="20"/>
                <w:lang w:val="en-AU"/>
              </w:rPr>
              <w:t>-</w:t>
            </w:r>
          </w:p>
        </w:tc>
      </w:tr>
      <w:tr w:rsidR="00B13541" w:rsidRPr="00A019E2" w:rsidTr="00B13541">
        <w:tc>
          <w:tcPr>
            <w:tcW w:w="2515" w:type="dxa"/>
          </w:tcPr>
          <w:p w:rsidR="00B13541" w:rsidRPr="00A019E2" w:rsidRDefault="00E63FC4" w:rsidP="00B13541">
            <w:pPr>
              <w:rPr>
                <w:sz w:val="20"/>
                <w:lang w:val="en-AU"/>
              </w:rPr>
            </w:pPr>
            <w:r w:rsidRPr="00A019E2">
              <w:rPr>
                <w:sz w:val="20"/>
                <w:lang w:val="en-AU"/>
              </w:rPr>
              <w:t>Partial response (PR)</w:t>
            </w:r>
            <w:r w:rsidRPr="00A019E2">
              <w:rPr>
                <w:rFonts w:cs="Arial"/>
                <w:sz w:val="20"/>
                <w:vertAlign w:val="superscript"/>
                <w:lang w:val="en-AU"/>
              </w:rPr>
              <w:t>†</w:t>
            </w:r>
          </w:p>
        </w:tc>
        <w:tc>
          <w:tcPr>
            <w:tcW w:w="2033" w:type="dxa"/>
          </w:tcPr>
          <w:p w:rsidR="00B13541" w:rsidRPr="00A019E2" w:rsidRDefault="00B431FB" w:rsidP="00B13541">
            <w:pPr>
              <w:jc w:val="center"/>
              <w:rPr>
                <w:sz w:val="20"/>
                <w:lang w:val="en-AU"/>
              </w:rPr>
            </w:pPr>
            <w:r w:rsidRPr="00A019E2">
              <w:rPr>
                <w:sz w:val="20"/>
                <w:lang w:val="en-AU"/>
              </w:rPr>
              <w:t>43 (26.5%)</w:t>
            </w:r>
          </w:p>
        </w:tc>
        <w:tc>
          <w:tcPr>
            <w:tcW w:w="2033" w:type="dxa"/>
          </w:tcPr>
          <w:p w:rsidR="00B13541" w:rsidRPr="00A019E2" w:rsidRDefault="00B431FB" w:rsidP="00B13541">
            <w:pPr>
              <w:jc w:val="center"/>
              <w:rPr>
                <w:sz w:val="20"/>
                <w:lang w:val="en-AU"/>
              </w:rPr>
            </w:pPr>
            <w:r w:rsidRPr="00A019E2">
              <w:rPr>
                <w:sz w:val="20"/>
                <w:lang w:val="en-AU"/>
              </w:rPr>
              <w:t>41 (26.1%)</w:t>
            </w:r>
          </w:p>
        </w:tc>
        <w:tc>
          <w:tcPr>
            <w:tcW w:w="2706" w:type="dxa"/>
          </w:tcPr>
          <w:p w:rsidR="00B13541" w:rsidRPr="00A019E2" w:rsidRDefault="00BF0E4E" w:rsidP="00B13541">
            <w:pPr>
              <w:keepNext/>
              <w:keepLines/>
              <w:spacing w:before="200" w:after="0"/>
              <w:jc w:val="center"/>
              <w:outlineLvl w:val="1"/>
              <w:rPr>
                <w:sz w:val="20"/>
                <w:lang w:val="en-AU"/>
              </w:rPr>
            </w:pPr>
            <w:r w:rsidRPr="00A019E2">
              <w:rPr>
                <w:sz w:val="20"/>
                <w:lang w:val="en-AU"/>
              </w:rPr>
              <w:t>-</w:t>
            </w:r>
          </w:p>
        </w:tc>
      </w:tr>
      <w:tr w:rsidR="00B13541" w:rsidRPr="00A019E2" w:rsidTr="00B13541">
        <w:tc>
          <w:tcPr>
            <w:tcW w:w="9287" w:type="dxa"/>
            <w:gridSpan w:val="4"/>
          </w:tcPr>
          <w:p w:rsidR="00B13541" w:rsidRPr="00A019E2" w:rsidRDefault="00E63FC4" w:rsidP="00B13541">
            <w:pPr>
              <w:rPr>
                <w:b/>
                <w:sz w:val="20"/>
                <w:lang w:val="en-AU"/>
              </w:rPr>
            </w:pPr>
            <w:r w:rsidRPr="00A019E2">
              <w:rPr>
                <w:b/>
                <w:sz w:val="20"/>
                <w:lang w:val="en-AU"/>
              </w:rPr>
              <w:t>Progression-Free Survival</w:t>
            </w:r>
            <w:r w:rsidRPr="00A019E2">
              <w:rPr>
                <w:rFonts w:cs="Arial"/>
                <w:b/>
                <w:sz w:val="20"/>
                <w:vertAlign w:val="superscript"/>
                <w:lang w:val="en-AU"/>
              </w:rPr>
              <w:t>††</w:t>
            </w:r>
          </w:p>
        </w:tc>
      </w:tr>
      <w:tr w:rsidR="00B13541" w:rsidRPr="00A019E2" w:rsidTr="00B13541">
        <w:tc>
          <w:tcPr>
            <w:tcW w:w="2515" w:type="dxa"/>
          </w:tcPr>
          <w:p w:rsidR="00B13541" w:rsidRPr="00A019E2" w:rsidRDefault="00D6316F" w:rsidP="00B13541">
            <w:pPr>
              <w:rPr>
                <w:sz w:val="20"/>
                <w:lang w:val="en-AU"/>
              </w:rPr>
            </w:pPr>
            <w:r w:rsidRPr="00A019E2">
              <w:rPr>
                <w:sz w:val="20"/>
                <w:lang w:val="en-AU"/>
              </w:rPr>
              <w:t>Median, month (95% CI)</w:t>
            </w:r>
          </w:p>
        </w:tc>
        <w:tc>
          <w:tcPr>
            <w:tcW w:w="2033" w:type="dxa"/>
          </w:tcPr>
          <w:p w:rsidR="00B13541" w:rsidRPr="00A019E2" w:rsidRDefault="00D6316F" w:rsidP="00B13541">
            <w:pPr>
              <w:jc w:val="center"/>
              <w:rPr>
                <w:sz w:val="20"/>
                <w:lang w:val="en-AU"/>
              </w:rPr>
            </w:pPr>
            <w:r w:rsidRPr="00A019E2">
              <w:rPr>
                <w:sz w:val="20"/>
                <w:lang w:val="en-AU"/>
              </w:rPr>
              <w:t>21.6 (18.6; 31.0)</w:t>
            </w:r>
          </w:p>
        </w:tc>
        <w:tc>
          <w:tcPr>
            <w:tcW w:w="2033" w:type="dxa"/>
          </w:tcPr>
          <w:p w:rsidR="00B13541" w:rsidRPr="00A019E2" w:rsidRDefault="00D6316F" w:rsidP="00B13541">
            <w:pPr>
              <w:jc w:val="center"/>
              <w:rPr>
                <w:sz w:val="20"/>
                <w:lang w:val="en-AU"/>
              </w:rPr>
            </w:pPr>
            <w:r w:rsidRPr="00A019E2">
              <w:rPr>
                <w:sz w:val="20"/>
                <w:lang w:val="en-AU"/>
              </w:rPr>
              <w:t>8.3 (5.9; 11.3)</w:t>
            </w:r>
          </w:p>
        </w:tc>
        <w:tc>
          <w:tcPr>
            <w:tcW w:w="2706" w:type="dxa"/>
          </w:tcPr>
          <w:p w:rsidR="00F552A4" w:rsidRPr="00A019E2" w:rsidRDefault="00D6316F">
            <w:pPr>
              <w:jc w:val="center"/>
              <w:rPr>
                <w:sz w:val="20"/>
                <w:lang w:val="en-AU"/>
              </w:rPr>
            </w:pPr>
            <w:r w:rsidRPr="00A019E2">
              <w:rPr>
                <w:sz w:val="20"/>
                <w:lang w:val="en-AU"/>
              </w:rPr>
              <w:t>-</w:t>
            </w:r>
          </w:p>
        </w:tc>
      </w:tr>
      <w:tr w:rsidR="00577F10" w:rsidRPr="00A019E2" w:rsidTr="00577F10">
        <w:tc>
          <w:tcPr>
            <w:tcW w:w="2515" w:type="dxa"/>
          </w:tcPr>
          <w:p w:rsidR="00577F10" w:rsidRPr="00A019E2" w:rsidRDefault="00D6316F" w:rsidP="00B13541">
            <w:pPr>
              <w:rPr>
                <w:sz w:val="20"/>
                <w:lang w:val="en-AU"/>
              </w:rPr>
            </w:pPr>
            <w:r w:rsidRPr="00A019E2">
              <w:rPr>
                <w:sz w:val="20"/>
                <w:lang w:val="en-AU"/>
              </w:rPr>
              <w:t>Hazard ratio (95% CI)</w:t>
            </w:r>
          </w:p>
        </w:tc>
        <w:tc>
          <w:tcPr>
            <w:tcW w:w="4066" w:type="dxa"/>
            <w:gridSpan w:val="2"/>
          </w:tcPr>
          <w:p w:rsidR="00577F10" w:rsidRPr="00A019E2" w:rsidRDefault="00D6316F" w:rsidP="00B13541">
            <w:pPr>
              <w:jc w:val="center"/>
              <w:rPr>
                <w:sz w:val="20"/>
                <w:lang w:val="en-AU"/>
              </w:rPr>
            </w:pPr>
            <w:r w:rsidRPr="00A019E2">
              <w:rPr>
                <w:sz w:val="20"/>
                <w:lang w:val="en-AU"/>
              </w:rPr>
              <w:t>0.27 (0.17, 0.43)</w:t>
            </w:r>
          </w:p>
        </w:tc>
        <w:tc>
          <w:tcPr>
            <w:tcW w:w="2706" w:type="dxa"/>
          </w:tcPr>
          <w:p w:rsidR="00F552A4" w:rsidRPr="00A019E2" w:rsidRDefault="00D6316F">
            <w:pPr>
              <w:jc w:val="center"/>
              <w:rPr>
                <w:sz w:val="20"/>
                <w:lang w:val="en-AU"/>
              </w:rPr>
            </w:pPr>
            <w:r w:rsidRPr="00A019E2">
              <w:rPr>
                <w:sz w:val="20"/>
                <w:lang w:val="en-AU"/>
              </w:rPr>
              <w:t>-</w:t>
            </w:r>
          </w:p>
        </w:tc>
      </w:tr>
    </w:tbl>
    <w:p w:rsidR="00B13541" w:rsidRPr="00A019E2" w:rsidRDefault="00D6316F" w:rsidP="00B13541">
      <w:pPr>
        <w:rPr>
          <w:sz w:val="18"/>
          <w:szCs w:val="18"/>
          <w:lang w:val="en-AU"/>
        </w:rPr>
      </w:pPr>
      <w:r w:rsidRPr="00A019E2">
        <w:rPr>
          <w:sz w:val="18"/>
          <w:szCs w:val="18"/>
          <w:lang w:val="en-AU"/>
        </w:rPr>
        <w:t>CI = confidence interval</w:t>
      </w:r>
    </w:p>
    <w:p w:rsidR="00925A2F" w:rsidRPr="00A019E2" w:rsidRDefault="00D6316F" w:rsidP="00925A2F">
      <w:pPr>
        <w:pStyle w:val="Default"/>
        <w:rPr>
          <w:rFonts w:cs="Arial"/>
          <w:sz w:val="18"/>
          <w:szCs w:val="18"/>
          <w:lang w:val="en-AU"/>
        </w:rPr>
      </w:pPr>
      <w:r w:rsidRPr="00A019E2">
        <w:rPr>
          <w:sz w:val="18"/>
          <w:szCs w:val="18"/>
          <w:lang w:val="en-AU"/>
        </w:rPr>
        <w:t xml:space="preserve">* </w:t>
      </w:r>
      <w:r w:rsidRPr="00A019E2">
        <w:rPr>
          <w:rFonts w:cs="Arial"/>
          <w:sz w:val="18"/>
          <w:szCs w:val="18"/>
          <w:lang w:val="en-AU"/>
        </w:rPr>
        <w:t xml:space="preserve">CLL response was valued as CR when all of the following criteria were met for at least 8 weeks after first response was observed: </w:t>
      </w:r>
    </w:p>
    <w:p w:rsidR="00925A2F" w:rsidRPr="00A019E2" w:rsidRDefault="00D6316F" w:rsidP="00925A2F">
      <w:pPr>
        <w:pStyle w:val="Default"/>
        <w:numPr>
          <w:ilvl w:val="0"/>
          <w:numId w:val="25"/>
        </w:numPr>
        <w:rPr>
          <w:rFonts w:cs="Arial"/>
          <w:sz w:val="18"/>
          <w:szCs w:val="18"/>
          <w:lang w:val="en-AU"/>
        </w:rPr>
      </w:pPr>
      <w:r w:rsidRPr="00A019E2">
        <w:rPr>
          <w:rFonts w:cs="Arial"/>
          <w:sz w:val="18"/>
          <w:szCs w:val="18"/>
          <w:lang w:val="en-AU"/>
        </w:rPr>
        <w:t xml:space="preserve">Enlarged lymph nodes are no longer detectable by palpation (X-ray or ultrasound are optional); </w:t>
      </w:r>
    </w:p>
    <w:p w:rsidR="00925A2F" w:rsidRPr="00A019E2" w:rsidRDefault="00D6316F" w:rsidP="00847C73">
      <w:pPr>
        <w:pStyle w:val="Default"/>
        <w:numPr>
          <w:ilvl w:val="0"/>
          <w:numId w:val="23"/>
        </w:numPr>
        <w:rPr>
          <w:rFonts w:cs="Arial"/>
          <w:sz w:val="18"/>
          <w:szCs w:val="18"/>
          <w:lang w:val="en-AU"/>
        </w:rPr>
      </w:pPr>
      <w:r w:rsidRPr="00A019E2">
        <w:rPr>
          <w:rFonts w:cs="Arial"/>
          <w:sz w:val="18"/>
          <w:szCs w:val="18"/>
          <w:lang w:val="en-AU"/>
        </w:rPr>
        <w:t xml:space="preserve">Absence of hepatomegaly or splenomegaly, confirmed by palpation. CT and ultrasound were optional; </w:t>
      </w:r>
    </w:p>
    <w:p w:rsidR="00925A2F" w:rsidRPr="00A019E2" w:rsidRDefault="00D6316F" w:rsidP="00847C73">
      <w:pPr>
        <w:pStyle w:val="Default"/>
        <w:numPr>
          <w:ilvl w:val="0"/>
          <w:numId w:val="23"/>
        </w:numPr>
        <w:rPr>
          <w:rFonts w:cs="Arial"/>
          <w:sz w:val="18"/>
          <w:szCs w:val="18"/>
          <w:lang w:val="en-AU"/>
        </w:rPr>
      </w:pPr>
      <w:r w:rsidRPr="00A019E2">
        <w:rPr>
          <w:rFonts w:cs="Arial"/>
          <w:sz w:val="18"/>
          <w:szCs w:val="18"/>
          <w:lang w:val="en-AU"/>
        </w:rPr>
        <w:t xml:space="preserve">No disease symptoms (B-symptoms); </w:t>
      </w:r>
    </w:p>
    <w:p w:rsidR="00925A2F" w:rsidRPr="00A019E2" w:rsidRDefault="00D6316F" w:rsidP="00847C73">
      <w:pPr>
        <w:pStyle w:val="Default"/>
        <w:numPr>
          <w:ilvl w:val="0"/>
          <w:numId w:val="23"/>
        </w:numPr>
        <w:rPr>
          <w:rFonts w:cs="Arial"/>
          <w:sz w:val="18"/>
          <w:szCs w:val="18"/>
          <w:lang w:val="en-AU"/>
        </w:rPr>
      </w:pPr>
      <w:r w:rsidRPr="00A019E2">
        <w:rPr>
          <w:rFonts w:cs="Arial"/>
          <w:sz w:val="18"/>
          <w:szCs w:val="18"/>
          <w:lang w:val="en-AU"/>
        </w:rPr>
        <w:t xml:space="preserve">Blood counts: </w:t>
      </w:r>
    </w:p>
    <w:p w:rsidR="00EF61E6" w:rsidRPr="00A019E2" w:rsidRDefault="00D6316F" w:rsidP="00EF61E6">
      <w:pPr>
        <w:pStyle w:val="Default"/>
        <w:numPr>
          <w:ilvl w:val="1"/>
          <w:numId w:val="23"/>
        </w:numPr>
        <w:rPr>
          <w:rFonts w:cs="Arial"/>
          <w:sz w:val="18"/>
          <w:szCs w:val="18"/>
          <w:lang w:val="en-AU"/>
        </w:rPr>
      </w:pPr>
      <w:r w:rsidRPr="00A019E2">
        <w:rPr>
          <w:rFonts w:cs="Arial"/>
          <w:sz w:val="18"/>
          <w:szCs w:val="18"/>
          <w:lang w:val="en-AU"/>
        </w:rPr>
        <w:t>Lym</w:t>
      </w:r>
      <w:r w:rsidR="00FF3C28">
        <w:rPr>
          <w:rFonts w:cs="Arial"/>
          <w:sz w:val="18"/>
          <w:szCs w:val="18"/>
          <w:lang w:val="en-AU"/>
        </w:rPr>
        <w:t>p</w:t>
      </w:r>
      <w:r w:rsidR="003A1363" w:rsidRPr="003A1363">
        <w:rPr>
          <w:rFonts w:cs="Arial"/>
          <w:sz w:val="18"/>
          <w:szCs w:val="18"/>
          <w:lang w:val="en-AU"/>
        </w:rPr>
        <w:t>hocytes ≤ 4.0X10</w:t>
      </w:r>
      <w:r w:rsidR="003A1363" w:rsidRPr="003A1363">
        <w:rPr>
          <w:rFonts w:cs="Arial"/>
          <w:sz w:val="18"/>
          <w:szCs w:val="18"/>
          <w:vertAlign w:val="superscript"/>
          <w:lang w:val="en-AU"/>
        </w:rPr>
        <w:t>9</w:t>
      </w:r>
      <w:r w:rsidR="003A1363" w:rsidRPr="003A1363">
        <w:rPr>
          <w:rFonts w:cs="Arial"/>
          <w:sz w:val="18"/>
          <w:szCs w:val="18"/>
          <w:lang w:val="en-AU"/>
        </w:rPr>
        <w:t>/L</w:t>
      </w:r>
    </w:p>
    <w:p w:rsidR="00EF61E6" w:rsidRPr="00A019E2" w:rsidRDefault="003A1363" w:rsidP="00EF61E6">
      <w:pPr>
        <w:pStyle w:val="Default"/>
        <w:numPr>
          <w:ilvl w:val="1"/>
          <w:numId w:val="23"/>
        </w:numPr>
        <w:rPr>
          <w:rFonts w:cs="Arial"/>
          <w:sz w:val="18"/>
          <w:szCs w:val="18"/>
          <w:lang w:val="en-AU"/>
        </w:rPr>
      </w:pPr>
      <w:r w:rsidRPr="003A1363">
        <w:rPr>
          <w:rFonts w:cs="Arial"/>
          <w:sz w:val="18"/>
          <w:szCs w:val="18"/>
          <w:lang w:val="en-AU"/>
        </w:rPr>
        <w:t>Neutrophils ≥ 1.5X10</w:t>
      </w:r>
      <w:r w:rsidRPr="003A1363">
        <w:rPr>
          <w:rFonts w:cs="Arial"/>
          <w:sz w:val="18"/>
          <w:szCs w:val="18"/>
          <w:vertAlign w:val="superscript"/>
          <w:lang w:val="en-AU"/>
        </w:rPr>
        <w:t>9</w:t>
      </w:r>
      <w:r w:rsidRPr="003A1363">
        <w:rPr>
          <w:rFonts w:cs="Arial"/>
          <w:sz w:val="18"/>
          <w:szCs w:val="18"/>
          <w:lang w:val="en-AU"/>
        </w:rPr>
        <w:t>/L</w:t>
      </w:r>
    </w:p>
    <w:p w:rsidR="00EF61E6" w:rsidRPr="00A019E2" w:rsidRDefault="003A1363" w:rsidP="00EF61E6">
      <w:pPr>
        <w:pStyle w:val="Default"/>
        <w:numPr>
          <w:ilvl w:val="1"/>
          <w:numId w:val="23"/>
        </w:numPr>
        <w:rPr>
          <w:rFonts w:cs="Arial"/>
          <w:sz w:val="18"/>
          <w:szCs w:val="18"/>
          <w:lang w:val="en-AU"/>
        </w:rPr>
      </w:pPr>
      <w:r w:rsidRPr="003A1363">
        <w:rPr>
          <w:rFonts w:cs="Arial"/>
          <w:sz w:val="18"/>
          <w:szCs w:val="18"/>
          <w:lang w:val="en-AU"/>
        </w:rPr>
        <w:t>Platelets &gt; 100X10</w:t>
      </w:r>
      <w:r w:rsidRPr="003A1363">
        <w:rPr>
          <w:rFonts w:cs="Arial"/>
          <w:sz w:val="18"/>
          <w:szCs w:val="18"/>
          <w:vertAlign w:val="superscript"/>
          <w:lang w:val="en-AU"/>
        </w:rPr>
        <w:t>9</w:t>
      </w:r>
      <w:r w:rsidRPr="003A1363">
        <w:rPr>
          <w:rFonts w:cs="Arial"/>
          <w:sz w:val="18"/>
          <w:szCs w:val="18"/>
          <w:lang w:val="en-AU"/>
        </w:rPr>
        <w:t>/L</w:t>
      </w:r>
    </w:p>
    <w:p w:rsidR="00925A2F" w:rsidRPr="00A019E2" w:rsidRDefault="00FF3C28" w:rsidP="003B76DB">
      <w:pPr>
        <w:pStyle w:val="Default"/>
        <w:numPr>
          <w:ilvl w:val="1"/>
          <w:numId w:val="23"/>
        </w:numPr>
        <w:rPr>
          <w:rFonts w:cs="Arial"/>
          <w:sz w:val="18"/>
          <w:szCs w:val="18"/>
          <w:lang w:val="en-AU"/>
        </w:rPr>
      </w:pPr>
      <w:r w:rsidRPr="00A019E2">
        <w:rPr>
          <w:rFonts w:cs="Arial"/>
          <w:sz w:val="18"/>
          <w:szCs w:val="18"/>
          <w:lang w:val="en-AU"/>
        </w:rPr>
        <w:t>Haemoglobin</w:t>
      </w:r>
      <w:r w:rsidR="003A1363" w:rsidRPr="003A1363">
        <w:rPr>
          <w:rFonts w:cs="Arial"/>
          <w:sz w:val="18"/>
          <w:szCs w:val="18"/>
          <w:lang w:val="en-AU"/>
        </w:rPr>
        <w:t xml:space="preserve"> &gt; 11 g/dL (without blood transfusion)</w:t>
      </w:r>
    </w:p>
    <w:p w:rsidR="00B13541" w:rsidRPr="00A019E2" w:rsidRDefault="003A1363" w:rsidP="00847C73">
      <w:pPr>
        <w:pStyle w:val="Default"/>
        <w:numPr>
          <w:ilvl w:val="0"/>
          <w:numId w:val="23"/>
        </w:numPr>
        <w:rPr>
          <w:rFonts w:cs="Arial"/>
          <w:sz w:val="18"/>
          <w:szCs w:val="18"/>
          <w:lang w:val="en-AU"/>
        </w:rPr>
      </w:pPr>
      <w:r w:rsidRPr="003A1363">
        <w:rPr>
          <w:rFonts w:cs="Arial"/>
          <w:sz w:val="18"/>
          <w:szCs w:val="18"/>
          <w:lang w:val="en-AU"/>
        </w:rPr>
        <w:t xml:space="preserve">Bone marrow biopsy (histology and cytology) was to be performed 8 weeks after meeting the above criteria. The bone marrow had to be at least normocellular for age, with less than 30% lymphocytes. </w:t>
      </w:r>
    </w:p>
    <w:p w:rsidR="00B13541" w:rsidRPr="00A019E2" w:rsidRDefault="003A1363" w:rsidP="00B13541">
      <w:pPr>
        <w:rPr>
          <w:sz w:val="18"/>
          <w:szCs w:val="18"/>
          <w:lang w:val="en-AU"/>
        </w:rPr>
      </w:pPr>
      <w:r w:rsidRPr="003A1363">
        <w:rPr>
          <w:sz w:val="18"/>
          <w:szCs w:val="18"/>
          <w:lang w:val="en-AU"/>
        </w:rPr>
        <w:t>** nPR was defined as described for CR with lymphocyte being less than 30% in the bone marrow sample but still showing focal infiltration.</w:t>
      </w:r>
    </w:p>
    <w:p w:rsidR="00B13541" w:rsidRPr="00A019E2" w:rsidRDefault="003A1363" w:rsidP="00B13541">
      <w:pPr>
        <w:rPr>
          <w:sz w:val="18"/>
          <w:szCs w:val="18"/>
          <w:lang w:val="en-AU"/>
        </w:rPr>
      </w:pPr>
      <w:r w:rsidRPr="003A1363">
        <w:rPr>
          <w:sz w:val="18"/>
          <w:szCs w:val="18"/>
          <w:vertAlign w:val="superscript"/>
          <w:lang w:val="en-AU"/>
        </w:rPr>
        <w:t>†</w:t>
      </w:r>
      <w:r w:rsidRPr="003A1363">
        <w:rPr>
          <w:sz w:val="18"/>
          <w:szCs w:val="18"/>
          <w:lang w:val="en-AU"/>
        </w:rPr>
        <w:t xml:space="preserve"> PR was defined as </w:t>
      </w:r>
      <w:r w:rsidRPr="003A1363">
        <w:rPr>
          <w:rFonts w:cs="Arial"/>
          <w:sz w:val="18"/>
          <w:szCs w:val="18"/>
          <w:lang w:val="en-AU"/>
        </w:rPr>
        <w:t>≥</w:t>
      </w:r>
      <w:r w:rsidRPr="003A1363">
        <w:rPr>
          <w:sz w:val="18"/>
          <w:szCs w:val="18"/>
          <w:lang w:val="en-AU"/>
        </w:rPr>
        <w:t>50% decrease in peripheral blood lymphocyte count from the pre</w:t>
      </w:r>
      <w:r w:rsidR="00FF3C28">
        <w:rPr>
          <w:sz w:val="18"/>
          <w:szCs w:val="18"/>
          <w:lang w:val="en-AU"/>
        </w:rPr>
        <w:t>-</w:t>
      </w:r>
      <w:r w:rsidRPr="003A1363">
        <w:rPr>
          <w:sz w:val="18"/>
          <w:szCs w:val="18"/>
          <w:lang w:val="en-AU"/>
        </w:rPr>
        <w:t xml:space="preserve">treatment baseline value, and either </w:t>
      </w:r>
      <w:r w:rsidRPr="003A1363">
        <w:rPr>
          <w:rFonts w:cs="Arial"/>
          <w:sz w:val="18"/>
          <w:szCs w:val="18"/>
          <w:lang w:val="en-AU"/>
        </w:rPr>
        <w:t>≥</w:t>
      </w:r>
      <w:r w:rsidRPr="003A1363">
        <w:rPr>
          <w:sz w:val="18"/>
          <w:szCs w:val="18"/>
          <w:lang w:val="en-AU"/>
        </w:rPr>
        <w:t>50% reduction of enlarged lymph nodes (total of affected lymph nodes), or 50% reduction of hepatomegaly and/or spl</w:t>
      </w:r>
      <w:r w:rsidR="00FF3C28">
        <w:rPr>
          <w:sz w:val="18"/>
          <w:szCs w:val="18"/>
          <w:lang w:val="en-AU"/>
        </w:rPr>
        <w:t>en</w:t>
      </w:r>
      <w:r w:rsidRPr="003A1363">
        <w:rPr>
          <w:sz w:val="18"/>
          <w:szCs w:val="18"/>
          <w:lang w:val="en-AU"/>
        </w:rPr>
        <w:t xml:space="preserve">omegaly, as well as one of the following </w:t>
      </w:r>
      <w:r w:rsidR="00FF3C28" w:rsidRPr="00A019E2">
        <w:rPr>
          <w:sz w:val="18"/>
          <w:szCs w:val="18"/>
          <w:lang w:val="en-AU"/>
        </w:rPr>
        <w:t>hematologic</w:t>
      </w:r>
      <w:r w:rsidRPr="003A1363">
        <w:rPr>
          <w:sz w:val="18"/>
          <w:szCs w:val="18"/>
          <w:lang w:val="en-AU"/>
        </w:rPr>
        <w:t xml:space="preserve"> improvements: neutrophils </w:t>
      </w:r>
      <w:r w:rsidRPr="003A1363">
        <w:rPr>
          <w:rFonts w:cs="Arial"/>
          <w:sz w:val="18"/>
          <w:szCs w:val="18"/>
          <w:lang w:val="en-AU"/>
        </w:rPr>
        <w:t>≥</w:t>
      </w:r>
      <w:r w:rsidRPr="003A1363">
        <w:rPr>
          <w:sz w:val="18"/>
          <w:szCs w:val="18"/>
          <w:lang w:val="en-AU"/>
        </w:rPr>
        <w:t xml:space="preserve"> 1.5 x 109/L or 50% improvement over baseline, platelets &gt;100 x 109/L or 50% improvement over baseline, haemoglobin &gt;11g/dL or 50% improvement over baseline without transfusions, for a period of at least 8 weeks.</w:t>
      </w:r>
    </w:p>
    <w:p w:rsidR="00B13541" w:rsidRPr="00A019E2" w:rsidRDefault="003A1363" w:rsidP="00B13541">
      <w:pPr>
        <w:rPr>
          <w:sz w:val="18"/>
          <w:szCs w:val="18"/>
          <w:lang w:val="en-AU"/>
        </w:rPr>
      </w:pPr>
      <w:r w:rsidRPr="003A1363">
        <w:rPr>
          <w:sz w:val="18"/>
          <w:szCs w:val="18"/>
          <w:vertAlign w:val="superscript"/>
          <w:lang w:val="en-AU"/>
        </w:rPr>
        <w:lastRenderedPageBreak/>
        <w:t>††</w:t>
      </w:r>
      <w:r w:rsidRPr="003A1363">
        <w:rPr>
          <w:sz w:val="18"/>
          <w:szCs w:val="18"/>
          <w:lang w:val="en-AU"/>
        </w:rPr>
        <w:t xml:space="preserve"> PFS was defined as time from randomization to progression or relapse after inter-current remission or death from any cause.</w:t>
      </w:r>
    </w:p>
    <w:p w:rsidR="00B13541" w:rsidRPr="00F06F04" w:rsidRDefault="003A1363" w:rsidP="00B13541">
      <w:pPr>
        <w:rPr>
          <w:rFonts w:cstheme="minorHAnsi"/>
          <w:lang w:val="en-AU"/>
        </w:rPr>
      </w:pPr>
      <w:r w:rsidRPr="003A1363">
        <w:rPr>
          <w:rFonts w:cstheme="minorHAnsi"/>
          <w:lang w:val="en-AU"/>
        </w:rPr>
        <w:t>Complete response is lower than noted in Table 1 - for both bendamustine and chlorambucil - if there is a requirement for imaging to confirm lymph nodes &lt;/= 1.5 cm</w:t>
      </w:r>
    </w:p>
    <w:p w:rsidR="00B13541" w:rsidRPr="00A019E2" w:rsidRDefault="003A1363" w:rsidP="00B13541">
      <w:pPr>
        <w:rPr>
          <w:lang w:val="en-AU"/>
        </w:rPr>
      </w:pPr>
      <w:r w:rsidRPr="003A1363">
        <w:rPr>
          <w:lang w:val="en-AU"/>
        </w:rPr>
        <w:t xml:space="preserve">Progression free survival based upon the Independent Committee Response Assessment (ICRA) criteria by treatment group in the follow-up report (ITT analysis) in Study 02CLLIII is shown in Figure 1. </w:t>
      </w:r>
    </w:p>
    <w:p w:rsidR="00B13541" w:rsidRPr="00A019E2" w:rsidRDefault="00B13541" w:rsidP="00B13541">
      <w:pPr>
        <w:rPr>
          <w:lang w:val="en-AU"/>
        </w:rPr>
      </w:pPr>
    </w:p>
    <w:p w:rsidR="00B13541" w:rsidRPr="00A019E2" w:rsidRDefault="003A1363" w:rsidP="00B13541">
      <w:pPr>
        <w:rPr>
          <w:lang w:val="en-AU"/>
        </w:rPr>
      </w:pPr>
      <w:r w:rsidRPr="003A1363">
        <w:rPr>
          <w:lang w:val="en-AU"/>
        </w:rPr>
        <w:t xml:space="preserve">   </w:t>
      </w:r>
      <w:r w:rsidR="006B7343" w:rsidRPr="00F06F04">
        <w:rPr>
          <w:noProof/>
          <w:lang w:val="en-AU" w:eastAsia="en-AU" w:bidi="ar-SA"/>
        </w:rPr>
        <w:drawing>
          <wp:inline distT="0" distB="0" distL="0" distR="0">
            <wp:extent cx="5624623" cy="3274982"/>
            <wp:effectExtent l="19050" t="0" r="0" b="0"/>
            <wp:docPr id="4" name="Picture 3" descr="untitled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02.bmp"/>
                    <pic:cNvPicPr/>
                  </pic:nvPicPr>
                  <pic:blipFill>
                    <a:blip r:embed="rId10" cstate="print"/>
                    <a:stretch>
                      <a:fillRect/>
                    </a:stretch>
                  </pic:blipFill>
                  <pic:spPr>
                    <a:xfrm>
                      <a:off x="0" y="0"/>
                      <a:ext cx="5619767" cy="3272155"/>
                    </a:xfrm>
                    <a:prstGeom prst="rect">
                      <a:avLst/>
                    </a:prstGeom>
                  </pic:spPr>
                </pic:pic>
              </a:graphicData>
            </a:graphic>
          </wp:inline>
        </w:drawing>
      </w:r>
    </w:p>
    <w:p w:rsidR="006B7343" w:rsidRPr="00A019E2" w:rsidRDefault="003A1363" w:rsidP="00B13541">
      <w:pPr>
        <w:rPr>
          <w:b/>
          <w:lang w:val="en-AU"/>
        </w:rPr>
      </w:pPr>
      <w:r w:rsidRPr="003A1363">
        <w:rPr>
          <w:b/>
          <w:lang w:val="en-AU"/>
        </w:rPr>
        <w:t>Figure 1: Progression free survival based upon the Independent Committee Response Assessment (ICRA) criteria by treatment group in the follow-up report ITT analysis in Study 02CLLIII</w:t>
      </w:r>
    </w:p>
    <w:p w:rsidR="00B13541" w:rsidRPr="00A019E2" w:rsidRDefault="00B13541" w:rsidP="0033282E">
      <w:pPr>
        <w:pStyle w:val="PIHEADING2"/>
        <w:keepLines/>
        <w:tabs>
          <w:tab w:val="clear" w:pos="-720"/>
        </w:tabs>
        <w:suppressAutoHyphens w:val="0"/>
        <w:rPr>
          <w:rFonts w:cs="Arial"/>
          <w:bCs/>
          <w:i/>
          <w:spacing w:val="0"/>
          <w:lang w:val="en-AU"/>
        </w:rPr>
      </w:pPr>
    </w:p>
    <w:p w:rsidR="0033282E" w:rsidRPr="00A019E2" w:rsidRDefault="003A1363" w:rsidP="0033282E">
      <w:pPr>
        <w:pStyle w:val="PIHEADING2"/>
        <w:keepLines/>
        <w:tabs>
          <w:tab w:val="clear" w:pos="-720"/>
        </w:tabs>
        <w:suppressAutoHyphens w:val="0"/>
        <w:rPr>
          <w:rFonts w:cs="Arial"/>
          <w:bCs/>
          <w:i/>
          <w:spacing w:val="0"/>
          <w:lang w:val="en-AU"/>
        </w:rPr>
      </w:pPr>
      <w:r w:rsidRPr="003A1363">
        <w:rPr>
          <w:rFonts w:cs="Arial"/>
          <w:bCs/>
          <w:i/>
          <w:spacing w:val="0"/>
          <w:lang w:val="en-AU"/>
        </w:rPr>
        <w:t xml:space="preserve">Previously Untreated Advanced Indolent Non-Hodgkin’s Lymphoma (NHL) and Mantle Cell Lymphoma (MCL) </w:t>
      </w:r>
    </w:p>
    <w:p w:rsidR="00DF1949" w:rsidRPr="00A019E2" w:rsidRDefault="003A1363" w:rsidP="0033282E">
      <w:pPr>
        <w:spacing w:before="20" w:after="80"/>
        <w:rPr>
          <w:snapToGrid w:val="0"/>
          <w:lang w:val="en-AU"/>
        </w:rPr>
      </w:pPr>
      <w:r w:rsidRPr="003A1363">
        <w:rPr>
          <w:snapToGrid w:val="0"/>
          <w:lang w:val="en-AU"/>
        </w:rPr>
        <w:t xml:space="preserve">The safety and efficacy of RIBOMUSTIN in previously untreated advanced indolent NHL and MCL have been assessed in a Phase III trial. </w:t>
      </w:r>
    </w:p>
    <w:p w:rsidR="0033282E" w:rsidRPr="00A019E2" w:rsidRDefault="003A1363" w:rsidP="0033282E">
      <w:pPr>
        <w:spacing w:before="20" w:after="80"/>
        <w:rPr>
          <w:lang w:val="en-AU"/>
        </w:rPr>
      </w:pPr>
      <w:r w:rsidRPr="003A1363">
        <w:rPr>
          <w:snapToGrid w:val="0"/>
          <w:lang w:val="en-AU"/>
        </w:rPr>
        <w:t>The NHL1-2003 study is a prospective phase III, multicentre, randomised (1:1), non-inferiority, open-label clinical study of 549 patients, conducted to determine that RIBOMUSTIN (</w:t>
      </w:r>
      <w:r w:rsidRPr="003A1363">
        <w:rPr>
          <w:lang w:val="en-AU"/>
        </w:rPr>
        <w:t>90 mg/m</w:t>
      </w:r>
      <w:r w:rsidRPr="003A1363">
        <w:rPr>
          <w:vertAlign w:val="superscript"/>
          <w:lang w:val="en-AU"/>
        </w:rPr>
        <w:t>2</w:t>
      </w:r>
      <w:r w:rsidRPr="003A1363">
        <w:rPr>
          <w:snapToGrid w:val="0"/>
          <w:lang w:val="en-AU"/>
        </w:rPr>
        <w:t xml:space="preserve">) in combination with rituximab </w:t>
      </w:r>
      <w:r w:rsidRPr="003A1363">
        <w:rPr>
          <w:lang w:val="en-AU"/>
        </w:rPr>
        <w:t>375 mg/m</w:t>
      </w:r>
      <w:r w:rsidRPr="003A1363">
        <w:rPr>
          <w:vertAlign w:val="superscript"/>
          <w:lang w:val="en-AU"/>
        </w:rPr>
        <w:t>2</w:t>
      </w:r>
      <w:r w:rsidRPr="003A1363">
        <w:rPr>
          <w:lang w:val="en-AU"/>
        </w:rPr>
        <w:t xml:space="preserve"> </w:t>
      </w:r>
      <w:r w:rsidRPr="003A1363">
        <w:rPr>
          <w:snapToGrid w:val="0"/>
          <w:lang w:val="en-AU"/>
        </w:rPr>
        <w:t>is non-inferior to CHOP (cycles every 3 weeks of cyclophosphamide 750 mg/m</w:t>
      </w:r>
      <w:r w:rsidRPr="003A1363">
        <w:rPr>
          <w:snapToGrid w:val="0"/>
          <w:vertAlign w:val="superscript"/>
          <w:lang w:val="en-AU"/>
        </w:rPr>
        <w:t>2</w:t>
      </w:r>
      <w:r w:rsidRPr="003A1363">
        <w:rPr>
          <w:snapToGrid w:val="0"/>
          <w:lang w:val="en-AU"/>
        </w:rPr>
        <w:t>, doxorubicin 50 mg/m</w:t>
      </w:r>
      <w:r w:rsidRPr="003A1363">
        <w:rPr>
          <w:snapToGrid w:val="0"/>
          <w:vertAlign w:val="superscript"/>
          <w:lang w:val="en-AU"/>
        </w:rPr>
        <w:t>2</w:t>
      </w:r>
      <w:r w:rsidRPr="003A1363">
        <w:rPr>
          <w:snapToGrid w:val="0"/>
          <w:lang w:val="en-AU"/>
        </w:rPr>
        <w:t>, and vincristine 1.4 mg/m</w:t>
      </w:r>
      <w:r w:rsidRPr="003A1363">
        <w:rPr>
          <w:snapToGrid w:val="0"/>
          <w:vertAlign w:val="superscript"/>
          <w:lang w:val="en-AU"/>
        </w:rPr>
        <w:t>2</w:t>
      </w:r>
      <w:r w:rsidRPr="003A1363">
        <w:rPr>
          <w:snapToGrid w:val="0"/>
          <w:lang w:val="en-AU"/>
        </w:rPr>
        <w:t xml:space="preserve"> on day 1, and prednisone 100 mg/day for 5 days) plus rituximab 375 mg/m</w:t>
      </w:r>
      <w:r w:rsidRPr="003A1363">
        <w:rPr>
          <w:snapToGrid w:val="0"/>
          <w:vertAlign w:val="superscript"/>
          <w:lang w:val="en-AU"/>
        </w:rPr>
        <w:t>2</w:t>
      </w:r>
      <w:r w:rsidRPr="003A1363">
        <w:rPr>
          <w:snapToGrid w:val="0"/>
          <w:lang w:val="en-AU"/>
        </w:rPr>
        <w:t xml:space="preserve">.  Rituximab was administered in both </w:t>
      </w:r>
      <w:r w:rsidRPr="003A1363">
        <w:rPr>
          <w:snapToGrid w:val="0"/>
          <w:lang w:val="en-AU"/>
        </w:rPr>
        <w:lastRenderedPageBreak/>
        <w:t xml:space="preserve">treatment arms </w:t>
      </w:r>
      <w:r w:rsidRPr="003A1363">
        <w:rPr>
          <w:lang w:val="en-AU"/>
        </w:rPr>
        <w:t>on day 1 of each cycle</w:t>
      </w:r>
      <w:r w:rsidRPr="003A1363">
        <w:rPr>
          <w:snapToGrid w:val="0"/>
          <w:lang w:val="en-AU"/>
        </w:rPr>
        <w:t xml:space="preserve">. </w:t>
      </w:r>
      <w:r w:rsidRPr="003A1363">
        <w:rPr>
          <w:lang w:val="en-AU"/>
        </w:rPr>
        <w:t>Treatment was administered for a maximum of 6 cycles.  Baseline demographics and patient characteristics are summarized in Table 2.</w:t>
      </w:r>
    </w:p>
    <w:p w:rsidR="00C769C0" w:rsidRPr="00A019E2" w:rsidRDefault="003A1363" w:rsidP="00C769C0">
      <w:pPr>
        <w:spacing w:before="20" w:after="80"/>
        <w:rPr>
          <w:lang w:val="en-AU"/>
        </w:rPr>
      </w:pPr>
      <w:r w:rsidRPr="003A1363">
        <w:rPr>
          <w:lang w:val="en-AU"/>
        </w:rPr>
        <w:t>Patients were stratified by histological lymphoma subtype, then randomly assigned according to a pre-specified randomisation list to receive either intravenous bendamustine (90 mg/m² on days 1 and 2 of a 4-week cycle) or CHOP (cycles every 3 weeks of cyclophosphamide 750 mg/m², doxorubicin 50 mg/m², and vincristine 1·4 mg/m² on day 1, and prednisone 100 mg/day for 5 days) for a maximum of six cycles. Patients in both groups received rituximab 375 mg/m² on day 1 of each cycle. Patients aged 18 years or older with a WHO performance status of 2 or less were eligible if they had newly diagnosed stage III or IV indolent or mantle-cell lymphoma.  Patients and treating physicians were not masked to treatment allocation. The primary endpoint was progression-free survival, with a non-inferiority margin of 10%.</w:t>
      </w:r>
    </w:p>
    <w:p w:rsidR="0033282E" w:rsidRPr="00A019E2" w:rsidRDefault="003A1363" w:rsidP="0033282E">
      <w:pPr>
        <w:pStyle w:val="tabletitleCharChar"/>
        <w:spacing w:before="20" w:after="80"/>
        <w:ind w:left="0" w:firstLine="0"/>
        <w:rPr>
          <w:rFonts w:asciiTheme="minorHAnsi" w:hAnsiTheme="minorHAnsi" w:cs="Arial"/>
          <w:lang w:val="en-AU"/>
        </w:rPr>
      </w:pPr>
      <w:r w:rsidRPr="003A1363">
        <w:rPr>
          <w:rFonts w:asciiTheme="minorHAnsi" w:hAnsiTheme="minorHAnsi" w:cs="Arial"/>
          <w:lang w:val="en-AU"/>
        </w:rPr>
        <w:t>Table 2:</w:t>
      </w:r>
      <w:r w:rsidRPr="003A1363">
        <w:rPr>
          <w:rFonts w:asciiTheme="minorHAnsi" w:hAnsiTheme="minorHAnsi" w:cs="Arial"/>
          <w:bCs/>
          <w:lang w:val="en-AU"/>
        </w:rPr>
        <w:t xml:space="preserve"> Summary of Baseline Patient and Disease Characteristics in the NHL1-2003 Study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385"/>
        <w:gridCol w:w="2385"/>
      </w:tblGrid>
      <w:tr w:rsidR="0033282E" w:rsidRPr="00A019E2" w:rsidTr="0033282E">
        <w:trPr>
          <w:trHeight w:val="550"/>
        </w:trPr>
        <w:tc>
          <w:tcPr>
            <w:tcW w:w="4788" w:type="dxa"/>
            <w:vAlign w:val="bottom"/>
          </w:tcPr>
          <w:p w:rsidR="0033282E" w:rsidRPr="00A019E2" w:rsidRDefault="003A1363" w:rsidP="0033282E">
            <w:pPr>
              <w:keepNext/>
              <w:spacing w:before="20" w:after="20"/>
              <w:rPr>
                <w:rFonts w:cs="Arial"/>
                <w:sz w:val="20"/>
                <w:lang w:val="en-AU"/>
              </w:rPr>
            </w:pPr>
            <w:r w:rsidRPr="003A1363">
              <w:rPr>
                <w:rFonts w:cs="Arial"/>
                <w:b/>
                <w:sz w:val="20"/>
                <w:lang w:val="en-AU"/>
              </w:rPr>
              <w:t>Patient Characteristics</w:t>
            </w:r>
          </w:p>
        </w:tc>
        <w:tc>
          <w:tcPr>
            <w:tcW w:w="2385" w:type="dxa"/>
          </w:tcPr>
          <w:p w:rsidR="0033282E" w:rsidRPr="00A019E2" w:rsidRDefault="003A1363" w:rsidP="0033282E">
            <w:pPr>
              <w:keepNext/>
              <w:spacing w:before="20" w:after="20"/>
              <w:jc w:val="center"/>
              <w:rPr>
                <w:rFonts w:cs="Arial"/>
                <w:b/>
                <w:sz w:val="20"/>
                <w:lang w:val="en-AU"/>
              </w:rPr>
            </w:pPr>
            <w:r w:rsidRPr="003A1363">
              <w:rPr>
                <w:rFonts w:cs="Arial"/>
                <w:b/>
                <w:sz w:val="20"/>
                <w:lang w:val="en-AU"/>
              </w:rPr>
              <w:t>B-R</w:t>
            </w:r>
          </w:p>
          <w:p w:rsidR="0033282E" w:rsidRPr="00A019E2" w:rsidRDefault="003A1363" w:rsidP="00144FA0">
            <w:pPr>
              <w:keepNext/>
              <w:spacing w:before="20" w:after="20"/>
              <w:jc w:val="center"/>
              <w:rPr>
                <w:rFonts w:cs="Arial"/>
                <w:sz w:val="20"/>
                <w:lang w:val="en-AU"/>
              </w:rPr>
            </w:pPr>
            <w:r w:rsidRPr="003A1363">
              <w:rPr>
                <w:rFonts w:cs="Arial"/>
                <w:b/>
                <w:sz w:val="20"/>
                <w:lang w:val="en-AU"/>
              </w:rPr>
              <w:t>N=261</w:t>
            </w:r>
          </w:p>
        </w:tc>
        <w:tc>
          <w:tcPr>
            <w:tcW w:w="2385" w:type="dxa"/>
          </w:tcPr>
          <w:p w:rsidR="0033282E" w:rsidRPr="00A019E2" w:rsidRDefault="003A1363" w:rsidP="0033282E">
            <w:pPr>
              <w:keepNext/>
              <w:spacing w:before="20" w:after="20"/>
              <w:jc w:val="center"/>
              <w:rPr>
                <w:rFonts w:cs="Arial"/>
                <w:b/>
                <w:sz w:val="20"/>
                <w:lang w:val="en-AU"/>
              </w:rPr>
            </w:pPr>
            <w:r w:rsidRPr="003A1363">
              <w:rPr>
                <w:rFonts w:cs="Arial"/>
                <w:b/>
                <w:sz w:val="20"/>
                <w:lang w:val="en-AU"/>
              </w:rPr>
              <w:t>CHOP-R</w:t>
            </w:r>
          </w:p>
          <w:p w:rsidR="0033282E" w:rsidRPr="00A019E2" w:rsidRDefault="003A1363" w:rsidP="00144FA0">
            <w:pPr>
              <w:keepNext/>
              <w:spacing w:before="20" w:after="20"/>
              <w:jc w:val="center"/>
              <w:rPr>
                <w:rFonts w:cs="Arial"/>
                <w:b/>
                <w:sz w:val="20"/>
                <w:lang w:val="en-AU"/>
              </w:rPr>
            </w:pPr>
            <w:r w:rsidRPr="003A1363">
              <w:rPr>
                <w:rFonts w:cs="Arial"/>
                <w:b/>
                <w:sz w:val="20"/>
                <w:lang w:val="en-AU"/>
              </w:rPr>
              <w:t>N=253</w:t>
            </w:r>
          </w:p>
        </w:tc>
      </w:tr>
      <w:tr w:rsidR="0033282E" w:rsidRPr="00A019E2" w:rsidTr="0033282E">
        <w:tc>
          <w:tcPr>
            <w:tcW w:w="4788" w:type="dxa"/>
          </w:tcPr>
          <w:p w:rsidR="0033282E" w:rsidRPr="00A019E2" w:rsidRDefault="003A1363" w:rsidP="004D670A">
            <w:pPr>
              <w:pStyle w:val="TableBody-tight"/>
              <w:ind w:left="162"/>
              <w:rPr>
                <w:rFonts w:asciiTheme="minorHAnsi" w:hAnsiTheme="minorHAnsi" w:cs="Arial"/>
                <w:lang w:val="en-AU"/>
              </w:rPr>
            </w:pPr>
            <w:r w:rsidRPr="003A1363">
              <w:rPr>
                <w:rFonts w:asciiTheme="minorHAnsi" w:hAnsiTheme="minorHAnsi" w:cs="Arial"/>
                <w:lang w:val="en-AU"/>
              </w:rPr>
              <w:t>Age (years)</w:t>
            </w:r>
          </w:p>
        </w:tc>
        <w:tc>
          <w:tcPr>
            <w:tcW w:w="2385" w:type="dxa"/>
          </w:tcPr>
          <w:p w:rsidR="0033282E" w:rsidRPr="00A019E2" w:rsidRDefault="003A1363" w:rsidP="004D670A">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64 (34-83)</w:t>
            </w:r>
          </w:p>
        </w:tc>
        <w:tc>
          <w:tcPr>
            <w:tcW w:w="2385" w:type="dxa"/>
          </w:tcPr>
          <w:p w:rsidR="0033282E" w:rsidRPr="00A019E2" w:rsidRDefault="003A1363" w:rsidP="004D670A">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63 (31-82)</w:t>
            </w:r>
          </w:p>
        </w:tc>
      </w:tr>
      <w:tr w:rsidR="0033282E" w:rsidRPr="00A019E2" w:rsidTr="0033282E">
        <w:tc>
          <w:tcPr>
            <w:tcW w:w="4788" w:type="dxa"/>
          </w:tcPr>
          <w:p w:rsidR="0033282E" w:rsidRPr="00A019E2" w:rsidRDefault="003A1363" w:rsidP="004D670A">
            <w:pPr>
              <w:pStyle w:val="TableBody-tight"/>
              <w:autoSpaceDE w:val="0"/>
              <w:autoSpaceDN w:val="0"/>
              <w:adjustRightInd w:val="0"/>
              <w:ind w:left="720"/>
              <w:rPr>
                <w:rFonts w:asciiTheme="minorHAnsi" w:hAnsiTheme="minorHAnsi" w:cs="Arial"/>
                <w:lang w:val="en-AU"/>
              </w:rPr>
            </w:pPr>
            <w:r w:rsidRPr="003A1363">
              <w:rPr>
                <w:rFonts w:asciiTheme="minorHAnsi" w:hAnsiTheme="minorHAnsi" w:cs="Arial"/>
                <w:lang w:val="en-AU"/>
              </w:rPr>
              <w:t>&lt;60</w:t>
            </w:r>
          </w:p>
        </w:tc>
        <w:tc>
          <w:tcPr>
            <w:tcW w:w="2385" w:type="dxa"/>
          </w:tcPr>
          <w:p w:rsidR="0033282E"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94 (63%)</w:t>
            </w:r>
          </w:p>
        </w:tc>
        <w:tc>
          <w:tcPr>
            <w:tcW w:w="2385" w:type="dxa"/>
          </w:tcPr>
          <w:p w:rsidR="0033282E"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90 (36%)</w:t>
            </w:r>
          </w:p>
        </w:tc>
      </w:tr>
      <w:tr w:rsidR="0033282E" w:rsidRPr="00A019E2" w:rsidTr="0033282E">
        <w:tc>
          <w:tcPr>
            <w:tcW w:w="4788" w:type="dxa"/>
          </w:tcPr>
          <w:p w:rsidR="0033282E" w:rsidRPr="00A019E2" w:rsidRDefault="003A1363" w:rsidP="004D670A">
            <w:pPr>
              <w:pStyle w:val="TableBody-tight"/>
              <w:autoSpaceDE w:val="0"/>
              <w:autoSpaceDN w:val="0"/>
              <w:adjustRightInd w:val="0"/>
              <w:ind w:left="720"/>
              <w:rPr>
                <w:rFonts w:asciiTheme="minorHAnsi" w:hAnsiTheme="minorHAnsi" w:cs="Arial"/>
                <w:lang w:val="en-AU"/>
              </w:rPr>
            </w:pPr>
            <w:r w:rsidRPr="003A1363">
              <w:rPr>
                <w:rFonts w:asciiTheme="minorHAnsi" w:hAnsiTheme="minorHAnsi" w:cs="Arial"/>
                <w:lang w:val="en-AU"/>
              </w:rPr>
              <w:t>61-70</w:t>
            </w:r>
          </w:p>
        </w:tc>
        <w:tc>
          <w:tcPr>
            <w:tcW w:w="2385" w:type="dxa"/>
          </w:tcPr>
          <w:p w:rsidR="0033282E"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107 (41%)</w:t>
            </w:r>
          </w:p>
        </w:tc>
        <w:tc>
          <w:tcPr>
            <w:tcW w:w="2385" w:type="dxa"/>
          </w:tcPr>
          <w:p w:rsidR="0033282E"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105 (42%)</w:t>
            </w:r>
          </w:p>
        </w:tc>
      </w:tr>
      <w:tr w:rsidR="0033282E" w:rsidRPr="00A019E2" w:rsidTr="0033282E">
        <w:tc>
          <w:tcPr>
            <w:tcW w:w="4788" w:type="dxa"/>
          </w:tcPr>
          <w:p w:rsidR="0033282E" w:rsidRPr="00A019E2" w:rsidRDefault="003A1363" w:rsidP="004D670A">
            <w:pPr>
              <w:pStyle w:val="TableBody-tight"/>
              <w:autoSpaceDE w:val="0"/>
              <w:autoSpaceDN w:val="0"/>
              <w:adjustRightInd w:val="0"/>
              <w:ind w:left="720"/>
              <w:rPr>
                <w:rFonts w:asciiTheme="minorHAnsi" w:hAnsiTheme="minorHAnsi" w:cs="Arial"/>
                <w:lang w:val="en-AU"/>
              </w:rPr>
            </w:pPr>
            <w:r w:rsidRPr="003A1363">
              <w:rPr>
                <w:rFonts w:asciiTheme="minorHAnsi" w:hAnsiTheme="minorHAnsi" w:cs="Arial"/>
                <w:lang w:val="en-AU"/>
              </w:rPr>
              <w:t>&gt;70</w:t>
            </w:r>
          </w:p>
        </w:tc>
        <w:tc>
          <w:tcPr>
            <w:tcW w:w="2385" w:type="dxa"/>
          </w:tcPr>
          <w:p w:rsidR="0033282E"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60 (23%)</w:t>
            </w:r>
          </w:p>
        </w:tc>
        <w:tc>
          <w:tcPr>
            <w:tcW w:w="2385" w:type="dxa"/>
          </w:tcPr>
          <w:p w:rsidR="0033282E"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58 (23%)</w:t>
            </w:r>
          </w:p>
        </w:tc>
      </w:tr>
      <w:tr w:rsidR="0033282E" w:rsidRPr="00A019E2" w:rsidTr="0033282E">
        <w:tc>
          <w:tcPr>
            <w:tcW w:w="4788" w:type="dxa"/>
          </w:tcPr>
          <w:p w:rsidR="0033282E" w:rsidRPr="00A019E2" w:rsidRDefault="003A1363" w:rsidP="0033282E">
            <w:pPr>
              <w:pStyle w:val="TableBody-tight"/>
              <w:autoSpaceDE w:val="0"/>
              <w:autoSpaceDN w:val="0"/>
              <w:adjustRightInd w:val="0"/>
              <w:ind w:left="162"/>
              <w:rPr>
                <w:rFonts w:asciiTheme="minorHAnsi" w:hAnsiTheme="minorHAnsi" w:cs="Arial"/>
                <w:lang w:val="en-AU"/>
              </w:rPr>
            </w:pPr>
            <w:r w:rsidRPr="003A1363">
              <w:rPr>
                <w:rFonts w:asciiTheme="minorHAnsi" w:hAnsiTheme="minorHAnsi" w:cs="Arial"/>
                <w:lang w:val="en-AU"/>
              </w:rPr>
              <w:t xml:space="preserve">Stage </w:t>
            </w:r>
          </w:p>
        </w:tc>
        <w:tc>
          <w:tcPr>
            <w:tcW w:w="2385" w:type="dxa"/>
          </w:tcPr>
          <w:p w:rsidR="0033282E" w:rsidRPr="00A019E2" w:rsidRDefault="0033282E" w:rsidP="0033282E">
            <w:pPr>
              <w:pStyle w:val="TableBody-tight"/>
              <w:ind w:left="162"/>
              <w:jc w:val="center"/>
              <w:rPr>
                <w:rFonts w:asciiTheme="minorHAnsi" w:hAnsiTheme="minorHAnsi" w:cs="Arial"/>
                <w:lang w:val="en-AU"/>
              </w:rPr>
            </w:pPr>
          </w:p>
        </w:tc>
        <w:tc>
          <w:tcPr>
            <w:tcW w:w="2385" w:type="dxa"/>
          </w:tcPr>
          <w:p w:rsidR="0033282E" w:rsidRPr="00A019E2" w:rsidRDefault="0033282E" w:rsidP="0033282E">
            <w:pPr>
              <w:pStyle w:val="TableBody-tight"/>
              <w:ind w:left="162"/>
              <w:jc w:val="center"/>
              <w:rPr>
                <w:rFonts w:asciiTheme="minorHAnsi" w:hAnsiTheme="minorHAnsi" w:cs="Arial"/>
                <w:lang w:val="en-AU"/>
              </w:rPr>
            </w:pPr>
          </w:p>
        </w:tc>
      </w:tr>
      <w:tr w:rsidR="0033282E" w:rsidRPr="00A019E2" w:rsidTr="0033282E">
        <w:tc>
          <w:tcPr>
            <w:tcW w:w="4788" w:type="dxa"/>
          </w:tcPr>
          <w:p w:rsidR="0033282E" w:rsidRPr="00A019E2" w:rsidRDefault="003A1363" w:rsidP="004D670A">
            <w:pPr>
              <w:pStyle w:val="TableBody-tight"/>
              <w:autoSpaceDE w:val="0"/>
              <w:autoSpaceDN w:val="0"/>
              <w:adjustRightInd w:val="0"/>
              <w:ind w:left="720"/>
              <w:rPr>
                <w:rFonts w:asciiTheme="minorHAnsi" w:hAnsiTheme="minorHAnsi" w:cs="Arial"/>
                <w:lang w:val="en-AU"/>
              </w:rPr>
            </w:pPr>
            <w:r w:rsidRPr="003A1363">
              <w:rPr>
                <w:rFonts w:asciiTheme="minorHAnsi" w:hAnsiTheme="minorHAnsi" w:cs="Arial"/>
                <w:lang w:val="en-AU"/>
              </w:rPr>
              <w:t>II</w:t>
            </w:r>
          </w:p>
        </w:tc>
        <w:tc>
          <w:tcPr>
            <w:tcW w:w="2385" w:type="dxa"/>
          </w:tcPr>
          <w:p w:rsidR="0033282E"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9 (3%)</w:t>
            </w:r>
          </w:p>
        </w:tc>
        <w:tc>
          <w:tcPr>
            <w:tcW w:w="2385" w:type="dxa"/>
          </w:tcPr>
          <w:p w:rsidR="0033282E"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9 (4%)</w:t>
            </w:r>
          </w:p>
        </w:tc>
      </w:tr>
      <w:tr w:rsidR="0033282E" w:rsidRPr="00A019E2" w:rsidTr="0033282E">
        <w:tc>
          <w:tcPr>
            <w:tcW w:w="4788" w:type="dxa"/>
          </w:tcPr>
          <w:p w:rsidR="0033282E" w:rsidRPr="00A019E2" w:rsidRDefault="003A1363" w:rsidP="004D670A">
            <w:pPr>
              <w:keepNext/>
              <w:autoSpaceDE w:val="0"/>
              <w:autoSpaceDN w:val="0"/>
              <w:adjustRightInd w:val="0"/>
              <w:spacing w:before="20" w:after="20" w:line="196" w:lineRule="atLeast"/>
              <w:ind w:left="720"/>
              <w:rPr>
                <w:rFonts w:cs="Arial"/>
                <w:sz w:val="20"/>
                <w:lang w:val="en-AU"/>
              </w:rPr>
            </w:pPr>
            <w:r w:rsidRPr="003A1363">
              <w:rPr>
                <w:rFonts w:cs="Arial"/>
                <w:sz w:val="20"/>
                <w:lang w:val="en-AU"/>
              </w:rPr>
              <w:t>III</w:t>
            </w:r>
          </w:p>
        </w:tc>
        <w:tc>
          <w:tcPr>
            <w:tcW w:w="2385" w:type="dxa"/>
          </w:tcPr>
          <w:p w:rsidR="0033282E" w:rsidRPr="00A019E2" w:rsidRDefault="003A1363" w:rsidP="0033282E">
            <w:pPr>
              <w:keepNext/>
              <w:autoSpaceDE w:val="0"/>
              <w:autoSpaceDN w:val="0"/>
              <w:adjustRightInd w:val="0"/>
              <w:spacing w:before="20" w:after="20" w:line="196" w:lineRule="atLeast"/>
              <w:jc w:val="center"/>
              <w:rPr>
                <w:rFonts w:cs="Arial"/>
                <w:sz w:val="20"/>
                <w:lang w:val="en-AU"/>
              </w:rPr>
            </w:pPr>
            <w:r w:rsidRPr="003A1363">
              <w:rPr>
                <w:rFonts w:cs="Arial"/>
                <w:sz w:val="20"/>
                <w:lang w:val="en-AU"/>
              </w:rPr>
              <w:t>50 (19%)</w:t>
            </w:r>
          </w:p>
        </w:tc>
        <w:tc>
          <w:tcPr>
            <w:tcW w:w="2385" w:type="dxa"/>
          </w:tcPr>
          <w:p w:rsidR="0033282E" w:rsidRPr="00A019E2" w:rsidRDefault="003A1363" w:rsidP="0033282E">
            <w:pPr>
              <w:keepNext/>
              <w:autoSpaceDE w:val="0"/>
              <w:autoSpaceDN w:val="0"/>
              <w:adjustRightInd w:val="0"/>
              <w:spacing w:before="20" w:after="20" w:line="196" w:lineRule="atLeast"/>
              <w:jc w:val="center"/>
              <w:rPr>
                <w:rFonts w:cs="Arial"/>
                <w:sz w:val="20"/>
                <w:lang w:val="en-AU"/>
              </w:rPr>
            </w:pPr>
            <w:r w:rsidRPr="003A1363">
              <w:rPr>
                <w:rFonts w:cs="Arial"/>
                <w:sz w:val="20"/>
                <w:lang w:val="en-AU"/>
              </w:rPr>
              <w:t>47 (19%)</w:t>
            </w:r>
          </w:p>
        </w:tc>
      </w:tr>
      <w:tr w:rsidR="0033282E" w:rsidRPr="00A019E2" w:rsidTr="0033282E">
        <w:tc>
          <w:tcPr>
            <w:tcW w:w="4788" w:type="dxa"/>
          </w:tcPr>
          <w:p w:rsidR="0033282E" w:rsidRPr="00A019E2" w:rsidRDefault="003A1363" w:rsidP="004D670A">
            <w:pPr>
              <w:pStyle w:val="TableBody-tight"/>
              <w:autoSpaceDE w:val="0"/>
              <w:autoSpaceDN w:val="0"/>
              <w:adjustRightInd w:val="0"/>
              <w:ind w:left="720"/>
              <w:rPr>
                <w:rFonts w:asciiTheme="minorHAnsi" w:hAnsiTheme="minorHAnsi" w:cs="Arial"/>
                <w:lang w:val="en-AU"/>
              </w:rPr>
            </w:pPr>
            <w:r w:rsidRPr="003A1363">
              <w:rPr>
                <w:rFonts w:asciiTheme="minorHAnsi" w:hAnsiTheme="minorHAnsi" w:cs="Arial"/>
                <w:lang w:val="en-AU"/>
              </w:rPr>
              <w:t>IV</w:t>
            </w:r>
          </w:p>
        </w:tc>
        <w:tc>
          <w:tcPr>
            <w:tcW w:w="2385" w:type="dxa"/>
          </w:tcPr>
          <w:p w:rsidR="0033282E"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202 (77%)</w:t>
            </w:r>
          </w:p>
        </w:tc>
        <w:tc>
          <w:tcPr>
            <w:tcW w:w="2385" w:type="dxa"/>
          </w:tcPr>
          <w:p w:rsidR="0033282E"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197 (78%)</w:t>
            </w:r>
          </w:p>
        </w:tc>
      </w:tr>
      <w:tr w:rsidR="0033282E" w:rsidRPr="00A019E2" w:rsidTr="0033282E">
        <w:tc>
          <w:tcPr>
            <w:tcW w:w="4788" w:type="dxa"/>
          </w:tcPr>
          <w:p w:rsidR="0033282E" w:rsidRPr="00A019E2" w:rsidRDefault="003A1363" w:rsidP="0033282E">
            <w:pPr>
              <w:pStyle w:val="TableBody-tight"/>
              <w:autoSpaceDE w:val="0"/>
              <w:autoSpaceDN w:val="0"/>
              <w:adjustRightInd w:val="0"/>
              <w:ind w:left="162"/>
              <w:rPr>
                <w:rFonts w:asciiTheme="minorHAnsi" w:hAnsiTheme="minorHAnsi" w:cs="Arial"/>
                <w:lang w:val="en-AU"/>
              </w:rPr>
            </w:pPr>
            <w:r w:rsidRPr="003A1363">
              <w:rPr>
                <w:rFonts w:asciiTheme="minorHAnsi" w:hAnsiTheme="minorHAnsi" w:cs="Arial"/>
                <w:lang w:val="en-AU"/>
              </w:rPr>
              <w:t>Histology</w:t>
            </w:r>
          </w:p>
        </w:tc>
        <w:tc>
          <w:tcPr>
            <w:tcW w:w="2385" w:type="dxa"/>
          </w:tcPr>
          <w:p w:rsidR="0033282E" w:rsidRPr="00A019E2" w:rsidRDefault="0033282E" w:rsidP="0033282E">
            <w:pPr>
              <w:pStyle w:val="TableBody-tight"/>
              <w:ind w:left="162"/>
              <w:jc w:val="center"/>
              <w:rPr>
                <w:rFonts w:asciiTheme="minorHAnsi" w:hAnsiTheme="minorHAnsi" w:cs="Arial"/>
                <w:lang w:val="en-AU"/>
              </w:rPr>
            </w:pPr>
          </w:p>
        </w:tc>
        <w:tc>
          <w:tcPr>
            <w:tcW w:w="2385" w:type="dxa"/>
          </w:tcPr>
          <w:p w:rsidR="0033282E" w:rsidRPr="00A019E2" w:rsidRDefault="0033282E" w:rsidP="0033282E">
            <w:pPr>
              <w:pStyle w:val="TableBody-tight"/>
              <w:ind w:left="162"/>
              <w:jc w:val="center"/>
              <w:rPr>
                <w:rFonts w:asciiTheme="minorHAnsi" w:hAnsiTheme="minorHAnsi" w:cs="Arial"/>
                <w:lang w:val="en-AU"/>
              </w:rPr>
            </w:pPr>
          </w:p>
        </w:tc>
      </w:tr>
      <w:tr w:rsidR="0033282E" w:rsidRPr="00A019E2" w:rsidTr="0033282E">
        <w:tc>
          <w:tcPr>
            <w:tcW w:w="4788" w:type="dxa"/>
          </w:tcPr>
          <w:p w:rsidR="0033282E" w:rsidRPr="00A019E2" w:rsidRDefault="003A1363" w:rsidP="004D670A">
            <w:pPr>
              <w:pStyle w:val="TableBody-tight"/>
              <w:autoSpaceDE w:val="0"/>
              <w:autoSpaceDN w:val="0"/>
              <w:adjustRightInd w:val="0"/>
              <w:ind w:left="720"/>
              <w:rPr>
                <w:rFonts w:asciiTheme="minorHAnsi" w:hAnsiTheme="minorHAnsi" w:cs="Arial"/>
                <w:lang w:val="en-AU"/>
              </w:rPr>
            </w:pPr>
            <w:r w:rsidRPr="003A1363">
              <w:rPr>
                <w:rFonts w:asciiTheme="minorHAnsi" w:hAnsiTheme="minorHAnsi" w:cs="Arial"/>
                <w:lang w:val="en-AU"/>
              </w:rPr>
              <w:t>Follicular</w:t>
            </w:r>
          </w:p>
        </w:tc>
        <w:tc>
          <w:tcPr>
            <w:tcW w:w="2385" w:type="dxa"/>
          </w:tcPr>
          <w:p w:rsidR="0033282E"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139 (53%)</w:t>
            </w:r>
          </w:p>
        </w:tc>
        <w:tc>
          <w:tcPr>
            <w:tcW w:w="2385" w:type="dxa"/>
          </w:tcPr>
          <w:p w:rsidR="0033282E"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140 (55%)</w:t>
            </w:r>
          </w:p>
        </w:tc>
      </w:tr>
      <w:tr w:rsidR="004D670A" w:rsidRPr="00A019E2" w:rsidTr="0033282E">
        <w:tc>
          <w:tcPr>
            <w:tcW w:w="4788" w:type="dxa"/>
          </w:tcPr>
          <w:p w:rsidR="004D670A" w:rsidRPr="00A019E2" w:rsidRDefault="003A1363" w:rsidP="004D670A">
            <w:pPr>
              <w:pStyle w:val="TableBody-tight"/>
              <w:autoSpaceDE w:val="0"/>
              <w:autoSpaceDN w:val="0"/>
              <w:adjustRightInd w:val="0"/>
              <w:ind w:left="720"/>
              <w:rPr>
                <w:rFonts w:asciiTheme="minorHAnsi" w:hAnsiTheme="minorHAnsi" w:cs="Arial"/>
                <w:lang w:val="en-AU"/>
              </w:rPr>
            </w:pPr>
            <w:r w:rsidRPr="003A1363">
              <w:rPr>
                <w:rFonts w:asciiTheme="minorHAnsi" w:hAnsiTheme="minorHAnsi" w:cs="Arial"/>
                <w:lang w:val="en-AU"/>
              </w:rPr>
              <w:t>Mantle cell</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46 (18%)</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48 (19%)</w:t>
            </w:r>
          </w:p>
        </w:tc>
      </w:tr>
      <w:tr w:rsidR="004D670A" w:rsidRPr="00A019E2" w:rsidTr="0033282E">
        <w:tc>
          <w:tcPr>
            <w:tcW w:w="4788" w:type="dxa"/>
          </w:tcPr>
          <w:p w:rsidR="004D670A" w:rsidRPr="00A019E2" w:rsidRDefault="003A1363" w:rsidP="004D670A">
            <w:pPr>
              <w:pStyle w:val="TableBody-tight"/>
              <w:autoSpaceDE w:val="0"/>
              <w:autoSpaceDN w:val="0"/>
              <w:adjustRightInd w:val="0"/>
              <w:ind w:left="720"/>
              <w:rPr>
                <w:rFonts w:asciiTheme="minorHAnsi" w:hAnsiTheme="minorHAnsi" w:cs="Arial"/>
                <w:lang w:val="en-AU"/>
              </w:rPr>
            </w:pPr>
            <w:r w:rsidRPr="003A1363">
              <w:rPr>
                <w:rFonts w:asciiTheme="minorHAnsi" w:hAnsiTheme="minorHAnsi" w:cs="Arial"/>
                <w:lang w:val="en-AU"/>
              </w:rPr>
              <w:t>Marginal zone</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37 (14%)</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30 (12%)</w:t>
            </w:r>
          </w:p>
        </w:tc>
      </w:tr>
      <w:tr w:rsidR="004D670A" w:rsidRPr="00A019E2" w:rsidTr="0033282E">
        <w:tc>
          <w:tcPr>
            <w:tcW w:w="4788" w:type="dxa"/>
          </w:tcPr>
          <w:p w:rsidR="004D670A" w:rsidRPr="00A019E2" w:rsidRDefault="003A1363" w:rsidP="004D670A">
            <w:pPr>
              <w:pStyle w:val="TableBody-tight"/>
              <w:autoSpaceDE w:val="0"/>
              <w:autoSpaceDN w:val="0"/>
              <w:adjustRightInd w:val="0"/>
              <w:ind w:left="720"/>
              <w:rPr>
                <w:rFonts w:asciiTheme="minorHAnsi" w:hAnsiTheme="minorHAnsi" w:cs="Arial"/>
                <w:lang w:val="en-AU"/>
              </w:rPr>
            </w:pPr>
            <w:r w:rsidRPr="003A1363">
              <w:rPr>
                <w:rFonts w:asciiTheme="minorHAnsi" w:hAnsiTheme="minorHAnsi" w:cs="Arial"/>
                <w:lang w:val="en-AU"/>
              </w:rPr>
              <w:t>Lymphoplasmacytic*</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22 (9%)</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19 (8%)</w:t>
            </w:r>
          </w:p>
        </w:tc>
      </w:tr>
      <w:tr w:rsidR="004D670A" w:rsidRPr="00A019E2" w:rsidTr="0033282E">
        <w:tc>
          <w:tcPr>
            <w:tcW w:w="4788" w:type="dxa"/>
          </w:tcPr>
          <w:p w:rsidR="004D670A" w:rsidRPr="00A019E2" w:rsidRDefault="003A1363" w:rsidP="004D670A">
            <w:pPr>
              <w:pStyle w:val="TableBody-tight"/>
              <w:autoSpaceDE w:val="0"/>
              <w:autoSpaceDN w:val="0"/>
              <w:adjustRightInd w:val="0"/>
              <w:ind w:left="720"/>
              <w:rPr>
                <w:rFonts w:asciiTheme="minorHAnsi" w:hAnsiTheme="minorHAnsi" w:cs="Arial"/>
                <w:lang w:val="en-AU"/>
              </w:rPr>
            </w:pPr>
            <w:r w:rsidRPr="003A1363">
              <w:rPr>
                <w:rFonts w:asciiTheme="minorHAnsi" w:hAnsiTheme="minorHAnsi" w:cs="Arial"/>
                <w:lang w:val="en-AU"/>
              </w:rPr>
              <w:t>Small lymphocytic</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10 (4%)</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11 (4%)</w:t>
            </w:r>
          </w:p>
        </w:tc>
      </w:tr>
      <w:tr w:rsidR="004D670A" w:rsidRPr="00A019E2" w:rsidTr="0033282E">
        <w:tc>
          <w:tcPr>
            <w:tcW w:w="4788" w:type="dxa"/>
          </w:tcPr>
          <w:p w:rsidR="004D670A" w:rsidRPr="00A019E2" w:rsidRDefault="003A1363" w:rsidP="004D670A">
            <w:pPr>
              <w:pStyle w:val="TableBody-tight"/>
              <w:autoSpaceDE w:val="0"/>
              <w:autoSpaceDN w:val="0"/>
              <w:adjustRightInd w:val="0"/>
              <w:ind w:left="720"/>
              <w:rPr>
                <w:rFonts w:asciiTheme="minorHAnsi" w:hAnsiTheme="minorHAnsi" w:cs="Arial"/>
                <w:lang w:val="en-AU"/>
              </w:rPr>
            </w:pPr>
            <w:r w:rsidRPr="003A1363">
              <w:rPr>
                <w:rFonts w:asciiTheme="minorHAnsi" w:hAnsiTheme="minorHAnsi" w:cs="Arial"/>
                <w:lang w:val="en-AU"/>
              </w:rPr>
              <w:t>Low grade, unclassifiable</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7 (3%)</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5 (2%)</w:t>
            </w:r>
          </w:p>
        </w:tc>
      </w:tr>
      <w:tr w:rsidR="004D670A" w:rsidRPr="00A019E2" w:rsidTr="0033282E">
        <w:tc>
          <w:tcPr>
            <w:tcW w:w="4788" w:type="dxa"/>
          </w:tcPr>
          <w:p w:rsidR="004D670A" w:rsidRPr="00A019E2" w:rsidRDefault="003A1363" w:rsidP="0033282E">
            <w:pPr>
              <w:pStyle w:val="TableBody-tight"/>
              <w:autoSpaceDE w:val="0"/>
              <w:autoSpaceDN w:val="0"/>
              <w:adjustRightInd w:val="0"/>
              <w:ind w:left="162"/>
              <w:rPr>
                <w:rFonts w:asciiTheme="minorHAnsi" w:hAnsiTheme="minorHAnsi" w:cs="Arial"/>
                <w:lang w:val="en-AU"/>
              </w:rPr>
            </w:pPr>
            <w:r w:rsidRPr="003A1363">
              <w:rPr>
                <w:rFonts w:asciiTheme="minorHAnsi" w:hAnsiTheme="minorHAnsi" w:cs="Arial"/>
                <w:lang w:val="en-AU"/>
              </w:rPr>
              <w:t>B symptoms</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100 (38%)</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74 (29%)</w:t>
            </w:r>
          </w:p>
        </w:tc>
      </w:tr>
      <w:tr w:rsidR="004D670A" w:rsidRPr="00A019E2" w:rsidTr="0033282E">
        <w:tc>
          <w:tcPr>
            <w:tcW w:w="4788" w:type="dxa"/>
          </w:tcPr>
          <w:p w:rsidR="004D670A" w:rsidRPr="00A019E2" w:rsidRDefault="003A1363" w:rsidP="0033282E">
            <w:pPr>
              <w:pStyle w:val="TableBody-tight"/>
              <w:autoSpaceDE w:val="0"/>
              <w:autoSpaceDN w:val="0"/>
              <w:adjustRightInd w:val="0"/>
              <w:ind w:left="162"/>
              <w:rPr>
                <w:rFonts w:asciiTheme="minorHAnsi" w:hAnsiTheme="minorHAnsi" w:cs="Arial"/>
                <w:lang w:val="en-AU"/>
              </w:rPr>
            </w:pPr>
            <w:r w:rsidRPr="003A1363">
              <w:rPr>
                <w:rFonts w:asciiTheme="minorHAnsi" w:hAnsiTheme="minorHAnsi" w:cs="Arial"/>
                <w:lang w:val="en-AU"/>
              </w:rPr>
              <w:t>Bone marrow involved</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177 (68%)</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170 (67%)</w:t>
            </w:r>
          </w:p>
        </w:tc>
      </w:tr>
      <w:tr w:rsidR="004D670A" w:rsidRPr="00A019E2" w:rsidTr="0033282E">
        <w:tc>
          <w:tcPr>
            <w:tcW w:w="4788" w:type="dxa"/>
          </w:tcPr>
          <w:p w:rsidR="004D670A" w:rsidRPr="00A019E2" w:rsidRDefault="00FF3C28" w:rsidP="0033282E">
            <w:pPr>
              <w:pStyle w:val="TableBody-tight"/>
              <w:autoSpaceDE w:val="0"/>
              <w:autoSpaceDN w:val="0"/>
              <w:adjustRightInd w:val="0"/>
              <w:ind w:left="162"/>
              <w:rPr>
                <w:rFonts w:asciiTheme="minorHAnsi" w:hAnsiTheme="minorHAnsi" w:cs="Arial"/>
                <w:lang w:val="en-AU"/>
              </w:rPr>
            </w:pPr>
            <w:r w:rsidRPr="00A019E2">
              <w:rPr>
                <w:rFonts w:asciiTheme="minorHAnsi" w:hAnsiTheme="minorHAnsi" w:cs="Arial"/>
                <w:lang w:val="en-AU"/>
              </w:rPr>
              <w:t>Extra nodal</w:t>
            </w:r>
            <w:r w:rsidR="003A1363" w:rsidRPr="003A1363">
              <w:rPr>
                <w:rFonts w:asciiTheme="minorHAnsi" w:hAnsiTheme="minorHAnsi" w:cs="Arial"/>
                <w:lang w:val="en-AU"/>
              </w:rPr>
              <w:t xml:space="preserve"> involved sites ≥ 1</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212 (81%)</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193 (76%)</w:t>
            </w:r>
          </w:p>
        </w:tc>
      </w:tr>
      <w:tr w:rsidR="004D670A" w:rsidRPr="00A019E2" w:rsidTr="0033282E">
        <w:tc>
          <w:tcPr>
            <w:tcW w:w="4788" w:type="dxa"/>
          </w:tcPr>
          <w:p w:rsidR="004D670A" w:rsidRPr="00A019E2" w:rsidRDefault="003A1363" w:rsidP="0033282E">
            <w:pPr>
              <w:pStyle w:val="TableBody-tight"/>
              <w:autoSpaceDE w:val="0"/>
              <w:autoSpaceDN w:val="0"/>
              <w:adjustRightInd w:val="0"/>
              <w:ind w:left="162"/>
              <w:rPr>
                <w:rFonts w:asciiTheme="minorHAnsi" w:hAnsiTheme="minorHAnsi" w:cs="Arial"/>
                <w:lang w:val="en-AU"/>
              </w:rPr>
            </w:pPr>
            <w:r w:rsidRPr="003A1363">
              <w:rPr>
                <w:rFonts w:asciiTheme="minorHAnsi" w:hAnsiTheme="minorHAnsi" w:cs="Arial"/>
                <w:lang w:val="en-AU"/>
              </w:rPr>
              <w:t>LDH &gt; 240 U/L</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100 (38%)</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84 (33%)</w:t>
            </w:r>
          </w:p>
        </w:tc>
      </w:tr>
      <w:tr w:rsidR="004D670A" w:rsidRPr="00A019E2" w:rsidTr="0033282E">
        <w:tc>
          <w:tcPr>
            <w:tcW w:w="4788" w:type="dxa"/>
          </w:tcPr>
          <w:p w:rsidR="004D670A" w:rsidRPr="00A019E2" w:rsidRDefault="003A1363" w:rsidP="0033282E">
            <w:pPr>
              <w:pStyle w:val="TableBody-tight"/>
              <w:autoSpaceDE w:val="0"/>
              <w:autoSpaceDN w:val="0"/>
              <w:adjustRightInd w:val="0"/>
              <w:ind w:left="162"/>
              <w:rPr>
                <w:rFonts w:asciiTheme="minorHAnsi" w:hAnsiTheme="minorHAnsi" w:cs="Arial"/>
                <w:lang w:val="en-AU"/>
              </w:rPr>
            </w:pPr>
            <w:r w:rsidRPr="003A1363">
              <w:rPr>
                <w:rFonts w:asciiTheme="minorHAnsi" w:hAnsiTheme="minorHAnsi" w:cs="Arial"/>
                <w:lang w:val="en-AU"/>
              </w:rPr>
              <w:t>Median ß-2 microglobulin (mg/L)</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2.6 (0.7-17.8)</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2.4 (1.1-23.2)</w:t>
            </w:r>
          </w:p>
        </w:tc>
      </w:tr>
      <w:tr w:rsidR="004D670A" w:rsidRPr="00A019E2" w:rsidTr="0033282E">
        <w:tc>
          <w:tcPr>
            <w:tcW w:w="4788" w:type="dxa"/>
          </w:tcPr>
          <w:p w:rsidR="004D670A" w:rsidRPr="00A019E2" w:rsidRDefault="003A1363" w:rsidP="0033282E">
            <w:pPr>
              <w:pStyle w:val="TableBody-tight"/>
              <w:autoSpaceDE w:val="0"/>
              <w:autoSpaceDN w:val="0"/>
              <w:adjustRightInd w:val="0"/>
              <w:ind w:left="162"/>
              <w:rPr>
                <w:rFonts w:asciiTheme="minorHAnsi" w:hAnsiTheme="minorHAnsi" w:cs="Arial"/>
                <w:lang w:val="en-AU"/>
              </w:rPr>
            </w:pPr>
            <w:r w:rsidRPr="003A1363">
              <w:rPr>
                <w:rFonts w:asciiTheme="minorHAnsi" w:hAnsiTheme="minorHAnsi" w:cs="Arial"/>
                <w:lang w:val="en-AU"/>
              </w:rPr>
              <w:t>Prognostic groups for all patients (IPI)</w:t>
            </w:r>
          </w:p>
        </w:tc>
        <w:tc>
          <w:tcPr>
            <w:tcW w:w="2385" w:type="dxa"/>
          </w:tcPr>
          <w:p w:rsidR="004D670A" w:rsidRPr="00A019E2" w:rsidRDefault="004D670A" w:rsidP="0033282E">
            <w:pPr>
              <w:pStyle w:val="TableBody-tight"/>
              <w:ind w:left="162"/>
              <w:jc w:val="center"/>
              <w:rPr>
                <w:rFonts w:asciiTheme="minorHAnsi" w:hAnsiTheme="minorHAnsi" w:cs="Arial"/>
                <w:lang w:val="en-AU"/>
              </w:rPr>
            </w:pPr>
          </w:p>
        </w:tc>
        <w:tc>
          <w:tcPr>
            <w:tcW w:w="2385" w:type="dxa"/>
          </w:tcPr>
          <w:p w:rsidR="004D670A" w:rsidRPr="00A019E2" w:rsidRDefault="004D670A" w:rsidP="0033282E">
            <w:pPr>
              <w:pStyle w:val="TableBody-tight"/>
              <w:ind w:left="162"/>
              <w:jc w:val="center"/>
              <w:rPr>
                <w:rFonts w:asciiTheme="minorHAnsi" w:hAnsiTheme="minorHAnsi" w:cs="Arial"/>
                <w:lang w:val="en-AU"/>
              </w:rPr>
            </w:pPr>
          </w:p>
        </w:tc>
      </w:tr>
      <w:tr w:rsidR="004D670A" w:rsidRPr="00A019E2" w:rsidTr="0033282E">
        <w:tc>
          <w:tcPr>
            <w:tcW w:w="4788" w:type="dxa"/>
          </w:tcPr>
          <w:p w:rsidR="004D670A" w:rsidRPr="00A019E2" w:rsidRDefault="003A1363" w:rsidP="00B60CFC">
            <w:pPr>
              <w:pStyle w:val="TableBody-tight"/>
              <w:autoSpaceDE w:val="0"/>
              <w:autoSpaceDN w:val="0"/>
              <w:adjustRightInd w:val="0"/>
              <w:ind w:left="720"/>
              <w:rPr>
                <w:rFonts w:asciiTheme="minorHAnsi" w:hAnsiTheme="minorHAnsi" w:cs="Arial"/>
                <w:lang w:val="en-AU"/>
              </w:rPr>
            </w:pPr>
            <w:r w:rsidRPr="003A1363">
              <w:rPr>
                <w:rFonts w:asciiTheme="minorHAnsi" w:hAnsiTheme="minorHAnsi" w:cs="Arial"/>
                <w:lang w:val="en-AU"/>
              </w:rPr>
              <w:t>&gt; 2 risk factors</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96 (37%)</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89 (35%)</w:t>
            </w:r>
          </w:p>
        </w:tc>
      </w:tr>
      <w:tr w:rsidR="004D670A" w:rsidRPr="00A019E2" w:rsidTr="0033282E">
        <w:tc>
          <w:tcPr>
            <w:tcW w:w="4788" w:type="dxa"/>
          </w:tcPr>
          <w:p w:rsidR="004D670A" w:rsidRPr="00A019E2" w:rsidRDefault="003A1363" w:rsidP="0033282E">
            <w:pPr>
              <w:pStyle w:val="TableBody-tight"/>
              <w:autoSpaceDE w:val="0"/>
              <w:autoSpaceDN w:val="0"/>
              <w:adjustRightInd w:val="0"/>
              <w:ind w:left="162"/>
              <w:rPr>
                <w:rFonts w:asciiTheme="minorHAnsi" w:hAnsiTheme="minorHAnsi" w:cs="Arial"/>
                <w:lang w:val="en-AU"/>
              </w:rPr>
            </w:pPr>
            <w:r w:rsidRPr="003A1363">
              <w:rPr>
                <w:rFonts w:asciiTheme="minorHAnsi" w:hAnsiTheme="minorHAnsi" w:cs="Arial"/>
                <w:lang w:val="en-AU"/>
              </w:rPr>
              <w:t>Prognostic groups according to FLIPI</w:t>
            </w:r>
          </w:p>
        </w:tc>
        <w:tc>
          <w:tcPr>
            <w:tcW w:w="2385" w:type="dxa"/>
          </w:tcPr>
          <w:p w:rsidR="004D670A" w:rsidRPr="00A019E2" w:rsidRDefault="004D670A" w:rsidP="0033282E">
            <w:pPr>
              <w:pStyle w:val="TableBody-tight"/>
              <w:ind w:left="162"/>
              <w:jc w:val="center"/>
              <w:rPr>
                <w:rFonts w:asciiTheme="minorHAnsi" w:hAnsiTheme="minorHAnsi" w:cs="Arial"/>
                <w:lang w:val="en-AU"/>
              </w:rPr>
            </w:pPr>
          </w:p>
        </w:tc>
        <w:tc>
          <w:tcPr>
            <w:tcW w:w="2385" w:type="dxa"/>
          </w:tcPr>
          <w:p w:rsidR="004D670A" w:rsidRPr="00A019E2" w:rsidRDefault="004D670A" w:rsidP="0033282E">
            <w:pPr>
              <w:pStyle w:val="TableBody-tight"/>
              <w:ind w:left="162"/>
              <w:jc w:val="center"/>
              <w:rPr>
                <w:rFonts w:asciiTheme="minorHAnsi" w:hAnsiTheme="minorHAnsi" w:cs="Arial"/>
                <w:lang w:val="en-AU"/>
              </w:rPr>
            </w:pPr>
          </w:p>
        </w:tc>
      </w:tr>
      <w:tr w:rsidR="004D670A" w:rsidRPr="00A019E2" w:rsidTr="0033282E">
        <w:tc>
          <w:tcPr>
            <w:tcW w:w="4788" w:type="dxa"/>
          </w:tcPr>
          <w:p w:rsidR="004D670A" w:rsidRPr="00A019E2" w:rsidRDefault="003A1363" w:rsidP="0033282E">
            <w:pPr>
              <w:pStyle w:val="TableBody-tight"/>
              <w:autoSpaceDE w:val="0"/>
              <w:autoSpaceDN w:val="0"/>
              <w:adjustRightInd w:val="0"/>
              <w:ind w:left="162"/>
              <w:rPr>
                <w:rFonts w:asciiTheme="minorHAnsi" w:hAnsiTheme="minorHAnsi" w:cs="Arial"/>
                <w:lang w:val="en-AU"/>
              </w:rPr>
            </w:pPr>
            <w:r w:rsidRPr="003A1363">
              <w:rPr>
                <w:rFonts w:asciiTheme="minorHAnsi" w:hAnsiTheme="minorHAnsi" w:cs="Arial"/>
                <w:lang w:val="en-AU"/>
              </w:rPr>
              <w:t>Low risk (0-1 risk factor)</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16/139 (12%)</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26/140 (19%)</w:t>
            </w:r>
          </w:p>
        </w:tc>
      </w:tr>
      <w:tr w:rsidR="004D670A" w:rsidRPr="00A019E2" w:rsidTr="0033282E">
        <w:tc>
          <w:tcPr>
            <w:tcW w:w="4788" w:type="dxa"/>
          </w:tcPr>
          <w:p w:rsidR="004D670A" w:rsidRPr="00A019E2" w:rsidRDefault="003A1363" w:rsidP="0033282E">
            <w:pPr>
              <w:pStyle w:val="TableBody-tight"/>
              <w:autoSpaceDE w:val="0"/>
              <w:autoSpaceDN w:val="0"/>
              <w:adjustRightInd w:val="0"/>
              <w:ind w:left="162"/>
              <w:rPr>
                <w:rFonts w:asciiTheme="minorHAnsi" w:hAnsiTheme="minorHAnsi" w:cs="Arial"/>
                <w:lang w:val="en-AU"/>
              </w:rPr>
            </w:pPr>
            <w:r w:rsidRPr="003A1363">
              <w:rPr>
                <w:rFonts w:asciiTheme="minorHAnsi" w:hAnsiTheme="minorHAnsi" w:cs="Arial"/>
                <w:lang w:val="en-AU"/>
              </w:rPr>
              <w:t>Intermediate risk (2 risk factors)</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57/139 (41%)</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44/140 (31%)</w:t>
            </w:r>
          </w:p>
        </w:tc>
      </w:tr>
      <w:tr w:rsidR="004D670A" w:rsidRPr="00A019E2" w:rsidTr="0033282E">
        <w:tc>
          <w:tcPr>
            <w:tcW w:w="4788" w:type="dxa"/>
          </w:tcPr>
          <w:p w:rsidR="004D670A" w:rsidRPr="00A019E2" w:rsidRDefault="003A1363" w:rsidP="0033282E">
            <w:pPr>
              <w:pStyle w:val="TableBody-tight"/>
              <w:autoSpaceDE w:val="0"/>
              <w:autoSpaceDN w:val="0"/>
              <w:adjustRightInd w:val="0"/>
              <w:ind w:left="162"/>
              <w:rPr>
                <w:rFonts w:asciiTheme="minorHAnsi" w:hAnsiTheme="minorHAnsi" w:cs="Arial"/>
                <w:lang w:val="en-AU"/>
              </w:rPr>
            </w:pPr>
            <w:r w:rsidRPr="003A1363">
              <w:rPr>
                <w:rFonts w:asciiTheme="minorHAnsi" w:hAnsiTheme="minorHAnsi" w:cs="Arial"/>
                <w:lang w:val="en-AU"/>
              </w:rPr>
              <w:t>Poor risk (3-5 risk factors)</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63/136 (46%)</w:t>
            </w:r>
          </w:p>
        </w:tc>
        <w:tc>
          <w:tcPr>
            <w:tcW w:w="2385" w:type="dxa"/>
          </w:tcPr>
          <w:p w:rsidR="004D670A" w:rsidRPr="00A019E2" w:rsidRDefault="003A1363" w:rsidP="0033282E">
            <w:pPr>
              <w:pStyle w:val="TableBody-tight"/>
              <w:autoSpaceDE w:val="0"/>
              <w:autoSpaceDN w:val="0"/>
              <w:adjustRightInd w:val="0"/>
              <w:ind w:left="162"/>
              <w:jc w:val="center"/>
              <w:rPr>
                <w:rFonts w:asciiTheme="minorHAnsi" w:hAnsiTheme="minorHAnsi" w:cs="Arial"/>
                <w:lang w:val="en-AU"/>
              </w:rPr>
            </w:pPr>
            <w:r w:rsidRPr="003A1363">
              <w:rPr>
                <w:rFonts w:asciiTheme="minorHAnsi" w:hAnsiTheme="minorHAnsi" w:cs="Arial"/>
                <w:lang w:val="en-AU"/>
              </w:rPr>
              <w:t>64/134 (48%)</w:t>
            </w:r>
          </w:p>
        </w:tc>
      </w:tr>
    </w:tbl>
    <w:p w:rsidR="0033282E" w:rsidRPr="00A019E2" w:rsidRDefault="003A1363" w:rsidP="0033282E">
      <w:pPr>
        <w:rPr>
          <w:rFonts w:cs="Arial"/>
          <w:sz w:val="18"/>
          <w:lang w:val="en-AU"/>
        </w:rPr>
      </w:pPr>
      <w:r w:rsidRPr="003A1363">
        <w:rPr>
          <w:rFonts w:cs="Arial"/>
          <w:sz w:val="18"/>
          <w:lang w:val="en-AU"/>
        </w:rPr>
        <w:t>Data are median (range), n (%), or n/N (%).</w:t>
      </w:r>
    </w:p>
    <w:p w:rsidR="00B67F4A" w:rsidRPr="00A019E2" w:rsidRDefault="003A1363" w:rsidP="0033282E">
      <w:pPr>
        <w:rPr>
          <w:rFonts w:cs="Arial"/>
          <w:sz w:val="18"/>
          <w:lang w:val="en-AU"/>
        </w:rPr>
      </w:pPr>
      <w:r w:rsidRPr="003A1363">
        <w:rPr>
          <w:rFonts w:cs="Arial"/>
          <w:sz w:val="18"/>
          <w:lang w:val="en-AU"/>
        </w:rPr>
        <w:t>B-R=bendamustine plus rituximab; R-CHOP=CHOP plus rituximab; LDH=lactate dehy</w:t>
      </w:r>
      <w:r w:rsidR="00FF3C28">
        <w:rPr>
          <w:rFonts w:cs="Arial"/>
          <w:sz w:val="18"/>
          <w:lang w:val="en-AU"/>
        </w:rPr>
        <w:t>d</w:t>
      </w:r>
      <w:r w:rsidRPr="003A1363">
        <w:rPr>
          <w:rFonts w:cs="Arial"/>
          <w:sz w:val="18"/>
          <w:lang w:val="en-AU"/>
        </w:rPr>
        <w:t>rogenase; IPI=International Prognostic Index; FLIPI-Fo</w:t>
      </w:r>
      <w:r w:rsidR="00FF3C28">
        <w:rPr>
          <w:rFonts w:cs="Arial"/>
          <w:sz w:val="18"/>
          <w:lang w:val="en-AU"/>
        </w:rPr>
        <w:t>l</w:t>
      </w:r>
      <w:r w:rsidRPr="003A1363">
        <w:rPr>
          <w:rFonts w:cs="Arial"/>
          <w:sz w:val="18"/>
          <w:lang w:val="en-AU"/>
        </w:rPr>
        <w:t>licular Lymphoma International Prognostic Index. *</w:t>
      </w:r>
      <w:proofErr w:type="spellStart"/>
      <w:r w:rsidRPr="003A1363">
        <w:rPr>
          <w:rFonts w:cs="Arial"/>
          <w:sz w:val="18"/>
          <w:lang w:val="en-AU"/>
        </w:rPr>
        <w:t>Waldenström</w:t>
      </w:r>
      <w:proofErr w:type="spellEnd"/>
      <w:r w:rsidRPr="003A1363">
        <w:rPr>
          <w:rFonts w:cs="Arial"/>
          <w:sz w:val="18"/>
          <w:lang w:val="en-AU"/>
        </w:rPr>
        <w:t xml:space="preserve"> </w:t>
      </w:r>
      <w:proofErr w:type="spellStart"/>
      <w:r w:rsidRPr="003A1363">
        <w:rPr>
          <w:rFonts w:cs="Arial"/>
          <w:sz w:val="18"/>
          <w:lang w:val="en-AU"/>
        </w:rPr>
        <w:t>macroglobulinaemia</w:t>
      </w:r>
      <w:proofErr w:type="spellEnd"/>
      <w:r w:rsidRPr="003A1363">
        <w:rPr>
          <w:rFonts w:cs="Arial"/>
          <w:sz w:val="18"/>
          <w:lang w:val="en-AU"/>
        </w:rPr>
        <w:t>.</w:t>
      </w:r>
    </w:p>
    <w:p w:rsidR="0033282E" w:rsidRPr="00A019E2" w:rsidRDefault="003A1363" w:rsidP="00166840">
      <w:pPr>
        <w:rPr>
          <w:rFonts w:cs="Arial"/>
          <w:lang w:val="en-AU"/>
        </w:rPr>
      </w:pPr>
      <w:r w:rsidRPr="003A1363">
        <w:rPr>
          <w:rFonts w:cs="Arial"/>
          <w:lang w:val="en-AU"/>
        </w:rPr>
        <w:lastRenderedPageBreak/>
        <w:t xml:space="preserve">At median follow-up of 45 months (IQR 25–57), median progression-free survival was significantly longer in the bendamustine plus rituximab group than in the R-CHOP group (69·5 months [26·1 to not yet reached] </w:t>
      </w:r>
      <w:r w:rsidR="00FF3C28" w:rsidRPr="00A019E2">
        <w:rPr>
          <w:rFonts w:cs="Arial"/>
          <w:lang w:val="en-AU"/>
        </w:rPr>
        <w:t>vs.</w:t>
      </w:r>
      <w:r w:rsidRPr="003A1363">
        <w:rPr>
          <w:rFonts w:cs="Arial"/>
          <w:lang w:val="en-AU"/>
        </w:rPr>
        <w:t xml:space="preserve"> 31·2 months [15·2–65·7]; hazard ratio 0·58, 95% CI 0·44–0·74; p&lt;0·0001)</w:t>
      </w:r>
    </w:p>
    <w:p w:rsidR="00735B7B" w:rsidRPr="00A019E2" w:rsidRDefault="003A1363" w:rsidP="00D00833">
      <w:pPr>
        <w:spacing w:before="20" w:after="80"/>
        <w:rPr>
          <w:rFonts w:cs="Arial"/>
          <w:lang w:val="en-AU"/>
        </w:rPr>
      </w:pPr>
      <w:r w:rsidRPr="003A1363">
        <w:rPr>
          <w:rFonts w:cs="Arial"/>
          <w:lang w:val="en-AU"/>
        </w:rPr>
        <w:t xml:space="preserve">A significant benefit for progression-free survival was shown with B-R vs. R-CHOP for all histological subtypes except for marginal-zone lymphoma (see Figure 2). </w:t>
      </w:r>
    </w:p>
    <w:p w:rsidR="00C769C0" w:rsidRPr="00A019E2" w:rsidRDefault="00C769C0" w:rsidP="00C769C0">
      <w:pPr>
        <w:spacing w:before="20" w:after="80"/>
        <w:rPr>
          <w:rFonts w:cs="Arial"/>
          <w:b/>
          <w:color w:val="000000" w:themeColor="text1"/>
          <w:lang w:val="en-AU"/>
        </w:rPr>
      </w:pPr>
    </w:p>
    <w:p w:rsidR="00C769C0" w:rsidRPr="00A019E2" w:rsidRDefault="00C769C0" w:rsidP="00D00833">
      <w:pPr>
        <w:spacing w:before="20" w:after="80"/>
        <w:rPr>
          <w:rFonts w:cs="Arial"/>
          <w:lang w:val="en-AU"/>
        </w:rPr>
      </w:pPr>
    </w:p>
    <w:p w:rsidR="00D759B3" w:rsidRPr="00A019E2" w:rsidRDefault="009D6311" w:rsidP="0033282E">
      <w:pPr>
        <w:spacing w:before="20" w:after="80"/>
        <w:rPr>
          <w:rFonts w:cs="Arial"/>
          <w:lang w:val="en-AU"/>
        </w:rPr>
      </w:pPr>
      <w:r w:rsidRPr="00F06F04">
        <w:rPr>
          <w:rFonts w:cs="Arial"/>
          <w:noProof/>
          <w:lang w:val="en-AU" w:eastAsia="en-AU" w:bidi="ar-SA"/>
        </w:rPr>
        <w:drawing>
          <wp:inline distT="0" distB="0" distL="0" distR="0">
            <wp:extent cx="5760085" cy="3814227"/>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5760085" cy="3814227"/>
                    </a:xfrm>
                    <a:prstGeom prst="rect">
                      <a:avLst/>
                    </a:prstGeom>
                    <a:noFill/>
                    <a:ln w="9525">
                      <a:noFill/>
                      <a:miter lim="800000"/>
                      <a:headEnd/>
                      <a:tailEnd/>
                    </a:ln>
                  </pic:spPr>
                </pic:pic>
              </a:graphicData>
            </a:graphic>
          </wp:inline>
        </w:drawing>
      </w:r>
    </w:p>
    <w:p w:rsidR="00D00833" w:rsidRPr="00A019E2" w:rsidRDefault="003A1363" w:rsidP="0033282E">
      <w:pPr>
        <w:spacing w:before="20" w:after="80"/>
        <w:rPr>
          <w:rFonts w:cs="Arial"/>
          <w:color w:val="000000" w:themeColor="text1"/>
          <w:sz w:val="18"/>
          <w:szCs w:val="18"/>
          <w:lang w:val="en-AU"/>
        </w:rPr>
      </w:pPr>
      <w:r w:rsidRPr="003A1363">
        <w:rPr>
          <w:rFonts w:cs="Arial"/>
          <w:color w:val="000000" w:themeColor="text1"/>
          <w:sz w:val="18"/>
          <w:szCs w:val="18"/>
          <w:lang w:val="en-AU"/>
        </w:rPr>
        <w:t>B-R=bendamustine plus rituximab; R-CHOP=Chop plus rituximab</w:t>
      </w:r>
    </w:p>
    <w:p w:rsidR="004E110E" w:rsidRPr="00A019E2" w:rsidRDefault="003A1363" w:rsidP="004E110E">
      <w:pPr>
        <w:spacing w:before="20" w:after="80"/>
        <w:rPr>
          <w:rFonts w:cs="Arial"/>
          <w:b/>
          <w:color w:val="000000" w:themeColor="text1"/>
          <w:lang w:val="en-AU"/>
        </w:rPr>
      </w:pPr>
      <w:r w:rsidRPr="003A1363">
        <w:rPr>
          <w:rFonts w:cs="Arial"/>
          <w:b/>
          <w:color w:val="000000" w:themeColor="text1"/>
          <w:lang w:val="en-AU"/>
        </w:rPr>
        <w:t xml:space="preserve">Figure 2: Progression-free survival in histological subtypes of follicular lymphoma (A), mantle-cell lymphoma (B), marginal-zone lymphoma (C), and </w:t>
      </w:r>
      <w:proofErr w:type="spellStart"/>
      <w:r w:rsidRPr="003A1363">
        <w:rPr>
          <w:rFonts w:cs="Arial"/>
          <w:b/>
          <w:color w:val="000000" w:themeColor="text1"/>
          <w:lang w:val="en-AU"/>
        </w:rPr>
        <w:t>Walde</w:t>
      </w:r>
      <w:r w:rsidR="00FF3C28">
        <w:rPr>
          <w:rFonts w:cs="Arial"/>
          <w:b/>
          <w:color w:val="000000" w:themeColor="text1"/>
          <w:lang w:val="en-AU"/>
        </w:rPr>
        <w:t>n</w:t>
      </w:r>
      <w:r w:rsidRPr="003A1363">
        <w:rPr>
          <w:rFonts w:cs="Arial"/>
          <w:b/>
          <w:color w:val="000000" w:themeColor="text1"/>
          <w:lang w:val="en-AU"/>
        </w:rPr>
        <w:t>strom’s</w:t>
      </w:r>
      <w:proofErr w:type="spellEnd"/>
      <w:r w:rsidRPr="003A1363">
        <w:rPr>
          <w:rFonts w:cs="Arial"/>
          <w:b/>
          <w:color w:val="000000" w:themeColor="text1"/>
          <w:lang w:val="en-AU"/>
        </w:rPr>
        <w:t xml:space="preserve"> </w:t>
      </w:r>
      <w:proofErr w:type="spellStart"/>
      <w:r w:rsidRPr="003A1363">
        <w:rPr>
          <w:rFonts w:cs="Arial"/>
          <w:b/>
          <w:color w:val="000000" w:themeColor="text1"/>
          <w:lang w:val="en-AU"/>
        </w:rPr>
        <w:t>macr</w:t>
      </w:r>
      <w:r w:rsidR="00FF3C28">
        <w:rPr>
          <w:rFonts w:cs="Arial"/>
          <w:b/>
          <w:color w:val="000000" w:themeColor="text1"/>
          <w:lang w:val="en-AU"/>
        </w:rPr>
        <w:t>o</w:t>
      </w:r>
      <w:r w:rsidRPr="003A1363">
        <w:rPr>
          <w:rFonts w:cs="Arial"/>
          <w:b/>
          <w:color w:val="000000" w:themeColor="text1"/>
          <w:lang w:val="en-AU"/>
        </w:rPr>
        <w:t>globulinaemia</w:t>
      </w:r>
      <w:proofErr w:type="spellEnd"/>
      <w:r w:rsidRPr="003A1363">
        <w:rPr>
          <w:rFonts w:cs="Arial"/>
          <w:b/>
          <w:color w:val="000000" w:themeColor="text1"/>
          <w:lang w:val="en-AU"/>
        </w:rPr>
        <w:t xml:space="preserve"> (D)</w:t>
      </w:r>
    </w:p>
    <w:p w:rsidR="00D00833" w:rsidRPr="00A019E2" w:rsidRDefault="00D00833" w:rsidP="00D00833">
      <w:pPr>
        <w:spacing w:before="20" w:after="80"/>
        <w:rPr>
          <w:rFonts w:cs="Arial"/>
          <w:lang w:val="en-AU"/>
        </w:rPr>
      </w:pPr>
    </w:p>
    <w:p w:rsidR="00D00833" w:rsidRPr="00A019E2" w:rsidRDefault="003A1363" w:rsidP="00D00833">
      <w:pPr>
        <w:spacing w:before="20" w:after="80"/>
        <w:rPr>
          <w:rFonts w:cs="Arial"/>
          <w:snapToGrid w:val="0"/>
          <w:lang w:val="en-AU"/>
        </w:rPr>
      </w:pPr>
      <w:r w:rsidRPr="003A1363">
        <w:rPr>
          <w:rFonts w:cs="Arial"/>
          <w:lang w:val="en-AU"/>
        </w:rPr>
        <w:t>The improvement in progression-free survival with B-R was independent of age, concentration of lactate dehydrogenase (LDH), and FLIPI score (Table 3)</w:t>
      </w:r>
      <w:r w:rsidRPr="003A1363">
        <w:rPr>
          <w:rFonts w:cs="Arial"/>
          <w:snapToGrid w:val="0"/>
          <w:lang w:val="en-AU"/>
        </w:rPr>
        <w:t>. Overall survival did not differ between the two treatment groups.</w:t>
      </w:r>
    </w:p>
    <w:p w:rsidR="00D00833" w:rsidRPr="00A019E2" w:rsidRDefault="003A1363" w:rsidP="00D00833">
      <w:pPr>
        <w:spacing w:before="20" w:after="80"/>
        <w:rPr>
          <w:rFonts w:cs="Arial"/>
          <w:lang w:val="en-AU"/>
        </w:rPr>
      </w:pPr>
      <w:r w:rsidRPr="003A1363">
        <w:rPr>
          <w:rFonts w:cs="Arial"/>
          <w:snapToGrid w:val="0"/>
          <w:lang w:val="en-AU"/>
        </w:rPr>
        <w:t xml:space="preserve">The rate of overall response did not differ between the treatment groups (93% for B-R vs. 91% for R-CHOP); however the rate of complete response was significantly increased in patients in the B-R group (104 [40%] vs. 76 [30%]; </w:t>
      </w:r>
      <w:r w:rsidRPr="003A1363">
        <w:rPr>
          <w:rFonts w:cs="Arial"/>
          <w:i/>
          <w:snapToGrid w:val="0"/>
          <w:lang w:val="en-AU"/>
        </w:rPr>
        <w:t>p</w:t>
      </w:r>
      <w:r w:rsidRPr="003A1363">
        <w:rPr>
          <w:rFonts w:cs="Arial"/>
          <w:snapToGrid w:val="0"/>
          <w:lang w:val="en-AU"/>
        </w:rPr>
        <w:t>=0.021).</w:t>
      </w:r>
    </w:p>
    <w:p w:rsidR="00D00833" w:rsidRPr="00A019E2" w:rsidRDefault="00D00833" w:rsidP="0033282E">
      <w:pPr>
        <w:spacing w:before="20" w:after="80"/>
        <w:rPr>
          <w:rFonts w:cs="Arial"/>
          <w:color w:val="000000" w:themeColor="text1"/>
          <w:sz w:val="18"/>
          <w:szCs w:val="18"/>
          <w:lang w:val="en-AU"/>
        </w:rPr>
      </w:pPr>
    </w:p>
    <w:p w:rsidR="00D759B3" w:rsidRPr="00A019E2" w:rsidRDefault="003A1363" w:rsidP="00176064">
      <w:pPr>
        <w:pStyle w:val="tableheaderChar"/>
        <w:rPr>
          <w:rFonts w:asciiTheme="minorHAnsi" w:hAnsiTheme="minorHAnsi" w:cs="Arial"/>
          <w:sz w:val="22"/>
          <w:lang w:val="en-AU"/>
        </w:rPr>
      </w:pPr>
      <w:r w:rsidRPr="003A1363">
        <w:rPr>
          <w:rFonts w:asciiTheme="minorHAnsi" w:hAnsiTheme="minorHAnsi" w:cs="Arial"/>
          <w:sz w:val="22"/>
          <w:lang w:val="en-AU"/>
        </w:rPr>
        <w:t>Table 3: Exploratory subgroup analysis to assess the PFS benefit of B-R vs. R-CHOP</w:t>
      </w:r>
    </w:p>
    <w:tbl>
      <w:tblPr>
        <w:tblStyle w:val="TableGrid"/>
        <w:tblW w:w="0" w:type="auto"/>
        <w:tblLook w:val="04A0" w:firstRow="1" w:lastRow="0" w:firstColumn="1" w:lastColumn="0" w:noHBand="0" w:noVBand="1"/>
      </w:tblPr>
      <w:tblGrid>
        <w:gridCol w:w="3095"/>
        <w:gridCol w:w="3096"/>
        <w:gridCol w:w="3096"/>
      </w:tblGrid>
      <w:tr w:rsidR="00D759B3" w:rsidRPr="00A019E2" w:rsidTr="00D759B3">
        <w:tc>
          <w:tcPr>
            <w:tcW w:w="3095" w:type="dxa"/>
          </w:tcPr>
          <w:p w:rsidR="00D759B3" w:rsidRPr="00A019E2" w:rsidRDefault="00D759B3" w:rsidP="0033282E">
            <w:pPr>
              <w:spacing w:before="20" w:after="80"/>
              <w:rPr>
                <w:rFonts w:cs="Arial"/>
                <w:sz w:val="20"/>
                <w:lang w:val="en-AU"/>
              </w:rPr>
            </w:pPr>
          </w:p>
        </w:tc>
        <w:tc>
          <w:tcPr>
            <w:tcW w:w="3096" w:type="dxa"/>
          </w:tcPr>
          <w:p w:rsidR="00D759B3" w:rsidRPr="00A019E2" w:rsidRDefault="003A1363" w:rsidP="00176064">
            <w:pPr>
              <w:spacing w:before="20" w:after="80"/>
              <w:jc w:val="center"/>
              <w:rPr>
                <w:rFonts w:cs="Arial"/>
                <w:b/>
                <w:sz w:val="20"/>
                <w:lang w:val="en-AU"/>
              </w:rPr>
            </w:pPr>
            <w:r w:rsidRPr="003A1363">
              <w:rPr>
                <w:rFonts w:cs="Arial"/>
                <w:b/>
                <w:sz w:val="20"/>
                <w:lang w:val="en-AU"/>
              </w:rPr>
              <w:t>HR (95% Cl)</w:t>
            </w:r>
          </w:p>
        </w:tc>
        <w:tc>
          <w:tcPr>
            <w:tcW w:w="3096" w:type="dxa"/>
          </w:tcPr>
          <w:p w:rsidR="00D759B3" w:rsidRPr="00A019E2" w:rsidRDefault="003A1363" w:rsidP="00176064">
            <w:pPr>
              <w:spacing w:before="20" w:after="80"/>
              <w:jc w:val="center"/>
              <w:rPr>
                <w:rFonts w:cs="Arial"/>
                <w:b/>
                <w:sz w:val="20"/>
                <w:lang w:val="en-AU"/>
              </w:rPr>
            </w:pPr>
            <w:r w:rsidRPr="003A1363">
              <w:rPr>
                <w:rFonts w:cs="Arial"/>
                <w:b/>
                <w:i/>
                <w:sz w:val="20"/>
                <w:lang w:val="en-AU"/>
              </w:rPr>
              <w:t>p</w:t>
            </w:r>
            <w:r w:rsidRPr="003A1363">
              <w:rPr>
                <w:rFonts w:cs="Arial"/>
                <w:b/>
                <w:sz w:val="20"/>
                <w:lang w:val="en-AU"/>
              </w:rPr>
              <w:t xml:space="preserve"> value</w:t>
            </w:r>
          </w:p>
        </w:tc>
      </w:tr>
      <w:tr w:rsidR="00D759B3" w:rsidRPr="00A019E2" w:rsidTr="00D759B3">
        <w:tc>
          <w:tcPr>
            <w:tcW w:w="3095" w:type="dxa"/>
          </w:tcPr>
          <w:p w:rsidR="00D759B3" w:rsidRPr="00A019E2" w:rsidRDefault="003A1363" w:rsidP="0033282E">
            <w:pPr>
              <w:spacing w:before="20" w:after="80"/>
              <w:rPr>
                <w:rFonts w:cs="Arial"/>
                <w:sz w:val="20"/>
                <w:lang w:val="en-AU"/>
              </w:rPr>
            </w:pPr>
            <w:r w:rsidRPr="003A1363">
              <w:rPr>
                <w:rFonts w:cs="Arial"/>
                <w:sz w:val="20"/>
                <w:lang w:val="en-AU"/>
              </w:rPr>
              <w:lastRenderedPageBreak/>
              <w:t>Age (years)</w:t>
            </w:r>
          </w:p>
        </w:tc>
        <w:tc>
          <w:tcPr>
            <w:tcW w:w="3096" w:type="dxa"/>
          </w:tcPr>
          <w:p w:rsidR="00D759B3" w:rsidRPr="00A019E2" w:rsidRDefault="00D759B3" w:rsidP="0033282E">
            <w:pPr>
              <w:spacing w:before="20" w:after="80"/>
              <w:rPr>
                <w:rFonts w:cs="Arial"/>
                <w:sz w:val="20"/>
                <w:lang w:val="en-AU"/>
              </w:rPr>
            </w:pPr>
          </w:p>
        </w:tc>
        <w:tc>
          <w:tcPr>
            <w:tcW w:w="3096" w:type="dxa"/>
          </w:tcPr>
          <w:p w:rsidR="00D759B3" w:rsidRPr="00A019E2" w:rsidRDefault="00D759B3" w:rsidP="0033282E">
            <w:pPr>
              <w:spacing w:before="20" w:after="80"/>
              <w:rPr>
                <w:rFonts w:cs="Arial"/>
                <w:sz w:val="20"/>
                <w:lang w:val="en-AU"/>
              </w:rPr>
            </w:pPr>
          </w:p>
        </w:tc>
      </w:tr>
      <w:tr w:rsidR="00176064" w:rsidRPr="00A019E2" w:rsidTr="00D759B3">
        <w:tc>
          <w:tcPr>
            <w:tcW w:w="3095" w:type="dxa"/>
          </w:tcPr>
          <w:p w:rsidR="00176064" w:rsidRPr="00A019E2" w:rsidRDefault="003A1363" w:rsidP="00176064">
            <w:pPr>
              <w:autoSpaceDE w:val="0"/>
              <w:autoSpaceDN w:val="0"/>
              <w:adjustRightInd w:val="0"/>
              <w:spacing w:before="20" w:after="80" w:line="196" w:lineRule="atLeast"/>
              <w:ind w:left="720"/>
              <w:rPr>
                <w:rFonts w:cs="Arial"/>
                <w:sz w:val="20"/>
                <w:lang w:val="en-AU"/>
              </w:rPr>
            </w:pPr>
            <w:r w:rsidRPr="003A1363">
              <w:rPr>
                <w:rFonts w:cs="Arial"/>
                <w:sz w:val="20"/>
                <w:lang w:val="en-AU"/>
              </w:rPr>
              <w:t>≤ 60 (n=199)</w:t>
            </w:r>
          </w:p>
        </w:tc>
        <w:tc>
          <w:tcPr>
            <w:tcW w:w="3096" w:type="dxa"/>
          </w:tcPr>
          <w:p w:rsidR="00176064" w:rsidRPr="00A019E2" w:rsidRDefault="003A1363" w:rsidP="00176064">
            <w:pPr>
              <w:autoSpaceDE w:val="0"/>
              <w:autoSpaceDN w:val="0"/>
              <w:adjustRightInd w:val="0"/>
              <w:spacing w:before="20" w:after="80" w:line="196" w:lineRule="atLeast"/>
              <w:jc w:val="center"/>
              <w:rPr>
                <w:rFonts w:cs="Arial"/>
                <w:sz w:val="20"/>
                <w:lang w:val="en-AU"/>
              </w:rPr>
            </w:pPr>
            <w:r w:rsidRPr="003A1363">
              <w:rPr>
                <w:rFonts w:cs="Arial"/>
                <w:sz w:val="20"/>
                <w:lang w:val="en-AU"/>
              </w:rPr>
              <w:t>0.52 (0.33-0.79)</w:t>
            </w:r>
          </w:p>
        </w:tc>
        <w:tc>
          <w:tcPr>
            <w:tcW w:w="3096" w:type="dxa"/>
          </w:tcPr>
          <w:p w:rsidR="00176064" w:rsidRPr="00A019E2" w:rsidRDefault="003A1363" w:rsidP="00176064">
            <w:pPr>
              <w:autoSpaceDE w:val="0"/>
              <w:autoSpaceDN w:val="0"/>
              <w:adjustRightInd w:val="0"/>
              <w:spacing w:before="20" w:after="80" w:line="196" w:lineRule="atLeast"/>
              <w:jc w:val="center"/>
              <w:rPr>
                <w:rFonts w:cs="Arial"/>
                <w:sz w:val="20"/>
                <w:lang w:val="en-AU"/>
              </w:rPr>
            </w:pPr>
            <w:r w:rsidRPr="003A1363">
              <w:rPr>
                <w:rFonts w:cs="Arial"/>
                <w:sz w:val="20"/>
                <w:lang w:val="en-AU"/>
              </w:rPr>
              <w:t>0.002</w:t>
            </w:r>
          </w:p>
        </w:tc>
      </w:tr>
      <w:tr w:rsidR="00176064" w:rsidRPr="00A019E2" w:rsidTr="00D759B3">
        <w:tc>
          <w:tcPr>
            <w:tcW w:w="3095" w:type="dxa"/>
          </w:tcPr>
          <w:p w:rsidR="00176064" w:rsidRPr="00A019E2" w:rsidRDefault="003A1363" w:rsidP="00176064">
            <w:pPr>
              <w:autoSpaceDE w:val="0"/>
              <w:autoSpaceDN w:val="0"/>
              <w:adjustRightInd w:val="0"/>
              <w:spacing w:before="20" w:after="80" w:line="196" w:lineRule="atLeast"/>
              <w:ind w:left="720"/>
              <w:rPr>
                <w:rFonts w:cs="Arial"/>
                <w:sz w:val="20"/>
                <w:lang w:val="en-AU"/>
              </w:rPr>
            </w:pPr>
            <w:r w:rsidRPr="003A1363">
              <w:rPr>
                <w:rFonts w:cs="Arial"/>
                <w:sz w:val="20"/>
                <w:lang w:val="en-AU"/>
              </w:rPr>
              <w:t>&gt; 60 (n=315)</w:t>
            </w:r>
          </w:p>
        </w:tc>
        <w:tc>
          <w:tcPr>
            <w:tcW w:w="3096" w:type="dxa"/>
          </w:tcPr>
          <w:p w:rsidR="00176064" w:rsidRPr="00A019E2" w:rsidRDefault="003A1363" w:rsidP="00176064">
            <w:pPr>
              <w:autoSpaceDE w:val="0"/>
              <w:autoSpaceDN w:val="0"/>
              <w:adjustRightInd w:val="0"/>
              <w:spacing w:before="20" w:after="80" w:line="196" w:lineRule="atLeast"/>
              <w:jc w:val="center"/>
              <w:rPr>
                <w:rFonts w:cs="Arial"/>
                <w:sz w:val="20"/>
                <w:lang w:val="en-AU"/>
              </w:rPr>
            </w:pPr>
            <w:r w:rsidRPr="003A1363">
              <w:rPr>
                <w:rFonts w:cs="Arial"/>
                <w:sz w:val="20"/>
                <w:lang w:val="en-AU"/>
              </w:rPr>
              <w:t>0.62 (0.45-0.84)</w:t>
            </w:r>
          </w:p>
        </w:tc>
        <w:tc>
          <w:tcPr>
            <w:tcW w:w="3096" w:type="dxa"/>
          </w:tcPr>
          <w:p w:rsidR="00176064" w:rsidRPr="00A019E2" w:rsidRDefault="003A1363" w:rsidP="00176064">
            <w:pPr>
              <w:autoSpaceDE w:val="0"/>
              <w:autoSpaceDN w:val="0"/>
              <w:adjustRightInd w:val="0"/>
              <w:spacing w:before="20" w:after="80" w:line="196" w:lineRule="atLeast"/>
              <w:jc w:val="center"/>
              <w:rPr>
                <w:rFonts w:cs="Arial"/>
                <w:sz w:val="20"/>
                <w:lang w:val="en-AU"/>
              </w:rPr>
            </w:pPr>
            <w:r w:rsidRPr="003A1363">
              <w:rPr>
                <w:rFonts w:cs="Arial"/>
                <w:sz w:val="20"/>
                <w:lang w:val="en-AU"/>
              </w:rPr>
              <w:t>0.002</w:t>
            </w:r>
          </w:p>
        </w:tc>
      </w:tr>
      <w:tr w:rsidR="00176064" w:rsidRPr="00A019E2" w:rsidTr="00D759B3">
        <w:tc>
          <w:tcPr>
            <w:tcW w:w="3095" w:type="dxa"/>
          </w:tcPr>
          <w:p w:rsidR="00176064" w:rsidRPr="00A019E2" w:rsidRDefault="003A1363" w:rsidP="0033282E">
            <w:pPr>
              <w:autoSpaceDE w:val="0"/>
              <w:autoSpaceDN w:val="0"/>
              <w:adjustRightInd w:val="0"/>
              <w:spacing w:before="20" w:after="80" w:line="196" w:lineRule="atLeast"/>
              <w:rPr>
                <w:rFonts w:cs="Arial"/>
                <w:sz w:val="20"/>
                <w:lang w:val="en-AU"/>
              </w:rPr>
            </w:pPr>
            <w:r w:rsidRPr="003A1363">
              <w:rPr>
                <w:rFonts w:cs="Arial"/>
                <w:sz w:val="20"/>
                <w:lang w:val="en-AU"/>
              </w:rPr>
              <w:t>LDH concentration</w:t>
            </w:r>
          </w:p>
        </w:tc>
        <w:tc>
          <w:tcPr>
            <w:tcW w:w="3096" w:type="dxa"/>
          </w:tcPr>
          <w:p w:rsidR="00176064" w:rsidRPr="00A019E2" w:rsidRDefault="00176064" w:rsidP="00176064">
            <w:pPr>
              <w:spacing w:before="20" w:after="80"/>
              <w:jc w:val="center"/>
              <w:rPr>
                <w:rFonts w:cs="Arial"/>
                <w:sz w:val="20"/>
                <w:lang w:val="en-AU"/>
              </w:rPr>
            </w:pPr>
          </w:p>
        </w:tc>
        <w:tc>
          <w:tcPr>
            <w:tcW w:w="3096" w:type="dxa"/>
          </w:tcPr>
          <w:p w:rsidR="00176064" w:rsidRPr="00A019E2" w:rsidRDefault="00176064" w:rsidP="00176064">
            <w:pPr>
              <w:spacing w:before="20" w:after="80"/>
              <w:jc w:val="center"/>
              <w:rPr>
                <w:rFonts w:cs="Arial"/>
                <w:sz w:val="20"/>
                <w:lang w:val="en-AU"/>
              </w:rPr>
            </w:pPr>
          </w:p>
        </w:tc>
      </w:tr>
      <w:tr w:rsidR="00176064" w:rsidRPr="00A019E2" w:rsidTr="00D759B3">
        <w:tc>
          <w:tcPr>
            <w:tcW w:w="3095" w:type="dxa"/>
          </w:tcPr>
          <w:p w:rsidR="00176064" w:rsidRPr="00A019E2" w:rsidRDefault="003A1363" w:rsidP="00176064">
            <w:pPr>
              <w:autoSpaceDE w:val="0"/>
              <w:autoSpaceDN w:val="0"/>
              <w:adjustRightInd w:val="0"/>
              <w:spacing w:before="20" w:after="80" w:line="196" w:lineRule="atLeast"/>
              <w:ind w:left="720"/>
              <w:rPr>
                <w:rFonts w:cs="Arial"/>
                <w:sz w:val="20"/>
                <w:lang w:val="en-AU"/>
              </w:rPr>
            </w:pPr>
            <w:r w:rsidRPr="003A1363">
              <w:rPr>
                <w:rFonts w:cs="Arial"/>
                <w:sz w:val="20"/>
                <w:lang w:val="en-AU"/>
              </w:rPr>
              <w:t>Normal (n=319)</w:t>
            </w:r>
          </w:p>
        </w:tc>
        <w:tc>
          <w:tcPr>
            <w:tcW w:w="3096" w:type="dxa"/>
          </w:tcPr>
          <w:p w:rsidR="00176064" w:rsidRPr="00A019E2" w:rsidRDefault="003A1363" w:rsidP="00176064">
            <w:pPr>
              <w:autoSpaceDE w:val="0"/>
              <w:autoSpaceDN w:val="0"/>
              <w:adjustRightInd w:val="0"/>
              <w:spacing w:before="20" w:after="80" w:line="196" w:lineRule="atLeast"/>
              <w:jc w:val="center"/>
              <w:rPr>
                <w:rFonts w:cs="Arial"/>
                <w:sz w:val="20"/>
                <w:lang w:val="en-AU"/>
              </w:rPr>
            </w:pPr>
            <w:r w:rsidRPr="003A1363">
              <w:rPr>
                <w:rFonts w:cs="Arial"/>
                <w:sz w:val="20"/>
                <w:lang w:val="en-AU"/>
              </w:rPr>
              <w:t>0.48 (0.34-0.67)</w:t>
            </w:r>
          </w:p>
        </w:tc>
        <w:tc>
          <w:tcPr>
            <w:tcW w:w="3096" w:type="dxa"/>
          </w:tcPr>
          <w:p w:rsidR="00176064" w:rsidRPr="00A019E2" w:rsidRDefault="003A1363" w:rsidP="00176064">
            <w:pPr>
              <w:autoSpaceDE w:val="0"/>
              <w:autoSpaceDN w:val="0"/>
              <w:adjustRightInd w:val="0"/>
              <w:spacing w:before="20" w:after="80" w:line="196" w:lineRule="atLeast"/>
              <w:jc w:val="center"/>
              <w:rPr>
                <w:rFonts w:cs="Arial"/>
                <w:sz w:val="20"/>
                <w:lang w:val="en-AU"/>
              </w:rPr>
            </w:pPr>
            <w:r w:rsidRPr="003A1363">
              <w:rPr>
                <w:rFonts w:cs="Arial"/>
                <w:sz w:val="20"/>
                <w:lang w:val="en-AU"/>
              </w:rPr>
              <w:t>&lt; 0.0001</w:t>
            </w:r>
          </w:p>
        </w:tc>
      </w:tr>
      <w:tr w:rsidR="00176064" w:rsidRPr="00A019E2" w:rsidTr="00D759B3">
        <w:tc>
          <w:tcPr>
            <w:tcW w:w="3095" w:type="dxa"/>
          </w:tcPr>
          <w:p w:rsidR="00176064" w:rsidRPr="00A019E2" w:rsidRDefault="003A1363" w:rsidP="00176064">
            <w:pPr>
              <w:autoSpaceDE w:val="0"/>
              <w:autoSpaceDN w:val="0"/>
              <w:adjustRightInd w:val="0"/>
              <w:spacing w:before="20" w:after="80" w:line="196" w:lineRule="atLeast"/>
              <w:ind w:left="720"/>
              <w:rPr>
                <w:rFonts w:cs="Arial"/>
                <w:sz w:val="20"/>
                <w:lang w:val="en-AU"/>
              </w:rPr>
            </w:pPr>
            <w:r w:rsidRPr="003A1363">
              <w:rPr>
                <w:rFonts w:cs="Arial"/>
                <w:sz w:val="20"/>
                <w:lang w:val="en-AU"/>
              </w:rPr>
              <w:t>Elevated (n=184)</w:t>
            </w:r>
          </w:p>
        </w:tc>
        <w:tc>
          <w:tcPr>
            <w:tcW w:w="3096" w:type="dxa"/>
          </w:tcPr>
          <w:p w:rsidR="00176064" w:rsidRPr="00A019E2" w:rsidRDefault="003A1363" w:rsidP="00176064">
            <w:pPr>
              <w:autoSpaceDE w:val="0"/>
              <w:autoSpaceDN w:val="0"/>
              <w:adjustRightInd w:val="0"/>
              <w:spacing w:before="20" w:after="80" w:line="196" w:lineRule="atLeast"/>
              <w:jc w:val="center"/>
              <w:rPr>
                <w:rFonts w:cs="Arial"/>
                <w:sz w:val="20"/>
                <w:lang w:val="en-AU"/>
              </w:rPr>
            </w:pPr>
            <w:r w:rsidRPr="003A1363">
              <w:rPr>
                <w:rFonts w:cs="Arial"/>
                <w:sz w:val="20"/>
                <w:lang w:val="en-AU"/>
              </w:rPr>
              <w:t>0.74 (0.50-1.08)</w:t>
            </w:r>
          </w:p>
        </w:tc>
        <w:tc>
          <w:tcPr>
            <w:tcW w:w="3096" w:type="dxa"/>
          </w:tcPr>
          <w:p w:rsidR="00176064" w:rsidRPr="00A019E2" w:rsidRDefault="003A1363" w:rsidP="00176064">
            <w:pPr>
              <w:autoSpaceDE w:val="0"/>
              <w:autoSpaceDN w:val="0"/>
              <w:adjustRightInd w:val="0"/>
              <w:spacing w:before="20" w:after="80" w:line="196" w:lineRule="atLeast"/>
              <w:jc w:val="center"/>
              <w:rPr>
                <w:rFonts w:cs="Arial"/>
                <w:sz w:val="20"/>
                <w:lang w:val="en-AU"/>
              </w:rPr>
            </w:pPr>
            <w:r w:rsidRPr="003A1363">
              <w:rPr>
                <w:rFonts w:cs="Arial"/>
                <w:sz w:val="20"/>
                <w:lang w:val="en-AU"/>
              </w:rPr>
              <w:t>0.118</w:t>
            </w:r>
          </w:p>
        </w:tc>
      </w:tr>
      <w:tr w:rsidR="00176064" w:rsidRPr="00A019E2" w:rsidTr="00D759B3">
        <w:tc>
          <w:tcPr>
            <w:tcW w:w="3095" w:type="dxa"/>
          </w:tcPr>
          <w:p w:rsidR="00176064" w:rsidRPr="00A019E2" w:rsidRDefault="003A1363" w:rsidP="0033282E">
            <w:pPr>
              <w:autoSpaceDE w:val="0"/>
              <w:autoSpaceDN w:val="0"/>
              <w:adjustRightInd w:val="0"/>
              <w:spacing w:before="20" w:after="80" w:line="196" w:lineRule="atLeast"/>
              <w:rPr>
                <w:rFonts w:cs="Arial"/>
                <w:sz w:val="20"/>
                <w:lang w:val="en-AU"/>
              </w:rPr>
            </w:pPr>
            <w:r w:rsidRPr="003A1363">
              <w:rPr>
                <w:rFonts w:cs="Arial"/>
                <w:sz w:val="20"/>
                <w:lang w:val="en-AU"/>
              </w:rPr>
              <w:t>FLIPI subgroup</w:t>
            </w:r>
          </w:p>
        </w:tc>
        <w:tc>
          <w:tcPr>
            <w:tcW w:w="3096" w:type="dxa"/>
          </w:tcPr>
          <w:p w:rsidR="00176064" w:rsidRPr="00A019E2" w:rsidRDefault="00176064" w:rsidP="00176064">
            <w:pPr>
              <w:spacing w:before="20" w:after="80"/>
              <w:jc w:val="center"/>
              <w:rPr>
                <w:rFonts w:cs="Arial"/>
                <w:sz w:val="20"/>
                <w:lang w:val="en-AU"/>
              </w:rPr>
            </w:pPr>
          </w:p>
        </w:tc>
        <w:tc>
          <w:tcPr>
            <w:tcW w:w="3096" w:type="dxa"/>
          </w:tcPr>
          <w:p w:rsidR="00176064" w:rsidRPr="00A019E2" w:rsidRDefault="00176064" w:rsidP="00176064">
            <w:pPr>
              <w:spacing w:before="20" w:after="80"/>
              <w:jc w:val="center"/>
              <w:rPr>
                <w:rFonts w:cs="Arial"/>
                <w:sz w:val="20"/>
                <w:lang w:val="en-AU"/>
              </w:rPr>
            </w:pPr>
          </w:p>
        </w:tc>
      </w:tr>
      <w:tr w:rsidR="00176064" w:rsidRPr="00A019E2" w:rsidTr="00D759B3">
        <w:tc>
          <w:tcPr>
            <w:tcW w:w="3095" w:type="dxa"/>
          </w:tcPr>
          <w:p w:rsidR="00176064" w:rsidRPr="00A019E2" w:rsidRDefault="003A1363" w:rsidP="00176064">
            <w:pPr>
              <w:autoSpaceDE w:val="0"/>
              <w:autoSpaceDN w:val="0"/>
              <w:adjustRightInd w:val="0"/>
              <w:spacing w:before="20" w:after="80" w:line="196" w:lineRule="atLeast"/>
              <w:ind w:left="720"/>
              <w:rPr>
                <w:rFonts w:cs="Arial"/>
                <w:sz w:val="20"/>
                <w:lang w:val="en-AU"/>
              </w:rPr>
            </w:pPr>
            <w:r w:rsidRPr="003A1363">
              <w:rPr>
                <w:rFonts w:cs="Arial"/>
                <w:sz w:val="20"/>
                <w:lang w:val="en-AU"/>
              </w:rPr>
              <w:t>Favourable (0-2 risk factors; n=143)</w:t>
            </w:r>
          </w:p>
        </w:tc>
        <w:tc>
          <w:tcPr>
            <w:tcW w:w="3096" w:type="dxa"/>
          </w:tcPr>
          <w:p w:rsidR="00176064" w:rsidRPr="00A019E2" w:rsidRDefault="003A1363" w:rsidP="00176064">
            <w:pPr>
              <w:autoSpaceDE w:val="0"/>
              <w:autoSpaceDN w:val="0"/>
              <w:adjustRightInd w:val="0"/>
              <w:spacing w:before="20" w:after="80" w:line="196" w:lineRule="atLeast"/>
              <w:jc w:val="center"/>
              <w:rPr>
                <w:rFonts w:cs="Arial"/>
                <w:sz w:val="20"/>
                <w:lang w:val="en-AU"/>
              </w:rPr>
            </w:pPr>
            <w:r w:rsidRPr="003A1363">
              <w:rPr>
                <w:rFonts w:cs="Arial"/>
                <w:sz w:val="20"/>
                <w:lang w:val="en-AU"/>
              </w:rPr>
              <w:t>0.56 (0.31-0.98)</w:t>
            </w:r>
          </w:p>
        </w:tc>
        <w:tc>
          <w:tcPr>
            <w:tcW w:w="3096" w:type="dxa"/>
          </w:tcPr>
          <w:p w:rsidR="00176064" w:rsidRPr="00A019E2" w:rsidRDefault="003A1363" w:rsidP="00176064">
            <w:pPr>
              <w:autoSpaceDE w:val="0"/>
              <w:autoSpaceDN w:val="0"/>
              <w:adjustRightInd w:val="0"/>
              <w:spacing w:before="20" w:after="80" w:line="196" w:lineRule="atLeast"/>
              <w:jc w:val="center"/>
              <w:rPr>
                <w:rFonts w:cs="Arial"/>
                <w:sz w:val="20"/>
                <w:lang w:val="en-AU"/>
              </w:rPr>
            </w:pPr>
            <w:r w:rsidRPr="003A1363">
              <w:rPr>
                <w:rFonts w:cs="Arial"/>
                <w:sz w:val="20"/>
                <w:lang w:val="en-AU"/>
              </w:rPr>
              <w:t>0.043</w:t>
            </w:r>
          </w:p>
        </w:tc>
      </w:tr>
      <w:tr w:rsidR="00176064" w:rsidRPr="00A019E2" w:rsidTr="00D759B3">
        <w:tc>
          <w:tcPr>
            <w:tcW w:w="3095" w:type="dxa"/>
          </w:tcPr>
          <w:p w:rsidR="00176064" w:rsidRPr="00A019E2" w:rsidRDefault="003A1363" w:rsidP="00176064">
            <w:pPr>
              <w:autoSpaceDE w:val="0"/>
              <w:autoSpaceDN w:val="0"/>
              <w:adjustRightInd w:val="0"/>
              <w:spacing w:before="20" w:after="80" w:line="196" w:lineRule="atLeast"/>
              <w:ind w:left="720"/>
              <w:rPr>
                <w:rFonts w:cs="Arial"/>
                <w:sz w:val="20"/>
                <w:lang w:val="en-AU"/>
              </w:rPr>
            </w:pPr>
            <w:r w:rsidRPr="003A1363">
              <w:rPr>
                <w:rFonts w:cs="Arial"/>
                <w:sz w:val="20"/>
                <w:lang w:val="en-AU"/>
              </w:rPr>
              <w:t>Unfavourable (3-5 risk factors; n=127)</w:t>
            </w:r>
          </w:p>
        </w:tc>
        <w:tc>
          <w:tcPr>
            <w:tcW w:w="3096" w:type="dxa"/>
          </w:tcPr>
          <w:p w:rsidR="00176064" w:rsidRPr="00A019E2" w:rsidRDefault="003A1363" w:rsidP="00176064">
            <w:pPr>
              <w:autoSpaceDE w:val="0"/>
              <w:autoSpaceDN w:val="0"/>
              <w:adjustRightInd w:val="0"/>
              <w:spacing w:before="20" w:after="80" w:line="196" w:lineRule="atLeast"/>
              <w:jc w:val="center"/>
              <w:rPr>
                <w:rFonts w:cs="Arial"/>
                <w:sz w:val="20"/>
                <w:lang w:val="en-AU"/>
              </w:rPr>
            </w:pPr>
            <w:r w:rsidRPr="003A1363">
              <w:rPr>
                <w:rFonts w:cs="Arial"/>
                <w:sz w:val="20"/>
                <w:lang w:val="en-AU"/>
              </w:rPr>
              <w:t>0.63 (0.38-1.04)</w:t>
            </w:r>
          </w:p>
        </w:tc>
        <w:tc>
          <w:tcPr>
            <w:tcW w:w="3096" w:type="dxa"/>
          </w:tcPr>
          <w:p w:rsidR="00176064" w:rsidRPr="00A019E2" w:rsidRDefault="003A1363" w:rsidP="00176064">
            <w:pPr>
              <w:autoSpaceDE w:val="0"/>
              <w:autoSpaceDN w:val="0"/>
              <w:adjustRightInd w:val="0"/>
              <w:spacing w:before="20" w:after="80" w:line="196" w:lineRule="atLeast"/>
              <w:jc w:val="center"/>
              <w:rPr>
                <w:rFonts w:cs="Arial"/>
                <w:sz w:val="20"/>
                <w:lang w:val="en-AU"/>
              </w:rPr>
            </w:pPr>
            <w:r w:rsidRPr="003A1363">
              <w:rPr>
                <w:rFonts w:cs="Arial"/>
                <w:sz w:val="20"/>
                <w:lang w:val="en-AU"/>
              </w:rPr>
              <w:t>0.068</w:t>
            </w:r>
          </w:p>
        </w:tc>
      </w:tr>
    </w:tbl>
    <w:p w:rsidR="0033282E" w:rsidRPr="00A019E2" w:rsidRDefault="003A1363" w:rsidP="004462E4">
      <w:pPr>
        <w:spacing w:before="20" w:after="80"/>
        <w:rPr>
          <w:rFonts w:cs="Arial"/>
          <w:lang w:val="en-AU"/>
        </w:rPr>
      </w:pPr>
      <w:r w:rsidRPr="003A1363">
        <w:rPr>
          <w:rFonts w:cs="Arial"/>
          <w:sz w:val="18"/>
          <w:szCs w:val="18"/>
          <w:lang w:val="en-AU"/>
        </w:rPr>
        <w:t>PFS=progression-free survival; LDH=lactate dehydrogenase; FLIPI=Follicular Lymphoma International Prognostic Index; HR=hazard ratio.</w:t>
      </w:r>
      <w:r w:rsidRPr="003A1363">
        <w:rPr>
          <w:rFonts w:cs="Arial"/>
          <w:lang w:val="en-AU"/>
        </w:rPr>
        <w:t xml:space="preserve"> </w:t>
      </w:r>
    </w:p>
    <w:p w:rsidR="00120094" w:rsidRPr="00A019E2" w:rsidRDefault="00120094" w:rsidP="004462E4">
      <w:pPr>
        <w:pStyle w:val="PIHEADING2"/>
        <w:rPr>
          <w:i/>
          <w:lang w:val="en-AU"/>
        </w:rPr>
      </w:pPr>
    </w:p>
    <w:p w:rsidR="0033282E" w:rsidRPr="00A019E2" w:rsidRDefault="003A1363" w:rsidP="004462E4">
      <w:pPr>
        <w:pStyle w:val="PIHEADING2"/>
        <w:rPr>
          <w:i/>
          <w:lang w:val="en-AU"/>
        </w:rPr>
      </w:pPr>
      <w:r w:rsidRPr="003A1363">
        <w:rPr>
          <w:i/>
          <w:lang w:val="en-AU"/>
        </w:rPr>
        <w:t xml:space="preserve">Relapsed/Refractory NHL </w:t>
      </w:r>
    </w:p>
    <w:p w:rsidR="00034C85" w:rsidRPr="00A019E2" w:rsidRDefault="003A1363" w:rsidP="00034C85">
      <w:pPr>
        <w:rPr>
          <w:lang w:val="en-AU"/>
        </w:rPr>
      </w:pPr>
      <w:r w:rsidRPr="003A1363">
        <w:rPr>
          <w:lang w:val="en-AU"/>
        </w:rPr>
        <w:t>The efficacy of RIBOMUSTIN was evaluated in a single arm study (SDX-105-03) of 100 patients with indolent B-cell NHL that had progressed during or within six months of treatment with rituximab or a rituximab-containing regimen. Patients were included if they relapsed within 6 months of either the first dose (monotherapy) or last dose (maintenance regimen or combination therapy) of rituximab. All patients received RIBOMUSTIN intravenously at a dose of 120 mg/m</w:t>
      </w:r>
      <w:r w:rsidRPr="003A1363">
        <w:rPr>
          <w:vertAlign w:val="superscript"/>
          <w:lang w:val="en-AU"/>
        </w:rPr>
        <w:t>2</w:t>
      </w:r>
      <w:r w:rsidRPr="003A1363">
        <w:rPr>
          <w:lang w:val="en-AU"/>
        </w:rPr>
        <w:t>, on Days 1 and 2 of a 21-day treatment cycle. Patients were treated for up to 8 cycles.</w:t>
      </w:r>
    </w:p>
    <w:p w:rsidR="00034C85" w:rsidRPr="00A019E2" w:rsidRDefault="003A1363" w:rsidP="00034C85">
      <w:pPr>
        <w:rPr>
          <w:lang w:val="en-AU"/>
        </w:rPr>
      </w:pPr>
      <w:r w:rsidRPr="003A1363">
        <w:rPr>
          <w:lang w:val="en-AU"/>
        </w:rPr>
        <w:t>The median age was 60 years, 65% were male, and 95% had a baseline WHO performance status of 0 or 1. Major tumour subtypes were follicular lymphoma (62%), diffuse small lymphocytic lymphoma (21%), and marginal zone lymphoma (16%). Ninety-nine percent of patients had received previous chemotherapy, 91% of patients had received previous alkylator therapy, and 97% of patients had relapsed within 6 months of either the first dose (monotherapy) or last dose (maintenance regimen or combination therapy) of rituximab.</w:t>
      </w:r>
    </w:p>
    <w:p w:rsidR="0033282E" w:rsidRPr="00A019E2" w:rsidRDefault="003A1363" w:rsidP="00034C85">
      <w:pPr>
        <w:rPr>
          <w:rFonts w:cs="Arial"/>
          <w:lang w:val="en-AU"/>
        </w:rPr>
      </w:pPr>
      <w:r w:rsidRPr="003A1363">
        <w:rPr>
          <w:lang w:val="en-AU"/>
        </w:rPr>
        <w:t>Efficacy was based on the assessments by a blinded independent review committee (IRC) and included overall response rate (complete response + complete response unconfirmed + partial response) and duration of response (DR) as summarized in Table 4</w:t>
      </w:r>
      <w:r w:rsidRPr="003A1363">
        <w:rPr>
          <w:rFonts w:cs="Arial"/>
          <w:lang w:val="en-AU"/>
        </w:rPr>
        <w:t>.</w:t>
      </w:r>
    </w:p>
    <w:p w:rsidR="0033282E" w:rsidRPr="00A019E2" w:rsidRDefault="003A1363" w:rsidP="00A40AD3">
      <w:pPr>
        <w:rPr>
          <w:b/>
          <w:lang w:val="en-AU"/>
        </w:rPr>
      </w:pPr>
      <w:r w:rsidRPr="003A1363">
        <w:rPr>
          <w:b/>
          <w:lang w:val="en-AU"/>
        </w:rPr>
        <w:t>Table 4: Efficacy data for progressing NHL* reported in study SDX-105-03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4678"/>
      </w:tblGrid>
      <w:tr w:rsidR="00B555A4" w:rsidRPr="00A019E2" w:rsidTr="00B555A4">
        <w:tc>
          <w:tcPr>
            <w:tcW w:w="4219" w:type="dxa"/>
          </w:tcPr>
          <w:p w:rsidR="00B555A4" w:rsidRPr="00A019E2" w:rsidRDefault="00B555A4" w:rsidP="00B555A4">
            <w:pPr>
              <w:jc w:val="center"/>
              <w:rPr>
                <w:b/>
                <w:sz w:val="20"/>
                <w:lang w:val="en-AU"/>
              </w:rPr>
            </w:pPr>
          </w:p>
        </w:tc>
        <w:tc>
          <w:tcPr>
            <w:tcW w:w="4678" w:type="dxa"/>
          </w:tcPr>
          <w:p w:rsidR="00B555A4" w:rsidRPr="00A019E2" w:rsidRDefault="003A1363" w:rsidP="00703F2B">
            <w:pPr>
              <w:pStyle w:val="NoSpacing"/>
              <w:jc w:val="center"/>
              <w:rPr>
                <w:lang w:val="en-AU"/>
              </w:rPr>
            </w:pPr>
            <w:r w:rsidRPr="003A1363">
              <w:rPr>
                <w:lang w:val="en-AU"/>
              </w:rPr>
              <w:t>RIBOMUSTIN</w:t>
            </w:r>
          </w:p>
          <w:p w:rsidR="00B555A4" w:rsidRPr="00A019E2" w:rsidRDefault="003A1363" w:rsidP="00703F2B">
            <w:pPr>
              <w:pStyle w:val="NoSpacing"/>
              <w:jc w:val="center"/>
              <w:rPr>
                <w:lang w:val="en-AU"/>
              </w:rPr>
            </w:pPr>
            <w:r w:rsidRPr="003A1363">
              <w:rPr>
                <w:lang w:val="en-AU"/>
              </w:rPr>
              <w:t>(N=100)</w:t>
            </w:r>
          </w:p>
        </w:tc>
      </w:tr>
      <w:tr w:rsidR="00B555A4" w:rsidRPr="00A019E2" w:rsidTr="00B555A4">
        <w:tc>
          <w:tcPr>
            <w:tcW w:w="8897" w:type="dxa"/>
            <w:gridSpan w:val="2"/>
          </w:tcPr>
          <w:p w:rsidR="00B555A4" w:rsidRPr="00A019E2" w:rsidRDefault="003A1363" w:rsidP="0033282E">
            <w:pPr>
              <w:rPr>
                <w:b/>
                <w:sz w:val="20"/>
                <w:lang w:val="en-AU"/>
              </w:rPr>
            </w:pPr>
            <w:r w:rsidRPr="003A1363">
              <w:rPr>
                <w:b/>
                <w:sz w:val="20"/>
                <w:lang w:val="en-AU"/>
              </w:rPr>
              <w:t>Response Rate (%)</w:t>
            </w:r>
          </w:p>
        </w:tc>
      </w:tr>
      <w:tr w:rsidR="00B555A4" w:rsidRPr="00A019E2" w:rsidTr="00B555A4">
        <w:tc>
          <w:tcPr>
            <w:tcW w:w="4219" w:type="dxa"/>
          </w:tcPr>
          <w:p w:rsidR="00B555A4" w:rsidRPr="00A019E2" w:rsidRDefault="003A1363" w:rsidP="0033282E">
            <w:pPr>
              <w:autoSpaceDE w:val="0"/>
              <w:autoSpaceDN w:val="0"/>
              <w:adjustRightInd w:val="0"/>
              <w:spacing w:line="196" w:lineRule="atLeast"/>
              <w:rPr>
                <w:sz w:val="20"/>
                <w:lang w:val="en-AU"/>
              </w:rPr>
            </w:pPr>
            <w:r w:rsidRPr="003A1363">
              <w:rPr>
                <w:sz w:val="20"/>
                <w:lang w:val="en-AU"/>
              </w:rPr>
              <w:t>Overall response rate (CR+CRu+PR)</w:t>
            </w:r>
          </w:p>
        </w:tc>
        <w:tc>
          <w:tcPr>
            <w:tcW w:w="4678" w:type="dxa"/>
          </w:tcPr>
          <w:p w:rsidR="00B555A4" w:rsidRPr="00A019E2" w:rsidRDefault="003A1363" w:rsidP="00D15D2A">
            <w:pPr>
              <w:autoSpaceDE w:val="0"/>
              <w:autoSpaceDN w:val="0"/>
              <w:adjustRightInd w:val="0"/>
              <w:spacing w:line="196" w:lineRule="atLeast"/>
              <w:jc w:val="center"/>
              <w:rPr>
                <w:sz w:val="20"/>
                <w:lang w:val="en-AU"/>
              </w:rPr>
            </w:pPr>
            <w:r w:rsidRPr="003A1363">
              <w:rPr>
                <w:sz w:val="20"/>
                <w:lang w:val="en-AU"/>
              </w:rPr>
              <w:t>75 (p&lt;0.0001)</w:t>
            </w:r>
          </w:p>
        </w:tc>
      </w:tr>
      <w:tr w:rsidR="00B555A4" w:rsidRPr="00A019E2" w:rsidTr="00B555A4">
        <w:tc>
          <w:tcPr>
            <w:tcW w:w="4219" w:type="dxa"/>
          </w:tcPr>
          <w:p w:rsidR="00B555A4" w:rsidRPr="00A019E2" w:rsidRDefault="003A1363" w:rsidP="0033282E">
            <w:pPr>
              <w:autoSpaceDE w:val="0"/>
              <w:autoSpaceDN w:val="0"/>
              <w:adjustRightInd w:val="0"/>
              <w:spacing w:line="196" w:lineRule="atLeast"/>
              <w:rPr>
                <w:sz w:val="20"/>
                <w:lang w:val="en-AU"/>
              </w:rPr>
            </w:pPr>
            <w:r w:rsidRPr="003A1363">
              <w:rPr>
                <w:sz w:val="20"/>
                <w:lang w:val="en-AU"/>
              </w:rPr>
              <w:t>(95% CI)</w:t>
            </w:r>
          </w:p>
        </w:tc>
        <w:tc>
          <w:tcPr>
            <w:tcW w:w="4678" w:type="dxa"/>
          </w:tcPr>
          <w:p w:rsidR="00B555A4" w:rsidRPr="00A019E2" w:rsidRDefault="003A1363" w:rsidP="00D15D2A">
            <w:pPr>
              <w:keepLines/>
              <w:autoSpaceDE w:val="0"/>
              <w:autoSpaceDN w:val="0"/>
              <w:adjustRightInd w:val="0"/>
              <w:spacing w:line="196" w:lineRule="atLeast"/>
              <w:jc w:val="center"/>
              <w:rPr>
                <w:sz w:val="20"/>
                <w:lang w:val="en-AU"/>
              </w:rPr>
            </w:pPr>
            <w:r w:rsidRPr="003A1363">
              <w:rPr>
                <w:sz w:val="20"/>
                <w:lang w:val="en-AU"/>
              </w:rPr>
              <w:t>(65.34,83.12)</w:t>
            </w:r>
          </w:p>
        </w:tc>
      </w:tr>
      <w:tr w:rsidR="00B555A4" w:rsidRPr="00A019E2" w:rsidTr="00B555A4">
        <w:tc>
          <w:tcPr>
            <w:tcW w:w="4219" w:type="dxa"/>
          </w:tcPr>
          <w:p w:rsidR="00B555A4" w:rsidRPr="00A019E2" w:rsidRDefault="003A1363" w:rsidP="00D15D2A">
            <w:pPr>
              <w:autoSpaceDE w:val="0"/>
              <w:autoSpaceDN w:val="0"/>
              <w:adjustRightInd w:val="0"/>
              <w:spacing w:line="196" w:lineRule="atLeast"/>
              <w:rPr>
                <w:sz w:val="20"/>
                <w:lang w:val="en-AU"/>
              </w:rPr>
            </w:pPr>
            <w:r w:rsidRPr="003A1363">
              <w:rPr>
                <w:sz w:val="20"/>
                <w:lang w:val="en-AU"/>
              </w:rPr>
              <w:lastRenderedPageBreak/>
              <w:t>Complete response (CR)</w:t>
            </w:r>
          </w:p>
        </w:tc>
        <w:tc>
          <w:tcPr>
            <w:tcW w:w="4678" w:type="dxa"/>
          </w:tcPr>
          <w:p w:rsidR="00B555A4" w:rsidRPr="00A019E2" w:rsidRDefault="003A1363" w:rsidP="00120094">
            <w:pPr>
              <w:autoSpaceDE w:val="0"/>
              <w:autoSpaceDN w:val="0"/>
              <w:adjustRightInd w:val="0"/>
              <w:spacing w:line="196" w:lineRule="atLeast"/>
              <w:jc w:val="center"/>
              <w:rPr>
                <w:sz w:val="20"/>
                <w:lang w:val="en-AU"/>
              </w:rPr>
            </w:pPr>
            <w:r w:rsidRPr="003A1363">
              <w:rPr>
                <w:sz w:val="20"/>
                <w:lang w:val="en-AU"/>
              </w:rPr>
              <w:t>14</w:t>
            </w:r>
          </w:p>
        </w:tc>
      </w:tr>
      <w:tr w:rsidR="00B555A4" w:rsidRPr="00A019E2" w:rsidTr="00B555A4">
        <w:tc>
          <w:tcPr>
            <w:tcW w:w="4219" w:type="dxa"/>
          </w:tcPr>
          <w:p w:rsidR="00B555A4" w:rsidRPr="00A019E2" w:rsidRDefault="003A1363" w:rsidP="0033282E">
            <w:pPr>
              <w:autoSpaceDE w:val="0"/>
              <w:autoSpaceDN w:val="0"/>
              <w:adjustRightInd w:val="0"/>
              <w:spacing w:line="196" w:lineRule="atLeast"/>
              <w:rPr>
                <w:sz w:val="20"/>
                <w:lang w:val="en-AU"/>
              </w:rPr>
            </w:pPr>
            <w:r w:rsidRPr="003A1363">
              <w:rPr>
                <w:sz w:val="20"/>
                <w:lang w:val="en-AU"/>
              </w:rPr>
              <w:t>Complete response unconfirmed (CRu)</w:t>
            </w:r>
          </w:p>
        </w:tc>
        <w:tc>
          <w:tcPr>
            <w:tcW w:w="4678" w:type="dxa"/>
          </w:tcPr>
          <w:p w:rsidR="00B555A4" w:rsidRPr="00A019E2" w:rsidRDefault="003A1363" w:rsidP="00120094">
            <w:pPr>
              <w:autoSpaceDE w:val="0"/>
              <w:autoSpaceDN w:val="0"/>
              <w:adjustRightInd w:val="0"/>
              <w:spacing w:line="196" w:lineRule="atLeast"/>
              <w:jc w:val="center"/>
              <w:rPr>
                <w:sz w:val="20"/>
                <w:lang w:val="en-AU"/>
              </w:rPr>
            </w:pPr>
            <w:r w:rsidRPr="003A1363">
              <w:rPr>
                <w:sz w:val="20"/>
                <w:lang w:val="en-AU"/>
              </w:rPr>
              <w:t>3</w:t>
            </w:r>
          </w:p>
        </w:tc>
      </w:tr>
      <w:tr w:rsidR="00B555A4" w:rsidRPr="00A019E2" w:rsidTr="00B555A4">
        <w:tc>
          <w:tcPr>
            <w:tcW w:w="4219" w:type="dxa"/>
          </w:tcPr>
          <w:p w:rsidR="00B555A4" w:rsidRPr="00A019E2" w:rsidRDefault="003A1363" w:rsidP="0033282E">
            <w:pPr>
              <w:autoSpaceDE w:val="0"/>
              <w:autoSpaceDN w:val="0"/>
              <w:adjustRightInd w:val="0"/>
              <w:spacing w:line="196" w:lineRule="atLeast"/>
              <w:rPr>
                <w:sz w:val="20"/>
                <w:lang w:val="en-AU"/>
              </w:rPr>
            </w:pPr>
            <w:r w:rsidRPr="003A1363">
              <w:rPr>
                <w:sz w:val="20"/>
                <w:lang w:val="en-AU"/>
              </w:rPr>
              <w:t>Partial response (PR)</w:t>
            </w:r>
          </w:p>
        </w:tc>
        <w:tc>
          <w:tcPr>
            <w:tcW w:w="4678" w:type="dxa"/>
          </w:tcPr>
          <w:p w:rsidR="00B555A4" w:rsidRPr="00A019E2" w:rsidRDefault="003A1363" w:rsidP="00D15D2A">
            <w:pPr>
              <w:autoSpaceDE w:val="0"/>
              <w:autoSpaceDN w:val="0"/>
              <w:adjustRightInd w:val="0"/>
              <w:spacing w:line="196" w:lineRule="atLeast"/>
              <w:jc w:val="center"/>
              <w:rPr>
                <w:sz w:val="20"/>
                <w:lang w:val="en-AU"/>
              </w:rPr>
            </w:pPr>
            <w:r w:rsidRPr="003A1363">
              <w:rPr>
                <w:sz w:val="20"/>
                <w:lang w:val="en-AU"/>
              </w:rPr>
              <w:t>58</w:t>
            </w:r>
          </w:p>
        </w:tc>
      </w:tr>
      <w:tr w:rsidR="00B555A4" w:rsidRPr="00A019E2" w:rsidTr="00B555A4">
        <w:tc>
          <w:tcPr>
            <w:tcW w:w="8897" w:type="dxa"/>
            <w:gridSpan w:val="2"/>
          </w:tcPr>
          <w:p w:rsidR="00B555A4" w:rsidRPr="00A019E2" w:rsidRDefault="003A1363" w:rsidP="0033282E">
            <w:pPr>
              <w:autoSpaceDE w:val="0"/>
              <w:autoSpaceDN w:val="0"/>
              <w:adjustRightInd w:val="0"/>
              <w:spacing w:line="196" w:lineRule="atLeast"/>
              <w:rPr>
                <w:b/>
                <w:sz w:val="20"/>
                <w:lang w:val="en-AU"/>
              </w:rPr>
            </w:pPr>
            <w:r w:rsidRPr="003A1363">
              <w:rPr>
                <w:b/>
                <w:sz w:val="20"/>
                <w:lang w:val="en-AU"/>
              </w:rPr>
              <w:t>Duration of Response (DR)</w:t>
            </w:r>
          </w:p>
        </w:tc>
      </w:tr>
      <w:tr w:rsidR="00B555A4" w:rsidRPr="00A019E2" w:rsidTr="00B555A4">
        <w:tc>
          <w:tcPr>
            <w:tcW w:w="4219" w:type="dxa"/>
          </w:tcPr>
          <w:p w:rsidR="00B555A4" w:rsidRPr="00A019E2" w:rsidRDefault="003A1363" w:rsidP="00A56900">
            <w:pPr>
              <w:autoSpaceDE w:val="0"/>
              <w:autoSpaceDN w:val="0"/>
              <w:adjustRightInd w:val="0"/>
              <w:spacing w:line="196" w:lineRule="atLeast"/>
              <w:rPr>
                <w:sz w:val="20"/>
                <w:lang w:val="en-AU"/>
              </w:rPr>
            </w:pPr>
            <w:r w:rsidRPr="003A1363">
              <w:rPr>
                <w:sz w:val="20"/>
                <w:lang w:val="en-AU"/>
              </w:rPr>
              <w:t xml:space="preserve">Median, weeks </w:t>
            </w:r>
          </w:p>
        </w:tc>
        <w:tc>
          <w:tcPr>
            <w:tcW w:w="4678" w:type="dxa"/>
          </w:tcPr>
          <w:p w:rsidR="00B555A4" w:rsidRPr="00A019E2" w:rsidRDefault="003A1363" w:rsidP="000417D6">
            <w:pPr>
              <w:autoSpaceDE w:val="0"/>
              <w:autoSpaceDN w:val="0"/>
              <w:adjustRightInd w:val="0"/>
              <w:spacing w:line="196" w:lineRule="atLeast"/>
              <w:jc w:val="center"/>
              <w:rPr>
                <w:sz w:val="20"/>
                <w:lang w:val="en-AU"/>
              </w:rPr>
            </w:pPr>
            <w:r w:rsidRPr="003A1363">
              <w:rPr>
                <w:sz w:val="20"/>
                <w:lang w:val="en-AU"/>
              </w:rPr>
              <w:t>40 weeks</w:t>
            </w:r>
          </w:p>
        </w:tc>
      </w:tr>
    </w:tbl>
    <w:p w:rsidR="00B555A4" w:rsidRPr="00A019E2" w:rsidRDefault="003A1363" w:rsidP="0033282E">
      <w:pPr>
        <w:rPr>
          <w:sz w:val="16"/>
          <w:szCs w:val="16"/>
          <w:lang w:val="en-AU"/>
        </w:rPr>
      </w:pPr>
      <w:r w:rsidRPr="003A1363">
        <w:rPr>
          <w:sz w:val="16"/>
          <w:szCs w:val="16"/>
          <w:lang w:val="en-AU"/>
        </w:rPr>
        <w:t>CI = confidence interval</w:t>
      </w:r>
    </w:p>
    <w:p w:rsidR="00B13541" w:rsidRPr="00A019E2" w:rsidRDefault="003A1363" w:rsidP="00B13541">
      <w:pPr>
        <w:rPr>
          <w:sz w:val="16"/>
          <w:szCs w:val="16"/>
          <w:vertAlign w:val="superscript"/>
          <w:lang w:val="en-AU"/>
        </w:rPr>
      </w:pPr>
      <w:r w:rsidRPr="003A1363">
        <w:rPr>
          <w:sz w:val="16"/>
          <w:szCs w:val="16"/>
          <w:lang w:val="en-AU"/>
        </w:rPr>
        <w:t>* IRC assessment was based on modified International Working Group response criteria (IWG-RC).</w:t>
      </w:r>
    </w:p>
    <w:p w:rsidR="00B13541" w:rsidRPr="00A019E2" w:rsidRDefault="003A1363" w:rsidP="00B13541">
      <w:pPr>
        <w:rPr>
          <w:sz w:val="16"/>
          <w:szCs w:val="16"/>
          <w:lang w:val="en-AU"/>
        </w:rPr>
      </w:pPr>
      <w:r w:rsidRPr="003A1363">
        <w:rPr>
          <w:sz w:val="16"/>
          <w:szCs w:val="16"/>
          <w:lang w:val="en-AU"/>
        </w:rPr>
        <w:t xml:space="preserve"> Modifications to IWG-RC specified that a persistently positive bone marrow in patients who met all other criteria for CR would be scored as PR. Bone marrow sample lengths were not required to be </w:t>
      </w:r>
      <w:r w:rsidRPr="003A1363">
        <w:rPr>
          <w:rFonts w:cs="Arial"/>
          <w:sz w:val="16"/>
          <w:szCs w:val="16"/>
          <w:lang w:val="en-AU"/>
        </w:rPr>
        <w:t>≥</w:t>
      </w:r>
      <w:r w:rsidRPr="003A1363">
        <w:rPr>
          <w:sz w:val="16"/>
          <w:szCs w:val="16"/>
          <w:lang w:val="en-AU"/>
        </w:rPr>
        <w:t xml:space="preserve">20 mm.  </w:t>
      </w:r>
    </w:p>
    <w:p w:rsidR="006572E8" w:rsidRPr="00A019E2" w:rsidRDefault="006572E8" w:rsidP="00B13541">
      <w:pPr>
        <w:rPr>
          <w:sz w:val="18"/>
          <w:lang w:val="en-AU"/>
        </w:rPr>
      </w:pPr>
    </w:p>
    <w:p w:rsidR="006572E8" w:rsidRPr="00A019E2" w:rsidRDefault="003A1363" w:rsidP="006572E8">
      <w:pPr>
        <w:rPr>
          <w:lang w:val="en-AU"/>
        </w:rPr>
      </w:pPr>
      <w:r w:rsidRPr="003A1363">
        <w:rPr>
          <w:lang w:val="en-AU"/>
        </w:rPr>
        <w:t>Progression-free survival (PFS), a secondary endpoint in this study, was comparable across all patient groups defined by baseline characteristics (Table 5). The median PFS was 72 weeks in patients without previous alkylator therapy, and 51 weeks in patients who were sensitive to the previous alkylator therapy or chemotherapy. In the patients who had received previous radio</w:t>
      </w:r>
      <w:r w:rsidR="00FF3C28">
        <w:rPr>
          <w:lang w:val="en-AU"/>
        </w:rPr>
        <w:t>-</w:t>
      </w:r>
      <w:r w:rsidRPr="003A1363">
        <w:rPr>
          <w:lang w:val="en-AU"/>
        </w:rPr>
        <w:t>immunotherapy, the PFS was 53 weeks. Disease characteristics at baseline (FLIPI risk category, number of lymph nodal sites, or bulky disease) did not markedly affect duration of PFS.</w:t>
      </w:r>
    </w:p>
    <w:p w:rsidR="006572E8" w:rsidRPr="00A019E2" w:rsidRDefault="003A1363" w:rsidP="006572E8">
      <w:pPr>
        <w:rPr>
          <w:b/>
          <w:sz w:val="20"/>
          <w:lang w:val="en-AU"/>
        </w:rPr>
      </w:pPr>
      <w:r w:rsidRPr="003A1363">
        <w:rPr>
          <w:b/>
          <w:sz w:val="20"/>
          <w:lang w:val="en-AU"/>
        </w:rPr>
        <w:t>Table 5: Progression-Free Survival by Baseline Characteristics</w:t>
      </w:r>
    </w:p>
    <w:tbl>
      <w:tblPr>
        <w:tblStyle w:val="TableGrid"/>
        <w:tblW w:w="0" w:type="auto"/>
        <w:tblLook w:val="04A0" w:firstRow="1" w:lastRow="0" w:firstColumn="1" w:lastColumn="0" w:noHBand="0" w:noVBand="1"/>
      </w:tblPr>
      <w:tblGrid>
        <w:gridCol w:w="6771"/>
        <w:gridCol w:w="2516"/>
      </w:tblGrid>
      <w:tr w:rsidR="00E91DA7" w:rsidRPr="00A019E2" w:rsidTr="00E91DA7">
        <w:trPr>
          <w:trHeight w:val="470"/>
        </w:trPr>
        <w:tc>
          <w:tcPr>
            <w:tcW w:w="6771" w:type="dxa"/>
          </w:tcPr>
          <w:p w:rsidR="00E91DA7" w:rsidRPr="00A019E2" w:rsidRDefault="00E91DA7" w:rsidP="006572E8">
            <w:pPr>
              <w:rPr>
                <w:b/>
                <w:sz w:val="20"/>
                <w:lang w:val="en-AU"/>
              </w:rPr>
            </w:pPr>
          </w:p>
          <w:p w:rsidR="00E91DA7" w:rsidRPr="00A019E2" w:rsidRDefault="003A1363" w:rsidP="006572E8">
            <w:pPr>
              <w:rPr>
                <w:b/>
                <w:sz w:val="20"/>
                <w:lang w:val="en-AU"/>
              </w:rPr>
            </w:pPr>
            <w:r w:rsidRPr="003A1363">
              <w:rPr>
                <w:b/>
                <w:sz w:val="20"/>
                <w:lang w:val="en-AU"/>
              </w:rPr>
              <w:t>Response/Baseline Characteristics</w:t>
            </w:r>
          </w:p>
        </w:tc>
        <w:tc>
          <w:tcPr>
            <w:tcW w:w="2516" w:type="dxa"/>
          </w:tcPr>
          <w:p w:rsidR="00E91DA7" w:rsidRPr="00A019E2" w:rsidRDefault="003A1363" w:rsidP="00E91DA7">
            <w:pPr>
              <w:jc w:val="center"/>
              <w:rPr>
                <w:b/>
                <w:sz w:val="20"/>
                <w:lang w:val="en-AU"/>
              </w:rPr>
            </w:pPr>
            <w:r w:rsidRPr="003A1363">
              <w:rPr>
                <w:b/>
                <w:sz w:val="20"/>
                <w:lang w:val="en-AU"/>
              </w:rPr>
              <w:t>RIBOMUSTIN (N=100)</w:t>
            </w:r>
          </w:p>
          <w:p w:rsidR="00E91DA7" w:rsidRPr="00A019E2" w:rsidRDefault="003A1363" w:rsidP="00E91DA7">
            <w:pPr>
              <w:jc w:val="center"/>
              <w:rPr>
                <w:b/>
                <w:sz w:val="20"/>
                <w:lang w:val="en-AU"/>
              </w:rPr>
            </w:pPr>
            <w:r w:rsidRPr="003A1363">
              <w:rPr>
                <w:b/>
                <w:sz w:val="20"/>
                <w:lang w:val="en-AU"/>
              </w:rPr>
              <w:t>Median, weeks (95% CI)</w:t>
            </w:r>
          </w:p>
        </w:tc>
      </w:tr>
      <w:tr w:rsidR="006572E8" w:rsidRPr="00A019E2" w:rsidTr="00E91DA7">
        <w:tc>
          <w:tcPr>
            <w:tcW w:w="6771" w:type="dxa"/>
          </w:tcPr>
          <w:p w:rsidR="006572E8" w:rsidRPr="00A019E2" w:rsidRDefault="003A1363" w:rsidP="009D2E6A">
            <w:pPr>
              <w:rPr>
                <w:sz w:val="20"/>
                <w:lang w:val="en-AU"/>
              </w:rPr>
            </w:pPr>
            <w:r w:rsidRPr="003A1363">
              <w:rPr>
                <w:b/>
                <w:sz w:val="20"/>
                <w:lang w:val="en-AU"/>
              </w:rPr>
              <w:t>Progression Free Survival</w:t>
            </w:r>
          </w:p>
        </w:tc>
        <w:tc>
          <w:tcPr>
            <w:tcW w:w="2516" w:type="dxa"/>
          </w:tcPr>
          <w:p w:rsidR="006572E8" w:rsidRPr="00A019E2" w:rsidRDefault="003A1363" w:rsidP="00E91DA7">
            <w:pPr>
              <w:autoSpaceDE w:val="0"/>
              <w:autoSpaceDN w:val="0"/>
              <w:adjustRightInd w:val="0"/>
              <w:spacing w:line="196" w:lineRule="atLeast"/>
              <w:jc w:val="center"/>
              <w:rPr>
                <w:sz w:val="20"/>
                <w:lang w:val="en-AU"/>
              </w:rPr>
            </w:pPr>
            <w:r w:rsidRPr="003A1363">
              <w:rPr>
                <w:sz w:val="20"/>
                <w:lang w:val="en-AU"/>
              </w:rPr>
              <w:t>40.3 (35.0,51.9)</w:t>
            </w:r>
          </w:p>
        </w:tc>
      </w:tr>
      <w:tr w:rsidR="00A56900" w:rsidRPr="00A019E2" w:rsidTr="00A56900">
        <w:tc>
          <w:tcPr>
            <w:tcW w:w="9287" w:type="dxa"/>
            <w:gridSpan w:val="2"/>
          </w:tcPr>
          <w:p w:rsidR="00A56900" w:rsidRPr="00A019E2" w:rsidRDefault="003A1363" w:rsidP="00A56900">
            <w:pPr>
              <w:autoSpaceDE w:val="0"/>
              <w:autoSpaceDN w:val="0"/>
              <w:adjustRightInd w:val="0"/>
              <w:spacing w:line="196" w:lineRule="atLeast"/>
              <w:rPr>
                <w:sz w:val="20"/>
                <w:lang w:val="en-AU"/>
              </w:rPr>
            </w:pPr>
            <w:r w:rsidRPr="003A1363">
              <w:rPr>
                <w:b/>
                <w:sz w:val="20"/>
                <w:lang w:val="en-AU"/>
              </w:rPr>
              <w:t>Best response</w:t>
            </w:r>
            <w:r w:rsidRPr="003A1363">
              <w:rPr>
                <w:sz w:val="20"/>
                <w:lang w:val="en-AU"/>
              </w:rPr>
              <w:t xml:space="preserve"> </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sz w:val="20"/>
                <w:lang w:val="en-AU"/>
              </w:rPr>
            </w:pPr>
            <w:r w:rsidRPr="003A1363">
              <w:rPr>
                <w:sz w:val="20"/>
                <w:lang w:val="en-AU"/>
              </w:rPr>
              <w:t>Complete response (n=14)</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51.1 (46.3, 56.7)</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sz w:val="20"/>
                <w:lang w:val="en-AU"/>
              </w:rPr>
            </w:pPr>
            <w:r w:rsidRPr="003A1363">
              <w:rPr>
                <w:sz w:val="20"/>
                <w:lang w:val="en-AU"/>
              </w:rPr>
              <w:t>Unconfirmed complete response (n=3)</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64.9 (35.0, NA)</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sz w:val="20"/>
                <w:lang w:val="en-AU"/>
              </w:rPr>
            </w:pPr>
            <w:r w:rsidRPr="003A1363">
              <w:rPr>
                <w:sz w:val="20"/>
                <w:lang w:val="en-AU"/>
              </w:rPr>
              <w:t>Partial response (n=58)</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42.3 (35.9, 53.3)</w:t>
            </w:r>
          </w:p>
        </w:tc>
      </w:tr>
      <w:tr w:rsidR="00A56900" w:rsidRPr="00A019E2" w:rsidTr="00E91DA7">
        <w:tc>
          <w:tcPr>
            <w:tcW w:w="9287" w:type="dxa"/>
            <w:gridSpan w:val="2"/>
          </w:tcPr>
          <w:p w:rsidR="00A56900" w:rsidRPr="00A019E2" w:rsidRDefault="003A1363" w:rsidP="00E91DA7">
            <w:pPr>
              <w:autoSpaceDE w:val="0"/>
              <w:autoSpaceDN w:val="0"/>
              <w:adjustRightInd w:val="0"/>
              <w:spacing w:line="196" w:lineRule="atLeast"/>
              <w:rPr>
                <w:sz w:val="20"/>
                <w:lang w:val="en-AU"/>
              </w:rPr>
            </w:pPr>
            <w:r w:rsidRPr="003A1363">
              <w:rPr>
                <w:b/>
                <w:sz w:val="20"/>
                <w:lang w:val="en-AU"/>
              </w:rPr>
              <w:t>Previous alkylator therapy</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sz w:val="20"/>
                <w:lang w:val="en-AU"/>
              </w:rPr>
            </w:pPr>
            <w:r w:rsidRPr="003A1363">
              <w:rPr>
                <w:sz w:val="20"/>
                <w:lang w:val="en-AU"/>
              </w:rPr>
              <w:t>With previous alkylator therapy (n=91)</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36.3 (33.4, 51.1)</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sz w:val="20"/>
                <w:lang w:val="en-AU"/>
              </w:rPr>
            </w:pPr>
            <w:r w:rsidRPr="003A1363">
              <w:rPr>
                <w:sz w:val="20"/>
                <w:lang w:val="en-AU"/>
              </w:rPr>
              <w:t>Without previous alkylator therapy (n=9)</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71.6 (36.6, 71.6)</w:t>
            </w:r>
          </w:p>
        </w:tc>
      </w:tr>
      <w:tr w:rsidR="00A56900" w:rsidRPr="00A019E2" w:rsidTr="00E91DA7">
        <w:tc>
          <w:tcPr>
            <w:tcW w:w="9287" w:type="dxa"/>
            <w:gridSpan w:val="2"/>
          </w:tcPr>
          <w:p w:rsidR="00A56900" w:rsidRPr="00A019E2" w:rsidRDefault="003A1363" w:rsidP="00E91DA7">
            <w:pPr>
              <w:autoSpaceDE w:val="0"/>
              <w:autoSpaceDN w:val="0"/>
              <w:adjustRightInd w:val="0"/>
              <w:spacing w:line="196" w:lineRule="atLeast"/>
              <w:rPr>
                <w:sz w:val="20"/>
                <w:lang w:val="en-AU"/>
              </w:rPr>
            </w:pPr>
            <w:r w:rsidRPr="003A1363">
              <w:rPr>
                <w:b/>
                <w:sz w:val="20"/>
                <w:lang w:val="en-AU"/>
              </w:rPr>
              <w:t>Sensitivity to last alkylator therapy</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sz w:val="20"/>
                <w:lang w:val="en-AU"/>
              </w:rPr>
            </w:pPr>
            <w:r w:rsidRPr="003A1363">
              <w:rPr>
                <w:sz w:val="20"/>
                <w:lang w:val="en-AU"/>
              </w:rPr>
              <w:t>Sensitive (n=51)</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51.1 (36.3, 56.7)</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sz w:val="20"/>
                <w:lang w:val="en-AU"/>
              </w:rPr>
            </w:pPr>
            <w:r w:rsidRPr="003A1363">
              <w:rPr>
                <w:sz w:val="20"/>
                <w:lang w:val="en-AU"/>
              </w:rPr>
              <w:t>Refractory (n=36)</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32.7 (19.1, 52.3)</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sz w:val="20"/>
                <w:lang w:val="en-AU"/>
              </w:rPr>
            </w:pPr>
            <w:r w:rsidRPr="003A1363">
              <w:rPr>
                <w:sz w:val="20"/>
                <w:lang w:val="en-AU"/>
              </w:rPr>
              <w:t>Unknown (n=10)</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30.0 (20.6, 35.0)</w:t>
            </w:r>
          </w:p>
        </w:tc>
      </w:tr>
      <w:tr w:rsidR="00A56900" w:rsidRPr="00A019E2" w:rsidTr="00E91DA7">
        <w:tc>
          <w:tcPr>
            <w:tcW w:w="9287" w:type="dxa"/>
            <w:gridSpan w:val="2"/>
          </w:tcPr>
          <w:p w:rsidR="00A56900" w:rsidRPr="00A019E2" w:rsidRDefault="003A1363" w:rsidP="00E91DA7">
            <w:pPr>
              <w:autoSpaceDE w:val="0"/>
              <w:autoSpaceDN w:val="0"/>
              <w:adjustRightInd w:val="0"/>
              <w:spacing w:line="196" w:lineRule="atLeast"/>
              <w:rPr>
                <w:sz w:val="20"/>
                <w:lang w:val="en-AU"/>
              </w:rPr>
            </w:pPr>
            <w:r w:rsidRPr="003A1363">
              <w:rPr>
                <w:b/>
                <w:sz w:val="20"/>
                <w:lang w:val="en-AU"/>
              </w:rPr>
              <w:lastRenderedPageBreak/>
              <w:t>Sensitivity to last chemotherapy therapy</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sz w:val="20"/>
                <w:lang w:val="en-AU"/>
              </w:rPr>
            </w:pPr>
            <w:r w:rsidRPr="003A1363">
              <w:rPr>
                <w:sz w:val="20"/>
                <w:lang w:val="en-AU"/>
              </w:rPr>
              <w:t>Sensitive (n=51)</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51.1 (39.0, 56.7)</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sz w:val="20"/>
                <w:lang w:val="en-AU"/>
              </w:rPr>
            </w:pPr>
            <w:r w:rsidRPr="003A1363">
              <w:rPr>
                <w:sz w:val="20"/>
                <w:lang w:val="en-AU"/>
              </w:rPr>
              <w:t>Refractory (n=36)</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32.7 (19.1, 52.3)</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sz w:val="20"/>
                <w:lang w:val="en-AU"/>
              </w:rPr>
            </w:pPr>
            <w:r w:rsidRPr="003A1363">
              <w:rPr>
                <w:sz w:val="20"/>
                <w:lang w:val="en-AU"/>
              </w:rPr>
              <w:t>Unknown (n=12)</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30.1 (20.6, 42.4)</w:t>
            </w:r>
          </w:p>
        </w:tc>
      </w:tr>
      <w:tr w:rsidR="00A56900" w:rsidRPr="00A019E2" w:rsidTr="00E91DA7">
        <w:tc>
          <w:tcPr>
            <w:tcW w:w="9287" w:type="dxa"/>
            <w:gridSpan w:val="2"/>
          </w:tcPr>
          <w:p w:rsidR="00A56900" w:rsidRPr="00A019E2" w:rsidRDefault="003A1363" w:rsidP="00E91DA7">
            <w:pPr>
              <w:autoSpaceDE w:val="0"/>
              <w:autoSpaceDN w:val="0"/>
              <w:adjustRightInd w:val="0"/>
              <w:spacing w:line="196" w:lineRule="atLeast"/>
              <w:rPr>
                <w:sz w:val="20"/>
                <w:lang w:val="en-AU"/>
              </w:rPr>
            </w:pPr>
            <w:r w:rsidRPr="003A1363">
              <w:rPr>
                <w:b/>
                <w:sz w:val="20"/>
                <w:lang w:val="en-AU"/>
              </w:rPr>
              <w:t>Number of previous chemotherapy courses</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sz w:val="20"/>
                <w:lang w:val="en-AU"/>
              </w:rPr>
            </w:pPr>
            <w:r w:rsidRPr="003A1363">
              <w:rPr>
                <w:rFonts w:cs="Arial"/>
                <w:sz w:val="20"/>
                <w:lang w:val="en-AU"/>
              </w:rPr>
              <w:t>≤</w:t>
            </w:r>
            <w:r w:rsidRPr="003A1363">
              <w:rPr>
                <w:sz w:val="20"/>
                <w:lang w:val="en-AU"/>
              </w:rPr>
              <w:t>3 courses (n=92)</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42.4 (35.0, 52.3)</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rFonts w:cs="Arial"/>
                <w:sz w:val="20"/>
                <w:lang w:val="en-AU"/>
              </w:rPr>
            </w:pPr>
            <w:r w:rsidRPr="003A1363">
              <w:rPr>
                <w:rFonts w:cs="Arial"/>
                <w:sz w:val="20"/>
                <w:lang w:val="en-AU"/>
              </w:rPr>
              <w:t>&gt;3 courses (n=8)</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30.1 (24.3, 35.9)</w:t>
            </w:r>
          </w:p>
        </w:tc>
      </w:tr>
      <w:tr w:rsidR="00A56900" w:rsidRPr="00A019E2" w:rsidTr="00E91DA7">
        <w:tc>
          <w:tcPr>
            <w:tcW w:w="9287" w:type="dxa"/>
            <w:gridSpan w:val="2"/>
          </w:tcPr>
          <w:p w:rsidR="00A56900" w:rsidRPr="00A019E2" w:rsidRDefault="003A1363" w:rsidP="00E91DA7">
            <w:pPr>
              <w:autoSpaceDE w:val="0"/>
              <w:autoSpaceDN w:val="0"/>
              <w:adjustRightInd w:val="0"/>
              <w:spacing w:line="196" w:lineRule="atLeast"/>
              <w:rPr>
                <w:sz w:val="20"/>
                <w:lang w:val="en-AU"/>
              </w:rPr>
            </w:pPr>
            <w:r w:rsidRPr="003A1363">
              <w:rPr>
                <w:rFonts w:cs="Arial"/>
                <w:b/>
                <w:sz w:val="20"/>
                <w:lang w:val="en-AU"/>
              </w:rPr>
              <w:t>Previous radio</w:t>
            </w:r>
            <w:r w:rsidR="00FF3C28">
              <w:rPr>
                <w:rFonts w:cs="Arial"/>
                <w:b/>
                <w:sz w:val="20"/>
                <w:lang w:val="en-AU"/>
              </w:rPr>
              <w:t>-</w:t>
            </w:r>
            <w:r w:rsidRPr="003A1363">
              <w:rPr>
                <w:rFonts w:cs="Arial"/>
                <w:b/>
                <w:sz w:val="20"/>
                <w:lang w:val="en-AU"/>
              </w:rPr>
              <w:t>immunotherapy</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rFonts w:cs="Arial"/>
                <w:sz w:val="20"/>
                <w:lang w:val="en-AU"/>
              </w:rPr>
            </w:pPr>
            <w:r w:rsidRPr="003A1363">
              <w:rPr>
                <w:rFonts w:cs="Arial"/>
                <w:sz w:val="20"/>
                <w:lang w:val="en-AU"/>
              </w:rPr>
              <w:t>With previous radio</w:t>
            </w:r>
            <w:r w:rsidR="00FF3C28">
              <w:rPr>
                <w:rFonts w:cs="Arial"/>
                <w:sz w:val="20"/>
                <w:lang w:val="en-AU"/>
              </w:rPr>
              <w:t>-</w:t>
            </w:r>
            <w:r w:rsidRPr="003A1363">
              <w:rPr>
                <w:rFonts w:cs="Arial"/>
                <w:sz w:val="20"/>
                <w:lang w:val="en-AU"/>
              </w:rPr>
              <w:t>immunotherapy (n=24)</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53.3 (34.7, 71.6)</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rFonts w:cs="Arial"/>
                <w:sz w:val="20"/>
                <w:lang w:val="en-AU"/>
              </w:rPr>
            </w:pPr>
            <w:r w:rsidRPr="003A1363">
              <w:rPr>
                <w:rFonts w:cs="Arial"/>
                <w:sz w:val="20"/>
                <w:lang w:val="en-AU"/>
              </w:rPr>
              <w:t xml:space="preserve">Without previous </w:t>
            </w:r>
            <w:r w:rsidR="00FF3C28" w:rsidRPr="00A019E2">
              <w:rPr>
                <w:rFonts w:cs="Arial"/>
                <w:sz w:val="20"/>
                <w:lang w:val="en-AU"/>
              </w:rPr>
              <w:t>radio-immunotherapy</w:t>
            </w:r>
            <w:r w:rsidRPr="003A1363">
              <w:rPr>
                <w:rFonts w:cs="Arial"/>
                <w:sz w:val="20"/>
                <w:lang w:val="en-AU"/>
              </w:rPr>
              <w:t xml:space="preserve"> (n=76)</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39.0 (34.0, 51.1)</w:t>
            </w:r>
          </w:p>
        </w:tc>
      </w:tr>
      <w:tr w:rsidR="00A56900" w:rsidRPr="00A019E2" w:rsidTr="00E91DA7">
        <w:tc>
          <w:tcPr>
            <w:tcW w:w="9287" w:type="dxa"/>
            <w:gridSpan w:val="2"/>
          </w:tcPr>
          <w:p w:rsidR="00A56900" w:rsidRPr="00A019E2" w:rsidRDefault="003A1363" w:rsidP="00E91DA7">
            <w:pPr>
              <w:autoSpaceDE w:val="0"/>
              <w:autoSpaceDN w:val="0"/>
              <w:adjustRightInd w:val="0"/>
              <w:spacing w:line="196" w:lineRule="atLeast"/>
              <w:rPr>
                <w:sz w:val="20"/>
                <w:lang w:val="en-AU"/>
              </w:rPr>
            </w:pPr>
            <w:r w:rsidRPr="003A1363">
              <w:rPr>
                <w:rFonts w:cs="Arial"/>
                <w:b/>
                <w:sz w:val="20"/>
                <w:lang w:val="en-AU"/>
              </w:rPr>
              <w:t>Follicular Lymphoma International Prognostic Index (risk category)</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rFonts w:cs="Arial"/>
                <w:sz w:val="20"/>
                <w:lang w:val="en-AU"/>
              </w:rPr>
            </w:pPr>
            <w:r w:rsidRPr="003A1363">
              <w:rPr>
                <w:rFonts w:cs="Arial"/>
                <w:sz w:val="20"/>
                <w:lang w:val="en-AU"/>
              </w:rPr>
              <w:t xml:space="preserve">Low </w:t>
            </w:r>
            <w:r w:rsidR="00FF3C28" w:rsidRPr="00A019E2">
              <w:rPr>
                <w:rFonts w:cs="Arial"/>
                <w:sz w:val="20"/>
                <w:lang w:val="en-AU"/>
              </w:rPr>
              <w:t>risk</w:t>
            </w:r>
            <w:r w:rsidRPr="003A1363">
              <w:rPr>
                <w:rFonts w:cs="Arial"/>
                <w:sz w:val="20"/>
                <w:lang w:val="en-AU"/>
              </w:rPr>
              <w:t xml:space="preserve"> (n=18)</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40.3 (32..7, 51.9)</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rFonts w:cs="Arial"/>
                <w:sz w:val="20"/>
                <w:lang w:val="en-AU"/>
              </w:rPr>
            </w:pPr>
            <w:r w:rsidRPr="003A1363">
              <w:rPr>
                <w:rFonts w:cs="Arial"/>
                <w:sz w:val="20"/>
                <w:lang w:val="en-AU"/>
              </w:rPr>
              <w:t>Intermediate risk (n=26)</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39.0 (30.1, NA)</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rFonts w:cs="Arial"/>
                <w:sz w:val="20"/>
                <w:lang w:val="en-AU"/>
              </w:rPr>
            </w:pPr>
            <w:r w:rsidRPr="003A1363">
              <w:rPr>
                <w:rFonts w:cs="Arial"/>
                <w:sz w:val="20"/>
                <w:lang w:val="en-AU"/>
              </w:rPr>
              <w:t>High risk (n=18)</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35.6 (27.4, 54.1)</w:t>
            </w:r>
          </w:p>
        </w:tc>
      </w:tr>
      <w:tr w:rsidR="00A56900" w:rsidRPr="00A019E2" w:rsidTr="00E91DA7">
        <w:tc>
          <w:tcPr>
            <w:tcW w:w="9287" w:type="dxa"/>
            <w:gridSpan w:val="2"/>
          </w:tcPr>
          <w:p w:rsidR="00A56900" w:rsidRPr="00A019E2" w:rsidRDefault="003A1363" w:rsidP="00E91DA7">
            <w:pPr>
              <w:autoSpaceDE w:val="0"/>
              <w:autoSpaceDN w:val="0"/>
              <w:adjustRightInd w:val="0"/>
              <w:spacing w:line="196" w:lineRule="atLeast"/>
              <w:rPr>
                <w:sz w:val="20"/>
                <w:lang w:val="en-AU"/>
              </w:rPr>
            </w:pPr>
            <w:r w:rsidRPr="003A1363">
              <w:rPr>
                <w:rFonts w:cs="Arial"/>
                <w:b/>
                <w:sz w:val="20"/>
                <w:lang w:val="en-AU"/>
              </w:rPr>
              <w:t>Number of lymph nodal sites</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rFonts w:cs="Arial"/>
                <w:sz w:val="20"/>
                <w:lang w:val="en-AU"/>
              </w:rPr>
            </w:pPr>
            <w:r w:rsidRPr="003A1363">
              <w:rPr>
                <w:rFonts w:cs="Arial"/>
                <w:sz w:val="20"/>
                <w:lang w:val="en-AU"/>
              </w:rPr>
              <w:t>≤4 involved lymph nodes (n=52)</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40.3 (32.0, 51.9)</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rFonts w:cs="Arial"/>
                <w:sz w:val="20"/>
                <w:lang w:val="en-AU"/>
              </w:rPr>
            </w:pPr>
            <w:r w:rsidRPr="003A1363">
              <w:rPr>
                <w:rFonts w:cs="Arial"/>
                <w:sz w:val="20"/>
                <w:lang w:val="en-AU"/>
              </w:rPr>
              <w:t>&gt;4 involved lymph nodes (n=48)</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46.3 (34.0, 54.1)</w:t>
            </w:r>
          </w:p>
        </w:tc>
      </w:tr>
      <w:tr w:rsidR="00A56900" w:rsidRPr="00A019E2" w:rsidTr="00E91DA7">
        <w:tc>
          <w:tcPr>
            <w:tcW w:w="9287" w:type="dxa"/>
            <w:gridSpan w:val="2"/>
          </w:tcPr>
          <w:p w:rsidR="00A56900" w:rsidRPr="00A019E2" w:rsidRDefault="003A1363" w:rsidP="00E91DA7">
            <w:pPr>
              <w:autoSpaceDE w:val="0"/>
              <w:autoSpaceDN w:val="0"/>
              <w:adjustRightInd w:val="0"/>
              <w:spacing w:line="196" w:lineRule="atLeast"/>
              <w:rPr>
                <w:sz w:val="20"/>
                <w:lang w:val="en-AU"/>
              </w:rPr>
            </w:pPr>
            <w:r w:rsidRPr="003A1363">
              <w:rPr>
                <w:rFonts w:cs="Arial"/>
                <w:b/>
                <w:sz w:val="20"/>
                <w:lang w:val="en-AU"/>
              </w:rPr>
              <w:t>Bulky disease at baseline</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rFonts w:cs="Arial"/>
                <w:sz w:val="20"/>
                <w:lang w:val="en-AU"/>
              </w:rPr>
            </w:pPr>
            <w:r w:rsidRPr="003A1363">
              <w:rPr>
                <w:rFonts w:cs="Arial"/>
                <w:sz w:val="20"/>
                <w:lang w:val="en-AU"/>
              </w:rPr>
              <w:t>Lymph nodes &lt;10 cm (n=89)</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42.3 (35.0, 51.9)</w:t>
            </w:r>
          </w:p>
        </w:tc>
      </w:tr>
      <w:tr w:rsidR="00A56900" w:rsidRPr="00A019E2" w:rsidTr="00E91DA7">
        <w:tc>
          <w:tcPr>
            <w:tcW w:w="6771" w:type="dxa"/>
          </w:tcPr>
          <w:p w:rsidR="00A56900" w:rsidRPr="00A019E2" w:rsidRDefault="003A1363" w:rsidP="00E91DA7">
            <w:pPr>
              <w:autoSpaceDE w:val="0"/>
              <w:autoSpaceDN w:val="0"/>
              <w:adjustRightInd w:val="0"/>
              <w:spacing w:line="196" w:lineRule="atLeast"/>
              <w:ind w:left="720"/>
              <w:rPr>
                <w:rFonts w:cs="Arial"/>
                <w:sz w:val="20"/>
                <w:lang w:val="en-AU"/>
              </w:rPr>
            </w:pPr>
            <w:r w:rsidRPr="003A1363">
              <w:rPr>
                <w:rFonts w:cs="Arial"/>
                <w:sz w:val="20"/>
                <w:lang w:val="en-AU"/>
              </w:rPr>
              <w:t>Lymph nodes ≥10 cm (n=8)</w:t>
            </w:r>
          </w:p>
        </w:tc>
        <w:tc>
          <w:tcPr>
            <w:tcW w:w="2516" w:type="dxa"/>
          </w:tcPr>
          <w:p w:rsidR="00A56900" w:rsidRPr="00A019E2" w:rsidRDefault="003A1363" w:rsidP="00E91DA7">
            <w:pPr>
              <w:autoSpaceDE w:val="0"/>
              <w:autoSpaceDN w:val="0"/>
              <w:adjustRightInd w:val="0"/>
              <w:spacing w:line="196" w:lineRule="atLeast"/>
              <w:jc w:val="center"/>
              <w:rPr>
                <w:sz w:val="20"/>
                <w:lang w:val="en-AU"/>
              </w:rPr>
            </w:pPr>
            <w:r w:rsidRPr="003A1363">
              <w:rPr>
                <w:sz w:val="20"/>
                <w:lang w:val="en-AU"/>
              </w:rPr>
              <w:t>40.3 (6.1, NA)</w:t>
            </w:r>
          </w:p>
        </w:tc>
      </w:tr>
    </w:tbl>
    <w:p w:rsidR="006572E8" w:rsidRPr="00A019E2" w:rsidRDefault="003A1363" w:rsidP="006572E8">
      <w:pPr>
        <w:rPr>
          <w:sz w:val="18"/>
          <w:szCs w:val="18"/>
          <w:lang w:val="en-AU"/>
        </w:rPr>
      </w:pPr>
      <w:r w:rsidRPr="003A1363">
        <w:rPr>
          <w:sz w:val="18"/>
          <w:szCs w:val="18"/>
          <w:lang w:val="en-AU"/>
        </w:rPr>
        <w:t>CI = confidence interval; NA = not applicable.</w:t>
      </w:r>
    </w:p>
    <w:p w:rsidR="0033282E" w:rsidRPr="00A019E2" w:rsidRDefault="003A1363" w:rsidP="000E1232">
      <w:pPr>
        <w:pStyle w:val="PIHEADING1"/>
        <w:keepLines/>
        <w:jc w:val="both"/>
        <w:rPr>
          <w:lang w:val="en-AU"/>
        </w:rPr>
      </w:pPr>
      <w:r w:rsidRPr="003A1363">
        <w:rPr>
          <w:lang w:val="en-AU"/>
        </w:rPr>
        <w:t>INDICATIONS</w:t>
      </w:r>
    </w:p>
    <w:p w:rsidR="00931805" w:rsidRPr="00D417D6" w:rsidRDefault="003A1363" w:rsidP="005D18D8">
      <w:pPr>
        <w:rPr>
          <w:rFonts w:ascii="Calibri" w:hAnsi="Calibri" w:cs="Calibri"/>
          <w:lang w:val="en-AU"/>
        </w:rPr>
      </w:pPr>
      <w:proofErr w:type="gramStart"/>
      <w:r w:rsidRPr="00D417D6">
        <w:rPr>
          <w:rFonts w:ascii="Calibri" w:hAnsi="Calibri" w:cs="Calibri"/>
          <w:bCs/>
          <w:lang w:val="en-AU"/>
        </w:rPr>
        <w:t>First-line treatment of chronic lymphocytic leukaemia (Binet stage B or C).</w:t>
      </w:r>
      <w:proofErr w:type="gramEnd"/>
      <w:r w:rsidRPr="00D417D6">
        <w:rPr>
          <w:rFonts w:ascii="Calibri" w:hAnsi="Calibri" w:cs="Calibri"/>
          <w:bCs/>
          <w:lang w:val="en-AU"/>
        </w:rPr>
        <w:t xml:space="preserve">  Efficacy relative to first-line therapies other than chlorambucil has not been established.</w:t>
      </w:r>
    </w:p>
    <w:p w:rsidR="009E4BA6" w:rsidRPr="00D417D6" w:rsidRDefault="003A1363" w:rsidP="009E4BA6">
      <w:pPr>
        <w:rPr>
          <w:rFonts w:cs="Arial"/>
          <w:lang w:val="en-AU"/>
        </w:rPr>
      </w:pPr>
      <w:proofErr w:type="gramStart"/>
      <w:r w:rsidRPr="00D417D6">
        <w:rPr>
          <w:rFonts w:cs="Arial"/>
          <w:lang w:val="en-AU"/>
        </w:rPr>
        <w:t>Previously untreated indolent CD20-positive, stage III-IV Non-Hodgkin’s lymphoma, in combination with rituximab.</w:t>
      </w:r>
      <w:proofErr w:type="gramEnd"/>
    </w:p>
    <w:p w:rsidR="009E4BA6" w:rsidRPr="00D417D6" w:rsidRDefault="003A1363" w:rsidP="009E4BA6">
      <w:pPr>
        <w:rPr>
          <w:rFonts w:cs="Arial"/>
          <w:lang w:val="en-AU"/>
        </w:rPr>
      </w:pPr>
      <w:r w:rsidRPr="00D417D6">
        <w:rPr>
          <w:rFonts w:cs="Arial"/>
          <w:lang w:val="en-AU"/>
        </w:rPr>
        <w:t xml:space="preserve">Previously untreated CD20-positive, stage III-IV Mantle Cell Lymphoma in combination with rituximab, in patients </w:t>
      </w:r>
      <w:r w:rsidR="00FF3C28" w:rsidRPr="00D417D6">
        <w:rPr>
          <w:rFonts w:cs="Arial"/>
          <w:lang w:val="en-AU"/>
        </w:rPr>
        <w:t>ineligible</w:t>
      </w:r>
      <w:r w:rsidRPr="00D417D6">
        <w:rPr>
          <w:rFonts w:cs="Arial"/>
          <w:lang w:val="en-AU"/>
        </w:rPr>
        <w:t xml:space="preserve"> for autologous stem cell transplantation.</w:t>
      </w:r>
    </w:p>
    <w:p w:rsidR="005D18D8" w:rsidRPr="00A019E2" w:rsidRDefault="003A1363" w:rsidP="005D18D8">
      <w:pPr>
        <w:rPr>
          <w:rFonts w:cs="Arial"/>
          <w:lang w:val="en-AU"/>
        </w:rPr>
      </w:pPr>
      <w:proofErr w:type="gramStart"/>
      <w:r w:rsidRPr="003A1363">
        <w:rPr>
          <w:rFonts w:cs="Arial"/>
          <w:lang w:val="en-AU"/>
        </w:rPr>
        <w:t>Relapsed/Refractory indolent Non-Hodgkin’s lymphoma.</w:t>
      </w:r>
      <w:proofErr w:type="gramEnd"/>
      <w:r w:rsidRPr="003A1363">
        <w:rPr>
          <w:rFonts w:cs="Arial"/>
          <w:lang w:val="en-AU"/>
        </w:rPr>
        <w:t xml:space="preserve"> </w:t>
      </w:r>
    </w:p>
    <w:p w:rsidR="0033282E" w:rsidRPr="00A019E2" w:rsidRDefault="003A1363" w:rsidP="0033282E">
      <w:pPr>
        <w:pStyle w:val="PIHEADING1"/>
        <w:keepNext/>
        <w:keepLines/>
        <w:jc w:val="both"/>
        <w:rPr>
          <w:lang w:val="en-AU"/>
        </w:rPr>
      </w:pPr>
      <w:r w:rsidRPr="003A1363">
        <w:rPr>
          <w:lang w:val="en-AU"/>
        </w:rPr>
        <w:lastRenderedPageBreak/>
        <w:t>CONTRAINDICATIONS</w:t>
      </w:r>
    </w:p>
    <w:p w:rsidR="00090D03" w:rsidRPr="00A019E2" w:rsidRDefault="003A1363" w:rsidP="00C84766">
      <w:pPr>
        <w:pStyle w:val="Default"/>
        <w:spacing w:before="20" w:after="80"/>
        <w:rPr>
          <w:rFonts w:cs="Arial"/>
          <w:sz w:val="22"/>
          <w:szCs w:val="22"/>
          <w:lang w:val="en-AU"/>
        </w:rPr>
      </w:pPr>
      <w:r w:rsidRPr="003A1363">
        <w:rPr>
          <w:rFonts w:cs="Arial"/>
          <w:sz w:val="22"/>
          <w:szCs w:val="22"/>
          <w:lang w:val="en-AU"/>
        </w:rPr>
        <w:t>RIBOMUSTIN is contraindicated in patients with:</w:t>
      </w:r>
    </w:p>
    <w:p w:rsidR="00090D03" w:rsidRPr="00A019E2" w:rsidRDefault="003A1363" w:rsidP="00797E35">
      <w:pPr>
        <w:pStyle w:val="Default"/>
        <w:numPr>
          <w:ilvl w:val="0"/>
          <w:numId w:val="21"/>
        </w:numPr>
        <w:spacing w:before="20" w:after="80"/>
        <w:rPr>
          <w:rFonts w:cs="Arial"/>
          <w:sz w:val="22"/>
          <w:szCs w:val="22"/>
          <w:lang w:val="en-AU"/>
        </w:rPr>
      </w:pPr>
      <w:r w:rsidRPr="003A1363">
        <w:rPr>
          <w:rFonts w:cs="Arial"/>
          <w:sz w:val="22"/>
          <w:szCs w:val="22"/>
          <w:lang w:val="en-AU"/>
        </w:rPr>
        <w:t>Hypersensitivity to the active substance or to any of the excipients.</w:t>
      </w:r>
    </w:p>
    <w:p w:rsidR="00090D03" w:rsidRPr="00A019E2" w:rsidRDefault="003A1363" w:rsidP="00797E35">
      <w:pPr>
        <w:pStyle w:val="Default"/>
        <w:numPr>
          <w:ilvl w:val="0"/>
          <w:numId w:val="21"/>
        </w:numPr>
        <w:spacing w:before="20" w:after="80"/>
        <w:rPr>
          <w:rFonts w:cs="Arial"/>
          <w:sz w:val="22"/>
          <w:szCs w:val="22"/>
          <w:lang w:val="en-AU"/>
        </w:rPr>
      </w:pPr>
      <w:r w:rsidRPr="003A1363">
        <w:rPr>
          <w:rFonts w:cs="Arial"/>
          <w:sz w:val="22"/>
          <w:szCs w:val="22"/>
          <w:lang w:val="en-AU"/>
        </w:rPr>
        <w:t>Severe hepatic impairment (serum bilirubin &gt; 3.0 mg/dL)</w:t>
      </w:r>
    </w:p>
    <w:p w:rsidR="00090D03" w:rsidRPr="00A019E2" w:rsidRDefault="003A1363" w:rsidP="00797E35">
      <w:pPr>
        <w:pStyle w:val="Default"/>
        <w:numPr>
          <w:ilvl w:val="0"/>
          <w:numId w:val="21"/>
        </w:numPr>
        <w:spacing w:before="20" w:after="80"/>
        <w:rPr>
          <w:rFonts w:cs="Arial"/>
          <w:sz w:val="22"/>
          <w:szCs w:val="22"/>
          <w:lang w:val="en-AU"/>
        </w:rPr>
      </w:pPr>
      <w:r w:rsidRPr="003A1363">
        <w:rPr>
          <w:rFonts w:cs="Arial"/>
          <w:sz w:val="22"/>
          <w:szCs w:val="22"/>
          <w:lang w:val="en-AU"/>
        </w:rPr>
        <w:t>Jaundice</w:t>
      </w:r>
    </w:p>
    <w:p w:rsidR="00090D03" w:rsidRPr="00A019E2" w:rsidRDefault="003A1363" w:rsidP="00797E35">
      <w:pPr>
        <w:pStyle w:val="Default"/>
        <w:numPr>
          <w:ilvl w:val="0"/>
          <w:numId w:val="21"/>
        </w:numPr>
        <w:spacing w:before="20" w:after="80"/>
        <w:rPr>
          <w:rFonts w:cs="Arial"/>
          <w:sz w:val="22"/>
          <w:szCs w:val="22"/>
          <w:lang w:val="en-AU"/>
        </w:rPr>
      </w:pPr>
      <w:r w:rsidRPr="003A1363">
        <w:rPr>
          <w:rFonts w:cs="Arial"/>
          <w:sz w:val="22"/>
          <w:szCs w:val="22"/>
          <w:lang w:val="en-AU"/>
        </w:rPr>
        <w:t>Severe bone marrow suppression and severe blood count alteration (leukocyte and/or platelet values dropped to &lt; 3x10</w:t>
      </w:r>
      <w:r w:rsidRPr="003A1363">
        <w:rPr>
          <w:rFonts w:cs="Arial"/>
          <w:sz w:val="22"/>
          <w:szCs w:val="22"/>
          <w:vertAlign w:val="superscript"/>
          <w:lang w:val="en-AU"/>
        </w:rPr>
        <w:t>9</w:t>
      </w:r>
      <w:r w:rsidRPr="003A1363">
        <w:rPr>
          <w:rFonts w:cs="Arial"/>
          <w:sz w:val="22"/>
          <w:szCs w:val="22"/>
          <w:lang w:val="en-AU"/>
        </w:rPr>
        <w:t>/L or &lt;75x10</w:t>
      </w:r>
      <w:r w:rsidRPr="003A1363">
        <w:rPr>
          <w:rFonts w:cs="Arial"/>
          <w:sz w:val="22"/>
          <w:szCs w:val="22"/>
          <w:vertAlign w:val="superscript"/>
          <w:lang w:val="en-AU"/>
        </w:rPr>
        <w:t>9</w:t>
      </w:r>
      <w:r w:rsidRPr="003A1363">
        <w:rPr>
          <w:rFonts w:cs="Arial"/>
          <w:sz w:val="22"/>
          <w:szCs w:val="22"/>
          <w:lang w:val="en-AU"/>
        </w:rPr>
        <w:t>/L, respectively)</w:t>
      </w:r>
    </w:p>
    <w:p w:rsidR="00090D03" w:rsidRPr="00A019E2" w:rsidRDefault="003A1363" w:rsidP="00797E35">
      <w:pPr>
        <w:pStyle w:val="Default"/>
        <w:numPr>
          <w:ilvl w:val="0"/>
          <w:numId w:val="21"/>
        </w:numPr>
        <w:spacing w:before="20" w:after="80"/>
        <w:rPr>
          <w:rFonts w:cs="Arial"/>
          <w:sz w:val="22"/>
          <w:szCs w:val="22"/>
          <w:lang w:val="en-AU"/>
        </w:rPr>
      </w:pPr>
      <w:r w:rsidRPr="003A1363">
        <w:rPr>
          <w:rFonts w:cs="Arial"/>
          <w:sz w:val="22"/>
          <w:szCs w:val="22"/>
          <w:lang w:val="en-AU"/>
        </w:rPr>
        <w:t>Major surgery less than 30 days before start of treatment</w:t>
      </w:r>
    </w:p>
    <w:p w:rsidR="00090D03" w:rsidRPr="00A019E2" w:rsidRDefault="003A1363" w:rsidP="00797E35">
      <w:pPr>
        <w:pStyle w:val="Default"/>
        <w:numPr>
          <w:ilvl w:val="0"/>
          <w:numId w:val="21"/>
        </w:numPr>
        <w:spacing w:before="20" w:after="80"/>
        <w:rPr>
          <w:rFonts w:cs="Arial"/>
          <w:sz w:val="22"/>
          <w:szCs w:val="22"/>
          <w:lang w:val="en-AU"/>
        </w:rPr>
      </w:pPr>
      <w:r w:rsidRPr="003A1363">
        <w:rPr>
          <w:rFonts w:cs="Arial"/>
          <w:sz w:val="22"/>
          <w:szCs w:val="22"/>
          <w:lang w:val="en-AU"/>
        </w:rPr>
        <w:t>Infections, especially involving leukocytopaenia</w:t>
      </w:r>
    </w:p>
    <w:p w:rsidR="00090D03" w:rsidRPr="00A019E2" w:rsidRDefault="003A1363" w:rsidP="00797E35">
      <w:pPr>
        <w:pStyle w:val="Default"/>
        <w:numPr>
          <w:ilvl w:val="0"/>
          <w:numId w:val="21"/>
        </w:numPr>
        <w:spacing w:before="20" w:after="80"/>
        <w:rPr>
          <w:rFonts w:cs="Arial"/>
          <w:sz w:val="22"/>
          <w:szCs w:val="22"/>
          <w:lang w:val="en-AU"/>
        </w:rPr>
      </w:pPr>
      <w:r w:rsidRPr="003A1363">
        <w:rPr>
          <w:rFonts w:cs="Arial"/>
          <w:sz w:val="22"/>
          <w:szCs w:val="22"/>
          <w:lang w:val="en-AU"/>
        </w:rPr>
        <w:t>Yellow fever vaccination</w:t>
      </w:r>
    </w:p>
    <w:p w:rsidR="00C84766" w:rsidRPr="00A019E2" w:rsidRDefault="003A1363" w:rsidP="00797E35">
      <w:pPr>
        <w:pStyle w:val="Default"/>
        <w:numPr>
          <w:ilvl w:val="0"/>
          <w:numId w:val="21"/>
        </w:numPr>
        <w:spacing w:before="20" w:after="80"/>
        <w:rPr>
          <w:rFonts w:cs="Arial"/>
          <w:sz w:val="22"/>
          <w:szCs w:val="22"/>
          <w:lang w:val="en-AU"/>
        </w:rPr>
      </w:pPr>
      <w:r w:rsidRPr="003A1363">
        <w:rPr>
          <w:rFonts w:cs="Arial"/>
          <w:sz w:val="22"/>
          <w:szCs w:val="22"/>
          <w:lang w:val="en-AU"/>
        </w:rPr>
        <w:t xml:space="preserve">RIBOMUSTIN is also contraindicated during breast-feeding. </w:t>
      </w:r>
    </w:p>
    <w:p w:rsidR="00703F2B" w:rsidRDefault="00703F2B" w:rsidP="00215F74">
      <w:pPr>
        <w:pStyle w:val="PIHEADING1"/>
        <w:keepLines/>
        <w:jc w:val="both"/>
        <w:rPr>
          <w:lang w:val="en-AU"/>
        </w:rPr>
      </w:pPr>
    </w:p>
    <w:p w:rsidR="00A305AA" w:rsidRPr="00A019E2" w:rsidRDefault="003A1363" w:rsidP="00215F74">
      <w:pPr>
        <w:pStyle w:val="PIHEADING1"/>
        <w:keepLines/>
        <w:jc w:val="both"/>
        <w:rPr>
          <w:lang w:val="en-AU"/>
        </w:rPr>
      </w:pPr>
      <w:r w:rsidRPr="003A1363">
        <w:rPr>
          <w:lang w:val="en-AU"/>
        </w:rPr>
        <w:t>PRECAUTIONS</w:t>
      </w:r>
    </w:p>
    <w:p w:rsidR="00AD6FFD" w:rsidRPr="00A019E2" w:rsidRDefault="003A1363" w:rsidP="0033282E">
      <w:pPr>
        <w:pStyle w:val="PIEXPLAIN"/>
        <w:keepLines/>
        <w:spacing w:before="120"/>
        <w:rPr>
          <w:lang w:val="en-AU"/>
        </w:rPr>
      </w:pPr>
      <w:r w:rsidRPr="003A1363">
        <w:rPr>
          <w:lang w:val="en-AU"/>
        </w:rPr>
        <w:t>When considering combination treatment with rituximab, please consult the Product Information for rituximab and consider this in conjunction with the information provided below.</w:t>
      </w:r>
    </w:p>
    <w:p w:rsidR="0033282E" w:rsidRPr="00A019E2" w:rsidRDefault="003A1363" w:rsidP="0033282E">
      <w:pPr>
        <w:pStyle w:val="PIEXPLAIN"/>
        <w:keepLines/>
        <w:spacing w:before="120"/>
        <w:rPr>
          <w:b/>
          <w:u w:val="single"/>
          <w:lang w:val="en-AU"/>
        </w:rPr>
      </w:pPr>
      <w:r w:rsidRPr="003A1363">
        <w:rPr>
          <w:b/>
          <w:u w:val="single"/>
          <w:lang w:val="en-AU"/>
        </w:rPr>
        <w:t>Myelosuppression</w:t>
      </w:r>
    </w:p>
    <w:p w:rsidR="00215F74" w:rsidRPr="00A019E2" w:rsidRDefault="003A1363" w:rsidP="0033282E">
      <w:pPr>
        <w:pStyle w:val="PIEXPLAIN"/>
        <w:keepLines/>
        <w:spacing w:before="120"/>
        <w:rPr>
          <w:spacing w:val="0"/>
          <w:lang w:val="en-AU"/>
        </w:rPr>
      </w:pPr>
      <w:r w:rsidRPr="003A1363">
        <w:rPr>
          <w:spacing w:val="0"/>
          <w:lang w:val="en-AU"/>
        </w:rPr>
        <w:t xml:space="preserve">Patients treated with RIBOMUSTIN may experience bone marrow failure. In the event of treatment-related myelosuppression, leukocytes, platelets, haemoglobin, and neutrophils must be monitored at least weekly. Prior to the initiation of the next cycle of therapy, the following parameters are recommended: Leukocyte and/or platelet values </w:t>
      </w:r>
      <w:r w:rsidRPr="003A1363">
        <w:rPr>
          <w:rFonts w:cs="Arial"/>
          <w:spacing w:val="0"/>
          <w:lang w:val="en-AU"/>
        </w:rPr>
        <w:t>&gt;</w:t>
      </w:r>
      <w:r w:rsidRPr="003A1363">
        <w:rPr>
          <w:spacing w:val="0"/>
          <w:lang w:val="en-AU"/>
        </w:rPr>
        <w:t xml:space="preserve"> 4x10</w:t>
      </w:r>
      <w:r w:rsidRPr="003A1363">
        <w:rPr>
          <w:spacing w:val="0"/>
          <w:vertAlign w:val="superscript"/>
          <w:lang w:val="en-AU"/>
        </w:rPr>
        <w:t>9</w:t>
      </w:r>
      <w:r w:rsidRPr="003A1363">
        <w:rPr>
          <w:spacing w:val="0"/>
          <w:lang w:val="en-AU"/>
        </w:rPr>
        <w:t xml:space="preserve">/L or </w:t>
      </w:r>
      <w:r w:rsidRPr="003A1363">
        <w:rPr>
          <w:rFonts w:cs="Arial"/>
          <w:spacing w:val="0"/>
          <w:lang w:val="en-AU"/>
        </w:rPr>
        <w:t>&gt;</w:t>
      </w:r>
      <w:r w:rsidRPr="003A1363">
        <w:rPr>
          <w:spacing w:val="0"/>
          <w:lang w:val="en-AU"/>
        </w:rPr>
        <w:t xml:space="preserve"> 100x10</w:t>
      </w:r>
      <w:r w:rsidRPr="003A1363">
        <w:rPr>
          <w:spacing w:val="0"/>
          <w:vertAlign w:val="superscript"/>
          <w:lang w:val="en-AU"/>
        </w:rPr>
        <w:t>9</w:t>
      </w:r>
      <w:r w:rsidRPr="003A1363">
        <w:rPr>
          <w:spacing w:val="0"/>
          <w:lang w:val="en-AU"/>
        </w:rPr>
        <w:t xml:space="preserve">/L, respectively. </w:t>
      </w:r>
      <w:r w:rsidRPr="003A1363">
        <w:rPr>
          <w:lang w:val="en-AU"/>
        </w:rPr>
        <w:t>Treatment should not be started if leukocyte and/or platelet values drop to &lt; 3x10</w:t>
      </w:r>
      <w:r w:rsidRPr="003A1363">
        <w:rPr>
          <w:vertAlign w:val="superscript"/>
          <w:lang w:val="en-AU"/>
        </w:rPr>
        <w:t>9</w:t>
      </w:r>
      <w:r w:rsidRPr="003A1363">
        <w:rPr>
          <w:lang w:val="en-AU"/>
        </w:rPr>
        <w:t>/L or &lt; 75x10</w:t>
      </w:r>
      <w:r w:rsidRPr="003A1363">
        <w:rPr>
          <w:vertAlign w:val="superscript"/>
          <w:lang w:val="en-AU"/>
        </w:rPr>
        <w:t>9</w:t>
      </w:r>
      <w:r w:rsidRPr="003A1363">
        <w:rPr>
          <w:lang w:val="en-AU"/>
        </w:rPr>
        <w:t>/L, respectively.</w:t>
      </w:r>
    </w:p>
    <w:p w:rsidR="00A305AA" w:rsidRPr="00A019E2" w:rsidRDefault="003A1363" w:rsidP="0033282E">
      <w:pPr>
        <w:pStyle w:val="PIEXPLAIN"/>
        <w:keepLines/>
        <w:spacing w:before="120"/>
        <w:rPr>
          <w:spacing w:val="0"/>
          <w:lang w:val="en-AU"/>
        </w:rPr>
      </w:pPr>
      <w:r w:rsidRPr="003A1363">
        <w:rPr>
          <w:spacing w:val="0"/>
          <w:lang w:val="en-AU"/>
        </w:rPr>
        <w:t xml:space="preserve">RIBOMUSTIN should not be used during severe bone marrow suppression and severe blood count alterations (see </w:t>
      </w:r>
      <w:r w:rsidRPr="003A1363">
        <w:rPr>
          <w:b/>
          <w:spacing w:val="0"/>
          <w:lang w:val="en-AU"/>
        </w:rPr>
        <w:t>DOSAGE AND ADMINISTRATION</w:t>
      </w:r>
      <w:r w:rsidRPr="003A1363">
        <w:rPr>
          <w:spacing w:val="0"/>
          <w:lang w:val="en-AU"/>
        </w:rPr>
        <w:t>).</w:t>
      </w:r>
    </w:p>
    <w:p w:rsidR="0033282E" w:rsidRPr="00A019E2" w:rsidRDefault="003A1363" w:rsidP="0033282E">
      <w:pPr>
        <w:pStyle w:val="PIEXPLAIN"/>
        <w:keepLines/>
        <w:spacing w:before="120"/>
        <w:rPr>
          <w:b/>
          <w:u w:val="single"/>
          <w:lang w:val="en-AU"/>
        </w:rPr>
      </w:pPr>
      <w:r w:rsidRPr="003A1363">
        <w:rPr>
          <w:b/>
          <w:u w:val="single"/>
          <w:lang w:val="en-AU"/>
        </w:rPr>
        <w:t xml:space="preserve">Infections </w:t>
      </w:r>
    </w:p>
    <w:p w:rsidR="00E25E23" w:rsidRPr="00A019E2" w:rsidRDefault="003A1363" w:rsidP="00E25E23">
      <w:pPr>
        <w:pStyle w:val="PIEXPLAIN"/>
        <w:rPr>
          <w:lang w:val="en-AU"/>
        </w:rPr>
      </w:pPr>
      <w:r w:rsidRPr="003A1363">
        <w:rPr>
          <w:lang w:val="en-AU"/>
        </w:rPr>
        <w:t>Infection, including pneumonia and sepsis, has been reported. In rare cases, infection has been associated with hospitalisation, septic shock and death. Patients with neutropaenia and/or lymphopaenia following treatment with bendamustine hydrochloride are more susceptible to infections.</w:t>
      </w:r>
    </w:p>
    <w:p w:rsidR="0033282E" w:rsidRPr="00A019E2" w:rsidRDefault="003A1363" w:rsidP="00E25E23">
      <w:pPr>
        <w:pStyle w:val="PIEXPLAIN"/>
        <w:rPr>
          <w:lang w:val="en-AU"/>
        </w:rPr>
      </w:pPr>
      <w:r w:rsidRPr="003A1363">
        <w:rPr>
          <w:lang w:val="en-AU"/>
        </w:rPr>
        <w:t>Patients with myelosuppression following bendamustine hydrochloride treatment should be advised to contact a physician if they have symptoms or signs of infection, including fever or respiratory symptoms.</w:t>
      </w:r>
    </w:p>
    <w:p w:rsidR="00A305AA" w:rsidRPr="00A019E2" w:rsidRDefault="003A1363" w:rsidP="00A305AA">
      <w:pPr>
        <w:rPr>
          <w:b/>
          <w:u w:val="single"/>
          <w:lang w:val="en-AU"/>
        </w:rPr>
      </w:pPr>
      <w:r w:rsidRPr="003A1363">
        <w:rPr>
          <w:b/>
          <w:u w:val="single"/>
          <w:lang w:val="en-AU"/>
        </w:rPr>
        <w:t>Skin Reactions</w:t>
      </w:r>
    </w:p>
    <w:p w:rsidR="0033282E" w:rsidRPr="00A019E2" w:rsidRDefault="003A1363" w:rsidP="00E25E23">
      <w:pPr>
        <w:pStyle w:val="PIEXPLAIN"/>
        <w:rPr>
          <w:b/>
          <w:smallCaps/>
          <w:lang w:val="en-AU"/>
        </w:rPr>
      </w:pPr>
      <w:r w:rsidRPr="003A1363">
        <w:rPr>
          <w:lang w:val="en-AU"/>
        </w:rPr>
        <w:lastRenderedPageBreak/>
        <w:t>A number of skin reactions have been reported. These events have included rash, toxic skin reactions and bullous exanthema. Some events occurred when bendamustine hydrochloride was given in combination with other anticancer agents, so the precise relationship is uncertain. Where skin reactions occur, they may be progressive and increase in severity with further treatment. If skin reactions are progressive, RIBOMUSTIN should be withheld or discontinued. For severe skin reactions where a relationship to bendamustine hydrochloride is suspected, treatment should be discontinued</w:t>
      </w:r>
      <w:r w:rsidRPr="003A1363">
        <w:rPr>
          <w:b/>
          <w:smallCaps/>
          <w:lang w:val="en-AU"/>
        </w:rPr>
        <w:t xml:space="preserve">. </w:t>
      </w:r>
    </w:p>
    <w:p w:rsidR="00A305AA" w:rsidRPr="00A019E2" w:rsidRDefault="003A1363" w:rsidP="00A305AA">
      <w:pPr>
        <w:rPr>
          <w:b/>
          <w:u w:val="single"/>
          <w:lang w:val="en-AU"/>
        </w:rPr>
      </w:pPr>
      <w:r w:rsidRPr="003A1363">
        <w:rPr>
          <w:b/>
          <w:u w:val="single"/>
          <w:lang w:val="en-AU"/>
        </w:rPr>
        <w:t>Patients with Cardiac Disorders</w:t>
      </w:r>
    </w:p>
    <w:p w:rsidR="0033282E" w:rsidRPr="00A019E2" w:rsidRDefault="003A1363" w:rsidP="0033282E">
      <w:pPr>
        <w:pStyle w:val="PIEXPLAIN"/>
        <w:keepLines/>
        <w:tabs>
          <w:tab w:val="clear" w:pos="-720"/>
        </w:tabs>
        <w:suppressAutoHyphens w:val="0"/>
        <w:rPr>
          <w:lang w:val="en-AU"/>
        </w:rPr>
      </w:pPr>
      <w:r w:rsidRPr="003A1363">
        <w:rPr>
          <w:spacing w:val="0"/>
          <w:lang w:val="en-AU"/>
        </w:rPr>
        <w:t>During treatment with RIBOMUSTIN the concentration of potassium in the blood must be closely monitored and potassium supplement must be given when K</w:t>
      </w:r>
      <w:r w:rsidRPr="003A1363">
        <w:rPr>
          <w:spacing w:val="0"/>
          <w:vertAlign w:val="superscript"/>
          <w:lang w:val="en-AU"/>
        </w:rPr>
        <w:t>+</w:t>
      </w:r>
      <w:r w:rsidRPr="003A1363">
        <w:rPr>
          <w:spacing w:val="0"/>
          <w:lang w:val="en-AU"/>
        </w:rPr>
        <w:t xml:space="preserve"> </w:t>
      </w:r>
      <w:r w:rsidRPr="003A1363">
        <w:rPr>
          <w:rFonts w:cs="Arial"/>
          <w:spacing w:val="0"/>
          <w:lang w:val="en-AU"/>
        </w:rPr>
        <w:t>&lt;</w:t>
      </w:r>
      <w:r w:rsidRPr="003A1363">
        <w:rPr>
          <w:spacing w:val="0"/>
          <w:lang w:val="en-AU"/>
        </w:rPr>
        <w:t xml:space="preserve">3.5 mEq/l, and ECG measurement must be performed.  </w:t>
      </w:r>
    </w:p>
    <w:p w:rsidR="00E25E23" w:rsidRPr="00A019E2" w:rsidRDefault="003A1363" w:rsidP="00E25E23">
      <w:pPr>
        <w:rPr>
          <w:b/>
          <w:u w:val="single"/>
          <w:lang w:val="en-AU"/>
        </w:rPr>
      </w:pPr>
      <w:r w:rsidRPr="003A1363">
        <w:rPr>
          <w:b/>
          <w:u w:val="single"/>
          <w:lang w:val="en-AU"/>
        </w:rPr>
        <w:t>Nausea, vomiting</w:t>
      </w:r>
    </w:p>
    <w:p w:rsidR="00E25E23" w:rsidRPr="00A019E2" w:rsidRDefault="003A1363" w:rsidP="0033282E">
      <w:pPr>
        <w:pStyle w:val="PIEXPLAIN"/>
        <w:rPr>
          <w:spacing w:val="0"/>
          <w:lang w:val="en-AU"/>
        </w:rPr>
      </w:pPr>
      <w:r w:rsidRPr="003A1363">
        <w:rPr>
          <w:spacing w:val="0"/>
          <w:lang w:val="en-AU"/>
        </w:rPr>
        <w:t>An antiemetic may be given for the symptomatic treatment of nausea and vomiting.</w:t>
      </w:r>
    </w:p>
    <w:p w:rsidR="0033282E" w:rsidRPr="00A019E2" w:rsidRDefault="003A1363" w:rsidP="0033282E">
      <w:pPr>
        <w:pStyle w:val="PIEXPLAIN"/>
        <w:rPr>
          <w:b/>
          <w:spacing w:val="0"/>
          <w:u w:val="single"/>
          <w:lang w:val="en-AU"/>
        </w:rPr>
      </w:pPr>
      <w:r w:rsidRPr="003A1363">
        <w:rPr>
          <w:b/>
          <w:spacing w:val="0"/>
          <w:u w:val="single"/>
          <w:lang w:val="en-AU"/>
        </w:rPr>
        <w:t>Tumour Lysis Syndrome</w:t>
      </w:r>
    </w:p>
    <w:p w:rsidR="00F552A4" w:rsidRPr="00A019E2" w:rsidRDefault="00E63FC4">
      <w:pPr>
        <w:rPr>
          <w:lang w:val="en-AU"/>
        </w:rPr>
      </w:pPr>
      <w:r w:rsidRPr="00A019E2">
        <w:rPr>
          <w:lang w:val="en-AU"/>
        </w:rPr>
        <w:t>Tumour lysis syndrome associated with RIBOMUSTIN treatment has been reported in patients in clinical trials. The onset tends to be within 48 hours of the first dose of RIBOMUSTIN and, without intervention, may lead to acute renal failure and death. Preventive measures include adequate volume status, close monitoring of blood chemistry, particularly potassium and uric acid levels. The use of allopurinol during the first one to two weeks of RIBOMUSTIN therapy can be considered but not necessarily as standard. However, there have been a few cases of Stevens-Johnson Syndrome and Toxic Necrolysis</w:t>
      </w:r>
      <w:r w:rsidR="00E25E23" w:rsidRPr="00A019E2">
        <w:rPr>
          <w:lang w:val="en-AU"/>
        </w:rPr>
        <w:t xml:space="preserve"> reported when bendamustine </w:t>
      </w:r>
      <w:r w:rsidR="00366175" w:rsidRPr="00A019E2">
        <w:rPr>
          <w:lang w:val="en-AU"/>
        </w:rPr>
        <w:t>and allopurinol are concomitantly</w:t>
      </w:r>
      <w:r w:rsidR="00254E0C" w:rsidRPr="00A019E2">
        <w:rPr>
          <w:lang w:val="en-AU"/>
        </w:rPr>
        <w:t xml:space="preserve"> administered</w:t>
      </w:r>
      <w:r w:rsidR="00366175" w:rsidRPr="00A019E2">
        <w:rPr>
          <w:lang w:val="en-AU"/>
        </w:rPr>
        <w:t>.</w:t>
      </w:r>
    </w:p>
    <w:p w:rsidR="00A305AA" w:rsidRPr="00A019E2" w:rsidRDefault="003A1363" w:rsidP="00A305AA">
      <w:pPr>
        <w:rPr>
          <w:b/>
          <w:u w:val="single"/>
          <w:lang w:val="en-AU"/>
        </w:rPr>
      </w:pPr>
      <w:r w:rsidRPr="003A1363">
        <w:rPr>
          <w:b/>
          <w:u w:val="single"/>
          <w:lang w:val="en-AU"/>
        </w:rPr>
        <w:t xml:space="preserve">Infusion Reactions and Anaphylaxis </w:t>
      </w:r>
    </w:p>
    <w:p w:rsidR="00A305AA" w:rsidRPr="00A019E2" w:rsidRDefault="003A1363" w:rsidP="00A305AA">
      <w:pPr>
        <w:rPr>
          <w:lang w:val="en-AU"/>
        </w:rPr>
      </w:pPr>
      <w:r w:rsidRPr="003A1363">
        <w:rPr>
          <w:lang w:val="en-AU"/>
        </w:rPr>
        <w:t>Infusion reactions to bendamustine hydrochloride have occurred in clinical trials. Symptoms are generally mild and include fever, chills, pruritus and rash. In rare instances severe anaphylactic and anaphylactoid reactions have occurred. Patients must be asked about symptoms suggestive of infusion reactions after their first cycle of therapy. Measures to prevent severe reactions, including antihistamines, antipyretics and corticosteroids must be considered in subsequent cycles in patients who have previously experienced infusion reactions.</w:t>
      </w:r>
    </w:p>
    <w:p w:rsidR="00A305AA" w:rsidRPr="00A019E2" w:rsidRDefault="003A1363" w:rsidP="004A1B55">
      <w:pPr>
        <w:spacing w:after="80"/>
        <w:rPr>
          <w:lang w:val="en-AU"/>
        </w:rPr>
      </w:pPr>
      <w:r w:rsidRPr="003A1363">
        <w:rPr>
          <w:lang w:val="en-AU"/>
        </w:rPr>
        <w:t>Patients who experienced Grade 3 or worse allergic-type reactions were typically not re-challenged.</w:t>
      </w:r>
    </w:p>
    <w:p w:rsidR="00366175" w:rsidRPr="00A019E2" w:rsidRDefault="003A1363" w:rsidP="004A1B55">
      <w:pPr>
        <w:spacing w:after="80"/>
        <w:rPr>
          <w:b/>
          <w:u w:val="single"/>
          <w:lang w:val="en-AU"/>
        </w:rPr>
      </w:pPr>
      <w:r w:rsidRPr="003A1363">
        <w:rPr>
          <w:b/>
          <w:u w:val="single"/>
          <w:lang w:val="en-AU"/>
        </w:rPr>
        <w:t xml:space="preserve">Extravasation </w:t>
      </w:r>
    </w:p>
    <w:p w:rsidR="002D29E2" w:rsidRPr="00A019E2" w:rsidRDefault="003A1363" w:rsidP="004A1B55">
      <w:pPr>
        <w:spacing w:after="80"/>
        <w:rPr>
          <w:lang w:val="en-AU"/>
        </w:rPr>
      </w:pPr>
      <w:r w:rsidRPr="003A1363">
        <w:rPr>
          <w:lang w:val="en-AU"/>
        </w:rPr>
        <w:t>An extravasal injection should be stopped immediately. The needle should be removed after a short aspiration. Thereafter the affected area of tissue should be cooled. The arm should be elevated. Additional treatments like the use of corticosteroids are not of clear benefit</w:t>
      </w:r>
    </w:p>
    <w:p w:rsidR="009F5D1D" w:rsidRPr="00A019E2" w:rsidRDefault="003A1363" w:rsidP="004A1B55">
      <w:pPr>
        <w:pStyle w:val="PIHEADING2"/>
        <w:rPr>
          <w:u w:val="single"/>
          <w:lang w:val="en-AU"/>
        </w:rPr>
      </w:pPr>
      <w:r w:rsidRPr="003A1363">
        <w:rPr>
          <w:u w:val="single"/>
          <w:lang w:val="en-AU"/>
        </w:rPr>
        <w:t>Other Malignancies</w:t>
      </w:r>
    </w:p>
    <w:p w:rsidR="004A1B55" w:rsidRPr="00A019E2" w:rsidRDefault="003A1363" w:rsidP="00A305AA">
      <w:pPr>
        <w:rPr>
          <w:lang w:val="en-AU"/>
        </w:rPr>
      </w:pPr>
      <w:r w:rsidRPr="003A1363">
        <w:rPr>
          <w:lang w:val="en-AU"/>
        </w:rPr>
        <w:t xml:space="preserve">There are reports of secondary tumours, including myelodysplastic syndrome, myeloproliferative disorders, acute myeloid leukaemia and bronchial carcinoma. The association with bendamustine therapy has not been determined. </w:t>
      </w:r>
    </w:p>
    <w:p w:rsidR="002008E3" w:rsidRPr="00A019E2" w:rsidRDefault="003A1363" w:rsidP="003B0B3C">
      <w:pPr>
        <w:rPr>
          <w:b/>
          <w:lang w:val="en-AU"/>
        </w:rPr>
      </w:pPr>
      <w:r w:rsidRPr="003A1363">
        <w:rPr>
          <w:b/>
          <w:lang w:val="en-AU"/>
        </w:rPr>
        <w:t>Effects on Fertility</w:t>
      </w:r>
    </w:p>
    <w:p w:rsidR="002008E3" w:rsidRPr="00A019E2" w:rsidRDefault="003A1363" w:rsidP="003B0B3C">
      <w:pPr>
        <w:rPr>
          <w:lang w:val="en-AU"/>
        </w:rPr>
      </w:pPr>
      <w:r w:rsidRPr="003A1363">
        <w:rPr>
          <w:lang w:val="en-AU"/>
        </w:rPr>
        <w:lastRenderedPageBreak/>
        <w:t xml:space="preserve">No fertility studies have been conducted in animals. </w:t>
      </w:r>
      <w:r w:rsidRPr="003A1363">
        <w:rPr>
          <w:b/>
          <w:lang w:val="en-AU"/>
        </w:rPr>
        <w:t xml:space="preserve"> </w:t>
      </w:r>
      <w:r w:rsidRPr="003A1363">
        <w:rPr>
          <w:lang w:val="en-AU"/>
        </w:rPr>
        <w:t>However, results from toxicity studies in rats and dogs indicate the potential of bendamustine to impair male reproductive function</w:t>
      </w:r>
      <w:r w:rsidRPr="003A1363">
        <w:rPr>
          <w:b/>
          <w:lang w:val="en-AU"/>
        </w:rPr>
        <w:t xml:space="preserve"> </w:t>
      </w:r>
      <w:r w:rsidRPr="003A1363">
        <w:rPr>
          <w:lang w:val="en-AU"/>
        </w:rPr>
        <w:t xml:space="preserve">and fertility. Testicular </w:t>
      </w:r>
      <w:r w:rsidR="00FF3C28" w:rsidRPr="00A019E2">
        <w:rPr>
          <w:lang w:val="en-AU"/>
        </w:rPr>
        <w:t>atrophy</w:t>
      </w:r>
      <w:r w:rsidRPr="003A1363">
        <w:rPr>
          <w:lang w:val="en-AU"/>
        </w:rPr>
        <w:t xml:space="preserve"> was seen in dogs that received ≥1.65 mg/kg IV bendamustine, while at higher doses (6.6 mg/kg IV to dogs and ≥40 mg/kg/day PO to rats), reduced spermatogenesis was seen.  Estimated exposures at the no-effect level were subclinical in dogs and similar to the clinical exposure in rats. Advice on conservation of  sperm should be sought prior to treatment because of the possibility of irreversible infertility due to therapy with RIBOMUSTIN</w:t>
      </w:r>
    </w:p>
    <w:p w:rsidR="002008E3" w:rsidRPr="00A019E2" w:rsidRDefault="003A1363" w:rsidP="003B0B3C">
      <w:pPr>
        <w:pStyle w:val="PIHEADING2"/>
        <w:keepLines/>
        <w:rPr>
          <w:b w:val="0"/>
          <w:lang w:val="en-AU"/>
        </w:rPr>
      </w:pPr>
      <w:r w:rsidRPr="003A1363">
        <w:rPr>
          <w:b w:val="0"/>
          <w:lang w:val="en-AU"/>
        </w:rPr>
        <w:t>Impaired spermatogenesis, azoospermia, and total germinal aplasia have been reported in male patients treated with alkylating agents, especially in combination with other drugs. In some instances spermatogenesis may return in patients in remission, but this may occur only several years after intensive chemotherapy has been discontinued. Patients should be warned of the potential risk to their reproductive capacities</w:t>
      </w:r>
    </w:p>
    <w:p w:rsidR="0033282E" w:rsidRPr="00A019E2" w:rsidRDefault="003A1363" w:rsidP="0033282E">
      <w:pPr>
        <w:pStyle w:val="PIHEADING2"/>
        <w:keepLines/>
        <w:rPr>
          <w:u w:val="single"/>
          <w:lang w:val="en-AU"/>
        </w:rPr>
      </w:pPr>
      <w:r w:rsidRPr="003A1363">
        <w:rPr>
          <w:u w:val="single"/>
          <w:lang w:val="en-AU"/>
        </w:rPr>
        <w:t>Use in Pregnancy</w:t>
      </w:r>
    </w:p>
    <w:p w:rsidR="004A1B55" w:rsidRPr="00A019E2" w:rsidRDefault="003A1363" w:rsidP="004A1B55">
      <w:pPr>
        <w:pStyle w:val="PIEXPLAIN"/>
        <w:keepLines/>
        <w:rPr>
          <w:b/>
          <w:bCs/>
          <w:lang w:val="en-AU"/>
        </w:rPr>
      </w:pPr>
      <w:r w:rsidRPr="003A1363">
        <w:rPr>
          <w:b/>
          <w:bCs/>
          <w:lang w:val="en-AU"/>
        </w:rPr>
        <w:t>Category D</w:t>
      </w:r>
    </w:p>
    <w:p w:rsidR="00895B3E" w:rsidRPr="00A019E2" w:rsidRDefault="003A1363" w:rsidP="00895B3E">
      <w:pPr>
        <w:rPr>
          <w:lang w:val="en-AU"/>
        </w:rPr>
      </w:pPr>
      <w:r w:rsidRPr="003A1363">
        <w:rPr>
          <w:lang w:val="en-AU"/>
        </w:rPr>
        <w:t>There are insufficient data from the use of RIBOMUSTIN in pregnant women.  Bendamustine was shown to be embryo/feto-lethal and teratogenic in animal studies.  Single intra</w:t>
      </w:r>
      <w:r w:rsidR="00FF3C28">
        <w:rPr>
          <w:lang w:val="en-AU"/>
        </w:rPr>
        <w:t>-</w:t>
      </w:r>
      <w:r w:rsidRPr="003A1363">
        <w:rPr>
          <w:lang w:val="en-AU"/>
        </w:rPr>
        <w:t>peritoneal doses of bendamustine to pregnant mice (210 mg/m2) and rats (60 mg/m2) during the period of organogenesis, resulted in embryo</w:t>
      </w:r>
      <w:r w:rsidR="00FF3C28">
        <w:rPr>
          <w:lang w:val="en-AU"/>
        </w:rPr>
        <w:t>-</w:t>
      </w:r>
      <w:r w:rsidR="00FF3C28" w:rsidRPr="00A019E2">
        <w:rPr>
          <w:lang w:val="en-AU"/>
        </w:rPr>
        <w:t>foetal</w:t>
      </w:r>
      <w:r w:rsidRPr="003A1363">
        <w:rPr>
          <w:lang w:val="en-AU"/>
        </w:rPr>
        <w:t xml:space="preserve"> lethality, decreased </w:t>
      </w:r>
      <w:r w:rsidR="00FF3C28" w:rsidRPr="00A019E2">
        <w:rPr>
          <w:lang w:val="en-AU"/>
        </w:rPr>
        <w:t>foetal</w:t>
      </w:r>
      <w:r w:rsidRPr="003A1363">
        <w:rPr>
          <w:lang w:val="en-AU"/>
        </w:rPr>
        <w:t xml:space="preserve"> body weights and an increase in </w:t>
      </w:r>
      <w:r w:rsidR="00FF3C28" w:rsidRPr="00A019E2">
        <w:rPr>
          <w:lang w:val="en-AU"/>
        </w:rPr>
        <w:t>foetal</w:t>
      </w:r>
      <w:r w:rsidRPr="003A1363">
        <w:rPr>
          <w:lang w:val="en-AU"/>
        </w:rPr>
        <w:t xml:space="preserve"> skeletal and visceral malformations (cleft palate, turricephaly, rib malformations and spinal deformities, and hepatic or intestinal ectopia).  </w:t>
      </w:r>
    </w:p>
    <w:p w:rsidR="00895B3E" w:rsidRPr="00A019E2" w:rsidRDefault="003A1363" w:rsidP="00895B3E">
      <w:pPr>
        <w:rPr>
          <w:lang w:val="en-AU"/>
        </w:rPr>
      </w:pPr>
      <w:r w:rsidRPr="003A1363">
        <w:rPr>
          <w:lang w:val="en-AU"/>
        </w:rPr>
        <w:t xml:space="preserve">During pregnancy RIBOMUSTIN should not be used unless clearly necessary.  The mother should be informed about the risk to the </w:t>
      </w:r>
      <w:r w:rsidR="00FF3C28" w:rsidRPr="00A019E2">
        <w:rPr>
          <w:lang w:val="en-AU"/>
        </w:rPr>
        <w:t>foetus</w:t>
      </w:r>
      <w:r w:rsidRPr="003A1363">
        <w:rPr>
          <w:lang w:val="en-AU"/>
        </w:rPr>
        <w:t xml:space="preserve">. If treatment with RIBOMUSTIN is absolutely necessary during pregnancy or if pregnancy occurs during treatment, the patient should be informed about the risks for the unborn child and be monitored carefully. The possibility of genetic counselling should be considered.  </w:t>
      </w:r>
    </w:p>
    <w:p w:rsidR="00895B3E" w:rsidRPr="00A019E2" w:rsidRDefault="003A1363" w:rsidP="00895B3E">
      <w:pPr>
        <w:rPr>
          <w:lang w:val="en-AU"/>
        </w:rPr>
      </w:pPr>
      <w:r w:rsidRPr="003A1363">
        <w:rPr>
          <w:lang w:val="en-AU"/>
        </w:rPr>
        <w:t>Women of childbearing potential must use effective methods of contraception both before and during RIBOMUSTIN therapy.</w:t>
      </w:r>
    </w:p>
    <w:p w:rsidR="00895B3E" w:rsidRPr="00A019E2" w:rsidRDefault="003A1363" w:rsidP="00895B3E">
      <w:pPr>
        <w:rPr>
          <w:lang w:val="en-AU"/>
        </w:rPr>
      </w:pPr>
      <w:r w:rsidRPr="003A1363">
        <w:rPr>
          <w:lang w:val="en-AU"/>
        </w:rPr>
        <w:t xml:space="preserve"> Men being treated with RIBOMUSTIN are advised not to father a child during and for up to 6 months following cessation of treatment. Advice on conservation of sperm should be sought prior to treatment because of the possibility of irreversible infertility due to therapy with RIBOMUSTIN.</w:t>
      </w:r>
    </w:p>
    <w:p w:rsidR="0033282E" w:rsidRPr="00A019E2" w:rsidRDefault="003A1363" w:rsidP="00370886">
      <w:pPr>
        <w:pStyle w:val="PIHEADING2"/>
        <w:keepNext/>
        <w:keepLines/>
        <w:rPr>
          <w:u w:val="single"/>
          <w:lang w:val="en-AU"/>
        </w:rPr>
      </w:pPr>
      <w:r w:rsidRPr="003A1363">
        <w:rPr>
          <w:u w:val="single"/>
          <w:lang w:val="en-AU"/>
        </w:rPr>
        <w:t>Use in Lactation</w:t>
      </w:r>
    </w:p>
    <w:p w:rsidR="00370886" w:rsidRPr="00A019E2" w:rsidRDefault="003A1363" w:rsidP="00370886">
      <w:pPr>
        <w:pStyle w:val="PIHEADING2"/>
        <w:keepLines/>
        <w:rPr>
          <w:rFonts w:cs="Arial"/>
          <w:b w:val="0"/>
          <w:spacing w:val="0"/>
          <w:lang w:val="en-AU"/>
        </w:rPr>
      </w:pPr>
      <w:bookmarkStart w:id="1" w:name="REF"/>
      <w:bookmarkEnd w:id="1"/>
      <w:r w:rsidRPr="003A1363">
        <w:rPr>
          <w:rFonts w:cs="Arial"/>
          <w:b w:val="0"/>
          <w:spacing w:val="0"/>
          <w:lang w:val="en-AU"/>
        </w:rPr>
        <w:t xml:space="preserve">It is not known whether bendamustine passes into the breast milk, therefore, bendamustine is contraindicated during breast-feeding (see </w:t>
      </w:r>
      <w:r w:rsidRPr="003A1363">
        <w:rPr>
          <w:rFonts w:cs="Arial"/>
          <w:spacing w:val="0"/>
          <w:lang w:val="en-AU"/>
        </w:rPr>
        <w:t>CONTRAINDICATIONS</w:t>
      </w:r>
      <w:r w:rsidRPr="003A1363">
        <w:rPr>
          <w:rFonts w:cs="Arial"/>
          <w:b w:val="0"/>
          <w:spacing w:val="0"/>
          <w:lang w:val="en-AU"/>
        </w:rPr>
        <w:t>). Breast-feeding must be discontinued during treatment with bendamustine.</w:t>
      </w:r>
    </w:p>
    <w:p w:rsidR="007158CA" w:rsidRPr="00A019E2" w:rsidRDefault="003A1363" w:rsidP="00370886">
      <w:pPr>
        <w:pStyle w:val="PIHEADING2"/>
        <w:keepLines/>
        <w:rPr>
          <w:u w:val="single"/>
          <w:lang w:val="en-AU"/>
        </w:rPr>
      </w:pPr>
      <w:r w:rsidRPr="003A1363">
        <w:rPr>
          <w:u w:val="single"/>
          <w:lang w:val="en-AU"/>
        </w:rPr>
        <w:t>Paediatric Use</w:t>
      </w:r>
    </w:p>
    <w:p w:rsidR="007158CA" w:rsidRPr="00A019E2" w:rsidRDefault="003A1363" w:rsidP="00370886">
      <w:pPr>
        <w:pStyle w:val="PIHEADING2"/>
        <w:keepLines/>
        <w:rPr>
          <w:b w:val="0"/>
          <w:lang w:val="en-AU"/>
        </w:rPr>
      </w:pPr>
      <w:r w:rsidRPr="003A1363">
        <w:rPr>
          <w:b w:val="0"/>
          <w:lang w:val="en-AU"/>
        </w:rPr>
        <w:t>There is no experience in children and adolescents with RIBOMUSTIN.</w:t>
      </w:r>
    </w:p>
    <w:p w:rsidR="00370886" w:rsidRPr="00A019E2" w:rsidRDefault="003A1363" w:rsidP="00370886">
      <w:pPr>
        <w:pStyle w:val="PIHEADING2"/>
        <w:keepLines/>
        <w:rPr>
          <w:u w:val="single"/>
          <w:lang w:val="en-AU"/>
        </w:rPr>
      </w:pPr>
      <w:r w:rsidRPr="003A1363">
        <w:rPr>
          <w:u w:val="single"/>
          <w:lang w:val="en-AU"/>
        </w:rPr>
        <w:t>Genotoxicity</w:t>
      </w:r>
    </w:p>
    <w:p w:rsidR="005F451F" w:rsidRPr="00A019E2" w:rsidRDefault="003A1363" w:rsidP="00370886">
      <w:pPr>
        <w:pStyle w:val="PIHEADING2"/>
        <w:keepLines/>
        <w:rPr>
          <w:b w:val="0"/>
          <w:lang w:val="en-AU"/>
        </w:rPr>
      </w:pPr>
      <w:r w:rsidRPr="003A1363">
        <w:rPr>
          <w:b w:val="0"/>
          <w:lang w:val="en-AU"/>
        </w:rPr>
        <w:lastRenderedPageBreak/>
        <w:t xml:space="preserve">Bendamustine was mutagenic in the bacterial mutation assay and clastogenic in </w:t>
      </w:r>
      <w:r w:rsidRPr="003A1363">
        <w:rPr>
          <w:b w:val="0"/>
          <w:i/>
          <w:lang w:val="en-AU"/>
        </w:rPr>
        <w:t xml:space="preserve">in vitro </w:t>
      </w:r>
      <w:r w:rsidRPr="003A1363">
        <w:rPr>
          <w:b w:val="0"/>
          <w:lang w:val="en-AU"/>
        </w:rPr>
        <w:t>(human lymphocytes) and in vivo (rat micronucleus test) studies.</w:t>
      </w:r>
    </w:p>
    <w:p w:rsidR="00370886" w:rsidRPr="00A019E2" w:rsidRDefault="003A1363" w:rsidP="00370886">
      <w:pPr>
        <w:pStyle w:val="PIHEADING2"/>
        <w:keepLines/>
        <w:rPr>
          <w:u w:val="single"/>
          <w:lang w:val="en-AU"/>
        </w:rPr>
      </w:pPr>
      <w:r w:rsidRPr="003A1363">
        <w:rPr>
          <w:u w:val="single"/>
          <w:lang w:val="en-AU"/>
        </w:rPr>
        <w:t>Carcinogenicity</w:t>
      </w:r>
    </w:p>
    <w:p w:rsidR="005F451F" w:rsidRPr="00A019E2" w:rsidRDefault="003A1363" w:rsidP="005F451F">
      <w:pPr>
        <w:rPr>
          <w:lang w:val="en-AU"/>
        </w:rPr>
      </w:pPr>
      <w:r w:rsidRPr="003A1363">
        <w:rPr>
          <w:lang w:val="en-AU"/>
        </w:rPr>
        <w:t>After 4 daily intra</w:t>
      </w:r>
      <w:r w:rsidR="00FF3C28">
        <w:rPr>
          <w:lang w:val="en-AU"/>
        </w:rPr>
        <w:t>-</w:t>
      </w:r>
      <w:r w:rsidRPr="003A1363">
        <w:rPr>
          <w:lang w:val="en-AU"/>
        </w:rPr>
        <w:t xml:space="preserve">peritoneal or oral doses of bendamustine to female mice, drug-related tumours appeared during the life-time follow-up period — peritoneal sarcoma in mice that </w:t>
      </w:r>
      <w:r w:rsidRPr="003A1363">
        <w:rPr>
          <w:rFonts w:cs="Calibri"/>
          <w:lang w:val="en-AU"/>
        </w:rPr>
        <w:t>received intra</w:t>
      </w:r>
      <w:r w:rsidR="00FF3C28">
        <w:rPr>
          <w:rFonts w:cs="Calibri"/>
          <w:lang w:val="en-AU"/>
        </w:rPr>
        <w:t>-</w:t>
      </w:r>
      <w:r w:rsidRPr="003A1363">
        <w:rPr>
          <w:rFonts w:cs="Calibri"/>
          <w:lang w:val="en-AU"/>
        </w:rPr>
        <w:t xml:space="preserve">peritoneal doses (≥50 </w:t>
      </w:r>
      <w:r w:rsidRPr="003A1363">
        <w:rPr>
          <w:lang w:val="en-AU"/>
        </w:rPr>
        <w:t>mg/kg/day or 150 mg/m2), and pulmonary adenomas and mammary carcinomas in mice that received oral doses (250 mg/kg/day).</w:t>
      </w:r>
    </w:p>
    <w:p w:rsidR="009D4BF0" w:rsidRPr="00A019E2" w:rsidRDefault="003A1363" w:rsidP="009D4BF0">
      <w:pPr>
        <w:pStyle w:val="PIHEADING2"/>
        <w:keepLines/>
        <w:rPr>
          <w:u w:val="single"/>
          <w:lang w:val="en-AU"/>
        </w:rPr>
      </w:pPr>
      <w:r w:rsidRPr="003A1363">
        <w:rPr>
          <w:u w:val="single"/>
          <w:lang w:val="en-AU"/>
        </w:rPr>
        <w:t>Effects of Ability to Drive and Use Machines</w:t>
      </w:r>
    </w:p>
    <w:p w:rsidR="005F451F" w:rsidRPr="00A019E2" w:rsidRDefault="00E63FC4" w:rsidP="003F2862">
      <w:pPr>
        <w:rPr>
          <w:lang w:val="en-AU"/>
        </w:rPr>
      </w:pPr>
      <w:r w:rsidRPr="00A019E2">
        <w:rPr>
          <w:lang w:val="en-AU"/>
        </w:rPr>
        <w:t>No studies on the effects on the ability to drive and use machines have been performed. However, somnolence has been reported during treatment with RIBOMUSTIN (see ADVERSE EFFECTS). Patients should be instructed that if they experience these symptoms they should avoid potentially hazardous tasks such as driving and using machines.</w:t>
      </w:r>
    </w:p>
    <w:p w:rsidR="00053545" w:rsidRPr="00A019E2" w:rsidRDefault="003A1363" w:rsidP="003F2862">
      <w:pPr>
        <w:rPr>
          <w:b/>
          <w:sz w:val="28"/>
          <w:szCs w:val="28"/>
          <w:lang w:val="en-AU"/>
        </w:rPr>
      </w:pPr>
      <w:r w:rsidRPr="003A1363">
        <w:rPr>
          <w:b/>
          <w:sz w:val="28"/>
          <w:szCs w:val="28"/>
          <w:lang w:val="en-AU"/>
        </w:rPr>
        <w:t>INTERACTIONS WITH OTHER MEDICINES</w:t>
      </w:r>
    </w:p>
    <w:p w:rsidR="00053545" w:rsidRPr="00A019E2" w:rsidRDefault="003A1363" w:rsidP="003F2862">
      <w:pPr>
        <w:rPr>
          <w:iCs/>
          <w:snapToGrid w:val="0"/>
          <w:color w:val="000000"/>
          <w:lang w:val="en-AU"/>
        </w:rPr>
      </w:pPr>
      <w:r w:rsidRPr="003A1363">
        <w:rPr>
          <w:iCs/>
          <w:snapToGrid w:val="0"/>
          <w:color w:val="000000"/>
          <w:lang w:val="en-AU"/>
        </w:rPr>
        <w:t xml:space="preserve">No </w:t>
      </w:r>
      <w:r w:rsidRPr="003A1363">
        <w:rPr>
          <w:i/>
          <w:iCs/>
          <w:snapToGrid w:val="0"/>
          <w:color w:val="000000"/>
          <w:lang w:val="en-AU"/>
        </w:rPr>
        <w:t>in-vivo</w:t>
      </w:r>
      <w:r w:rsidRPr="003A1363">
        <w:rPr>
          <w:iCs/>
          <w:snapToGrid w:val="0"/>
          <w:color w:val="000000"/>
          <w:lang w:val="en-AU"/>
        </w:rPr>
        <w:t xml:space="preserve"> interaction studies have been performed.</w:t>
      </w:r>
    </w:p>
    <w:p w:rsidR="00053545" w:rsidRPr="00A019E2" w:rsidRDefault="003A1363" w:rsidP="003F2862">
      <w:pPr>
        <w:rPr>
          <w:iCs/>
          <w:snapToGrid w:val="0"/>
          <w:color w:val="000000"/>
          <w:lang w:val="en-AU"/>
        </w:rPr>
      </w:pPr>
      <w:r w:rsidRPr="003A1363">
        <w:rPr>
          <w:iCs/>
          <w:snapToGrid w:val="0"/>
          <w:color w:val="000000"/>
          <w:lang w:val="en-AU"/>
        </w:rPr>
        <w:t>When RIBOMUSTIN is combined with myelosuppresive agents, the effect of RIBOMUSTIN and/or the co-administered medicinal products on the bone marrow may be potentiated. Any treatment reducing the patient’s performance status or impairing bone marrow function can increase the toxicity of RIBOMUSTIN.</w:t>
      </w:r>
    </w:p>
    <w:p w:rsidR="00053545" w:rsidRPr="00A019E2" w:rsidRDefault="003A1363" w:rsidP="003F2862">
      <w:pPr>
        <w:rPr>
          <w:iCs/>
          <w:snapToGrid w:val="0"/>
          <w:color w:val="000000"/>
          <w:lang w:val="en-AU"/>
        </w:rPr>
      </w:pPr>
      <w:r w:rsidRPr="003A1363">
        <w:rPr>
          <w:iCs/>
          <w:snapToGrid w:val="0"/>
          <w:color w:val="000000"/>
          <w:lang w:val="en-AU"/>
        </w:rPr>
        <w:t>Combination of RIBOMUSTIN with cyclosporine or tacrolimus may result in excessive immunosuppression with risk of lympho</w:t>
      </w:r>
      <w:r w:rsidR="00FF3C28">
        <w:rPr>
          <w:iCs/>
          <w:snapToGrid w:val="0"/>
          <w:color w:val="000000"/>
          <w:lang w:val="en-AU"/>
        </w:rPr>
        <w:t>p</w:t>
      </w:r>
      <w:r w:rsidRPr="003A1363">
        <w:rPr>
          <w:iCs/>
          <w:snapToGrid w:val="0"/>
          <w:color w:val="000000"/>
          <w:lang w:val="en-AU"/>
        </w:rPr>
        <w:t>roliferation.</w:t>
      </w:r>
    </w:p>
    <w:p w:rsidR="008B50CD" w:rsidRPr="00A019E2" w:rsidRDefault="003A1363" w:rsidP="003F2862">
      <w:pPr>
        <w:rPr>
          <w:iCs/>
          <w:snapToGrid w:val="0"/>
          <w:color w:val="000000"/>
          <w:lang w:val="en-AU"/>
        </w:rPr>
      </w:pPr>
      <w:r w:rsidRPr="003A1363">
        <w:rPr>
          <w:iCs/>
          <w:snapToGrid w:val="0"/>
          <w:color w:val="000000"/>
          <w:lang w:val="en-AU"/>
        </w:rPr>
        <w:t>Cytostatics can reduce antibody formation following live-virus vaccination and increase the risk of infection which may lead to fatal outcome. This risk is increased in subjects who are already immunosuppressed by their underlying disease.</w:t>
      </w:r>
    </w:p>
    <w:p w:rsidR="00257BE3" w:rsidRPr="00A019E2" w:rsidRDefault="003A1363" w:rsidP="007158CA">
      <w:pPr>
        <w:pStyle w:val="PIHEADING2"/>
        <w:keepNext/>
        <w:keepLines/>
        <w:rPr>
          <w:b w:val="0"/>
          <w:iCs/>
          <w:snapToGrid w:val="0"/>
          <w:color w:val="000000"/>
          <w:lang w:val="en-AU"/>
        </w:rPr>
      </w:pPr>
      <w:r w:rsidRPr="003A1363">
        <w:rPr>
          <w:b w:val="0"/>
          <w:iCs/>
          <w:snapToGrid w:val="0"/>
          <w:color w:val="000000"/>
          <w:lang w:val="en-AU"/>
        </w:rPr>
        <w:t xml:space="preserve">Bendamustine metabolism involves cytochrome P450 (CYP) 1A2 isoenzyme (see </w:t>
      </w:r>
      <w:r w:rsidRPr="003A1363">
        <w:rPr>
          <w:iCs/>
          <w:snapToGrid w:val="0"/>
          <w:color w:val="000000"/>
          <w:lang w:val="en-AU"/>
        </w:rPr>
        <w:t>Pharmacokinetics</w:t>
      </w:r>
      <w:r w:rsidRPr="003A1363">
        <w:rPr>
          <w:b w:val="0"/>
          <w:iCs/>
          <w:snapToGrid w:val="0"/>
          <w:color w:val="000000"/>
          <w:lang w:val="en-AU"/>
        </w:rPr>
        <w:t xml:space="preserve">). Therefore, potential for interaction with CYP1A2 inhibitors such as fluvoxamine, ciprofloxacin, acyclovir, cimetidine exists. Based on </w:t>
      </w:r>
      <w:r w:rsidRPr="003A1363">
        <w:rPr>
          <w:b w:val="0"/>
          <w:i/>
          <w:iCs/>
          <w:snapToGrid w:val="0"/>
          <w:color w:val="000000"/>
          <w:lang w:val="en-AU"/>
        </w:rPr>
        <w:t>in vitro</w:t>
      </w:r>
      <w:r w:rsidRPr="003A1363">
        <w:rPr>
          <w:b w:val="0"/>
          <w:iCs/>
          <w:snapToGrid w:val="0"/>
          <w:color w:val="000000"/>
          <w:lang w:val="en-AU"/>
        </w:rPr>
        <w:t xml:space="preserve"> data, bendamustine is not likely to inhibit metabolism via CYP1A2, 2C9/10, 2D6, 2E1, or 3A4/5, or to induce metabolism of substrates of cytochrome P450 enzymes.</w:t>
      </w:r>
    </w:p>
    <w:p w:rsidR="00895B3E" w:rsidRPr="00A019E2" w:rsidRDefault="003A1363" w:rsidP="00895B3E">
      <w:pPr>
        <w:pStyle w:val="PIHEADING2"/>
        <w:keepNext/>
        <w:keepLines/>
        <w:rPr>
          <w:b w:val="0"/>
          <w:iCs/>
          <w:snapToGrid w:val="0"/>
          <w:color w:val="000000"/>
          <w:lang w:val="en-AU"/>
        </w:rPr>
      </w:pPr>
      <w:r w:rsidRPr="003A1363">
        <w:rPr>
          <w:b w:val="0"/>
          <w:iCs/>
          <w:snapToGrid w:val="0"/>
          <w:color w:val="000000"/>
          <w:lang w:val="en-AU"/>
        </w:rPr>
        <w:t xml:space="preserve">The role of active transport systems in bendamustine distribution has not been fully evaluated. </w:t>
      </w:r>
      <w:r w:rsidRPr="003A1363">
        <w:rPr>
          <w:b w:val="0"/>
          <w:i/>
          <w:iCs/>
          <w:snapToGrid w:val="0"/>
          <w:color w:val="000000"/>
          <w:lang w:val="en-AU"/>
        </w:rPr>
        <w:t xml:space="preserve">In vitro </w:t>
      </w:r>
      <w:r w:rsidRPr="003A1363">
        <w:rPr>
          <w:b w:val="0"/>
          <w:iCs/>
          <w:snapToGrid w:val="0"/>
          <w:color w:val="000000"/>
          <w:lang w:val="en-AU"/>
        </w:rPr>
        <w:t xml:space="preserve">data suggest that P-glycoprotein, breast cancer resistance protein (BCRP), and/or other efflux transporters may have a role in bendamustine transport.  Inhibitors of these transporters may increase the plasma concentration of bendamustine. </w:t>
      </w:r>
    </w:p>
    <w:p w:rsidR="00EF0774" w:rsidRPr="00A019E2" w:rsidRDefault="003A1363" w:rsidP="00EF0774">
      <w:pPr>
        <w:pStyle w:val="PIHEADING1"/>
        <w:keepLines/>
        <w:jc w:val="both"/>
        <w:rPr>
          <w:lang w:val="en-AU"/>
        </w:rPr>
      </w:pPr>
      <w:r w:rsidRPr="003A1363">
        <w:rPr>
          <w:lang w:val="en-AU"/>
        </w:rPr>
        <w:t>ADVERSE EFFECTS</w:t>
      </w:r>
    </w:p>
    <w:p w:rsidR="00DB6B4B" w:rsidRPr="00A019E2" w:rsidRDefault="003A1363" w:rsidP="00E923AE">
      <w:pPr>
        <w:pStyle w:val="PIHEADING2"/>
        <w:keepLines/>
        <w:tabs>
          <w:tab w:val="clear" w:pos="-720"/>
        </w:tabs>
        <w:suppressAutoHyphens w:val="0"/>
        <w:rPr>
          <w:bCs/>
          <w:szCs w:val="24"/>
          <w:u w:val="single"/>
          <w:lang w:val="en-AU"/>
        </w:rPr>
      </w:pPr>
      <w:r w:rsidRPr="003A1363">
        <w:rPr>
          <w:bCs/>
          <w:szCs w:val="24"/>
          <w:u w:val="single"/>
          <w:lang w:val="en-AU"/>
        </w:rPr>
        <w:t>Clinical Trials Data</w:t>
      </w:r>
    </w:p>
    <w:p w:rsidR="00EF0774" w:rsidRPr="00A019E2" w:rsidRDefault="003A1363" w:rsidP="00E923AE">
      <w:pPr>
        <w:pStyle w:val="PIHEADING2"/>
        <w:keepLines/>
        <w:tabs>
          <w:tab w:val="clear" w:pos="-720"/>
        </w:tabs>
        <w:suppressAutoHyphens w:val="0"/>
        <w:rPr>
          <w:bCs/>
          <w:i/>
          <w:lang w:val="en-AU"/>
        </w:rPr>
      </w:pPr>
      <w:r w:rsidRPr="003A1363">
        <w:rPr>
          <w:bCs/>
          <w:i/>
          <w:lang w:val="en-AU"/>
        </w:rPr>
        <w:t>Chronic Lymphocytic Lymphoma:</w:t>
      </w:r>
    </w:p>
    <w:p w:rsidR="00EF0774" w:rsidRPr="00A019E2" w:rsidRDefault="003A1363" w:rsidP="00EF0774">
      <w:pPr>
        <w:pStyle w:val="PIEXPLAIN"/>
        <w:rPr>
          <w:rFonts w:cs="Arial"/>
          <w:lang w:val="en-AU"/>
        </w:rPr>
      </w:pPr>
      <w:r w:rsidRPr="003A1363">
        <w:rPr>
          <w:lang w:val="en-AU"/>
        </w:rPr>
        <w:lastRenderedPageBreak/>
        <w:t xml:space="preserve">The following tables describe the safety results reported in study 02CLLIII of 161 </w:t>
      </w:r>
      <w:r w:rsidRPr="003A1363">
        <w:rPr>
          <w:rFonts w:cs="Arial"/>
          <w:lang w:val="en-AU"/>
        </w:rPr>
        <w:t>previously-untreated patients with Binet Stage B or C CLL requiring treatment.</w:t>
      </w:r>
    </w:p>
    <w:p w:rsidR="0038234D" w:rsidRPr="00A019E2" w:rsidRDefault="0038234D" w:rsidP="00EF0774">
      <w:pPr>
        <w:pStyle w:val="PIEXPLAIN"/>
        <w:rPr>
          <w:rFonts w:cs="Arial"/>
          <w:lang w:val="en-AU"/>
        </w:rPr>
      </w:pPr>
    </w:p>
    <w:p w:rsidR="003B76DB" w:rsidRPr="00A019E2" w:rsidRDefault="003A1363">
      <w:pPr>
        <w:rPr>
          <w:b/>
          <w:sz w:val="20"/>
          <w:lang w:val="en-AU"/>
        </w:rPr>
      </w:pPr>
      <w:r w:rsidRPr="003A1363">
        <w:rPr>
          <w:b/>
          <w:sz w:val="20"/>
          <w:lang w:val="en-AU"/>
        </w:rPr>
        <w:t>Table 6: Adverse events occurring in at least 5% of patients in either treatment group by system organ class and preferred term – safety population</w:t>
      </w:r>
    </w:p>
    <w:tbl>
      <w:tblPr>
        <w:tblStyle w:val="TableGrid"/>
        <w:tblW w:w="0" w:type="auto"/>
        <w:tblLook w:val="04A0" w:firstRow="1" w:lastRow="0" w:firstColumn="1" w:lastColumn="0" w:noHBand="0" w:noVBand="1"/>
      </w:tblPr>
      <w:tblGrid>
        <w:gridCol w:w="4077"/>
        <w:gridCol w:w="1843"/>
        <w:gridCol w:w="1701"/>
        <w:gridCol w:w="1666"/>
      </w:tblGrid>
      <w:tr w:rsidR="00083B4F" w:rsidRPr="00A019E2" w:rsidTr="00CA4B9C">
        <w:tc>
          <w:tcPr>
            <w:tcW w:w="4077" w:type="dxa"/>
          </w:tcPr>
          <w:p w:rsidR="00083B4F" w:rsidRPr="00A019E2" w:rsidRDefault="003A1363">
            <w:pPr>
              <w:rPr>
                <w:b/>
                <w:sz w:val="20"/>
                <w:lang w:val="en-AU"/>
              </w:rPr>
            </w:pPr>
            <w:r w:rsidRPr="003A1363">
              <w:rPr>
                <w:b/>
                <w:sz w:val="20"/>
                <w:lang w:val="en-AU"/>
              </w:rPr>
              <w:t>System Organ Class</w:t>
            </w:r>
          </w:p>
          <w:p w:rsidR="00083B4F" w:rsidRPr="00A019E2" w:rsidRDefault="003A1363">
            <w:pPr>
              <w:rPr>
                <w:b/>
                <w:sz w:val="20"/>
                <w:lang w:val="en-AU"/>
              </w:rPr>
            </w:pPr>
            <w:r w:rsidRPr="003A1363">
              <w:rPr>
                <w:b/>
                <w:sz w:val="20"/>
                <w:lang w:val="en-AU"/>
              </w:rPr>
              <w:t>Preferred Term</w:t>
            </w:r>
          </w:p>
        </w:tc>
        <w:tc>
          <w:tcPr>
            <w:tcW w:w="1843" w:type="dxa"/>
          </w:tcPr>
          <w:p w:rsidR="00083B4F" w:rsidRPr="00A019E2" w:rsidRDefault="003A1363" w:rsidP="006E1002">
            <w:pPr>
              <w:jc w:val="center"/>
              <w:rPr>
                <w:b/>
                <w:sz w:val="20"/>
                <w:lang w:val="en-AU"/>
              </w:rPr>
            </w:pPr>
            <w:r w:rsidRPr="003A1363">
              <w:rPr>
                <w:b/>
                <w:sz w:val="20"/>
                <w:lang w:val="en-AU"/>
              </w:rPr>
              <w:t>BEN</w:t>
            </w:r>
          </w:p>
          <w:p w:rsidR="00083B4F" w:rsidRPr="00A019E2" w:rsidRDefault="003A1363" w:rsidP="006E1002">
            <w:pPr>
              <w:jc w:val="center"/>
              <w:rPr>
                <w:b/>
                <w:sz w:val="20"/>
                <w:lang w:val="en-AU"/>
              </w:rPr>
            </w:pPr>
            <w:r w:rsidRPr="003A1363">
              <w:rPr>
                <w:b/>
                <w:sz w:val="20"/>
                <w:lang w:val="en-AU"/>
              </w:rPr>
              <w:t>(N =  161)</w:t>
            </w:r>
          </w:p>
        </w:tc>
        <w:tc>
          <w:tcPr>
            <w:tcW w:w="1701" w:type="dxa"/>
          </w:tcPr>
          <w:p w:rsidR="00083B4F" w:rsidRPr="00A019E2" w:rsidRDefault="003A1363" w:rsidP="006E1002">
            <w:pPr>
              <w:jc w:val="center"/>
              <w:rPr>
                <w:b/>
                <w:sz w:val="20"/>
                <w:lang w:val="en-AU"/>
              </w:rPr>
            </w:pPr>
            <w:r w:rsidRPr="003A1363">
              <w:rPr>
                <w:b/>
                <w:sz w:val="20"/>
                <w:lang w:val="en-AU"/>
              </w:rPr>
              <w:t>CLB</w:t>
            </w:r>
          </w:p>
          <w:p w:rsidR="00083B4F" w:rsidRPr="00A019E2" w:rsidRDefault="003A1363" w:rsidP="006E1002">
            <w:pPr>
              <w:jc w:val="center"/>
              <w:rPr>
                <w:b/>
                <w:sz w:val="20"/>
                <w:lang w:val="en-AU"/>
              </w:rPr>
            </w:pPr>
            <w:r w:rsidRPr="003A1363">
              <w:rPr>
                <w:b/>
                <w:sz w:val="20"/>
                <w:lang w:val="en-AU"/>
              </w:rPr>
              <w:t>(N=151)</w:t>
            </w:r>
          </w:p>
        </w:tc>
        <w:tc>
          <w:tcPr>
            <w:tcW w:w="1666" w:type="dxa"/>
          </w:tcPr>
          <w:p w:rsidR="00CA4B9C" w:rsidRPr="00A019E2" w:rsidRDefault="003A1363" w:rsidP="006E1002">
            <w:pPr>
              <w:jc w:val="center"/>
              <w:rPr>
                <w:b/>
                <w:sz w:val="20"/>
                <w:lang w:val="en-AU"/>
              </w:rPr>
            </w:pPr>
            <w:r w:rsidRPr="003A1363">
              <w:rPr>
                <w:b/>
                <w:sz w:val="20"/>
                <w:lang w:val="en-AU"/>
              </w:rPr>
              <w:t xml:space="preserve">Total </w:t>
            </w:r>
          </w:p>
          <w:p w:rsidR="00083B4F" w:rsidRPr="00A019E2" w:rsidRDefault="003A1363" w:rsidP="006E1002">
            <w:pPr>
              <w:jc w:val="center"/>
              <w:rPr>
                <w:b/>
                <w:sz w:val="20"/>
                <w:lang w:val="en-AU"/>
              </w:rPr>
            </w:pPr>
            <w:r w:rsidRPr="003A1363">
              <w:rPr>
                <w:b/>
                <w:sz w:val="20"/>
                <w:lang w:val="en-AU"/>
              </w:rPr>
              <w:t>(N=312)</w:t>
            </w:r>
          </w:p>
        </w:tc>
      </w:tr>
      <w:tr w:rsidR="00083B4F" w:rsidRPr="00A019E2" w:rsidTr="00CA4B9C">
        <w:tc>
          <w:tcPr>
            <w:tcW w:w="4077" w:type="dxa"/>
          </w:tcPr>
          <w:p w:rsidR="00083B4F" w:rsidRPr="00A019E2" w:rsidRDefault="003A1363">
            <w:pPr>
              <w:rPr>
                <w:b/>
                <w:sz w:val="20"/>
                <w:lang w:val="en-AU"/>
              </w:rPr>
            </w:pPr>
            <w:r w:rsidRPr="003A1363">
              <w:rPr>
                <w:b/>
                <w:sz w:val="20"/>
                <w:lang w:val="en-AU"/>
              </w:rPr>
              <w:t>Blood &amp; lymphatic system disorders</w:t>
            </w:r>
          </w:p>
          <w:p w:rsidR="00083B4F" w:rsidRPr="00A019E2" w:rsidRDefault="003A1363" w:rsidP="0038234D">
            <w:pPr>
              <w:ind w:left="720"/>
              <w:rPr>
                <w:sz w:val="20"/>
                <w:lang w:val="en-AU"/>
              </w:rPr>
            </w:pPr>
            <w:r w:rsidRPr="003A1363">
              <w:rPr>
                <w:sz w:val="20"/>
                <w:lang w:val="en-AU"/>
              </w:rPr>
              <w:t>Neutropaenia</w:t>
            </w:r>
          </w:p>
          <w:p w:rsidR="00083B4F" w:rsidRPr="00A019E2" w:rsidRDefault="003A1363" w:rsidP="0038234D">
            <w:pPr>
              <w:ind w:left="720"/>
              <w:rPr>
                <w:sz w:val="20"/>
                <w:lang w:val="en-AU"/>
              </w:rPr>
            </w:pPr>
            <w:r w:rsidRPr="003A1363">
              <w:rPr>
                <w:sz w:val="20"/>
                <w:lang w:val="en-AU"/>
              </w:rPr>
              <w:t>Thrombocytopaenia</w:t>
            </w:r>
          </w:p>
          <w:p w:rsidR="00083B4F" w:rsidRPr="00A019E2" w:rsidRDefault="003A1363" w:rsidP="0038234D">
            <w:pPr>
              <w:ind w:left="720"/>
              <w:rPr>
                <w:sz w:val="20"/>
                <w:lang w:val="en-AU"/>
              </w:rPr>
            </w:pPr>
            <w:r w:rsidRPr="003A1363">
              <w:rPr>
                <w:sz w:val="20"/>
                <w:lang w:val="en-AU"/>
              </w:rPr>
              <w:t>Anaemia</w:t>
            </w:r>
          </w:p>
          <w:p w:rsidR="00083B4F" w:rsidRPr="00A019E2" w:rsidRDefault="003A1363" w:rsidP="0038234D">
            <w:pPr>
              <w:ind w:left="720"/>
              <w:rPr>
                <w:sz w:val="20"/>
                <w:lang w:val="en-AU"/>
              </w:rPr>
            </w:pPr>
            <w:r w:rsidRPr="003A1363">
              <w:rPr>
                <w:sz w:val="20"/>
                <w:lang w:val="en-AU"/>
              </w:rPr>
              <w:t>Leukopaenia</w:t>
            </w:r>
          </w:p>
          <w:p w:rsidR="00083B4F" w:rsidRPr="00A019E2" w:rsidRDefault="003A1363" w:rsidP="0038234D">
            <w:pPr>
              <w:ind w:left="720"/>
              <w:rPr>
                <w:sz w:val="20"/>
                <w:lang w:val="en-AU"/>
              </w:rPr>
            </w:pPr>
            <w:r w:rsidRPr="003A1363">
              <w:rPr>
                <w:sz w:val="20"/>
                <w:lang w:val="en-AU"/>
              </w:rPr>
              <w:t>Lymphopaenia</w:t>
            </w:r>
          </w:p>
        </w:tc>
        <w:tc>
          <w:tcPr>
            <w:tcW w:w="1843" w:type="dxa"/>
          </w:tcPr>
          <w:p w:rsidR="00083B4F" w:rsidRPr="00A019E2" w:rsidRDefault="00083B4F" w:rsidP="006E1002">
            <w:pPr>
              <w:jc w:val="center"/>
              <w:rPr>
                <w:sz w:val="20"/>
                <w:lang w:val="en-AU"/>
              </w:rPr>
            </w:pPr>
          </w:p>
          <w:p w:rsidR="00083B4F" w:rsidRPr="00A019E2" w:rsidRDefault="003A1363" w:rsidP="0038234D">
            <w:pPr>
              <w:jc w:val="center"/>
              <w:rPr>
                <w:sz w:val="20"/>
                <w:lang w:val="en-AU"/>
              </w:rPr>
            </w:pPr>
            <w:r w:rsidRPr="003A1363">
              <w:rPr>
                <w:sz w:val="20"/>
                <w:lang w:val="en-AU"/>
              </w:rPr>
              <w:t>44 (27.3%)</w:t>
            </w:r>
          </w:p>
          <w:p w:rsidR="00083B4F" w:rsidRPr="00A019E2" w:rsidRDefault="003A1363" w:rsidP="006E1002">
            <w:pPr>
              <w:jc w:val="center"/>
              <w:rPr>
                <w:sz w:val="20"/>
                <w:lang w:val="en-AU"/>
              </w:rPr>
            </w:pPr>
            <w:r w:rsidRPr="003A1363">
              <w:rPr>
                <w:sz w:val="20"/>
                <w:lang w:val="en-AU"/>
              </w:rPr>
              <w:t>40 (24.8%)</w:t>
            </w:r>
          </w:p>
          <w:p w:rsidR="00083B4F" w:rsidRPr="00A019E2" w:rsidRDefault="003A1363" w:rsidP="006E1002">
            <w:pPr>
              <w:jc w:val="center"/>
              <w:rPr>
                <w:sz w:val="20"/>
                <w:lang w:val="en-AU"/>
              </w:rPr>
            </w:pPr>
            <w:r w:rsidRPr="003A1363">
              <w:rPr>
                <w:sz w:val="20"/>
                <w:lang w:val="en-AU"/>
              </w:rPr>
              <w:t>35 (21.7%)</w:t>
            </w:r>
          </w:p>
          <w:p w:rsidR="00083B4F" w:rsidRPr="00A019E2" w:rsidRDefault="003A1363" w:rsidP="006E1002">
            <w:pPr>
              <w:jc w:val="center"/>
              <w:rPr>
                <w:sz w:val="20"/>
                <w:lang w:val="en-AU"/>
              </w:rPr>
            </w:pPr>
            <w:r w:rsidRPr="003A1363">
              <w:rPr>
                <w:sz w:val="20"/>
                <w:lang w:val="en-AU"/>
              </w:rPr>
              <w:t>28 (17.4%)</w:t>
            </w:r>
          </w:p>
          <w:p w:rsidR="00083B4F" w:rsidRPr="00A019E2" w:rsidRDefault="003A1363" w:rsidP="006E1002">
            <w:pPr>
              <w:jc w:val="center"/>
              <w:rPr>
                <w:sz w:val="20"/>
                <w:lang w:val="en-AU"/>
              </w:rPr>
            </w:pPr>
            <w:r w:rsidRPr="003A1363">
              <w:rPr>
                <w:sz w:val="20"/>
                <w:lang w:val="en-AU"/>
              </w:rPr>
              <w:t>10 (6.2%)</w:t>
            </w:r>
          </w:p>
        </w:tc>
        <w:tc>
          <w:tcPr>
            <w:tcW w:w="1701" w:type="dxa"/>
          </w:tcPr>
          <w:p w:rsidR="00083B4F" w:rsidRPr="00A019E2" w:rsidRDefault="00083B4F" w:rsidP="0038234D">
            <w:pPr>
              <w:rPr>
                <w:sz w:val="20"/>
                <w:lang w:val="en-AU"/>
              </w:rPr>
            </w:pPr>
          </w:p>
          <w:p w:rsidR="00083B4F" w:rsidRPr="00A019E2" w:rsidRDefault="003A1363" w:rsidP="006E1002">
            <w:pPr>
              <w:jc w:val="center"/>
              <w:rPr>
                <w:sz w:val="20"/>
                <w:lang w:val="en-AU"/>
              </w:rPr>
            </w:pPr>
            <w:r w:rsidRPr="003A1363">
              <w:rPr>
                <w:sz w:val="20"/>
                <w:lang w:val="en-AU"/>
              </w:rPr>
              <w:t>21 (13.9%)</w:t>
            </w:r>
          </w:p>
          <w:p w:rsidR="00083B4F" w:rsidRPr="00A019E2" w:rsidRDefault="003A1363" w:rsidP="006E1002">
            <w:pPr>
              <w:jc w:val="center"/>
              <w:rPr>
                <w:sz w:val="20"/>
                <w:lang w:val="en-AU"/>
              </w:rPr>
            </w:pPr>
            <w:r w:rsidRPr="003A1363">
              <w:rPr>
                <w:sz w:val="20"/>
                <w:lang w:val="en-AU"/>
              </w:rPr>
              <w:t>31 (20.5%)</w:t>
            </w:r>
          </w:p>
          <w:p w:rsidR="00083B4F" w:rsidRPr="00A019E2" w:rsidRDefault="003A1363" w:rsidP="006E1002">
            <w:pPr>
              <w:jc w:val="center"/>
              <w:rPr>
                <w:sz w:val="20"/>
                <w:lang w:val="en-AU"/>
              </w:rPr>
            </w:pPr>
            <w:r w:rsidRPr="003A1363">
              <w:rPr>
                <w:sz w:val="20"/>
                <w:lang w:val="en-AU"/>
              </w:rPr>
              <w:t>21 (13.9%)</w:t>
            </w:r>
          </w:p>
          <w:p w:rsidR="00083B4F" w:rsidRPr="00A019E2" w:rsidRDefault="003A1363" w:rsidP="006E1002">
            <w:pPr>
              <w:jc w:val="center"/>
              <w:rPr>
                <w:sz w:val="20"/>
                <w:lang w:val="en-AU"/>
              </w:rPr>
            </w:pPr>
            <w:r w:rsidRPr="003A1363">
              <w:rPr>
                <w:sz w:val="20"/>
                <w:lang w:val="en-AU"/>
              </w:rPr>
              <w:t>5 (3.3%)</w:t>
            </w:r>
          </w:p>
          <w:p w:rsidR="00083B4F" w:rsidRPr="00A019E2" w:rsidRDefault="003A1363" w:rsidP="006E1002">
            <w:pPr>
              <w:jc w:val="center"/>
              <w:rPr>
                <w:sz w:val="20"/>
                <w:lang w:val="en-AU"/>
              </w:rPr>
            </w:pPr>
            <w:r w:rsidRPr="003A1363">
              <w:rPr>
                <w:sz w:val="20"/>
                <w:lang w:val="en-AU"/>
              </w:rPr>
              <w:t>1 (0.7%)</w:t>
            </w:r>
          </w:p>
        </w:tc>
        <w:tc>
          <w:tcPr>
            <w:tcW w:w="1666" w:type="dxa"/>
          </w:tcPr>
          <w:p w:rsidR="00083B4F" w:rsidRPr="00A019E2" w:rsidRDefault="00083B4F" w:rsidP="0038234D">
            <w:pPr>
              <w:rPr>
                <w:sz w:val="20"/>
                <w:lang w:val="en-AU"/>
              </w:rPr>
            </w:pPr>
          </w:p>
          <w:p w:rsidR="00083B4F" w:rsidRPr="00A019E2" w:rsidRDefault="003A1363" w:rsidP="006E1002">
            <w:pPr>
              <w:jc w:val="center"/>
              <w:rPr>
                <w:sz w:val="20"/>
                <w:lang w:val="en-AU"/>
              </w:rPr>
            </w:pPr>
            <w:r w:rsidRPr="003A1363">
              <w:rPr>
                <w:sz w:val="20"/>
                <w:lang w:val="en-AU"/>
              </w:rPr>
              <w:t>65 (20.8%)</w:t>
            </w:r>
          </w:p>
          <w:p w:rsidR="00083B4F" w:rsidRPr="00A019E2" w:rsidRDefault="003A1363" w:rsidP="006E1002">
            <w:pPr>
              <w:jc w:val="center"/>
              <w:rPr>
                <w:sz w:val="20"/>
                <w:lang w:val="en-AU"/>
              </w:rPr>
            </w:pPr>
            <w:r w:rsidRPr="003A1363">
              <w:rPr>
                <w:sz w:val="20"/>
                <w:lang w:val="en-AU"/>
              </w:rPr>
              <w:t>71 (22.8%)</w:t>
            </w:r>
          </w:p>
          <w:p w:rsidR="00083B4F" w:rsidRPr="00A019E2" w:rsidRDefault="003A1363" w:rsidP="006E1002">
            <w:pPr>
              <w:jc w:val="center"/>
              <w:rPr>
                <w:sz w:val="20"/>
                <w:lang w:val="en-AU"/>
              </w:rPr>
            </w:pPr>
            <w:r w:rsidRPr="003A1363">
              <w:rPr>
                <w:sz w:val="20"/>
                <w:lang w:val="en-AU"/>
              </w:rPr>
              <w:t>56 (17.9%)</w:t>
            </w:r>
          </w:p>
          <w:p w:rsidR="00083B4F" w:rsidRPr="00A019E2" w:rsidRDefault="003A1363" w:rsidP="006E1002">
            <w:pPr>
              <w:jc w:val="center"/>
              <w:rPr>
                <w:sz w:val="20"/>
                <w:lang w:val="en-AU"/>
              </w:rPr>
            </w:pPr>
            <w:r w:rsidRPr="003A1363">
              <w:rPr>
                <w:sz w:val="20"/>
                <w:lang w:val="en-AU"/>
              </w:rPr>
              <w:t>33 (10.6%)</w:t>
            </w:r>
          </w:p>
          <w:p w:rsidR="00083B4F" w:rsidRPr="00A019E2" w:rsidRDefault="003A1363" w:rsidP="006E1002">
            <w:pPr>
              <w:jc w:val="center"/>
              <w:rPr>
                <w:sz w:val="20"/>
                <w:lang w:val="en-AU"/>
              </w:rPr>
            </w:pPr>
            <w:r w:rsidRPr="003A1363">
              <w:rPr>
                <w:sz w:val="20"/>
                <w:lang w:val="en-AU"/>
              </w:rPr>
              <w:t>11 (3.5%)</w:t>
            </w:r>
          </w:p>
        </w:tc>
      </w:tr>
      <w:tr w:rsidR="00083B4F" w:rsidRPr="00A019E2" w:rsidTr="002D0725">
        <w:tc>
          <w:tcPr>
            <w:tcW w:w="4077" w:type="dxa"/>
            <w:tcBorders>
              <w:bottom w:val="single" w:sz="4" w:space="0" w:color="auto"/>
            </w:tcBorders>
          </w:tcPr>
          <w:p w:rsidR="00083B4F" w:rsidRPr="00A019E2" w:rsidRDefault="003A1363">
            <w:pPr>
              <w:autoSpaceDE w:val="0"/>
              <w:autoSpaceDN w:val="0"/>
              <w:adjustRightInd w:val="0"/>
              <w:spacing w:line="196" w:lineRule="atLeast"/>
              <w:rPr>
                <w:b/>
                <w:sz w:val="20"/>
                <w:lang w:val="en-AU"/>
              </w:rPr>
            </w:pPr>
            <w:r w:rsidRPr="003A1363">
              <w:rPr>
                <w:b/>
                <w:sz w:val="20"/>
                <w:lang w:val="en-AU"/>
              </w:rPr>
              <w:t>Gastrointestinal disorders</w:t>
            </w:r>
          </w:p>
          <w:p w:rsidR="00083B4F" w:rsidRPr="00A019E2" w:rsidRDefault="003A1363" w:rsidP="0038234D">
            <w:pPr>
              <w:ind w:left="720"/>
              <w:rPr>
                <w:sz w:val="20"/>
                <w:lang w:val="en-AU"/>
              </w:rPr>
            </w:pPr>
            <w:r w:rsidRPr="003A1363">
              <w:rPr>
                <w:sz w:val="20"/>
                <w:lang w:val="en-AU"/>
              </w:rPr>
              <w:t xml:space="preserve">Nausea </w:t>
            </w:r>
          </w:p>
          <w:p w:rsidR="00083B4F" w:rsidRPr="00A019E2" w:rsidRDefault="003A1363" w:rsidP="0038234D">
            <w:pPr>
              <w:ind w:left="720"/>
              <w:rPr>
                <w:sz w:val="20"/>
                <w:lang w:val="en-AU"/>
              </w:rPr>
            </w:pPr>
            <w:r w:rsidRPr="003A1363">
              <w:rPr>
                <w:sz w:val="20"/>
                <w:lang w:val="en-AU"/>
              </w:rPr>
              <w:t>Vomiting</w:t>
            </w:r>
          </w:p>
          <w:p w:rsidR="00083B4F" w:rsidRPr="00A019E2" w:rsidRDefault="003A1363" w:rsidP="0038234D">
            <w:pPr>
              <w:ind w:left="720"/>
              <w:rPr>
                <w:sz w:val="20"/>
                <w:lang w:val="en-AU"/>
              </w:rPr>
            </w:pPr>
            <w:r w:rsidRPr="003A1363">
              <w:rPr>
                <w:sz w:val="20"/>
                <w:lang w:val="en-AU"/>
              </w:rPr>
              <w:t>Diarrhoea</w:t>
            </w:r>
          </w:p>
        </w:tc>
        <w:tc>
          <w:tcPr>
            <w:tcW w:w="1843" w:type="dxa"/>
            <w:tcBorders>
              <w:bottom w:val="single" w:sz="4" w:space="0" w:color="auto"/>
            </w:tcBorders>
          </w:tcPr>
          <w:p w:rsidR="00083B4F" w:rsidRPr="00A019E2" w:rsidRDefault="00083B4F" w:rsidP="002D0725">
            <w:pPr>
              <w:jc w:val="center"/>
              <w:rPr>
                <w:sz w:val="20"/>
                <w:szCs w:val="20"/>
                <w:lang w:val="en-AU"/>
              </w:rPr>
            </w:pPr>
          </w:p>
          <w:p w:rsidR="00083B4F" w:rsidRPr="00A019E2" w:rsidRDefault="003A1363" w:rsidP="002D0725">
            <w:pPr>
              <w:jc w:val="center"/>
              <w:rPr>
                <w:sz w:val="20"/>
                <w:szCs w:val="20"/>
                <w:lang w:val="en-AU"/>
              </w:rPr>
            </w:pPr>
            <w:r w:rsidRPr="003A1363">
              <w:rPr>
                <w:sz w:val="20"/>
                <w:szCs w:val="20"/>
                <w:lang w:val="en-AU"/>
              </w:rPr>
              <w:t>31 (19.3%)</w:t>
            </w:r>
          </w:p>
          <w:p w:rsidR="00083B4F" w:rsidRPr="00A019E2" w:rsidRDefault="003A1363" w:rsidP="002D0725">
            <w:pPr>
              <w:jc w:val="center"/>
              <w:rPr>
                <w:sz w:val="20"/>
                <w:szCs w:val="20"/>
                <w:lang w:val="en-AU"/>
              </w:rPr>
            </w:pPr>
            <w:r w:rsidRPr="003A1363">
              <w:rPr>
                <w:sz w:val="20"/>
                <w:szCs w:val="20"/>
                <w:lang w:val="en-AU"/>
              </w:rPr>
              <w:t>25 (15.5%)</w:t>
            </w:r>
          </w:p>
          <w:p w:rsidR="00083B4F" w:rsidRPr="00A019E2" w:rsidRDefault="003A1363" w:rsidP="002D0725">
            <w:pPr>
              <w:jc w:val="center"/>
              <w:rPr>
                <w:sz w:val="20"/>
                <w:szCs w:val="20"/>
                <w:lang w:val="en-AU"/>
              </w:rPr>
            </w:pPr>
            <w:r w:rsidRPr="003A1363">
              <w:rPr>
                <w:sz w:val="20"/>
                <w:szCs w:val="20"/>
                <w:lang w:val="en-AU"/>
              </w:rPr>
              <w:t>16 (9.9%)</w:t>
            </w:r>
          </w:p>
        </w:tc>
        <w:tc>
          <w:tcPr>
            <w:tcW w:w="1701" w:type="dxa"/>
            <w:tcBorders>
              <w:bottom w:val="single" w:sz="4" w:space="0" w:color="auto"/>
            </w:tcBorders>
          </w:tcPr>
          <w:p w:rsidR="00083B4F" w:rsidRPr="00A019E2" w:rsidRDefault="00083B4F" w:rsidP="002D0725">
            <w:pPr>
              <w:jc w:val="center"/>
              <w:rPr>
                <w:sz w:val="20"/>
                <w:szCs w:val="20"/>
                <w:lang w:val="en-AU"/>
              </w:rPr>
            </w:pPr>
          </w:p>
          <w:p w:rsidR="00083B4F" w:rsidRPr="00A019E2" w:rsidRDefault="003A1363" w:rsidP="002D0725">
            <w:pPr>
              <w:jc w:val="center"/>
              <w:rPr>
                <w:sz w:val="20"/>
                <w:szCs w:val="20"/>
                <w:lang w:val="en-AU"/>
              </w:rPr>
            </w:pPr>
            <w:r w:rsidRPr="003A1363">
              <w:rPr>
                <w:sz w:val="20"/>
                <w:szCs w:val="20"/>
                <w:lang w:val="en-AU"/>
              </w:rPr>
              <w:t>21 (13.9%)</w:t>
            </w:r>
          </w:p>
          <w:p w:rsidR="00083B4F" w:rsidRPr="00A019E2" w:rsidRDefault="003A1363" w:rsidP="002D0725">
            <w:pPr>
              <w:jc w:val="center"/>
              <w:rPr>
                <w:sz w:val="20"/>
                <w:szCs w:val="20"/>
                <w:lang w:val="en-AU"/>
              </w:rPr>
            </w:pPr>
            <w:r w:rsidRPr="003A1363">
              <w:rPr>
                <w:sz w:val="20"/>
                <w:szCs w:val="20"/>
                <w:lang w:val="en-AU"/>
              </w:rPr>
              <w:t>10 (6.6%)</w:t>
            </w:r>
          </w:p>
          <w:p w:rsidR="00083B4F" w:rsidRPr="00A019E2" w:rsidRDefault="003A1363" w:rsidP="002D0725">
            <w:pPr>
              <w:jc w:val="center"/>
              <w:rPr>
                <w:sz w:val="20"/>
                <w:szCs w:val="20"/>
                <w:lang w:val="en-AU"/>
              </w:rPr>
            </w:pPr>
            <w:r w:rsidRPr="003A1363">
              <w:rPr>
                <w:sz w:val="20"/>
                <w:szCs w:val="20"/>
                <w:lang w:val="en-AU"/>
              </w:rPr>
              <w:t>6 (4.0%)</w:t>
            </w:r>
          </w:p>
        </w:tc>
        <w:tc>
          <w:tcPr>
            <w:tcW w:w="1666" w:type="dxa"/>
            <w:tcBorders>
              <w:bottom w:val="single" w:sz="4" w:space="0" w:color="auto"/>
            </w:tcBorders>
          </w:tcPr>
          <w:p w:rsidR="00083B4F" w:rsidRPr="00A019E2" w:rsidRDefault="00083B4F" w:rsidP="002D0725">
            <w:pPr>
              <w:jc w:val="center"/>
              <w:rPr>
                <w:sz w:val="20"/>
                <w:szCs w:val="20"/>
                <w:lang w:val="en-AU"/>
              </w:rPr>
            </w:pPr>
          </w:p>
          <w:p w:rsidR="00083B4F" w:rsidRPr="00A019E2" w:rsidRDefault="003A1363" w:rsidP="002D0725">
            <w:pPr>
              <w:jc w:val="center"/>
              <w:rPr>
                <w:sz w:val="20"/>
                <w:szCs w:val="20"/>
                <w:lang w:val="en-AU"/>
              </w:rPr>
            </w:pPr>
            <w:r w:rsidRPr="003A1363">
              <w:rPr>
                <w:sz w:val="20"/>
                <w:szCs w:val="20"/>
                <w:lang w:val="en-AU"/>
              </w:rPr>
              <w:t>52 (16.7%)</w:t>
            </w:r>
          </w:p>
          <w:p w:rsidR="00083B4F" w:rsidRPr="00A019E2" w:rsidRDefault="003A1363" w:rsidP="002D0725">
            <w:pPr>
              <w:jc w:val="center"/>
              <w:rPr>
                <w:sz w:val="20"/>
                <w:szCs w:val="20"/>
                <w:lang w:val="en-AU"/>
              </w:rPr>
            </w:pPr>
            <w:r w:rsidRPr="003A1363">
              <w:rPr>
                <w:sz w:val="20"/>
                <w:szCs w:val="20"/>
                <w:lang w:val="en-AU"/>
              </w:rPr>
              <w:t>35 (11.2%)</w:t>
            </w:r>
          </w:p>
          <w:p w:rsidR="00083B4F" w:rsidRPr="00A019E2" w:rsidRDefault="003A1363" w:rsidP="002D0725">
            <w:pPr>
              <w:jc w:val="center"/>
              <w:rPr>
                <w:sz w:val="20"/>
                <w:szCs w:val="20"/>
                <w:lang w:val="en-AU"/>
              </w:rPr>
            </w:pPr>
            <w:r w:rsidRPr="003A1363">
              <w:rPr>
                <w:sz w:val="20"/>
                <w:szCs w:val="20"/>
                <w:lang w:val="en-AU"/>
              </w:rPr>
              <w:t>22 (7.1%)</w:t>
            </w:r>
          </w:p>
        </w:tc>
      </w:tr>
      <w:tr w:rsidR="00083B4F" w:rsidRPr="00A019E2" w:rsidTr="002D0725">
        <w:tc>
          <w:tcPr>
            <w:tcW w:w="4077" w:type="dxa"/>
            <w:tcBorders>
              <w:top w:val="single" w:sz="4" w:space="0" w:color="auto"/>
              <w:left w:val="single" w:sz="4" w:space="0" w:color="auto"/>
              <w:bottom w:val="single" w:sz="4" w:space="0" w:color="auto"/>
              <w:right w:val="single" w:sz="4" w:space="0" w:color="auto"/>
            </w:tcBorders>
          </w:tcPr>
          <w:p w:rsidR="00083B4F" w:rsidRPr="00A019E2" w:rsidRDefault="003A1363" w:rsidP="002D0725">
            <w:pPr>
              <w:autoSpaceDE w:val="0"/>
              <w:autoSpaceDN w:val="0"/>
              <w:adjustRightInd w:val="0"/>
              <w:spacing w:line="196" w:lineRule="atLeast"/>
              <w:rPr>
                <w:rFonts w:ascii="Arial Rounded MT Bold" w:eastAsiaTheme="majorEastAsia" w:hAnsi="Arial Rounded MT Bold" w:cstheme="majorBidi"/>
                <w:b/>
                <w:bCs/>
                <w:color w:val="365F91" w:themeColor="accent1" w:themeShade="BF"/>
                <w:szCs w:val="28"/>
                <w:lang w:val="en-AU"/>
              </w:rPr>
            </w:pPr>
            <w:r w:rsidRPr="003A1363">
              <w:rPr>
                <w:b/>
                <w:lang w:val="en-AU"/>
              </w:rPr>
              <w:t>General disorders &amp; administration site conditions</w:t>
            </w:r>
          </w:p>
          <w:p w:rsidR="00083B4F" w:rsidRPr="00A019E2" w:rsidRDefault="003A1363" w:rsidP="002D0725">
            <w:pPr>
              <w:rPr>
                <w:lang w:val="en-AU"/>
              </w:rPr>
            </w:pPr>
            <w:r w:rsidRPr="003A1363">
              <w:rPr>
                <w:lang w:val="en-AU"/>
              </w:rPr>
              <w:t xml:space="preserve">              Pyrexia</w:t>
            </w:r>
          </w:p>
          <w:p w:rsidR="00083B4F" w:rsidRPr="00A019E2" w:rsidRDefault="003A1363" w:rsidP="002D0725">
            <w:pPr>
              <w:rPr>
                <w:lang w:val="en-AU"/>
              </w:rPr>
            </w:pPr>
            <w:r w:rsidRPr="003A1363">
              <w:rPr>
                <w:lang w:val="en-AU"/>
              </w:rPr>
              <w:t xml:space="preserve">              Asthenia</w:t>
            </w:r>
          </w:p>
          <w:p w:rsidR="00083B4F" w:rsidRPr="00A019E2" w:rsidRDefault="003A1363" w:rsidP="002D0725">
            <w:pPr>
              <w:rPr>
                <w:lang w:val="en-AU"/>
              </w:rPr>
            </w:pPr>
            <w:r w:rsidRPr="003A1363">
              <w:rPr>
                <w:lang w:val="en-AU"/>
              </w:rPr>
              <w:t xml:space="preserve">              Fatigue</w:t>
            </w:r>
          </w:p>
          <w:p w:rsidR="00083B4F" w:rsidRPr="00A019E2" w:rsidRDefault="003A1363" w:rsidP="002D0725">
            <w:pPr>
              <w:rPr>
                <w:lang w:val="en-AU"/>
              </w:rPr>
            </w:pPr>
            <w:r w:rsidRPr="003A1363">
              <w:rPr>
                <w:lang w:val="en-AU"/>
              </w:rPr>
              <w:t xml:space="preserve">              Chills</w:t>
            </w:r>
          </w:p>
        </w:tc>
        <w:tc>
          <w:tcPr>
            <w:tcW w:w="1843" w:type="dxa"/>
            <w:tcBorders>
              <w:top w:val="single" w:sz="4" w:space="0" w:color="auto"/>
              <w:left w:val="single" w:sz="4" w:space="0" w:color="auto"/>
              <w:bottom w:val="single" w:sz="4" w:space="0" w:color="auto"/>
              <w:right w:val="single" w:sz="4" w:space="0" w:color="auto"/>
            </w:tcBorders>
          </w:tcPr>
          <w:p w:rsidR="00083B4F" w:rsidRPr="00A019E2" w:rsidRDefault="003A1363" w:rsidP="002D0725">
            <w:pPr>
              <w:autoSpaceDE w:val="0"/>
              <w:autoSpaceDN w:val="0"/>
              <w:adjustRightInd w:val="0"/>
              <w:spacing w:line="196" w:lineRule="atLeast"/>
              <w:jc w:val="center"/>
              <w:rPr>
                <w:sz w:val="20"/>
                <w:szCs w:val="20"/>
                <w:lang w:val="en-AU"/>
              </w:rPr>
            </w:pPr>
            <w:r w:rsidRPr="003A1363">
              <w:rPr>
                <w:sz w:val="20"/>
                <w:szCs w:val="20"/>
                <w:lang w:val="en-AU"/>
              </w:rPr>
              <w:t>40 (24.8%)</w:t>
            </w:r>
          </w:p>
          <w:p w:rsidR="00083B4F" w:rsidRPr="00A019E2" w:rsidRDefault="003A1363" w:rsidP="002D0725">
            <w:pPr>
              <w:jc w:val="center"/>
              <w:rPr>
                <w:sz w:val="20"/>
                <w:szCs w:val="20"/>
                <w:lang w:val="en-AU"/>
              </w:rPr>
            </w:pPr>
            <w:r w:rsidRPr="003A1363">
              <w:rPr>
                <w:sz w:val="20"/>
                <w:szCs w:val="20"/>
                <w:lang w:val="en-AU"/>
              </w:rPr>
              <w:t>14 (8.7%)</w:t>
            </w:r>
          </w:p>
          <w:p w:rsidR="00083B4F" w:rsidRPr="00A019E2" w:rsidRDefault="003A1363" w:rsidP="002D0725">
            <w:pPr>
              <w:jc w:val="center"/>
              <w:rPr>
                <w:sz w:val="20"/>
                <w:szCs w:val="20"/>
                <w:lang w:val="en-AU"/>
              </w:rPr>
            </w:pPr>
            <w:r w:rsidRPr="003A1363">
              <w:rPr>
                <w:sz w:val="20"/>
                <w:szCs w:val="20"/>
                <w:lang w:val="en-AU"/>
              </w:rPr>
              <w:t>14 (8.7%)</w:t>
            </w:r>
          </w:p>
          <w:p w:rsidR="00083B4F" w:rsidRPr="00A019E2" w:rsidRDefault="003A1363" w:rsidP="002D0725">
            <w:pPr>
              <w:jc w:val="center"/>
              <w:rPr>
                <w:sz w:val="20"/>
                <w:szCs w:val="20"/>
                <w:lang w:val="en-AU"/>
              </w:rPr>
            </w:pPr>
            <w:r w:rsidRPr="003A1363">
              <w:rPr>
                <w:sz w:val="20"/>
                <w:szCs w:val="20"/>
                <w:lang w:val="en-AU"/>
              </w:rPr>
              <w:t>9 (5.6%)</w:t>
            </w:r>
          </w:p>
        </w:tc>
        <w:tc>
          <w:tcPr>
            <w:tcW w:w="1701" w:type="dxa"/>
            <w:tcBorders>
              <w:top w:val="single" w:sz="4" w:space="0" w:color="auto"/>
              <w:left w:val="single" w:sz="4" w:space="0" w:color="auto"/>
              <w:bottom w:val="single" w:sz="4" w:space="0" w:color="auto"/>
              <w:right w:val="single" w:sz="4" w:space="0" w:color="auto"/>
            </w:tcBorders>
          </w:tcPr>
          <w:p w:rsidR="00931805" w:rsidRPr="00A019E2" w:rsidRDefault="00931805">
            <w:pPr>
              <w:jc w:val="center"/>
              <w:rPr>
                <w:sz w:val="20"/>
                <w:szCs w:val="20"/>
                <w:lang w:val="en-AU"/>
              </w:rPr>
            </w:pPr>
          </w:p>
          <w:p w:rsidR="00083B4F" w:rsidRPr="00A019E2" w:rsidRDefault="00083B4F" w:rsidP="002D0725">
            <w:pPr>
              <w:jc w:val="center"/>
              <w:rPr>
                <w:sz w:val="20"/>
                <w:szCs w:val="20"/>
                <w:lang w:val="en-AU"/>
              </w:rPr>
            </w:pPr>
          </w:p>
          <w:p w:rsidR="00083B4F" w:rsidRPr="00A019E2" w:rsidRDefault="003A1363" w:rsidP="002D0725">
            <w:pPr>
              <w:jc w:val="center"/>
              <w:rPr>
                <w:sz w:val="20"/>
                <w:szCs w:val="20"/>
                <w:lang w:val="en-AU"/>
              </w:rPr>
            </w:pPr>
            <w:r w:rsidRPr="003A1363">
              <w:rPr>
                <w:sz w:val="20"/>
                <w:szCs w:val="20"/>
                <w:lang w:val="en-AU"/>
              </w:rPr>
              <w:t>8 (5.3%)</w:t>
            </w:r>
          </w:p>
          <w:p w:rsidR="00083B4F" w:rsidRPr="00A019E2" w:rsidRDefault="003A1363" w:rsidP="002D0725">
            <w:pPr>
              <w:jc w:val="center"/>
              <w:rPr>
                <w:sz w:val="20"/>
                <w:szCs w:val="20"/>
                <w:lang w:val="en-AU"/>
              </w:rPr>
            </w:pPr>
            <w:r w:rsidRPr="003A1363">
              <w:rPr>
                <w:sz w:val="20"/>
                <w:szCs w:val="20"/>
                <w:lang w:val="en-AU"/>
              </w:rPr>
              <w:t>7 (4.6%)</w:t>
            </w:r>
          </w:p>
          <w:p w:rsidR="00083B4F" w:rsidRPr="00A019E2" w:rsidRDefault="003A1363" w:rsidP="002D0725">
            <w:pPr>
              <w:jc w:val="center"/>
              <w:rPr>
                <w:sz w:val="20"/>
                <w:szCs w:val="20"/>
                <w:lang w:val="en-AU"/>
              </w:rPr>
            </w:pPr>
            <w:r w:rsidRPr="003A1363">
              <w:rPr>
                <w:sz w:val="20"/>
                <w:szCs w:val="20"/>
                <w:lang w:val="en-AU"/>
              </w:rPr>
              <w:t>7 (4.6%)</w:t>
            </w:r>
          </w:p>
          <w:p w:rsidR="00083B4F" w:rsidRPr="00A019E2" w:rsidRDefault="003A1363" w:rsidP="002D0725">
            <w:pPr>
              <w:jc w:val="center"/>
              <w:rPr>
                <w:sz w:val="20"/>
                <w:szCs w:val="20"/>
                <w:lang w:val="en-AU"/>
              </w:rPr>
            </w:pPr>
            <w:r w:rsidRPr="003A1363">
              <w:rPr>
                <w:sz w:val="20"/>
                <w:szCs w:val="20"/>
                <w:lang w:val="en-AU"/>
              </w:rPr>
              <w:t>2 (1.3%)</w:t>
            </w:r>
          </w:p>
        </w:tc>
        <w:tc>
          <w:tcPr>
            <w:tcW w:w="1666" w:type="dxa"/>
            <w:tcBorders>
              <w:top w:val="single" w:sz="4" w:space="0" w:color="auto"/>
              <w:left w:val="single" w:sz="4" w:space="0" w:color="auto"/>
              <w:bottom w:val="single" w:sz="4" w:space="0" w:color="auto"/>
              <w:right w:val="single" w:sz="4" w:space="0" w:color="auto"/>
            </w:tcBorders>
          </w:tcPr>
          <w:p w:rsidR="00931805" w:rsidRPr="00A019E2" w:rsidRDefault="00931805">
            <w:pPr>
              <w:jc w:val="center"/>
              <w:rPr>
                <w:sz w:val="20"/>
                <w:szCs w:val="20"/>
                <w:lang w:val="en-AU"/>
              </w:rPr>
            </w:pPr>
          </w:p>
          <w:p w:rsidR="00083B4F" w:rsidRPr="00A019E2" w:rsidRDefault="00083B4F" w:rsidP="002D0725">
            <w:pPr>
              <w:jc w:val="center"/>
              <w:rPr>
                <w:sz w:val="20"/>
                <w:szCs w:val="20"/>
                <w:lang w:val="en-AU"/>
              </w:rPr>
            </w:pPr>
          </w:p>
          <w:p w:rsidR="00083B4F" w:rsidRPr="00A019E2" w:rsidRDefault="003A1363" w:rsidP="002D0725">
            <w:pPr>
              <w:jc w:val="center"/>
              <w:rPr>
                <w:sz w:val="20"/>
                <w:szCs w:val="20"/>
                <w:lang w:val="en-AU"/>
              </w:rPr>
            </w:pPr>
            <w:r w:rsidRPr="003A1363">
              <w:rPr>
                <w:sz w:val="20"/>
                <w:szCs w:val="20"/>
                <w:lang w:val="en-AU"/>
              </w:rPr>
              <w:t>48 (15.4%)</w:t>
            </w:r>
          </w:p>
          <w:p w:rsidR="00083B4F" w:rsidRPr="00A019E2" w:rsidRDefault="003A1363" w:rsidP="002D0725">
            <w:pPr>
              <w:jc w:val="center"/>
              <w:rPr>
                <w:sz w:val="20"/>
                <w:szCs w:val="20"/>
                <w:lang w:val="en-AU"/>
              </w:rPr>
            </w:pPr>
            <w:r w:rsidRPr="003A1363">
              <w:rPr>
                <w:sz w:val="20"/>
                <w:szCs w:val="20"/>
                <w:lang w:val="en-AU"/>
              </w:rPr>
              <w:t>21 (6.7%)</w:t>
            </w:r>
          </w:p>
          <w:p w:rsidR="00083B4F" w:rsidRPr="00A019E2" w:rsidRDefault="003A1363" w:rsidP="002D0725">
            <w:pPr>
              <w:jc w:val="center"/>
              <w:rPr>
                <w:sz w:val="20"/>
                <w:szCs w:val="20"/>
                <w:lang w:val="en-AU"/>
              </w:rPr>
            </w:pPr>
            <w:r w:rsidRPr="003A1363">
              <w:rPr>
                <w:sz w:val="20"/>
                <w:szCs w:val="20"/>
                <w:lang w:val="en-AU"/>
              </w:rPr>
              <w:t>21 (6.7%)</w:t>
            </w:r>
          </w:p>
          <w:p w:rsidR="00083B4F" w:rsidRPr="00A019E2" w:rsidRDefault="003A1363" w:rsidP="002D0725">
            <w:pPr>
              <w:jc w:val="center"/>
              <w:rPr>
                <w:sz w:val="20"/>
                <w:szCs w:val="20"/>
                <w:lang w:val="en-AU"/>
              </w:rPr>
            </w:pPr>
            <w:r w:rsidRPr="003A1363">
              <w:rPr>
                <w:sz w:val="20"/>
                <w:szCs w:val="20"/>
                <w:lang w:val="en-AU"/>
              </w:rPr>
              <w:t>11 (3.5%)</w:t>
            </w:r>
          </w:p>
        </w:tc>
      </w:tr>
      <w:tr w:rsidR="00083B4F" w:rsidRPr="00A019E2" w:rsidTr="002D0725">
        <w:tc>
          <w:tcPr>
            <w:tcW w:w="4077" w:type="dxa"/>
            <w:tcBorders>
              <w:top w:val="single" w:sz="4" w:space="0" w:color="auto"/>
            </w:tcBorders>
          </w:tcPr>
          <w:p w:rsidR="00083B4F" w:rsidRPr="00A019E2" w:rsidRDefault="003A1363" w:rsidP="00703F2B">
            <w:pPr>
              <w:keepNext/>
              <w:keepLines/>
              <w:widowControl w:val="0"/>
              <w:autoSpaceDE w:val="0"/>
              <w:autoSpaceDN w:val="0"/>
              <w:adjustRightInd w:val="0"/>
              <w:spacing w:after="0" w:line="196" w:lineRule="atLeast"/>
              <w:rPr>
                <w:b/>
                <w:sz w:val="20"/>
                <w:lang w:val="en-AU"/>
              </w:rPr>
            </w:pPr>
            <w:r w:rsidRPr="003A1363">
              <w:rPr>
                <w:b/>
                <w:sz w:val="20"/>
                <w:lang w:val="en-AU"/>
              </w:rPr>
              <w:t>Immune system disorders</w:t>
            </w:r>
          </w:p>
          <w:p w:rsidR="00703F2B" w:rsidRDefault="00703F2B" w:rsidP="00703F2B">
            <w:pPr>
              <w:keepNext/>
              <w:keepLines/>
              <w:widowControl w:val="0"/>
              <w:spacing w:after="0"/>
              <w:ind w:left="720"/>
              <w:jc w:val="center"/>
              <w:rPr>
                <w:sz w:val="20"/>
                <w:lang w:val="en-AU"/>
              </w:rPr>
            </w:pPr>
          </w:p>
          <w:p w:rsidR="00083B4F" w:rsidRPr="00A019E2" w:rsidRDefault="003A1363" w:rsidP="00703F2B">
            <w:pPr>
              <w:keepNext/>
              <w:keepLines/>
              <w:widowControl w:val="0"/>
              <w:spacing w:after="0"/>
              <w:ind w:left="720"/>
              <w:rPr>
                <w:sz w:val="20"/>
                <w:lang w:val="en-AU"/>
              </w:rPr>
            </w:pPr>
            <w:r w:rsidRPr="003A1363">
              <w:rPr>
                <w:sz w:val="20"/>
                <w:lang w:val="en-AU"/>
              </w:rPr>
              <w:t xml:space="preserve">Hypersensitivity </w:t>
            </w:r>
          </w:p>
        </w:tc>
        <w:tc>
          <w:tcPr>
            <w:tcW w:w="1843" w:type="dxa"/>
            <w:tcBorders>
              <w:top w:val="single" w:sz="4" w:space="0" w:color="auto"/>
            </w:tcBorders>
          </w:tcPr>
          <w:p w:rsidR="00083B4F" w:rsidRPr="00A019E2" w:rsidRDefault="00083B4F" w:rsidP="0038234D">
            <w:pPr>
              <w:rPr>
                <w:sz w:val="20"/>
                <w:lang w:val="en-AU"/>
              </w:rPr>
            </w:pPr>
          </w:p>
          <w:p w:rsidR="00083B4F" w:rsidRPr="00A019E2" w:rsidRDefault="003A1363" w:rsidP="006E1002">
            <w:pPr>
              <w:jc w:val="center"/>
              <w:rPr>
                <w:sz w:val="20"/>
                <w:lang w:val="en-AU"/>
              </w:rPr>
            </w:pPr>
            <w:r w:rsidRPr="003A1363">
              <w:rPr>
                <w:sz w:val="20"/>
                <w:lang w:val="en-AU"/>
              </w:rPr>
              <w:t>8 (5.0%)</w:t>
            </w:r>
          </w:p>
        </w:tc>
        <w:tc>
          <w:tcPr>
            <w:tcW w:w="1701" w:type="dxa"/>
            <w:tcBorders>
              <w:top w:val="single" w:sz="4" w:space="0" w:color="auto"/>
            </w:tcBorders>
          </w:tcPr>
          <w:p w:rsidR="006E1002" w:rsidRPr="00A019E2" w:rsidRDefault="006E1002" w:rsidP="0038234D">
            <w:pPr>
              <w:rPr>
                <w:sz w:val="20"/>
                <w:lang w:val="en-AU"/>
              </w:rPr>
            </w:pPr>
          </w:p>
          <w:p w:rsidR="006E1002" w:rsidRPr="00A019E2" w:rsidRDefault="003A1363" w:rsidP="006E1002">
            <w:pPr>
              <w:jc w:val="center"/>
              <w:rPr>
                <w:sz w:val="20"/>
                <w:lang w:val="en-AU"/>
              </w:rPr>
            </w:pPr>
            <w:r w:rsidRPr="003A1363">
              <w:rPr>
                <w:sz w:val="20"/>
                <w:lang w:val="en-AU"/>
              </w:rPr>
              <w:t>3 (2.0%)</w:t>
            </w:r>
          </w:p>
        </w:tc>
        <w:tc>
          <w:tcPr>
            <w:tcW w:w="1666" w:type="dxa"/>
            <w:tcBorders>
              <w:top w:val="single" w:sz="4" w:space="0" w:color="auto"/>
            </w:tcBorders>
          </w:tcPr>
          <w:p w:rsidR="006E1002" w:rsidRPr="00A019E2" w:rsidRDefault="006E1002" w:rsidP="0038234D">
            <w:pPr>
              <w:rPr>
                <w:sz w:val="20"/>
                <w:lang w:val="en-AU"/>
              </w:rPr>
            </w:pPr>
          </w:p>
          <w:p w:rsidR="006E1002" w:rsidRPr="00A019E2" w:rsidRDefault="003A1363" w:rsidP="006E1002">
            <w:pPr>
              <w:jc w:val="center"/>
              <w:rPr>
                <w:sz w:val="20"/>
                <w:lang w:val="en-AU"/>
              </w:rPr>
            </w:pPr>
            <w:r w:rsidRPr="003A1363">
              <w:rPr>
                <w:sz w:val="20"/>
                <w:lang w:val="en-AU"/>
              </w:rPr>
              <w:t>11 (3.5%)</w:t>
            </w:r>
          </w:p>
        </w:tc>
      </w:tr>
      <w:tr w:rsidR="00083B4F" w:rsidRPr="00A019E2" w:rsidTr="00CA4B9C">
        <w:tc>
          <w:tcPr>
            <w:tcW w:w="4077" w:type="dxa"/>
          </w:tcPr>
          <w:p w:rsidR="00083B4F" w:rsidRPr="00A019E2" w:rsidRDefault="003A1363">
            <w:pPr>
              <w:autoSpaceDE w:val="0"/>
              <w:autoSpaceDN w:val="0"/>
              <w:adjustRightInd w:val="0"/>
              <w:spacing w:line="196" w:lineRule="atLeast"/>
              <w:rPr>
                <w:b/>
                <w:sz w:val="20"/>
                <w:lang w:val="en-AU"/>
              </w:rPr>
            </w:pPr>
            <w:r w:rsidRPr="003A1363">
              <w:rPr>
                <w:b/>
                <w:sz w:val="20"/>
                <w:lang w:val="en-AU"/>
              </w:rPr>
              <w:t>Infections &amp; infestations</w:t>
            </w:r>
          </w:p>
          <w:p w:rsidR="006E1002" w:rsidRPr="00A019E2" w:rsidRDefault="003A1363" w:rsidP="0038234D">
            <w:pPr>
              <w:ind w:left="720"/>
              <w:rPr>
                <w:sz w:val="20"/>
                <w:lang w:val="en-AU"/>
              </w:rPr>
            </w:pPr>
            <w:r w:rsidRPr="003A1363">
              <w:rPr>
                <w:sz w:val="20"/>
                <w:lang w:val="en-AU"/>
              </w:rPr>
              <w:t>Nasopharyngitis</w:t>
            </w:r>
          </w:p>
          <w:p w:rsidR="006E1002" w:rsidRPr="00A019E2" w:rsidRDefault="003A1363" w:rsidP="0038234D">
            <w:pPr>
              <w:ind w:left="720"/>
              <w:rPr>
                <w:sz w:val="20"/>
                <w:lang w:val="en-AU"/>
              </w:rPr>
            </w:pPr>
            <w:r w:rsidRPr="003A1363">
              <w:rPr>
                <w:sz w:val="20"/>
                <w:lang w:val="en-AU"/>
              </w:rPr>
              <w:t>Infection</w:t>
            </w:r>
          </w:p>
        </w:tc>
        <w:tc>
          <w:tcPr>
            <w:tcW w:w="1843" w:type="dxa"/>
          </w:tcPr>
          <w:p w:rsidR="006E1002" w:rsidRPr="00A019E2" w:rsidRDefault="006E1002" w:rsidP="0038234D">
            <w:pPr>
              <w:rPr>
                <w:sz w:val="20"/>
                <w:lang w:val="en-AU"/>
              </w:rPr>
            </w:pPr>
          </w:p>
          <w:p w:rsidR="006E1002" w:rsidRPr="00A019E2" w:rsidRDefault="003A1363" w:rsidP="006E1002">
            <w:pPr>
              <w:jc w:val="center"/>
              <w:rPr>
                <w:sz w:val="20"/>
                <w:lang w:val="en-AU"/>
              </w:rPr>
            </w:pPr>
            <w:r w:rsidRPr="003A1363">
              <w:rPr>
                <w:sz w:val="20"/>
                <w:lang w:val="en-AU"/>
              </w:rPr>
              <w:t>11 (6.8%)</w:t>
            </w:r>
          </w:p>
          <w:p w:rsidR="006E1002" w:rsidRPr="00A019E2" w:rsidRDefault="003A1363" w:rsidP="006E1002">
            <w:pPr>
              <w:jc w:val="center"/>
              <w:rPr>
                <w:sz w:val="20"/>
                <w:lang w:val="en-AU"/>
              </w:rPr>
            </w:pPr>
            <w:r w:rsidRPr="003A1363">
              <w:rPr>
                <w:sz w:val="20"/>
                <w:lang w:val="en-AU"/>
              </w:rPr>
              <w:t>10 (6.2%)</w:t>
            </w:r>
          </w:p>
        </w:tc>
        <w:tc>
          <w:tcPr>
            <w:tcW w:w="1701" w:type="dxa"/>
          </w:tcPr>
          <w:p w:rsidR="006E1002" w:rsidRPr="00A019E2" w:rsidRDefault="006E1002" w:rsidP="0038234D">
            <w:pPr>
              <w:rPr>
                <w:sz w:val="20"/>
                <w:lang w:val="en-AU"/>
              </w:rPr>
            </w:pPr>
          </w:p>
          <w:p w:rsidR="006E1002" w:rsidRPr="00A019E2" w:rsidRDefault="003A1363" w:rsidP="006E1002">
            <w:pPr>
              <w:jc w:val="center"/>
              <w:rPr>
                <w:sz w:val="20"/>
                <w:lang w:val="en-AU"/>
              </w:rPr>
            </w:pPr>
            <w:r w:rsidRPr="003A1363">
              <w:rPr>
                <w:sz w:val="20"/>
                <w:lang w:val="en-AU"/>
              </w:rPr>
              <w:t>11 (7.3%)</w:t>
            </w:r>
          </w:p>
          <w:p w:rsidR="006E1002" w:rsidRPr="00A019E2" w:rsidRDefault="003A1363" w:rsidP="006E1002">
            <w:pPr>
              <w:jc w:val="center"/>
              <w:rPr>
                <w:sz w:val="20"/>
                <w:lang w:val="en-AU"/>
              </w:rPr>
            </w:pPr>
            <w:r w:rsidRPr="003A1363">
              <w:rPr>
                <w:sz w:val="20"/>
                <w:lang w:val="en-AU"/>
              </w:rPr>
              <w:t>2 (1.3%)</w:t>
            </w:r>
          </w:p>
        </w:tc>
        <w:tc>
          <w:tcPr>
            <w:tcW w:w="1666" w:type="dxa"/>
          </w:tcPr>
          <w:p w:rsidR="006E1002" w:rsidRPr="00A019E2" w:rsidRDefault="006E1002" w:rsidP="0038234D">
            <w:pPr>
              <w:rPr>
                <w:sz w:val="20"/>
                <w:lang w:val="en-AU"/>
              </w:rPr>
            </w:pPr>
          </w:p>
          <w:p w:rsidR="006E1002" w:rsidRPr="00A019E2" w:rsidRDefault="003A1363" w:rsidP="006E1002">
            <w:pPr>
              <w:jc w:val="center"/>
              <w:rPr>
                <w:sz w:val="20"/>
                <w:lang w:val="en-AU"/>
              </w:rPr>
            </w:pPr>
            <w:r w:rsidRPr="003A1363">
              <w:rPr>
                <w:sz w:val="20"/>
                <w:lang w:val="en-AU"/>
              </w:rPr>
              <w:t>22 (7.1%)</w:t>
            </w:r>
          </w:p>
          <w:p w:rsidR="006E1002" w:rsidRPr="00A019E2" w:rsidRDefault="003A1363" w:rsidP="006E1002">
            <w:pPr>
              <w:jc w:val="center"/>
              <w:rPr>
                <w:sz w:val="20"/>
                <w:lang w:val="en-AU"/>
              </w:rPr>
            </w:pPr>
            <w:r w:rsidRPr="003A1363">
              <w:rPr>
                <w:sz w:val="20"/>
                <w:lang w:val="en-AU"/>
              </w:rPr>
              <w:t>12 (3.8%)</w:t>
            </w:r>
          </w:p>
        </w:tc>
      </w:tr>
      <w:tr w:rsidR="00083B4F" w:rsidRPr="00A019E2" w:rsidTr="00CA4B9C">
        <w:tc>
          <w:tcPr>
            <w:tcW w:w="4077" w:type="dxa"/>
          </w:tcPr>
          <w:p w:rsidR="00083B4F" w:rsidRPr="00A019E2" w:rsidRDefault="003A1363">
            <w:pPr>
              <w:autoSpaceDE w:val="0"/>
              <w:autoSpaceDN w:val="0"/>
              <w:adjustRightInd w:val="0"/>
              <w:spacing w:line="196" w:lineRule="atLeast"/>
              <w:rPr>
                <w:b/>
                <w:sz w:val="20"/>
                <w:lang w:val="en-AU"/>
              </w:rPr>
            </w:pPr>
            <w:r w:rsidRPr="003A1363">
              <w:rPr>
                <w:b/>
                <w:sz w:val="20"/>
                <w:lang w:val="en-AU"/>
              </w:rPr>
              <w:lastRenderedPageBreak/>
              <w:t>Investigations</w:t>
            </w:r>
          </w:p>
          <w:p w:rsidR="006E1002" w:rsidRPr="00A019E2" w:rsidRDefault="003A1363" w:rsidP="0038234D">
            <w:pPr>
              <w:ind w:left="720"/>
              <w:rPr>
                <w:sz w:val="20"/>
                <w:lang w:val="en-AU"/>
              </w:rPr>
            </w:pPr>
            <w:r w:rsidRPr="003A1363">
              <w:rPr>
                <w:sz w:val="20"/>
                <w:lang w:val="en-AU"/>
              </w:rPr>
              <w:t>Weight decreased</w:t>
            </w:r>
          </w:p>
        </w:tc>
        <w:tc>
          <w:tcPr>
            <w:tcW w:w="1843" w:type="dxa"/>
          </w:tcPr>
          <w:p w:rsidR="00083B4F" w:rsidRPr="00A019E2" w:rsidRDefault="00083B4F" w:rsidP="006E1002">
            <w:pPr>
              <w:jc w:val="center"/>
              <w:rPr>
                <w:sz w:val="20"/>
                <w:lang w:val="en-AU"/>
              </w:rPr>
            </w:pPr>
          </w:p>
          <w:p w:rsidR="006E1002" w:rsidRPr="00A019E2" w:rsidRDefault="003A1363" w:rsidP="006E1002">
            <w:pPr>
              <w:jc w:val="center"/>
              <w:rPr>
                <w:sz w:val="20"/>
                <w:lang w:val="en-AU"/>
              </w:rPr>
            </w:pPr>
            <w:r w:rsidRPr="003A1363">
              <w:rPr>
                <w:sz w:val="20"/>
                <w:lang w:val="en-AU"/>
              </w:rPr>
              <w:t>9 (5.6%)</w:t>
            </w:r>
          </w:p>
        </w:tc>
        <w:tc>
          <w:tcPr>
            <w:tcW w:w="1701" w:type="dxa"/>
          </w:tcPr>
          <w:p w:rsidR="00083B4F" w:rsidRPr="00A019E2" w:rsidRDefault="00083B4F" w:rsidP="006E1002">
            <w:pPr>
              <w:jc w:val="center"/>
              <w:rPr>
                <w:sz w:val="20"/>
                <w:lang w:val="en-AU"/>
              </w:rPr>
            </w:pPr>
          </w:p>
          <w:p w:rsidR="006E1002" w:rsidRPr="00A019E2" w:rsidRDefault="003A1363" w:rsidP="006E1002">
            <w:pPr>
              <w:jc w:val="center"/>
              <w:rPr>
                <w:sz w:val="20"/>
                <w:lang w:val="en-AU"/>
              </w:rPr>
            </w:pPr>
            <w:r w:rsidRPr="003A1363">
              <w:rPr>
                <w:sz w:val="20"/>
                <w:lang w:val="en-AU"/>
              </w:rPr>
              <w:t>5 (3.3%)</w:t>
            </w:r>
          </w:p>
        </w:tc>
        <w:tc>
          <w:tcPr>
            <w:tcW w:w="1666" w:type="dxa"/>
          </w:tcPr>
          <w:p w:rsidR="00083B4F" w:rsidRPr="00A019E2" w:rsidRDefault="00083B4F" w:rsidP="006E1002">
            <w:pPr>
              <w:jc w:val="center"/>
              <w:rPr>
                <w:sz w:val="20"/>
                <w:lang w:val="en-AU"/>
              </w:rPr>
            </w:pPr>
          </w:p>
          <w:p w:rsidR="006E1002" w:rsidRPr="00A019E2" w:rsidRDefault="003A1363" w:rsidP="006E1002">
            <w:pPr>
              <w:jc w:val="center"/>
              <w:rPr>
                <w:sz w:val="20"/>
                <w:lang w:val="en-AU"/>
              </w:rPr>
            </w:pPr>
            <w:r w:rsidRPr="003A1363">
              <w:rPr>
                <w:sz w:val="20"/>
                <w:lang w:val="en-AU"/>
              </w:rPr>
              <w:t>14 (4.5%)</w:t>
            </w:r>
          </w:p>
        </w:tc>
      </w:tr>
      <w:tr w:rsidR="00083B4F" w:rsidRPr="00A019E2" w:rsidTr="00CA4B9C">
        <w:tc>
          <w:tcPr>
            <w:tcW w:w="4077" w:type="dxa"/>
          </w:tcPr>
          <w:p w:rsidR="00083B4F" w:rsidRPr="00A019E2" w:rsidRDefault="003A1363">
            <w:pPr>
              <w:autoSpaceDE w:val="0"/>
              <w:autoSpaceDN w:val="0"/>
              <w:adjustRightInd w:val="0"/>
              <w:spacing w:line="196" w:lineRule="atLeast"/>
              <w:rPr>
                <w:b/>
                <w:sz w:val="20"/>
                <w:lang w:val="en-AU"/>
              </w:rPr>
            </w:pPr>
            <w:r w:rsidRPr="003A1363">
              <w:rPr>
                <w:b/>
                <w:sz w:val="20"/>
                <w:lang w:val="en-AU"/>
              </w:rPr>
              <w:t>Metabolism &amp; nutrition disorders</w:t>
            </w:r>
          </w:p>
          <w:p w:rsidR="006E1002" w:rsidRPr="00A019E2" w:rsidRDefault="003A1363" w:rsidP="0038234D">
            <w:pPr>
              <w:ind w:left="720"/>
              <w:rPr>
                <w:sz w:val="20"/>
                <w:lang w:val="en-AU"/>
              </w:rPr>
            </w:pPr>
            <w:r w:rsidRPr="003A1363">
              <w:rPr>
                <w:sz w:val="20"/>
                <w:lang w:val="en-AU"/>
              </w:rPr>
              <w:t>Hyperuricaemia</w:t>
            </w:r>
          </w:p>
        </w:tc>
        <w:tc>
          <w:tcPr>
            <w:tcW w:w="1843" w:type="dxa"/>
          </w:tcPr>
          <w:p w:rsidR="006E1002" w:rsidRPr="00A019E2" w:rsidRDefault="006E1002" w:rsidP="0038234D">
            <w:pPr>
              <w:rPr>
                <w:sz w:val="20"/>
                <w:lang w:val="en-AU"/>
              </w:rPr>
            </w:pPr>
          </w:p>
          <w:p w:rsidR="006E1002" w:rsidRPr="00A019E2" w:rsidRDefault="003A1363" w:rsidP="006E1002">
            <w:pPr>
              <w:jc w:val="center"/>
              <w:rPr>
                <w:sz w:val="20"/>
                <w:lang w:val="en-AU"/>
              </w:rPr>
            </w:pPr>
            <w:r w:rsidRPr="003A1363">
              <w:rPr>
                <w:sz w:val="20"/>
                <w:lang w:val="en-AU"/>
              </w:rPr>
              <w:t>12 (7.5%)</w:t>
            </w:r>
          </w:p>
        </w:tc>
        <w:tc>
          <w:tcPr>
            <w:tcW w:w="1701" w:type="dxa"/>
          </w:tcPr>
          <w:p w:rsidR="006E1002" w:rsidRPr="00A019E2" w:rsidRDefault="006E1002" w:rsidP="0038234D">
            <w:pPr>
              <w:rPr>
                <w:sz w:val="20"/>
                <w:lang w:val="en-AU"/>
              </w:rPr>
            </w:pPr>
          </w:p>
          <w:p w:rsidR="006E1002" w:rsidRPr="00A019E2" w:rsidRDefault="003A1363" w:rsidP="006E1002">
            <w:pPr>
              <w:jc w:val="center"/>
              <w:rPr>
                <w:sz w:val="20"/>
                <w:lang w:val="en-AU"/>
              </w:rPr>
            </w:pPr>
            <w:r w:rsidRPr="003A1363">
              <w:rPr>
                <w:sz w:val="20"/>
                <w:lang w:val="en-AU"/>
              </w:rPr>
              <w:t>2 (1.3%)</w:t>
            </w:r>
          </w:p>
        </w:tc>
        <w:tc>
          <w:tcPr>
            <w:tcW w:w="1666" w:type="dxa"/>
          </w:tcPr>
          <w:p w:rsidR="006E1002" w:rsidRPr="00A019E2" w:rsidRDefault="006E1002" w:rsidP="0038234D">
            <w:pPr>
              <w:rPr>
                <w:sz w:val="20"/>
                <w:lang w:val="en-AU"/>
              </w:rPr>
            </w:pPr>
          </w:p>
          <w:p w:rsidR="006E1002" w:rsidRPr="00A019E2" w:rsidRDefault="003A1363" w:rsidP="006E1002">
            <w:pPr>
              <w:jc w:val="center"/>
              <w:rPr>
                <w:sz w:val="20"/>
                <w:lang w:val="en-AU"/>
              </w:rPr>
            </w:pPr>
            <w:r w:rsidRPr="003A1363">
              <w:rPr>
                <w:sz w:val="20"/>
                <w:lang w:val="en-AU"/>
              </w:rPr>
              <w:t>14 (4.5%)</w:t>
            </w:r>
          </w:p>
        </w:tc>
      </w:tr>
      <w:tr w:rsidR="006E1002" w:rsidRPr="00A019E2" w:rsidTr="002D0725">
        <w:trPr>
          <w:trHeight w:val="1045"/>
        </w:trPr>
        <w:tc>
          <w:tcPr>
            <w:tcW w:w="4077" w:type="dxa"/>
          </w:tcPr>
          <w:p w:rsidR="006E1002" w:rsidRPr="00A019E2" w:rsidRDefault="003A1363">
            <w:pPr>
              <w:autoSpaceDE w:val="0"/>
              <w:autoSpaceDN w:val="0"/>
              <w:adjustRightInd w:val="0"/>
              <w:spacing w:line="196" w:lineRule="atLeast"/>
              <w:rPr>
                <w:b/>
                <w:sz w:val="20"/>
                <w:lang w:val="en-AU"/>
              </w:rPr>
            </w:pPr>
            <w:r w:rsidRPr="003A1363">
              <w:rPr>
                <w:b/>
                <w:sz w:val="20"/>
                <w:lang w:val="en-AU"/>
              </w:rPr>
              <w:t>Respiratory, thoracic &amp; mediastinal disorders</w:t>
            </w:r>
          </w:p>
          <w:p w:rsidR="006E1002" w:rsidRPr="00A019E2" w:rsidRDefault="003A1363" w:rsidP="0038234D">
            <w:pPr>
              <w:ind w:left="720"/>
              <w:rPr>
                <w:sz w:val="20"/>
                <w:lang w:val="en-AU"/>
              </w:rPr>
            </w:pPr>
            <w:r w:rsidRPr="003A1363">
              <w:rPr>
                <w:sz w:val="20"/>
                <w:lang w:val="en-AU"/>
              </w:rPr>
              <w:t xml:space="preserve">Cough </w:t>
            </w:r>
          </w:p>
        </w:tc>
        <w:tc>
          <w:tcPr>
            <w:tcW w:w="1843" w:type="dxa"/>
          </w:tcPr>
          <w:p w:rsidR="006E1002" w:rsidRPr="00A019E2" w:rsidRDefault="006E1002" w:rsidP="006E1002">
            <w:pPr>
              <w:jc w:val="center"/>
              <w:rPr>
                <w:sz w:val="20"/>
                <w:lang w:val="en-AU"/>
              </w:rPr>
            </w:pPr>
          </w:p>
          <w:p w:rsidR="006E1002" w:rsidRPr="00A019E2" w:rsidRDefault="003A1363" w:rsidP="002D0725">
            <w:pPr>
              <w:rPr>
                <w:sz w:val="20"/>
                <w:lang w:val="en-AU"/>
              </w:rPr>
            </w:pPr>
            <w:r w:rsidRPr="003A1363">
              <w:rPr>
                <w:sz w:val="20"/>
                <w:lang w:val="en-AU"/>
              </w:rPr>
              <w:t>10 (6.2%)</w:t>
            </w:r>
          </w:p>
        </w:tc>
        <w:tc>
          <w:tcPr>
            <w:tcW w:w="1701" w:type="dxa"/>
          </w:tcPr>
          <w:p w:rsidR="006E1002" w:rsidRPr="00A019E2" w:rsidRDefault="006E1002" w:rsidP="006E1002">
            <w:pPr>
              <w:jc w:val="center"/>
              <w:rPr>
                <w:sz w:val="20"/>
                <w:lang w:val="en-AU"/>
              </w:rPr>
            </w:pPr>
          </w:p>
          <w:p w:rsidR="006E1002" w:rsidRPr="00A019E2" w:rsidRDefault="003A1363" w:rsidP="002D0725">
            <w:pPr>
              <w:rPr>
                <w:sz w:val="20"/>
                <w:lang w:val="en-AU"/>
              </w:rPr>
            </w:pPr>
            <w:r w:rsidRPr="003A1363">
              <w:rPr>
                <w:sz w:val="20"/>
                <w:lang w:val="en-AU"/>
              </w:rPr>
              <w:t>7 (4.6%)</w:t>
            </w:r>
          </w:p>
        </w:tc>
        <w:tc>
          <w:tcPr>
            <w:tcW w:w="1666" w:type="dxa"/>
          </w:tcPr>
          <w:p w:rsidR="006E1002" w:rsidRPr="00A019E2" w:rsidRDefault="006E1002" w:rsidP="006E1002">
            <w:pPr>
              <w:jc w:val="center"/>
              <w:rPr>
                <w:sz w:val="20"/>
                <w:lang w:val="en-AU"/>
              </w:rPr>
            </w:pPr>
          </w:p>
          <w:p w:rsidR="006E1002" w:rsidRPr="00A019E2" w:rsidRDefault="003A1363" w:rsidP="002D0725">
            <w:pPr>
              <w:rPr>
                <w:sz w:val="20"/>
                <w:lang w:val="en-AU"/>
              </w:rPr>
            </w:pPr>
            <w:r w:rsidRPr="003A1363">
              <w:rPr>
                <w:sz w:val="20"/>
                <w:lang w:val="en-AU"/>
              </w:rPr>
              <w:t>17 (5.4%)</w:t>
            </w:r>
          </w:p>
        </w:tc>
      </w:tr>
      <w:tr w:rsidR="006E1002" w:rsidRPr="00A019E2" w:rsidTr="00CA4B9C">
        <w:tc>
          <w:tcPr>
            <w:tcW w:w="4077" w:type="dxa"/>
          </w:tcPr>
          <w:p w:rsidR="006E1002" w:rsidRPr="00A019E2" w:rsidRDefault="003A1363">
            <w:pPr>
              <w:autoSpaceDE w:val="0"/>
              <w:autoSpaceDN w:val="0"/>
              <w:adjustRightInd w:val="0"/>
              <w:spacing w:line="196" w:lineRule="atLeast"/>
              <w:rPr>
                <w:b/>
                <w:sz w:val="20"/>
                <w:lang w:val="en-AU"/>
              </w:rPr>
            </w:pPr>
            <w:r w:rsidRPr="003A1363">
              <w:rPr>
                <w:b/>
                <w:sz w:val="20"/>
                <w:lang w:val="en-AU"/>
              </w:rPr>
              <w:t>Skin &amp; subcutaneous tissue disorders</w:t>
            </w:r>
          </w:p>
          <w:p w:rsidR="006E1002" w:rsidRPr="00A019E2" w:rsidRDefault="003A1363" w:rsidP="0038234D">
            <w:pPr>
              <w:ind w:left="720"/>
              <w:rPr>
                <w:sz w:val="20"/>
                <w:lang w:val="en-AU"/>
              </w:rPr>
            </w:pPr>
            <w:r w:rsidRPr="003A1363">
              <w:rPr>
                <w:sz w:val="20"/>
                <w:lang w:val="en-AU"/>
              </w:rPr>
              <w:t>Rash</w:t>
            </w:r>
          </w:p>
          <w:p w:rsidR="006E1002" w:rsidRPr="00A019E2" w:rsidRDefault="003A1363" w:rsidP="0038234D">
            <w:pPr>
              <w:ind w:left="720"/>
              <w:rPr>
                <w:sz w:val="20"/>
                <w:lang w:val="en-AU"/>
              </w:rPr>
            </w:pPr>
            <w:r w:rsidRPr="003A1363">
              <w:rPr>
                <w:sz w:val="20"/>
                <w:lang w:val="en-AU"/>
              </w:rPr>
              <w:t xml:space="preserve">Pruritus </w:t>
            </w:r>
          </w:p>
        </w:tc>
        <w:tc>
          <w:tcPr>
            <w:tcW w:w="1843" w:type="dxa"/>
          </w:tcPr>
          <w:p w:rsidR="006E1002" w:rsidRPr="00A019E2" w:rsidRDefault="006E1002" w:rsidP="0038234D">
            <w:pPr>
              <w:rPr>
                <w:sz w:val="20"/>
                <w:lang w:val="en-AU"/>
              </w:rPr>
            </w:pPr>
          </w:p>
          <w:p w:rsidR="006E1002" w:rsidRPr="00A019E2" w:rsidRDefault="003A1363" w:rsidP="006E1002">
            <w:pPr>
              <w:jc w:val="center"/>
              <w:rPr>
                <w:sz w:val="20"/>
                <w:lang w:val="en-AU"/>
              </w:rPr>
            </w:pPr>
            <w:r w:rsidRPr="003A1363">
              <w:rPr>
                <w:sz w:val="20"/>
                <w:lang w:val="en-AU"/>
              </w:rPr>
              <w:t>15 (9.3%)</w:t>
            </w:r>
          </w:p>
          <w:p w:rsidR="006E1002" w:rsidRPr="00A019E2" w:rsidRDefault="003A1363" w:rsidP="006E1002">
            <w:pPr>
              <w:jc w:val="center"/>
              <w:rPr>
                <w:sz w:val="20"/>
                <w:lang w:val="en-AU"/>
              </w:rPr>
            </w:pPr>
            <w:r w:rsidRPr="003A1363">
              <w:rPr>
                <w:sz w:val="20"/>
                <w:lang w:val="en-AU"/>
              </w:rPr>
              <w:t>8 (5.0%)</w:t>
            </w:r>
          </w:p>
        </w:tc>
        <w:tc>
          <w:tcPr>
            <w:tcW w:w="1701" w:type="dxa"/>
          </w:tcPr>
          <w:p w:rsidR="006E1002" w:rsidRPr="00A019E2" w:rsidRDefault="006E1002" w:rsidP="0038234D">
            <w:pPr>
              <w:rPr>
                <w:sz w:val="20"/>
                <w:lang w:val="en-AU"/>
              </w:rPr>
            </w:pPr>
          </w:p>
          <w:p w:rsidR="006E1002" w:rsidRPr="00A019E2" w:rsidRDefault="003A1363" w:rsidP="006E1002">
            <w:pPr>
              <w:jc w:val="center"/>
              <w:rPr>
                <w:sz w:val="20"/>
                <w:lang w:val="en-AU"/>
              </w:rPr>
            </w:pPr>
            <w:r w:rsidRPr="003A1363">
              <w:rPr>
                <w:sz w:val="20"/>
                <w:lang w:val="en-AU"/>
              </w:rPr>
              <w:t>7 (4.6%)</w:t>
            </w:r>
          </w:p>
          <w:p w:rsidR="006E1002" w:rsidRPr="00A019E2" w:rsidRDefault="003A1363" w:rsidP="006E1002">
            <w:pPr>
              <w:jc w:val="center"/>
              <w:rPr>
                <w:sz w:val="20"/>
                <w:lang w:val="en-AU"/>
              </w:rPr>
            </w:pPr>
            <w:r w:rsidRPr="003A1363">
              <w:rPr>
                <w:sz w:val="20"/>
                <w:lang w:val="en-AU"/>
              </w:rPr>
              <w:t>4 (2.6%)</w:t>
            </w:r>
          </w:p>
        </w:tc>
        <w:tc>
          <w:tcPr>
            <w:tcW w:w="1666" w:type="dxa"/>
          </w:tcPr>
          <w:p w:rsidR="006E1002" w:rsidRPr="00A019E2" w:rsidRDefault="006E1002" w:rsidP="0038234D">
            <w:pPr>
              <w:rPr>
                <w:sz w:val="20"/>
                <w:lang w:val="en-AU"/>
              </w:rPr>
            </w:pPr>
          </w:p>
          <w:p w:rsidR="006E1002" w:rsidRPr="00A019E2" w:rsidRDefault="003A1363" w:rsidP="006E1002">
            <w:pPr>
              <w:jc w:val="center"/>
              <w:rPr>
                <w:sz w:val="20"/>
                <w:lang w:val="en-AU"/>
              </w:rPr>
            </w:pPr>
            <w:r w:rsidRPr="003A1363">
              <w:rPr>
                <w:sz w:val="20"/>
                <w:lang w:val="en-AU"/>
              </w:rPr>
              <w:t>22 (7.1%)</w:t>
            </w:r>
          </w:p>
          <w:p w:rsidR="006E1002" w:rsidRPr="00A019E2" w:rsidRDefault="003A1363" w:rsidP="006E1002">
            <w:pPr>
              <w:jc w:val="center"/>
              <w:rPr>
                <w:sz w:val="20"/>
                <w:lang w:val="en-AU"/>
              </w:rPr>
            </w:pPr>
            <w:r w:rsidRPr="003A1363">
              <w:rPr>
                <w:sz w:val="20"/>
                <w:lang w:val="en-AU"/>
              </w:rPr>
              <w:t>12 (3.8%)</w:t>
            </w:r>
          </w:p>
        </w:tc>
      </w:tr>
    </w:tbl>
    <w:p w:rsidR="00CA4B9C" w:rsidRPr="00A019E2" w:rsidRDefault="003A1363">
      <w:pPr>
        <w:rPr>
          <w:sz w:val="20"/>
          <w:lang w:val="en-AU"/>
        </w:rPr>
      </w:pPr>
      <w:r w:rsidRPr="003A1363">
        <w:rPr>
          <w:sz w:val="18"/>
          <w:szCs w:val="18"/>
          <w:lang w:val="en-AU"/>
        </w:rPr>
        <w:t>Note: Patients are counted only once in each preferred term category and only once in each system organ class. Within each system organ class preferred terms were sorted descending according the frequency in the BEN group</w:t>
      </w:r>
      <w:r w:rsidRPr="003A1363">
        <w:rPr>
          <w:sz w:val="20"/>
          <w:lang w:val="en-AU"/>
        </w:rPr>
        <w:t>.</w:t>
      </w:r>
    </w:p>
    <w:p w:rsidR="00CA4B9C" w:rsidRPr="00A019E2" w:rsidRDefault="003A1363" w:rsidP="00CA4B9C">
      <w:pPr>
        <w:rPr>
          <w:lang w:val="en-AU"/>
        </w:rPr>
      </w:pPr>
      <w:r w:rsidRPr="003A1363">
        <w:rPr>
          <w:lang w:val="en-AU"/>
        </w:rPr>
        <w:t xml:space="preserve">A total of 50 patients had 60 serious adverse events. Most frequently occurring serious adverse events in the bendamustine group were hypersensitivity and pneumonia (each with 3 patients) and </w:t>
      </w:r>
      <w:r w:rsidR="00FF3C28" w:rsidRPr="00A019E2">
        <w:rPr>
          <w:lang w:val="en-AU"/>
        </w:rPr>
        <w:t>anaemia</w:t>
      </w:r>
      <w:r w:rsidRPr="003A1363">
        <w:rPr>
          <w:lang w:val="en-AU"/>
        </w:rPr>
        <w:t>, vomiting, pyrexia and tumour lysis syndrome (each with 2 patients). Most frequent documented serious adverse event in the chlorambucil group was herpes zoster (with 2 patients). All other events were documented only once by patient.</w:t>
      </w:r>
    </w:p>
    <w:p w:rsidR="008008E1" w:rsidRPr="00A019E2" w:rsidRDefault="003A1363" w:rsidP="00CA4B9C">
      <w:pPr>
        <w:rPr>
          <w:b/>
          <w:sz w:val="20"/>
          <w:lang w:val="en-AU"/>
        </w:rPr>
      </w:pPr>
      <w:r w:rsidRPr="003A1363">
        <w:rPr>
          <w:b/>
          <w:sz w:val="20"/>
          <w:lang w:val="en-AU"/>
        </w:rPr>
        <w:t>Table 7: Serious adverse events by system organ class and preferred term – safety population</w:t>
      </w:r>
    </w:p>
    <w:tbl>
      <w:tblPr>
        <w:tblStyle w:val="TableGrid"/>
        <w:tblW w:w="0" w:type="auto"/>
        <w:tblLook w:val="04A0" w:firstRow="1" w:lastRow="0" w:firstColumn="1" w:lastColumn="0" w:noHBand="0" w:noVBand="1"/>
      </w:tblPr>
      <w:tblGrid>
        <w:gridCol w:w="4503"/>
        <w:gridCol w:w="1559"/>
        <w:gridCol w:w="1701"/>
        <w:gridCol w:w="1524"/>
      </w:tblGrid>
      <w:tr w:rsidR="00CA4B9C" w:rsidRPr="00A019E2" w:rsidTr="00CA4B9C">
        <w:tc>
          <w:tcPr>
            <w:tcW w:w="4503" w:type="dxa"/>
          </w:tcPr>
          <w:p w:rsidR="00CA4B9C" w:rsidRPr="00A019E2" w:rsidRDefault="003A1363" w:rsidP="00CA4B9C">
            <w:pPr>
              <w:rPr>
                <w:b/>
                <w:sz w:val="20"/>
                <w:lang w:val="en-AU"/>
              </w:rPr>
            </w:pPr>
            <w:r w:rsidRPr="003A1363">
              <w:rPr>
                <w:b/>
                <w:sz w:val="20"/>
                <w:lang w:val="en-AU"/>
              </w:rPr>
              <w:t>System Organ Class</w:t>
            </w:r>
          </w:p>
          <w:p w:rsidR="00CA4B9C" w:rsidRPr="00A019E2" w:rsidRDefault="003A1363" w:rsidP="00CA4B9C">
            <w:pPr>
              <w:rPr>
                <w:b/>
                <w:sz w:val="20"/>
                <w:lang w:val="en-AU"/>
              </w:rPr>
            </w:pPr>
            <w:r w:rsidRPr="003A1363">
              <w:rPr>
                <w:b/>
                <w:sz w:val="20"/>
                <w:lang w:val="en-AU"/>
              </w:rPr>
              <w:t>Preferred Term</w:t>
            </w:r>
          </w:p>
        </w:tc>
        <w:tc>
          <w:tcPr>
            <w:tcW w:w="1559" w:type="dxa"/>
          </w:tcPr>
          <w:p w:rsidR="00CA4B9C" w:rsidRPr="00A019E2" w:rsidRDefault="003A1363" w:rsidP="0038234D">
            <w:pPr>
              <w:jc w:val="center"/>
              <w:rPr>
                <w:b/>
                <w:sz w:val="20"/>
                <w:lang w:val="en-AU"/>
              </w:rPr>
            </w:pPr>
            <w:r w:rsidRPr="003A1363">
              <w:rPr>
                <w:b/>
                <w:sz w:val="20"/>
                <w:lang w:val="en-AU"/>
              </w:rPr>
              <w:t>BEN</w:t>
            </w:r>
          </w:p>
          <w:p w:rsidR="00CA4B9C" w:rsidRPr="00A019E2" w:rsidRDefault="003A1363" w:rsidP="0038234D">
            <w:pPr>
              <w:jc w:val="center"/>
              <w:rPr>
                <w:b/>
                <w:sz w:val="20"/>
                <w:lang w:val="en-AU"/>
              </w:rPr>
            </w:pPr>
            <w:r w:rsidRPr="003A1363">
              <w:rPr>
                <w:b/>
                <w:sz w:val="20"/>
                <w:lang w:val="en-AU"/>
              </w:rPr>
              <w:t>(N=161)</w:t>
            </w:r>
          </w:p>
        </w:tc>
        <w:tc>
          <w:tcPr>
            <w:tcW w:w="1701" w:type="dxa"/>
          </w:tcPr>
          <w:p w:rsidR="00CA4B9C" w:rsidRPr="00A019E2" w:rsidRDefault="003A1363" w:rsidP="0038234D">
            <w:pPr>
              <w:jc w:val="center"/>
              <w:rPr>
                <w:b/>
                <w:sz w:val="20"/>
                <w:lang w:val="en-AU"/>
              </w:rPr>
            </w:pPr>
            <w:r w:rsidRPr="003A1363">
              <w:rPr>
                <w:b/>
                <w:sz w:val="20"/>
                <w:lang w:val="en-AU"/>
              </w:rPr>
              <w:t>CLB</w:t>
            </w:r>
          </w:p>
          <w:p w:rsidR="00CA4B9C" w:rsidRPr="00A019E2" w:rsidRDefault="003A1363" w:rsidP="0038234D">
            <w:pPr>
              <w:jc w:val="center"/>
              <w:rPr>
                <w:b/>
                <w:sz w:val="20"/>
                <w:lang w:val="en-AU"/>
              </w:rPr>
            </w:pPr>
            <w:r w:rsidRPr="003A1363">
              <w:rPr>
                <w:b/>
                <w:sz w:val="20"/>
                <w:lang w:val="en-AU"/>
              </w:rPr>
              <w:t>(N=151)</w:t>
            </w:r>
          </w:p>
        </w:tc>
        <w:tc>
          <w:tcPr>
            <w:tcW w:w="1524" w:type="dxa"/>
          </w:tcPr>
          <w:p w:rsidR="00CA4B9C" w:rsidRPr="00A019E2" w:rsidRDefault="003A1363" w:rsidP="0038234D">
            <w:pPr>
              <w:jc w:val="center"/>
              <w:rPr>
                <w:b/>
                <w:sz w:val="20"/>
                <w:lang w:val="en-AU"/>
              </w:rPr>
            </w:pPr>
            <w:r w:rsidRPr="003A1363">
              <w:rPr>
                <w:b/>
                <w:sz w:val="20"/>
                <w:lang w:val="en-AU"/>
              </w:rPr>
              <w:t>Total</w:t>
            </w:r>
          </w:p>
          <w:p w:rsidR="00CA4B9C" w:rsidRPr="00A019E2" w:rsidRDefault="003A1363" w:rsidP="0038234D">
            <w:pPr>
              <w:jc w:val="center"/>
              <w:rPr>
                <w:b/>
                <w:sz w:val="20"/>
                <w:lang w:val="en-AU"/>
              </w:rPr>
            </w:pPr>
            <w:r w:rsidRPr="003A1363">
              <w:rPr>
                <w:b/>
                <w:sz w:val="20"/>
                <w:lang w:val="en-AU"/>
              </w:rPr>
              <w:t>(N=312)</w:t>
            </w:r>
          </w:p>
        </w:tc>
      </w:tr>
      <w:tr w:rsidR="00CA4B9C" w:rsidRPr="00A019E2" w:rsidTr="00CA4B9C">
        <w:tc>
          <w:tcPr>
            <w:tcW w:w="4503" w:type="dxa"/>
          </w:tcPr>
          <w:p w:rsidR="00CA4B9C" w:rsidRPr="00A019E2" w:rsidRDefault="003A1363" w:rsidP="00CA4B9C">
            <w:pPr>
              <w:rPr>
                <w:b/>
                <w:sz w:val="20"/>
                <w:lang w:val="en-AU"/>
              </w:rPr>
            </w:pPr>
            <w:r w:rsidRPr="003A1363">
              <w:rPr>
                <w:b/>
                <w:sz w:val="20"/>
                <w:lang w:val="en-AU"/>
              </w:rPr>
              <w:t>Blood &amp; lymphatic system disorders</w:t>
            </w:r>
          </w:p>
        </w:tc>
        <w:tc>
          <w:tcPr>
            <w:tcW w:w="1559" w:type="dxa"/>
          </w:tcPr>
          <w:p w:rsidR="00CA4B9C" w:rsidRPr="00A019E2" w:rsidRDefault="003A1363" w:rsidP="0038234D">
            <w:pPr>
              <w:autoSpaceDE w:val="0"/>
              <w:autoSpaceDN w:val="0"/>
              <w:adjustRightInd w:val="0"/>
              <w:spacing w:line="196" w:lineRule="atLeast"/>
              <w:jc w:val="center"/>
              <w:rPr>
                <w:b/>
                <w:sz w:val="20"/>
                <w:lang w:val="en-AU"/>
              </w:rPr>
            </w:pPr>
            <w:r w:rsidRPr="003A1363">
              <w:rPr>
                <w:b/>
                <w:sz w:val="20"/>
                <w:lang w:val="en-AU"/>
              </w:rPr>
              <w:t>5 (3.1%)</w:t>
            </w:r>
          </w:p>
        </w:tc>
        <w:tc>
          <w:tcPr>
            <w:tcW w:w="1701" w:type="dxa"/>
          </w:tcPr>
          <w:p w:rsidR="00CA4B9C" w:rsidRPr="00A019E2" w:rsidRDefault="003A1363" w:rsidP="0038234D">
            <w:pPr>
              <w:autoSpaceDE w:val="0"/>
              <w:autoSpaceDN w:val="0"/>
              <w:adjustRightInd w:val="0"/>
              <w:spacing w:line="196" w:lineRule="atLeast"/>
              <w:jc w:val="center"/>
              <w:rPr>
                <w:b/>
                <w:sz w:val="20"/>
                <w:lang w:val="en-AU"/>
              </w:rPr>
            </w:pPr>
            <w:r w:rsidRPr="003A1363">
              <w:rPr>
                <w:b/>
                <w:sz w:val="20"/>
                <w:lang w:val="en-AU"/>
              </w:rPr>
              <w:t>1 (0.7%)</w:t>
            </w:r>
          </w:p>
        </w:tc>
        <w:tc>
          <w:tcPr>
            <w:tcW w:w="1524" w:type="dxa"/>
          </w:tcPr>
          <w:p w:rsidR="00CA4B9C" w:rsidRPr="00A019E2" w:rsidRDefault="003A1363" w:rsidP="0038234D">
            <w:pPr>
              <w:autoSpaceDE w:val="0"/>
              <w:autoSpaceDN w:val="0"/>
              <w:adjustRightInd w:val="0"/>
              <w:spacing w:line="196" w:lineRule="atLeast"/>
              <w:jc w:val="center"/>
              <w:rPr>
                <w:b/>
                <w:sz w:val="20"/>
                <w:lang w:val="en-AU"/>
              </w:rPr>
            </w:pPr>
            <w:r w:rsidRPr="003A1363">
              <w:rPr>
                <w:b/>
                <w:sz w:val="20"/>
                <w:lang w:val="en-AU"/>
              </w:rPr>
              <w:t>6 (1.9%)</w:t>
            </w:r>
          </w:p>
        </w:tc>
      </w:tr>
      <w:tr w:rsidR="00CA4B9C" w:rsidRPr="00A019E2" w:rsidTr="00CA4B9C">
        <w:tc>
          <w:tcPr>
            <w:tcW w:w="4503" w:type="dxa"/>
          </w:tcPr>
          <w:p w:rsidR="00CA4B9C" w:rsidRPr="00A019E2" w:rsidRDefault="003A1363" w:rsidP="0038234D">
            <w:pPr>
              <w:autoSpaceDE w:val="0"/>
              <w:autoSpaceDN w:val="0"/>
              <w:adjustRightInd w:val="0"/>
              <w:spacing w:line="196" w:lineRule="atLeast"/>
              <w:ind w:left="720"/>
              <w:rPr>
                <w:sz w:val="20"/>
                <w:lang w:val="en-AU"/>
              </w:rPr>
            </w:pPr>
            <w:r w:rsidRPr="003A1363">
              <w:rPr>
                <w:sz w:val="20"/>
                <w:lang w:val="en-AU"/>
              </w:rPr>
              <w:t>Anaemia</w:t>
            </w:r>
          </w:p>
        </w:tc>
        <w:tc>
          <w:tcPr>
            <w:tcW w:w="1559" w:type="dxa"/>
          </w:tcPr>
          <w:p w:rsidR="00CA4B9C" w:rsidRPr="00A019E2" w:rsidRDefault="003A1363" w:rsidP="0038234D">
            <w:pPr>
              <w:autoSpaceDE w:val="0"/>
              <w:autoSpaceDN w:val="0"/>
              <w:adjustRightInd w:val="0"/>
              <w:spacing w:line="196" w:lineRule="atLeast"/>
              <w:jc w:val="center"/>
              <w:rPr>
                <w:sz w:val="20"/>
                <w:lang w:val="en-AU"/>
              </w:rPr>
            </w:pPr>
            <w:r w:rsidRPr="003A1363">
              <w:rPr>
                <w:sz w:val="20"/>
                <w:lang w:val="en-AU"/>
              </w:rPr>
              <w:t>2 (1.2%)</w:t>
            </w:r>
          </w:p>
        </w:tc>
        <w:tc>
          <w:tcPr>
            <w:tcW w:w="1701" w:type="dxa"/>
          </w:tcPr>
          <w:p w:rsidR="00CA4B9C"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CA4B9C" w:rsidRPr="00A019E2" w:rsidRDefault="003A1363" w:rsidP="0038234D">
            <w:pPr>
              <w:autoSpaceDE w:val="0"/>
              <w:autoSpaceDN w:val="0"/>
              <w:adjustRightInd w:val="0"/>
              <w:spacing w:line="196" w:lineRule="atLeast"/>
              <w:jc w:val="center"/>
              <w:rPr>
                <w:sz w:val="20"/>
                <w:lang w:val="en-AU"/>
              </w:rPr>
            </w:pPr>
            <w:r w:rsidRPr="003A1363">
              <w:rPr>
                <w:sz w:val="20"/>
                <w:lang w:val="en-AU"/>
              </w:rPr>
              <w:t>2 (0.6%)</w:t>
            </w:r>
          </w:p>
        </w:tc>
      </w:tr>
      <w:tr w:rsidR="00CA4B9C" w:rsidRPr="00A019E2" w:rsidTr="00CA4B9C">
        <w:tc>
          <w:tcPr>
            <w:tcW w:w="4503" w:type="dxa"/>
          </w:tcPr>
          <w:p w:rsidR="00CA4B9C" w:rsidRPr="00A019E2" w:rsidRDefault="003A1363" w:rsidP="0038234D">
            <w:pPr>
              <w:autoSpaceDE w:val="0"/>
              <w:autoSpaceDN w:val="0"/>
              <w:adjustRightInd w:val="0"/>
              <w:spacing w:line="196" w:lineRule="atLeast"/>
              <w:ind w:left="720"/>
              <w:rPr>
                <w:sz w:val="20"/>
                <w:lang w:val="en-AU"/>
              </w:rPr>
            </w:pPr>
            <w:r w:rsidRPr="003A1363">
              <w:rPr>
                <w:sz w:val="20"/>
                <w:lang w:val="en-AU"/>
              </w:rPr>
              <w:t xml:space="preserve">Anaemia haemolytic autoimmune </w:t>
            </w:r>
          </w:p>
        </w:tc>
        <w:tc>
          <w:tcPr>
            <w:tcW w:w="1559" w:type="dxa"/>
          </w:tcPr>
          <w:p w:rsidR="00CA4B9C"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CA4B9C"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CA4B9C"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2E17D9" w:rsidRPr="00A019E2" w:rsidTr="00CA4B9C">
        <w:tc>
          <w:tcPr>
            <w:tcW w:w="4503" w:type="dxa"/>
          </w:tcPr>
          <w:p w:rsidR="002E17D9" w:rsidRPr="00A019E2" w:rsidRDefault="003A1363" w:rsidP="0038234D">
            <w:pPr>
              <w:autoSpaceDE w:val="0"/>
              <w:autoSpaceDN w:val="0"/>
              <w:adjustRightInd w:val="0"/>
              <w:spacing w:line="196" w:lineRule="atLeast"/>
              <w:ind w:left="720"/>
              <w:rPr>
                <w:sz w:val="20"/>
                <w:lang w:val="en-AU"/>
              </w:rPr>
            </w:pPr>
            <w:r w:rsidRPr="003A1363">
              <w:rPr>
                <w:sz w:val="20"/>
                <w:lang w:val="en-AU"/>
              </w:rPr>
              <w:t xml:space="preserve">Autoimmune thrombocytopenia </w:t>
            </w:r>
          </w:p>
        </w:tc>
        <w:tc>
          <w:tcPr>
            <w:tcW w:w="1559"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2E17D9" w:rsidRPr="00A019E2" w:rsidTr="00CA4B9C">
        <w:tc>
          <w:tcPr>
            <w:tcW w:w="4503" w:type="dxa"/>
          </w:tcPr>
          <w:p w:rsidR="002E17D9" w:rsidRPr="00A019E2" w:rsidRDefault="003A1363" w:rsidP="0038234D">
            <w:pPr>
              <w:autoSpaceDE w:val="0"/>
              <w:autoSpaceDN w:val="0"/>
              <w:adjustRightInd w:val="0"/>
              <w:spacing w:line="196" w:lineRule="atLeast"/>
              <w:ind w:left="720"/>
              <w:rPr>
                <w:sz w:val="20"/>
                <w:lang w:val="en-AU"/>
              </w:rPr>
            </w:pPr>
            <w:r w:rsidRPr="003A1363">
              <w:rPr>
                <w:sz w:val="20"/>
                <w:lang w:val="en-AU"/>
              </w:rPr>
              <w:t>Haemolysis</w:t>
            </w:r>
          </w:p>
        </w:tc>
        <w:tc>
          <w:tcPr>
            <w:tcW w:w="1559"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2E17D9" w:rsidRPr="00A019E2" w:rsidTr="00CA4B9C">
        <w:tc>
          <w:tcPr>
            <w:tcW w:w="4503" w:type="dxa"/>
          </w:tcPr>
          <w:p w:rsidR="002E17D9" w:rsidRPr="00A019E2" w:rsidRDefault="003A1363" w:rsidP="0038234D">
            <w:pPr>
              <w:autoSpaceDE w:val="0"/>
              <w:autoSpaceDN w:val="0"/>
              <w:adjustRightInd w:val="0"/>
              <w:spacing w:line="196" w:lineRule="atLeast"/>
              <w:ind w:left="720"/>
              <w:rPr>
                <w:sz w:val="20"/>
                <w:lang w:val="en-AU"/>
              </w:rPr>
            </w:pPr>
            <w:r w:rsidRPr="003A1363">
              <w:rPr>
                <w:sz w:val="20"/>
                <w:lang w:val="en-AU"/>
              </w:rPr>
              <w:t>Pancytopaenia</w:t>
            </w:r>
          </w:p>
        </w:tc>
        <w:tc>
          <w:tcPr>
            <w:tcW w:w="1559"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CA4B9C" w:rsidRPr="00A019E2" w:rsidTr="00CA4B9C">
        <w:tc>
          <w:tcPr>
            <w:tcW w:w="4503" w:type="dxa"/>
          </w:tcPr>
          <w:p w:rsidR="00CA4B9C" w:rsidRPr="00A019E2" w:rsidRDefault="003A1363" w:rsidP="0038234D">
            <w:pPr>
              <w:autoSpaceDE w:val="0"/>
              <w:autoSpaceDN w:val="0"/>
              <w:adjustRightInd w:val="0"/>
              <w:spacing w:line="196" w:lineRule="atLeast"/>
              <w:ind w:left="720"/>
              <w:rPr>
                <w:sz w:val="20"/>
                <w:lang w:val="en-AU"/>
              </w:rPr>
            </w:pPr>
            <w:r w:rsidRPr="003A1363">
              <w:rPr>
                <w:sz w:val="20"/>
                <w:lang w:val="en-AU"/>
              </w:rPr>
              <w:t>Haemolytic anaemia</w:t>
            </w:r>
          </w:p>
        </w:tc>
        <w:tc>
          <w:tcPr>
            <w:tcW w:w="1559" w:type="dxa"/>
          </w:tcPr>
          <w:p w:rsidR="00CA4B9C"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CA4B9C"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CA4B9C"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2E17D9" w:rsidRPr="00A019E2" w:rsidTr="00CA4B9C">
        <w:tc>
          <w:tcPr>
            <w:tcW w:w="4503" w:type="dxa"/>
          </w:tcPr>
          <w:p w:rsidR="002E17D9" w:rsidRPr="00A019E2" w:rsidRDefault="003A1363" w:rsidP="00CA4B9C">
            <w:pPr>
              <w:autoSpaceDE w:val="0"/>
              <w:autoSpaceDN w:val="0"/>
              <w:adjustRightInd w:val="0"/>
              <w:spacing w:line="196" w:lineRule="atLeast"/>
              <w:rPr>
                <w:b/>
                <w:sz w:val="20"/>
                <w:lang w:val="en-AU"/>
              </w:rPr>
            </w:pPr>
            <w:r w:rsidRPr="003A1363">
              <w:rPr>
                <w:b/>
                <w:sz w:val="20"/>
                <w:lang w:val="en-AU"/>
              </w:rPr>
              <w:t>Cardiac disorders</w:t>
            </w:r>
          </w:p>
        </w:tc>
        <w:tc>
          <w:tcPr>
            <w:tcW w:w="1559" w:type="dxa"/>
          </w:tcPr>
          <w:p w:rsidR="002E17D9" w:rsidRPr="00A019E2" w:rsidRDefault="003A1363" w:rsidP="0038234D">
            <w:pPr>
              <w:autoSpaceDE w:val="0"/>
              <w:autoSpaceDN w:val="0"/>
              <w:adjustRightInd w:val="0"/>
              <w:spacing w:line="196" w:lineRule="atLeast"/>
              <w:jc w:val="center"/>
              <w:rPr>
                <w:b/>
                <w:sz w:val="20"/>
                <w:lang w:val="en-AU"/>
              </w:rPr>
            </w:pPr>
            <w:r w:rsidRPr="003A1363">
              <w:rPr>
                <w:b/>
                <w:sz w:val="20"/>
                <w:lang w:val="en-AU"/>
              </w:rPr>
              <w:t>1 (0.6%)</w:t>
            </w:r>
          </w:p>
        </w:tc>
        <w:tc>
          <w:tcPr>
            <w:tcW w:w="1701" w:type="dxa"/>
          </w:tcPr>
          <w:p w:rsidR="002E17D9" w:rsidRPr="00A019E2" w:rsidRDefault="003A1363" w:rsidP="0038234D">
            <w:pPr>
              <w:autoSpaceDE w:val="0"/>
              <w:autoSpaceDN w:val="0"/>
              <w:adjustRightInd w:val="0"/>
              <w:spacing w:line="196" w:lineRule="atLeast"/>
              <w:jc w:val="center"/>
              <w:rPr>
                <w:b/>
                <w:sz w:val="20"/>
                <w:lang w:val="en-AU"/>
              </w:rPr>
            </w:pPr>
            <w:r w:rsidRPr="003A1363">
              <w:rPr>
                <w:b/>
                <w:sz w:val="20"/>
                <w:lang w:val="en-AU"/>
              </w:rPr>
              <w:t>1 (0.7%)</w:t>
            </w:r>
          </w:p>
        </w:tc>
        <w:tc>
          <w:tcPr>
            <w:tcW w:w="1524" w:type="dxa"/>
          </w:tcPr>
          <w:p w:rsidR="002E17D9" w:rsidRPr="00A019E2" w:rsidRDefault="003A1363" w:rsidP="0038234D">
            <w:pPr>
              <w:autoSpaceDE w:val="0"/>
              <w:autoSpaceDN w:val="0"/>
              <w:adjustRightInd w:val="0"/>
              <w:spacing w:line="196" w:lineRule="atLeast"/>
              <w:jc w:val="center"/>
              <w:rPr>
                <w:b/>
                <w:sz w:val="20"/>
                <w:lang w:val="en-AU"/>
              </w:rPr>
            </w:pPr>
            <w:r w:rsidRPr="003A1363">
              <w:rPr>
                <w:b/>
                <w:sz w:val="20"/>
                <w:lang w:val="en-AU"/>
              </w:rPr>
              <w:t>2 (0.6%)</w:t>
            </w:r>
          </w:p>
        </w:tc>
      </w:tr>
      <w:tr w:rsidR="002E17D9" w:rsidRPr="00A019E2" w:rsidTr="00CA4B9C">
        <w:tc>
          <w:tcPr>
            <w:tcW w:w="4503" w:type="dxa"/>
          </w:tcPr>
          <w:p w:rsidR="002E17D9" w:rsidRPr="00A019E2" w:rsidRDefault="003A1363" w:rsidP="0038234D">
            <w:pPr>
              <w:autoSpaceDE w:val="0"/>
              <w:autoSpaceDN w:val="0"/>
              <w:adjustRightInd w:val="0"/>
              <w:spacing w:line="196" w:lineRule="atLeast"/>
              <w:ind w:left="720"/>
              <w:rPr>
                <w:sz w:val="20"/>
                <w:lang w:val="en-AU"/>
              </w:rPr>
            </w:pPr>
            <w:r w:rsidRPr="003A1363">
              <w:rPr>
                <w:sz w:val="20"/>
                <w:lang w:val="en-AU"/>
              </w:rPr>
              <w:t>Myocardial infarction</w:t>
            </w:r>
          </w:p>
        </w:tc>
        <w:tc>
          <w:tcPr>
            <w:tcW w:w="1559"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2E17D9" w:rsidRPr="00A019E2" w:rsidTr="00CA4B9C">
        <w:tc>
          <w:tcPr>
            <w:tcW w:w="4503" w:type="dxa"/>
          </w:tcPr>
          <w:p w:rsidR="002E17D9" w:rsidRPr="00A019E2" w:rsidRDefault="003A1363" w:rsidP="0038234D">
            <w:pPr>
              <w:autoSpaceDE w:val="0"/>
              <w:autoSpaceDN w:val="0"/>
              <w:adjustRightInd w:val="0"/>
              <w:spacing w:line="196" w:lineRule="atLeast"/>
              <w:ind w:left="720"/>
              <w:rPr>
                <w:sz w:val="20"/>
                <w:lang w:val="en-AU"/>
              </w:rPr>
            </w:pPr>
            <w:r w:rsidRPr="003A1363">
              <w:rPr>
                <w:sz w:val="20"/>
                <w:lang w:val="en-AU"/>
              </w:rPr>
              <w:t>Cardiac failure</w:t>
            </w:r>
          </w:p>
        </w:tc>
        <w:tc>
          <w:tcPr>
            <w:tcW w:w="1559"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2E17D9" w:rsidRPr="00A019E2" w:rsidTr="00CA4B9C">
        <w:tc>
          <w:tcPr>
            <w:tcW w:w="4503" w:type="dxa"/>
          </w:tcPr>
          <w:p w:rsidR="002E17D9" w:rsidRPr="00A019E2" w:rsidRDefault="003A1363" w:rsidP="00CA4B9C">
            <w:pPr>
              <w:autoSpaceDE w:val="0"/>
              <w:autoSpaceDN w:val="0"/>
              <w:adjustRightInd w:val="0"/>
              <w:spacing w:line="196" w:lineRule="atLeast"/>
              <w:rPr>
                <w:b/>
                <w:sz w:val="20"/>
                <w:lang w:val="en-AU"/>
              </w:rPr>
            </w:pPr>
            <w:r w:rsidRPr="003A1363">
              <w:rPr>
                <w:b/>
                <w:sz w:val="20"/>
                <w:lang w:val="en-AU"/>
              </w:rPr>
              <w:lastRenderedPageBreak/>
              <w:t>Eye disorders</w:t>
            </w:r>
          </w:p>
        </w:tc>
        <w:tc>
          <w:tcPr>
            <w:tcW w:w="1559" w:type="dxa"/>
          </w:tcPr>
          <w:p w:rsidR="002E17D9" w:rsidRPr="00A019E2" w:rsidRDefault="003A1363" w:rsidP="0038234D">
            <w:pPr>
              <w:autoSpaceDE w:val="0"/>
              <w:autoSpaceDN w:val="0"/>
              <w:adjustRightInd w:val="0"/>
              <w:spacing w:line="196" w:lineRule="atLeast"/>
              <w:jc w:val="center"/>
              <w:rPr>
                <w:b/>
                <w:sz w:val="20"/>
                <w:lang w:val="en-AU"/>
              </w:rPr>
            </w:pPr>
            <w:r w:rsidRPr="003A1363">
              <w:rPr>
                <w:b/>
                <w:sz w:val="20"/>
                <w:lang w:val="en-AU"/>
              </w:rPr>
              <w:t>1 (0.6%)</w:t>
            </w:r>
          </w:p>
        </w:tc>
        <w:tc>
          <w:tcPr>
            <w:tcW w:w="1701" w:type="dxa"/>
          </w:tcPr>
          <w:p w:rsidR="002E17D9" w:rsidRPr="00A019E2" w:rsidRDefault="003A1363" w:rsidP="0038234D">
            <w:pPr>
              <w:autoSpaceDE w:val="0"/>
              <w:autoSpaceDN w:val="0"/>
              <w:adjustRightInd w:val="0"/>
              <w:spacing w:line="196" w:lineRule="atLeast"/>
              <w:jc w:val="center"/>
              <w:rPr>
                <w:b/>
                <w:sz w:val="20"/>
                <w:lang w:val="en-AU"/>
              </w:rPr>
            </w:pPr>
            <w:r w:rsidRPr="003A1363">
              <w:rPr>
                <w:b/>
                <w:sz w:val="20"/>
                <w:lang w:val="en-AU"/>
              </w:rPr>
              <w:t>0 (0.0%)</w:t>
            </w:r>
          </w:p>
        </w:tc>
        <w:tc>
          <w:tcPr>
            <w:tcW w:w="1524" w:type="dxa"/>
          </w:tcPr>
          <w:p w:rsidR="002E17D9" w:rsidRPr="00A019E2" w:rsidRDefault="003A1363" w:rsidP="0038234D">
            <w:pPr>
              <w:autoSpaceDE w:val="0"/>
              <w:autoSpaceDN w:val="0"/>
              <w:adjustRightInd w:val="0"/>
              <w:spacing w:line="196" w:lineRule="atLeast"/>
              <w:jc w:val="center"/>
              <w:rPr>
                <w:b/>
                <w:sz w:val="20"/>
                <w:lang w:val="en-AU"/>
              </w:rPr>
            </w:pPr>
            <w:r w:rsidRPr="003A1363">
              <w:rPr>
                <w:b/>
                <w:sz w:val="20"/>
                <w:lang w:val="en-AU"/>
              </w:rPr>
              <w:t>1 (0.3%)</w:t>
            </w:r>
          </w:p>
        </w:tc>
      </w:tr>
      <w:tr w:rsidR="002E17D9" w:rsidRPr="00A019E2" w:rsidTr="00CA4B9C">
        <w:tc>
          <w:tcPr>
            <w:tcW w:w="4503" w:type="dxa"/>
          </w:tcPr>
          <w:p w:rsidR="002E17D9" w:rsidRPr="00A019E2" w:rsidRDefault="003A1363" w:rsidP="0038234D">
            <w:pPr>
              <w:autoSpaceDE w:val="0"/>
              <w:autoSpaceDN w:val="0"/>
              <w:adjustRightInd w:val="0"/>
              <w:spacing w:line="196" w:lineRule="atLeast"/>
              <w:ind w:left="720"/>
              <w:rPr>
                <w:sz w:val="20"/>
                <w:lang w:val="en-AU"/>
              </w:rPr>
            </w:pPr>
            <w:r w:rsidRPr="003A1363">
              <w:rPr>
                <w:sz w:val="20"/>
                <w:lang w:val="en-AU"/>
              </w:rPr>
              <w:t>Retinal detachment</w:t>
            </w:r>
          </w:p>
        </w:tc>
        <w:tc>
          <w:tcPr>
            <w:tcW w:w="1559"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2E17D9" w:rsidRPr="00A019E2" w:rsidTr="00CA4B9C">
        <w:tc>
          <w:tcPr>
            <w:tcW w:w="4503" w:type="dxa"/>
          </w:tcPr>
          <w:p w:rsidR="002E17D9" w:rsidRPr="00A019E2" w:rsidRDefault="003A1363" w:rsidP="00CA4B9C">
            <w:pPr>
              <w:autoSpaceDE w:val="0"/>
              <w:autoSpaceDN w:val="0"/>
              <w:adjustRightInd w:val="0"/>
              <w:spacing w:line="196" w:lineRule="atLeast"/>
              <w:rPr>
                <w:b/>
                <w:sz w:val="20"/>
                <w:lang w:val="en-AU"/>
              </w:rPr>
            </w:pPr>
            <w:r w:rsidRPr="003A1363">
              <w:rPr>
                <w:b/>
                <w:sz w:val="20"/>
                <w:lang w:val="en-AU"/>
              </w:rPr>
              <w:t>Gastrointestinal disorders</w:t>
            </w:r>
          </w:p>
        </w:tc>
        <w:tc>
          <w:tcPr>
            <w:tcW w:w="1559" w:type="dxa"/>
          </w:tcPr>
          <w:p w:rsidR="002E17D9" w:rsidRPr="00A019E2" w:rsidRDefault="003A1363" w:rsidP="0038234D">
            <w:pPr>
              <w:autoSpaceDE w:val="0"/>
              <w:autoSpaceDN w:val="0"/>
              <w:adjustRightInd w:val="0"/>
              <w:spacing w:line="196" w:lineRule="atLeast"/>
              <w:jc w:val="center"/>
              <w:rPr>
                <w:b/>
                <w:sz w:val="20"/>
                <w:lang w:val="en-AU"/>
              </w:rPr>
            </w:pPr>
            <w:r w:rsidRPr="003A1363">
              <w:rPr>
                <w:b/>
                <w:sz w:val="20"/>
                <w:lang w:val="en-AU"/>
              </w:rPr>
              <w:t>2 (1.2%)</w:t>
            </w:r>
          </w:p>
        </w:tc>
        <w:tc>
          <w:tcPr>
            <w:tcW w:w="1701" w:type="dxa"/>
          </w:tcPr>
          <w:p w:rsidR="002E17D9" w:rsidRPr="00A019E2" w:rsidRDefault="003A1363" w:rsidP="0038234D">
            <w:pPr>
              <w:autoSpaceDE w:val="0"/>
              <w:autoSpaceDN w:val="0"/>
              <w:adjustRightInd w:val="0"/>
              <w:spacing w:line="196" w:lineRule="atLeast"/>
              <w:jc w:val="center"/>
              <w:rPr>
                <w:b/>
                <w:sz w:val="20"/>
                <w:lang w:val="en-AU"/>
              </w:rPr>
            </w:pPr>
            <w:r w:rsidRPr="003A1363">
              <w:rPr>
                <w:b/>
                <w:sz w:val="20"/>
                <w:lang w:val="en-AU"/>
              </w:rPr>
              <w:t>2 (1.3%)</w:t>
            </w:r>
          </w:p>
        </w:tc>
        <w:tc>
          <w:tcPr>
            <w:tcW w:w="1524" w:type="dxa"/>
          </w:tcPr>
          <w:p w:rsidR="002E17D9" w:rsidRPr="00A019E2" w:rsidRDefault="003A1363" w:rsidP="0038234D">
            <w:pPr>
              <w:autoSpaceDE w:val="0"/>
              <w:autoSpaceDN w:val="0"/>
              <w:adjustRightInd w:val="0"/>
              <w:spacing w:line="196" w:lineRule="atLeast"/>
              <w:jc w:val="center"/>
              <w:rPr>
                <w:b/>
                <w:sz w:val="20"/>
                <w:lang w:val="en-AU"/>
              </w:rPr>
            </w:pPr>
            <w:r w:rsidRPr="003A1363">
              <w:rPr>
                <w:b/>
                <w:sz w:val="20"/>
                <w:lang w:val="en-AU"/>
              </w:rPr>
              <w:t>4 (1.3%)</w:t>
            </w:r>
          </w:p>
        </w:tc>
      </w:tr>
      <w:tr w:rsidR="002E17D9" w:rsidRPr="00A019E2" w:rsidTr="00CA4B9C">
        <w:tc>
          <w:tcPr>
            <w:tcW w:w="4503" w:type="dxa"/>
          </w:tcPr>
          <w:p w:rsidR="002E17D9" w:rsidRPr="00A019E2" w:rsidRDefault="003A1363" w:rsidP="0038234D">
            <w:pPr>
              <w:autoSpaceDE w:val="0"/>
              <w:autoSpaceDN w:val="0"/>
              <w:adjustRightInd w:val="0"/>
              <w:spacing w:line="196" w:lineRule="atLeast"/>
              <w:ind w:left="720"/>
              <w:rPr>
                <w:sz w:val="20"/>
                <w:lang w:val="en-AU"/>
              </w:rPr>
            </w:pPr>
            <w:r w:rsidRPr="003A1363">
              <w:rPr>
                <w:sz w:val="20"/>
                <w:lang w:val="en-AU"/>
              </w:rPr>
              <w:t>Vomiting</w:t>
            </w:r>
          </w:p>
        </w:tc>
        <w:tc>
          <w:tcPr>
            <w:tcW w:w="1559"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2 (1.2%)</w:t>
            </w:r>
          </w:p>
        </w:tc>
        <w:tc>
          <w:tcPr>
            <w:tcW w:w="1701"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2 (0.6%)</w:t>
            </w:r>
          </w:p>
        </w:tc>
      </w:tr>
      <w:tr w:rsidR="002E17D9" w:rsidRPr="00A019E2" w:rsidTr="00CA4B9C">
        <w:tc>
          <w:tcPr>
            <w:tcW w:w="4503" w:type="dxa"/>
          </w:tcPr>
          <w:p w:rsidR="002E17D9" w:rsidRPr="00A019E2" w:rsidRDefault="003A1363" w:rsidP="0038234D">
            <w:pPr>
              <w:autoSpaceDE w:val="0"/>
              <w:autoSpaceDN w:val="0"/>
              <w:adjustRightInd w:val="0"/>
              <w:spacing w:line="196" w:lineRule="atLeast"/>
              <w:ind w:left="720"/>
              <w:rPr>
                <w:sz w:val="20"/>
                <w:lang w:val="en-AU"/>
              </w:rPr>
            </w:pPr>
            <w:r w:rsidRPr="003A1363">
              <w:rPr>
                <w:sz w:val="20"/>
                <w:lang w:val="en-AU"/>
              </w:rPr>
              <w:t>Abdominal pain</w:t>
            </w:r>
          </w:p>
        </w:tc>
        <w:tc>
          <w:tcPr>
            <w:tcW w:w="1559"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2E17D9" w:rsidRPr="00A019E2" w:rsidTr="00CA4B9C">
        <w:tc>
          <w:tcPr>
            <w:tcW w:w="4503" w:type="dxa"/>
          </w:tcPr>
          <w:p w:rsidR="002E17D9" w:rsidRPr="00A019E2" w:rsidRDefault="003A1363" w:rsidP="0038234D">
            <w:pPr>
              <w:autoSpaceDE w:val="0"/>
              <w:autoSpaceDN w:val="0"/>
              <w:adjustRightInd w:val="0"/>
              <w:spacing w:line="196" w:lineRule="atLeast"/>
              <w:ind w:left="720"/>
              <w:rPr>
                <w:sz w:val="20"/>
                <w:lang w:val="en-AU"/>
              </w:rPr>
            </w:pPr>
            <w:r w:rsidRPr="003A1363">
              <w:rPr>
                <w:sz w:val="20"/>
                <w:lang w:val="en-AU"/>
              </w:rPr>
              <w:t>Retroperitoneal haematoma</w:t>
            </w:r>
          </w:p>
        </w:tc>
        <w:tc>
          <w:tcPr>
            <w:tcW w:w="1559"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2E17D9"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2E17D9" w:rsidRPr="00A019E2" w:rsidTr="00CA4B9C">
        <w:tc>
          <w:tcPr>
            <w:tcW w:w="4503" w:type="dxa"/>
          </w:tcPr>
          <w:p w:rsidR="002E17D9" w:rsidRPr="00A019E2" w:rsidRDefault="003A1363" w:rsidP="00CA4B9C">
            <w:pPr>
              <w:autoSpaceDE w:val="0"/>
              <w:autoSpaceDN w:val="0"/>
              <w:adjustRightInd w:val="0"/>
              <w:spacing w:line="196" w:lineRule="atLeast"/>
              <w:rPr>
                <w:b/>
                <w:sz w:val="20"/>
                <w:lang w:val="en-AU"/>
              </w:rPr>
            </w:pPr>
            <w:r w:rsidRPr="003A1363">
              <w:rPr>
                <w:b/>
                <w:sz w:val="20"/>
                <w:lang w:val="en-AU"/>
              </w:rPr>
              <w:t>General disorders &amp; administration site conditions</w:t>
            </w:r>
          </w:p>
        </w:tc>
        <w:tc>
          <w:tcPr>
            <w:tcW w:w="1559" w:type="dxa"/>
          </w:tcPr>
          <w:p w:rsidR="002E17D9" w:rsidRPr="00A019E2" w:rsidRDefault="003A1363" w:rsidP="0038234D">
            <w:pPr>
              <w:autoSpaceDE w:val="0"/>
              <w:autoSpaceDN w:val="0"/>
              <w:adjustRightInd w:val="0"/>
              <w:spacing w:line="196" w:lineRule="atLeast"/>
              <w:jc w:val="center"/>
              <w:rPr>
                <w:b/>
                <w:sz w:val="20"/>
                <w:lang w:val="en-AU"/>
              </w:rPr>
            </w:pPr>
            <w:r w:rsidRPr="003A1363">
              <w:rPr>
                <w:b/>
                <w:sz w:val="20"/>
                <w:lang w:val="en-AU"/>
              </w:rPr>
              <w:t>4 (2.5%)</w:t>
            </w:r>
          </w:p>
        </w:tc>
        <w:tc>
          <w:tcPr>
            <w:tcW w:w="1701" w:type="dxa"/>
          </w:tcPr>
          <w:p w:rsidR="002E17D9" w:rsidRPr="00A019E2" w:rsidRDefault="003A1363" w:rsidP="0038234D">
            <w:pPr>
              <w:autoSpaceDE w:val="0"/>
              <w:autoSpaceDN w:val="0"/>
              <w:adjustRightInd w:val="0"/>
              <w:spacing w:line="196" w:lineRule="atLeast"/>
              <w:jc w:val="center"/>
              <w:rPr>
                <w:b/>
                <w:sz w:val="20"/>
                <w:lang w:val="en-AU"/>
              </w:rPr>
            </w:pPr>
            <w:r w:rsidRPr="003A1363">
              <w:rPr>
                <w:b/>
                <w:sz w:val="20"/>
                <w:lang w:val="en-AU"/>
              </w:rPr>
              <w:t>1 (0.7%)</w:t>
            </w:r>
          </w:p>
        </w:tc>
        <w:tc>
          <w:tcPr>
            <w:tcW w:w="1524" w:type="dxa"/>
          </w:tcPr>
          <w:p w:rsidR="002E17D9" w:rsidRPr="00A019E2" w:rsidRDefault="003A1363" w:rsidP="0038234D">
            <w:pPr>
              <w:autoSpaceDE w:val="0"/>
              <w:autoSpaceDN w:val="0"/>
              <w:adjustRightInd w:val="0"/>
              <w:spacing w:line="196" w:lineRule="atLeast"/>
              <w:jc w:val="center"/>
              <w:rPr>
                <w:b/>
                <w:sz w:val="20"/>
                <w:lang w:val="en-AU"/>
              </w:rPr>
            </w:pPr>
            <w:r w:rsidRPr="003A1363">
              <w:rPr>
                <w:b/>
                <w:sz w:val="20"/>
                <w:lang w:val="en-AU"/>
              </w:rPr>
              <w:t>5 (1.6%)</w:t>
            </w:r>
          </w:p>
        </w:tc>
      </w:tr>
      <w:tr w:rsidR="00770D85" w:rsidRPr="00A019E2" w:rsidTr="00CA4B9C">
        <w:tc>
          <w:tcPr>
            <w:tcW w:w="4503" w:type="dxa"/>
          </w:tcPr>
          <w:p w:rsidR="00770D85" w:rsidRPr="00A019E2" w:rsidRDefault="003A1363" w:rsidP="0038234D">
            <w:pPr>
              <w:autoSpaceDE w:val="0"/>
              <w:autoSpaceDN w:val="0"/>
              <w:adjustRightInd w:val="0"/>
              <w:spacing w:line="196" w:lineRule="atLeast"/>
              <w:ind w:left="720"/>
              <w:rPr>
                <w:sz w:val="20"/>
                <w:lang w:val="en-AU"/>
              </w:rPr>
            </w:pPr>
            <w:r w:rsidRPr="003A1363">
              <w:rPr>
                <w:sz w:val="20"/>
                <w:lang w:val="en-AU"/>
              </w:rPr>
              <w:t>Pyrexia</w:t>
            </w:r>
          </w:p>
        </w:tc>
        <w:tc>
          <w:tcPr>
            <w:tcW w:w="1559"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2 (1.2%)</w:t>
            </w:r>
          </w:p>
        </w:tc>
        <w:tc>
          <w:tcPr>
            <w:tcW w:w="1701"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3 (1.0%)</w:t>
            </w:r>
          </w:p>
        </w:tc>
      </w:tr>
      <w:tr w:rsidR="00770D85" w:rsidRPr="00A019E2" w:rsidTr="00CA4B9C">
        <w:tc>
          <w:tcPr>
            <w:tcW w:w="4503" w:type="dxa"/>
          </w:tcPr>
          <w:p w:rsidR="00770D85" w:rsidRPr="00A019E2" w:rsidRDefault="003A1363" w:rsidP="0038234D">
            <w:pPr>
              <w:autoSpaceDE w:val="0"/>
              <w:autoSpaceDN w:val="0"/>
              <w:adjustRightInd w:val="0"/>
              <w:spacing w:line="196" w:lineRule="atLeast"/>
              <w:ind w:left="720"/>
              <w:rPr>
                <w:sz w:val="20"/>
                <w:lang w:val="en-AU"/>
              </w:rPr>
            </w:pPr>
            <w:r w:rsidRPr="003A1363">
              <w:rPr>
                <w:sz w:val="20"/>
                <w:lang w:val="en-AU"/>
              </w:rPr>
              <w:t>Chest pain</w:t>
            </w:r>
          </w:p>
        </w:tc>
        <w:tc>
          <w:tcPr>
            <w:tcW w:w="1559"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770D85" w:rsidRPr="00A019E2" w:rsidTr="00CA4B9C">
        <w:tc>
          <w:tcPr>
            <w:tcW w:w="4503" w:type="dxa"/>
          </w:tcPr>
          <w:p w:rsidR="00770D85" w:rsidRPr="00A019E2" w:rsidRDefault="003A1363" w:rsidP="0038234D">
            <w:pPr>
              <w:autoSpaceDE w:val="0"/>
              <w:autoSpaceDN w:val="0"/>
              <w:adjustRightInd w:val="0"/>
              <w:spacing w:line="196" w:lineRule="atLeast"/>
              <w:ind w:left="720"/>
              <w:rPr>
                <w:sz w:val="20"/>
                <w:lang w:val="en-AU"/>
              </w:rPr>
            </w:pPr>
            <w:r w:rsidRPr="003A1363">
              <w:rPr>
                <w:sz w:val="20"/>
                <w:lang w:val="en-AU"/>
              </w:rPr>
              <w:t xml:space="preserve">General physical health deterioration </w:t>
            </w:r>
          </w:p>
        </w:tc>
        <w:tc>
          <w:tcPr>
            <w:tcW w:w="1559"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770D85" w:rsidRPr="00A019E2" w:rsidTr="00CA4B9C">
        <w:tc>
          <w:tcPr>
            <w:tcW w:w="4503" w:type="dxa"/>
          </w:tcPr>
          <w:p w:rsidR="00770D85" w:rsidRPr="00A019E2" w:rsidRDefault="003A1363" w:rsidP="00CA4B9C">
            <w:pPr>
              <w:autoSpaceDE w:val="0"/>
              <w:autoSpaceDN w:val="0"/>
              <w:adjustRightInd w:val="0"/>
              <w:spacing w:line="196" w:lineRule="atLeast"/>
              <w:rPr>
                <w:b/>
                <w:sz w:val="20"/>
                <w:lang w:val="en-AU"/>
              </w:rPr>
            </w:pPr>
            <w:r w:rsidRPr="003A1363">
              <w:rPr>
                <w:b/>
                <w:sz w:val="20"/>
                <w:lang w:val="en-AU"/>
              </w:rPr>
              <w:t>Hepatobiliary disorders</w:t>
            </w:r>
          </w:p>
        </w:tc>
        <w:tc>
          <w:tcPr>
            <w:tcW w:w="1559" w:type="dxa"/>
          </w:tcPr>
          <w:p w:rsidR="00770D85" w:rsidRPr="00A019E2" w:rsidRDefault="003A1363" w:rsidP="0038234D">
            <w:pPr>
              <w:autoSpaceDE w:val="0"/>
              <w:autoSpaceDN w:val="0"/>
              <w:adjustRightInd w:val="0"/>
              <w:spacing w:line="196" w:lineRule="atLeast"/>
              <w:jc w:val="center"/>
              <w:rPr>
                <w:b/>
                <w:sz w:val="20"/>
                <w:lang w:val="en-AU"/>
              </w:rPr>
            </w:pPr>
            <w:r w:rsidRPr="003A1363">
              <w:rPr>
                <w:b/>
                <w:sz w:val="20"/>
                <w:lang w:val="en-AU"/>
              </w:rPr>
              <w:t>1 (0.6%)</w:t>
            </w:r>
          </w:p>
        </w:tc>
        <w:tc>
          <w:tcPr>
            <w:tcW w:w="1701" w:type="dxa"/>
          </w:tcPr>
          <w:p w:rsidR="00770D85" w:rsidRPr="00A019E2" w:rsidRDefault="003A1363" w:rsidP="0038234D">
            <w:pPr>
              <w:autoSpaceDE w:val="0"/>
              <w:autoSpaceDN w:val="0"/>
              <w:adjustRightInd w:val="0"/>
              <w:spacing w:line="196" w:lineRule="atLeast"/>
              <w:jc w:val="center"/>
              <w:rPr>
                <w:b/>
                <w:sz w:val="20"/>
                <w:lang w:val="en-AU"/>
              </w:rPr>
            </w:pPr>
            <w:r w:rsidRPr="003A1363">
              <w:rPr>
                <w:b/>
                <w:sz w:val="20"/>
                <w:lang w:val="en-AU"/>
              </w:rPr>
              <w:t>1 (0.7%)</w:t>
            </w:r>
          </w:p>
        </w:tc>
        <w:tc>
          <w:tcPr>
            <w:tcW w:w="1524" w:type="dxa"/>
          </w:tcPr>
          <w:p w:rsidR="00770D85" w:rsidRPr="00A019E2" w:rsidRDefault="003A1363" w:rsidP="0038234D">
            <w:pPr>
              <w:autoSpaceDE w:val="0"/>
              <w:autoSpaceDN w:val="0"/>
              <w:adjustRightInd w:val="0"/>
              <w:spacing w:line="196" w:lineRule="atLeast"/>
              <w:jc w:val="center"/>
              <w:rPr>
                <w:b/>
                <w:sz w:val="20"/>
                <w:lang w:val="en-AU"/>
              </w:rPr>
            </w:pPr>
            <w:r w:rsidRPr="003A1363">
              <w:rPr>
                <w:b/>
                <w:sz w:val="20"/>
                <w:lang w:val="en-AU"/>
              </w:rPr>
              <w:t>2 (0.6%)</w:t>
            </w:r>
          </w:p>
        </w:tc>
      </w:tr>
      <w:tr w:rsidR="00770D85" w:rsidRPr="00A019E2" w:rsidTr="00CA4B9C">
        <w:tc>
          <w:tcPr>
            <w:tcW w:w="4503" w:type="dxa"/>
          </w:tcPr>
          <w:p w:rsidR="00770D85" w:rsidRPr="00A019E2" w:rsidRDefault="003A1363" w:rsidP="0038234D">
            <w:pPr>
              <w:autoSpaceDE w:val="0"/>
              <w:autoSpaceDN w:val="0"/>
              <w:adjustRightInd w:val="0"/>
              <w:spacing w:line="196" w:lineRule="atLeast"/>
              <w:ind w:left="720"/>
              <w:rPr>
                <w:sz w:val="20"/>
                <w:lang w:val="en-AU"/>
              </w:rPr>
            </w:pPr>
            <w:r w:rsidRPr="003A1363">
              <w:rPr>
                <w:sz w:val="20"/>
                <w:lang w:val="en-AU"/>
              </w:rPr>
              <w:t>Gallbladder pain</w:t>
            </w:r>
          </w:p>
        </w:tc>
        <w:tc>
          <w:tcPr>
            <w:tcW w:w="1559"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770D85" w:rsidRPr="00A019E2" w:rsidTr="00CA4B9C">
        <w:tc>
          <w:tcPr>
            <w:tcW w:w="4503" w:type="dxa"/>
          </w:tcPr>
          <w:p w:rsidR="00770D85" w:rsidRPr="00A019E2" w:rsidRDefault="003A1363" w:rsidP="0038234D">
            <w:pPr>
              <w:autoSpaceDE w:val="0"/>
              <w:autoSpaceDN w:val="0"/>
              <w:adjustRightInd w:val="0"/>
              <w:spacing w:line="196" w:lineRule="atLeast"/>
              <w:ind w:left="720"/>
              <w:rPr>
                <w:sz w:val="20"/>
                <w:lang w:val="en-AU"/>
              </w:rPr>
            </w:pPr>
            <w:r w:rsidRPr="003A1363">
              <w:rPr>
                <w:sz w:val="20"/>
                <w:lang w:val="en-AU"/>
              </w:rPr>
              <w:t>Hepatic lesion</w:t>
            </w:r>
          </w:p>
        </w:tc>
        <w:tc>
          <w:tcPr>
            <w:tcW w:w="1559"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770D85" w:rsidRPr="00A019E2" w:rsidTr="00CA4B9C">
        <w:tc>
          <w:tcPr>
            <w:tcW w:w="4503" w:type="dxa"/>
          </w:tcPr>
          <w:p w:rsidR="00770D85" w:rsidRPr="00A019E2" w:rsidRDefault="003A1363" w:rsidP="00CA4B9C">
            <w:pPr>
              <w:autoSpaceDE w:val="0"/>
              <w:autoSpaceDN w:val="0"/>
              <w:adjustRightInd w:val="0"/>
              <w:spacing w:line="196" w:lineRule="atLeast"/>
              <w:rPr>
                <w:b/>
                <w:sz w:val="20"/>
                <w:lang w:val="en-AU"/>
              </w:rPr>
            </w:pPr>
            <w:r w:rsidRPr="003A1363">
              <w:rPr>
                <w:b/>
                <w:sz w:val="20"/>
                <w:lang w:val="en-AU"/>
              </w:rPr>
              <w:t>Immune system disorders</w:t>
            </w:r>
          </w:p>
        </w:tc>
        <w:tc>
          <w:tcPr>
            <w:tcW w:w="1559" w:type="dxa"/>
          </w:tcPr>
          <w:p w:rsidR="00770D85" w:rsidRPr="00A019E2" w:rsidRDefault="003A1363" w:rsidP="0038234D">
            <w:pPr>
              <w:autoSpaceDE w:val="0"/>
              <w:autoSpaceDN w:val="0"/>
              <w:adjustRightInd w:val="0"/>
              <w:spacing w:line="196" w:lineRule="atLeast"/>
              <w:jc w:val="center"/>
              <w:rPr>
                <w:b/>
                <w:sz w:val="20"/>
                <w:lang w:val="en-AU"/>
              </w:rPr>
            </w:pPr>
            <w:r w:rsidRPr="003A1363">
              <w:rPr>
                <w:b/>
                <w:sz w:val="20"/>
                <w:lang w:val="en-AU"/>
              </w:rPr>
              <w:t>3 (1.9%)</w:t>
            </w:r>
          </w:p>
        </w:tc>
        <w:tc>
          <w:tcPr>
            <w:tcW w:w="1701" w:type="dxa"/>
          </w:tcPr>
          <w:p w:rsidR="00770D85" w:rsidRPr="00A019E2" w:rsidRDefault="003A1363" w:rsidP="0038234D">
            <w:pPr>
              <w:autoSpaceDE w:val="0"/>
              <w:autoSpaceDN w:val="0"/>
              <w:adjustRightInd w:val="0"/>
              <w:spacing w:line="196" w:lineRule="atLeast"/>
              <w:jc w:val="center"/>
              <w:rPr>
                <w:b/>
                <w:sz w:val="20"/>
                <w:lang w:val="en-AU"/>
              </w:rPr>
            </w:pPr>
            <w:r w:rsidRPr="003A1363">
              <w:rPr>
                <w:b/>
                <w:sz w:val="20"/>
                <w:lang w:val="en-AU"/>
              </w:rPr>
              <w:t>1 (0.7%)</w:t>
            </w:r>
          </w:p>
        </w:tc>
        <w:tc>
          <w:tcPr>
            <w:tcW w:w="1524" w:type="dxa"/>
          </w:tcPr>
          <w:p w:rsidR="00770D85" w:rsidRPr="00A019E2" w:rsidRDefault="003A1363" w:rsidP="0038234D">
            <w:pPr>
              <w:autoSpaceDE w:val="0"/>
              <w:autoSpaceDN w:val="0"/>
              <w:adjustRightInd w:val="0"/>
              <w:spacing w:line="196" w:lineRule="atLeast"/>
              <w:jc w:val="center"/>
              <w:rPr>
                <w:b/>
                <w:sz w:val="20"/>
                <w:lang w:val="en-AU"/>
              </w:rPr>
            </w:pPr>
            <w:r w:rsidRPr="003A1363">
              <w:rPr>
                <w:b/>
                <w:sz w:val="20"/>
                <w:lang w:val="en-AU"/>
              </w:rPr>
              <w:t>4 (1.3%)</w:t>
            </w:r>
          </w:p>
        </w:tc>
      </w:tr>
      <w:tr w:rsidR="00770D85" w:rsidRPr="00A019E2" w:rsidTr="00CA4B9C">
        <w:tc>
          <w:tcPr>
            <w:tcW w:w="4503" w:type="dxa"/>
          </w:tcPr>
          <w:p w:rsidR="00770D85" w:rsidRPr="00A019E2" w:rsidRDefault="003A1363" w:rsidP="0038234D">
            <w:pPr>
              <w:autoSpaceDE w:val="0"/>
              <w:autoSpaceDN w:val="0"/>
              <w:adjustRightInd w:val="0"/>
              <w:spacing w:line="196" w:lineRule="atLeast"/>
              <w:ind w:left="720"/>
              <w:rPr>
                <w:sz w:val="20"/>
                <w:lang w:val="en-AU"/>
              </w:rPr>
            </w:pPr>
            <w:r w:rsidRPr="003A1363">
              <w:rPr>
                <w:sz w:val="20"/>
                <w:lang w:val="en-AU"/>
              </w:rPr>
              <w:t>Hypersensitivity</w:t>
            </w:r>
          </w:p>
        </w:tc>
        <w:tc>
          <w:tcPr>
            <w:tcW w:w="1559"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3 (1.9%)</w:t>
            </w:r>
          </w:p>
        </w:tc>
        <w:tc>
          <w:tcPr>
            <w:tcW w:w="1701"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770D85" w:rsidRPr="00A019E2" w:rsidRDefault="003A1363" w:rsidP="0038234D">
            <w:pPr>
              <w:autoSpaceDE w:val="0"/>
              <w:autoSpaceDN w:val="0"/>
              <w:adjustRightInd w:val="0"/>
              <w:spacing w:line="196" w:lineRule="atLeast"/>
              <w:jc w:val="center"/>
              <w:rPr>
                <w:sz w:val="20"/>
                <w:lang w:val="en-AU"/>
              </w:rPr>
            </w:pPr>
            <w:r w:rsidRPr="003A1363">
              <w:rPr>
                <w:sz w:val="20"/>
                <w:lang w:val="en-AU"/>
              </w:rPr>
              <w:t>4 (1.3%)</w:t>
            </w:r>
          </w:p>
        </w:tc>
      </w:tr>
      <w:tr w:rsidR="00770D85" w:rsidRPr="00A019E2" w:rsidTr="00CA4B9C">
        <w:tc>
          <w:tcPr>
            <w:tcW w:w="4503" w:type="dxa"/>
          </w:tcPr>
          <w:p w:rsidR="00770D85" w:rsidRPr="00A019E2" w:rsidRDefault="003A1363" w:rsidP="00CA4B9C">
            <w:pPr>
              <w:autoSpaceDE w:val="0"/>
              <w:autoSpaceDN w:val="0"/>
              <w:adjustRightInd w:val="0"/>
              <w:spacing w:line="196" w:lineRule="atLeast"/>
              <w:rPr>
                <w:b/>
                <w:sz w:val="20"/>
                <w:lang w:val="en-AU"/>
              </w:rPr>
            </w:pPr>
            <w:r w:rsidRPr="003A1363">
              <w:rPr>
                <w:b/>
                <w:sz w:val="20"/>
                <w:lang w:val="en-AU"/>
              </w:rPr>
              <w:t>Infections &amp; infestations</w:t>
            </w:r>
          </w:p>
        </w:tc>
        <w:tc>
          <w:tcPr>
            <w:tcW w:w="1559" w:type="dxa"/>
          </w:tcPr>
          <w:p w:rsidR="00770D85" w:rsidRPr="00A019E2" w:rsidRDefault="003A1363" w:rsidP="0038234D">
            <w:pPr>
              <w:autoSpaceDE w:val="0"/>
              <w:autoSpaceDN w:val="0"/>
              <w:adjustRightInd w:val="0"/>
              <w:spacing w:line="196" w:lineRule="atLeast"/>
              <w:jc w:val="center"/>
              <w:rPr>
                <w:b/>
                <w:sz w:val="20"/>
                <w:lang w:val="en-AU"/>
              </w:rPr>
            </w:pPr>
            <w:r w:rsidRPr="003A1363">
              <w:rPr>
                <w:b/>
                <w:sz w:val="20"/>
                <w:lang w:val="en-AU"/>
              </w:rPr>
              <w:t>7 (4.3%)</w:t>
            </w:r>
          </w:p>
        </w:tc>
        <w:tc>
          <w:tcPr>
            <w:tcW w:w="1701" w:type="dxa"/>
          </w:tcPr>
          <w:p w:rsidR="00770D85" w:rsidRPr="00A019E2" w:rsidRDefault="003A1363" w:rsidP="0038234D">
            <w:pPr>
              <w:autoSpaceDE w:val="0"/>
              <w:autoSpaceDN w:val="0"/>
              <w:adjustRightInd w:val="0"/>
              <w:spacing w:line="196" w:lineRule="atLeast"/>
              <w:jc w:val="center"/>
              <w:rPr>
                <w:b/>
                <w:sz w:val="20"/>
                <w:lang w:val="en-AU"/>
              </w:rPr>
            </w:pPr>
            <w:r w:rsidRPr="003A1363">
              <w:rPr>
                <w:b/>
                <w:sz w:val="20"/>
                <w:lang w:val="en-AU"/>
              </w:rPr>
              <w:t>7 (4.6%)</w:t>
            </w:r>
          </w:p>
        </w:tc>
        <w:tc>
          <w:tcPr>
            <w:tcW w:w="1524" w:type="dxa"/>
          </w:tcPr>
          <w:p w:rsidR="00770D85" w:rsidRPr="00A019E2" w:rsidRDefault="003A1363" w:rsidP="0038234D">
            <w:pPr>
              <w:autoSpaceDE w:val="0"/>
              <w:autoSpaceDN w:val="0"/>
              <w:adjustRightInd w:val="0"/>
              <w:spacing w:line="196" w:lineRule="atLeast"/>
              <w:jc w:val="center"/>
              <w:rPr>
                <w:b/>
                <w:sz w:val="20"/>
                <w:lang w:val="en-AU"/>
              </w:rPr>
            </w:pPr>
            <w:r w:rsidRPr="003A1363">
              <w:rPr>
                <w:b/>
                <w:sz w:val="20"/>
                <w:lang w:val="en-AU"/>
              </w:rPr>
              <w:t>14 (4.5%)</w:t>
            </w:r>
          </w:p>
        </w:tc>
      </w:tr>
      <w:tr w:rsidR="00651F73" w:rsidRPr="00A019E2" w:rsidTr="00CA4B9C">
        <w:tc>
          <w:tcPr>
            <w:tcW w:w="4503" w:type="dxa"/>
          </w:tcPr>
          <w:p w:rsidR="00651F73" w:rsidRPr="00A019E2" w:rsidRDefault="003A1363" w:rsidP="0038234D">
            <w:pPr>
              <w:autoSpaceDE w:val="0"/>
              <w:autoSpaceDN w:val="0"/>
              <w:adjustRightInd w:val="0"/>
              <w:spacing w:line="196" w:lineRule="atLeast"/>
              <w:ind w:left="720"/>
              <w:rPr>
                <w:sz w:val="20"/>
                <w:lang w:val="en-AU"/>
              </w:rPr>
            </w:pPr>
            <w:r w:rsidRPr="003A1363">
              <w:rPr>
                <w:sz w:val="20"/>
                <w:lang w:val="en-AU"/>
              </w:rPr>
              <w:t>Pneumonia</w:t>
            </w:r>
          </w:p>
        </w:tc>
        <w:tc>
          <w:tcPr>
            <w:tcW w:w="1559" w:type="dxa"/>
          </w:tcPr>
          <w:p w:rsidR="00651F73" w:rsidRPr="00A019E2" w:rsidRDefault="003A1363" w:rsidP="0038234D">
            <w:pPr>
              <w:autoSpaceDE w:val="0"/>
              <w:autoSpaceDN w:val="0"/>
              <w:adjustRightInd w:val="0"/>
              <w:spacing w:line="196" w:lineRule="atLeast"/>
              <w:jc w:val="center"/>
              <w:rPr>
                <w:sz w:val="20"/>
                <w:lang w:val="en-AU"/>
              </w:rPr>
            </w:pPr>
            <w:r w:rsidRPr="003A1363">
              <w:rPr>
                <w:sz w:val="20"/>
                <w:lang w:val="en-AU"/>
              </w:rPr>
              <w:t>3 (1.9%)</w:t>
            </w:r>
          </w:p>
        </w:tc>
        <w:tc>
          <w:tcPr>
            <w:tcW w:w="1701" w:type="dxa"/>
          </w:tcPr>
          <w:p w:rsidR="00651F73"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651F73" w:rsidRPr="00A019E2" w:rsidRDefault="003A1363" w:rsidP="0038234D">
            <w:pPr>
              <w:autoSpaceDE w:val="0"/>
              <w:autoSpaceDN w:val="0"/>
              <w:adjustRightInd w:val="0"/>
              <w:spacing w:line="196" w:lineRule="atLeast"/>
              <w:jc w:val="center"/>
              <w:rPr>
                <w:sz w:val="20"/>
                <w:lang w:val="en-AU"/>
              </w:rPr>
            </w:pPr>
            <w:r w:rsidRPr="003A1363">
              <w:rPr>
                <w:sz w:val="20"/>
                <w:lang w:val="en-AU"/>
              </w:rPr>
              <w:t>3 (1.0%)</w:t>
            </w:r>
          </w:p>
        </w:tc>
      </w:tr>
      <w:tr w:rsidR="00651F73" w:rsidRPr="00A019E2" w:rsidTr="00CA4B9C">
        <w:tc>
          <w:tcPr>
            <w:tcW w:w="4503" w:type="dxa"/>
          </w:tcPr>
          <w:p w:rsidR="00651F73" w:rsidRPr="00A019E2" w:rsidRDefault="003A1363" w:rsidP="0038234D">
            <w:pPr>
              <w:autoSpaceDE w:val="0"/>
              <w:autoSpaceDN w:val="0"/>
              <w:adjustRightInd w:val="0"/>
              <w:spacing w:line="196" w:lineRule="atLeast"/>
              <w:ind w:left="720"/>
              <w:rPr>
                <w:sz w:val="20"/>
                <w:lang w:val="en-AU"/>
              </w:rPr>
            </w:pPr>
            <w:r w:rsidRPr="003A1363">
              <w:rPr>
                <w:sz w:val="20"/>
                <w:lang w:val="en-AU"/>
              </w:rPr>
              <w:t>Herpes zoster</w:t>
            </w:r>
          </w:p>
        </w:tc>
        <w:tc>
          <w:tcPr>
            <w:tcW w:w="1559" w:type="dxa"/>
          </w:tcPr>
          <w:p w:rsidR="00651F73"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651F73" w:rsidRPr="00A019E2" w:rsidRDefault="003A1363" w:rsidP="0038234D">
            <w:pPr>
              <w:autoSpaceDE w:val="0"/>
              <w:autoSpaceDN w:val="0"/>
              <w:adjustRightInd w:val="0"/>
              <w:spacing w:line="196" w:lineRule="atLeast"/>
              <w:jc w:val="center"/>
              <w:rPr>
                <w:sz w:val="20"/>
                <w:lang w:val="en-AU"/>
              </w:rPr>
            </w:pPr>
            <w:r w:rsidRPr="003A1363">
              <w:rPr>
                <w:sz w:val="20"/>
                <w:lang w:val="en-AU"/>
              </w:rPr>
              <w:t>2 (1.3%)</w:t>
            </w:r>
          </w:p>
        </w:tc>
        <w:tc>
          <w:tcPr>
            <w:tcW w:w="1524" w:type="dxa"/>
          </w:tcPr>
          <w:p w:rsidR="00651F73" w:rsidRPr="00A019E2" w:rsidRDefault="003A1363" w:rsidP="0038234D">
            <w:pPr>
              <w:autoSpaceDE w:val="0"/>
              <w:autoSpaceDN w:val="0"/>
              <w:adjustRightInd w:val="0"/>
              <w:spacing w:line="196" w:lineRule="atLeast"/>
              <w:jc w:val="center"/>
              <w:rPr>
                <w:sz w:val="20"/>
                <w:lang w:val="en-AU"/>
              </w:rPr>
            </w:pPr>
            <w:r w:rsidRPr="003A1363">
              <w:rPr>
                <w:sz w:val="20"/>
                <w:lang w:val="en-AU"/>
              </w:rPr>
              <w:t>3 (1.0%)</w:t>
            </w:r>
          </w:p>
        </w:tc>
      </w:tr>
      <w:tr w:rsidR="00651F73" w:rsidRPr="00A019E2" w:rsidTr="00CA4B9C">
        <w:tc>
          <w:tcPr>
            <w:tcW w:w="4503" w:type="dxa"/>
          </w:tcPr>
          <w:p w:rsidR="00651F73" w:rsidRPr="00A019E2" w:rsidRDefault="003A1363" w:rsidP="0038234D">
            <w:pPr>
              <w:autoSpaceDE w:val="0"/>
              <w:autoSpaceDN w:val="0"/>
              <w:adjustRightInd w:val="0"/>
              <w:spacing w:line="196" w:lineRule="atLeast"/>
              <w:ind w:left="720"/>
              <w:rPr>
                <w:sz w:val="20"/>
                <w:lang w:val="en-AU"/>
              </w:rPr>
            </w:pPr>
            <w:r w:rsidRPr="003A1363">
              <w:rPr>
                <w:sz w:val="20"/>
                <w:lang w:val="en-AU"/>
              </w:rPr>
              <w:t>Infection</w:t>
            </w:r>
          </w:p>
        </w:tc>
        <w:tc>
          <w:tcPr>
            <w:tcW w:w="1559" w:type="dxa"/>
          </w:tcPr>
          <w:p w:rsidR="00651F73"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651F73"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651F73"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651F73" w:rsidRPr="00A019E2" w:rsidTr="00CA4B9C">
        <w:tc>
          <w:tcPr>
            <w:tcW w:w="4503" w:type="dxa"/>
          </w:tcPr>
          <w:p w:rsidR="00651F73" w:rsidRPr="00A019E2" w:rsidRDefault="003A1363" w:rsidP="0038234D">
            <w:pPr>
              <w:autoSpaceDE w:val="0"/>
              <w:autoSpaceDN w:val="0"/>
              <w:adjustRightInd w:val="0"/>
              <w:spacing w:line="196" w:lineRule="atLeast"/>
              <w:ind w:left="720"/>
              <w:rPr>
                <w:sz w:val="20"/>
                <w:lang w:val="en-AU"/>
              </w:rPr>
            </w:pPr>
            <w:r w:rsidRPr="003A1363">
              <w:rPr>
                <w:sz w:val="20"/>
                <w:lang w:val="en-AU"/>
              </w:rPr>
              <w:t>Respiratory tract infection</w:t>
            </w:r>
          </w:p>
        </w:tc>
        <w:tc>
          <w:tcPr>
            <w:tcW w:w="1559" w:type="dxa"/>
          </w:tcPr>
          <w:p w:rsidR="00651F73"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651F73"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651F73"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FE2BFC" w:rsidRPr="00A019E2" w:rsidTr="00CA4B9C">
        <w:tc>
          <w:tcPr>
            <w:tcW w:w="4503" w:type="dxa"/>
          </w:tcPr>
          <w:p w:rsidR="00FE2BFC" w:rsidRPr="00A019E2" w:rsidRDefault="003A1363" w:rsidP="0038234D">
            <w:pPr>
              <w:autoSpaceDE w:val="0"/>
              <w:autoSpaceDN w:val="0"/>
              <w:adjustRightInd w:val="0"/>
              <w:spacing w:line="196" w:lineRule="atLeast"/>
              <w:ind w:left="720"/>
              <w:rPr>
                <w:sz w:val="20"/>
                <w:lang w:val="en-AU"/>
              </w:rPr>
            </w:pPr>
            <w:r w:rsidRPr="003A1363">
              <w:rPr>
                <w:sz w:val="20"/>
                <w:lang w:val="en-AU"/>
              </w:rPr>
              <w:t>Sepsis</w:t>
            </w:r>
          </w:p>
        </w:tc>
        <w:tc>
          <w:tcPr>
            <w:tcW w:w="1559"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FE2BFC" w:rsidRPr="00A019E2" w:rsidTr="00CA4B9C">
        <w:tc>
          <w:tcPr>
            <w:tcW w:w="4503" w:type="dxa"/>
          </w:tcPr>
          <w:p w:rsidR="00FE2BFC" w:rsidRPr="00A019E2" w:rsidRDefault="003A1363" w:rsidP="0038234D">
            <w:pPr>
              <w:autoSpaceDE w:val="0"/>
              <w:autoSpaceDN w:val="0"/>
              <w:adjustRightInd w:val="0"/>
              <w:spacing w:line="196" w:lineRule="atLeast"/>
              <w:ind w:left="720"/>
              <w:rPr>
                <w:sz w:val="20"/>
                <w:lang w:val="en-AU"/>
              </w:rPr>
            </w:pPr>
            <w:r w:rsidRPr="003A1363">
              <w:rPr>
                <w:sz w:val="20"/>
                <w:lang w:val="en-AU"/>
              </w:rPr>
              <w:t>Acarodermatitis</w:t>
            </w:r>
          </w:p>
        </w:tc>
        <w:tc>
          <w:tcPr>
            <w:tcW w:w="1559"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FE2BFC" w:rsidRPr="00A019E2" w:rsidTr="00CA4B9C">
        <w:tc>
          <w:tcPr>
            <w:tcW w:w="4503" w:type="dxa"/>
          </w:tcPr>
          <w:p w:rsidR="00FE2BFC" w:rsidRPr="00A019E2" w:rsidRDefault="003A1363" w:rsidP="0038234D">
            <w:pPr>
              <w:autoSpaceDE w:val="0"/>
              <w:autoSpaceDN w:val="0"/>
              <w:adjustRightInd w:val="0"/>
              <w:spacing w:line="196" w:lineRule="atLeast"/>
              <w:ind w:left="720"/>
              <w:rPr>
                <w:sz w:val="20"/>
                <w:lang w:val="en-AU"/>
              </w:rPr>
            </w:pPr>
            <w:r w:rsidRPr="003A1363">
              <w:rPr>
                <w:sz w:val="20"/>
                <w:lang w:val="en-AU"/>
              </w:rPr>
              <w:t>Hepatitis B</w:t>
            </w:r>
          </w:p>
        </w:tc>
        <w:tc>
          <w:tcPr>
            <w:tcW w:w="1559"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FE2BFC" w:rsidRPr="00A019E2" w:rsidTr="00CA4B9C">
        <w:tc>
          <w:tcPr>
            <w:tcW w:w="4503" w:type="dxa"/>
          </w:tcPr>
          <w:p w:rsidR="00FE2BFC" w:rsidRPr="00A019E2" w:rsidRDefault="003A1363" w:rsidP="0038234D">
            <w:pPr>
              <w:autoSpaceDE w:val="0"/>
              <w:autoSpaceDN w:val="0"/>
              <w:adjustRightInd w:val="0"/>
              <w:spacing w:line="196" w:lineRule="atLeast"/>
              <w:ind w:left="720"/>
              <w:rPr>
                <w:sz w:val="20"/>
                <w:lang w:val="en-AU"/>
              </w:rPr>
            </w:pPr>
            <w:r w:rsidRPr="003A1363">
              <w:rPr>
                <w:sz w:val="20"/>
                <w:lang w:val="en-AU"/>
              </w:rPr>
              <w:t>Meningitis</w:t>
            </w:r>
          </w:p>
        </w:tc>
        <w:tc>
          <w:tcPr>
            <w:tcW w:w="1559"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FE2BFC" w:rsidRPr="00A019E2" w:rsidTr="00CA4B9C">
        <w:tc>
          <w:tcPr>
            <w:tcW w:w="4503" w:type="dxa"/>
          </w:tcPr>
          <w:p w:rsidR="00FE2BFC" w:rsidRPr="00A019E2" w:rsidRDefault="003A1363" w:rsidP="0038234D">
            <w:pPr>
              <w:autoSpaceDE w:val="0"/>
              <w:autoSpaceDN w:val="0"/>
              <w:adjustRightInd w:val="0"/>
              <w:spacing w:line="196" w:lineRule="atLeast"/>
              <w:ind w:left="720"/>
              <w:rPr>
                <w:sz w:val="20"/>
                <w:lang w:val="en-AU"/>
              </w:rPr>
            </w:pPr>
            <w:r w:rsidRPr="003A1363">
              <w:rPr>
                <w:sz w:val="20"/>
                <w:lang w:val="en-AU"/>
              </w:rPr>
              <w:t>Pneumonia bacterial</w:t>
            </w:r>
          </w:p>
        </w:tc>
        <w:tc>
          <w:tcPr>
            <w:tcW w:w="1559"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FE2BFC" w:rsidRPr="00A019E2" w:rsidTr="00CA4B9C">
        <w:tc>
          <w:tcPr>
            <w:tcW w:w="4503" w:type="dxa"/>
          </w:tcPr>
          <w:p w:rsidR="00FE2BFC" w:rsidRPr="00A019E2" w:rsidRDefault="003A1363" w:rsidP="0038234D">
            <w:pPr>
              <w:autoSpaceDE w:val="0"/>
              <w:autoSpaceDN w:val="0"/>
              <w:adjustRightInd w:val="0"/>
              <w:spacing w:line="196" w:lineRule="atLeast"/>
              <w:ind w:left="720"/>
              <w:rPr>
                <w:sz w:val="20"/>
                <w:lang w:val="en-AU"/>
              </w:rPr>
            </w:pPr>
            <w:r w:rsidRPr="003A1363">
              <w:rPr>
                <w:sz w:val="20"/>
                <w:lang w:val="en-AU"/>
              </w:rPr>
              <w:t>Upper respiratory tract infection</w:t>
            </w:r>
          </w:p>
        </w:tc>
        <w:tc>
          <w:tcPr>
            <w:tcW w:w="1559"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FE2BFC" w:rsidRPr="00A019E2" w:rsidTr="00CA4B9C">
        <w:tc>
          <w:tcPr>
            <w:tcW w:w="4503" w:type="dxa"/>
          </w:tcPr>
          <w:p w:rsidR="00FE2BFC" w:rsidRPr="00A019E2" w:rsidRDefault="003A1363" w:rsidP="00CA4B9C">
            <w:pPr>
              <w:autoSpaceDE w:val="0"/>
              <w:autoSpaceDN w:val="0"/>
              <w:adjustRightInd w:val="0"/>
              <w:spacing w:line="196" w:lineRule="atLeast"/>
              <w:rPr>
                <w:b/>
                <w:sz w:val="20"/>
                <w:lang w:val="en-AU"/>
              </w:rPr>
            </w:pPr>
            <w:r w:rsidRPr="003A1363">
              <w:rPr>
                <w:b/>
                <w:sz w:val="20"/>
                <w:lang w:val="en-AU"/>
              </w:rPr>
              <w:t>Injury, poisoning &amp; procedural complications</w:t>
            </w:r>
          </w:p>
        </w:tc>
        <w:tc>
          <w:tcPr>
            <w:tcW w:w="1559" w:type="dxa"/>
          </w:tcPr>
          <w:p w:rsidR="00FE2BFC" w:rsidRPr="00A019E2" w:rsidRDefault="003A1363" w:rsidP="0038234D">
            <w:pPr>
              <w:autoSpaceDE w:val="0"/>
              <w:autoSpaceDN w:val="0"/>
              <w:adjustRightInd w:val="0"/>
              <w:spacing w:line="196" w:lineRule="atLeast"/>
              <w:jc w:val="center"/>
              <w:rPr>
                <w:b/>
                <w:sz w:val="20"/>
                <w:lang w:val="en-AU"/>
              </w:rPr>
            </w:pPr>
            <w:r w:rsidRPr="003A1363">
              <w:rPr>
                <w:b/>
                <w:sz w:val="20"/>
                <w:lang w:val="en-AU"/>
              </w:rPr>
              <w:t>0 (0.0%)</w:t>
            </w:r>
          </w:p>
        </w:tc>
        <w:tc>
          <w:tcPr>
            <w:tcW w:w="1701" w:type="dxa"/>
          </w:tcPr>
          <w:p w:rsidR="00FE2BFC" w:rsidRPr="00A019E2" w:rsidRDefault="003A1363" w:rsidP="0038234D">
            <w:pPr>
              <w:autoSpaceDE w:val="0"/>
              <w:autoSpaceDN w:val="0"/>
              <w:adjustRightInd w:val="0"/>
              <w:spacing w:line="196" w:lineRule="atLeast"/>
              <w:jc w:val="center"/>
              <w:rPr>
                <w:b/>
                <w:sz w:val="20"/>
                <w:lang w:val="en-AU"/>
              </w:rPr>
            </w:pPr>
            <w:r w:rsidRPr="003A1363">
              <w:rPr>
                <w:b/>
                <w:sz w:val="20"/>
                <w:lang w:val="en-AU"/>
              </w:rPr>
              <w:t>1 (0.7%)</w:t>
            </w:r>
          </w:p>
        </w:tc>
        <w:tc>
          <w:tcPr>
            <w:tcW w:w="1524" w:type="dxa"/>
          </w:tcPr>
          <w:p w:rsidR="00FE2BFC" w:rsidRPr="00A019E2" w:rsidRDefault="003A1363" w:rsidP="0038234D">
            <w:pPr>
              <w:autoSpaceDE w:val="0"/>
              <w:autoSpaceDN w:val="0"/>
              <w:adjustRightInd w:val="0"/>
              <w:spacing w:line="196" w:lineRule="atLeast"/>
              <w:jc w:val="center"/>
              <w:rPr>
                <w:b/>
                <w:sz w:val="20"/>
                <w:lang w:val="en-AU"/>
              </w:rPr>
            </w:pPr>
            <w:r w:rsidRPr="003A1363">
              <w:rPr>
                <w:b/>
                <w:sz w:val="20"/>
                <w:lang w:val="en-AU"/>
              </w:rPr>
              <w:t>1 (0.3%)</w:t>
            </w:r>
          </w:p>
        </w:tc>
      </w:tr>
      <w:tr w:rsidR="00FE2BFC" w:rsidRPr="00A019E2" w:rsidTr="00CA4B9C">
        <w:tc>
          <w:tcPr>
            <w:tcW w:w="4503" w:type="dxa"/>
          </w:tcPr>
          <w:p w:rsidR="00FE2BFC" w:rsidRPr="00A019E2" w:rsidRDefault="003A1363" w:rsidP="0038234D">
            <w:pPr>
              <w:autoSpaceDE w:val="0"/>
              <w:autoSpaceDN w:val="0"/>
              <w:adjustRightInd w:val="0"/>
              <w:spacing w:line="196" w:lineRule="atLeast"/>
              <w:ind w:left="720"/>
              <w:rPr>
                <w:sz w:val="20"/>
                <w:lang w:val="en-AU"/>
              </w:rPr>
            </w:pPr>
            <w:r w:rsidRPr="003A1363">
              <w:rPr>
                <w:sz w:val="20"/>
                <w:lang w:val="en-AU"/>
              </w:rPr>
              <w:t>Head injury</w:t>
            </w:r>
          </w:p>
        </w:tc>
        <w:tc>
          <w:tcPr>
            <w:tcW w:w="1559"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FE2BFC" w:rsidRPr="00A019E2" w:rsidTr="00CA4B9C">
        <w:tc>
          <w:tcPr>
            <w:tcW w:w="4503" w:type="dxa"/>
          </w:tcPr>
          <w:p w:rsidR="00FE2BFC" w:rsidRPr="00A019E2" w:rsidRDefault="003A1363" w:rsidP="00CA4B9C">
            <w:pPr>
              <w:autoSpaceDE w:val="0"/>
              <w:autoSpaceDN w:val="0"/>
              <w:adjustRightInd w:val="0"/>
              <w:spacing w:line="196" w:lineRule="atLeast"/>
              <w:rPr>
                <w:b/>
                <w:sz w:val="20"/>
                <w:lang w:val="en-AU"/>
              </w:rPr>
            </w:pPr>
            <w:r w:rsidRPr="003A1363">
              <w:rPr>
                <w:b/>
                <w:sz w:val="20"/>
                <w:lang w:val="en-AU"/>
              </w:rPr>
              <w:t>Metabolism &amp; nutrition disorders</w:t>
            </w:r>
          </w:p>
        </w:tc>
        <w:tc>
          <w:tcPr>
            <w:tcW w:w="1559" w:type="dxa"/>
          </w:tcPr>
          <w:p w:rsidR="00FE2BFC" w:rsidRPr="00A019E2" w:rsidRDefault="003A1363" w:rsidP="0038234D">
            <w:pPr>
              <w:autoSpaceDE w:val="0"/>
              <w:autoSpaceDN w:val="0"/>
              <w:adjustRightInd w:val="0"/>
              <w:spacing w:line="196" w:lineRule="atLeast"/>
              <w:jc w:val="center"/>
              <w:rPr>
                <w:b/>
                <w:sz w:val="20"/>
                <w:lang w:val="en-AU"/>
              </w:rPr>
            </w:pPr>
            <w:r w:rsidRPr="003A1363">
              <w:rPr>
                <w:b/>
                <w:sz w:val="20"/>
                <w:lang w:val="en-AU"/>
              </w:rPr>
              <w:t>1 (0.6%)</w:t>
            </w:r>
          </w:p>
        </w:tc>
        <w:tc>
          <w:tcPr>
            <w:tcW w:w="1701" w:type="dxa"/>
          </w:tcPr>
          <w:p w:rsidR="00FE2BFC" w:rsidRPr="00A019E2" w:rsidRDefault="003A1363" w:rsidP="0038234D">
            <w:pPr>
              <w:autoSpaceDE w:val="0"/>
              <w:autoSpaceDN w:val="0"/>
              <w:adjustRightInd w:val="0"/>
              <w:spacing w:line="196" w:lineRule="atLeast"/>
              <w:jc w:val="center"/>
              <w:rPr>
                <w:b/>
                <w:sz w:val="20"/>
                <w:lang w:val="en-AU"/>
              </w:rPr>
            </w:pPr>
            <w:r w:rsidRPr="003A1363">
              <w:rPr>
                <w:b/>
                <w:sz w:val="20"/>
                <w:lang w:val="en-AU"/>
              </w:rPr>
              <w:t>0 (0.0%)</w:t>
            </w:r>
          </w:p>
        </w:tc>
        <w:tc>
          <w:tcPr>
            <w:tcW w:w="1524" w:type="dxa"/>
          </w:tcPr>
          <w:p w:rsidR="00FE2BFC" w:rsidRPr="00A019E2" w:rsidRDefault="003A1363" w:rsidP="0038234D">
            <w:pPr>
              <w:autoSpaceDE w:val="0"/>
              <w:autoSpaceDN w:val="0"/>
              <w:adjustRightInd w:val="0"/>
              <w:spacing w:line="196" w:lineRule="atLeast"/>
              <w:jc w:val="center"/>
              <w:rPr>
                <w:b/>
                <w:sz w:val="20"/>
                <w:lang w:val="en-AU"/>
              </w:rPr>
            </w:pPr>
            <w:r w:rsidRPr="003A1363">
              <w:rPr>
                <w:b/>
                <w:sz w:val="20"/>
                <w:lang w:val="en-AU"/>
              </w:rPr>
              <w:t>1 (0.3%)</w:t>
            </w:r>
          </w:p>
        </w:tc>
      </w:tr>
      <w:tr w:rsidR="00FE2BFC" w:rsidRPr="00A019E2" w:rsidTr="00CA4B9C">
        <w:tc>
          <w:tcPr>
            <w:tcW w:w="4503" w:type="dxa"/>
          </w:tcPr>
          <w:p w:rsidR="00FE2BFC" w:rsidRPr="00A019E2" w:rsidRDefault="003A1363" w:rsidP="0038234D">
            <w:pPr>
              <w:autoSpaceDE w:val="0"/>
              <w:autoSpaceDN w:val="0"/>
              <w:adjustRightInd w:val="0"/>
              <w:spacing w:line="196" w:lineRule="atLeast"/>
              <w:ind w:left="720"/>
              <w:rPr>
                <w:sz w:val="20"/>
                <w:lang w:val="en-AU"/>
              </w:rPr>
            </w:pPr>
            <w:r w:rsidRPr="003A1363">
              <w:rPr>
                <w:sz w:val="20"/>
                <w:lang w:val="en-AU"/>
              </w:rPr>
              <w:lastRenderedPageBreak/>
              <w:t>Dehydration</w:t>
            </w:r>
          </w:p>
        </w:tc>
        <w:tc>
          <w:tcPr>
            <w:tcW w:w="1559"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FE2BFC" w:rsidRPr="00A019E2" w:rsidTr="00CA4B9C">
        <w:tc>
          <w:tcPr>
            <w:tcW w:w="4503" w:type="dxa"/>
          </w:tcPr>
          <w:p w:rsidR="00FE2BFC" w:rsidRPr="00A019E2" w:rsidRDefault="003A1363" w:rsidP="00CA4B9C">
            <w:pPr>
              <w:autoSpaceDE w:val="0"/>
              <w:autoSpaceDN w:val="0"/>
              <w:adjustRightInd w:val="0"/>
              <w:spacing w:line="196" w:lineRule="atLeast"/>
              <w:rPr>
                <w:b/>
                <w:sz w:val="20"/>
                <w:lang w:val="en-AU"/>
              </w:rPr>
            </w:pPr>
            <w:r w:rsidRPr="003A1363">
              <w:rPr>
                <w:b/>
                <w:sz w:val="20"/>
                <w:lang w:val="en-AU"/>
              </w:rPr>
              <w:t>Musculoskeletal &amp; connective tissue disorders</w:t>
            </w:r>
          </w:p>
        </w:tc>
        <w:tc>
          <w:tcPr>
            <w:tcW w:w="1559" w:type="dxa"/>
          </w:tcPr>
          <w:p w:rsidR="00FE2BFC" w:rsidRPr="00A019E2" w:rsidRDefault="003A1363" w:rsidP="0038234D">
            <w:pPr>
              <w:autoSpaceDE w:val="0"/>
              <w:autoSpaceDN w:val="0"/>
              <w:adjustRightInd w:val="0"/>
              <w:spacing w:line="196" w:lineRule="atLeast"/>
              <w:jc w:val="center"/>
              <w:rPr>
                <w:b/>
                <w:sz w:val="20"/>
                <w:lang w:val="en-AU"/>
              </w:rPr>
            </w:pPr>
            <w:r w:rsidRPr="003A1363">
              <w:rPr>
                <w:b/>
                <w:sz w:val="20"/>
                <w:lang w:val="en-AU"/>
              </w:rPr>
              <w:t>1 (0.6%)</w:t>
            </w:r>
          </w:p>
        </w:tc>
        <w:tc>
          <w:tcPr>
            <w:tcW w:w="1701" w:type="dxa"/>
          </w:tcPr>
          <w:p w:rsidR="00FE2BFC" w:rsidRPr="00A019E2" w:rsidRDefault="003A1363" w:rsidP="0038234D">
            <w:pPr>
              <w:autoSpaceDE w:val="0"/>
              <w:autoSpaceDN w:val="0"/>
              <w:adjustRightInd w:val="0"/>
              <w:spacing w:line="196" w:lineRule="atLeast"/>
              <w:jc w:val="center"/>
              <w:rPr>
                <w:b/>
                <w:sz w:val="20"/>
                <w:lang w:val="en-AU"/>
              </w:rPr>
            </w:pPr>
            <w:r w:rsidRPr="003A1363">
              <w:rPr>
                <w:b/>
                <w:sz w:val="20"/>
                <w:lang w:val="en-AU"/>
              </w:rPr>
              <w:t>0 (0.0%)</w:t>
            </w:r>
          </w:p>
        </w:tc>
        <w:tc>
          <w:tcPr>
            <w:tcW w:w="1524" w:type="dxa"/>
          </w:tcPr>
          <w:p w:rsidR="00FE2BFC" w:rsidRPr="00A019E2" w:rsidRDefault="003A1363" w:rsidP="0038234D">
            <w:pPr>
              <w:autoSpaceDE w:val="0"/>
              <w:autoSpaceDN w:val="0"/>
              <w:adjustRightInd w:val="0"/>
              <w:spacing w:line="196" w:lineRule="atLeast"/>
              <w:jc w:val="center"/>
              <w:rPr>
                <w:b/>
                <w:sz w:val="20"/>
                <w:lang w:val="en-AU"/>
              </w:rPr>
            </w:pPr>
            <w:r w:rsidRPr="003A1363">
              <w:rPr>
                <w:b/>
                <w:sz w:val="20"/>
                <w:lang w:val="en-AU"/>
              </w:rPr>
              <w:t>1 (0.3%)</w:t>
            </w:r>
          </w:p>
        </w:tc>
      </w:tr>
      <w:tr w:rsidR="00FE2BFC" w:rsidRPr="00A019E2" w:rsidTr="00CA4B9C">
        <w:tc>
          <w:tcPr>
            <w:tcW w:w="4503" w:type="dxa"/>
          </w:tcPr>
          <w:p w:rsidR="00FE2BFC" w:rsidRPr="00A019E2" w:rsidRDefault="003A1363" w:rsidP="0038234D">
            <w:pPr>
              <w:autoSpaceDE w:val="0"/>
              <w:autoSpaceDN w:val="0"/>
              <w:adjustRightInd w:val="0"/>
              <w:spacing w:line="196" w:lineRule="atLeast"/>
              <w:ind w:left="720"/>
              <w:rPr>
                <w:sz w:val="20"/>
                <w:lang w:val="en-AU"/>
              </w:rPr>
            </w:pPr>
            <w:r w:rsidRPr="003A1363">
              <w:rPr>
                <w:sz w:val="20"/>
                <w:lang w:val="en-AU"/>
              </w:rPr>
              <w:t>Sacral pain</w:t>
            </w:r>
          </w:p>
        </w:tc>
        <w:tc>
          <w:tcPr>
            <w:tcW w:w="1559"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FE2BFC" w:rsidRPr="00A019E2" w:rsidTr="00CA4B9C">
        <w:tc>
          <w:tcPr>
            <w:tcW w:w="4503" w:type="dxa"/>
          </w:tcPr>
          <w:p w:rsidR="00FE2BFC" w:rsidRPr="00A019E2" w:rsidRDefault="003A1363" w:rsidP="00CA4B9C">
            <w:pPr>
              <w:autoSpaceDE w:val="0"/>
              <w:autoSpaceDN w:val="0"/>
              <w:adjustRightInd w:val="0"/>
              <w:spacing w:line="196" w:lineRule="atLeast"/>
              <w:rPr>
                <w:b/>
                <w:sz w:val="20"/>
                <w:lang w:val="en-AU"/>
              </w:rPr>
            </w:pPr>
            <w:r w:rsidRPr="003A1363">
              <w:rPr>
                <w:b/>
                <w:sz w:val="20"/>
                <w:lang w:val="en-AU"/>
              </w:rPr>
              <w:t>Neoplasms benign, malignant &amp; unspecified (incl cysts &amp; polyps)</w:t>
            </w:r>
          </w:p>
        </w:tc>
        <w:tc>
          <w:tcPr>
            <w:tcW w:w="1559" w:type="dxa"/>
          </w:tcPr>
          <w:p w:rsidR="00FE2BFC" w:rsidRPr="00A019E2" w:rsidRDefault="003A1363" w:rsidP="0038234D">
            <w:pPr>
              <w:autoSpaceDE w:val="0"/>
              <w:autoSpaceDN w:val="0"/>
              <w:adjustRightInd w:val="0"/>
              <w:spacing w:line="196" w:lineRule="atLeast"/>
              <w:jc w:val="center"/>
              <w:rPr>
                <w:b/>
                <w:sz w:val="20"/>
                <w:lang w:val="en-AU"/>
              </w:rPr>
            </w:pPr>
            <w:r w:rsidRPr="003A1363">
              <w:rPr>
                <w:b/>
                <w:sz w:val="20"/>
                <w:lang w:val="en-AU"/>
              </w:rPr>
              <w:t>3 (1.9%)</w:t>
            </w:r>
          </w:p>
        </w:tc>
        <w:tc>
          <w:tcPr>
            <w:tcW w:w="1701" w:type="dxa"/>
          </w:tcPr>
          <w:p w:rsidR="00FE2BFC" w:rsidRPr="00A019E2" w:rsidRDefault="003A1363" w:rsidP="0038234D">
            <w:pPr>
              <w:autoSpaceDE w:val="0"/>
              <w:autoSpaceDN w:val="0"/>
              <w:adjustRightInd w:val="0"/>
              <w:spacing w:line="196" w:lineRule="atLeast"/>
              <w:jc w:val="center"/>
              <w:rPr>
                <w:b/>
                <w:sz w:val="20"/>
                <w:lang w:val="en-AU"/>
              </w:rPr>
            </w:pPr>
            <w:r w:rsidRPr="003A1363">
              <w:rPr>
                <w:b/>
                <w:sz w:val="20"/>
                <w:lang w:val="en-AU"/>
              </w:rPr>
              <w:t>0 (0.0%)</w:t>
            </w:r>
          </w:p>
        </w:tc>
        <w:tc>
          <w:tcPr>
            <w:tcW w:w="1524" w:type="dxa"/>
          </w:tcPr>
          <w:p w:rsidR="00FE2BFC" w:rsidRPr="00A019E2" w:rsidRDefault="003A1363" w:rsidP="0038234D">
            <w:pPr>
              <w:autoSpaceDE w:val="0"/>
              <w:autoSpaceDN w:val="0"/>
              <w:adjustRightInd w:val="0"/>
              <w:spacing w:line="196" w:lineRule="atLeast"/>
              <w:jc w:val="center"/>
              <w:rPr>
                <w:b/>
                <w:sz w:val="20"/>
                <w:lang w:val="en-AU"/>
              </w:rPr>
            </w:pPr>
            <w:r w:rsidRPr="003A1363">
              <w:rPr>
                <w:b/>
                <w:sz w:val="20"/>
                <w:lang w:val="en-AU"/>
              </w:rPr>
              <w:t>3 (1.0%)</w:t>
            </w:r>
          </w:p>
        </w:tc>
      </w:tr>
      <w:tr w:rsidR="00FE2BFC" w:rsidRPr="00A019E2" w:rsidTr="00CA4B9C">
        <w:tc>
          <w:tcPr>
            <w:tcW w:w="4503" w:type="dxa"/>
          </w:tcPr>
          <w:p w:rsidR="00FE2BFC" w:rsidRPr="00A019E2" w:rsidRDefault="003A1363" w:rsidP="0038234D">
            <w:pPr>
              <w:autoSpaceDE w:val="0"/>
              <w:autoSpaceDN w:val="0"/>
              <w:adjustRightInd w:val="0"/>
              <w:spacing w:line="196" w:lineRule="atLeast"/>
              <w:ind w:left="720"/>
              <w:rPr>
                <w:sz w:val="20"/>
                <w:lang w:val="en-AU"/>
              </w:rPr>
            </w:pPr>
            <w:r w:rsidRPr="003A1363">
              <w:rPr>
                <w:sz w:val="20"/>
                <w:lang w:val="en-AU"/>
              </w:rPr>
              <w:t>Tumour lysis syndrome</w:t>
            </w:r>
          </w:p>
        </w:tc>
        <w:tc>
          <w:tcPr>
            <w:tcW w:w="1559"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2 (1.2%)</w:t>
            </w:r>
          </w:p>
        </w:tc>
        <w:tc>
          <w:tcPr>
            <w:tcW w:w="1701"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2 (0.6%)</w:t>
            </w:r>
          </w:p>
        </w:tc>
      </w:tr>
      <w:tr w:rsidR="00FE2BFC" w:rsidRPr="00A019E2" w:rsidTr="00CA4B9C">
        <w:tc>
          <w:tcPr>
            <w:tcW w:w="4503" w:type="dxa"/>
          </w:tcPr>
          <w:p w:rsidR="00FE2BFC" w:rsidRPr="00A019E2" w:rsidRDefault="003A1363" w:rsidP="0038234D">
            <w:pPr>
              <w:autoSpaceDE w:val="0"/>
              <w:autoSpaceDN w:val="0"/>
              <w:adjustRightInd w:val="0"/>
              <w:spacing w:line="196" w:lineRule="atLeast"/>
              <w:ind w:left="720"/>
              <w:rPr>
                <w:sz w:val="20"/>
                <w:lang w:val="en-AU"/>
              </w:rPr>
            </w:pPr>
            <w:r w:rsidRPr="003A1363">
              <w:rPr>
                <w:sz w:val="20"/>
                <w:lang w:val="en-AU"/>
              </w:rPr>
              <w:t>Lung neoplasm</w:t>
            </w:r>
          </w:p>
        </w:tc>
        <w:tc>
          <w:tcPr>
            <w:tcW w:w="1559"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FE2BFC"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FE2BFC" w:rsidRPr="00A019E2" w:rsidTr="00CA4B9C">
        <w:tc>
          <w:tcPr>
            <w:tcW w:w="4503" w:type="dxa"/>
          </w:tcPr>
          <w:p w:rsidR="00FE2BFC" w:rsidRPr="00A019E2" w:rsidRDefault="003A1363" w:rsidP="00CA4B9C">
            <w:pPr>
              <w:autoSpaceDE w:val="0"/>
              <w:autoSpaceDN w:val="0"/>
              <w:adjustRightInd w:val="0"/>
              <w:spacing w:line="196" w:lineRule="atLeast"/>
              <w:rPr>
                <w:b/>
                <w:sz w:val="20"/>
                <w:lang w:val="en-AU"/>
              </w:rPr>
            </w:pPr>
            <w:r w:rsidRPr="003A1363">
              <w:rPr>
                <w:b/>
                <w:sz w:val="20"/>
                <w:lang w:val="en-AU"/>
              </w:rPr>
              <w:t>Nervous system disorders</w:t>
            </w:r>
          </w:p>
        </w:tc>
        <w:tc>
          <w:tcPr>
            <w:tcW w:w="1559" w:type="dxa"/>
          </w:tcPr>
          <w:p w:rsidR="00FE2BFC" w:rsidRPr="00A019E2" w:rsidRDefault="003A1363" w:rsidP="0038234D">
            <w:pPr>
              <w:autoSpaceDE w:val="0"/>
              <w:autoSpaceDN w:val="0"/>
              <w:adjustRightInd w:val="0"/>
              <w:spacing w:line="196" w:lineRule="atLeast"/>
              <w:jc w:val="center"/>
              <w:rPr>
                <w:b/>
                <w:sz w:val="20"/>
                <w:lang w:val="en-AU"/>
              </w:rPr>
            </w:pPr>
            <w:r w:rsidRPr="003A1363">
              <w:rPr>
                <w:b/>
                <w:sz w:val="20"/>
                <w:lang w:val="en-AU"/>
              </w:rPr>
              <w:t>1 (0.6%)</w:t>
            </w:r>
          </w:p>
        </w:tc>
        <w:tc>
          <w:tcPr>
            <w:tcW w:w="1701" w:type="dxa"/>
          </w:tcPr>
          <w:p w:rsidR="00FE2BFC" w:rsidRPr="00A019E2" w:rsidRDefault="003A1363" w:rsidP="0038234D">
            <w:pPr>
              <w:autoSpaceDE w:val="0"/>
              <w:autoSpaceDN w:val="0"/>
              <w:adjustRightInd w:val="0"/>
              <w:spacing w:line="196" w:lineRule="atLeast"/>
              <w:jc w:val="center"/>
              <w:rPr>
                <w:b/>
                <w:sz w:val="20"/>
                <w:lang w:val="en-AU"/>
              </w:rPr>
            </w:pPr>
            <w:r w:rsidRPr="003A1363">
              <w:rPr>
                <w:b/>
                <w:sz w:val="20"/>
                <w:lang w:val="en-AU"/>
              </w:rPr>
              <w:t>1 (0.7%)</w:t>
            </w:r>
          </w:p>
        </w:tc>
        <w:tc>
          <w:tcPr>
            <w:tcW w:w="1524" w:type="dxa"/>
          </w:tcPr>
          <w:p w:rsidR="00FE2BFC" w:rsidRPr="00A019E2" w:rsidRDefault="003A1363" w:rsidP="0038234D">
            <w:pPr>
              <w:autoSpaceDE w:val="0"/>
              <w:autoSpaceDN w:val="0"/>
              <w:adjustRightInd w:val="0"/>
              <w:spacing w:line="196" w:lineRule="atLeast"/>
              <w:jc w:val="center"/>
              <w:rPr>
                <w:b/>
                <w:sz w:val="20"/>
                <w:lang w:val="en-AU"/>
              </w:rPr>
            </w:pPr>
            <w:r w:rsidRPr="003A1363">
              <w:rPr>
                <w:b/>
                <w:sz w:val="20"/>
                <w:lang w:val="en-AU"/>
              </w:rPr>
              <w:t>2 (0.6%)</w:t>
            </w:r>
          </w:p>
        </w:tc>
      </w:tr>
      <w:tr w:rsidR="00313731" w:rsidRPr="00A019E2" w:rsidTr="00CA4B9C">
        <w:tc>
          <w:tcPr>
            <w:tcW w:w="4503" w:type="dxa"/>
          </w:tcPr>
          <w:p w:rsidR="00313731" w:rsidRPr="00A019E2" w:rsidRDefault="003A1363" w:rsidP="0038234D">
            <w:pPr>
              <w:autoSpaceDE w:val="0"/>
              <w:autoSpaceDN w:val="0"/>
              <w:adjustRightInd w:val="0"/>
              <w:spacing w:line="196" w:lineRule="atLeast"/>
              <w:ind w:left="720"/>
              <w:rPr>
                <w:sz w:val="20"/>
                <w:lang w:val="en-AU"/>
              </w:rPr>
            </w:pPr>
            <w:r w:rsidRPr="003A1363">
              <w:rPr>
                <w:sz w:val="20"/>
                <w:lang w:val="en-AU"/>
              </w:rPr>
              <w:t>Paraplegia</w:t>
            </w:r>
          </w:p>
        </w:tc>
        <w:tc>
          <w:tcPr>
            <w:tcW w:w="1559"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313731" w:rsidRPr="00A019E2" w:rsidTr="00CA4B9C">
        <w:tc>
          <w:tcPr>
            <w:tcW w:w="4503" w:type="dxa"/>
          </w:tcPr>
          <w:p w:rsidR="00313731" w:rsidRPr="00A019E2" w:rsidRDefault="003A1363" w:rsidP="0038234D">
            <w:pPr>
              <w:autoSpaceDE w:val="0"/>
              <w:autoSpaceDN w:val="0"/>
              <w:adjustRightInd w:val="0"/>
              <w:spacing w:line="196" w:lineRule="atLeast"/>
              <w:ind w:left="720"/>
              <w:rPr>
                <w:sz w:val="20"/>
                <w:lang w:val="en-AU"/>
              </w:rPr>
            </w:pPr>
            <w:r w:rsidRPr="003A1363">
              <w:rPr>
                <w:sz w:val="20"/>
                <w:lang w:val="en-AU"/>
              </w:rPr>
              <w:t>Neuralgia</w:t>
            </w:r>
          </w:p>
        </w:tc>
        <w:tc>
          <w:tcPr>
            <w:tcW w:w="1559"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313731" w:rsidRPr="00A019E2" w:rsidTr="00CA4B9C">
        <w:tc>
          <w:tcPr>
            <w:tcW w:w="4503" w:type="dxa"/>
          </w:tcPr>
          <w:p w:rsidR="00313731" w:rsidRPr="00A019E2" w:rsidRDefault="003A1363" w:rsidP="00CA4B9C">
            <w:pPr>
              <w:autoSpaceDE w:val="0"/>
              <w:autoSpaceDN w:val="0"/>
              <w:adjustRightInd w:val="0"/>
              <w:spacing w:line="196" w:lineRule="atLeast"/>
              <w:rPr>
                <w:b/>
                <w:sz w:val="20"/>
                <w:lang w:val="en-AU"/>
              </w:rPr>
            </w:pPr>
            <w:r w:rsidRPr="003A1363">
              <w:rPr>
                <w:b/>
                <w:sz w:val="20"/>
                <w:lang w:val="en-AU"/>
              </w:rPr>
              <w:t>Reproductive system &amp; breast disorders</w:t>
            </w:r>
          </w:p>
        </w:tc>
        <w:tc>
          <w:tcPr>
            <w:tcW w:w="1559" w:type="dxa"/>
          </w:tcPr>
          <w:p w:rsidR="00313731" w:rsidRPr="00A019E2" w:rsidRDefault="003A1363" w:rsidP="0038234D">
            <w:pPr>
              <w:autoSpaceDE w:val="0"/>
              <w:autoSpaceDN w:val="0"/>
              <w:adjustRightInd w:val="0"/>
              <w:spacing w:line="196" w:lineRule="atLeast"/>
              <w:jc w:val="center"/>
              <w:rPr>
                <w:b/>
                <w:sz w:val="20"/>
                <w:lang w:val="en-AU"/>
              </w:rPr>
            </w:pPr>
            <w:r w:rsidRPr="003A1363">
              <w:rPr>
                <w:b/>
                <w:sz w:val="20"/>
                <w:lang w:val="en-AU"/>
              </w:rPr>
              <w:t>1 (0.6%)</w:t>
            </w:r>
          </w:p>
        </w:tc>
        <w:tc>
          <w:tcPr>
            <w:tcW w:w="1701" w:type="dxa"/>
          </w:tcPr>
          <w:p w:rsidR="00313731" w:rsidRPr="00A019E2" w:rsidRDefault="003A1363" w:rsidP="0038234D">
            <w:pPr>
              <w:autoSpaceDE w:val="0"/>
              <w:autoSpaceDN w:val="0"/>
              <w:adjustRightInd w:val="0"/>
              <w:spacing w:line="196" w:lineRule="atLeast"/>
              <w:jc w:val="center"/>
              <w:rPr>
                <w:b/>
                <w:sz w:val="20"/>
                <w:lang w:val="en-AU"/>
              </w:rPr>
            </w:pPr>
            <w:r w:rsidRPr="003A1363">
              <w:rPr>
                <w:b/>
                <w:sz w:val="20"/>
                <w:lang w:val="en-AU"/>
              </w:rPr>
              <w:t>0 (0.0%)</w:t>
            </w:r>
          </w:p>
        </w:tc>
        <w:tc>
          <w:tcPr>
            <w:tcW w:w="1524" w:type="dxa"/>
          </w:tcPr>
          <w:p w:rsidR="00313731" w:rsidRPr="00A019E2" w:rsidRDefault="003A1363" w:rsidP="0038234D">
            <w:pPr>
              <w:autoSpaceDE w:val="0"/>
              <w:autoSpaceDN w:val="0"/>
              <w:adjustRightInd w:val="0"/>
              <w:spacing w:line="196" w:lineRule="atLeast"/>
              <w:jc w:val="center"/>
              <w:rPr>
                <w:b/>
                <w:sz w:val="20"/>
                <w:lang w:val="en-AU"/>
              </w:rPr>
            </w:pPr>
            <w:r w:rsidRPr="003A1363">
              <w:rPr>
                <w:b/>
                <w:sz w:val="20"/>
                <w:lang w:val="en-AU"/>
              </w:rPr>
              <w:t>1 (0.3%)</w:t>
            </w:r>
          </w:p>
        </w:tc>
      </w:tr>
      <w:tr w:rsidR="00313731" w:rsidRPr="00A019E2" w:rsidTr="00CA4B9C">
        <w:tc>
          <w:tcPr>
            <w:tcW w:w="4503" w:type="dxa"/>
          </w:tcPr>
          <w:p w:rsidR="00313731" w:rsidRPr="00A019E2" w:rsidRDefault="003A1363" w:rsidP="0038234D">
            <w:pPr>
              <w:autoSpaceDE w:val="0"/>
              <w:autoSpaceDN w:val="0"/>
              <w:adjustRightInd w:val="0"/>
              <w:spacing w:line="196" w:lineRule="atLeast"/>
              <w:ind w:left="720"/>
              <w:rPr>
                <w:sz w:val="20"/>
                <w:lang w:val="en-AU"/>
              </w:rPr>
            </w:pPr>
            <w:r w:rsidRPr="003A1363">
              <w:rPr>
                <w:sz w:val="20"/>
                <w:lang w:val="en-AU"/>
              </w:rPr>
              <w:t>Epididymitis</w:t>
            </w:r>
          </w:p>
        </w:tc>
        <w:tc>
          <w:tcPr>
            <w:tcW w:w="1559"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313731" w:rsidRPr="00A019E2" w:rsidTr="00CA4B9C">
        <w:tc>
          <w:tcPr>
            <w:tcW w:w="4503" w:type="dxa"/>
          </w:tcPr>
          <w:p w:rsidR="00313731" w:rsidRPr="00A019E2" w:rsidRDefault="003A1363" w:rsidP="00CA4B9C">
            <w:pPr>
              <w:autoSpaceDE w:val="0"/>
              <w:autoSpaceDN w:val="0"/>
              <w:adjustRightInd w:val="0"/>
              <w:spacing w:line="196" w:lineRule="atLeast"/>
              <w:rPr>
                <w:b/>
                <w:sz w:val="20"/>
                <w:lang w:val="en-AU"/>
              </w:rPr>
            </w:pPr>
            <w:r w:rsidRPr="003A1363">
              <w:rPr>
                <w:b/>
                <w:sz w:val="20"/>
                <w:lang w:val="en-AU"/>
              </w:rPr>
              <w:t>Respiratory, thoracic &amp; mediastinal disorders</w:t>
            </w:r>
          </w:p>
        </w:tc>
        <w:tc>
          <w:tcPr>
            <w:tcW w:w="1559" w:type="dxa"/>
          </w:tcPr>
          <w:p w:rsidR="00313731" w:rsidRPr="00A019E2" w:rsidRDefault="003A1363" w:rsidP="0038234D">
            <w:pPr>
              <w:autoSpaceDE w:val="0"/>
              <w:autoSpaceDN w:val="0"/>
              <w:adjustRightInd w:val="0"/>
              <w:spacing w:line="196" w:lineRule="atLeast"/>
              <w:jc w:val="center"/>
              <w:rPr>
                <w:b/>
                <w:sz w:val="20"/>
                <w:lang w:val="en-AU"/>
              </w:rPr>
            </w:pPr>
            <w:r w:rsidRPr="003A1363">
              <w:rPr>
                <w:b/>
                <w:sz w:val="20"/>
                <w:lang w:val="en-AU"/>
              </w:rPr>
              <w:t>2 (1.2%)</w:t>
            </w:r>
          </w:p>
        </w:tc>
        <w:tc>
          <w:tcPr>
            <w:tcW w:w="1701" w:type="dxa"/>
          </w:tcPr>
          <w:p w:rsidR="00313731" w:rsidRPr="00A019E2" w:rsidRDefault="003A1363" w:rsidP="0038234D">
            <w:pPr>
              <w:autoSpaceDE w:val="0"/>
              <w:autoSpaceDN w:val="0"/>
              <w:adjustRightInd w:val="0"/>
              <w:spacing w:line="196" w:lineRule="atLeast"/>
              <w:jc w:val="center"/>
              <w:rPr>
                <w:b/>
                <w:sz w:val="20"/>
                <w:lang w:val="en-AU"/>
              </w:rPr>
            </w:pPr>
            <w:r w:rsidRPr="003A1363">
              <w:rPr>
                <w:b/>
                <w:sz w:val="20"/>
                <w:lang w:val="en-AU"/>
              </w:rPr>
              <w:t>3 (2.0%)</w:t>
            </w:r>
          </w:p>
        </w:tc>
        <w:tc>
          <w:tcPr>
            <w:tcW w:w="1524" w:type="dxa"/>
          </w:tcPr>
          <w:p w:rsidR="00313731" w:rsidRPr="00A019E2" w:rsidRDefault="003A1363" w:rsidP="0038234D">
            <w:pPr>
              <w:autoSpaceDE w:val="0"/>
              <w:autoSpaceDN w:val="0"/>
              <w:adjustRightInd w:val="0"/>
              <w:spacing w:line="196" w:lineRule="atLeast"/>
              <w:jc w:val="center"/>
              <w:rPr>
                <w:b/>
                <w:sz w:val="20"/>
                <w:lang w:val="en-AU"/>
              </w:rPr>
            </w:pPr>
            <w:r w:rsidRPr="003A1363">
              <w:rPr>
                <w:b/>
                <w:sz w:val="20"/>
                <w:lang w:val="en-AU"/>
              </w:rPr>
              <w:t>5 (1.6%)</w:t>
            </w:r>
          </w:p>
        </w:tc>
      </w:tr>
      <w:tr w:rsidR="00313731" w:rsidRPr="00A019E2" w:rsidTr="00CA4B9C">
        <w:tc>
          <w:tcPr>
            <w:tcW w:w="4503" w:type="dxa"/>
          </w:tcPr>
          <w:p w:rsidR="00313731" w:rsidRPr="00A019E2" w:rsidRDefault="003A1363" w:rsidP="0038234D">
            <w:pPr>
              <w:autoSpaceDE w:val="0"/>
              <w:autoSpaceDN w:val="0"/>
              <w:adjustRightInd w:val="0"/>
              <w:spacing w:line="196" w:lineRule="atLeast"/>
              <w:ind w:left="720"/>
              <w:rPr>
                <w:sz w:val="20"/>
                <w:lang w:val="en-AU"/>
              </w:rPr>
            </w:pPr>
            <w:r w:rsidRPr="003A1363">
              <w:rPr>
                <w:sz w:val="20"/>
                <w:lang w:val="en-AU"/>
              </w:rPr>
              <w:t>Lung infiltration</w:t>
            </w:r>
          </w:p>
        </w:tc>
        <w:tc>
          <w:tcPr>
            <w:tcW w:w="1559"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313731" w:rsidRPr="00A019E2" w:rsidTr="00CA4B9C">
        <w:tc>
          <w:tcPr>
            <w:tcW w:w="4503" w:type="dxa"/>
          </w:tcPr>
          <w:p w:rsidR="00313731" w:rsidRPr="00A019E2" w:rsidRDefault="003A1363" w:rsidP="0038234D">
            <w:pPr>
              <w:autoSpaceDE w:val="0"/>
              <w:autoSpaceDN w:val="0"/>
              <w:adjustRightInd w:val="0"/>
              <w:spacing w:line="196" w:lineRule="atLeast"/>
              <w:ind w:left="720"/>
              <w:rPr>
                <w:sz w:val="20"/>
                <w:lang w:val="en-AU"/>
              </w:rPr>
            </w:pPr>
            <w:r w:rsidRPr="003A1363">
              <w:rPr>
                <w:sz w:val="20"/>
                <w:lang w:val="en-AU"/>
              </w:rPr>
              <w:t>Pleural effusion</w:t>
            </w:r>
          </w:p>
        </w:tc>
        <w:tc>
          <w:tcPr>
            <w:tcW w:w="1559"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313731" w:rsidRPr="00A019E2" w:rsidTr="00CA4B9C">
        <w:tc>
          <w:tcPr>
            <w:tcW w:w="4503" w:type="dxa"/>
          </w:tcPr>
          <w:p w:rsidR="00313731" w:rsidRPr="00A019E2" w:rsidRDefault="003A1363" w:rsidP="0038234D">
            <w:pPr>
              <w:autoSpaceDE w:val="0"/>
              <w:autoSpaceDN w:val="0"/>
              <w:adjustRightInd w:val="0"/>
              <w:spacing w:line="196" w:lineRule="atLeast"/>
              <w:ind w:left="720"/>
              <w:rPr>
                <w:sz w:val="20"/>
                <w:lang w:val="en-AU"/>
              </w:rPr>
            </w:pPr>
            <w:r w:rsidRPr="003A1363">
              <w:rPr>
                <w:sz w:val="20"/>
                <w:lang w:val="en-AU"/>
              </w:rPr>
              <w:t>Epistaxis</w:t>
            </w:r>
          </w:p>
        </w:tc>
        <w:tc>
          <w:tcPr>
            <w:tcW w:w="1559"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313731" w:rsidRPr="00A019E2" w:rsidTr="00CA4B9C">
        <w:tc>
          <w:tcPr>
            <w:tcW w:w="4503" w:type="dxa"/>
          </w:tcPr>
          <w:p w:rsidR="00313731" w:rsidRPr="00A019E2" w:rsidRDefault="003A1363" w:rsidP="0038234D">
            <w:pPr>
              <w:autoSpaceDE w:val="0"/>
              <w:autoSpaceDN w:val="0"/>
              <w:adjustRightInd w:val="0"/>
              <w:spacing w:line="196" w:lineRule="atLeast"/>
              <w:ind w:left="720"/>
              <w:rPr>
                <w:sz w:val="20"/>
                <w:lang w:val="en-AU"/>
              </w:rPr>
            </w:pPr>
            <w:r w:rsidRPr="003A1363">
              <w:rPr>
                <w:sz w:val="20"/>
                <w:lang w:val="en-AU"/>
              </w:rPr>
              <w:t>Laryngeal oedema</w:t>
            </w:r>
          </w:p>
        </w:tc>
        <w:tc>
          <w:tcPr>
            <w:tcW w:w="1559"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313731" w:rsidRPr="00A019E2" w:rsidTr="00CA4B9C">
        <w:tc>
          <w:tcPr>
            <w:tcW w:w="4503" w:type="dxa"/>
          </w:tcPr>
          <w:p w:rsidR="00313731" w:rsidRPr="00A019E2" w:rsidRDefault="003A1363" w:rsidP="0038234D">
            <w:pPr>
              <w:autoSpaceDE w:val="0"/>
              <w:autoSpaceDN w:val="0"/>
              <w:adjustRightInd w:val="0"/>
              <w:spacing w:line="196" w:lineRule="atLeast"/>
              <w:ind w:left="720"/>
              <w:rPr>
                <w:sz w:val="20"/>
                <w:lang w:val="en-AU"/>
              </w:rPr>
            </w:pPr>
            <w:r w:rsidRPr="003A1363">
              <w:rPr>
                <w:sz w:val="20"/>
                <w:lang w:val="en-AU"/>
              </w:rPr>
              <w:t>Pulmonary embolism</w:t>
            </w:r>
          </w:p>
        </w:tc>
        <w:tc>
          <w:tcPr>
            <w:tcW w:w="1559"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313731" w:rsidRPr="00A019E2" w:rsidTr="00CA4B9C">
        <w:tc>
          <w:tcPr>
            <w:tcW w:w="4503" w:type="dxa"/>
          </w:tcPr>
          <w:p w:rsidR="00313731" w:rsidRPr="00A019E2" w:rsidRDefault="003A1363" w:rsidP="00CA4B9C">
            <w:pPr>
              <w:autoSpaceDE w:val="0"/>
              <w:autoSpaceDN w:val="0"/>
              <w:adjustRightInd w:val="0"/>
              <w:spacing w:line="196" w:lineRule="atLeast"/>
              <w:rPr>
                <w:b/>
                <w:sz w:val="20"/>
                <w:lang w:val="en-AU"/>
              </w:rPr>
            </w:pPr>
            <w:r w:rsidRPr="003A1363">
              <w:rPr>
                <w:b/>
                <w:sz w:val="20"/>
                <w:lang w:val="en-AU"/>
              </w:rPr>
              <w:t>Skin &amp; subcutaneous tissue disorders</w:t>
            </w:r>
          </w:p>
        </w:tc>
        <w:tc>
          <w:tcPr>
            <w:tcW w:w="1559" w:type="dxa"/>
          </w:tcPr>
          <w:p w:rsidR="00313731" w:rsidRPr="00A019E2" w:rsidRDefault="003A1363" w:rsidP="0038234D">
            <w:pPr>
              <w:autoSpaceDE w:val="0"/>
              <w:autoSpaceDN w:val="0"/>
              <w:adjustRightInd w:val="0"/>
              <w:spacing w:line="196" w:lineRule="atLeast"/>
              <w:jc w:val="center"/>
              <w:rPr>
                <w:b/>
                <w:sz w:val="20"/>
                <w:lang w:val="en-AU"/>
              </w:rPr>
            </w:pPr>
            <w:r w:rsidRPr="003A1363">
              <w:rPr>
                <w:b/>
                <w:sz w:val="20"/>
                <w:lang w:val="en-AU"/>
              </w:rPr>
              <w:t>1 (0.6%)</w:t>
            </w:r>
          </w:p>
        </w:tc>
        <w:tc>
          <w:tcPr>
            <w:tcW w:w="1701" w:type="dxa"/>
          </w:tcPr>
          <w:p w:rsidR="00313731" w:rsidRPr="00A019E2" w:rsidRDefault="003A1363" w:rsidP="0038234D">
            <w:pPr>
              <w:autoSpaceDE w:val="0"/>
              <w:autoSpaceDN w:val="0"/>
              <w:adjustRightInd w:val="0"/>
              <w:spacing w:line="196" w:lineRule="atLeast"/>
              <w:jc w:val="center"/>
              <w:rPr>
                <w:b/>
                <w:sz w:val="20"/>
                <w:lang w:val="en-AU"/>
              </w:rPr>
            </w:pPr>
            <w:r w:rsidRPr="003A1363">
              <w:rPr>
                <w:b/>
                <w:sz w:val="20"/>
                <w:lang w:val="en-AU"/>
              </w:rPr>
              <w:t>0 (0.0%)</w:t>
            </w:r>
          </w:p>
        </w:tc>
        <w:tc>
          <w:tcPr>
            <w:tcW w:w="1524" w:type="dxa"/>
          </w:tcPr>
          <w:p w:rsidR="00313731" w:rsidRPr="00A019E2" w:rsidRDefault="003A1363" w:rsidP="0038234D">
            <w:pPr>
              <w:autoSpaceDE w:val="0"/>
              <w:autoSpaceDN w:val="0"/>
              <w:adjustRightInd w:val="0"/>
              <w:spacing w:line="196" w:lineRule="atLeast"/>
              <w:jc w:val="center"/>
              <w:rPr>
                <w:b/>
                <w:sz w:val="20"/>
                <w:lang w:val="en-AU"/>
              </w:rPr>
            </w:pPr>
            <w:r w:rsidRPr="003A1363">
              <w:rPr>
                <w:b/>
                <w:sz w:val="20"/>
                <w:lang w:val="en-AU"/>
              </w:rPr>
              <w:t>1 (0.3%)</w:t>
            </w:r>
          </w:p>
        </w:tc>
      </w:tr>
      <w:tr w:rsidR="00313731" w:rsidRPr="00A019E2" w:rsidTr="00CA4B9C">
        <w:tc>
          <w:tcPr>
            <w:tcW w:w="4503" w:type="dxa"/>
          </w:tcPr>
          <w:p w:rsidR="00313731" w:rsidRPr="00A019E2" w:rsidRDefault="003A1363" w:rsidP="0038234D">
            <w:pPr>
              <w:autoSpaceDE w:val="0"/>
              <w:autoSpaceDN w:val="0"/>
              <w:adjustRightInd w:val="0"/>
              <w:spacing w:line="196" w:lineRule="atLeast"/>
              <w:ind w:left="720"/>
              <w:rPr>
                <w:sz w:val="20"/>
                <w:lang w:val="en-AU"/>
              </w:rPr>
            </w:pPr>
            <w:r w:rsidRPr="003A1363">
              <w:rPr>
                <w:sz w:val="20"/>
                <w:lang w:val="en-AU"/>
              </w:rPr>
              <w:t>Urticaria</w:t>
            </w:r>
          </w:p>
        </w:tc>
        <w:tc>
          <w:tcPr>
            <w:tcW w:w="1559"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313731" w:rsidRPr="00A019E2" w:rsidTr="00CA4B9C">
        <w:tc>
          <w:tcPr>
            <w:tcW w:w="4503" w:type="dxa"/>
          </w:tcPr>
          <w:p w:rsidR="00313731" w:rsidRPr="00A019E2" w:rsidRDefault="003A1363" w:rsidP="00CA4B9C">
            <w:pPr>
              <w:autoSpaceDE w:val="0"/>
              <w:autoSpaceDN w:val="0"/>
              <w:adjustRightInd w:val="0"/>
              <w:spacing w:line="196" w:lineRule="atLeast"/>
              <w:rPr>
                <w:b/>
                <w:sz w:val="20"/>
                <w:lang w:val="en-AU"/>
              </w:rPr>
            </w:pPr>
            <w:r w:rsidRPr="003A1363">
              <w:rPr>
                <w:b/>
                <w:sz w:val="20"/>
                <w:lang w:val="en-AU"/>
              </w:rPr>
              <w:t>Surgical &amp; medical procedures</w:t>
            </w:r>
          </w:p>
        </w:tc>
        <w:tc>
          <w:tcPr>
            <w:tcW w:w="1559" w:type="dxa"/>
          </w:tcPr>
          <w:p w:rsidR="00313731" w:rsidRPr="00A019E2" w:rsidRDefault="003A1363" w:rsidP="0038234D">
            <w:pPr>
              <w:autoSpaceDE w:val="0"/>
              <w:autoSpaceDN w:val="0"/>
              <w:adjustRightInd w:val="0"/>
              <w:spacing w:line="196" w:lineRule="atLeast"/>
              <w:jc w:val="center"/>
              <w:rPr>
                <w:b/>
                <w:sz w:val="20"/>
                <w:lang w:val="en-AU"/>
              </w:rPr>
            </w:pPr>
            <w:r w:rsidRPr="003A1363">
              <w:rPr>
                <w:b/>
                <w:sz w:val="20"/>
                <w:lang w:val="en-AU"/>
              </w:rPr>
              <w:t>1 (0.6%)</w:t>
            </w:r>
          </w:p>
        </w:tc>
        <w:tc>
          <w:tcPr>
            <w:tcW w:w="1701" w:type="dxa"/>
          </w:tcPr>
          <w:p w:rsidR="00313731" w:rsidRPr="00A019E2" w:rsidRDefault="003A1363" w:rsidP="0038234D">
            <w:pPr>
              <w:autoSpaceDE w:val="0"/>
              <w:autoSpaceDN w:val="0"/>
              <w:adjustRightInd w:val="0"/>
              <w:spacing w:line="196" w:lineRule="atLeast"/>
              <w:jc w:val="center"/>
              <w:rPr>
                <w:b/>
                <w:sz w:val="20"/>
                <w:lang w:val="en-AU"/>
              </w:rPr>
            </w:pPr>
            <w:r w:rsidRPr="003A1363">
              <w:rPr>
                <w:b/>
                <w:sz w:val="20"/>
                <w:lang w:val="en-AU"/>
              </w:rPr>
              <w:t>0 (0.0%)</w:t>
            </w:r>
          </w:p>
        </w:tc>
        <w:tc>
          <w:tcPr>
            <w:tcW w:w="1524" w:type="dxa"/>
          </w:tcPr>
          <w:p w:rsidR="00313731" w:rsidRPr="00A019E2" w:rsidRDefault="003A1363" w:rsidP="0038234D">
            <w:pPr>
              <w:autoSpaceDE w:val="0"/>
              <w:autoSpaceDN w:val="0"/>
              <w:adjustRightInd w:val="0"/>
              <w:spacing w:line="196" w:lineRule="atLeast"/>
              <w:jc w:val="center"/>
              <w:rPr>
                <w:b/>
                <w:sz w:val="20"/>
                <w:lang w:val="en-AU"/>
              </w:rPr>
            </w:pPr>
            <w:r w:rsidRPr="003A1363">
              <w:rPr>
                <w:b/>
                <w:sz w:val="20"/>
                <w:lang w:val="en-AU"/>
              </w:rPr>
              <w:t>1 (0.3%)</w:t>
            </w:r>
          </w:p>
        </w:tc>
      </w:tr>
      <w:tr w:rsidR="00313731" w:rsidRPr="00A019E2" w:rsidTr="00CA4B9C">
        <w:tc>
          <w:tcPr>
            <w:tcW w:w="4503" w:type="dxa"/>
          </w:tcPr>
          <w:p w:rsidR="00313731" w:rsidRPr="00A019E2" w:rsidRDefault="003A1363" w:rsidP="0038234D">
            <w:pPr>
              <w:autoSpaceDE w:val="0"/>
              <w:autoSpaceDN w:val="0"/>
              <w:adjustRightInd w:val="0"/>
              <w:spacing w:line="196" w:lineRule="atLeast"/>
              <w:ind w:left="720"/>
              <w:rPr>
                <w:sz w:val="20"/>
                <w:lang w:val="en-AU"/>
              </w:rPr>
            </w:pPr>
            <w:r w:rsidRPr="003A1363">
              <w:rPr>
                <w:sz w:val="20"/>
                <w:lang w:val="en-AU"/>
              </w:rPr>
              <w:t>Cardiovascular event prophylaxis</w:t>
            </w:r>
          </w:p>
        </w:tc>
        <w:tc>
          <w:tcPr>
            <w:tcW w:w="1559"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313731" w:rsidRPr="00A019E2" w:rsidTr="00CA4B9C">
        <w:tc>
          <w:tcPr>
            <w:tcW w:w="4503" w:type="dxa"/>
          </w:tcPr>
          <w:p w:rsidR="00313731" w:rsidRPr="00A019E2" w:rsidRDefault="003A1363" w:rsidP="00CA4B9C">
            <w:pPr>
              <w:autoSpaceDE w:val="0"/>
              <w:autoSpaceDN w:val="0"/>
              <w:adjustRightInd w:val="0"/>
              <w:spacing w:line="196" w:lineRule="atLeast"/>
              <w:rPr>
                <w:b/>
                <w:sz w:val="20"/>
                <w:lang w:val="en-AU"/>
              </w:rPr>
            </w:pPr>
            <w:r w:rsidRPr="003A1363">
              <w:rPr>
                <w:b/>
                <w:sz w:val="20"/>
                <w:lang w:val="en-AU"/>
              </w:rPr>
              <w:t>Vascular disorders</w:t>
            </w:r>
          </w:p>
        </w:tc>
        <w:tc>
          <w:tcPr>
            <w:tcW w:w="1559" w:type="dxa"/>
          </w:tcPr>
          <w:p w:rsidR="00313731" w:rsidRPr="00A019E2" w:rsidRDefault="003A1363" w:rsidP="0038234D">
            <w:pPr>
              <w:autoSpaceDE w:val="0"/>
              <w:autoSpaceDN w:val="0"/>
              <w:adjustRightInd w:val="0"/>
              <w:spacing w:line="196" w:lineRule="atLeast"/>
              <w:jc w:val="center"/>
              <w:rPr>
                <w:b/>
                <w:sz w:val="20"/>
                <w:lang w:val="en-AU"/>
              </w:rPr>
            </w:pPr>
            <w:r w:rsidRPr="003A1363">
              <w:rPr>
                <w:b/>
                <w:sz w:val="20"/>
                <w:lang w:val="en-AU"/>
              </w:rPr>
              <w:t>2 (1.2%)</w:t>
            </w:r>
          </w:p>
        </w:tc>
        <w:tc>
          <w:tcPr>
            <w:tcW w:w="1701" w:type="dxa"/>
          </w:tcPr>
          <w:p w:rsidR="00313731" w:rsidRPr="00A019E2" w:rsidRDefault="003A1363" w:rsidP="0038234D">
            <w:pPr>
              <w:autoSpaceDE w:val="0"/>
              <w:autoSpaceDN w:val="0"/>
              <w:adjustRightInd w:val="0"/>
              <w:spacing w:line="196" w:lineRule="atLeast"/>
              <w:jc w:val="center"/>
              <w:rPr>
                <w:b/>
                <w:sz w:val="20"/>
                <w:lang w:val="en-AU"/>
              </w:rPr>
            </w:pPr>
            <w:r w:rsidRPr="003A1363">
              <w:rPr>
                <w:b/>
                <w:sz w:val="20"/>
                <w:lang w:val="en-AU"/>
              </w:rPr>
              <w:t>3 (2.0%)</w:t>
            </w:r>
          </w:p>
        </w:tc>
        <w:tc>
          <w:tcPr>
            <w:tcW w:w="1524" w:type="dxa"/>
          </w:tcPr>
          <w:p w:rsidR="00313731" w:rsidRPr="00A019E2" w:rsidRDefault="003A1363" w:rsidP="0038234D">
            <w:pPr>
              <w:autoSpaceDE w:val="0"/>
              <w:autoSpaceDN w:val="0"/>
              <w:adjustRightInd w:val="0"/>
              <w:spacing w:line="196" w:lineRule="atLeast"/>
              <w:jc w:val="center"/>
              <w:rPr>
                <w:b/>
                <w:sz w:val="20"/>
                <w:lang w:val="en-AU"/>
              </w:rPr>
            </w:pPr>
            <w:r w:rsidRPr="003A1363">
              <w:rPr>
                <w:b/>
                <w:sz w:val="20"/>
                <w:lang w:val="en-AU"/>
              </w:rPr>
              <w:t>5 (1.6%)</w:t>
            </w:r>
          </w:p>
        </w:tc>
      </w:tr>
      <w:tr w:rsidR="00313731" w:rsidRPr="00A019E2" w:rsidTr="00CA4B9C">
        <w:tc>
          <w:tcPr>
            <w:tcW w:w="4503" w:type="dxa"/>
          </w:tcPr>
          <w:p w:rsidR="00313731" w:rsidRPr="00A019E2" w:rsidRDefault="003A1363" w:rsidP="0038234D">
            <w:pPr>
              <w:autoSpaceDE w:val="0"/>
              <w:autoSpaceDN w:val="0"/>
              <w:adjustRightInd w:val="0"/>
              <w:spacing w:line="196" w:lineRule="atLeast"/>
              <w:ind w:left="720"/>
              <w:rPr>
                <w:sz w:val="20"/>
                <w:lang w:val="en-AU"/>
              </w:rPr>
            </w:pPr>
            <w:r w:rsidRPr="003A1363">
              <w:rPr>
                <w:sz w:val="20"/>
                <w:lang w:val="en-AU"/>
              </w:rPr>
              <w:t>Phlebitis</w:t>
            </w:r>
          </w:p>
        </w:tc>
        <w:tc>
          <w:tcPr>
            <w:tcW w:w="1559"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2 (0.6%)</w:t>
            </w:r>
          </w:p>
        </w:tc>
      </w:tr>
      <w:tr w:rsidR="00313731" w:rsidRPr="00A019E2" w:rsidTr="00CA4B9C">
        <w:tc>
          <w:tcPr>
            <w:tcW w:w="4503" w:type="dxa"/>
          </w:tcPr>
          <w:p w:rsidR="00313731" w:rsidRPr="00A019E2" w:rsidRDefault="003A1363" w:rsidP="0038234D">
            <w:pPr>
              <w:autoSpaceDE w:val="0"/>
              <w:autoSpaceDN w:val="0"/>
              <w:adjustRightInd w:val="0"/>
              <w:spacing w:line="196" w:lineRule="atLeast"/>
              <w:ind w:left="720"/>
              <w:rPr>
                <w:sz w:val="20"/>
                <w:lang w:val="en-AU"/>
              </w:rPr>
            </w:pPr>
            <w:r w:rsidRPr="003A1363">
              <w:rPr>
                <w:sz w:val="20"/>
                <w:lang w:val="en-AU"/>
              </w:rPr>
              <w:t>Vasculitis</w:t>
            </w:r>
          </w:p>
        </w:tc>
        <w:tc>
          <w:tcPr>
            <w:tcW w:w="1559"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(0.6%)</w:t>
            </w:r>
          </w:p>
        </w:tc>
        <w:tc>
          <w:tcPr>
            <w:tcW w:w="1701"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524" w:type="dxa"/>
          </w:tcPr>
          <w:p w:rsidR="00313731"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8008E1" w:rsidRPr="00A019E2" w:rsidTr="00CA4B9C">
        <w:tc>
          <w:tcPr>
            <w:tcW w:w="4503" w:type="dxa"/>
          </w:tcPr>
          <w:p w:rsidR="008008E1" w:rsidRPr="00A019E2" w:rsidRDefault="003A1363" w:rsidP="0038234D">
            <w:pPr>
              <w:autoSpaceDE w:val="0"/>
              <w:autoSpaceDN w:val="0"/>
              <w:adjustRightInd w:val="0"/>
              <w:spacing w:line="196" w:lineRule="atLeast"/>
              <w:ind w:left="720"/>
              <w:rPr>
                <w:sz w:val="20"/>
                <w:lang w:val="en-AU"/>
              </w:rPr>
            </w:pPr>
            <w:r w:rsidRPr="003A1363">
              <w:rPr>
                <w:sz w:val="20"/>
                <w:lang w:val="en-AU"/>
              </w:rPr>
              <w:t>Arterial occlusive disease</w:t>
            </w:r>
          </w:p>
        </w:tc>
        <w:tc>
          <w:tcPr>
            <w:tcW w:w="1559" w:type="dxa"/>
          </w:tcPr>
          <w:p w:rsidR="008008E1"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8008E1"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8008E1"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r w:rsidR="008008E1" w:rsidRPr="00A019E2" w:rsidTr="00CA4B9C">
        <w:tc>
          <w:tcPr>
            <w:tcW w:w="4503" w:type="dxa"/>
          </w:tcPr>
          <w:p w:rsidR="008008E1" w:rsidRPr="00A019E2" w:rsidRDefault="003A1363" w:rsidP="0038234D">
            <w:pPr>
              <w:autoSpaceDE w:val="0"/>
              <w:autoSpaceDN w:val="0"/>
              <w:adjustRightInd w:val="0"/>
              <w:spacing w:line="196" w:lineRule="atLeast"/>
              <w:ind w:left="720"/>
              <w:rPr>
                <w:sz w:val="20"/>
                <w:lang w:val="en-AU"/>
              </w:rPr>
            </w:pPr>
            <w:r w:rsidRPr="003A1363">
              <w:rPr>
                <w:sz w:val="20"/>
                <w:lang w:val="en-AU"/>
              </w:rPr>
              <w:t>Haemorrhage</w:t>
            </w:r>
          </w:p>
        </w:tc>
        <w:tc>
          <w:tcPr>
            <w:tcW w:w="1559" w:type="dxa"/>
          </w:tcPr>
          <w:p w:rsidR="008008E1" w:rsidRPr="00A019E2" w:rsidRDefault="003A1363" w:rsidP="0038234D">
            <w:pPr>
              <w:autoSpaceDE w:val="0"/>
              <w:autoSpaceDN w:val="0"/>
              <w:adjustRightInd w:val="0"/>
              <w:spacing w:line="196" w:lineRule="atLeast"/>
              <w:jc w:val="center"/>
              <w:rPr>
                <w:sz w:val="20"/>
                <w:lang w:val="en-AU"/>
              </w:rPr>
            </w:pPr>
            <w:r w:rsidRPr="003A1363">
              <w:rPr>
                <w:sz w:val="20"/>
                <w:lang w:val="en-AU"/>
              </w:rPr>
              <w:t>0 (0.0%)</w:t>
            </w:r>
          </w:p>
        </w:tc>
        <w:tc>
          <w:tcPr>
            <w:tcW w:w="1701" w:type="dxa"/>
          </w:tcPr>
          <w:p w:rsidR="008008E1" w:rsidRPr="00A019E2" w:rsidRDefault="003A1363" w:rsidP="0038234D">
            <w:pPr>
              <w:autoSpaceDE w:val="0"/>
              <w:autoSpaceDN w:val="0"/>
              <w:adjustRightInd w:val="0"/>
              <w:spacing w:line="196" w:lineRule="atLeast"/>
              <w:jc w:val="center"/>
              <w:rPr>
                <w:sz w:val="20"/>
                <w:lang w:val="en-AU"/>
              </w:rPr>
            </w:pPr>
            <w:r w:rsidRPr="003A1363">
              <w:rPr>
                <w:sz w:val="20"/>
                <w:lang w:val="en-AU"/>
              </w:rPr>
              <w:t>1 (0.7%)</w:t>
            </w:r>
          </w:p>
        </w:tc>
        <w:tc>
          <w:tcPr>
            <w:tcW w:w="1524" w:type="dxa"/>
          </w:tcPr>
          <w:p w:rsidR="008008E1" w:rsidRPr="00A019E2" w:rsidRDefault="003A1363" w:rsidP="0038234D">
            <w:pPr>
              <w:autoSpaceDE w:val="0"/>
              <w:autoSpaceDN w:val="0"/>
              <w:adjustRightInd w:val="0"/>
              <w:spacing w:line="196" w:lineRule="atLeast"/>
              <w:jc w:val="center"/>
              <w:rPr>
                <w:sz w:val="20"/>
                <w:lang w:val="en-AU"/>
              </w:rPr>
            </w:pPr>
            <w:r w:rsidRPr="003A1363">
              <w:rPr>
                <w:sz w:val="20"/>
                <w:lang w:val="en-AU"/>
              </w:rPr>
              <w:t>1 (0.3%)</w:t>
            </w:r>
          </w:p>
        </w:tc>
      </w:tr>
    </w:tbl>
    <w:p w:rsidR="008008E1" w:rsidRPr="00A019E2" w:rsidRDefault="003A1363" w:rsidP="008008E1">
      <w:pPr>
        <w:rPr>
          <w:sz w:val="20"/>
          <w:lang w:val="en-AU"/>
        </w:rPr>
      </w:pPr>
      <w:r w:rsidRPr="003A1363">
        <w:rPr>
          <w:sz w:val="18"/>
          <w:szCs w:val="18"/>
          <w:lang w:val="en-AU"/>
        </w:rPr>
        <w:t>Note: Patients are counted only once in each preferred term category and only once in each system organ class. Within each system organ class preferred terms were sorted descending according the frequency in the BEN group</w:t>
      </w:r>
      <w:r w:rsidRPr="003A1363">
        <w:rPr>
          <w:sz w:val="20"/>
          <w:lang w:val="en-AU"/>
        </w:rPr>
        <w:t>.</w:t>
      </w:r>
    </w:p>
    <w:p w:rsidR="008008E1" w:rsidRPr="00A019E2" w:rsidRDefault="003A1363" w:rsidP="008008E1">
      <w:pPr>
        <w:rPr>
          <w:lang w:val="en-AU"/>
        </w:rPr>
      </w:pPr>
      <w:r w:rsidRPr="003A1363">
        <w:rPr>
          <w:lang w:val="en-AU"/>
        </w:rPr>
        <w:lastRenderedPageBreak/>
        <w:t>Number of adverse events possible, probable or definite related to the study medication (including missing relationship) was higher in the bendamustine arm than in the chlorambucil arm. Especially blood and lymphatic system disorders, gastrointestinal disorders and pyrexia occurred more frequently under bendamustine than under chlorambucil.</w:t>
      </w:r>
    </w:p>
    <w:p w:rsidR="00111C50" w:rsidRPr="00A019E2" w:rsidRDefault="003A1363" w:rsidP="00CA4B9C">
      <w:pPr>
        <w:rPr>
          <w:b/>
          <w:sz w:val="20"/>
          <w:lang w:val="en-AU"/>
        </w:rPr>
      </w:pPr>
      <w:r w:rsidRPr="003A1363">
        <w:rPr>
          <w:b/>
          <w:sz w:val="20"/>
          <w:lang w:val="en-AU"/>
        </w:rPr>
        <w:t>Table 8: Drug related adverse events by CTC category in at least 5% of patients in either treatment group by system organ class and preferred term – safety population</w:t>
      </w:r>
    </w:p>
    <w:tbl>
      <w:tblPr>
        <w:tblStyle w:val="TableGrid"/>
        <w:tblW w:w="0" w:type="auto"/>
        <w:tblLook w:val="04A0" w:firstRow="1" w:lastRow="0" w:firstColumn="1" w:lastColumn="0" w:noHBand="0" w:noVBand="1"/>
      </w:tblPr>
      <w:tblGrid>
        <w:gridCol w:w="4503"/>
        <w:gridCol w:w="1559"/>
        <w:gridCol w:w="1701"/>
        <w:gridCol w:w="1524"/>
      </w:tblGrid>
      <w:tr w:rsidR="008008E1" w:rsidRPr="00A019E2" w:rsidTr="00B943FA">
        <w:tc>
          <w:tcPr>
            <w:tcW w:w="4503" w:type="dxa"/>
          </w:tcPr>
          <w:p w:rsidR="008008E1" w:rsidRPr="00A019E2" w:rsidRDefault="003A1363" w:rsidP="00CA4B9C">
            <w:pPr>
              <w:rPr>
                <w:b/>
                <w:sz w:val="20"/>
                <w:lang w:val="en-AU"/>
              </w:rPr>
            </w:pPr>
            <w:r w:rsidRPr="003A1363">
              <w:rPr>
                <w:b/>
                <w:sz w:val="20"/>
                <w:lang w:val="en-AU"/>
              </w:rPr>
              <w:t xml:space="preserve">System Organ Class </w:t>
            </w:r>
          </w:p>
          <w:p w:rsidR="00B943FA" w:rsidRPr="00A019E2" w:rsidRDefault="003A1363" w:rsidP="00CA4B9C">
            <w:pPr>
              <w:rPr>
                <w:b/>
                <w:sz w:val="20"/>
                <w:lang w:val="en-AU"/>
              </w:rPr>
            </w:pPr>
            <w:r w:rsidRPr="003A1363">
              <w:rPr>
                <w:b/>
                <w:sz w:val="20"/>
                <w:lang w:val="en-AU"/>
              </w:rPr>
              <w:t>Preferred Term</w:t>
            </w:r>
          </w:p>
        </w:tc>
        <w:tc>
          <w:tcPr>
            <w:tcW w:w="1559" w:type="dxa"/>
          </w:tcPr>
          <w:p w:rsidR="008008E1" w:rsidRPr="00A019E2" w:rsidRDefault="003A1363" w:rsidP="00111C50">
            <w:pPr>
              <w:jc w:val="center"/>
              <w:rPr>
                <w:b/>
                <w:sz w:val="20"/>
                <w:lang w:val="en-AU"/>
              </w:rPr>
            </w:pPr>
            <w:r w:rsidRPr="003A1363">
              <w:rPr>
                <w:b/>
                <w:sz w:val="20"/>
                <w:lang w:val="en-AU"/>
              </w:rPr>
              <w:t>BEN</w:t>
            </w:r>
          </w:p>
          <w:p w:rsidR="00B943FA" w:rsidRPr="00A019E2" w:rsidRDefault="003A1363" w:rsidP="00111C50">
            <w:pPr>
              <w:jc w:val="center"/>
              <w:rPr>
                <w:b/>
                <w:sz w:val="20"/>
                <w:lang w:val="en-AU"/>
              </w:rPr>
            </w:pPr>
            <w:r w:rsidRPr="003A1363">
              <w:rPr>
                <w:b/>
                <w:sz w:val="20"/>
                <w:lang w:val="en-AU"/>
              </w:rPr>
              <w:t>(N=161)</w:t>
            </w:r>
          </w:p>
        </w:tc>
        <w:tc>
          <w:tcPr>
            <w:tcW w:w="1701" w:type="dxa"/>
          </w:tcPr>
          <w:p w:rsidR="008008E1" w:rsidRPr="00A019E2" w:rsidRDefault="003A1363" w:rsidP="00111C50">
            <w:pPr>
              <w:jc w:val="center"/>
              <w:rPr>
                <w:b/>
                <w:sz w:val="20"/>
                <w:lang w:val="en-AU"/>
              </w:rPr>
            </w:pPr>
            <w:r w:rsidRPr="003A1363">
              <w:rPr>
                <w:b/>
                <w:sz w:val="20"/>
                <w:lang w:val="en-AU"/>
              </w:rPr>
              <w:t>CLB</w:t>
            </w:r>
          </w:p>
          <w:p w:rsidR="00B943FA" w:rsidRPr="00A019E2" w:rsidRDefault="003A1363" w:rsidP="00111C50">
            <w:pPr>
              <w:jc w:val="center"/>
              <w:rPr>
                <w:b/>
                <w:sz w:val="20"/>
                <w:lang w:val="en-AU"/>
              </w:rPr>
            </w:pPr>
            <w:r w:rsidRPr="003A1363">
              <w:rPr>
                <w:b/>
                <w:sz w:val="20"/>
                <w:lang w:val="en-AU"/>
              </w:rPr>
              <w:t>(N=151)</w:t>
            </w:r>
          </w:p>
        </w:tc>
        <w:tc>
          <w:tcPr>
            <w:tcW w:w="1524" w:type="dxa"/>
          </w:tcPr>
          <w:p w:rsidR="008008E1" w:rsidRPr="00A019E2" w:rsidRDefault="003A1363" w:rsidP="00111C50">
            <w:pPr>
              <w:jc w:val="center"/>
              <w:rPr>
                <w:b/>
                <w:sz w:val="20"/>
                <w:lang w:val="en-AU"/>
              </w:rPr>
            </w:pPr>
            <w:r w:rsidRPr="003A1363">
              <w:rPr>
                <w:b/>
                <w:sz w:val="20"/>
                <w:lang w:val="en-AU"/>
              </w:rPr>
              <w:t>Total</w:t>
            </w:r>
          </w:p>
          <w:p w:rsidR="00B943FA" w:rsidRPr="00A019E2" w:rsidRDefault="003A1363" w:rsidP="00111C50">
            <w:pPr>
              <w:jc w:val="center"/>
              <w:rPr>
                <w:b/>
                <w:sz w:val="20"/>
                <w:lang w:val="en-AU"/>
              </w:rPr>
            </w:pPr>
            <w:r w:rsidRPr="003A1363">
              <w:rPr>
                <w:b/>
                <w:sz w:val="20"/>
                <w:lang w:val="en-AU"/>
              </w:rPr>
              <w:t>(N=312)</w:t>
            </w:r>
          </w:p>
        </w:tc>
      </w:tr>
      <w:tr w:rsidR="008008E1" w:rsidRPr="00A019E2" w:rsidTr="00B943FA">
        <w:tc>
          <w:tcPr>
            <w:tcW w:w="4503" w:type="dxa"/>
          </w:tcPr>
          <w:p w:rsidR="008008E1" w:rsidRPr="00A019E2" w:rsidRDefault="003A1363" w:rsidP="00CA4B9C">
            <w:pPr>
              <w:rPr>
                <w:b/>
                <w:sz w:val="20"/>
                <w:lang w:val="en-AU"/>
              </w:rPr>
            </w:pPr>
            <w:r w:rsidRPr="003A1363">
              <w:rPr>
                <w:b/>
                <w:sz w:val="20"/>
                <w:lang w:val="en-AU"/>
              </w:rPr>
              <w:t>Blood &amp; lymphatic system disorders</w:t>
            </w:r>
          </w:p>
          <w:p w:rsidR="00B943FA" w:rsidRPr="00A019E2" w:rsidRDefault="003A1363" w:rsidP="0038234D">
            <w:pPr>
              <w:ind w:left="720"/>
              <w:rPr>
                <w:sz w:val="20"/>
                <w:lang w:val="en-AU"/>
              </w:rPr>
            </w:pPr>
            <w:r w:rsidRPr="003A1363">
              <w:rPr>
                <w:sz w:val="20"/>
                <w:lang w:val="en-AU"/>
              </w:rPr>
              <w:t>Neutropaenia</w:t>
            </w:r>
          </w:p>
          <w:p w:rsidR="00B943FA" w:rsidRPr="00A019E2" w:rsidRDefault="003A1363" w:rsidP="0038234D">
            <w:pPr>
              <w:ind w:left="720"/>
              <w:rPr>
                <w:sz w:val="20"/>
                <w:lang w:val="en-AU"/>
              </w:rPr>
            </w:pPr>
            <w:r w:rsidRPr="003A1363">
              <w:rPr>
                <w:sz w:val="20"/>
                <w:lang w:val="en-AU"/>
              </w:rPr>
              <w:t>Thrombocytopaenia</w:t>
            </w:r>
          </w:p>
          <w:p w:rsidR="00B943FA" w:rsidRPr="00A019E2" w:rsidRDefault="003A1363" w:rsidP="0038234D">
            <w:pPr>
              <w:ind w:left="720"/>
              <w:rPr>
                <w:sz w:val="20"/>
                <w:lang w:val="en-AU"/>
              </w:rPr>
            </w:pPr>
            <w:r w:rsidRPr="003A1363">
              <w:rPr>
                <w:sz w:val="20"/>
                <w:lang w:val="en-AU"/>
              </w:rPr>
              <w:t>Anaemia</w:t>
            </w:r>
          </w:p>
          <w:p w:rsidR="00B943FA" w:rsidRPr="00A019E2" w:rsidRDefault="003A1363" w:rsidP="0038234D">
            <w:pPr>
              <w:ind w:left="720"/>
              <w:rPr>
                <w:sz w:val="20"/>
                <w:lang w:val="en-AU"/>
              </w:rPr>
            </w:pPr>
            <w:r w:rsidRPr="003A1363">
              <w:rPr>
                <w:sz w:val="20"/>
                <w:lang w:val="en-AU"/>
              </w:rPr>
              <w:t>Leukopaenia</w:t>
            </w:r>
          </w:p>
          <w:p w:rsidR="00B943FA" w:rsidRPr="00A019E2" w:rsidRDefault="00FF3C28" w:rsidP="0038234D">
            <w:pPr>
              <w:ind w:left="720"/>
              <w:rPr>
                <w:sz w:val="20"/>
                <w:lang w:val="en-AU"/>
              </w:rPr>
            </w:pPr>
            <w:r>
              <w:rPr>
                <w:sz w:val="20"/>
                <w:lang w:val="en-AU"/>
              </w:rPr>
              <w:t>L</w:t>
            </w:r>
            <w:r w:rsidR="003A1363" w:rsidRPr="003A1363">
              <w:rPr>
                <w:sz w:val="20"/>
                <w:lang w:val="en-AU"/>
              </w:rPr>
              <w:t>ymphopaenia</w:t>
            </w:r>
          </w:p>
        </w:tc>
        <w:tc>
          <w:tcPr>
            <w:tcW w:w="1559" w:type="dxa"/>
          </w:tcPr>
          <w:p w:rsidR="008008E1" w:rsidRPr="00A019E2" w:rsidRDefault="008008E1" w:rsidP="00111C50">
            <w:pPr>
              <w:jc w:val="center"/>
              <w:rPr>
                <w:sz w:val="20"/>
                <w:lang w:val="en-AU"/>
              </w:rPr>
            </w:pPr>
          </w:p>
          <w:p w:rsidR="00B943FA" w:rsidRPr="00A019E2" w:rsidRDefault="003A1363" w:rsidP="00111C50">
            <w:pPr>
              <w:jc w:val="center"/>
              <w:rPr>
                <w:sz w:val="20"/>
                <w:lang w:val="en-AU"/>
              </w:rPr>
            </w:pPr>
            <w:r w:rsidRPr="003A1363">
              <w:rPr>
                <w:sz w:val="20"/>
                <w:lang w:val="en-AU"/>
              </w:rPr>
              <w:t>43 (26.7%)</w:t>
            </w:r>
          </w:p>
          <w:p w:rsidR="00B943FA" w:rsidRPr="00A019E2" w:rsidRDefault="003A1363" w:rsidP="00111C50">
            <w:pPr>
              <w:jc w:val="center"/>
              <w:rPr>
                <w:sz w:val="20"/>
                <w:lang w:val="en-AU"/>
              </w:rPr>
            </w:pPr>
            <w:r w:rsidRPr="003A1363">
              <w:rPr>
                <w:sz w:val="20"/>
                <w:lang w:val="en-AU"/>
              </w:rPr>
              <w:t>37 (23.0%)</w:t>
            </w:r>
          </w:p>
          <w:p w:rsidR="00B943FA" w:rsidRPr="00A019E2" w:rsidRDefault="003A1363" w:rsidP="00111C50">
            <w:pPr>
              <w:jc w:val="center"/>
              <w:rPr>
                <w:sz w:val="20"/>
                <w:lang w:val="en-AU"/>
              </w:rPr>
            </w:pPr>
            <w:r w:rsidRPr="003A1363">
              <w:rPr>
                <w:sz w:val="20"/>
                <w:lang w:val="en-AU"/>
              </w:rPr>
              <w:t>28 (17.4%)</w:t>
            </w:r>
          </w:p>
          <w:p w:rsidR="00B943FA" w:rsidRPr="00A019E2" w:rsidRDefault="003A1363" w:rsidP="00111C50">
            <w:pPr>
              <w:jc w:val="center"/>
              <w:rPr>
                <w:sz w:val="20"/>
                <w:lang w:val="en-AU"/>
              </w:rPr>
            </w:pPr>
            <w:r w:rsidRPr="003A1363">
              <w:rPr>
                <w:sz w:val="20"/>
                <w:lang w:val="en-AU"/>
              </w:rPr>
              <w:t>28 (17.4%)</w:t>
            </w:r>
          </w:p>
          <w:p w:rsidR="00B943FA" w:rsidRPr="00A019E2" w:rsidRDefault="003A1363" w:rsidP="00111C50">
            <w:pPr>
              <w:jc w:val="center"/>
              <w:rPr>
                <w:sz w:val="20"/>
                <w:lang w:val="en-AU"/>
              </w:rPr>
            </w:pPr>
            <w:r w:rsidRPr="003A1363">
              <w:rPr>
                <w:sz w:val="20"/>
                <w:lang w:val="en-AU"/>
              </w:rPr>
              <w:t>10 (6.2%)</w:t>
            </w:r>
          </w:p>
        </w:tc>
        <w:tc>
          <w:tcPr>
            <w:tcW w:w="1701" w:type="dxa"/>
          </w:tcPr>
          <w:p w:rsidR="008008E1" w:rsidRPr="00A019E2" w:rsidRDefault="008008E1" w:rsidP="00111C50">
            <w:pPr>
              <w:jc w:val="center"/>
              <w:rPr>
                <w:sz w:val="20"/>
                <w:lang w:val="en-AU"/>
              </w:rPr>
            </w:pPr>
          </w:p>
          <w:p w:rsidR="00B943FA" w:rsidRPr="00A019E2" w:rsidRDefault="003A1363" w:rsidP="00111C50">
            <w:pPr>
              <w:jc w:val="center"/>
              <w:rPr>
                <w:sz w:val="20"/>
                <w:lang w:val="en-AU"/>
              </w:rPr>
            </w:pPr>
            <w:r w:rsidRPr="003A1363">
              <w:rPr>
                <w:sz w:val="20"/>
                <w:lang w:val="en-AU"/>
              </w:rPr>
              <w:t>21 (13.9%)</w:t>
            </w:r>
          </w:p>
          <w:p w:rsidR="00B943FA" w:rsidRPr="00A019E2" w:rsidRDefault="003A1363" w:rsidP="00111C50">
            <w:pPr>
              <w:jc w:val="center"/>
              <w:rPr>
                <w:sz w:val="20"/>
                <w:lang w:val="en-AU"/>
              </w:rPr>
            </w:pPr>
            <w:r w:rsidRPr="003A1363">
              <w:rPr>
                <w:sz w:val="20"/>
                <w:lang w:val="en-AU"/>
              </w:rPr>
              <w:t>27 (17.9%)</w:t>
            </w:r>
          </w:p>
          <w:p w:rsidR="00B943FA" w:rsidRPr="00A019E2" w:rsidRDefault="003A1363" w:rsidP="00111C50">
            <w:pPr>
              <w:jc w:val="center"/>
              <w:rPr>
                <w:sz w:val="20"/>
                <w:lang w:val="en-AU"/>
              </w:rPr>
            </w:pPr>
            <w:r w:rsidRPr="003A1363">
              <w:rPr>
                <w:sz w:val="20"/>
                <w:lang w:val="en-AU"/>
              </w:rPr>
              <w:t>15 (9.9%)</w:t>
            </w:r>
          </w:p>
          <w:p w:rsidR="00B943FA" w:rsidRPr="00A019E2" w:rsidRDefault="003A1363" w:rsidP="00111C50">
            <w:pPr>
              <w:jc w:val="center"/>
              <w:rPr>
                <w:sz w:val="20"/>
                <w:lang w:val="en-AU"/>
              </w:rPr>
            </w:pPr>
            <w:r w:rsidRPr="003A1363">
              <w:rPr>
                <w:sz w:val="20"/>
                <w:lang w:val="en-AU"/>
              </w:rPr>
              <w:t>5 (3.3%)</w:t>
            </w:r>
          </w:p>
          <w:p w:rsidR="00B943FA" w:rsidRPr="00A019E2" w:rsidRDefault="003A1363" w:rsidP="00111C50">
            <w:pPr>
              <w:jc w:val="center"/>
              <w:rPr>
                <w:sz w:val="20"/>
                <w:lang w:val="en-AU"/>
              </w:rPr>
            </w:pPr>
            <w:r w:rsidRPr="003A1363">
              <w:rPr>
                <w:sz w:val="20"/>
                <w:lang w:val="en-AU"/>
              </w:rPr>
              <w:t>1 (0.7%)</w:t>
            </w:r>
          </w:p>
        </w:tc>
        <w:tc>
          <w:tcPr>
            <w:tcW w:w="1524" w:type="dxa"/>
          </w:tcPr>
          <w:p w:rsidR="008008E1" w:rsidRPr="00A019E2" w:rsidRDefault="008008E1" w:rsidP="00111C50">
            <w:pPr>
              <w:jc w:val="center"/>
              <w:rPr>
                <w:sz w:val="20"/>
                <w:lang w:val="en-AU"/>
              </w:rPr>
            </w:pPr>
          </w:p>
          <w:p w:rsidR="00B943FA" w:rsidRPr="00A019E2" w:rsidRDefault="003A1363" w:rsidP="00111C50">
            <w:pPr>
              <w:jc w:val="center"/>
              <w:rPr>
                <w:sz w:val="20"/>
                <w:lang w:val="en-AU"/>
              </w:rPr>
            </w:pPr>
            <w:r w:rsidRPr="003A1363">
              <w:rPr>
                <w:sz w:val="20"/>
                <w:lang w:val="en-AU"/>
              </w:rPr>
              <w:t>64 (20.5%)</w:t>
            </w:r>
          </w:p>
          <w:p w:rsidR="00B943FA" w:rsidRPr="00A019E2" w:rsidRDefault="003A1363" w:rsidP="00111C50">
            <w:pPr>
              <w:jc w:val="center"/>
              <w:rPr>
                <w:sz w:val="20"/>
                <w:lang w:val="en-AU"/>
              </w:rPr>
            </w:pPr>
            <w:r w:rsidRPr="003A1363">
              <w:rPr>
                <w:sz w:val="20"/>
                <w:lang w:val="en-AU"/>
              </w:rPr>
              <w:t>64 (20.5%)</w:t>
            </w:r>
          </w:p>
          <w:p w:rsidR="00B943FA" w:rsidRPr="00A019E2" w:rsidRDefault="003A1363" w:rsidP="00111C50">
            <w:pPr>
              <w:jc w:val="center"/>
              <w:rPr>
                <w:sz w:val="20"/>
                <w:lang w:val="en-AU"/>
              </w:rPr>
            </w:pPr>
            <w:r w:rsidRPr="003A1363">
              <w:rPr>
                <w:sz w:val="20"/>
                <w:lang w:val="en-AU"/>
              </w:rPr>
              <w:t>43 (13.8%)</w:t>
            </w:r>
          </w:p>
          <w:p w:rsidR="00B943FA" w:rsidRPr="00A019E2" w:rsidRDefault="003A1363" w:rsidP="00111C50">
            <w:pPr>
              <w:jc w:val="center"/>
              <w:rPr>
                <w:sz w:val="20"/>
                <w:lang w:val="en-AU"/>
              </w:rPr>
            </w:pPr>
            <w:r w:rsidRPr="003A1363">
              <w:rPr>
                <w:sz w:val="20"/>
                <w:lang w:val="en-AU"/>
              </w:rPr>
              <w:t>33 (10.6%)</w:t>
            </w:r>
          </w:p>
          <w:p w:rsidR="00B943FA" w:rsidRPr="00A019E2" w:rsidRDefault="003A1363" w:rsidP="00111C50">
            <w:pPr>
              <w:jc w:val="center"/>
              <w:rPr>
                <w:sz w:val="20"/>
                <w:lang w:val="en-AU"/>
              </w:rPr>
            </w:pPr>
            <w:r w:rsidRPr="003A1363">
              <w:rPr>
                <w:sz w:val="20"/>
                <w:lang w:val="en-AU"/>
              </w:rPr>
              <w:t>11 (3.5%)</w:t>
            </w:r>
          </w:p>
        </w:tc>
      </w:tr>
      <w:tr w:rsidR="008008E1" w:rsidRPr="00A019E2" w:rsidTr="00B943FA">
        <w:tc>
          <w:tcPr>
            <w:tcW w:w="4503" w:type="dxa"/>
          </w:tcPr>
          <w:p w:rsidR="008008E1" w:rsidRPr="00A019E2" w:rsidRDefault="003A1363" w:rsidP="00CA4B9C">
            <w:pPr>
              <w:autoSpaceDE w:val="0"/>
              <w:autoSpaceDN w:val="0"/>
              <w:adjustRightInd w:val="0"/>
              <w:spacing w:line="196" w:lineRule="atLeast"/>
              <w:rPr>
                <w:b/>
                <w:sz w:val="20"/>
                <w:lang w:val="en-AU"/>
              </w:rPr>
            </w:pPr>
            <w:r w:rsidRPr="003A1363">
              <w:rPr>
                <w:b/>
                <w:sz w:val="20"/>
                <w:lang w:val="en-AU"/>
              </w:rPr>
              <w:t>Gastrointestinal disorders</w:t>
            </w:r>
          </w:p>
          <w:p w:rsidR="00B943FA" w:rsidRPr="00A019E2" w:rsidRDefault="003A1363" w:rsidP="0038234D">
            <w:pPr>
              <w:ind w:left="720"/>
              <w:rPr>
                <w:sz w:val="20"/>
                <w:lang w:val="en-AU"/>
              </w:rPr>
            </w:pPr>
            <w:r w:rsidRPr="003A1363">
              <w:rPr>
                <w:sz w:val="20"/>
                <w:lang w:val="en-AU"/>
              </w:rPr>
              <w:t>Nausea</w:t>
            </w:r>
          </w:p>
          <w:p w:rsidR="00B943FA" w:rsidRPr="00A019E2" w:rsidRDefault="003A1363" w:rsidP="0038234D">
            <w:pPr>
              <w:ind w:left="720"/>
              <w:rPr>
                <w:sz w:val="20"/>
                <w:lang w:val="en-AU"/>
              </w:rPr>
            </w:pPr>
            <w:r w:rsidRPr="003A1363">
              <w:rPr>
                <w:sz w:val="20"/>
                <w:lang w:val="en-AU"/>
              </w:rPr>
              <w:t>Vomiting</w:t>
            </w:r>
          </w:p>
          <w:p w:rsidR="00B943FA" w:rsidRPr="00A019E2" w:rsidRDefault="003A1363" w:rsidP="0038234D">
            <w:pPr>
              <w:ind w:left="720"/>
              <w:rPr>
                <w:sz w:val="20"/>
                <w:lang w:val="en-AU"/>
              </w:rPr>
            </w:pPr>
            <w:r w:rsidRPr="003A1363">
              <w:rPr>
                <w:sz w:val="20"/>
                <w:lang w:val="en-AU"/>
              </w:rPr>
              <w:t xml:space="preserve">Diarrhoea </w:t>
            </w:r>
          </w:p>
        </w:tc>
        <w:tc>
          <w:tcPr>
            <w:tcW w:w="1559" w:type="dxa"/>
          </w:tcPr>
          <w:p w:rsidR="008008E1" w:rsidRPr="00A019E2" w:rsidRDefault="008008E1" w:rsidP="00111C50">
            <w:pPr>
              <w:jc w:val="center"/>
              <w:rPr>
                <w:sz w:val="20"/>
                <w:lang w:val="en-AU"/>
              </w:rPr>
            </w:pPr>
          </w:p>
          <w:p w:rsidR="00B943FA" w:rsidRPr="00A019E2" w:rsidRDefault="003A1363" w:rsidP="00111C50">
            <w:pPr>
              <w:jc w:val="center"/>
              <w:rPr>
                <w:sz w:val="20"/>
                <w:lang w:val="en-AU"/>
              </w:rPr>
            </w:pPr>
            <w:r w:rsidRPr="003A1363">
              <w:rPr>
                <w:sz w:val="20"/>
                <w:lang w:val="en-AU"/>
              </w:rPr>
              <w:t>31 (19.3%)</w:t>
            </w:r>
          </w:p>
          <w:p w:rsidR="00B943FA" w:rsidRPr="00A019E2" w:rsidRDefault="003A1363" w:rsidP="00111C50">
            <w:pPr>
              <w:jc w:val="center"/>
              <w:rPr>
                <w:sz w:val="20"/>
                <w:lang w:val="en-AU"/>
              </w:rPr>
            </w:pPr>
            <w:r w:rsidRPr="003A1363">
              <w:rPr>
                <w:sz w:val="20"/>
                <w:lang w:val="en-AU"/>
              </w:rPr>
              <w:t>24 (14.9%)</w:t>
            </w:r>
          </w:p>
          <w:p w:rsidR="00B943FA" w:rsidRPr="00A019E2" w:rsidRDefault="003A1363" w:rsidP="00111C50">
            <w:pPr>
              <w:jc w:val="center"/>
              <w:rPr>
                <w:sz w:val="20"/>
                <w:lang w:val="en-AU"/>
              </w:rPr>
            </w:pPr>
            <w:r w:rsidRPr="003A1363">
              <w:rPr>
                <w:sz w:val="20"/>
                <w:lang w:val="en-AU"/>
              </w:rPr>
              <w:t>13 (8.1%)</w:t>
            </w:r>
          </w:p>
        </w:tc>
        <w:tc>
          <w:tcPr>
            <w:tcW w:w="1701" w:type="dxa"/>
          </w:tcPr>
          <w:p w:rsidR="008008E1" w:rsidRPr="00A019E2" w:rsidRDefault="008008E1" w:rsidP="00111C50">
            <w:pPr>
              <w:jc w:val="center"/>
              <w:rPr>
                <w:sz w:val="20"/>
                <w:lang w:val="en-AU"/>
              </w:rPr>
            </w:pPr>
          </w:p>
          <w:p w:rsidR="00B943FA" w:rsidRPr="00A019E2" w:rsidRDefault="003A1363" w:rsidP="00111C50">
            <w:pPr>
              <w:jc w:val="center"/>
              <w:rPr>
                <w:sz w:val="20"/>
                <w:lang w:val="en-AU"/>
              </w:rPr>
            </w:pPr>
            <w:r w:rsidRPr="003A1363">
              <w:rPr>
                <w:sz w:val="20"/>
                <w:lang w:val="en-AU"/>
              </w:rPr>
              <w:t>21 (13.9%)</w:t>
            </w:r>
          </w:p>
          <w:p w:rsidR="00111C50" w:rsidRPr="00A019E2" w:rsidRDefault="003A1363" w:rsidP="00111C50">
            <w:pPr>
              <w:jc w:val="center"/>
              <w:rPr>
                <w:sz w:val="20"/>
                <w:lang w:val="en-AU"/>
              </w:rPr>
            </w:pPr>
            <w:r w:rsidRPr="003A1363">
              <w:rPr>
                <w:sz w:val="20"/>
                <w:lang w:val="en-AU"/>
              </w:rPr>
              <w:t>9 (6.0%)</w:t>
            </w:r>
          </w:p>
          <w:p w:rsidR="00111C50" w:rsidRPr="00A019E2" w:rsidRDefault="003A1363" w:rsidP="00111C50">
            <w:pPr>
              <w:jc w:val="center"/>
              <w:rPr>
                <w:sz w:val="20"/>
                <w:lang w:val="en-AU"/>
              </w:rPr>
            </w:pPr>
            <w:r w:rsidRPr="003A1363">
              <w:rPr>
                <w:sz w:val="20"/>
                <w:lang w:val="en-AU"/>
              </w:rPr>
              <w:t>4 (2.6%)</w:t>
            </w:r>
          </w:p>
        </w:tc>
        <w:tc>
          <w:tcPr>
            <w:tcW w:w="1524" w:type="dxa"/>
          </w:tcPr>
          <w:p w:rsidR="008008E1" w:rsidRPr="00A019E2" w:rsidRDefault="008008E1" w:rsidP="00111C50">
            <w:pPr>
              <w:jc w:val="center"/>
              <w:rPr>
                <w:sz w:val="20"/>
                <w:lang w:val="en-AU"/>
              </w:rPr>
            </w:pPr>
          </w:p>
          <w:p w:rsidR="00111C50" w:rsidRPr="00A019E2" w:rsidRDefault="003A1363" w:rsidP="00111C50">
            <w:pPr>
              <w:jc w:val="center"/>
              <w:rPr>
                <w:sz w:val="20"/>
                <w:lang w:val="en-AU"/>
              </w:rPr>
            </w:pPr>
            <w:r w:rsidRPr="003A1363">
              <w:rPr>
                <w:sz w:val="20"/>
                <w:lang w:val="en-AU"/>
              </w:rPr>
              <w:t>52 (16.7%)</w:t>
            </w:r>
          </w:p>
          <w:p w:rsidR="00111C50" w:rsidRPr="00A019E2" w:rsidRDefault="003A1363" w:rsidP="00111C50">
            <w:pPr>
              <w:jc w:val="center"/>
              <w:rPr>
                <w:sz w:val="20"/>
                <w:lang w:val="en-AU"/>
              </w:rPr>
            </w:pPr>
            <w:r w:rsidRPr="003A1363">
              <w:rPr>
                <w:sz w:val="20"/>
                <w:lang w:val="en-AU"/>
              </w:rPr>
              <w:t>33 (10.6%)</w:t>
            </w:r>
          </w:p>
          <w:p w:rsidR="00111C50" w:rsidRPr="00A019E2" w:rsidRDefault="003A1363" w:rsidP="00111C50">
            <w:pPr>
              <w:jc w:val="center"/>
              <w:rPr>
                <w:sz w:val="20"/>
                <w:lang w:val="en-AU"/>
              </w:rPr>
            </w:pPr>
            <w:r w:rsidRPr="003A1363">
              <w:rPr>
                <w:sz w:val="20"/>
                <w:lang w:val="en-AU"/>
              </w:rPr>
              <w:t>17 (5.4%)</w:t>
            </w:r>
          </w:p>
        </w:tc>
      </w:tr>
      <w:tr w:rsidR="008008E1" w:rsidRPr="00A019E2" w:rsidTr="00B943FA">
        <w:tc>
          <w:tcPr>
            <w:tcW w:w="4503" w:type="dxa"/>
          </w:tcPr>
          <w:p w:rsidR="008008E1" w:rsidRPr="00A019E2" w:rsidRDefault="003A1363" w:rsidP="00CA4B9C">
            <w:pPr>
              <w:autoSpaceDE w:val="0"/>
              <w:autoSpaceDN w:val="0"/>
              <w:adjustRightInd w:val="0"/>
              <w:spacing w:line="196" w:lineRule="atLeast"/>
              <w:rPr>
                <w:b/>
                <w:sz w:val="20"/>
                <w:lang w:val="en-AU"/>
              </w:rPr>
            </w:pPr>
            <w:r w:rsidRPr="003A1363">
              <w:rPr>
                <w:b/>
                <w:sz w:val="20"/>
                <w:lang w:val="en-AU"/>
              </w:rPr>
              <w:t>General disorders &amp; administration site conditions</w:t>
            </w:r>
          </w:p>
          <w:p w:rsidR="00111C50" w:rsidRPr="00A019E2" w:rsidRDefault="003A1363" w:rsidP="0038234D">
            <w:pPr>
              <w:ind w:left="720"/>
              <w:rPr>
                <w:sz w:val="20"/>
                <w:lang w:val="en-AU"/>
              </w:rPr>
            </w:pPr>
            <w:r w:rsidRPr="003A1363">
              <w:rPr>
                <w:sz w:val="20"/>
                <w:lang w:val="en-AU"/>
              </w:rPr>
              <w:t>Pyrexia</w:t>
            </w:r>
          </w:p>
          <w:p w:rsidR="00111C50" w:rsidRPr="00A019E2" w:rsidRDefault="003A1363" w:rsidP="0038234D">
            <w:pPr>
              <w:ind w:left="720"/>
              <w:rPr>
                <w:sz w:val="20"/>
                <w:lang w:val="en-AU"/>
              </w:rPr>
            </w:pPr>
            <w:r w:rsidRPr="003A1363">
              <w:rPr>
                <w:sz w:val="20"/>
                <w:lang w:val="en-AU"/>
              </w:rPr>
              <w:t>Asthenia</w:t>
            </w:r>
          </w:p>
          <w:p w:rsidR="00111C50" w:rsidRPr="00A019E2" w:rsidRDefault="003A1363" w:rsidP="0038234D">
            <w:pPr>
              <w:ind w:left="720"/>
              <w:rPr>
                <w:sz w:val="20"/>
                <w:lang w:val="en-AU"/>
              </w:rPr>
            </w:pPr>
            <w:r w:rsidRPr="003A1363">
              <w:rPr>
                <w:sz w:val="20"/>
                <w:lang w:val="en-AU"/>
              </w:rPr>
              <w:t>Fatigue</w:t>
            </w:r>
          </w:p>
          <w:p w:rsidR="00111C50" w:rsidRPr="00A019E2" w:rsidRDefault="003A1363" w:rsidP="0038234D">
            <w:pPr>
              <w:ind w:left="720"/>
              <w:rPr>
                <w:sz w:val="20"/>
                <w:lang w:val="en-AU"/>
              </w:rPr>
            </w:pPr>
            <w:r w:rsidRPr="003A1363">
              <w:rPr>
                <w:sz w:val="20"/>
                <w:lang w:val="en-AU"/>
              </w:rPr>
              <w:t xml:space="preserve">Chills </w:t>
            </w:r>
          </w:p>
        </w:tc>
        <w:tc>
          <w:tcPr>
            <w:tcW w:w="1559" w:type="dxa"/>
          </w:tcPr>
          <w:p w:rsidR="008008E1" w:rsidRPr="00A019E2" w:rsidRDefault="008008E1" w:rsidP="00111C50">
            <w:pPr>
              <w:jc w:val="center"/>
              <w:rPr>
                <w:sz w:val="20"/>
                <w:lang w:val="en-AU"/>
              </w:rPr>
            </w:pPr>
          </w:p>
          <w:p w:rsidR="00111C50" w:rsidRPr="00A019E2" w:rsidRDefault="00111C50" w:rsidP="00111C50">
            <w:pPr>
              <w:jc w:val="center"/>
              <w:rPr>
                <w:sz w:val="20"/>
                <w:lang w:val="en-AU"/>
              </w:rPr>
            </w:pPr>
          </w:p>
          <w:p w:rsidR="00111C50" w:rsidRPr="00A019E2" w:rsidRDefault="003A1363" w:rsidP="00111C50">
            <w:pPr>
              <w:jc w:val="center"/>
              <w:rPr>
                <w:sz w:val="20"/>
                <w:lang w:val="en-AU"/>
              </w:rPr>
            </w:pPr>
            <w:r w:rsidRPr="003A1363">
              <w:rPr>
                <w:sz w:val="20"/>
                <w:lang w:val="en-AU"/>
              </w:rPr>
              <w:t>34 (21.1%)</w:t>
            </w:r>
          </w:p>
          <w:p w:rsidR="00111C50" w:rsidRPr="00A019E2" w:rsidRDefault="003A1363" w:rsidP="00111C50">
            <w:pPr>
              <w:jc w:val="center"/>
              <w:rPr>
                <w:sz w:val="20"/>
                <w:lang w:val="en-AU"/>
              </w:rPr>
            </w:pPr>
            <w:r w:rsidRPr="003A1363">
              <w:rPr>
                <w:sz w:val="20"/>
                <w:lang w:val="en-AU"/>
              </w:rPr>
              <w:t>12 (7.5%)</w:t>
            </w:r>
          </w:p>
          <w:p w:rsidR="00111C50" w:rsidRPr="00A019E2" w:rsidRDefault="003A1363" w:rsidP="00111C50">
            <w:pPr>
              <w:jc w:val="center"/>
              <w:rPr>
                <w:sz w:val="20"/>
                <w:lang w:val="en-AU"/>
              </w:rPr>
            </w:pPr>
            <w:r w:rsidRPr="003A1363">
              <w:rPr>
                <w:sz w:val="20"/>
                <w:lang w:val="en-AU"/>
              </w:rPr>
              <w:t>10 (6.2%)</w:t>
            </w:r>
          </w:p>
          <w:p w:rsidR="00111C50" w:rsidRPr="00A019E2" w:rsidRDefault="003A1363" w:rsidP="00111C50">
            <w:pPr>
              <w:jc w:val="center"/>
              <w:rPr>
                <w:sz w:val="20"/>
                <w:lang w:val="en-AU"/>
              </w:rPr>
            </w:pPr>
            <w:r w:rsidRPr="003A1363">
              <w:rPr>
                <w:sz w:val="20"/>
                <w:lang w:val="en-AU"/>
              </w:rPr>
              <w:t>8 (5.0%)</w:t>
            </w:r>
          </w:p>
        </w:tc>
        <w:tc>
          <w:tcPr>
            <w:tcW w:w="1701" w:type="dxa"/>
          </w:tcPr>
          <w:p w:rsidR="008008E1" w:rsidRPr="00A019E2" w:rsidRDefault="008008E1" w:rsidP="00111C50">
            <w:pPr>
              <w:jc w:val="center"/>
              <w:rPr>
                <w:sz w:val="20"/>
                <w:lang w:val="en-AU"/>
              </w:rPr>
            </w:pPr>
          </w:p>
          <w:p w:rsidR="00111C50" w:rsidRPr="00A019E2" w:rsidRDefault="00111C50" w:rsidP="00111C50">
            <w:pPr>
              <w:jc w:val="center"/>
              <w:rPr>
                <w:sz w:val="20"/>
                <w:lang w:val="en-AU"/>
              </w:rPr>
            </w:pPr>
          </w:p>
          <w:p w:rsidR="00111C50" w:rsidRPr="00A019E2" w:rsidRDefault="003A1363" w:rsidP="00111C50">
            <w:pPr>
              <w:jc w:val="center"/>
              <w:rPr>
                <w:sz w:val="20"/>
                <w:lang w:val="en-AU"/>
              </w:rPr>
            </w:pPr>
            <w:r w:rsidRPr="003A1363">
              <w:rPr>
                <w:sz w:val="20"/>
                <w:lang w:val="en-AU"/>
              </w:rPr>
              <w:t>3 (2.0%)</w:t>
            </w:r>
          </w:p>
          <w:p w:rsidR="00111C50" w:rsidRPr="00A019E2" w:rsidRDefault="003A1363" w:rsidP="00111C50">
            <w:pPr>
              <w:jc w:val="center"/>
              <w:rPr>
                <w:sz w:val="20"/>
                <w:lang w:val="en-AU"/>
              </w:rPr>
            </w:pPr>
            <w:r w:rsidRPr="003A1363">
              <w:rPr>
                <w:sz w:val="20"/>
                <w:lang w:val="en-AU"/>
              </w:rPr>
              <w:t>7 (4.6%)</w:t>
            </w:r>
          </w:p>
          <w:p w:rsidR="00111C50" w:rsidRPr="00A019E2" w:rsidRDefault="003A1363" w:rsidP="00111C50">
            <w:pPr>
              <w:jc w:val="center"/>
              <w:rPr>
                <w:sz w:val="20"/>
                <w:lang w:val="en-AU"/>
              </w:rPr>
            </w:pPr>
            <w:r w:rsidRPr="003A1363">
              <w:rPr>
                <w:sz w:val="20"/>
                <w:lang w:val="en-AU"/>
              </w:rPr>
              <w:t>4 (2.6%)</w:t>
            </w:r>
          </w:p>
          <w:p w:rsidR="00111C50" w:rsidRPr="00A019E2" w:rsidRDefault="003A1363" w:rsidP="00111C50">
            <w:pPr>
              <w:jc w:val="center"/>
              <w:rPr>
                <w:sz w:val="20"/>
                <w:lang w:val="en-AU"/>
              </w:rPr>
            </w:pPr>
            <w:r w:rsidRPr="003A1363">
              <w:rPr>
                <w:sz w:val="20"/>
                <w:lang w:val="en-AU"/>
              </w:rPr>
              <w:t>2 (1.3%)</w:t>
            </w:r>
          </w:p>
        </w:tc>
        <w:tc>
          <w:tcPr>
            <w:tcW w:w="1524" w:type="dxa"/>
          </w:tcPr>
          <w:p w:rsidR="008008E1" w:rsidRPr="00A019E2" w:rsidRDefault="008008E1" w:rsidP="00111C50">
            <w:pPr>
              <w:jc w:val="center"/>
              <w:rPr>
                <w:sz w:val="20"/>
                <w:lang w:val="en-AU"/>
              </w:rPr>
            </w:pPr>
          </w:p>
          <w:p w:rsidR="00111C50" w:rsidRPr="00A019E2" w:rsidRDefault="00111C50" w:rsidP="00111C50">
            <w:pPr>
              <w:jc w:val="center"/>
              <w:rPr>
                <w:sz w:val="20"/>
                <w:lang w:val="en-AU"/>
              </w:rPr>
            </w:pPr>
          </w:p>
          <w:p w:rsidR="00111C50" w:rsidRPr="00A019E2" w:rsidRDefault="003A1363" w:rsidP="00111C50">
            <w:pPr>
              <w:jc w:val="center"/>
              <w:rPr>
                <w:sz w:val="20"/>
                <w:lang w:val="en-AU"/>
              </w:rPr>
            </w:pPr>
            <w:r w:rsidRPr="003A1363">
              <w:rPr>
                <w:sz w:val="20"/>
                <w:lang w:val="en-AU"/>
              </w:rPr>
              <w:t>37 (11.9%)</w:t>
            </w:r>
          </w:p>
          <w:p w:rsidR="00111C50" w:rsidRPr="00A019E2" w:rsidRDefault="003A1363" w:rsidP="00111C50">
            <w:pPr>
              <w:jc w:val="center"/>
              <w:rPr>
                <w:sz w:val="20"/>
                <w:lang w:val="en-AU"/>
              </w:rPr>
            </w:pPr>
            <w:r w:rsidRPr="003A1363">
              <w:rPr>
                <w:sz w:val="20"/>
                <w:lang w:val="en-AU"/>
              </w:rPr>
              <w:t>19 (6.1%)</w:t>
            </w:r>
          </w:p>
          <w:p w:rsidR="00111C50" w:rsidRPr="00A019E2" w:rsidRDefault="003A1363" w:rsidP="00111C50">
            <w:pPr>
              <w:jc w:val="center"/>
              <w:rPr>
                <w:sz w:val="20"/>
                <w:lang w:val="en-AU"/>
              </w:rPr>
            </w:pPr>
            <w:r w:rsidRPr="003A1363">
              <w:rPr>
                <w:sz w:val="20"/>
                <w:lang w:val="en-AU"/>
              </w:rPr>
              <w:t>14 (4.5%)</w:t>
            </w:r>
          </w:p>
          <w:p w:rsidR="00111C50" w:rsidRPr="00A019E2" w:rsidRDefault="003A1363" w:rsidP="00111C50">
            <w:pPr>
              <w:jc w:val="center"/>
              <w:rPr>
                <w:sz w:val="20"/>
                <w:lang w:val="en-AU"/>
              </w:rPr>
            </w:pPr>
            <w:r w:rsidRPr="003A1363">
              <w:rPr>
                <w:sz w:val="20"/>
                <w:lang w:val="en-AU"/>
              </w:rPr>
              <w:t>10 (3.2%)</w:t>
            </w:r>
          </w:p>
        </w:tc>
      </w:tr>
      <w:tr w:rsidR="008008E1" w:rsidRPr="00A019E2" w:rsidTr="00B943FA">
        <w:tc>
          <w:tcPr>
            <w:tcW w:w="4503" w:type="dxa"/>
          </w:tcPr>
          <w:p w:rsidR="008008E1" w:rsidRPr="00A019E2" w:rsidRDefault="003A1363" w:rsidP="00CA4B9C">
            <w:pPr>
              <w:autoSpaceDE w:val="0"/>
              <w:autoSpaceDN w:val="0"/>
              <w:adjustRightInd w:val="0"/>
              <w:spacing w:line="196" w:lineRule="atLeast"/>
              <w:rPr>
                <w:b/>
                <w:sz w:val="20"/>
                <w:lang w:val="en-AU"/>
              </w:rPr>
            </w:pPr>
            <w:r w:rsidRPr="003A1363">
              <w:rPr>
                <w:b/>
                <w:sz w:val="20"/>
                <w:lang w:val="en-AU"/>
              </w:rPr>
              <w:t>Infections &amp; infestations</w:t>
            </w:r>
          </w:p>
          <w:p w:rsidR="00111C50" w:rsidRPr="00A019E2" w:rsidRDefault="003A1363" w:rsidP="0038234D">
            <w:pPr>
              <w:ind w:left="720"/>
              <w:rPr>
                <w:sz w:val="20"/>
                <w:lang w:val="en-AU"/>
              </w:rPr>
            </w:pPr>
            <w:r w:rsidRPr="003A1363">
              <w:rPr>
                <w:sz w:val="20"/>
                <w:lang w:val="en-AU"/>
              </w:rPr>
              <w:t>Infection</w:t>
            </w:r>
          </w:p>
        </w:tc>
        <w:tc>
          <w:tcPr>
            <w:tcW w:w="1559" w:type="dxa"/>
          </w:tcPr>
          <w:p w:rsidR="008008E1" w:rsidRPr="00A019E2" w:rsidRDefault="008008E1" w:rsidP="00111C50">
            <w:pPr>
              <w:jc w:val="center"/>
              <w:rPr>
                <w:sz w:val="20"/>
                <w:lang w:val="en-AU"/>
              </w:rPr>
            </w:pPr>
          </w:p>
          <w:p w:rsidR="00111C50" w:rsidRPr="00A019E2" w:rsidRDefault="003A1363" w:rsidP="00111C50">
            <w:pPr>
              <w:jc w:val="center"/>
              <w:rPr>
                <w:sz w:val="20"/>
                <w:lang w:val="en-AU"/>
              </w:rPr>
            </w:pPr>
            <w:r w:rsidRPr="003A1363">
              <w:rPr>
                <w:sz w:val="20"/>
                <w:lang w:val="en-AU"/>
              </w:rPr>
              <w:t>8 (5.0%)</w:t>
            </w:r>
          </w:p>
        </w:tc>
        <w:tc>
          <w:tcPr>
            <w:tcW w:w="1701" w:type="dxa"/>
          </w:tcPr>
          <w:p w:rsidR="008008E1" w:rsidRPr="00A019E2" w:rsidRDefault="008008E1" w:rsidP="00111C50">
            <w:pPr>
              <w:jc w:val="center"/>
              <w:rPr>
                <w:sz w:val="20"/>
                <w:lang w:val="en-AU"/>
              </w:rPr>
            </w:pPr>
          </w:p>
          <w:p w:rsidR="00111C50" w:rsidRPr="00A019E2" w:rsidRDefault="003A1363" w:rsidP="00111C50">
            <w:pPr>
              <w:jc w:val="center"/>
              <w:rPr>
                <w:sz w:val="20"/>
                <w:lang w:val="en-AU"/>
              </w:rPr>
            </w:pPr>
            <w:r w:rsidRPr="003A1363">
              <w:rPr>
                <w:sz w:val="20"/>
                <w:lang w:val="en-AU"/>
              </w:rPr>
              <w:t>1 (0.7%)</w:t>
            </w:r>
          </w:p>
        </w:tc>
        <w:tc>
          <w:tcPr>
            <w:tcW w:w="1524" w:type="dxa"/>
          </w:tcPr>
          <w:p w:rsidR="00111C50" w:rsidRPr="00A019E2" w:rsidRDefault="00111C50" w:rsidP="00111C50">
            <w:pPr>
              <w:jc w:val="center"/>
              <w:rPr>
                <w:sz w:val="20"/>
                <w:lang w:val="en-AU"/>
              </w:rPr>
            </w:pPr>
          </w:p>
          <w:p w:rsidR="00111C50" w:rsidRPr="00A019E2" w:rsidRDefault="003A1363" w:rsidP="00111C50">
            <w:pPr>
              <w:jc w:val="center"/>
              <w:rPr>
                <w:sz w:val="20"/>
                <w:lang w:val="en-AU"/>
              </w:rPr>
            </w:pPr>
            <w:r w:rsidRPr="003A1363">
              <w:rPr>
                <w:sz w:val="20"/>
                <w:lang w:val="en-AU"/>
              </w:rPr>
              <w:t>9 (2.9%)</w:t>
            </w:r>
          </w:p>
        </w:tc>
      </w:tr>
      <w:tr w:rsidR="008008E1" w:rsidRPr="00A019E2" w:rsidTr="00B943FA">
        <w:tc>
          <w:tcPr>
            <w:tcW w:w="4503" w:type="dxa"/>
          </w:tcPr>
          <w:p w:rsidR="008008E1" w:rsidRPr="00A019E2" w:rsidRDefault="003A1363" w:rsidP="00CA4B9C">
            <w:pPr>
              <w:autoSpaceDE w:val="0"/>
              <w:autoSpaceDN w:val="0"/>
              <w:adjustRightInd w:val="0"/>
              <w:spacing w:line="196" w:lineRule="atLeast"/>
              <w:rPr>
                <w:b/>
                <w:sz w:val="20"/>
                <w:lang w:val="en-AU"/>
              </w:rPr>
            </w:pPr>
            <w:r w:rsidRPr="003A1363">
              <w:rPr>
                <w:b/>
                <w:sz w:val="20"/>
                <w:lang w:val="en-AU"/>
              </w:rPr>
              <w:t>Metabolism &amp; nutrition  disorders</w:t>
            </w:r>
          </w:p>
          <w:p w:rsidR="00111C50" w:rsidRPr="00A019E2" w:rsidRDefault="003A1363" w:rsidP="0038234D">
            <w:pPr>
              <w:ind w:left="720"/>
              <w:rPr>
                <w:sz w:val="20"/>
                <w:lang w:val="en-AU"/>
              </w:rPr>
            </w:pPr>
            <w:r w:rsidRPr="003A1363">
              <w:rPr>
                <w:sz w:val="20"/>
                <w:lang w:val="en-AU"/>
              </w:rPr>
              <w:t>Hyperuricaemia</w:t>
            </w:r>
          </w:p>
        </w:tc>
        <w:tc>
          <w:tcPr>
            <w:tcW w:w="1559" w:type="dxa"/>
          </w:tcPr>
          <w:p w:rsidR="008008E1" w:rsidRPr="00A019E2" w:rsidRDefault="008008E1" w:rsidP="00111C50">
            <w:pPr>
              <w:jc w:val="center"/>
              <w:rPr>
                <w:sz w:val="20"/>
                <w:lang w:val="en-AU"/>
              </w:rPr>
            </w:pPr>
          </w:p>
          <w:p w:rsidR="00111C50" w:rsidRPr="00A019E2" w:rsidRDefault="003A1363" w:rsidP="00111C50">
            <w:pPr>
              <w:jc w:val="center"/>
              <w:rPr>
                <w:sz w:val="20"/>
                <w:lang w:val="en-AU"/>
              </w:rPr>
            </w:pPr>
            <w:r w:rsidRPr="003A1363">
              <w:rPr>
                <w:sz w:val="20"/>
                <w:lang w:val="en-AU"/>
              </w:rPr>
              <w:t>9 (5.6%)</w:t>
            </w:r>
          </w:p>
        </w:tc>
        <w:tc>
          <w:tcPr>
            <w:tcW w:w="1701" w:type="dxa"/>
          </w:tcPr>
          <w:p w:rsidR="008008E1" w:rsidRPr="00A019E2" w:rsidRDefault="008008E1" w:rsidP="00111C50">
            <w:pPr>
              <w:jc w:val="center"/>
              <w:rPr>
                <w:sz w:val="20"/>
                <w:lang w:val="en-AU"/>
              </w:rPr>
            </w:pPr>
          </w:p>
          <w:p w:rsidR="00111C50" w:rsidRPr="00A019E2" w:rsidRDefault="003A1363" w:rsidP="00111C50">
            <w:pPr>
              <w:jc w:val="center"/>
              <w:rPr>
                <w:sz w:val="20"/>
                <w:lang w:val="en-AU"/>
              </w:rPr>
            </w:pPr>
            <w:r w:rsidRPr="003A1363">
              <w:rPr>
                <w:sz w:val="20"/>
                <w:lang w:val="en-AU"/>
              </w:rPr>
              <w:t>1 (0.7%)</w:t>
            </w:r>
          </w:p>
        </w:tc>
        <w:tc>
          <w:tcPr>
            <w:tcW w:w="1524" w:type="dxa"/>
          </w:tcPr>
          <w:p w:rsidR="008008E1" w:rsidRPr="00A019E2" w:rsidRDefault="008008E1" w:rsidP="00111C50">
            <w:pPr>
              <w:jc w:val="center"/>
              <w:rPr>
                <w:sz w:val="20"/>
                <w:lang w:val="en-AU"/>
              </w:rPr>
            </w:pPr>
          </w:p>
          <w:p w:rsidR="00111C50" w:rsidRPr="00A019E2" w:rsidRDefault="003A1363" w:rsidP="00111C50">
            <w:pPr>
              <w:jc w:val="center"/>
              <w:rPr>
                <w:sz w:val="20"/>
                <w:lang w:val="en-AU"/>
              </w:rPr>
            </w:pPr>
            <w:r w:rsidRPr="003A1363">
              <w:rPr>
                <w:sz w:val="20"/>
                <w:lang w:val="en-AU"/>
              </w:rPr>
              <w:t>9 (2.9%)</w:t>
            </w:r>
          </w:p>
        </w:tc>
      </w:tr>
      <w:tr w:rsidR="008008E1" w:rsidRPr="00A019E2" w:rsidTr="00B943FA">
        <w:tc>
          <w:tcPr>
            <w:tcW w:w="4503" w:type="dxa"/>
          </w:tcPr>
          <w:p w:rsidR="008008E1" w:rsidRPr="00A019E2" w:rsidRDefault="003A1363" w:rsidP="00CA4B9C">
            <w:pPr>
              <w:autoSpaceDE w:val="0"/>
              <w:autoSpaceDN w:val="0"/>
              <w:adjustRightInd w:val="0"/>
              <w:spacing w:line="196" w:lineRule="atLeast"/>
              <w:rPr>
                <w:b/>
                <w:sz w:val="20"/>
                <w:lang w:val="en-AU"/>
              </w:rPr>
            </w:pPr>
            <w:r w:rsidRPr="003A1363">
              <w:rPr>
                <w:b/>
                <w:sz w:val="20"/>
                <w:lang w:val="en-AU"/>
              </w:rPr>
              <w:lastRenderedPageBreak/>
              <w:t>Skin &amp; subcutaneous tissue disorders</w:t>
            </w:r>
          </w:p>
          <w:p w:rsidR="00111C50" w:rsidRPr="00A019E2" w:rsidRDefault="003A1363" w:rsidP="0038234D">
            <w:pPr>
              <w:ind w:left="720"/>
              <w:rPr>
                <w:sz w:val="20"/>
                <w:lang w:val="en-AU"/>
              </w:rPr>
            </w:pPr>
            <w:r w:rsidRPr="003A1363">
              <w:rPr>
                <w:sz w:val="20"/>
                <w:lang w:val="en-AU"/>
              </w:rPr>
              <w:t>Rash</w:t>
            </w:r>
          </w:p>
        </w:tc>
        <w:tc>
          <w:tcPr>
            <w:tcW w:w="1559" w:type="dxa"/>
          </w:tcPr>
          <w:p w:rsidR="008008E1" w:rsidRPr="00A019E2" w:rsidRDefault="008008E1" w:rsidP="00111C50">
            <w:pPr>
              <w:jc w:val="center"/>
              <w:rPr>
                <w:sz w:val="20"/>
                <w:lang w:val="en-AU"/>
              </w:rPr>
            </w:pPr>
          </w:p>
          <w:p w:rsidR="00111C50" w:rsidRPr="00A019E2" w:rsidRDefault="003A1363" w:rsidP="00111C50">
            <w:pPr>
              <w:jc w:val="center"/>
              <w:rPr>
                <w:sz w:val="20"/>
                <w:lang w:val="en-AU"/>
              </w:rPr>
            </w:pPr>
            <w:r w:rsidRPr="003A1363">
              <w:rPr>
                <w:sz w:val="20"/>
                <w:lang w:val="en-AU"/>
              </w:rPr>
              <w:t>13 (8.1%)</w:t>
            </w:r>
          </w:p>
        </w:tc>
        <w:tc>
          <w:tcPr>
            <w:tcW w:w="1701" w:type="dxa"/>
          </w:tcPr>
          <w:p w:rsidR="008008E1" w:rsidRPr="00A019E2" w:rsidRDefault="008008E1" w:rsidP="00111C50">
            <w:pPr>
              <w:jc w:val="center"/>
              <w:rPr>
                <w:sz w:val="20"/>
                <w:lang w:val="en-AU"/>
              </w:rPr>
            </w:pPr>
          </w:p>
          <w:p w:rsidR="00111C50" w:rsidRPr="00A019E2" w:rsidRDefault="003A1363" w:rsidP="00111C50">
            <w:pPr>
              <w:jc w:val="center"/>
              <w:rPr>
                <w:sz w:val="20"/>
                <w:lang w:val="en-AU"/>
              </w:rPr>
            </w:pPr>
            <w:r w:rsidRPr="003A1363">
              <w:rPr>
                <w:sz w:val="20"/>
                <w:lang w:val="en-AU"/>
              </w:rPr>
              <w:t>5 (3.3%)</w:t>
            </w:r>
          </w:p>
        </w:tc>
        <w:tc>
          <w:tcPr>
            <w:tcW w:w="1524" w:type="dxa"/>
          </w:tcPr>
          <w:p w:rsidR="008008E1" w:rsidRPr="00A019E2" w:rsidRDefault="008008E1" w:rsidP="00111C50">
            <w:pPr>
              <w:jc w:val="center"/>
              <w:rPr>
                <w:sz w:val="20"/>
                <w:lang w:val="en-AU"/>
              </w:rPr>
            </w:pPr>
          </w:p>
          <w:p w:rsidR="00111C50" w:rsidRPr="00A019E2" w:rsidRDefault="003A1363" w:rsidP="00111C50">
            <w:pPr>
              <w:jc w:val="center"/>
              <w:rPr>
                <w:sz w:val="20"/>
                <w:lang w:val="en-AU"/>
              </w:rPr>
            </w:pPr>
            <w:r w:rsidRPr="003A1363">
              <w:rPr>
                <w:sz w:val="20"/>
                <w:lang w:val="en-AU"/>
              </w:rPr>
              <w:t>18 (5.8%)</w:t>
            </w:r>
          </w:p>
        </w:tc>
      </w:tr>
    </w:tbl>
    <w:p w:rsidR="00111C50" w:rsidRPr="00A019E2" w:rsidRDefault="003A1363" w:rsidP="00CA4B9C">
      <w:pPr>
        <w:rPr>
          <w:sz w:val="18"/>
          <w:szCs w:val="18"/>
          <w:lang w:val="en-AU"/>
        </w:rPr>
      </w:pPr>
      <w:r w:rsidRPr="003A1363">
        <w:rPr>
          <w:sz w:val="18"/>
          <w:szCs w:val="18"/>
          <w:lang w:val="en-AU"/>
        </w:rPr>
        <w:t>Note: Patients are counted only once in each preferred term category and only once in each system organ class.</w:t>
      </w:r>
    </w:p>
    <w:p w:rsidR="00111C50" w:rsidRPr="00A019E2" w:rsidRDefault="00111C50" w:rsidP="00CA4B9C">
      <w:pPr>
        <w:rPr>
          <w:sz w:val="20"/>
          <w:lang w:val="en-AU"/>
        </w:rPr>
      </w:pPr>
    </w:p>
    <w:p w:rsidR="00111C50" w:rsidRPr="00A019E2" w:rsidRDefault="003A1363" w:rsidP="00111C50">
      <w:pPr>
        <w:rPr>
          <w:lang w:val="en-AU"/>
        </w:rPr>
      </w:pPr>
      <w:r w:rsidRPr="003A1363">
        <w:rPr>
          <w:lang w:val="en-AU"/>
        </w:rPr>
        <w:t>The most frequent adverse reactions leading to study withdrawal for patients receiving RIBOMUSTIN were hypersensitivity (2%) and pyrexia (1%).</w:t>
      </w:r>
    </w:p>
    <w:p w:rsidR="00650196" w:rsidRPr="00A019E2" w:rsidRDefault="003A1363" w:rsidP="0038234D">
      <w:pPr>
        <w:rPr>
          <w:b/>
          <w:sz w:val="20"/>
          <w:lang w:val="en-AU"/>
        </w:rPr>
      </w:pPr>
      <w:r w:rsidRPr="003A1363">
        <w:rPr>
          <w:b/>
          <w:bCs/>
          <w:i/>
          <w:lang w:val="en-AU"/>
        </w:rPr>
        <w:t xml:space="preserve">Results from the NHL1-2003 Clinical Trial in Patients with </w:t>
      </w:r>
      <w:r w:rsidRPr="003A1363">
        <w:rPr>
          <w:rFonts w:cs="Arial"/>
          <w:b/>
          <w:bCs/>
          <w:i/>
          <w:lang w:val="en-AU"/>
        </w:rPr>
        <w:t>Previously Untreated Advanced Indolent Non-Hodgkin’s Lymphoma and Mantle Cell Lymphoma</w:t>
      </w:r>
      <w:r w:rsidRPr="003A1363">
        <w:rPr>
          <w:b/>
          <w:bCs/>
          <w:i/>
          <w:lang w:val="en-AU"/>
        </w:rPr>
        <w:t xml:space="preserve">: </w:t>
      </w:r>
    </w:p>
    <w:p w:rsidR="00650196" w:rsidRPr="00A019E2" w:rsidRDefault="003A1363" w:rsidP="00650196">
      <w:pPr>
        <w:spacing w:before="20" w:after="80"/>
        <w:rPr>
          <w:iCs/>
          <w:snapToGrid w:val="0"/>
          <w:lang w:val="en-AU"/>
        </w:rPr>
      </w:pPr>
      <w:r w:rsidRPr="003A1363">
        <w:rPr>
          <w:iCs/>
          <w:snapToGrid w:val="0"/>
          <w:lang w:val="en-AU"/>
        </w:rPr>
        <w:t>Tables 9 and 10 describe safety data from the NHL1-2003 study with previously untreated advanced indolent NHL who received RIBOMUSTIN IV (</w:t>
      </w:r>
      <w:r w:rsidRPr="003A1363">
        <w:rPr>
          <w:iCs/>
          <w:lang w:val="en-AU"/>
        </w:rPr>
        <w:t>90 mg/m</w:t>
      </w:r>
      <w:r w:rsidRPr="003A1363">
        <w:rPr>
          <w:iCs/>
          <w:vertAlign w:val="superscript"/>
          <w:lang w:val="en-AU"/>
        </w:rPr>
        <w:t>2</w:t>
      </w:r>
      <w:r w:rsidRPr="003A1363">
        <w:rPr>
          <w:iCs/>
          <w:snapToGrid w:val="0"/>
          <w:lang w:val="en-AU"/>
        </w:rPr>
        <w:t>) in combination with rituximab (</w:t>
      </w:r>
      <w:r w:rsidRPr="003A1363">
        <w:rPr>
          <w:iCs/>
          <w:lang w:val="en-AU"/>
        </w:rPr>
        <w:t>375 mg/m</w:t>
      </w:r>
      <w:r w:rsidRPr="003A1363">
        <w:rPr>
          <w:iCs/>
          <w:vertAlign w:val="superscript"/>
          <w:lang w:val="en-AU"/>
        </w:rPr>
        <w:t>2</w:t>
      </w:r>
      <w:r w:rsidRPr="003A1363">
        <w:rPr>
          <w:iCs/>
          <w:snapToGrid w:val="0"/>
          <w:lang w:val="en-AU"/>
        </w:rPr>
        <w:t>).</w:t>
      </w:r>
    </w:p>
    <w:p w:rsidR="006573A1" w:rsidRPr="00A019E2" w:rsidRDefault="003A1363" w:rsidP="00650196">
      <w:pPr>
        <w:spacing w:before="20" w:after="80"/>
        <w:rPr>
          <w:iCs/>
          <w:snapToGrid w:val="0"/>
          <w:lang w:val="en-AU"/>
        </w:rPr>
      </w:pPr>
      <w:r w:rsidRPr="003A1363">
        <w:rPr>
          <w:iCs/>
          <w:snapToGrid w:val="0"/>
          <w:lang w:val="en-AU"/>
        </w:rPr>
        <w:t>Adverse event data provided below is based on published data and is therefore limited in nature.</w:t>
      </w:r>
    </w:p>
    <w:p w:rsidR="00CF2A53" w:rsidRPr="00A019E2" w:rsidRDefault="00CF2A53" w:rsidP="00CF2A53">
      <w:pPr>
        <w:pStyle w:val="BodyTextIndent"/>
        <w:spacing w:before="20" w:after="80"/>
        <w:ind w:left="0"/>
        <w:rPr>
          <w:rFonts w:asciiTheme="minorHAnsi" w:hAnsiTheme="minorHAnsi" w:cs="Arial"/>
          <w:b/>
          <w:bCs/>
          <w:sz w:val="20"/>
          <w:highlight w:val="yellow"/>
          <w:lang w:val="en-AU"/>
        </w:rPr>
      </w:pPr>
    </w:p>
    <w:p w:rsidR="00650196" w:rsidRPr="00A019E2" w:rsidRDefault="003A1363" w:rsidP="00CF2A53">
      <w:pPr>
        <w:pStyle w:val="BodyTextIndent"/>
        <w:spacing w:before="20" w:after="80"/>
        <w:ind w:left="0"/>
        <w:rPr>
          <w:rFonts w:asciiTheme="minorHAnsi" w:hAnsiTheme="minorHAnsi" w:cs="Arial"/>
          <w:b/>
          <w:bCs/>
          <w:sz w:val="20"/>
          <w:lang w:val="en-AU"/>
        </w:rPr>
      </w:pPr>
      <w:r w:rsidRPr="003A1363">
        <w:rPr>
          <w:rFonts w:asciiTheme="minorHAnsi" w:hAnsiTheme="minorHAnsi" w:cs="Arial"/>
          <w:b/>
          <w:bCs/>
          <w:sz w:val="20"/>
          <w:lang w:val="en-AU"/>
        </w:rPr>
        <w:t xml:space="preserve">Table 9: </w:t>
      </w:r>
      <w:r w:rsidRPr="003A1363">
        <w:rPr>
          <w:rFonts w:asciiTheme="minorHAnsi" w:hAnsiTheme="minorHAnsi" w:cs="Arial"/>
          <w:b/>
          <w:sz w:val="20"/>
          <w:lang w:val="en-AU"/>
        </w:rPr>
        <w:t>Haematological toxic events in patients receiving at least one dose of study treatment</w:t>
      </w:r>
      <w:r w:rsidRPr="003A1363">
        <w:rPr>
          <w:rFonts w:asciiTheme="minorHAnsi" w:hAnsiTheme="minorHAnsi" w:cs="Arial"/>
          <w:b/>
          <w:bCs/>
          <w:sz w:val="20"/>
          <w:lang w:val="en-AU"/>
        </w:rPr>
        <w:t xml:space="preserve"> </w:t>
      </w:r>
    </w:p>
    <w:tbl>
      <w:tblPr>
        <w:tblStyle w:val="TableGrid"/>
        <w:tblW w:w="9961" w:type="dxa"/>
        <w:tblInd w:w="-72" w:type="dxa"/>
        <w:tblLayout w:type="fixed"/>
        <w:tblLook w:val="04A0" w:firstRow="1" w:lastRow="0" w:firstColumn="1" w:lastColumn="0" w:noHBand="0" w:noVBand="1"/>
      </w:tblPr>
      <w:tblGrid>
        <w:gridCol w:w="1260"/>
        <w:gridCol w:w="810"/>
        <w:gridCol w:w="719"/>
        <w:gridCol w:w="901"/>
        <w:gridCol w:w="885"/>
        <w:gridCol w:w="915"/>
        <w:gridCol w:w="810"/>
        <w:gridCol w:w="990"/>
        <w:gridCol w:w="810"/>
        <w:gridCol w:w="1011"/>
        <w:gridCol w:w="850"/>
      </w:tblGrid>
      <w:tr w:rsidR="00650196" w:rsidRPr="00A019E2" w:rsidTr="00053545">
        <w:trPr>
          <w:trHeight w:val="559"/>
        </w:trPr>
        <w:tc>
          <w:tcPr>
            <w:tcW w:w="1260" w:type="dxa"/>
            <w:vAlign w:val="bottom"/>
          </w:tcPr>
          <w:p w:rsidR="00650196" w:rsidRPr="00A019E2" w:rsidRDefault="00650196" w:rsidP="00E15927">
            <w:pPr>
              <w:rPr>
                <w:rFonts w:cs="Arial"/>
                <w:color w:val="000000"/>
                <w:sz w:val="18"/>
                <w:szCs w:val="18"/>
                <w:lang w:val="en-AU"/>
              </w:rPr>
            </w:pPr>
          </w:p>
        </w:tc>
        <w:tc>
          <w:tcPr>
            <w:tcW w:w="1529" w:type="dxa"/>
            <w:gridSpan w:val="2"/>
            <w:vAlign w:val="bottom"/>
          </w:tcPr>
          <w:p w:rsidR="00650196" w:rsidRPr="00A019E2" w:rsidRDefault="003A1363" w:rsidP="00DA07B3">
            <w:pPr>
              <w:jc w:val="center"/>
              <w:rPr>
                <w:rFonts w:cs="Arial"/>
                <w:sz w:val="18"/>
                <w:szCs w:val="18"/>
                <w:lang w:val="en-AU"/>
              </w:rPr>
            </w:pPr>
            <w:r w:rsidRPr="003A1363">
              <w:rPr>
                <w:rFonts w:cs="Arial"/>
                <w:b/>
                <w:bCs/>
                <w:color w:val="333333"/>
                <w:sz w:val="18"/>
                <w:szCs w:val="18"/>
                <w:lang w:val="en-AU"/>
              </w:rPr>
              <w:t>Grade 1</w:t>
            </w:r>
          </w:p>
          <w:p w:rsidR="00650196" w:rsidRPr="00A019E2" w:rsidRDefault="00650196" w:rsidP="00DA07B3">
            <w:pPr>
              <w:jc w:val="center"/>
              <w:rPr>
                <w:rFonts w:cs="Arial"/>
                <w:color w:val="000000"/>
                <w:sz w:val="18"/>
                <w:szCs w:val="18"/>
                <w:lang w:val="en-AU"/>
              </w:rPr>
            </w:pPr>
          </w:p>
        </w:tc>
        <w:tc>
          <w:tcPr>
            <w:tcW w:w="1786" w:type="dxa"/>
            <w:gridSpan w:val="2"/>
            <w:vAlign w:val="bottom"/>
          </w:tcPr>
          <w:p w:rsidR="00650196" w:rsidRPr="00A019E2" w:rsidRDefault="003A1363" w:rsidP="00DA07B3">
            <w:pPr>
              <w:jc w:val="center"/>
              <w:rPr>
                <w:rFonts w:cs="Arial"/>
                <w:sz w:val="18"/>
                <w:szCs w:val="18"/>
                <w:lang w:val="en-AU"/>
              </w:rPr>
            </w:pPr>
            <w:r w:rsidRPr="003A1363">
              <w:rPr>
                <w:rFonts w:cs="Arial"/>
                <w:b/>
                <w:bCs/>
                <w:color w:val="333333"/>
                <w:sz w:val="18"/>
                <w:szCs w:val="18"/>
                <w:lang w:val="en-AU"/>
              </w:rPr>
              <w:t>Grade 2</w:t>
            </w:r>
          </w:p>
          <w:p w:rsidR="00650196" w:rsidRPr="00A019E2" w:rsidRDefault="00650196" w:rsidP="00DA07B3">
            <w:pPr>
              <w:jc w:val="center"/>
              <w:rPr>
                <w:rFonts w:cs="Arial"/>
                <w:color w:val="000000"/>
                <w:sz w:val="18"/>
                <w:szCs w:val="18"/>
                <w:lang w:val="en-AU"/>
              </w:rPr>
            </w:pPr>
          </w:p>
        </w:tc>
        <w:tc>
          <w:tcPr>
            <w:tcW w:w="1725" w:type="dxa"/>
            <w:gridSpan w:val="2"/>
            <w:vAlign w:val="bottom"/>
          </w:tcPr>
          <w:p w:rsidR="00650196" w:rsidRPr="00A019E2" w:rsidRDefault="003A1363" w:rsidP="00DA07B3">
            <w:pPr>
              <w:jc w:val="center"/>
              <w:rPr>
                <w:rFonts w:cs="Arial"/>
                <w:sz w:val="18"/>
                <w:szCs w:val="18"/>
                <w:lang w:val="en-AU"/>
              </w:rPr>
            </w:pPr>
            <w:r w:rsidRPr="003A1363">
              <w:rPr>
                <w:rFonts w:cs="Arial"/>
                <w:b/>
                <w:bCs/>
                <w:color w:val="333333"/>
                <w:sz w:val="18"/>
                <w:szCs w:val="18"/>
                <w:lang w:val="en-AU"/>
              </w:rPr>
              <w:t>Grade 3</w:t>
            </w:r>
          </w:p>
          <w:p w:rsidR="00650196" w:rsidRPr="00A019E2" w:rsidRDefault="00650196" w:rsidP="00DA07B3">
            <w:pPr>
              <w:jc w:val="center"/>
              <w:rPr>
                <w:rFonts w:cs="Arial"/>
                <w:color w:val="000000"/>
                <w:sz w:val="18"/>
                <w:szCs w:val="18"/>
                <w:lang w:val="en-AU"/>
              </w:rPr>
            </w:pPr>
          </w:p>
        </w:tc>
        <w:tc>
          <w:tcPr>
            <w:tcW w:w="1800" w:type="dxa"/>
            <w:gridSpan w:val="2"/>
            <w:vAlign w:val="bottom"/>
          </w:tcPr>
          <w:p w:rsidR="00650196" w:rsidRPr="00A019E2" w:rsidRDefault="003A1363" w:rsidP="00DA07B3">
            <w:pPr>
              <w:jc w:val="center"/>
              <w:rPr>
                <w:rFonts w:cs="Arial"/>
                <w:sz w:val="18"/>
                <w:szCs w:val="18"/>
                <w:lang w:val="en-AU"/>
              </w:rPr>
            </w:pPr>
            <w:r w:rsidRPr="003A1363">
              <w:rPr>
                <w:rFonts w:cs="Arial"/>
                <w:b/>
                <w:bCs/>
                <w:color w:val="333333"/>
                <w:sz w:val="18"/>
                <w:szCs w:val="18"/>
                <w:lang w:val="en-AU"/>
              </w:rPr>
              <w:t>Grade 4</w:t>
            </w:r>
          </w:p>
          <w:p w:rsidR="00650196" w:rsidRPr="00A019E2" w:rsidRDefault="00650196" w:rsidP="00DA07B3">
            <w:pPr>
              <w:jc w:val="center"/>
              <w:rPr>
                <w:rFonts w:cs="Arial"/>
                <w:color w:val="000000"/>
                <w:sz w:val="18"/>
                <w:szCs w:val="18"/>
                <w:lang w:val="en-AU"/>
              </w:rPr>
            </w:pPr>
          </w:p>
        </w:tc>
        <w:tc>
          <w:tcPr>
            <w:tcW w:w="1861" w:type="dxa"/>
            <w:gridSpan w:val="2"/>
            <w:vAlign w:val="bottom"/>
          </w:tcPr>
          <w:p w:rsidR="00650196" w:rsidRPr="00A019E2" w:rsidRDefault="003A1363" w:rsidP="00DA07B3">
            <w:pPr>
              <w:jc w:val="center"/>
              <w:rPr>
                <w:rFonts w:cs="Arial"/>
                <w:sz w:val="18"/>
                <w:szCs w:val="18"/>
                <w:lang w:val="en-AU"/>
              </w:rPr>
            </w:pPr>
            <w:r w:rsidRPr="003A1363">
              <w:rPr>
                <w:rFonts w:cs="Arial"/>
                <w:b/>
                <w:bCs/>
                <w:color w:val="333333"/>
                <w:sz w:val="18"/>
                <w:szCs w:val="18"/>
                <w:lang w:val="en-AU"/>
              </w:rPr>
              <w:t>Grade 3–4</w:t>
            </w:r>
          </w:p>
          <w:p w:rsidR="00650196" w:rsidRPr="00A019E2" w:rsidRDefault="00650196" w:rsidP="00DA07B3">
            <w:pPr>
              <w:jc w:val="center"/>
              <w:rPr>
                <w:rFonts w:cs="Arial"/>
                <w:color w:val="000000"/>
                <w:sz w:val="18"/>
                <w:szCs w:val="18"/>
                <w:lang w:val="en-AU"/>
              </w:rPr>
            </w:pPr>
          </w:p>
        </w:tc>
      </w:tr>
      <w:tr w:rsidR="00650196" w:rsidRPr="00A019E2" w:rsidTr="00CF2A53">
        <w:tc>
          <w:tcPr>
            <w:tcW w:w="1260" w:type="dxa"/>
            <w:vAlign w:val="bottom"/>
          </w:tcPr>
          <w:p w:rsidR="00650196" w:rsidRPr="00A019E2" w:rsidRDefault="00650196" w:rsidP="00CF2A53">
            <w:pPr>
              <w:jc w:val="center"/>
              <w:rPr>
                <w:rFonts w:cs="Arial"/>
                <w:color w:val="000000"/>
                <w:sz w:val="18"/>
                <w:szCs w:val="18"/>
                <w:lang w:val="en-AU"/>
              </w:rPr>
            </w:pPr>
          </w:p>
        </w:tc>
        <w:tc>
          <w:tcPr>
            <w:tcW w:w="810" w:type="dxa"/>
            <w:vAlign w:val="bottom"/>
          </w:tcPr>
          <w:p w:rsidR="00650196" w:rsidRPr="00A019E2" w:rsidRDefault="003A1363" w:rsidP="00CF2A53">
            <w:pPr>
              <w:autoSpaceDE w:val="0"/>
              <w:autoSpaceDN w:val="0"/>
              <w:adjustRightInd w:val="0"/>
              <w:spacing w:line="196" w:lineRule="atLeast"/>
              <w:jc w:val="center"/>
              <w:rPr>
                <w:rFonts w:cs="Arial"/>
                <w:sz w:val="18"/>
                <w:szCs w:val="18"/>
                <w:lang w:val="en-AU"/>
              </w:rPr>
            </w:pPr>
            <w:r w:rsidRPr="003A1363">
              <w:rPr>
                <w:rFonts w:cs="Arial"/>
                <w:color w:val="333333"/>
                <w:sz w:val="18"/>
                <w:szCs w:val="18"/>
                <w:lang w:val="en-AU"/>
              </w:rPr>
              <w:t>R-CHOP</w:t>
            </w:r>
          </w:p>
        </w:tc>
        <w:tc>
          <w:tcPr>
            <w:tcW w:w="719" w:type="dxa"/>
            <w:vAlign w:val="bottom"/>
          </w:tcPr>
          <w:p w:rsidR="00650196" w:rsidRPr="00A019E2" w:rsidRDefault="003A1363" w:rsidP="00CF2A53">
            <w:pPr>
              <w:autoSpaceDE w:val="0"/>
              <w:autoSpaceDN w:val="0"/>
              <w:adjustRightInd w:val="0"/>
              <w:spacing w:line="196" w:lineRule="atLeast"/>
              <w:jc w:val="center"/>
              <w:rPr>
                <w:rFonts w:cs="Arial"/>
                <w:sz w:val="18"/>
                <w:szCs w:val="18"/>
                <w:lang w:val="en-AU"/>
              </w:rPr>
            </w:pPr>
            <w:r w:rsidRPr="003A1363">
              <w:rPr>
                <w:rFonts w:cs="Arial"/>
                <w:color w:val="333333"/>
                <w:sz w:val="18"/>
                <w:szCs w:val="18"/>
                <w:lang w:val="en-AU"/>
              </w:rPr>
              <w:t>B-R</w:t>
            </w:r>
          </w:p>
        </w:tc>
        <w:tc>
          <w:tcPr>
            <w:tcW w:w="901" w:type="dxa"/>
            <w:vAlign w:val="bottom"/>
          </w:tcPr>
          <w:p w:rsidR="00650196" w:rsidRPr="00A019E2" w:rsidRDefault="003A1363" w:rsidP="00CF2A53">
            <w:pPr>
              <w:autoSpaceDE w:val="0"/>
              <w:autoSpaceDN w:val="0"/>
              <w:adjustRightInd w:val="0"/>
              <w:spacing w:line="196" w:lineRule="atLeast"/>
              <w:jc w:val="center"/>
              <w:rPr>
                <w:rFonts w:cs="Arial"/>
                <w:sz w:val="18"/>
                <w:szCs w:val="18"/>
                <w:lang w:val="en-AU"/>
              </w:rPr>
            </w:pPr>
            <w:r w:rsidRPr="003A1363">
              <w:rPr>
                <w:rFonts w:cs="Arial"/>
                <w:color w:val="333333"/>
                <w:sz w:val="18"/>
                <w:szCs w:val="18"/>
                <w:lang w:val="en-AU"/>
              </w:rPr>
              <w:t>R-CHOP</w:t>
            </w:r>
          </w:p>
        </w:tc>
        <w:tc>
          <w:tcPr>
            <w:tcW w:w="885" w:type="dxa"/>
            <w:vAlign w:val="bottom"/>
          </w:tcPr>
          <w:p w:rsidR="00650196" w:rsidRPr="00A019E2" w:rsidRDefault="003A1363" w:rsidP="00CF2A53">
            <w:pPr>
              <w:autoSpaceDE w:val="0"/>
              <w:autoSpaceDN w:val="0"/>
              <w:adjustRightInd w:val="0"/>
              <w:spacing w:line="196" w:lineRule="atLeast"/>
              <w:jc w:val="center"/>
              <w:rPr>
                <w:rFonts w:cs="Arial"/>
                <w:sz w:val="18"/>
                <w:szCs w:val="18"/>
                <w:lang w:val="en-AU"/>
              </w:rPr>
            </w:pPr>
            <w:r w:rsidRPr="003A1363">
              <w:rPr>
                <w:rFonts w:cs="Arial"/>
                <w:color w:val="333333"/>
                <w:sz w:val="18"/>
                <w:szCs w:val="18"/>
                <w:lang w:val="en-AU"/>
              </w:rPr>
              <w:t>B-R</w:t>
            </w:r>
          </w:p>
        </w:tc>
        <w:tc>
          <w:tcPr>
            <w:tcW w:w="915" w:type="dxa"/>
            <w:vAlign w:val="bottom"/>
          </w:tcPr>
          <w:p w:rsidR="00650196" w:rsidRPr="00A019E2" w:rsidRDefault="003A1363" w:rsidP="00CF2A53">
            <w:pPr>
              <w:autoSpaceDE w:val="0"/>
              <w:autoSpaceDN w:val="0"/>
              <w:adjustRightInd w:val="0"/>
              <w:spacing w:line="196" w:lineRule="atLeast"/>
              <w:jc w:val="center"/>
              <w:rPr>
                <w:rFonts w:cs="Arial"/>
                <w:sz w:val="18"/>
                <w:szCs w:val="18"/>
                <w:lang w:val="en-AU"/>
              </w:rPr>
            </w:pPr>
            <w:r w:rsidRPr="003A1363">
              <w:rPr>
                <w:rFonts w:cs="Arial"/>
                <w:color w:val="333333"/>
                <w:sz w:val="18"/>
                <w:szCs w:val="18"/>
                <w:lang w:val="en-AU"/>
              </w:rPr>
              <w:t>R-CHOP</w:t>
            </w:r>
          </w:p>
        </w:tc>
        <w:tc>
          <w:tcPr>
            <w:tcW w:w="810" w:type="dxa"/>
            <w:vAlign w:val="bottom"/>
          </w:tcPr>
          <w:p w:rsidR="00650196" w:rsidRPr="00A019E2" w:rsidRDefault="003A1363" w:rsidP="00CF2A53">
            <w:pPr>
              <w:autoSpaceDE w:val="0"/>
              <w:autoSpaceDN w:val="0"/>
              <w:adjustRightInd w:val="0"/>
              <w:spacing w:line="196" w:lineRule="atLeast"/>
              <w:jc w:val="center"/>
              <w:rPr>
                <w:rFonts w:cs="Arial"/>
                <w:sz w:val="18"/>
                <w:szCs w:val="18"/>
                <w:lang w:val="en-AU"/>
              </w:rPr>
            </w:pPr>
            <w:r w:rsidRPr="003A1363">
              <w:rPr>
                <w:rFonts w:cs="Arial"/>
                <w:color w:val="333333"/>
                <w:sz w:val="18"/>
                <w:szCs w:val="18"/>
                <w:lang w:val="en-AU"/>
              </w:rPr>
              <w:t>B-R</w:t>
            </w:r>
          </w:p>
        </w:tc>
        <w:tc>
          <w:tcPr>
            <w:tcW w:w="990" w:type="dxa"/>
            <w:vAlign w:val="bottom"/>
          </w:tcPr>
          <w:p w:rsidR="00650196" w:rsidRPr="00A019E2" w:rsidRDefault="003A1363" w:rsidP="00CF2A53">
            <w:pPr>
              <w:jc w:val="center"/>
              <w:rPr>
                <w:rFonts w:cs="Arial"/>
                <w:sz w:val="18"/>
                <w:szCs w:val="18"/>
                <w:lang w:val="en-AU"/>
              </w:rPr>
            </w:pPr>
            <w:r w:rsidRPr="003A1363">
              <w:rPr>
                <w:rFonts w:cs="Arial"/>
                <w:color w:val="333333"/>
                <w:sz w:val="18"/>
                <w:szCs w:val="18"/>
                <w:lang w:val="en-AU"/>
              </w:rPr>
              <w:t>R-CHOP</w:t>
            </w:r>
          </w:p>
        </w:tc>
        <w:tc>
          <w:tcPr>
            <w:tcW w:w="810" w:type="dxa"/>
            <w:vAlign w:val="bottom"/>
          </w:tcPr>
          <w:p w:rsidR="00650196" w:rsidRPr="00A019E2" w:rsidRDefault="003A1363" w:rsidP="00CF2A53">
            <w:pPr>
              <w:jc w:val="center"/>
              <w:rPr>
                <w:rFonts w:cs="Arial"/>
                <w:sz w:val="18"/>
                <w:szCs w:val="18"/>
                <w:lang w:val="en-AU"/>
              </w:rPr>
            </w:pPr>
            <w:r w:rsidRPr="003A1363">
              <w:rPr>
                <w:rFonts w:cs="Arial"/>
                <w:color w:val="333333"/>
                <w:sz w:val="18"/>
                <w:szCs w:val="18"/>
                <w:lang w:val="en-AU"/>
              </w:rPr>
              <w:t>B-R</w:t>
            </w:r>
          </w:p>
        </w:tc>
        <w:tc>
          <w:tcPr>
            <w:tcW w:w="1011" w:type="dxa"/>
            <w:vAlign w:val="bottom"/>
          </w:tcPr>
          <w:p w:rsidR="00650196" w:rsidRPr="00A019E2" w:rsidRDefault="003A1363" w:rsidP="00CF2A53">
            <w:pPr>
              <w:jc w:val="center"/>
              <w:rPr>
                <w:rFonts w:cs="Arial"/>
                <w:sz w:val="18"/>
                <w:szCs w:val="18"/>
                <w:lang w:val="en-AU"/>
              </w:rPr>
            </w:pPr>
            <w:r w:rsidRPr="003A1363">
              <w:rPr>
                <w:rFonts w:cs="Arial"/>
                <w:color w:val="333333"/>
                <w:sz w:val="18"/>
                <w:szCs w:val="18"/>
                <w:lang w:val="en-AU"/>
              </w:rPr>
              <w:t>R-CHOP</w:t>
            </w:r>
          </w:p>
        </w:tc>
        <w:tc>
          <w:tcPr>
            <w:tcW w:w="850" w:type="dxa"/>
            <w:vAlign w:val="bottom"/>
          </w:tcPr>
          <w:p w:rsidR="00650196" w:rsidRPr="00A019E2" w:rsidRDefault="003A1363" w:rsidP="00CF2A53">
            <w:pPr>
              <w:jc w:val="center"/>
              <w:rPr>
                <w:rFonts w:cs="Arial"/>
                <w:sz w:val="18"/>
                <w:szCs w:val="18"/>
                <w:lang w:val="en-AU"/>
              </w:rPr>
            </w:pPr>
            <w:r w:rsidRPr="003A1363">
              <w:rPr>
                <w:rFonts w:cs="Arial"/>
                <w:color w:val="333333"/>
                <w:sz w:val="18"/>
                <w:szCs w:val="18"/>
                <w:lang w:val="en-AU"/>
              </w:rPr>
              <w:t>B-R</w:t>
            </w:r>
          </w:p>
        </w:tc>
      </w:tr>
      <w:tr w:rsidR="00650196" w:rsidRPr="00A019E2" w:rsidTr="00CF2A53">
        <w:tc>
          <w:tcPr>
            <w:tcW w:w="1260" w:type="dxa"/>
            <w:vAlign w:val="bottom"/>
          </w:tcPr>
          <w:p w:rsidR="00650196" w:rsidRPr="00A019E2" w:rsidRDefault="003A1363" w:rsidP="003F2862">
            <w:pPr>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Leucocytopaenia </w:t>
            </w:r>
            <w:r w:rsidRPr="003A1363">
              <w:rPr>
                <w:rFonts w:cs="Arial"/>
                <w:sz w:val="18"/>
                <w:szCs w:val="18"/>
                <w:lang w:val="en-AU"/>
              </w:rPr>
              <w:t xml:space="preserve"> </w:t>
            </w:r>
          </w:p>
        </w:tc>
        <w:tc>
          <w:tcPr>
            <w:tcW w:w="81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13  (5%) </w:t>
            </w:r>
            <w:r w:rsidRPr="003A1363">
              <w:rPr>
                <w:rFonts w:cs="Arial"/>
                <w:sz w:val="18"/>
                <w:szCs w:val="18"/>
                <w:lang w:val="en-AU"/>
              </w:rPr>
              <w:t xml:space="preserve"> </w:t>
            </w:r>
          </w:p>
        </w:tc>
        <w:tc>
          <w:tcPr>
            <w:tcW w:w="719"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52 (19%) </w:t>
            </w:r>
            <w:r w:rsidRPr="003A1363">
              <w:rPr>
                <w:rFonts w:cs="Arial"/>
                <w:sz w:val="18"/>
                <w:szCs w:val="18"/>
                <w:lang w:val="en-AU"/>
              </w:rPr>
              <w:t xml:space="preserve"> </w:t>
            </w:r>
          </w:p>
        </w:tc>
        <w:tc>
          <w:tcPr>
            <w:tcW w:w="901"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39  (15%) </w:t>
            </w:r>
            <w:r w:rsidRPr="003A1363">
              <w:rPr>
                <w:rFonts w:cs="Arial"/>
                <w:sz w:val="18"/>
                <w:szCs w:val="18"/>
                <w:lang w:val="en-AU"/>
              </w:rPr>
              <w:t xml:space="preserve"> </w:t>
            </w:r>
          </w:p>
        </w:tc>
        <w:tc>
          <w:tcPr>
            <w:tcW w:w="885"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80 (30%) </w:t>
            </w:r>
            <w:r w:rsidRPr="003A1363">
              <w:rPr>
                <w:rFonts w:cs="Arial"/>
                <w:sz w:val="18"/>
                <w:szCs w:val="18"/>
                <w:lang w:val="en-AU"/>
              </w:rPr>
              <w:t xml:space="preserve"> </w:t>
            </w:r>
          </w:p>
        </w:tc>
        <w:tc>
          <w:tcPr>
            <w:tcW w:w="915"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110 (44%) </w:t>
            </w:r>
            <w:r w:rsidRPr="003A1363">
              <w:rPr>
                <w:rFonts w:cs="Arial"/>
                <w:sz w:val="18"/>
                <w:szCs w:val="18"/>
                <w:lang w:val="en-AU"/>
              </w:rPr>
              <w:t xml:space="preserve"> </w:t>
            </w:r>
          </w:p>
        </w:tc>
        <w:tc>
          <w:tcPr>
            <w:tcW w:w="81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85 (32%) </w:t>
            </w:r>
            <w:r w:rsidRPr="003A1363">
              <w:rPr>
                <w:rFonts w:cs="Arial"/>
                <w:sz w:val="18"/>
                <w:szCs w:val="18"/>
                <w:lang w:val="en-AU"/>
              </w:rPr>
              <w:t xml:space="preserve"> </w:t>
            </w:r>
          </w:p>
        </w:tc>
        <w:tc>
          <w:tcPr>
            <w:tcW w:w="99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71    (28%) </w:t>
            </w:r>
            <w:r w:rsidRPr="003A1363">
              <w:rPr>
                <w:rFonts w:cs="Arial"/>
                <w:sz w:val="18"/>
                <w:szCs w:val="18"/>
                <w:lang w:val="en-AU"/>
              </w:rPr>
              <w:t xml:space="preserve"> </w:t>
            </w:r>
          </w:p>
        </w:tc>
        <w:tc>
          <w:tcPr>
            <w:tcW w:w="81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13  (5%) </w:t>
            </w:r>
            <w:r w:rsidRPr="003A1363">
              <w:rPr>
                <w:rFonts w:cs="Arial"/>
                <w:sz w:val="18"/>
                <w:szCs w:val="18"/>
                <w:lang w:val="en-AU"/>
              </w:rPr>
              <w:t xml:space="preserve"> </w:t>
            </w:r>
          </w:p>
        </w:tc>
        <w:tc>
          <w:tcPr>
            <w:tcW w:w="1011"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181 (72%)* </w:t>
            </w:r>
            <w:r w:rsidRPr="003A1363">
              <w:rPr>
                <w:rFonts w:cs="Arial"/>
                <w:sz w:val="18"/>
                <w:szCs w:val="18"/>
                <w:lang w:val="en-AU"/>
              </w:rPr>
              <w:t xml:space="preserve"> </w:t>
            </w:r>
          </w:p>
        </w:tc>
        <w:tc>
          <w:tcPr>
            <w:tcW w:w="85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98 (37%)* </w:t>
            </w:r>
            <w:r w:rsidRPr="003A1363">
              <w:rPr>
                <w:rFonts w:cs="Arial"/>
                <w:sz w:val="18"/>
                <w:szCs w:val="18"/>
                <w:lang w:val="en-AU"/>
              </w:rPr>
              <w:t xml:space="preserve"> </w:t>
            </w:r>
          </w:p>
        </w:tc>
      </w:tr>
      <w:tr w:rsidR="00650196" w:rsidRPr="00A019E2" w:rsidTr="00CF2A53">
        <w:tc>
          <w:tcPr>
            <w:tcW w:w="126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Neutropaenia </w:t>
            </w:r>
            <w:r w:rsidRPr="003A1363">
              <w:rPr>
                <w:rFonts w:cs="Arial"/>
                <w:sz w:val="18"/>
                <w:szCs w:val="18"/>
                <w:lang w:val="en-AU"/>
              </w:rPr>
              <w:t xml:space="preserve"> </w:t>
            </w:r>
          </w:p>
        </w:tc>
        <w:tc>
          <w:tcPr>
            <w:tcW w:w="81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6    (2%) </w:t>
            </w:r>
            <w:r w:rsidRPr="003A1363">
              <w:rPr>
                <w:rFonts w:cs="Arial"/>
                <w:sz w:val="18"/>
                <w:szCs w:val="18"/>
                <w:lang w:val="en-AU"/>
              </w:rPr>
              <w:t xml:space="preserve"> </w:t>
            </w:r>
          </w:p>
        </w:tc>
        <w:tc>
          <w:tcPr>
            <w:tcW w:w="719"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30 (11%) </w:t>
            </w:r>
            <w:r w:rsidRPr="003A1363">
              <w:rPr>
                <w:rFonts w:cs="Arial"/>
                <w:sz w:val="18"/>
                <w:szCs w:val="18"/>
                <w:lang w:val="en-AU"/>
              </w:rPr>
              <w:t xml:space="preserve"> </w:t>
            </w:r>
          </w:p>
        </w:tc>
        <w:tc>
          <w:tcPr>
            <w:tcW w:w="901"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19    (8%) </w:t>
            </w:r>
            <w:r w:rsidRPr="003A1363">
              <w:rPr>
                <w:rFonts w:cs="Arial"/>
                <w:sz w:val="18"/>
                <w:szCs w:val="18"/>
                <w:lang w:val="en-AU"/>
              </w:rPr>
              <w:t xml:space="preserve"> </w:t>
            </w:r>
          </w:p>
        </w:tc>
        <w:tc>
          <w:tcPr>
            <w:tcW w:w="885"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61 (23%) </w:t>
            </w:r>
            <w:r w:rsidRPr="003A1363">
              <w:rPr>
                <w:rFonts w:cs="Arial"/>
                <w:sz w:val="18"/>
                <w:szCs w:val="18"/>
                <w:lang w:val="en-AU"/>
              </w:rPr>
              <w:t xml:space="preserve"> </w:t>
            </w:r>
          </w:p>
        </w:tc>
        <w:tc>
          <w:tcPr>
            <w:tcW w:w="915"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70  (28%) </w:t>
            </w:r>
            <w:r w:rsidRPr="003A1363">
              <w:rPr>
                <w:rFonts w:cs="Arial"/>
                <w:sz w:val="18"/>
                <w:szCs w:val="18"/>
                <w:lang w:val="en-AU"/>
              </w:rPr>
              <w:t xml:space="preserve"> </w:t>
            </w:r>
          </w:p>
        </w:tc>
        <w:tc>
          <w:tcPr>
            <w:tcW w:w="81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53 (20%) </w:t>
            </w:r>
            <w:r w:rsidRPr="003A1363">
              <w:rPr>
                <w:rFonts w:cs="Arial"/>
                <w:sz w:val="18"/>
                <w:szCs w:val="18"/>
                <w:lang w:val="en-AU"/>
              </w:rPr>
              <w:t xml:space="preserve"> </w:t>
            </w:r>
          </w:p>
        </w:tc>
        <w:tc>
          <w:tcPr>
            <w:tcW w:w="99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103 (41%) </w:t>
            </w:r>
            <w:r w:rsidRPr="003A1363">
              <w:rPr>
                <w:rFonts w:cs="Arial"/>
                <w:sz w:val="18"/>
                <w:szCs w:val="18"/>
                <w:lang w:val="en-AU"/>
              </w:rPr>
              <w:t xml:space="preserve"> </w:t>
            </w:r>
          </w:p>
        </w:tc>
        <w:tc>
          <w:tcPr>
            <w:tcW w:w="81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24  (9%) </w:t>
            </w:r>
            <w:r w:rsidRPr="003A1363">
              <w:rPr>
                <w:rFonts w:cs="Arial"/>
                <w:sz w:val="18"/>
                <w:szCs w:val="18"/>
                <w:lang w:val="en-AU"/>
              </w:rPr>
              <w:t xml:space="preserve"> </w:t>
            </w:r>
          </w:p>
        </w:tc>
        <w:tc>
          <w:tcPr>
            <w:tcW w:w="1011"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173 (69%)* </w:t>
            </w:r>
            <w:r w:rsidRPr="003A1363">
              <w:rPr>
                <w:rFonts w:cs="Arial"/>
                <w:sz w:val="18"/>
                <w:szCs w:val="18"/>
                <w:lang w:val="en-AU"/>
              </w:rPr>
              <w:t xml:space="preserve"> </w:t>
            </w:r>
          </w:p>
        </w:tc>
        <w:tc>
          <w:tcPr>
            <w:tcW w:w="85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77 (29%)* </w:t>
            </w:r>
            <w:r w:rsidRPr="003A1363">
              <w:rPr>
                <w:rFonts w:cs="Arial"/>
                <w:sz w:val="18"/>
                <w:szCs w:val="18"/>
                <w:lang w:val="en-AU"/>
              </w:rPr>
              <w:t xml:space="preserve"> </w:t>
            </w:r>
          </w:p>
        </w:tc>
      </w:tr>
      <w:tr w:rsidR="00650196" w:rsidRPr="00A019E2" w:rsidTr="00CF2A53">
        <w:tc>
          <w:tcPr>
            <w:tcW w:w="126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Lymphocytopaenia </w:t>
            </w:r>
            <w:r w:rsidRPr="003A1363">
              <w:rPr>
                <w:rFonts w:cs="Arial"/>
                <w:sz w:val="18"/>
                <w:szCs w:val="18"/>
                <w:lang w:val="en-AU"/>
              </w:rPr>
              <w:t xml:space="preserve"> </w:t>
            </w:r>
          </w:p>
        </w:tc>
        <w:tc>
          <w:tcPr>
            <w:tcW w:w="81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12  (5%) </w:t>
            </w:r>
            <w:r w:rsidRPr="003A1363">
              <w:rPr>
                <w:rFonts w:cs="Arial"/>
                <w:sz w:val="18"/>
                <w:szCs w:val="18"/>
                <w:lang w:val="en-AU"/>
              </w:rPr>
              <w:t xml:space="preserve"> </w:t>
            </w:r>
          </w:p>
        </w:tc>
        <w:tc>
          <w:tcPr>
            <w:tcW w:w="719"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14 (5%) </w:t>
            </w:r>
            <w:r w:rsidRPr="003A1363">
              <w:rPr>
                <w:rFonts w:cs="Arial"/>
                <w:sz w:val="18"/>
                <w:szCs w:val="18"/>
                <w:lang w:val="en-AU"/>
              </w:rPr>
              <w:t xml:space="preserve"> </w:t>
            </w:r>
          </w:p>
        </w:tc>
        <w:tc>
          <w:tcPr>
            <w:tcW w:w="901"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72   (29%) </w:t>
            </w:r>
            <w:r w:rsidRPr="003A1363">
              <w:rPr>
                <w:rFonts w:cs="Arial"/>
                <w:sz w:val="18"/>
                <w:szCs w:val="18"/>
                <w:lang w:val="en-AU"/>
              </w:rPr>
              <w:t xml:space="preserve"> </w:t>
            </w:r>
          </w:p>
        </w:tc>
        <w:tc>
          <w:tcPr>
            <w:tcW w:w="885"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38 (14%) </w:t>
            </w:r>
            <w:r w:rsidRPr="003A1363">
              <w:rPr>
                <w:rFonts w:cs="Arial"/>
                <w:sz w:val="18"/>
                <w:szCs w:val="18"/>
                <w:lang w:val="en-AU"/>
              </w:rPr>
              <w:t xml:space="preserve"> </w:t>
            </w:r>
          </w:p>
        </w:tc>
        <w:tc>
          <w:tcPr>
            <w:tcW w:w="915"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87  (35%) </w:t>
            </w:r>
            <w:r w:rsidRPr="003A1363">
              <w:rPr>
                <w:rFonts w:cs="Arial"/>
                <w:sz w:val="18"/>
                <w:szCs w:val="18"/>
                <w:lang w:val="en-AU"/>
              </w:rPr>
              <w:t xml:space="preserve"> </w:t>
            </w:r>
          </w:p>
        </w:tc>
        <w:tc>
          <w:tcPr>
            <w:tcW w:w="81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122 (46%) </w:t>
            </w:r>
            <w:r w:rsidRPr="003A1363">
              <w:rPr>
                <w:rFonts w:cs="Arial"/>
                <w:sz w:val="18"/>
                <w:szCs w:val="18"/>
                <w:lang w:val="en-AU"/>
              </w:rPr>
              <w:t xml:space="preserve"> </w:t>
            </w:r>
          </w:p>
        </w:tc>
        <w:tc>
          <w:tcPr>
            <w:tcW w:w="99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19       (8%) </w:t>
            </w:r>
            <w:r w:rsidRPr="003A1363">
              <w:rPr>
                <w:rFonts w:cs="Arial"/>
                <w:sz w:val="18"/>
                <w:szCs w:val="18"/>
                <w:lang w:val="en-AU"/>
              </w:rPr>
              <w:t xml:space="preserve"> </w:t>
            </w:r>
          </w:p>
        </w:tc>
        <w:tc>
          <w:tcPr>
            <w:tcW w:w="81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74 (28%) </w:t>
            </w:r>
            <w:r w:rsidRPr="003A1363">
              <w:rPr>
                <w:rFonts w:cs="Arial"/>
                <w:sz w:val="18"/>
                <w:szCs w:val="18"/>
                <w:lang w:val="en-AU"/>
              </w:rPr>
              <w:t xml:space="preserve"> </w:t>
            </w:r>
          </w:p>
        </w:tc>
        <w:tc>
          <w:tcPr>
            <w:tcW w:w="1011"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106  (43%) </w:t>
            </w:r>
            <w:r w:rsidRPr="003A1363">
              <w:rPr>
                <w:rFonts w:cs="Arial"/>
                <w:sz w:val="18"/>
                <w:szCs w:val="18"/>
                <w:lang w:val="en-AU"/>
              </w:rPr>
              <w:t xml:space="preserve"> </w:t>
            </w:r>
          </w:p>
        </w:tc>
        <w:tc>
          <w:tcPr>
            <w:tcW w:w="85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196 (74%) </w:t>
            </w:r>
            <w:r w:rsidRPr="003A1363">
              <w:rPr>
                <w:rFonts w:cs="Arial"/>
                <w:sz w:val="18"/>
                <w:szCs w:val="18"/>
                <w:lang w:val="en-AU"/>
              </w:rPr>
              <w:t xml:space="preserve"> </w:t>
            </w:r>
          </w:p>
        </w:tc>
      </w:tr>
      <w:tr w:rsidR="00650196" w:rsidRPr="00A019E2" w:rsidTr="00CF2A53">
        <w:tc>
          <w:tcPr>
            <w:tcW w:w="126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Anaemia </w:t>
            </w:r>
            <w:r w:rsidRPr="003A1363">
              <w:rPr>
                <w:rFonts w:cs="Arial"/>
                <w:sz w:val="18"/>
                <w:szCs w:val="18"/>
                <w:lang w:val="en-AU"/>
              </w:rPr>
              <w:t xml:space="preserve"> </w:t>
            </w:r>
          </w:p>
        </w:tc>
        <w:tc>
          <w:tcPr>
            <w:tcW w:w="81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115 (46%) </w:t>
            </w:r>
            <w:r w:rsidRPr="003A1363">
              <w:rPr>
                <w:rFonts w:cs="Arial"/>
                <w:sz w:val="18"/>
                <w:szCs w:val="18"/>
                <w:lang w:val="en-AU"/>
              </w:rPr>
              <w:t xml:space="preserve"> </w:t>
            </w:r>
          </w:p>
        </w:tc>
        <w:tc>
          <w:tcPr>
            <w:tcW w:w="719"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102 (38%) </w:t>
            </w:r>
            <w:r w:rsidRPr="003A1363">
              <w:rPr>
                <w:rFonts w:cs="Arial"/>
                <w:sz w:val="18"/>
                <w:szCs w:val="18"/>
                <w:lang w:val="en-AU"/>
              </w:rPr>
              <w:t xml:space="preserve"> </w:t>
            </w:r>
          </w:p>
        </w:tc>
        <w:tc>
          <w:tcPr>
            <w:tcW w:w="901"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84   (33%) </w:t>
            </w:r>
            <w:r w:rsidRPr="003A1363">
              <w:rPr>
                <w:rFonts w:cs="Arial"/>
                <w:sz w:val="18"/>
                <w:szCs w:val="18"/>
                <w:lang w:val="en-AU"/>
              </w:rPr>
              <w:t xml:space="preserve"> </w:t>
            </w:r>
          </w:p>
        </w:tc>
        <w:tc>
          <w:tcPr>
            <w:tcW w:w="885"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44 (16%) </w:t>
            </w:r>
            <w:r w:rsidRPr="003A1363">
              <w:rPr>
                <w:rFonts w:cs="Arial"/>
                <w:sz w:val="18"/>
                <w:szCs w:val="18"/>
                <w:lang w:val="en-AU"/>
              </w:rPr>
              <w:t xml:space="preserve"> </w:t>
            </w:r>
          </w:p>
        </w:tc>
        <w:tc>
          <w:tcPr>
            <w:tcW w:w="915"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10    (4%) </w:t>
            </w:r>
            <w:r w:rsidRPr="003A1363">
              <w:rPr>
                <w:rFonts w:cs="Arial"/>
                <w:sz w:val="18"/>
                <w:szCs w:val="18"/>
                <w:lang w:val="en-AU"/>
              </w:rPr>
              <w:t xml:space="preserve"> </w:t>
            </w:r>
          </w:p>
        </w:tc>
        <w:tc>
          <w:tcPr>
            <w:tcW w:w="81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6    (2%) </w:t>
            </w:r>
            <w:r w:rsidRPr="003A1363">
              <w:rPr>
                <w:rFonts w:cs="Arial"/>
                <w:sz w:val="18"/>
                <w:szCs w:val="18"/>
                <w:lang w:val="en-AU"/>
              </w:rPr>
              <w:t xml:space="preserve"> </w:t>
            </w:r>
          </w:p>
        </w:tc>
        <w:tc>
          <w:tcPr>
            <w:tcW w:w="99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2      (&lt;1%) </w:t>
            </w:r>
            <w:r w:rsidRPr="003A1363">
              <w:rPr>
                <w:rFonts w:cs="Arial"/>
                <w:sz w:val="18"/>
                <w:szCs w:val="18"/>
                <w:lang w:val="en-AU"/>
              </w:rPr>
              <w:t xml:space="preserve"> </w:t>
            </w:r>
          </w:p>
        </w:tc>
        <w:tc>
          <w:tcPr>
            <w:tcW w:w="81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2   (&lt;1%) </w:t>
            </w:r>
            <w:r w:rsidRPr="003A1363">
              <w:rPr>
                <w:rFonts w:cs="Arial"/>
                <w:sz w:val="18"/>
                <w:szCs w:val="18"/>
                <w:lang w:val="en-AU"/>
              </w:rPr>
              <w:t xml:space="preserve"> </w:t>
            </w:r>
          </w:p>
        </w:tc>
        <w:tc>
          <w:tcPr>
            <w:tcW w:w="1011"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12      (5%) </w:t>
            </w:r>
            <w:r w:rsidRPr="003A1363">
              <w:rPr>
                <w:rFonts w:cs="Arial"/>
                <w:sz w:val="18"/>
                <w:szCs w:val="18"/>
                <w:lang w:val="en-AU"/>
              </w:rPr>
              <w:t xml:space="preserve"> </w:t>
            </w:r>
          </w:p>
        </w:tc>
        <w:tc>
          <w:tcPr>
            <w:tcW w:w="85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8     (3%) </w:t>
            </w:r>
            <w:r w:rsidRPr="003A1363">
              <w:rPr>
                <w:rFonts w:cs="Arial"/>
                <w:sz w:val="18"/>
                <w:szCs w:val="18"/>
                <w:lang w:val="en-AU"/>
              </w:rPr>
              <w:t xml:space="preserve"> </w:t>
            </w:r>
          </w:p>
        </w:tc>
      </w:tr>
      <w:tr w:rsidR="00650196" w:rsidRPr="00A019E2" w:rsidTr="00CF2A53">
        <w:tc>
          <w:tcPr>
            <w:tcW w:w="126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Thrombocytopaenia </w:t>
            </w:r>
            <w:r w:rsidRPr="003A1363">
              <w:rPr>
                <w:rFonts w:cs="Arial"/>
                <w:sz w:val="18"/>
                <w:szCs w:val="18"/>
                <w:lang w:val="en-AU"/>
              </w:rPr>
              <w:t xml:space="preserve"> </w:t>
            </w:r>
          </w:p>
        </w:tc>
        <w:tc>
          <w:tcPr>
            <w:tcW w:w="81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89 (35%) </w:t>
            </w:r>
            <w:r w:rsidRPr="003A1363">
              <w:rPr>
                <w:rFonts w:cs="Arial"/>
                <w:sz w:val="18"/>
                <w:szCs w:val="18"/>
                <w:lang w:val="en-AU"/>
              </w:rPr>
              <w:t xml:space="preserve"> </w:t>
            </w:r>
          </w:p>
        </w:tc>
        <w:tc>
          <w:tcPr>
            <w:tcW w:w="719"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104 (39%) </w:t>
            </w:r>
            <w:r w:rsidRPr="003A1363">
              <w:rPr>
                <w:rFonts w:cs="Arial"/>
                <w:sz w:val="18"/>
                <w:szCs w:val="18"/>
                <w:lang w:val="en-AU"/>
              </w:rPr>
              <w:t xml:space="preserve"> </w:t>
            </w:r>
          </w:p>
        </w:tc>
        <w:tc>
          <w:tcPr>
            <w:tcW w:w="901"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20    (8%) </w:t>
            </w:r>
            <w:r w:rsidRPr="003A1363">
              <w:rPr>
                <w:rFonts w:cs="Arial"/>
                <w:sz w:val="18"/>
                <w:szCs w:val="18"/>
                <w:lang w:val="en-AU"/>
              </w:rPr>
              <w:t xml:space="preserve"> </w:t>
            </w:r>
          </w:p>
        </w:tc>
        <w:tc>
          <w:tcPr>
            <w:tcW w:w="885"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19   (7%) </w:t>
            </w:r>
            <w:r w:rsidRPr="003A1363">
              <w:rPr>
                <w:rFonts w:cs="Arial"/>
                <w:sz w:val="18"/>
                <w:szCs w:val="18"/>
                <w:lang w:val="en-AU"/>
              </w:rPr>
              <w:t xml:space="preserve"> </w:t>
            </w:r>
          </w:p>
        </w:tc>
        <w:tc>
          <w:tcPr>
            <w:tcW w:w="915"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11    (4%) </w:t>
            </w:r>
            <w:r w:rsidRPr="003A1363">
              <w:rPr>
                <w:rFonts w:cs="Arial"/>
                <w:sz w:val="18"/>
                <w:szCs w:val="18"/>
                <w:lang w:val="en-AU"/>
              </w:rPr>
              <w:t xml:space="preserve"> </w:t>
            </w:r>
          </w:p>
        </w:tc>
        <w:tc>
          <w:tcPr>
            <w:tcW w:w="81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15   (6%) </w:t>
            </w:r>
            <w:r w:rsidRPr="003A1363">
              <w:rPr>
                <w:rFonts w:cs="Arial"/>
                <w:sz w:val="18"/>
                <w:szCs w:val="18"/>
                <w:lang w:val="en-AU"/>
              </w:rPr>
              <w:t xml:space="preserve"> </w:t>
            </w:r>
          </w:p>
        </w:tc>
        <w:tc>
          <w:tcPr>
            <w:tcW w:w="99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5        (2%) </w:t>
            </w:r>
            <w:r w:rsidRPr="003A1363">
              <w:rPr>
                <w:rFonts w:cs="Arial"/>
                <w:sz w:val="18"/>
                <w:szCs w:val="18"/>
                <w:lang w:val="en-AU"/>
              </w:rPr>
              <w:t xml:space="preserve"> </w:t>
            </w:r>
          </w:p>
        </w:tc>
        <w:tc>
          <w:tcPr>
            <w:tcW w:w="81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2    (&lt;1%) </w:t>
            </w:r>
            <w:r w:rsidRPr="003A1363">
              <w:rPr>
                <w:rFonts w:cs="Arial"/>
                <w:sz w:val="18"/>
                <w:szCs w:val="18"/>
                <w:lang w:val="en-AU"/>
              </w:rPr>
              <w:t xml:space="preserve"> </w:t>
            </w:r>
          </w:p>
        </w:tc>
        <w:tc>
          <w:tcPr>
            <w:tcW w:w="1011"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16      (6%) </w:t>
            </w:r>
            <w:r w:rsidRPr="003A1363">
              <w:rPr>
                <w:rFonts w:cs="Arial"/>
                <w:sz w:val="18"/>
                <w:szCs w:val="18"/>
                <w:lang w:val="en-AU"/>
              </w:rPr>
              <w:t xml:space="preserve"> </w:t>
            </w:r>
          </w:p>
        </w:tc>
        <w:tc>
          <w:tcPr>
            <w:tcW w:w="850" w:type="dxa"/>
            <w:vAlign w:val="bottom"/>
          </w:tcPr>
          <w:p w:rsidR="00650196" w:rsidRPr="00A019E2" w:rsidRDefault="003A1363" w:rsidP="00E15927">
            <w:pPr>
              <w:autoSpaceDE w:val="0"/>
              <w:autoSpaceDN w:val="0"/>
              <w:adjustRightInd w:val="0"/>
              <w:spacing w:line="196" w:lineRule="atLeast"/>
              <w:rPr>
                <w:rFonts w:cs="Arial"/>
                <w:sz w:val="18"/>
                <w:szCs w:val="18"/>
                <w:lang w:val="en-AU"/>
              </w:rPr>
            </w:pPr>
            <w:r w:rsidRPr="003A1363">
              <w:rPr>
                <w:rFonts w:cs="Arial"/>
                <w:sz w:val="18"/>
                <w:szCs w:val="18"/>
                <w:lang w:val="en-AU"/>
              </w:rPr>
              <w:t xml:space="preserve"> </w:t>
            </w:r>
            <w:r w:rsidRPr="003A1363">
              <w:rPr>
                <w:rFonts w:cs="Arial"/>
                <w:color w:val="333333"/>
                <w:sz w:val="18"/>
                <w:szCs w:val="18"/>
                <w:lang w:val="en-AU"/>
              </w:rPr>
              <w:t xml:space="preserve">13   (5%) </w:t>
            </w:r>
            <w:r w:rsidRPr="003A1363">
              <w:rPr>
                <w:rFonts w:cs="Arial"/>
                <w:sz w:val="18"/>
                <w:szCs w:val="18"/>
                <w:lang w:val="en-AU"/>
              </w:rPr>
              <w:t xml:space="preserve"> </w:t>
            </w:r>
          </w:p>
        </w:tc>
      </w:tr>
    </w:tbl>
    <w:p w:rsidR="00650196" w:rsidRPr="00A019E2" w:rsidRDefault="003A1363" w:rsidP="00650196">
      <w:pPr>
        <w:rPr>
          <w:bCs/>
          <w:sz w:val="18"/>
          <w:szCs w:val="18"/>
          <w:lang w:val="en-AU"/>
        </w:rPr>
      </w:pPr>
      <w:r w:rsidRPr="003A1363">
        <w:rPr>
          <w:bCs/>
          <w:sz w:val="18"/>
          <w:szCs w:val="18"/>
          <w:lang w:val="en-AU"/>
        </w:rPr>
        <w:t>BR=bendamustine plus rituximab; R-CHOP=CHOP plus rituximab; *</w:t>
      </w:r>
      <w:r w:rsidRPr="003A1363">
        <w:rPr>
          <w:bCs/>
          <w:i/>
          <w:sz w:val="18"/>
          <w:szCs w:val="18"/>
          <w:lang w:val="en-AU"/>
        </w:rPr>
        <w:t>p</w:t>
      </w:r>
      <w:r w:rsidRPr="003A1363">
        <w:rPr>
          <w:rFonts w:cs="Arial"/>
          <w:bCs/>
          <w:sz w:val="18"/>
          <w:szCs w:val="18"/>
          <w:lang w:val="en-AU"/>
        </w:rPr>
        <w:t>&lt;</w:t>
      </w:r>
      <w:r w:rsidRPr="003A1363">
        <w:rPr>
          <w:bCs/>
          <w:sz w:val="18"/>
          <w:szCs w:val="18"/>
          <w:lang w:val="en-AU"/>
        </w:rPr>
        <w:t>0.0001 between groups.</w:t>
      </w:r>
    </w:p>
    <w:p w:rsidR="00650196" w:rsidRPr="00A019E2" w:rsidRDefault="00650196" w:rsidP="00650196">
      <w:pPr>
        <w:rPr>
          <w:sz w:val="18"/>
          <w:szCs w:val="18"/>
          <w:lang w:val="en-AU"/>
        </w:rPr>
      </w:pPr>
    </w:p>
    <w:p w:rsidR="00650196" w:rsidRPr="00A019E2" w:rsidRDefault="003A1363" w:rsidP="00650196">
      <w:pPr>
        <w:rPr>
          <w:b/>
          <w:sz w:val="20"/>
          <w:szCs w:val="20"/>
          <w:lang w:val="en-AU"/>
        </w:rPr>
      </w:pPr>
      <w:r w:rsidRPr="003A1363">
        <w:rPr>
          <w:b/>
          <w:sz w:val="20"/>
          <w:szCs w:val="20"/>
          <w:lang w:val="en-AU"/>
        </w:rPr>
        <w:t>Table 10: All grades of non-haematological toxic events in patients receiving at least one dose of study treatment</w:t>
      </w:r>
    </w:p>
    <w:tbl>
      <w:tblPr>
        <w:tblStyle w:val="TableGrid"/>
        <w:tblW w:w="0" w:type="auto"/>
        <w:tblLook w:val="04A0" w:firstRow="1" w:lastRow="0" w:firstColumn="1" w:lastColumn="0" w:noHBand="0" w:noVBand="1"/>
      </w:tblPr>
      <w:tblGrid>
        <w:gridCol w:w="2321"/>
        <w:gridCol w:w="2322"/>
        <w:gridCol w:w="2322"/>
        <w:gridCol w:w="2322"/>
      </w:tblGrid>
      <w:tr w:rsidR="00650196" w:rsidRPr="00A019E2" w:rsidTr="00E15927">
        <w:tc>
          <w:tcPr>
            <w:tcW w:w="2321" w:type="dxa"/>
          </w:tcPr>
          <w:p w:rsidR="00650196" w:rsidRPr="00A019E2" w:rsidRDefault="00650196" w:rsidP="00E15927">
            <w:pPr>
              <w:jc w:val="center"/>
              <w:rPr>
                <w:b/>
                <w:sz w:val="18"/>
                <w:szCs w:val="18"/>
                <w:lang w:val="en-AU"/>
              </w:rPr>
            </w:pPr>
          </w:p>
        </w:tc>
        <w:tc>
          <w:tcPr>
            <w:tcW w:w="2322" w:type="dxa"/>
          </w:tcPr>
          <w:p w:rsidR="00650196" w:rsidRPr="00A019E2" w:rsidRDefault="003A1363" w:rsidP="00E15927">
            <w:pPr>
              <w:jc w:val="center"/>
              <w:rPr>
                <w:b/>
                <w:sz w:val="18"/>
                <w:szCs w:val="18"/>
                <w:lang w:val="en-AU"/>
              </w:rPr>
            </w:pPr>
            <w:r w:rsidRPr="003A1363">
              <w:rPr>
                <w:b/>
                <w:sz w:val="18"/>
                <w:szCs w:val="18"/>
                <w:lang w:val="en-AU"/>
              </w:rPr>
              <w:t>B-R (n=261)</w:t>
            </w:r>
          </w:p>
        </w:tc>
        <w:tc>
          <w:tcPr>
            <w:tcW w:w="2322" w:type="dxa"/>
          </w:tcPr>
          <w:p w:rsidR="00650196" w:rsidRPr="00A019E2" w:rsidRDefault="003A1363" w:rsidP="00E15927">
            <w:pPr>
              <w:jc w:val="center"/>
              <w:rPr>
                <w:b/>
                <w:sz w:val="18"/>
                <w:szCs w:val="18"/>
                <w:lang w:val="en-AU"/>
              </w:rPr>
            </w:pPr>
            <w:r w:rsidRPr="003A1363">
              <w:rPr>
                <w:b/>
                <w:sz w:val="18"/>
                <w:szCs w:val="18"/>
                <w:lang w:val="en-AU"/>
              </w:rPr>
              <w:t>R-CHOP (n=253)</w:t>
            </w:r>
          </w:p>
        </w:tc>
        <w:tc>
          <w:tcPr>
            <w:tcW w:w="2322" w:type="dxa"/>
          </w:tcPr>
          <w:p w:rsidR="00650196" w:rsidRPr="00A019E2" w:rsidRDefault="003A1363" w:rsidP="00E15927">
            <w:pPr>
              <w:jc w:val="center"/>
              <w:rPr>
                <w:b/>
                <w:sz w:val="18"/>
                <w:szCs w:val="18"/>
                <w:lang w:val="en-AU"/>
              </w:rPr>
            </w:pPr>
            <w:r w:rsidRPr="003A1363">
              <w:rPr>
                <w:b/>
                <w:i/>
                <w:sz w:val="18"/>
                <w:szCs w:val="18"/>
                <w:lang w:val="en-AU"/>
              </w:rPr>
              <w:t>p</w:t>
            </w:r>
            <w:r w:rsidRPr="003A1363">
              <w:rPr>
                <w:b/>
                <w:sz w:val="18"/>
                <w:szCs w:val="18"/>
                <w:lang w:val="en-AU"/>
              </w:rPr>
              <w:t xml:space="preserve"> value</w:t>
            </w:r>
          </w:p>
        </w:tc>
      </w:tr>
      <w:tr w:rsidR="00650196" w:rsidRPr="00A019E2" w:rsidTr="00E15927">
        <w:tc>
          <w:tcPr>
            <w:tcW w:w="2321" w:type="dxa"/>
          </w:tcPr>
          <w:p w:rsidR="00650196" w:rsidRPr="00A019E2" w:rsidRDefault="003A1363" w:rsidP="00E15927">
            <w:pPr>
              <w:rPr>
                <w:sz w:val="18"/>
                <w:szCs w:val="18"/>
                <w:lang w:val="en-AU"/>
              </w:rPr>
            </w:pPr>
            <w:r w:rsidRPr="003A1363">
              <w:rPr>
                <w:sz w:val="18"/>
                <w:szCs w:val="18"/>
                <w:lang w:val="en-AU"/>
              </w:rPr>
              <w:lastRenderedPageBreak/>
              <w:t>Alopecia</w:t>
            </w:r>
          </w:p>
        </w:tc>
        <w:tc>
          <w:tcPr>
            <w:tcW w:w="2322" w:type="dxa"/>
          </w:tcPr>
          <w:p w:rsidR="00650196" w:rsidRPr="00A019E2" w:rsidRDefault="003A1363" w:rsidP="00E15927">
            <w:pPr>
              <w:autoSpaceDE w:val="0"/>
              <w:autoSpaceDN w:val="0"/>
              <w:adjustRightInd w:val="0"/>
              <w:spacing w:line="196" w:lineRule="atLeast"/>
              <w:jc w:val="center"/>
              <w:rPr>
                <w:sz w:val="18"/>
                <w:szCs w:val="18"/>
                <w:lang w:val="en-AU"/>
              </w:rPr>
            </w:pPr>
            <w:r w:rsidRPr="003A1363">
              <w:rPr>
                <w:sz w:val="18"/>
                <w:szCs w:val="18"/>
                <w:lang w:val="en-AU"/>
              </w:rPr>
              <w:t>0</w:t>
            </w:r>
          </w:p>
        </w:tc>
        <w:tc>
          <w:tcPr>
            <w:tcW w:w="2322" w:type="dxa"/>
          </w:tcPr>
          <w:p w:rsidR="00650196" w:rsidRPr="00A019E2" w:rsidRDefault="003A1363" w:rsidP="00E15927">
            <w:pPr>
              <w:autoSpaceDE w:val="0"/>
              <w:autoSpaceDN w:val="0"/>
              <w:adjustRightInd w:val="0"/>
              <w:spacing w:line="196" w:lineRule="atLeast"/>
              <w:jc w:val="center"/>
              <w:rPr>
                <w:sz w:val="18"/>
                <w:szCs w:val="18"/>
                <w:lang w:val="en-AU"/>
              </w:rPr>
            </w:pPr>
            <w:r w:rsidRPr="003A1363">
              <w:rPr>
                <w:sz w:val="18"/>
                <w:szCs w:val="18"/>
                <w:lang w:val="en-AU"/>
              </w:rPr>
              <w:t>245 (100%)*</w:t>
            </w:r>
          </w:p>
        </w:tc>
        <w:tc>
          <w:tcPr>
            <w:tcW w:w="2322" w:type="dxa"/>
          </w:tcPr>
          <w:p w:rsidR="00650196" w:rsidRPr="00A019E2" w:rsidRDefault="003A1363" w:rsidP="00E15927">
            <w:pPr>
              <w:autoSpaceDE w:val="0"/>
              <w:autoSpaceDN w:val="0"/>
              <w:adjustRightInd w:val="0"/>
              <w:spacing w:line="196" w:lineRule="atLeast"/>
              <w:jc w:val="center"/>
              <w:rPr>
                <w:sz w:val="18"/>
                <w:szCs w:val="18"/>
                <w:lang w:val="en-AU"/>
              </w:rPr>
            </w:pPr>
            <w:r w:rsidRPr="003A1363">
              <w:rPr>
                <w:rFonts w:cs="Arial"/>
                <w:sz w:val="18"/>
                <w:szCs w:val="18"/>
                <w:lang w:val="en-AU"/>
              </w:rPr>
              <w:t>&lt;</w:t>
            </w:r>
            <w:r w:rsidRPr="003A1363">
              <w:rPr>
                <w:sz w:val="18"/>
                <w:szCs w:val="18"/>
                <w:lang w:val="en-AU"/>
              </w:rPr>
              <w:t>0.0001</w:t>
            </w:r>
          </w:p>
        </w:tc>
      </w:tr>
      <w:tr w:rsidR="00650196" w:rsidRPr="00A019E2" w:rsidTr="00E15927">
        <w:tc>
          <w:tcPr>
            <w:tcW w:w="2321" w:type="dxa"/>
          </w:tcPr>
          <w:p w:rsidR="00650196" w:rsidRPr="00A019E2" w:rsidRDefault="00FF3C28" w:rsidP="00E15927">
            <w:pPr>
              <w:autoSpaceDE w:val="0"/>
              <w:autoSpaceDN w:val="0"/>
              <w:adjustRightInd w:val="0"/>
              <w:spacing w:line="196" w:lineRule="atLeast"/>
              <w:rPr>
                <w:sz w:val="18"/>
                <w:szCs w:val="18"/>
                <w:lang w:val="en-AU"/>
              </w:rPr>
            </w:pPr>
            <w:r w:rsidRPr="00FF3C28">
              <w:rPr>
                <w:sz w:val="18"/>
                <w:szCs w:val="18"/>
                <w:lang w:val="en-AU"/>
              </w:rPr>
              <w:t>Par</w:t>
            </w:r>
            <w:r w:rsidR="000F185F">
              <w:rPr>
                <w:sz w:val="18"/>
                <w:szCs w:val="18"/>
                <w:lang w:val="en-AU"/>
              </w:rPr>
              <w:t>a</w:t>
            </w:r>
            <w:r w:rsidRPr="00FF3C28">
              <w:rPr>
                <w:sz w:val="18"/>
                <w:szCs w:val="18"/>
                <w:lang w:val="en-AU"/>
              </w:rPr>
              <w:t>esthesia</w:t>
            </w:r>
          </w:p>
        </w:tc>
        <w:tc>
          <w:tcPr>
            <w:tcW w:w="2322" w:type="dxa"/>
          </w:tcPr>
          <w:p w:rsidR="00650196" w:rsidRPr="00A019E2" w:rsidRDefault="003A1363" w:rsidP="00E15927">
            <w:pPr>
              <w:autoSpaceDE w:val="0"/>
              <w:autoSpaceDN w:val="0"/>
              <w:adjustRightInd w:val="0"/>
              <w:spacing w:line="196" w:lineRule="atLeast"/>
              <w:jc w:val="center"/>
              <w:rPr>
                <w:sz w:val="18"/>
                <w:szCs w:val="18"/>
                <w:lang w:val="en-AU"/>
              </w:rPr>
            </w:pPr>
            <w:r w:rsidRPr="003A1363">
              <w:rPr>
                <w:sz w:val="18"/>
                <w:szCs w:val="18"/>
                <w:lang w:val="en-AU"/>
              </w:rPr>
              <w:t>18 (7%)</w:t>
            </w:r>
          </w:p>
        </w:tc>
        <w:tc>
          <w:tcPr>
            <w:tcW w:w="2322" w:type="dxa"/>
          </w:tcPr>
          <w:p w:rsidR="00650196" w:rsidRPr="00A019E2" w:rsidRDefault="003A1363" w:rsidP="00E15927">
            <w:pPr>
              <w:autoSpaceDE w:val="0"/>
              <w:autoSpaceDN w:val="0"/>
              <w:adjustRightInd w:val="0"/>
              <w:spacing w:line="196" w:lineRule="atLeast"/>
              <w:jc w:val="center"/>
              <w:rPr>
                <w:sz w:val="18"/>
                <w:szCs w:val="18"/>
                <w:lang w:val="en-AU"/>
              </w:rPr>
            </w:pPr>
            <w:r w:rsidRPr="003A1363">
              <w:rPr>
                <w:sz w:val="18"/>
                <w:szCs w:val="18"/>
                <w:lang w:val="en-AU"/>
              </w:rPr>
              <w:t>73 (29%)</w:t>
            </w:r>
          </w:p>
        </w:tc>
        <w:tc>
          <w:tcPr>
            <w:tcW w:w="2322" w:type="dxa"/>
          </w:tcPr>
          <w:p w:rsidR="00650196" w:rsidRPr="00A019E2" w:rsidRDefault="003A1363" w:rsidP="00E15927">
            <w:pPr>
              <w:autoSpaceDE w:val="0"/>
              <w:autoSpaceDN w:val="0"/>
              <w:adjustRightInd w:val="0"/>
              <w:spacing w:line="196" w:lineRule="atLeast"/>
              <w:jc w:val="center"/>
              <w:rPr>
                <w:sz w:val="18"/>
                <w:szCs w:val="18"/>
                <w:lang w:val="en-AU"/>
              </w:rPr>
            </w:pPr>
            <w:r w:rsidRPr="003A1363">
              <w:rPr>
                <w:rFonts w:cs="Arial"/>
                <w:sz w:val="18"/>
                <w:szCs w:val="18"/>
                <w:lang w:val="en-AU"/>
              </w:rPr>
              <w:t>&lt;</w:t>
            </w:r>
            <w:r w:rsidRPr="003A1363">
              <w:rPr>
                <w:sz w:val="18"/>
                <w:szCs w:val="18"/>
                <w:lang w:val="en-AU"/>
              </w:rPr>
              <w:t>0.0001</w:t>
            </w:r>
          </w:p>
        </w:tc>
      </w:tr>
      <w:tr w:rsidR="00650196" w:rsidRPr="00A019E2" w:rsidTr="00E15927">
        <w:tc>
          <w:tcPr>
            <w:tcW w:w="2321" w:type="dxa"/>
          </w:tcPr>
          <w:p w:rsidR="00650196" w:rsidRPr="00A019E2" w:rsidRDefault="003A1363" w:rsidP="00E15927">
            <w:pPr>
              <w:autoSpaceDE w:val="0"/>
              <w:autoSpaceDN w:val="0"/>
              <w:adjustRightInd w:val="0"/>
              <w:spacing w:line="196" w:lineRule="atLeast"/>
              <w:rPr>
                <w:sz w:val="18"/>
                <w:szCs w:val="18"/>
                <w:lang w:val="en-AU"/>
              </w:rPr>
            </w:pPr>
            <w:r w:rsidRPr="003A1363">
              <w:rPr>
                <w:sz w:val="18"/>
                <w:szCs w:val="18"/>
                <w:lang w:val="en-AU"/>
              </w:rPr>
              <w:t>Stomatitis</w:t>
            </w:r>
          </w:p>
        </w:tc>
        <w:tc>
          <w:tcPr>
            <w:tcW w:w="2322" w:type="dxa"/>
          </w:tcPr>
          <w:p w:rsidR="00650196" w:rsidRPr="00A019E2" w:rsidRDefault="003A1363" w:rsidP="00E15927">
            <w:pPr>
              <w:autoSpaceDE w:val="0"/>
              <w:autoSpaceDN w:val="0"/>
              <w:adjustRightInd w:val="0"/>
              <w:spacing w:line="196" w:lineRule="atLeast"/>
              <w:jc w:val="center"/>
              <w:rPr>
                <w:sz w:val="18"/>
                <w:szCs w:val="18"/>
                <w:lang w:val="en-AU"/>
              </w:rPr>
            </w:pPr>
            <w:r w:rsidRPr="003A1363">
              <w:rPr>
                <w:sz w:val="18"/>
                <w:szCs w:val="18"/>
                <w:lang w:val="en-AU"/>
              </w:rPr>
              <w:t>16 (6%)</w:t>
            </w:r>
          </w:p>
        </w:tc>
        <w:tc>
          <w:tcPr>
            <w:tcW w:w="2322" w:type="dxa"/>
          </w:tcPr>
          <w:p w:rsidR="00650196" w:rsidRPr="00A019E2" w:rsidRDefault="003A1363" w:rsidP="00E15927">
            <w:pPr>
              <w:autoSpaceDE w:val="0"/>
              <w:autoSpaceDN w:val="0"/>
              <w:adjustRightInd w:val="0"/>
              <w:spacing w:line="196" w:lineRule="atLeast"/>
              <w:jc w:val="center"/>
              <w:rPr>
                <w:sz w:val="18"/>
                <w:szCs w:val="18"/>
                <w:lang w:val="en-AU"/>
              </w:rPr>
            </w:pPr>
            <w:r w:rsidRPr="003A1363">
              <w:rPr>
                <w:sz w:val="18"/>
                <w:szCs w:val="18"/>
                <w:lang w:val="en-AU"/>
              </w:rPr>
              <w:t>47 (19%)</w:t>
            </w:r>
          </w:p>
        </w:tc>
        <w:tc>
          <w:tcPr>
            <w:tcW w:w="2322" w:type="dxa"/>
          </w:tcPr>
          <w:p w:rsidR="00650196" w:rsidRPr="00A019E2" w:rsidRDefault="003A1363" w:rsidP="00E15927">
            <w:pPr>
              <w:autoSpaceDE w:val="0"/>
              <w:autoSpaceDN w:val="0"/>
              <w:adjustRightInd w:val="0"/>
              <w:spacing w:line="196" w:lineRule="atLeast"/>
              <w:jc w:val="center"/>
              <w:rPr>
                <w:sz w:val="18"/>
                <w:szCs w:val="18"/>
                <w:lang w:val="en-AU"/>
              </w:rPr>
            </w:pPr>
            <w:r w:rsidRPr="003A1363">
              <w:rPr>
                <w:rFonts w:cs="Arial"/>
                <w:sz w:val="18"/>
                <w:szCs w:val="18"/>
                <w:lang w:val="en-AU"/>
              </w:rPr>
              <w:t>&lt;</w:t>
            </w:r>
            <w:r w:rsidRPr="003A1363">
              <w:rPr>
                <w:sz w:val="18"/>
                <w:szCs w:val="18"/>
                <w:lang w:val="en-AU"/>
              </w:rPr>
              <w:t>0.0001</w:t>
            </w:r>
          </w:p>
        </w:tc>
      </w:tr>
      <w:tr w:rsidR="00650196" w:rsidRPr="00A019E2" w:rsidTr="00E15927">
        <w:tc>
          <w:tcPr>
            <w:tcW w:w="2321" w:type="dxa"/>
          </w:tcPr>
          <w:p w:rsidR="00650196" w:rsidRPr="00A019E2" w:rsidRDefault="003A1363" w:rsidP="00E15927">
            <w:pPr>
              <w:autoSpaceDE w:val="0"/>
              <w:autoSpaceDN w:val="0"/>
              <w:adjustRightInd w:val="0"/>
              <w:spacing w:line="196" w:lineRule="atLeast"/>
              <w:rPr>
                <w:sz w:val="18"/>
                <w:szCs w:val="18"/>
                <w:lang w:val="en-AU"/>
              </w:rPr>
            </w:pPr>
            <w:r w:rsidRPr="003A1363">
              <w:rPr>
                <w:sz w:val="18"/>
                <w:szCs w:val="18"/>
                <w:lang w:val="en-AU"/>
              </w:rPr>
              <w:t>Skin (erythema)</w:t>
            </w:r>
          </w:p>
        </w:tc>
        <w:tc>
          <w:tcPr>
            <w:tcW w:w="2322" w:type="dxa"/>
          </w:tcPr>
          <w:p w:rsidR="00650196" w:rsidRPr="00A019E2" w:rsidRDefault="003A1363" w:rsidP="00E15927">
            <w:pPr>
              <w:autoSpaceDE w:val="0"/>
              <w:autoSpaceDN w:val="0"/>
              <w:adjustRightInd w:val="0"/>
              <w:spacing w:line="196" w:lineRule="atLeast"/>
              <w:jc w:val="center"/>
              <w:rPr>
                <w:sz w:val="18"/>
                <w:szCs w:val="18"/>
                <w:lang w:val="en-AU"/>
              </w:rPr>
            </w:pPr>
            <w:r w:rsidRPr="003A1363">
              <w:rPr>
                <w:sz w:val="18"/>
                <w:szCs w:val="18"/>
                <w:lang w:val="en-AU"/>
              </w:rPr>
              <w:t>42 (16%)</w:t>
            </w:r>
          </w:p>
        </w:tc>
        <w:tc>
          <w:tcPr>
            <w:tcW w:w="2322" w:type="dxa"/>
          </w:tcPr>
          <w:p w:rsidR="00650196" w:rsidRPr="00A019E2" w:rsidRDefault="003A1363" w:rsidP="00E15927">
            <w:pPr>
              <w:autoSpaceDE w:val="0"/>
              <w:autoSpaceDN w:val="0"/>
              <w:adjustRightInd w:val="0"/>
              <w:spacing w:line="196" w:lineRule="atLeast"/>
              <w:jc w:val="center"/>
              <w:rPr>
                <w:sz w:val="18"/>
                <w:szCs w:val="18"/>
                <w:lang w:val="en-AU"/>
              </w:rPr>
            </w:pPr>
            <w:r w:rsidRPr="003A1363">
              <w:rPr>
                <w:sz w:val="18"/>
                <w:szCs w:val="18"/>
                <w:lang w:val="en-AU"/>
              </w:rPr>
              <w:t>23 (9%)</w:t>
            </w:r>
          </w:p>
        </w:tc>
        <w:tc>
          <w:tcPr>
            <w:tcW w:w="2322" w:type="dxa"/>
          </w:tcPr>
          <w:p w:rsidR="00650196" w:rsidRPr="00A019E2" w:rsidRDefault="003A1363" w:rsidP="00E15927">
            <w:pPr>
              <w:autoSpaceDE w:val="0"/>
              <w:autoSpaceDN w:val="0"/>
              <w:adjustRightInd w:val="0"/>
              <w:spacing w:line="196" w:lineRule="atLeast"/>
              <w:jc w:val="center"/>
              <w:rPr>
                <w:sz w:val="18"/>
                <w:szCs w:val="18"/>
                <w:lang w:val="en-AU"/>
              </w:rPr>
            </w:pPr>
            <w:r w:rsidRPr="003A1363">
              <w:rPr>
                <w:sz w:val="18"/>
                <w:szCs w:val="18"/>
                <w:lang w:val="en-AU"/>
              </w:rPr>
              <w:t>0.024</w:t>
            </w:r>
          </w:p>
        </w:tc>
      </w:tr>
      <w:tr w:rsidR="00650196" w:rsidRPr="00A019E2" w:rsidTr="00E15927">
        <w:tc>
          <w:tcPr>
            <w:tcW w:w="2321" w:type="dxa"/>
          </w:tcPr>
          <w:p w:rsidR="00650196" w:rsidRPr="00A019E2" w:rsidRDefault="003A1363" w:rsidP="00E15927">
            <w:pPr>
              <w:autoSpaceDE w:val="0"/>
              <w:autoSpaceDN w:val="0"/>
              <w:adjustRightInd w:val="0"/>
              <w:spacing w:line="196" w:lineRule="atLeast"/>
              <w:rPr>
                <w:sz w:val="18"/>
                <w:szCs w:val="18"/>
                <w:lang w:val="en-AU"/>
              </w:rPr>
            </w:pPr>
            <w:r w:rsidRPr="003A1363">
              <w:rPr>
                <w:sz w:val="18"/>
                <w:szCs w:val="18"/>
                <w:lang w:val="en-AU"/>
              </w:rPr>
              <w:t>Skin (allergic reaction)</w:t>
            </w:r>
          </w:p>
        </w:tc>
        <w:tc>
          <w:tcPr>
            <w:tcW w:w="2322" w:type="dxa"/>
          </w:tcPr>
          <w:p w:rsidR="00650196" w:rsidRPr="00A019E2" w:rsidRDefault="003A1363" w:rsidP="00E15927">
            <w:pPr>
              <w:autoSpaceDE w:val="0"/>
              <w:autoSpaceDN w:val="0"/>
              <w:adjustRightInd w:val="0"/>
              <w:spacing w:line="196" w:lineRule="atLeast"/>
              <w:jc w:val="center"/>
              <w:rPr>
                <w:sz w:val="18"/>
                <w:szCs w:val="18"/>
                <w:lang w:val="en-AU"/>
              </w:rPr>
            </w:pPr>
            <w:r w:rsidRPr="003A1363">
              <w:rPr>
                <w:sz w:val="18"/>
                <w:szCs w:val="18"/>
                <w:lang w:val="en-AU"/>
              </w:rPr>
              <w:t>40 (15%)</w:t>
            </w:r>
          </w:p>
        </w:tc>
        <w:tc>
          <w:tcPr>
            <w:tcW w:w="2322" w:type="dxa"/>
          </w:tcPr>
          <w:p w:rsidR="00650196" w:rsidRPr="00A019E2" w:rsidRDefault="003A1363" w:rsidP="00E15927">
            <w:pPr>
              <w:autoSpaceDE w:val="0"/>
              <w:autoSpaceDN w:val="0"/>
              <w:adjustRightInd w:val="0"/>
              <w:spacing w:line="196" w:lineRule="atLeast"/>
              <w:jc w:val="center"/>
              <w:rPr>
                <w:sz w:val="18"/>
                <w:szCs w:val="18"/>
                <w:lang w:val="en-AU"/>
              </w:rPr>
            </w:pPr>
            <w:r w:rsidRPr="003A1363">
              <w:rPr>
                <w:sz w:val="18"/>
                <w:szCs w:val="18"/>
                <w:lang w:val="en-AU"/>
              </w:rPr>
              <w:t>15 (6%)</w:t>
            </w:r>
          </w:p>
        </w:tc>
        <w:tc>
          <w:tcPr>
            <w:tcW w:w="2322" w:type="dxa"/>
          </w:tcPr>
          <w:p w:rsidR="00650196" w:rsidRPr="00A019E2" w:rsidRDefault="003A1363" w:rsidP="00E15927">
            <w:pPr>
              <w:keepNext/>
              <w:keepLines/>
              <w:widowControl w:val="0"/>
              <w:pBdr>
                <w:top w:val="single" w:sz="6" w:space="1" w:color="auto"/>
              </w:pBdr>
              <w:autoSpaceDE w:val="0"/>
              <w:autoSpaceDN w:val="0"/>
              <w:adjustRightInd w:val="0"/>
              <w:spacing w:after="0" w:line="196" w:lineRule="atLeast"/>
              <w:jc w:val="center"/>
              <w:rPr>
                <w:sz w:val="18"/>
                <w:szCs w:val="18"/>
                <w:lang w:val="en-AU"/>
              </w:rPr>
            </w:pPr>
            <w:r w:rsidRPr="003A1363">
              <w:rPr>
                <w:sz w:val="18"/>
                <w:szCs w:val="18"/>
                <w:lang w:val="en-AU"/>
              </w:rPr>
              <w:t>0.0006</w:t>
            </w:r>
          </w:p>
        </w:tc>
      </w:tr>
      <w:tr w:rsidR="00650196" w:rsidRPr="00A019E2" w:rsidTr="00E15927">
        <w:tc>
          <w:tcPr>
            <w:tcW w:w="2321" w:type="dxa"/>
          </w:tcPr>
          <w:p w:rsidR="00650196" w:rsidRPr="00A019E2" w:rsidRDefault="003A1363" w:rsidP="00CF2A53">
            <w:pPr>
              <w:keepNext/>
              <w:keepLines/>
              <w:widowControl w:val="0"/>
              <w:pBdr>
                <w:top w:val="single" w:sz="6" w:space="1" w:color="auto"/>
              </w:pBdr>
              <w:autoSpaceDE w:val="0"/>
              <w:autoSpaceDN w:val="0"/>
              <w:adjustRightInd w:val="0"/>
              <w:spacing w:after="0" w:line="196" w:lineRule="atLeast"/>
              <w:rPr>
                <w:sz w:val="18"/>
                <w:szCs w:val="18"/>
                <w:lang w:val="en-AU"/>
              </w:rPr>
            </w:pPr>
            <w:r w:rsidRPr="003A1363">
              <w:rPr>
                <w:sz w:val="18"/>
                <w:szCs w:val="18"/>
                <w:lang w:val="en-AU"/>
              </w:rPr>
              <w:t>Infectious episodes</w:t>
            </w:r>
          </w:p>
          <w:p w:rsidR="00CF2A53" w:rsidRPr="00A019E2" w:rsidRDefault="00CF2A53" w:rsidP="00CF2A53">
            <w:pPr>
              <w:keepNext/>
              <w:keepLines/>
              <w:widowControl w:val="0"/>
              <w:pBdr>
                <w:top w:val="single" w:sz="6" w:space="1" w:color="auto"/>
              </w:pBdr>
              <w:spacing w:after="0"/>
              <w:rPr>
                <w:sz w:val="18"/>
                <w:szCs w:val="18"/>
                <w:lang w:val="en-AU"/>
              </w:rPr>
            </w:pPr>
          </w:p>
        </w:tc>
        <w:tc>
          <w:tcPr>
            <w:tcW w:w="2322" w:type="dxa"/>
          </w:tcPr>
          <w:p w:rsidR="00650196" w:rsidRPr="00A019E2" w:rsidRDefault="003A1363" w:rsidP="00E15927">
            <w:pPr>
              <w:keepNext/>
              <w:keepLines/>
              <w:widowControl w:val="0"/>
              <w:pBdr>
                <w:top w:val="single" w:sz="6" w:space="1" w:color="auto"/>
              </w:pBdr>
              <w:autoSpaceDE w:val="0"/>
              <w:autoSpaceDN w:val="0"/>
              <w:adjustRightInd w:val="0"/>
              <w:spacing w:after="0" w:line="196" w:lineRule="atLeast"/>
              <w:jc w:val="center"/>
              <w:rPr>
                <w:sz w:val="18"/>
                <w:szCs w:val="18"/>
                <w:lang w:val="en-AU"/>
              </w:rPr>
            </w:pPr>
            <w:r w:rsidRPr="003A1363">
              <w:rPr>
                <w:sz w:val="18"/>
                <w:szCs w:val="18"/>
                <w:lang w:val="en-AU"/>
              </w:rPr>
              <w:t>96 (37%)</w:t>
            </w:r>
          </w:p>
        </w:tc>
        <w:tc>
          <w:tcPr>
            <w:tcW w:w="2322" w:type="dxa"/>
          </w:tcPr>
          <w:p w:rsidR="00650196" w:rsidRPr="00A019E2" w:rsidRDefault="003A1363" w:rsidP="00E15927">
            <w:pPr>
              <w:keepNext/>
              <w:keepLines/>
              <w:widowControl w:val="0"/>
              <w:pBdr>
                <w:top w:val="single" w:sz="6" w:space="1" w:color="auto"/>
              </w:pBdr>
              <w:autoSpaceDE w:val="0"/>
              <w:autoSpaceDN w:val="0"/>
              <w:adjustRightInd w:val="0"/>
              <w:spacing w:after="0" w:line="196" w:lineRule="atLeast"/>
              <w:jc w:val="center"/>
              <w:rPr>
                <w:sz w:val="18"/>
                <w:szCs w:val="18"/>
                <w:lang w:val="en-AU"/>
              </w:rPr>
            </w:pPr>
            <w:r w:rsidRPr="003A1363">
              <w:rPr>
                <w:sz w:val="18"/>
                <w:szCs w:val="18"/>
                <w:lang w:val="en-AU"/>
              </w:rPr>
              <w:t>127 (50%)</w:t>
            </w:r>
          </w:p>
        </w:tc>
        <w:tc>
          <w:tcPr>
            <w:tcW w:w="2322" w:type="dxa"/>
          </w:tcPr>
          <w:p w:rsidR="00650196" w:rsidRPr="00A019E2" w:rsidRDefault="003A1363" w:rsidP="00E15927">
            <w:pPr>
              <w:keepNext/>
              <w:keepLines/>
              <w:widowControl w:val="0"/>
              <w:pBdr>
                <w:top w:val="single" w:sz="6" w:space="1" w:color="auto"/>
              </w:pBdr>
              <w:autoSpaceDE w:val="0"/>
              <w:autoSpaceDN w:val="0"/>
              <w:adjustRightInd w:val="0"/>
              <w:spacing w:after="0" w:line="196" w:lineRule="atLeast"/>
              <w:jc w:val="center"/>
              <w:rPr>
                <w:sz w:val="18"/>
                <w:szCs w:val="18"/>
                <w:lang w:val="en-AU"/>
              </w:rPr>
            </w:pPr>
            <w:r w:rsidRPr="003A1363">
              <w:rPr>
                <w:sz w:val="18"/>
                <w:szCs w:val="18"/>
                <w:lang w:val="en-AU"/>
              </w:rPr>
              <w:t>0.0025</w:t>
            </w:r>
          </w:p>
        </w:tc>
      </w:tr>
      <w:tr w:rsidR="00650196" w:rsidRPr="00A019E2" w:rsidTr="00E15927">
        <w:tc>
          <w:tcPr>
            <w:tcW w:w="2321" w:type="dxa"/>
          </w:tcPr>
          <w:p w:rsidR="00650196" w:rsidRPr="00A019E2" w:rsidRDefault="003A1363" w:rsidP="00CF2A53">
            <w:pPr>
              <w:keepNext/>
              <w:keepLines/>
              <w:widowControl w:val="0"/>
              <w:pBdr>
                <w:top w:val="single" w:sz="6" w:space="1" w:color="auto"/>
              </w:pBdr>
              <w:autoSpaceDE w:val="0"/>
              <w:autoSpaceDN w:val="0"/>
              <w:adjustRightInd w:val="0"/>
              <w:spacing w:after="0" w:line="196" w:lineRule="atLeast"/>
              <w:rPr>
                <w:sz w:val="18"/>
                <w:szCs w:val="18"/>
                <w:lang w:val="en-AU"/>
              </w:rPr>
            </w:pPr>
            <w:r w:rsidRPr="003A1363">
              <w:rPr>
                <w:sz w:val="18"/>
                <w:szCs w:val="18"/>
                <w:lang w:val="en-AU"/>
              </w:rPr>
              <w:t xml:space="preserve">Sepsis </w:t>
            </w:r>
          </w:p>
          <w:p w:rsidR="00CF2A53" w:rsidRPr="00A019E2" w:rsidRDefault="00CF2A53" w:rsidP="00CF2A53">
            <w:pPr>
              <w:keepNext/>
              <w:keepLines/>
              <w:widowControl w:val="0"/>
              <w:pBdr>
                <w:top w:val="single" w:sz="6" w:space="1" w:color="auto"/>
              </w:pBdr>
              <w:spacing w:after="0"/>
              <w:rPr>
                <w:sz w:val="18"/>
                <w:szCs w:val="18"/>
                <w:lang w:val="en-AU"/>
              </w:rPr>
            </w:pPr>
          </w:p>
        </w:tc>
        <w:tc>
          <w:tcPr>
            <w:tcW w:w="2322" w:type="dxa"/>
          </w:tcPr>
          <w:p w:rsidR="00650196" w:rsidRPr="00A019E2" w:rsidRDefault="003A1363" w:rsidP="00E15927">
            <w:pPr>
              <w:keepNext/>
              <w:keepLines/>
              <w:widowControl w:val="0"/>
              <w:pBdr>
                <w:top w:val="single" w:sz="6" w:space="1" w:color="auto"/>
              </w:pBdr>
              <w:autoSpaceDE w:val="0"/>
              <w:autoSpaceDN w:val="0"/>
              <w:adjustRightInd w:val="0"/>
              <w:spacing w:after="0" w:line="196" w:lineRule="atLeast"/>
              <w:jc w:val="center"/>
              <w:rPr>
                <w:sz w:val="18"/>
                <w:szCs w:val="18"/>
                <w:lang w:val="en-AU"/>
              </w:rPr>
            </w:pPr>
            <w:r w:rsidRPr="003A1363">
              <w:rPr>
                <w:sz w:val="18"/>
                <w:szCs w:val="18"/>
                <w:lang w:val="en-AU"/>
              </w:rPr>
              <w:t>1 (</w:t>
            </w:r>
            <w:r w:rsidRPr="003A1363">
              <w:rPr>
                <w:rFonts w:cs="Arial"/>
                <w:sz w:val="18"/>
                <w:szCs w:val="18"/>
                <w:lang w:val="en-AU"/>
              </w:rPr>
              <w:t>&lt;</w:t>
            </w:r>
            <w:r w:rsidRPr="003A1363">
              <w:rPr>
                <w:sz w:val="18"/>
                <w:szCs w:val="18"/>
                <w:lang w:val="en-AU"/>
              </w:rPr>
              <w:t>1%)</w:t>
            </w:r>
          </w:p>
        </w:tc>
        <w:tc>
          <w:tcPr>
            <w:tcW w:w="2322" w:type="dxa"/>
          </w:tcPr>
          <w:p w:rsidR="00650196" w:rsidRPr="00A019E2" w:rsidRDefault="003A1363" w:rsidP="00E15927">
            <w:pPr>
              <w:keepNext/>
              <w:keepLines/>
              <w:widowControl w:val="0"/>
              <w:pBdr>
                <w:top w:val="single" w:sz="6" w:space="1" w:color="auto"/>
              </w:pBdr>
              <w:autoSpaceDE w:val="0"/>
              <w:autoSpaceDN w:val="0"/>
              <w:adjustRightInd w:val="0"/>
              <w:spacing w:after="0" w:line="196" w:lineRule="atLeast"/>
              <w:jc w:val="center"/>
              <w:rPr>
                <w:sz w:val="18"/>
                <w:szCs w:val="18"/>
                <w:lang w:val="en-AU"/>
              </w:rPr>
            </w:pPr>
            <w:r w:rsidRPr="003A1363">
              <w:rPr>
                <w:sz w:val="18"/>
                <w:szCs w:val="18"/>
                <w:lang w:val="en-AU"/>
              </w:rPr>
              <w:t>8 (3%)</w:t>
            </w:r>
          </w:p>
        </w:tc>
        <w:tc>
          <w:tcPr>
            <w:tcW w:w="2322" w:type="dxa"/>
          </w:tcPr>
          <w:p w:rsidR="00650196" w:rsidRPr="00A019E2" w:rsidRDefault="003A1363" w:rsidP="00E15927">
            <w:pPr>
              <w:keepNext/>
              <w:keepLines/>
              <w:widowControl w:val="0"/>
              <w:pBdr>
                <w:top w:val="single" w:sz="6" w:space="1" w:color="auto"/>
              </w:pBdr>
              <w:autoSpaceDE w:val="0"/>
              <w:autoSpaceDN w:val="0"/>
              <w:adjustRightInd w:val="0"/>
              <w:spacing w:after="0" w:line="196" w:lineRule="atLeast"/>
              <w:jc w:val="center"/>
              <w:rPr>
                <w:sz w:val="18"/>
                <w:szCs w:val="18"/>
                <w:lang w:val="en-AU"/>
              </w:rPr>
            </w:pPr>
            <w:r w:rsidRPr="003A1363">
              <w:rPr>
                <w:sz w:val="18"/>
                <w:szCs w:val="18"/>
                <w:lang w:val="en-AU"/>
              </w:rPr>
              <w:t>0.019</w:t>
            </w:r>
          </w:p>
        </w:tc>
      </w:tr>
    </w:tbl>
    <w:p w:rsidR="00650196" w:rsidRPr="00A019E2" w:rsidRDefault="003A1363" w:rsidP="00650196">
      <w:pPr>
        <w:rPr>
          <w:sz w:val="18"/>
          <w:szCs w:val="18"/>
          <w:lang w:val="en-AU"/>
        </w:rPr>
      </w:pPr>
      <w:r w:rsidRPr="003A1363">
        <w:rPr>
          <w:sz w:val="18"/>
          <w:szCs w:val="18"/>
          <w:lang w:val="en-AU"/>
        </w:rPr>
        <w:t xml:space="preserve">B-R=bendamustine plus rituximab; R-CHOP=CHOP plus rituximab. </w:t>
      </w:r>
    </w:p>
    <w:p w:rsidR="00650196" w:rsidRPr="00A019E2" w:rsidRDefault="003A1363" w:rsidP="00650196">
      <w:pPr>
        <w:rPr>
          <w:sz w:val="18"/>
          <w:szCs w:val="18"/>
          <w:lang w:val="en-AU"/>
        </w:rPr>
      </w:pPr>
      <w:r w:rsidRPr="003A1363">
        <w:rPr>
          <w:sz w:val="18"/>
          <w:szCs w:val="18"/>
          <w:lang w:val="en-AU"/>
        </w:rPr>
        <w:t>* Includes only patients who received three or more cycles</w:t>
      </w:r>
    </w:p>
    <w:p w:rsidR="00CF2A53" w:rsidRPr="00A019E2" w:rsidRDefault="00CF2A53" w:rsidP="00120094">
      <w:pPr>
        <w:pStyle w:val="PIHEADING2"/>
        <w:keepLines/>
        <w:tabs>
          <w:tab w:val="clear" w:pos="-720"/>
        </w:tabs>
        <w:suppressAutoHyphens w:val="0"/>
        <w:rPr>
          <w:bCs/>
          <w:i/>
          <w:lang w:val="en-AU"/>
        </w:rPr>
      </w:pPr>
    </w:p>
    <w:p w:rsidR="002D512A" w:rsidRPr="00A019E2" w:rsidRDefault="003A1363" w:rsidP="00120094">
      <w:pPr>
        <w:pStyle w:val="PIHEADING2"/>
        <w:keepLines/>
        <w:tabs>
          <w:tab w:val="clear" w:pos="-720"/>
        </w:tabs>
        <w:suppressAutoHyphens w:val="0"/>
        <w:rPr>
          <w:bCs/>
          <w:i/>
          <w:lang w:val="en-AU"/>
        </w:rPr>
      </w:pPr>
      <w:r w:rsidRPr="003A1363">
        <w:rPr>
          <w:bCs/>
          <w:i/>
          <w:lang w:val="en-AU"/>
        </w:rPr>
        <w:t>Relapsed/Refractory Non-Hodgkin’s Lymphoma</w:t>
      </w:r>
    </w:p>
    <w:p w:rsidR="004001B7" w:rsidRPr="00A019E2" w:rsidRDefault="003A1363" w:rsidP="004001B7">
      <w:pPr>
        <w:rPr>
          <w:lang w:val="en-AU"/>
        </w:rPr>
      </w:pPr>
      <w:r w:rsidRPr="003A1363">
        <w:rPr>
          <w:lang w:val="en-AU"/>
        </w:rPr>
        <w:t xml:space="preserve">Table 11 lists adverse events occurring in at least 5% of patients in study SDX-105-03. </w:t>
      </w:r>
    </w:p>
    <w:p w:rsidR="008452F4" w:rsidRPr="00A019E2" w:rsidRDefault="003A1363" w:rsidP="004001B7">
      <w:pPr>
        <w:rPr>
          <w:b/>
          <w:sz w:val="20"/>
          <w:lang w:val="en-AU"/>
        </w:rPr>
      </w:pPr>
      <w:r w:rsidRPr="003A1363">
        <w:rPr>
          <w:b/>
          <w:sz w:val="20"/>
          <w:lang w:val="en-AU"/>
        </w:rPr>
        <w:t>Table 11: Adverse events occurring in at least 5% of patients by preferred term</w:t>
      </w:r>
    </w:p>
    <w:tbl>
      <w:tblPr>
        <w:tblStyle w:val="TableGrid"/>
        <w:tblW w:w="0" w:type="auto"/>
        <w:tblLook w:val="04A0" w:firstRow="1" w:lastRow="0" w:firstColumn="1" w:lastColumn="0" w:noHBand="0" w:noVBand="1"/>
      </w:tblPr>
      <w:tblGrid>
        <w:gridCol w:w="5211"/>
        <w:gridCol w:w="4076"/>
      </w:tblGrid>
      <w:tr w:rsidR="00056811" w:rsidRPr="00A019E2" w:rsidTr="00AD62DD">
        <w:tc>
          <w:tcPr>
            <w:tcW w:w="5211" w:type="dxa"/>
          </w:tcPr>
          <w:p w:rsidR="00056811" w:rsidRPr="00A019E2" w:rsidRDefault="00056811" w:rsidP="00056811">
            <w:pPr>
              <w:rPr>
                <w:b/>
                <w:sz w:val="20"/>
                <w:lang w:val="en-AU"/>
              </w:rPr>
            </w:pPr>
          </w:p>
        </w:tc>
        <w:tc>
          <w:tcPr>
            <w:tcW w:w="4076" w:type="dxa"/>
          </w:tcPr>
          <w:p w:rsidR="00056811" w:rsidRPr="00A019E2" w:rsidRDefault="003A1363" w:rsidP="002A556F">
            <w:pPr>
              <w:jc w:val="center"/>
              <w:rPr>
                <w:b/>
                <w:sz w:val="20"/>
                <w:lang w:val="en-AU"/>
              </w:rPr>
            </w:pPr>
            <w:r w:rsidRPr="003A1363">
              <w:rPr>
                <w:b/>
                <w:sz w:val="20"/>
                <w:lang w:val="en-AU"/>
              </w:rPr>
              <w:t>Number (%) of patients*</w:t>
            </w:r>
          </w:p>
        </w:tc>
      </w:tr>
      <w:tr w:rsidR="00056811" w:rsidRPr="00A019E2" w:rsidTr="00AD62DD">
        <w:tc>
          <w:tcPr>
            <w:tcW w:w="5211" w:type="dxa"/>
          </w:tcPr>
          <w:p w:rsidR="00056811" w:rsidRPr="00A019E2" w:rsidRDefault="003A1363" w:rsidP="00056811">
            <w:pPr>
              <w:rPr>
                <w:b/>
                <w:sz w:val="20"/>
                <w:lang w:val="en-AU"/>
              </w:rPr>
            </w:pPr>
            <w:r w:rsidRPr="003A1363">
              <w:rPr>
                <w:b/>
                <w:sz w:val="20"/>
                <w:lang w:val="en-AU"/>
              </w:rPr>
              <w:t xml:space="preserve">System organ class </w:t>
            </w:r>
          </w:p>
          <w:p w:rsidR="009C6D87" w:rsidRPr="00703F2B" w:rsidRDefault="003A1363" w:rsidP="00056811">
            <w:pPr>
              <w:rPr>
                <w:b/>
                <w:sz w:val="20"/>
                <w:lang w:val="en-AU"/>
              </w:rPr>
            </w:pPr>
            <w:r w:rsidRPr="00703F2B">
              <w:rPr>
                <w:b/>
                <w:sz w:val="20"/>
                <w:lang w:val="en-AU"/>
              </w:rPr>
              <w:t>Preferred term</w:t>
            </w:r>
          </w:p>
        </w:tc>
        <w:tc>
          <w:tcPr>
            <w:tcW w:w="4076" w:type="dxa"/>
          </w:tcPr>
          <w:p w:rsidR="00056811" w:rsidRPr="00A019E2" w:rsidRDefault="003A1363" w:rsidP="002A556F">
            <w:pPr>
              <w:autoSpaceDE w:val="0"/>
              <w:autoSpaceDN w:val="0"/>
              <w:adjustRightInd w:val="0"/>
              <w:spacing w:line="196" w:lineRule="atLeast"/>
              <w:jc w:val="center"/>
              <w:rPr>
                <w:b/>
                <w:sz w:val="20"/>
                <w:lang w:val="en-AU"/>
              </w:rPr>
            </w:pPr>
            <w:r w:rsidRPr="003A1363">
              <w:rPr>
                <w:b/>
                <w:sz w:val="20"/>
                <w:lang w:val="en-AU"/>
              </w:rPr>
              <w:t>Bendamustine</w:t>
            </w:r>
          </w:p>
          <w:p w:rsidR="009C6D87" w:rsidRPr="00A019E2" w:rsidRDefault="003A1363" w:rsidP="002A556F">
            <w:pPr>
              <w:jc w:val="center"/>
              <w:rPr>
                <w:b/>
                <w:sz w:val="20"/>
                <w:lang w:val="en-AU"/>
              </w:rPr>
            </w:pPr>
            <w:r w:rsidRPr="003A1363">
              <w:rPr>
                <w:b/>
                <w:sz w:val="20"/>
                <w:lang w:val="en-AU"/>
              </w:rPr>
              <w:t>(N=100)</w:t>
            </w:r>
          </w:p>
        </w:tc>
      </w:tr>
      <w:tr w:rsidR="00056811" w:rsidRPr="00A019E2" w:rsidTr="00AD62DD">
        <w:tc>
          <w:tcPr>
            <w:tcW w:w="5211" w:type="dxa"/>
          </w:tcPr>
          <w:p w:rsidR="00056811" w:rsidRPr="00A019E2" w:rsidRDefault="003A1363" w:rsidP="00056811">
            <w:pPr>
              <w:autoSpaceDE w:val="0"/>
              <w:autoSpaceDN w:val="0"/>
              <w:adjustRightInd w:val="0"/>
              <w:spacing w:line="196" w:lineRule="atLeast"/>
              <w:rPr>
                <w:b/>
                <w:sz w:val="20"/>
                <w:lang w:val="en-AU"/>
              </w:rPr>
            </w:pPr>
            <w:r w:rsidRPr="003A1363">
              <w:rPr>
                <w:b/>
                <w:sz w:val="20"/>
                <w:lang w:val="en-AU"/>
              </w:rPr>
              <w:t>Patients reporting at least 1 AE</w:t>
            </w:r>
          </w:p>
        </w:tc>
        <w:tc>
          <w:tcPr>
            <w:tcW w:w="4076" w:type="dxa"/>
          </w:tcPr>
          <w:p w:rsidR="00056811" w:rsidRPr="00A019E2" w:rsidRDefault="003A1363" w:rsidP="002A556F">
            <w:pPr>
              <w:autoSpaceDE w:val="0"/>
              <w:autoSpaceDN w:val="0"/>
              <w:adjustRightInd w:val="0"/>
              <w:spacing w:line="196" w:lineRule="atLeast"/>
              <w:jc w:val="center"/>
              <w:rPr>
                <w:b/>
                <w:sz w:val="20"/>
                <w:lang w:val="en-AU"/>
              </w:rPr>
            </w:pPr>
            <w:r w:rsidRPr="003A1363">
              <w:rPr>
                <w:b/>
                <w:sz w:val="20"/>
                <w:lang w:val="en-AU"/>
              </w:rPr>
              <w:t>100 (100)</w:t>
            </w:r>
          </w:p>
        </w:tc>
      </w:tr>
      <w:tr w:rsidR="00056811" w:rsidRPr="00A019E2" w:rsidTr="00AD62DD">
        <w:tc>
          <w:tcPr>
            <w:tcW w:w="5211" w:type="dxa"/>
          </w:tcPr>
          <w:p w:rsidR="00056811" w:rsidRPr="00A019E2" w:rsidRDefault="003A1363" w:rsidP="00056811">
            <w:pPr>
              <w:autoSpaceDE w:val="0"/>
              <w:autoSpaceDN w:val="0"/>
              <w:adjustRightInd w:val="0"/>
              <w:spacing w:line="196" w:lineRule="atLeast"/>
              <w:rPr>
                <w:b/>
                <w:sz w:val="20"/>
                <w:lang w:val="en-AU"/>
              </w:rPr>
            </w:pPr>
            <w:r w:rsidRPr="003A1363">
              <w:rPr>
                <w:b/>
                <w:sz w:val="20"/>
                <w:lang w:val="en-AU"/>
              </w:rPr>
              <w:t>Blood &amp; lymphatic system disorder</w:t>
            </w:r>
          </w:p>
        </w:tc>
        <w:tc>
          <w:tcPr>
            <w:tcW w:w="4076" w:type="dxa"/>
          </w:tcPr>
          <w:p w:rsidR="00056811" w:rsidRPr="00A019E2" w:rsidRDefault="00056811" w:rsidP="002A556F">
            <w:pPr>
              <w:jc w:val="center"/>
              <w:rPr>
                <w:b/>
                <w:sz w:val="20"/>
                <w:lang w:val="en-AU"/>
              </w:rPr>
            </w:pPr>
          </w:p>
        </w:tc>
      </w:tr>
      <w:tr w:rsidR="00056811" w:rsidRPr="00A019E2" w:rsidTr="00AD62DD">
        <w:tc>
          <w:tcPr>
            <w:tcW w:w="5211" w:type="dxa"/>
          </w:tcPr>
          <w:p w:rsidR="00056811" w:rsidRPr="00A019E2" w:rsidRDefault="003A1363" w:rsidP="002A556F">
            <w:pPr>
              <w:autoSpaceDE w:val="0"/>
              <w:autoSpaceDN w:val="0"/>
              <w:adjustRightInd w:val="0"/>
              <w:spacing w:line="196" w:lineRule="atLeast"/>
              <w:ind w:left="720"/>
              <w:rPr>
                <w:sz w:val="20"/>
                <w:lang w:val="en-AU"/>
              </w:rPr>
            </w:pPr>
            <w:r w:rsidRPr="003A1363">
              <w:rPr>
                <w:sz w:val="20"/>
                <w:lang w:val="en-AU"/>
              </w:rPr>
              <w:t>Neutropaenia</w:t>
            </w:r>
          </w:p>
        </w:tc>
        <w:tc>
          <w:tcPr>
            <w:tcW w:w="4076" w:type="dxa"/>
          </w:tcPr>
          <w:p w:rsidR="00056811" w:rsidRPr="00A019E2" w:rsidRDefault="003A1363" w:rsidP="002A556F">
            <w:pPr>
              <w:autoSpaceDE w:val="0"/>
              <w:autoSpaceDN w:val="0"/>
              <w:adjustRightInd w:val="0"/>
              <w:spacing w:line="196" w:lineRule="atLeast"/>
              <w:jc w:val="center"/>
              <w:rPr>
                <w:sz w:val="20"/>
                <w:lang w:val="en-AU"/>
              </w:rPr>
            </w:pPr>
            <w:r w:rsidRPr="003A1363">
              <w:rPr>
                <w:sz w:val="20"/>
                <w:lang w:val="en-AU"/>
              </w:rPr>
              <w:t>45 (45)</w:t>
            </w:r>
          </w:p>
        </w:tc>
      </w:tr>
      <w:tr w:rsidR="009C6D87" w:rsidRPr="00A019E2" w:rsidTr="00AD62DD">
        <w:tc>
          <w:tcPr>
            <w:tcW w:w="5211" w:type="dxa"/>
          </w:tcPr>
          <w:p w:rsidR="009C6D87" w:rsidRPr="00A019E2" w:rsidRDefault="003A1363" w:rsidP="002A556F">
            <w:pPr>
              <w:autoSpaceDE w:val="0"/>
              <w:autoSpaceDN w:val="0"/>
              <w:adjustRightInd w:val="0"/>
              <w:spacing w:line="196" w:lineRule="atLeast"/>
              <w:ind w:left="720"/>
              <w:rPr>
                <w:sz w:val="20"/>
                <w:lang w:val="en-AU"/>
              </w:rPr>
            </w:pPr>
            <w:r w:rsidRPr="003A1363">
              <w:rPr>
                <w:sz w:val="20"/>
                <w:lang w:val="en-AU"/>
              </w:rPr>
              <w:t>Anaemia</w:t>
            </w:r>
          </w:p>
        </w:tc>
        <w:tc>
          <w:tcPr>
            <w:tcW w:w="4076" w:type="dxa"/>
          </w:tcPr>
          <w:p w:rsidR="009C6D87" w:rsidRPr="00A019E2" w:rsidRDefault="003A1363" w:rsidP="002A556F">
            <w:pPr>
              <w:autoSpaceDE w:val="0"/>
              <w:autoSpaceDN w:val="0"/>
              <w:adjustRightInd w:val="0"/>
              <w:spacing w:line="196" w:lineRule="atLeast"/>
              <w:jc w:val="center"/>
              <w:rPr>
                <w:sz w:val="20"/>
                <w:lang w:val="en-AU"/>
              </w:rPr>
            </w:pPr>
            <w:r w:rsidRPr="003A1363">
              <w:rPr>
                <w:sz w:val="20"/>
                <w:lang w:val="en-AU"/>
              </w:rPr>
              <w:t>37 (37)</w:t>
            </w:r>
          </w:p>
        </w:tc>
      </w:tr>
      <w:tr w:rsidR="009C6D87" w:rsidRPr="00A019E2" w:rsidTr="00AD62DD">
        <w:tc>
          <w:tcPr>
            <w:tcW w:w="5211" w:type="dxa"/>
          </w:tcPr>
          <w:p w:rsidR="009C6D87" w:rsidRPr="00A019E2" w:rsidRDefault="003A1363" w:rsidP="002A556F">
            <w:pPr>
              <w:autoSpaceDE w:val="0"/>
              <w:autoSpaceDN w:val="0"/>
              <w:adjustRightInd w:val="0"/>
              <w:spacing w:line="196" w:lineRule="atLeast"/>
              <w:ind w:left="720"/>
              <w:rPr>
                <w:sz w:val="20"/>
                <w:lang w:val="en-AU"/>
              </w:rPr>
            </w:pPr>
            <w:r w:rsidRPr="003A1363">
              <w:rPr>
                <w:sz w:val="20"/>
                <w:lang w:val="en-AU"/>
              </w:rPr>
              <w:t>Thrombocytopaenia</w:t>
            </w:r>
          </w:p>
        </w:tc>
        <w:tc>
          <w:tcPr>
            <w:tcW w:w="4076" w:type="dxa"/>
          </w:tcPr>
          <w:p w:rsidR="009C6D87" w:rsidRPr="00A019E2" w:rsidRDefault="003A1363" w:rsidP="002A556F">
            <w:pPr>
              <w:autoSpaceDE w:val="0"/>
              <w:autoSpaceDN w:val="0"/>
              <w:adjustRightInd w:val="0"/>
              <w:spacing w:line="196" w:lineRule="atLeast"/>
              <w:jc w:val="center"/>
              <w:rPr>
                <w:sz w:val="20"/>
                <w:lang w:val="en-AU"/>
              </w:rPr>
            </w:pPr>
            <w:r w:rsidRPr="003A1363">
              <w:rPr>
                <w:sz w:val="20"/>
                <w:lang w:val="en-AU"/>
              </w:rPr>
              <w:t>36 (36)</w:t>
            </w:r>
          </w:p>
        </w:tc>
      </w:tr>
      <w:tr w:rsidR="009C6D87" w:rsidRPr="00A019E2" w:rsidTr="00AD62DD">
        <w:tc>
          <w:tcPr>
            <w:tcW w:w="5211" w:type="dxa"/>
          </w:tcPr>
          <w:p w:rsidR="009C6D87" w:rsidRPr="00A019E2" w:rsidRDefault="003A1363" w:rsidP="002A556F">
            <w:pPr>
              <w:autoSpaceDE w:val="0"/>
              <w:autoSpaceDN w:val="0"/>
              <w:adjustRightInd w:val="0"/>
              <w:spacing w:line="196" w:lineRule="atLeast"/>
              <w:ind w:left="720"/>
              <w:rPr>
                <w:sz w:val="20"/>
                <w:lang w:val="en-AU"/>
              </w:rPr>
            </w:pPr>
            <w:r w:rsidRPr="003A1363">
              <w:rPr>
                <w:sz w:val="20"/>
                <w:lang w:val="en-AU"/>
              </w:rPr>
              <w:t>Leukopenia</w:t>
            </w:r>
          </w:p>
        </w:tc>
        <w:tc>
          <w:tcPr>
            <w:tcW w:w="4076" w:type="dxa"/>
          </w:tcPr>
          <w:p w:rsidR="009C6D87" w:rsidRPr="00A019E2" w:rsidRDefault="003A1363" w:rsidP="002A556F">
            <w:pPr>
              <w:autoSpaceDE w:val="0"/>
              <w:autoSpaceDN w:val="0"/>
              <w:adjustRightInd w:val="0"/>
              <w:spacing w:line="196" w:lineRule="atLeast"/>
              <w:jc w:val="center"/>
              <w:rPr>
                <w:sz w:val="20"/>
                <w:lang w:val="en-AU"/>
              </w:rPr>
            </w:pPr>
            <w:r w:rsidRPr="003A1363">
              <w:rPr>
                <w:sz w:val="20"/>
                <w:lang w:val="en-AU"/>
              </w:rPr>
              <w:t>16 (16)</w:t>
            </w:r>
          </w:p>
        </w:tc>
      </w:tr>
      <w:tr w:rsidR="009C6D87" w:rsidRPr="00A019E2" w:rsidTr="00AD62DD">
        <w:tc>
          <w:tcPr>
            <w:tcW w:w="5211" w:type="dxa"/>
          </w:tcPr>
          <w:p w:rsidR="009C6D87" w:rsidRPr="00A019E2" w:rsidRDefault="003A1363" w:rsidP="002A556F">
            <w:pPr>
              <w:autoSpaceDE w:val="0"/>
              <w:autoSpaceDN w:val="0"/>
              <w:adjustRightInd w:val="0"/>
              <w:spacing w:line="196" w:lineRule="atLeast"/>
              <w:ind w:left="720"/>
              <w:rPr>
                <w:sz w:val="20"/>
                <w:lang w:val="en-AU"/>
              </w:rPr>
            </w:pPr>
            <w:r w:rsidRPr="003A1363">
              <w:rPr>
                <w:sz w:val="20"/>
                <w:lang w:val="en-AU"/>
              </w:rPr>
              <w:t>Febrile neutropaenia</w:t>
            </w:r>
          </w:p>
        </w:tc>
        <w:tc>
          <w:tcPr>
            <w:tcW w:w="4076" w:type="dxa"/>
          </w:tcPr>
          <w:p w:rsidR="009C6D87" w:rsidRPr="00A019E2" w:rsidRDefault="003A1363" w:rsidP="002A556F">
            <w:pPr>
              <w:autoSpaceDE w:val="0"/>
              <w:autoSpaceDN w:val="0"/>
              <w:adjustRightInd w:val="0"/>
              <w:spacing w:line="196" w:lineRule="atLeast"/>
              <w:jc w:val="center"/>
              <w:rPr>
                <w:sz w:val="20"/>
                <w:lang w:val="en-AU"/>
              </w:rPr>
            </w:pPr>
            <w:r w:rsidRPr="003A1363">
              <w:rPr>
                <w:sz w:val="20"/>
                <w:lang w:val="en-AU"/>
              </w:rPr>
              <w:t>6 (6)</w:t>
            </w:r>
          </w:p>
        </w:tc>
      </w:tr>
      <w:tr w:rsidR="002A556F" w:rsidRPr="00A019E2" w:rsidTr="002A556F">
        <w:tc>
          <w:tcPr>
            <w:tcW w:w="9287" w:type="dxa"/>
            <w:gridSpan w:val="2"/>
          </w:tcPr>
          <w:p w:rsidR="002A556F" w:rsidRPr="00A019E2" w:rsidRDefault="003A1363" w:rsidP="002A556F">
            <w:pPr>
              <w:autoSpaceDE w:val="0"/>
              <w:autoSpaceDN w:val="0"/>
              <w:adjustRightInd w:val="0"/>
              <w:spacing w:line="196" w:lineRule="atLeast"/>
              <w:rPr>
                <w:b/>
                <w:sz w:val="20"/>
                <w:lang w:val="en-AU"/>
              </w:rPr>
            </w:pPr>
            <w:r w:rsidRPr="003A1363">
              <w:rPr>
                <w:b/>
                <w:sz w:val="20"/>
                <w:lang w:val="en-AU"/>
              </w:rPr>
              <w:t>Cardiac disorders</w:t>
            </w:r>
          </w:p>
        </w:tc>
      </w:tr>
      <w:tr w:rsidR="009C6D87" w:rsidRPr="00A019E2" w:rsidTr="00AD62DD">
        <w:tc>
          <w:tcPr>
            <w:tcW w:w="5211" w:type="dxa"/>
          </w:tcPr>
          <w:p w:rsidR="009C6D87" w:rsidRPr="00A019E2" w:rsidRDefault="003A1363" w:rsidP="002A556F">
            <w:pPr>
              <w:autoSpaceDE w:val="0"/>
              <w:autoSpaceDN w:val="0"/>
              <w:adjustRightInd w:val="0"/>
              <w:spacing w:line="196" w:lineRule="atLeast"/>
              <w:ind w:left="720"/>
              <w:rPr>
                <w:sz w:val="20"/>
                <w:lang w:val="en-AU"/>
              </w:rPr>
            </w:pPr>
            <w:r w:rsidRPr="003A1363">
              <w:rPr>
                <w:sz w:val="20"/>
                <w:lang w:val="en-AU"/>
              </w:rPr>
              <w:t>Tachycardia</w:t>
            </w:r>
          </w:p>
        </w:tc>
        <w:tc>
          <w:tcPr>
            <w:tcW w:w="4076" w:type="dxa"/>
          </w:tcPr>
          <w:p w:rsidR="009C6D87" w:rsidRPr="00A019E2" w:rsidRDefault="003A1363" w:rsidP="002A556F">
            <w:pPr>
              <w:autoSpaceDE w:val="0"/>
              <w:autoSpaceDN w:val="0"/>
              <w:adjustRightInd w:val="0"/>
              <w:spacing w:line="196" w:lineRule="atLeast"/>
              <w:jc w:val="center"/>
              <w:rPr>
                <w:sz w:val="20"/>
                <w:lang w:val="en-AU"/>
              </w:rPr>
            </w:pPr>
            <w:r w:rsidRPr="003A1363">
              <w:rPr>
                <w:sz w:val="20"/>
                <w:lang w:val="en-AU"/>
              </w:rPr>
              <w:t>5 (5)</w:t>
            </w:r>
          </w:p>
        </w:tc>
      </w:tr>
      <w:tr w:rsidR="002A556F" w:rsidRPr="00A019E2" w:rsidTr="002A556F">
        <w:tc>
          <w:tcPr>
            <w:tcW w:w="9287" w:type="dxa"/>
            <w:gridSpan w:val="2"/>
          </w:tcPr>
          <w:p w:rsidR="002A556F" w:rsidRPr="00A019E2" w:rsidRDefault="003A1363" w:rsidP="002A556F">
            <w:pPr>
              <w:autoSpaceDE w:val="0"/>
              <w:autoSpaceDN w:val="0"/>
              <w:adjustRightInd w:val="0"/>
              <w:spacing w:line="196" w:lineRule="atLeast"/>
              <w:rPr>
                <w:b/>
                <w:sz w:val="20"/>
                <w:lang w:val="en-AU"/>
              </w:rPr>
            </w:pPr>
            <w:r w:rsidRPr="003A1363">
              <w:rPr>
                <w:b/>
                <w:sz w:val="20"/>
                <w:lang w:val="en-AU"/>
              </w:rPr>
              <w:t>Gastrointestinal disorders</w:t>
            </w:r>
          </w:p>
        </w:tc>
      </w:tr>
      <w:tr w:rsidR="009C6D87" w:rsidRPr="00A019E2" w:rsidTr="00AD62DD">
        <w:tc>
          <w:tcPr>
            <w:tcW w:w="5211" w:type="dxa"/>
          </w:tcPr>
          <w:p w:rsidR="009C6D87" w:rsidRPr="00A019E2" w:rsidRDefault="003A1363" w:rsidP="002A556F">
            <w:pPr>
              <w:autoSpaceDE w:val="0"/>
              <w:autoSpaceDN w:val="0"/>
              <w:adjustRightInd w:val="0"/>
              <w:spacing w:line="196" w:lineRule="atLeast"/>
              <w:ind w:left="720"/>
              <w:rPr>
                <w:sz w:val="20"/>
                <w:lang w:val="en-AU"/>
              </w:rPr>
            </w:pPr>
            <w:r w:rsidRPr="003A1363">
              <w:rPr>
                <w:sz w:val="20"/>
                <w:lang w:val="en-AU"/>
              </w:rPr>
              <w:t>Nausea</w:t>
            </w:r>
          </w:p>
        </w:tc>
        <w:tc>
          <w:tcPr>
            <w:tcW w:w="4076" w:type="dxa"/>
          </w:tcPr>
          <w:p w:rsidR="009C6D87" w:rsidRPr="00A019E2" w:rsidRDefault="003A1363" w:rsidP="002A556F">
            <w:pPr>
              <w:autoSpaceDE w:val="0"/>
              <w:autoSpaceDN w:val="0"/>
              <w:adjustRightInd w:val="0"/>
              <w:spacing w:line="196" w:lineRule="atLeast"/>
              <w:jc w:val="center"/>
              <w:rPr>
                <w:sz w:val="20"/>
                <w:lang w:val="en-AU"/>
              </w:rPr>
            </w:pPr>
            <w:r w:rsidRPr="003A1363">
              <w:rPr>
                <w:sz w:val="20"/>
                <w:lang w:val="en-AU"/>
              </w:rPr>
              <w:t>77 (77)</w:t>
            </w:r>
          </w:p>
        </w:tc>
      </w:tr>
      <w:tr w:rsidR="009C6D87" w:rsidRPr="00A019E2" w:rsidTr="00AD62DD">
        <w:tc>
          <w:tcPr>
            <w:tcW w:w="5211" w:type="dxa"/>
          </w:tcPr>
          <w:p w:rsidR="009C6D87" w:rsidRPr="00A019E2" w:rsidRDefault="003A1363" w:rsidP="002A556F">
            <w:pPr>
              <w:autoSpaceDE w:val="0"/>
              <w:autoSpaceDN w:val="0"/>
              <w:adjustRightInd w:val="0"/>
              <w:spacing w:line="196" w:lineRule="atLeast"/>
              <w:ind w:left="720"/>
              <w:rPr>
                <w:sz w:val="20"/>
                <w:lang w:val="en-AU"/>
              </w:rPr>
            </w:pPr>
            <w:r w:rsidRPr="003A1363">
              <w:rPr>
                <w:sz w:val="20"/>
                <w:lang w:val="en-AU"/>
              </w:rPr>
              <w:t>Diarrhoea</w:t>
            </w:r>
          </w:p>
        </w:tc>
        <w:tc>
          <w:tcPr>
            <w:tcW w:w="4076" w:type="dxa"/>
          </w:tcPr>
          <w:p w:rsidR="009C6D87" w:rsidRPr="00A019E2" w:rsidRDefault="003A1363" w:rsidP="002A556F">
            <w:pPr>
              <w:autoSpaceDE w:val="0"/>
              <w:autoSpaceDN w:val="0"/>
              <w:adjustRightInd w:val="0"/>
              <w:spacing w:line="196" w:lineRule="atLeast"/>
              <w:jc w:val="center"/>
              <w:rPr>
                <w:sz w:val="20"/>
                <w:lang w:val="en-AU"/>
              </w:rPr>
            </w:pPr>
            <w:r w:rsidRPr="003A1363">
              <w:rPr>
                <w:sz w:val="20"/>
                <w:lang w:val="en-AU"/>
              </w:rPr>
              <w:t>42 (42)</w:t>
            </w:r>
          </w:p>
        </w:tc>
      </w:tr>
      <w:tr w:rsidR="009C6D87" w:rsidRPr="00A019E2" w:rsidTr="00AD62DD">
        <w:tc>
          <w:tcPr>
            <w:tcW w:w="5211" w:type="dxa"/>
          </w:tcPr>
          <w:p w:rsidR="009C6D87" w:rsidRPr="00A019E2" w:rsidRDefault="003A1363" w:rsidP="002A556F">
            <w:pPr>
              <w:autoSpaceDE w:val="0"/>
              <w:autoSpaceDN w:val="0"/>
              <w:adjustRightInd w:val="0"/>
              <w:spacing w:line="196" w:lineRule="atLeast"/>
              <w:ind w:left="720"/>
              <w:rPr>
                <w:sz w:val="20"/>
                <w:lang w:val="en-AU"/>
              </w:rPr>
            </w:pPr>
            <w:r w:rsidRPr="003A1363">
              <w:rPr>
                <w:sz w:val="20"/>
                <w:lang w:val="en-AU"/>
              </w:rPr>
              <w:lastRenderedPageBreak/>
              <w:t>Vomiting</w:t>
            </w:r>
          </w:p>
        </w:tc>
        <w:tc>
          <w:tcPr>
            <w:tcW w:w="4076" w:type="dxa"/>
          </w:tcPr>
          <w:p w:rsidR="009C6D87" w:rsidRPr="00A019E2" w:rsidRDefault="003A1363" w:rsidP="002A556F">
            <w:pPr>
              <w:autoSpaceDE w:val="0"/>
              <w:autoSpaceDN w:val="0"/>
              <w:adjustRightInd w:val="0"/>
              <w:spacing w:line="196" w:lineRule="atLeast"/>
              <w:jc w:val="center"/>
              <w:rPr>
                <w:sz w:val="20"/>
                <w:lang w:val="en-AU"/>
              </w:rPr>
            </w:pPr>
            <w:r w:rsidRPr="003A1363">
              <w:rPr>
                <w:sz w:val="20"/>
                <w:lang w:val="en-AU"/>
              </w:rPr>
              <w:t>40 (40)</w:t>
            </w:r>
          </w:p>
        </w:tc>
      </w:tr>
      <w:tr w:rsidR="009C6D87" w:rsidRPr="00A019E2" w:rsidTr="00AD62DD">
        <w:tc>
          <w:tcPr>
            <w:tcW w:w="5211" w:type="dxa"/>
          </w:tcPr>
          <w:p w:rsidR="009C6D87" w:rsidRPr="00A019E2" w:rsidRDefault="003A1363" w:rsidP="002A556F">
            <w:pPr>
              <w:autoSpaceDE w:val="0"/>
              <w:autoSpaceDN w:val="0"/>
              <w:adjustRightInd w:val="0"/>
              <w:spacing w:line="196" w:lineRule="atLeast"/>
              <w:ind w:left="720"/>
              <w:rPr>
                <w:sz w:val="20"/>
                <w:lang w:val="en-AU"/>
              </w:rPr>
            </w:pPr>
            <w:r w:rsidRPr="003A1363">
              <w:rPr>
                <w:sz w:val="20"/>
                <w:lang w:val="en-AU"/>
              </w:rPr>
              <w:t>Constipation</w:t>
            </w:r>
          </w:p>
        </w:tc>
        <w:tc>
          <w:tcPr>
            <w:tcW w:w="4076" w:type="dxa"/>
          </w:tcPr>
          <w:p w:rsidR="009C6D87" w:rsidRPr="00A019E2" w:rsidRDefault="003A1363" w:rsidP="002A556F">
            <w:pPr>
              <w:autoSpaceDE w:val="0"/>
              <w:autoSpaceDN w:val="0"/>
              <w:adjustRightInd w:val="0"/>
              <w:spacing w:line="196" w:lineRule="atLeast"/>
              <w:jc w:val="center"/>
              <w:rPr>
                <w:sz w:val="20"/>
                <w:lang w:val="en-AU"/>
              </w:rPr>
            </w:pPr>
            <w:r w:rsidRPr="003A1363">
              <w:rPr>
                <w:sz w:val="20"/>
                <w:lang w:val="en-AU"/>
              </w:rPr>
              <w:t>31 (31)</w:t>
            </w:r>
          </w:p>
        </w:tc>
      </w:tr>
      <w:tr w:rsidR="00AD62DD" w:rsidRPr="00A019E2" w:rsidTr="00AD62DD">
        <w:tc>
          <w:tcPr>
            <w:tcW w:w="5211" w:type="dxa"/>
          </w:tcPr>
          <w:p w:rsidR="00AD62DD" w:rsidRPr="00A019E2" w:rsidRDefault="003A1363" w:rsidP="002A556F">
            <w:pPr>
              <w:autoSpaceDE w:val="0"/>
              <w:autoSpaceDN w:val="0"/>
              <w:adjustRightInd w:val="0"/>
              <w:spacing w:line="196" w:lineRule="atLeast"/>
              <w:ind w:left="720"/>
              <w:rPr>
                <w:sz w:val="20"/>
                <w:lang w:val="en-AU"/>
              </w:rPr>
            </w:pPr>
            <w:r w:rsidRPr="003A1363">
              <w:rPr>
                <w:sz w:val="20"/>
                <w:lang w:val="en-AU"/>
              </w:rPr>
              <w:t>Stomatitis</w:t>
            </w:r>
          </w:p>
        </w:tc>
        <w:tc>
          <w:tcPr>
            <w:tcW w:w="4076" w:type="dxa"/>
          </w:tcPr>
          <w:p w:rsidR="00AD62DD" w:rsidRPr="00A019E2" w:rsidRDefault="003A1363" w:rsidP="002A556F">
            <w:pPr>
              <w:autoSpaceDE w:val="0"/>
              <w:autoSpaceDN w:val="0"/>
              <w:adjustRightInd w:val="0"/>
              <w:spacing w:line="196" w:lineRule="atLeast"/>
              <w:jc w:val="center"/>
              <w:rPr>
                <w:sz w:val="20"/>
                <w:lang w:val="en-AU"/>
              </w:rPr>
            </w:pPr>
            <w:r w:rsidRPr="003A1363">
              <w:rPr>
                <w:sz w:val="20"/>
                <w:lang w:val="en-AU"/>
              </w:rPr>
              <w:t>21 (21)</w:t>
            </w:r>
          </w:p>
        </w:tc>
      </w:tr>
      <w:tr w:rsidR="00AD62DD" w:rsidRPr="00A019E2" w:rsidTr="00AD62DD">
        <w:tc>
          <w:tcPr>
            <w:tcW w:w="5211" w:type="dxa"/>
          </w:tcPr>
          <w:p w:rsidR="00AD62DD" w:rsidRPr="00A019E2" w:rsidRDefault="003A1363" w:rsidP="002A556F">
            <w:pPr>
              <w:autoSpaceDE w:val="0"/>
              <w:autoSpaceDN w:val="0"/>
              <w:adjustRightInd w:val="0"/>
              <w:spacing w:line="196" w:lineRule="atLeast"/>
              <w:ind w:left="720"/>
              <w:rPr>
                <w:sz w:val="20"/>
                <w:lang w:val="en-AU"/>
              </w:rPr>
            </w:pPr>
            <w:r w:rsidRPr="003A1363">
              <w:rPr>
                <w:sz w:val="20"/>
                <w:lang w:val="en-AU"/>
              </w:rPr>
              <w:t>Abdominal pain</w:t>
            </w:r>
          </w:p>
        </w:tc>
        <w:tc>
          <w:tcPr>
            <w:tcW w:w="4076" w:type="dxa"/>
          </w:tcPr>
          <w:p w:rsidR="00AD62DD" w:rsidRPr="00A019E2" w:rsidRDefault="003A1363" w:rsidP="002A556F">
            <w:pPr>
              <w:autoSpaceDE w:val="0"/>
              <w:autoSpaceDN w:val="0"/>
              <w:adjustRightInd w:val="0"/>
              <w:spacing w:line="196" w:lineRule="atLeast"/>
              <w:jc w:val="center"/>
              <w:rPr>
                <w:sz w:val="20"/>
                <w:lang w:val="en-AU"/>
              </w:rPr>
            </w:pPr>
            <w:r w:rsidRPr="003A1363">
              <w:rPr>
                <w:sz w:val="20"/>
                <w:lang w:val="en-AU"/>
              </w:rPr>
              <w:t>14 (14)</w:t>
            </w:r>
          </w:p>
        </w:tc>
      </w:tr>
      <w:tr w:rsidR="00AD62DD" w:rsidRPr="00A019E2" w:rsidTr="00AD62DD">
        <w:tc>
          <w:tcPr>
            <w:tcW w:w="5211" w:type="dxa"/>
          </w:tcPr>
          <w:p w:rsidR="00AD62DD" w:rsidRPr="00A019E2" w:rsidRDefault="00FF3C28" w:rsidP="002A556F">
            <w:pPr>
              <w:autoSpaceDE w:val="0"/>
              <w:autoSpaceDN w:val="0"/>
              <w:adjustRightInd w:val="0"/>
              <w:spacing w:line="196" w:lineRule="atLeast"/>
              <w:ind w:left="720"/>
              <w:rPr>
                <w:sz w:val="20"/>
                <w:lang w:val="en-AU"/>
              </w:rPr>
            </w:pPr>
            <w:r w:rsidRPr="00A019E2">
              <w:rPr>
                <w:sz w:val="20"/>
                <w:lang w:val="en-AU"/>
              </w:rPr>
              <w:t>Gastro oesophageal</w:t>
            </w:r>
            <w:r w:rsidR="003A1363" w:rsidRPr="003A1363">
              <w:rPr>
                <w:sz w:val="20"/>
                <w:lang w:val="en-AU"/>
              </w:rPr>
              <w:t xml:space="preserve"> reflux disease</w:t>
            </w:r>
          </w:p>
        </w:tc>
        <w:tc>
          <w:tcPr>
            <w:tcW w:w="4076" w:type="dxa"/>
          </w:tcPr>
          <w:p w:rsidR="00AD62DD" w:rsidRPr="00A019E2" w:rsidRDefault="003A1363" w:rsidP="002A556F">
            <w:pPr>
              <w:autoSpaceDE w:val="0"/>
              <w:autoSpaceDN w:val="0"/>
              <w:adjustRightInd w:val="0"/>
              <w:spacing w:line="196" w:lineRule="atLeast"/>
              <w:jc w:val="center"/>
              <w:rPr>
                <w:sz w:val="20"/>
                <w:lang w:val="en-AU"/>
              </w:rPr>
            </w:pPr>
            <w:r w:rsidRPr="003A1363">
              <w:rPr>
                <w:sz w:val="20"/>
                <w:lang w:val="en-AU"/>
              </w:rPr>
              <w:t>11 (11)</w:t>
            </w:r>
          </w:p>
        </w:tc>
      </w:tr>
      <w:tr w:rsidR="00AD62DD" w:rsidRPr="00A019E2" w:rsidTr="00AD62DD">
        <w:tc>
          <w:tcPr>
            <w:tcW w:w="5211" w:type="dxa"/>
          </w:tcPr>
          <w:p w:rsidR="00AD62DD" w:rsidRPr="00A019E2" w:rsidRDefault="003A1363" w:rsidP="002A556F">
            <w:pPr>
              <w:autoSpaceDE w:val="0"/>
              <w:autoSpaceDN w:val="0"/>
              <w:adjustRightInd w:val="0"/>
              <w:spacing w:line="196" w:lineRule="atLeast"/>
              <w:ind w:left="720"/>
              <w:rPr>
                <w:sz w:val="20"/>
                <w:lang w:val="en-AU"/>
              </w:rPr>
            </w:pPr>
            <w:r w:rsidRPr="003A1363">
              <w:rPr>
                <w:sz w:val="20"/>
                <w:lang w:val="en-AU"/>
              </w:rPr>
              <w:t>Dyspepsia</w:t>
            </w:r>
          </w:p>
        </w:tc>
        <w:tc>
          <w:tcPr>
            <w:tcW w:w="4076" w:type="dxa"/>
          </w:tcPr>
          <w:p w:rsidR="00AD62DD" w:rsidRPr="00A019E2" w:rsidRDefault="003A1363" w:rsidP="002A556F">
            <w:pPr>
              <w:autoSpaceDE w:val="0"/>
              <w:autoSpaceDN w:val="0"/>
              <w:adjustRightInd w:val="0"/>
              <w:spacing w:line="196" w:lineRule="atLeast"/>
              <w:jc w:val="center"/>
              <w:rPr>
                <w:sz w:val="20"/>
                <w:lang w:val="en-AU"/>
              </w:rPr>
            </w:pPr>
            <w:r w:rsidRPr="003A1363">
              <w:rPr>
                <w:sz w:val="20"/>
                <w:lang w:val="en-AU"/>
              </w:rPr>
              <w:t>14 (14)</w:t>
            </w:r>
          </w:p>
        </w:tc>
      </w:tr>
      <w:tr w:rsidR="00AD62DD" w:rsidRPr="00A019E2" w:rsidTr="00AD62DD">
        <w:tc>
          <w:tcPr>
            <w:tcW w:w="5211" w:type="dxa"/>
          </w:tcPr>
          <w:p w:rsidR="00AD62DD" w:rsidRPr="00A019E2" w:rsidRDefault="003A1363" w:rsidP="002A556F">
            <w:pPr>
              <w:autoSpaceDE w:val="0"/>
              <w:autoSpaceDN w:val="0"/>
              <w:adjustRightInd w:val="0"/>
              <w:spacing w:line="196" w:lineRule="atLeast"/>
              <w:ind w:left="720"/>
              <w:rPr>
                <w:sz w:val="20"/>
                <w:lang w:val="en-AU"/>
              </w:rPr>
            </w:pPr>
            <w:r w:rsidRPr="003A1363">
              <w:rPr>
                <w:sz w:val="20"/>
                <w:lang w:val="en-AU"/>
              </w:rPr>
              <w:t>Dry mouth</w:t>
            </w:r>
          </w:p>
        </w:tc>
        <w:tc>
          <w:tcPr>
            <w:tcW w:w="4076" w:type="dxa"/>
          </w:tcPr>
          <w:p w:rsidR="00AD62DD"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9 (9)</w:t>
            </w:r>
          </w:p>
        </w:tc>
      </w:tr>
      <w:tr w:rsidR="00AD62DD" w:rsidRPr="00A019E2" w:rsidTr="00AD62DD">
        <w:tc>
          <w:tcPr>
            <w:tcW w:w="5211" w:type="dxa"/>
          </w:tcPr>
          <w:p w:rsidR="00AD62DD" w:rsidRPr="00A019E2"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lastRenderedPageBreak/>
              <w:t>Abdominal pain upper</w:t>
            </w:r>
          </w:p>
        </w:tc>
        <w:tc>
          <w:tcPr>
            <w:tcW w:w="4076" w:type="dxa"/>
          </w:tcPr>
          <w:p w:rsidR="00AD62DD"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5 (5)</w:t>
            </w:r>
          </w:p>
        </w:tc>
      </w:tr>
      <w:tr w:rsidR="002A556F" w:rsidRPr="00A019E2" w:rsidTr="002A556F">
        <w:tc>
          <w:tcPr>
            <w:tcW w:w="9287" w:type="dxa"/>
            <w:gridSpan w:val="2"/>
          </w:tcPr>
          <w:p w:rsidR="002A556F" w:rsidRDefault="003A1363" w:rsidP="00D417D6">
            <w:pPr>
              <w:keepNext/>
              <w:keepLines/>
              <w:widowControl w:val="0"/>
              <w:pBdr>
                <w:top w:val="single" w:sz="6" w:space="1" w:color="auto"/>
              </w:pBdr>
              <w:autoSpaceDE w:val="0"/>
              <w:autoSpaceDN w:val="0"/>
              <w:adjustRightInd w:val="0"/>
              <w:spacing w:after="0" w:line="196" w:lineRule="atLeast"/>
              <w:rPr>
                <w:b/>
                <w:sz w:val="20"/>
                <w:lang w:val="en-AU"/>
              </w:rPr>
            </w:pPr>
            <w:r w:rsidRPr="003A1363">
              <w:rPr>
                <w:b/>
                <w:sz w:val="20"/>
                <w:lang w:val="en-AU"/>
              </w:rPr>
              <w:t>General disorders &amp; administration site conditions</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rPr>
                <w:b/>
                <w:sz w:val="20"/>
                <w:lang w:val="en-AU"/>
              </w:rPr>
            </w:pPr>
          </w:p>
        </w:tc>
      </w:tr>
      <w:tr w:rsidR="00AD62DD" w:rsidRPr="00A019E2" w:rsidTr="00AD62DD">
        <w:tc>
          <w:tcPr>
            <w:tcW w:w="5211" w:type="dxa"/>
          </w:tcPr>
          <w:p w:rsidR="00AD62DD"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t>Fatigue</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AD62DD"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64 (64)</w:t>
            </w:r>
          </w:p>
        </w:tc>
      </w:tr>
      <w:tr w:rsidR="00AD62DD" w:rsidRPr="00A019E2" w:rsidTr="00AD62DD">
        <w:tc>
          <w:tcPr>
            <w:tcW w:w="5211" w:type="dxa"/>
          </w:tcPr>
          <w:p w:rsidR="00AD62DD"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t>Pyrexia</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AD62DD"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36 (36)</w:t>
            </w:r>
          </w:p>
        </w:tc>
      </w:tr>
      <w:tr w:rsidR="00AD62DD" w:rsidRPr="00A019E2" w:rsidTr="00AD62DD">
        <w:tc>
          <w:tcPr>
            <w:tcW w:w="5211" w:type="dxa"/>
          </w:tcPr>
          <w:p w:rsidR="00AD62DD"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t>Oedema peripheral</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AD62DD"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14 (14)</w:t>
            </w:r>
          </w:p>
        </w:tc>
      </w:tr>
      <w:tr w:rsidR="00AD62DD" w:rsidRPr="00A019E2" w:rsidTr="00AD62DD">
        <w:tc>
          <w:tcPr>
            <w:tcW w:w="5211" w:type="dxa"/>
          </w:tcPr>
          <w:p w:rsidR="00AD62DD"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t>Chills</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AD62DD"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14 (14)</w:t>
            </w:r>
          </w:p>
        </w:tc>
      </w:tr>
      <w:tr w:rsidR="00AD62DD" w:rsidRPr="00A019E2" w:rsidTr="00AD62DD">
        <w:tc>
          <w:tcPr>
            <w:tcW w:w="5211" w:type="dxa"/>
          </w:tcPr>
          <w:p w:rsidR="00AD62DD"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t>Asthenia</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AD62DD"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13 (13)</w:t>
            </w:r>
          </w:p>
        </w:tc>
      </w:tr>
      <w:tr w:rsidR="00AD62DD" w:rsidRPr="00A019E2" w:rsidTr="00AD62DD">
        <w:tc>
          <w:tcPr>
            <w:tcW w:w="5211" w:type="dxa"/>
          </w:tcPr>
          <w:p w:rsidR="00AD62DD"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t xml:space="preserve">Pain </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AD62DD"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9 (9)</w:t>
            </w:r>
          </w:p>
        </w:tc>
      </w:tr>
      <w:tr w:rsidR="00AD62DD" w:rsidRPr="00A019E2" w:rsidTr="00AD62DD">
        <w:tc>
          <w:tcPr>
            <w:tcW w:w="5211" w:type="dxa"/>
          </w:tcPr>
          <w:p w:rsidR="00AD62DD"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t>Infusion site pain</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AD62DD"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7 (7)</w:t>
            </w:r>
          </w:p>
        </w:tc>
      </w:tr>
      <w:tr w:rsidR="00AD62DD" w:rsidRPr="00A019E2" w:rsidTr="00AD62DD">
        <w:tc>
          <w:tcPr>
            <w:tcW w:w="5211" w:type="dxa"/>
          </w:tcPr>
          <w:p w:rsidR="00AD62DD"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t>Thirst</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AD62DD"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6 (6)</w:t>
            </w:r>
          </w:p>
        </w:tc>
      </w:tr>
      <w:tr w:rsidR="00AD62DD" w:rsidRPr="00A019E2" w:rsidTr="00703F2B">
        <w:trPr>
          <w:trHeight w:val="307"/>
        </w:trPr>
        <w:tc>
          <w:tcPr>
            <w:tcW w:w="5211" w:type="dxa"/>
          </w:tcPr>
          <w:p w:rsidR="00AD62DD"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t>Catheter site pain</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AD62DD"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5 (5)</w:t>
            </w:r>
          </w:p>
        </w:tc>
      </w:tr>
      <w:tr w:rsidR="002A556F" w:rsidRPr="00A019E2" w:rsidTr="002A556F">
        <w:tc>
          <w:tcPr>
            <w:tcW w:w="9287" w:type="dxa"/>
            <w:gridSpan w:val="2"/>
          </w:tcPr>
          <w:p w:rsidR="002A556F" w:rsidRDefault="003A1363" w:rsidP="00D417D6">
            <w:pPr>
              <w:keepNext/>
              <w:keepLines/>
              <w:widowControl w:val="0"/>
              <w:pBdr>
                <w:top w:val="single" w:sz="6" w:space="1" w:color="auto"/>
              </w:pBdr>
              <w:autoSpaceDE w:val="0"/>
              <w:autoSpaceDN w:val="0"/>
              <w:adjustRightInd w:val="0"/>
              <w:spacing w:after="0" w:line="196" w:lineRule="atLeast"/>
              <w:rPr>
                <w:b/>
                <w:sz w:val="20"/>
                <w:lang w:val="en-AU"/>
              </w:rPr>
            </w:pPr>
            <w:r w:rsidRPr="003A1363">
              <w:rPr>
                <w:b/>
                <w:sz w:val="20"/>
                <w:lang w:val="en-AU"/>
              </w:rPr>
              <w:t>Infections &amp; infestations</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rPr>
                <w:b/>
                <w:sz w:val="20"/>
                <w:lang w:val="en-AU"/>
              </w:rPr>
            </w:pPr>
          </w:p>
        </w:tc>
      </w:tr>
      <w:tr w:rsidR="00737A3A" w:rsidRPr="00A019E2" w:rsidTr="00AD62DD">
        <w:tc>
          <w:tcPr>
            <w:tcW w:w="5211" w:type="dxa"/>
          </w:tcPr>
          <w:p w:rsidR="00737A3A"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703F2B">
              <w:rPr>
                <w:i/>
                <w:sz w:val="20"/>
                <w:lang w:val="en-AU"/>
              </w:rPr>
              <w:t>Herpes zoster</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737A3A"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12 (12)</w:t>
            </w:r>
          </w:p>
        </w:tc>
      </w:tr>
      <w:tr w:rsidR="00737A3A" w:rsidRPr="00A019E2" w:rsidTr="00AD62DD">
        <w:tc>
          <w:tcPr>
            <w:tcW w:w="5211" w:type="dxa"/>
          </w:tcPr>
          <w:p w:rsidR="00737A3A"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t>Urinary tract infection</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737A3A"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11 (11)</w:t>
            </w:r>
          </w:p>
        </w:tc>
      </w:tr>
      <w:tr w:rsidR="00737A3A" w:rsidRPr="00A019E2" w:rsidTr="00AD62DD">
        <w:tc>
          <w:tcPr>
            <w:tcW w:w="5211" w:type="dxa"/>
          </w:tcPr>
          <w:p w:rsidR="00737A3A"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t>Nasopharyngitis</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737A3A"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9 (9)</w:t>
            </w:r>
          </w:p>
        </w:tc>
      </w:tr>
      <w:tr w:rsidR="00737A3A" w:rsidRPr="00A019E2" w:rsidTr="00AD62DD">
        <w:tc>
          <w:tcPr>
            <w:tcW w:w="5211" w:type="dxa"/>
          </w:tcPr>
          <w:p w:rsidR="00737A3A"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t>Upper respiratory tract infection</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737A3A"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9 (9)</w:t>
            </w:r>
          </w:p>
        </w:tc>
      </w:tr>
      <w:tr w:rsidR="00737A3A" w:rsidRPr="00A019E2" w:rsidTr="00AD62DD">
        <w:tc>
          <w:tcPr>
            <w:tcW w:w="5211" w:type="dxa"/>
          </w:tcPr>
          <w:p w:rsidR="00737A3A"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t>Pneumonia</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737A3A"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9 (9)</w:t>
            </w:r>
          </w:p>
        </w:tc>
      </w:tr>
      <w:tr w:rsidR="00737A3A" w:rsidRPr="00A019E2" w:rsidTr="00AD62DD">
        <w:tc>
          <w:tcPr>
            <w:tcW w:w="5211" w:type="dxa"/>
          </w:tcPr>
          <w:p w:rsidR="00737A3A"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t>Sinusitis</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737A3A"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8 (8)</w:t>
            </w:r>
          </w:p>
        </w:tc>
      </w:tr>
      <w:tr w:rsidR="00737A3A" w:rsidRPr="00A019E2" w:rsidTr="00AD62DD">
        <w:tc>
          <w:tcPr>
            <w:tcW w:w="5211" w:type="dxa"/>
          </w:tcPr>
          <w:p w:rsidR="00737A3A" w:rsidRDefault="003A1363" w:rsidP="00D417D6">
            <w:pPr>
              <w:keepNext/>
              <w:keepLines/>
              <w:widowControl w:val="0"/>
              <w:pBdr>
                <w:top w:val="single" w:sz="6" w:space="1" w:color="auto"/>
              </w:pBdr>
              <w:autoSpaceDE w:val="0"/>
              <w:autoSpaceDN w:val="0"/>
              <w:adjustRightInd w:val="0"/>
              <w:spacing w:after="0" w:line="196" w:lineRule="atLeast"/>
              <w:ind w:left="720"/>
              <w:rPr>
                <w:sz w:val="20"/>
                <w:lang w:val="en-AU"/>
              </w:rPr>
            </w:pPr>
            <w:r w:rsidRPr="003A1363">
              <w:rPr>
                <w:sz w:val="20"/>
                <w:lang w:val="en-AU"/>
              </w:rPr>
              <w:t>Oral candidiasis</w:t>
            </w:r>
          </w:p>
          <w:p w:rsidR="00703F2B" w:rsidRPr="00A019E2" w:rsidRDefault="00703F2B" w:rsidP="00D417D6">
            <w:pPr>
              <w:keepNext/>
              <w:keepLines/>
              <w:widowControl w:val="0"/>
              <w:pBdr>
                <w:top w:val="single" w:sz="6" w:space="1" w:color="auto"/>
              </w:pBdr>
              <w:autoSpaceDE w:val="0"/>
              <w:autoSpaceDN w:val="0"/>
              <w:adjustRightInd w:val="0"/>
              <w:spacing w:after="0" w:line="196" w:lineRule="atLeast"/>
              <w:ind w:left="720"/>
              <w:rPr>
                <w:sz w:val="20"/>
                <w:lang w:val="en-AU"/>
              </w:rPr>
            </w:pPr>
          </w:p>
        </w:tc>
        <w:tc>
          <w:tcPr>
            <w:tcW w:w="4076" w:type="dxa"/>
          </w:tcPr>
          <w:p w:rsidR="00737A3A" w:rsidRPr="00A019E2" w:rsidRDefault="003A1363" w:rsidP="002A556F">
            <w:pPr>
              <w:keepNext/>
              <w:keepLines/>
              <w:widowControl w:val="0"/>
              <w:pBdr>
                <w:top w:val="single" w:sz="6" w:space="1" w:color="auto"/>
              </w:pBdr>
              <w:autoSpaceDE w:val="0"/>
              <w:autoSpaceDN w:val="0"/>
              <w:adjustRightInd w:val="0"/>
              <w:spacing w:after="0" w:line="196" w:lineRule="atLeast"/>
              <w:jc w:val="center"/>
              <w:rPr>
                <w:sz w:val="20"/>
                <w:lang w:val="en-AU"/>
              </w:rPr>
            </w:pPr>
            <w:r w:rsidRPr="003A1363">
              <w:rPr>
                <w:sz w:val="20"/>
                <w:lang w:val="en-AU"/>
              </w:rPr>
              <w:t>6 (6</w:t>
            </w:r>
          </w:p>
        </w:tc>
      </w:tr>
      <w:tr w:rsidR="00737A3A" w:rsidRPr="00A019E2" w:rsidTr="00AD62DD">
        <w:tc>
          <w:tcPr>
            <w:tcW w:w="5211" w:type="dxa"/>
          </w:tcPr>
          <w:p w:rsidR="00737A3A" w:rsidRPr="00A019E2" w:rsidRDefault="00FF3C28" w:rsidP="002A556F">
            <w:pPr>
              <w:autoSpaceDE w:val="0"/>
              <w:autoSpaceDN w:val="0"/>
              <w:adjustRightInd w:val="0"/>
              <w:spacing w:line="196" w:lineRule="atLeast"/>
              <w:ind w:left="720"/>
              <w:rPr>
                <w:sz w:val="20"/>
                <w:lang w:val="en-AU"/>
              </w:rPr>
            </w:pPr>
            <w:r w:rsidRPr="00A019E2">
              <w:rPr>
                <w:sz w:val="20"/>
                <w:lang w:val="en-AU"/>
              </w:rPr>
              <w:t>Herpes</w:t>
            </w:r>
            <w:r w:rsidR="003A1363" w:rsidRPr="003A1363">
              <w:rPr>
                <w:sz w:val="20"/>
                <w:lang w:val="en-AU"/>
              </w:rPr>
              <w:t xml:space="preserve"> simplex</w:t>
            </w:r>
          </w:p>
        </w:tc>
        <w:tc>
          <w:tcPr>
            <w:tcW w:w="4076" w:type="dxa"/>
          </w:tcPr>
          <w:p w:rsidR="00737A3A" w:rsidRPr="00A019E2" w:rsidRDefault="003A1363" w:rsidP="002A556F">
            <w:pPr>
              <w:autoSpaceDE w:val="0"/>
              <w:autoSpaceDN w:val="0"/>
              <w:adjustRightInd w:val="0"/>
              <w:spacing w:line="196" w:lineRule="atLeast"/>
              <w:jc w:val="center"/>
              <w:rPr>
                <w:sz w:val="20"/>
                <w:lang w:val="en-AU"/>
              </w:rPr>
            </w:pPr>
            <w:r w:rsidRPr="003A1363">
              <w:rPr>
                <w:sz w:val="20"/>
                <w:lang w:val="en-AU"/>
              </w:rPr>
              <w:t>6 (6)</w:t>
            </w:r>
          </w:p>
        </w:tc>
      </w:tr>
      <w:tr w:rsidR="00737A3A" w:rsidRPr="00A019E2" w:rsidTr="00AD62DD">
        <w:tc>
          <w:tcPr>
            <w:tcW w:w="5211" w:type="dxa"/>
          </w:tcPr>
          <w:p w:rsidR="00737A3A" w:rsidRPr="00A019E2" w:rsidRDefault="003A1363" w:rsidP="002A556F">
            <w:pPr>
              <w:autoSpaceDE w:val="0"/>
              <w:autoSpaceDN w:val="0"/>
              <w:adjustRightInd w:val="0"/>
              <w:spacing w:line="196" w:lineRule="atLeast"/>
              <w:ind w:left="720"/>
              <w:rPr>
                <w:sz w:val="20"/>
                <w:lang w:val="en-AU"/>
              </w:rPr>
            </w:pPr>
            <w:r w:rsidRPr="003A1363">
              <w:rPr>
                <w:sz w:val="20"/>
                <w:lang w:val="en-AU"/>
              </w:rPr>
              <w:t>Cytomegalovirus infection</w:t>
            </w:r>
          </w:p>
        </w:tc>
        <w:tc>
          <w:tcPr>
            <w:tcW w:w="4076" w:type="dxa"/>
          </w:tcPr>
          <w:p w:rsidR="00737A3A" w:rsidRPr="00A019E2" w:rsidRDefault="003A1363" w:rsidP="002A556F">
            <w:pPr>
              <w:autoSpaceDE w:val="0"/>
              <w:autoSpaceDN w:val="0"/>
              <w:adjustRightInd w:val="0"/>
              <w:spacing w:line="196" w:lineRule="atLeast"/>
              <w:jc w:val="center"/>
              <w:rPr>
                <w:sz w:val="20"/>
                <w:lang w:val="en-AU"/>
              </w:rPr>
            </w:pPr>
            <w:r w:rsidRPr="003A1363">
              <w:rPr>
                <w:sz w:val="20"/>
                <w:lang w:val="en-AU"/>
              </w:rPr>
              <w:t>5 (5)</w:t>
            </w:r>
          </w:p>
        </w:tc>
      </w:tr>
      <w:tr w:rsidR="002A556F" w:rsidRPr="00A019E2" w:rsidTr="002A556F">
        <w:tc>
          <w:tcPr>
            <w:tcW w:w="9287" w:type="dxa"/>
            <w:gridSpan w:val="2"/>
          </w:tcPr>
          <w:p w:rsidR="002A556F" w:rsidRPr="00A019E2" w:rsidRDefault="003A1363" w:rsidP="002A556F">
            <w:pPr>
              <w:autoSpaceDE w:val="0"/>
              <w:autoSpaceDN w:val="0"/>
              <w:adjustRightInd w:val="0"/>
              <w:spacing w:line="196" w:lineRule="atLeast"/>
              <w:rPr>
                <w:b/>
                <w:sz w:val="20"/>
                <w:lang w:val="en-AU"/>
              </w:rPr>
            </w:pPr>
            <w:r w:rsidRPr="003A1363">
              <w:rPr>
                <w:b/>
                <w:sz w:val="20"/>
                <w:lang w:val="en-AU"/>
              </w:rPr>
              <w:t>Investigations</w:t>
            </w:r>
          </w:p>
        </w:tc>
      </w:tr>
      <w:tr w:rsidR="00737A3A" w:rsidRPr="00A019E2" w:rsidTr="00AD62DD">
        <w:tc>
          <w:tcPr>
            <w:tcW w:w="5211" w:type="dxa"/>
          </w:tcPr>
          <w:p w:rsidR="00737A3A" w:rsidRPr="00A019E2" w:rsidRDefault="003A1363" w:rsidP="002A556F">
            <w:pPr>
              <w:autoSpaceDE w:val="0"/>
              <w:autoSpaceDN w:val="0"/>
              <w:adjustRightInd w:val="0"/>
              <w:spacing w:line="196" w:lineRule="atLeast"/>
              <w:ind w:left="720"/>
              <w:rPr>
                <w:sz w:val="20"/>
                <w:lang w:val="en-AU"/>
              </w:rPr>
            </w:pPr>
            <w:r w:rsidRPr="003A1363">
              <w:rPr>
                <w:sz w:val="20"/>
                <w:lang w:val="en-AU"/>
              </w:rPr>
              <w:t xml:space="preserve">Weight decreased </w:t>
            </w:r>
          </w:p>
        </w:tc>
        <w:tc>
          <w:tcPr>
            <w:tcW w:w="4076" w:type="dxa"/>
          </w:tcPr>
          <w:p w:rsidR="00737A3A" w:rsidRPr="00A019E2" w:rsidRDefault="003A1363" w:rsidP="002A556F">
            <w:pPr>
              <w:autoSpaceDE w:val="0"/>
              <w:autoSpaceDN w:val="0"/>
              <w:adjustRightInd w:val="0"/>
              <w:spacing w:line="196" w:lineRule="atLeast"/>
              <w:jc w:val="center"/>
              <w:rPr>
                <w:sz w:val="20"/>
                <w:lang w:val="en-AU"/>
              </w:rPr>
            </w:pPr>
            <w:r w:rsidRPr="003A1363">
              <w:rPr>
                <w:sz w:val="20"/>
                <w:lang w:val="en-AU"/>
              </w:rPr>
              <w:t>20 (20)</w:t>
            </w:r>
          </w:p>
        </w:tc>
      </w:tr>
      <w:tr w:rsidR="00737A3A" w:rsidRPr="00A019E2" w:rsidTr="00AD62DD">
        <w:tc>
          <w:tcPr>
            <w:tcW w:w="5211" w:type="dxa"/>
          </w:tcPr>
          <w:p w:rsidR="00737A3A" w:rsidRPr="00A019E2" w:rsidRDefault="003A1363" w:rsidP="002A556F">
            <w:pPr>
              <w:autoSpaceDE w:val="0"/>
              <w:autoSpaceDN w:val="0"/>
              <w:adjustRightInd w:val="0"/>
              <w:spacing w:line="196" w:lineRule="atLeast"/>
              <w:ind w:left="720"/>
              <w:rPr>
                <w:sz w:val="20"/>
                <w:lang w:val="en-AU"/>
              </w:rPr>
            </w:pPr>
            <w:r w:rsidRPr="003A1363">
              <w:rPr>
                <w:sz w:val="20"/>
                <w:lang w:val="en-AU"/>
              </w:rPr>
              <w:t>Blood creatinine increased</w:t>
            </w:r>
          </w:p>
        </w:tc>
        <w:tc>
          <w:tcPr>
            <w:tcW w:w="4076" w:type="dxa"/>
          </w:tcPr>
          <w:p w:rsidR="00737A3A" w:rsidRPr="00A019E2" w:rsidRDefault="003A1363" w:rsidP="002A556F">
            <w:pPr>
              <w:autoSpaceDE w:val="0"/>
              <w:autoSpaceDN w:val="0"/>
              <w:adjustRightInd w:val="0"/>
              <w:spacing w:line="196" w:lineRule="atLeast"/>
              <w:jc w:val="center"/>
              <w:rPr>
                <w:sz w:val="20"/>
                <w:lang w:val="en-AU"/>
              </w:rPr>
            </w:pPr>
            <w:r w:rsidRPr="003A1363">
              <w:rPr>
                <w:sz w:val="20"/>
                <w:lang w:val="en-AU"/>
              </w:rPr>
              <w:t>5 (5)</w:t>
            </w:r>
          </w:p>
        </w:tc>
      </w:tr>
      <w:tr w:rsidR="002A556F" w:rsidRPr="00A019E2" w:rsidTr="002A556F">
        <w:tc>
          <w:tcPr>
            <w:tcW w:w="9287" w:type="dxa"/>
            <w:gridSpan w:val="2"/>
          </w:tcPr>
          <w:p w:rsidR="002A556F" w:rsidRPr="00A019E2" w:rsidRDefault="003A1363" w:rsidP="002A556F">
            <w:pPr>
              <w:autoSpaceDE w:val="0"/>
              <w:autoSpaceDN w:val="0"/>
              <w:adjustRightInd w:val="0"/>
              <w:spacing w:line="196" w:lineRule="atLeast"/>
              <w:rPr>
                <w:b/>
                <w:sz w:val="20"/>
                <w:lang w:val="en-AU"/>
              </w:rPr>
            </w:pPr>
            <w:r w:rsidRPr="003A1363">
              <w:rPr>
                <w:b/>
                <w:sz w:val="20"/>
                <w:lang w:val="en-AU"/>
              </w:rPr>
              <w:t>Metabolism &amp; nutrition disorders</w:t>
            </w:r>
          </w:p>
        </w:tc>
      </w:tr>
      <w:tr w:rsidR="00737A3A" w:rsidRPr="00A019E2" w:rsidTr="00AD62DD">
        <w:tc>
          <w:tcPr>
            <w:tcW w:w="5211" w:type="dxa"/>
          </w:tcPr>
          <w:p w:rsidR="00737A3A" w:rsidRPr="00A019E2" w:rsidRDefault="003A1363" w:rsidP="002A556F">
            <w:pPr>
              <w:autoSpaceDE w:val="0"/>
              <w:autoSpaceDN w:val="0"/>
              <w:adjustRightInd w:val="0"/>
              <w:spacing w:line="196" w:lineRule="atLeast"/>
              <w:ind w:left="720"/>
              <w:rPr>
                <w:sz w:val="20"/>
                <w:lang w:val="en-AU"/>
              </w:rPr>
            </w:pPr>
            <w:r w:rsidRPr="003A1363">
              <w:rPr>
                <w:sz w:val="20"/>
                <w:lang w:val="en-AU"/>
              </w:rPr>
              <w:t>Anorexia</w:t>
            </w:r>
          </w:p>
        </w:tc>
        <w:tc>
          <w:tcPr>
            <w:tcW w:w="4076" w:type="dxa"/>
          </w:tcPr>
          <w:p w:rsidR="00737A3A" w:rsidRPr="00A019E2" w:rsidRDefault="003A1363" w:rsidP="002A556F">
            <w:pPr>
              <w:autoSpaceDE w:val="0"/>
              <w:autoSpaceDN w:val="0"/>
              <w:adjustRightInd w:val="0"/>
              <w:spacing w:line="196" w:lineRule="atLeast"/>
              <w:jc w:val="center"/>
              <w:rPr>
                <w:sz w:val="20"/>
                <w:lang w:val="en-AU"/>
              </w:rPr>
            </w:pPr>
            <w:r w:rsidRPr="003A1363">
              <w:rPr>
                <w:sz w:val="20"/>
                <w:lang w:val="en-AU"/>
              </w:rPr>
              <w:t>24 (24)</w:t>
            </w:r>
          </w:p>
        </w:tc>
      </w:tr>
      <w:tr w:rsidR="00737A3A" w:rsidRPr="00A019E2" w:rsidTr="00AD62DD">
        <w:tc>
          <w:tcPr>
            <w:tcW w:w="5211" w:type="dxa"/>
          </w:tcPr>
          <w:p w:rsidR="00737A3A" w:rsidRPr="00A019E2" w:rsidRDefault="003A1363" w:rsidP="008452F4">
            <w:pPr>
              <w:autoSpaceDE w:val="0"/>
              <w:autoSpaceDN w:val="0"/>
              <w:adjustRightInd w:val="0"/>
              <w:spacing w:line="196" w:lineRule="atLeast"/>
              <w:ind w:left="720"/>
              <w:rPr>
                <w:sz w:val="20"/>
                <w:lang w:val="en-AU"/>
              </w:rPr>
            </w:pPr>
            <w:r w:rsidRPr="003A1363">
              <w:rPr>
                <w:sz w:val="20"/>
                <w:lang w:val="en-AU"/>
              </w:rPr>
              <w:lastRenderedPageBreak/>
              <w:t>Dehydration</w:t>
            </w:r>
          </w:p>
        </w:tc>
        <w:tc>
          <w:tcPr>
            <w:tcW w:w="4076" w:type="dxa"/>
          </w:tcPr>
          <w:p w:rsidR="00737A3A" w:rsidRPr="00A019E2" w:rsidRDefault="003A1363" w:rsidP="002A556F">
            <w:pPr>
              <w:autoSpaceDE w:val="0"/>
              <w:autoSpaceDN w:val="0"/>
              <w:adjustRightInd w:val="0"/>
              <w:spacing w:line="196" w:lineRule="atLeast"/>
              <w:jc w:val="center"/>
              <w:rPr>
                <w:sz w:val="20"/>
                <w:lang w:val="en-AU"/>
              </w:rPr>
            </w:pPr>
            <w:r w:rsidRPr="003A1363">
              <w:rPr>
                <w:sz w:val="20"/>
                <w:lang w:val="en-AU"/>
              </w:rPr>
              <w:t>15 (15)</w:t>
            </w:r>
          </w:p>
        </w:tc>
      </w:tr>
      <w:tr w:rsidR="00737A3A" w:rsidRPr="00A019E2" w:rsidTr="00AD62DD">
        <w:tc>
          <w:tcPr>
            <w:tcW w:w="5211" w:type="dxa"/>
          </w:tcPr>
          <w:p w:rsidR="00737A3A" w:rsidRPr="00A019E2" w:rsidRDefault="003A1363" w:rsidP="008452F4">
            <w:pPr>
              <w:autoSpaceDE w:val="0"/>
              <w:autoSpaceDN w:val="0"/>
              <w:adjustRightInd w:val="0"/>
              <w:spacing w:line="196" w:lineRule="atLeast"/>
              <w:ind w:left="720"/>
              <w:rPr>
                <w:sz w:val="20"/>
                <w:lang w:val="en-AU"/>
              </w:rPr>
            </w:pPr>
            <w:r w:rsidRPr="003A1363">
              <w:rPr>
                <w:sz w:val="20"/>
                <w:lang w:val="en-AU"/>
              </w:rPr>
              <w:t>Decreased appetite</w:t>
            </w:r>
          </w:p>
        </w:tc>
        <w:tc>
          <w:tcPr>
            <w:tcW w:w="4076" w:type="dxa"/>
          </w:tcPr>
          <w:p w:rsidR="00737A3A" w:rsidRPr="00A019E2" w:rsidRDefault="003A1363" w:rsidP="002A556F">
            <w:pPr>
              <w:autoSpaceDE w:val="0"/>
              <w:autoSpaceDN w:val="0"/>
              <w:adjustRightInd w:val="0"/>
              <w:spacing w:line="196" w:lineRule="atLeast"/>
              <w:jc w:val="center"/>
              <w:rPr>
                <w:sz w:val="20"/>
                <w:lang w:val="en-AU"/>
              </w:rPr>
            </w:pPr>
            <w:r w:rsidRPr="003A1363">
              <w:rPr>
                <w:sz w:val="20"/>
                <w:lang w:val="en-AU"/>
              </w:rPr>
              <w:t>12 (12)</w:t>
            </w:r>
          </w:p>
        </w:tc>
      </w:tr>
      <w:tr w:rsidR="00737A3A" w:rsidRPr="00A019E2" w:rsidTr="00AD62DD">
        <w:tc>
          <w:tcPr>
            <w:tcW w:w="5211" w:type="dxa"/>
          </w:tcPr>
          <w:p w:rsidR="00737A3A" w:rsidRPr="00A019E2" w:rsidRDefault="003A1363" w:rsidP="008452F4">
            <w:pPr>
              <w:autoSpaceDE w:val="0"/>
              <w:autoSpaceDN w:val="0"/>
              <w:adjustRightInd w:val="0"/>
              <w:spacing w:line="196" w:lineRule="atLeast"/>
              <w:ind w:left="720"/>
              <w:rPr>
                <w:sz w:val="20"/>
                <w:lang w:val="en-AU"/>
              </w:rPr>
            </w:pPr>
            <w:r w:rsidRPr="003A1363">
              <w:rPr>
                <w:sz w:val="20"/>
                <w:lang w:val="en-AU"/>
              </w:rPr>
              <w:t>Hypokalaemia</w:t>
            </w:r>
          </w:p>
        </w:tc>
        <w:tc>
          <w:tcPr>
            <w:tcW w:w="4076" w:type="dxa"/>
          </w:tcPr>
          <w:p w:rsidR="00737A3A" w:rsidRPr="00A019E2" w:rsidRDefault="003A1363" w:rsidP="002A556F">
            <w:pPr>
              <w:autoSpaceDE w:val="0"/>
              <w:autoSpaceDN w:val="0"/>
              <w:adjustRightInd w:val="0"/>
              <w:spacing w:line="196" w:lineRule="atLeast"/>
              <w:jc w:val="center"/>
              <w:rPr>
                <w:sz w:val="20"/>
                <w:lang w:val="en-AU"/>
              </w:rPr>
            </w:pPr>
            <w:r w:rsidRPr="003A1363">
              <w:rPr>
                <w:sz w:val="20"/>
                <w:lang w:val="en-AU"/>
              </w:rPr>
              <w:t>11 (11)</w:t>
            </w:r>
          </w:p>
        </w:tc>
      </w:tr>
      <w:tr w:rsidR="00737A3A" w:rsidRPr="00A019E2" w:rsidTr="00AD62DD">
        <w:tc>
          <w:tcPr>
            <w:tcW w:w="5211" w:type="dxa"/>
          </w:tcPr>
          <w:p w:rsidR="00737A3A" w:rsidRPr="00A019E2" w:rsidRDefault="003A1363" w:rsidP="008452F4">
            <w:pPr>
              <w:autoSpaceDE w:val="0"/>
              <w:autoSpaceDN w:val="0"/>
              <w:adjustRightInd w:val="0"/>
              <w:spacing w:line="196" w:lineRule="atLeast"/>
              <w:ind w:left="720"/>
              <w:rPr>
                <w:sz w:val="20"/>
                <w:lang w:val="en-AU"/>
              </w:rPr>
            </w:pPr>
            <w:r w:rsidRPr="003A1363">
              <w:rPr>
                <w:sz w:val="20"/>
                <w:lang w:val="en-AU"/>
              </w:rPr>
              <w:t>Hypomanesaemia</w:t>
            </w:r>
          </w:p>
        </w:tc>
        <w:tc>
          <w:tcPr>
            <w:tcW w:w="4076" w:type="dxa"/>
          </w:tcPr>
          <w:p w:rsidR="00737A3A" w:rsidRPr="00A019E2" w:rsidRDefault="003A1363" w:rsidP="002A556F">
            <w:pPr>
              <w:autoSpaceDE w:val="0"/>
              <w:autoSpaceDN w:val="0"/>
              <w:adjustRightInd w:val="0"/>
              <w:spacing w:line="196" w:lineRule="atLeast"/>
              <w:jc w:val="center"/>
              <w:rPr>
                <w:sz w:val="20"/>
                <w:lang w:val="en-AU"/>
              </w:rPr>
            </w:pPr>
            <w:r w:rsidRPr="003A1363">
              <w:rPr>
                <w:sz w:val="20"/>
                <w:lang w:val="en-AU"/>
              </w:rPr>
              <w:t>5 (5)</w:t>
            </w:r>
          </w:p>
        </w:tc>
      </w:tr>
      <w:tr w:rsidR="002A556F" w:rsidRPr="00A019E2" w:rsidTr="002A556F">
        <w:tc>
          <w:tcPr>
            <w:tcW w:w="9287" w:type="dxa"/>
            <w:gridSpan w:val="2"/>
          </w:tcPr>
          <w:p w:rsidR="002A556F" w:rsidRPr="00A019E2" w:rsidRDefault="003A1363" w:rsidP="002A556F">
            <w:pPr>
              <w:autoSpaceDE w:val="0"/>
              <w:autoSpaceDN w:val="0"/>
              <w:adjustRightInd w:val="0"/>
              <w:spacing w:line="196" w:lineRule="atLeast"/>
              <w:rPr>
                <w:b/>
                <w:sz w:val="20"/>
                <w:lang w:val="en-AU"/>
              </w:rPr>
            </w:pPr>
            <w:r w:rsidRPr="003A1363">
              <w:rPr>
                <w:b/>
                <w:sz w:val="20"/>
                <w:lang w:val="en-AU"/>
              </w:rPr>
              <w:t>Musculoskeletal &amp; connective tissue disorders</w:t>
            </w:r>
          </w:p>
        </w:tc>
      </w:tr>
      <w:tr w:rsidR="00737A3A" w:rsidRPr="00A019E2" w:rsidTr="00AD62DD">
        <w:tc>
          <w:tcPr>
            <w:tcW w:w="5211" w:type="dxa"/>
          </w:tcPr>
          <w:p w:rsidR="00737A3A" w:rsidRPr="00A019E2" w:rsidRDefault="003A1363" w:rsidP="008452F4">
            <w:pPr>
              <w:autoSpaceDE w:val="0"/>
              <w:autoSpaceDN w:val="0"/>
              <w:adjustRightInd w:val="0"/>
              <w:spacing w:line="196" w:lineRule="atLeast"/>
              <w:ind w:left="720"/>
              <w:rPr>
                <w:sz w:val="20"/>
                <w:lang w:val="en-AU"/>
              </w:rPr>
            </w:pPr>
            <w:r w:rsidRPr="003A1363">
              <w:rPr>
                <w:sz w:val="20"/>
                <w:lang w:val="en-AU"/>
              </w:rPr>
              <w:t>Back pain</w:t>
            </w:r>
          </w:p>
        </w:tc>
        <w:tc>
          <w:tcPr>
            <w:tcW w:w="4076" w:type="dxa"/>
          </w:tcPr>
          <w:p w:rsidR="00737A3A" w:rsidRPr="00A019E2" w:rsidRDefault="003A1363" w:rsidP="002A556F">
            <w:pPr>
              <w:autoSpaceDE w:val="0"/>
              <w:autoSpaceDN w:val="0"/>
              <w:adjustRightInd w:val="0"/>
              <w:spacing w:line="196" w:lineRule="atLeast"/>
              <w:jc w:val="center"/>
              <w:rPr>
                <w:sz w:val="20"/>
                <w:lang w:val="en-AU"/>
              </w:rPr>
            </w:pPr>
            <w:r w:rsidRPr="003A1363">
              <w:rPr>
                <w:sz w:val="20"/>
                <w:lang w:val="en-AU"/>
              </w:rPr>
              <w:t>13 (13)</w:t>
            </w:r>
          </w:p>
        </w:tc>
      </w:tr>
      <w:tr w:rsidR="00737A3A" w:rsidRPr="00A019E2" w:rsidTr="00AD62DD">
        <w:tc>
          <w:tcPr>
            <w:tcW w:w="5211" w:type="dxa"/>
          </w:tcPr>
          <w:p w:rsidR="00737A3A" w:rsidRPr="00A019E2" w:rsidRDefault="003A1363" w:rsidP="008452F4">
            <w:pPr>
              <w:autoSpaceDE w:val="0"/>
              <w:autoSpaceDN w:val="0"/>
              <w:adjustRightInd w:val="0"/>
              <w:spacing w:line="196" w:lineRule="atLeast"/>
              <w:ind w:left="720"/>
              <w:rPr>
                <w:sz w:val="20"/>
                <w:lang w:val="en-AU"/>
              </w:rPr>
            </w:pPr>
            <w:r w:rsidRPr="003A1363">
              <w:rPr>
                <w:sz w:val="20"/>
                <w:lang w:val="en-AU"/>
              </w:rPr>
              <w:t>Pain in extremity</w:t>
            </w:r>
          </w:p>
        </w:tc>
        <w:tc>
          <w:tcPr>
            <w:tcW w:w="4076" w:type="dxa"/>
          </w:tcPr>
          <w:p w:rsidR="00737A3A" w:rsidRPr="00A019E2" w:rsidRDefault="003A1363" w:rsidP="002A556F">
            <w:pPr>
              <w:autoSpaceDE w:val="0"/>
              <w:autoSpaceDN w:val="0"/>
              <w:adjustRightInd w:val="0"/>
              <w:spacing w:line="196" w:lineRule="atLeast"/>
              <w:jc w:val="center"/>
              <w:rPr>
                <w:sz w:val="20"/>
                <w:lang w:val="en-AU"/>
              </w:rPr>
            </w:pPr>
            <w:r w:rsidRPr="003A1363">
              <w:rPr>
                <w:sz w:val="20"/>
                <w:lang w:val="en-AU"/>
              </w:rPr>
              <w:t>6 (6)</w:t>
            </w:r>
          </w:p>
        </w:tc>
      </w:tr>
      <w:tr w:rsidR="00737A3A" w:rsidRPr="00A019E2" w:rsidTr="00AD62DD">
        <w:tc>
          <w:tcPr>
            <w:tcW w:w="5211" w:type="dxa"/>
          </w:tcPr>
          <w:p w:rsidR="00737A3A" w:rsidRPr="00A019E2" w:rsidRDefault="00FF3C28" w:rsidP="008452F4">
            <w:pPr>
              <w:ind w:left="720"/>
              <w:rPr>
                <w:sz w:val="20"/>
                <w:lang w:val="en-AU"/>
              </w:rPr>
            </w:pPr>
            <w:r w:rsidRPr="00A019E2">
              <w:rPr>
                <w:sz w:val="20"/>
                <w:lang w:val="en-AU"/>
              </w:rPr>
              <w:t>A</w:t>
            </w:r>
            <w:proofErr w:type="spellStart"/>
            <w:r w:rsidRPr="00FF3C28">
              <w:rPr>
                <w:sz w:val="20"/>
              </w:rPr>
              <w:t>rt</w:t>
            </w:r>
            <w:r w:rsidRPr="00A019E2">
              <w:rPr>
                <w:sz w:val="20"/>
                <w:lang w:val="en-AU"/>
              </w:rPr>
              <w:t>hralgia</w:t>
            </w:r>
            <w:proofErr w:type="spellEnd"/>
          </w:p>
        </w:tc>
        <w:tc>
          <w:tcPr>
            <w:tcW w:w="4076" w:type="dxa"/>
          </w:tcPr>
          <w:p w:rsidR="00737A3A" w:rsidRPr="00A019E2" w:rsidRDefault="00D6316F" w:rsidP="002A556F">
            <w:pPr>
              <w:jc w:val="center"/>
              <w:rPr>
                <w:sz w:val="20"/>
                <w:lang w:val="en-AU"/>
              </w:rPr>
            </w:pPr>
            <w:r w:rsidRPr="00A019E2">
              <w:rPr>
                <w:sz w:val="20"/>
                <w:lang w:val="en-AU"/>
              </w:rPr>
              <w:t>6 (6)</w:t>
            </w:r>
          </w:p>
        </w:tc>
      </w:tr>
      <w:tr w:rsidR="00737A3A" w:rsidRPr="00A019E2" w:rsidTr="00AD62DD">
        <w:tc>
          <w:tcPr>
            <w:tcW w:w="5211" w:type="dxa"/>
          </w:tcPr>
          <w:p w:rsidR="00737A3A" w:rsidRPr="00A019E2" w:rsidRDefault="00D6316F" w:rsidP="008452F4">
            <w:pPr>
              <w:ind w:left="720"/>
              <w:rPr>
                <w:sz w:val="20"/>
                <w:lang w:val="en-AU"/>
              </w:rPr>
            </w:pPr>
            <w:r w:rsidRPr="00A019E2">
              <w:rPr>
                <w:sz w:val="20"/>
                <w:lang w:val="en-AU"/>
              </w:rPr>
              <w:t>Bone pain</w:t>
            </w:r>
          </w:p>
        </w:tc>
        <w:tc>
          <w:tcPr>
            <w:tcW w:w="4076" w:type="dxa"/>
          </w:tcPr>
          <w:p w:rsidR="00737A3A" w:rsidRPr="00A019E2" w:rsidRDefault="00D6316F" w:rsidP="002A556F">
            <w:pPr>
              <w:jc w:val="center"/>
              <w:rPr>
                <w:sz w:val="20"/>
                <w:lang w:val="en-AU"/>
              </w:rPr>
            </w:pPr>
            <w:r w:rsidRPr="00A019E2">
              <w:rPr>
                <w:sz w:val="20"/>
                <w:lang w:val="en-AU"/>
              </w:rPr>
              <w:t>5 (5)</w:t>
            </w:r>
          </w:p>
        </w:tc>
      </w:tr>
      <w:tr w:rsidR="00737A3A" w:rsidRPr="00A019E2" w:rsidTr="00AD62DD">
        <w:tc>
          <w:tcPr>
            <w:tcW w:w="5211" w:type="dxa"/>
          </w:tcPr>
          <w:p w:rsidR="00737A3A" w:rsidRPr="00A019E2" w:rsidRDefault="00703F2B" w:rsidP="008452F4">
            <w:pPr>
              <w:ind w:left="720"/>
              <w:rPr>
                <w:sz w:val="20"/>
                <w:lang w:val="en-AU"/>
              </w:rPr>
            </w:pPr>
            <w:r>
              <w:rPr>
                <w:sz w:val="20"/>
                <w:lang w:val="en-AU"/>
              </w:rPr>
              <w:t>My</w:t>
            </w:r>
            <w:r w:rsidR="00D6316F" w:rsidRPr="00A019E2">
              <w:rPr>
                <w:sz w:val="20"/>
                <w:lang w:val="en-AU"/>
              </w:rPr>
              <w:t>a</w:t>
            </w:r>
            <w:r>
              <w:rPr>
                <w:sz w:val="20"/>
                <w:lang w:val="en-AU"/>
              </w:rPr>
              <w:t>l</w:t>
            </w:r>
            <w:r w:rsidR="00D6316F" w:rsidRPr="00A019E2">
              <w:rPr>
                <w:sz w:val="20"/>
                <w:lang w:val="en-AU"/>
              </w:rPr>
              <w:t>gia</w:t>
            </w:r>
          </w:p>
        </w:tc>
        <w:tc>
          <w:tcPr>
            <w:tcW w:w="4076" w:type="dxa"/>
          </w:tcPr>
          <w:p w:rsidR="00737A3A" w:rsidRPr="00A019E2" w:rsidRDefault="00D6316F" w:rsidP="002A556F">
            <w:pPr>
              <w:jc w:val="center"/>
              <w:rPr>
                <w:sz w:val="20"/>
                <w:lang w:val="en-AU"/>
              </w:rPr>
            </w:pPr>
            <w:r w:rsidRPr="00A019E2">
              <w:rPr>
                <w:sz w:val="20"/>
                <w:lang w:val="en-AU"/>
              </w:rPr>
              <w:t>5 (5)</w:t>
            </w:r>
          </w:p>
        </w:tc>
      </w:tr>
      <w:tr w:rsidR="002A556F" w:rsidRPr="00A019E2" w:rsidTr="002A556F">
        <w:tc>
          <w:tcPr>
            <w:tcW w:w="9287" w:type="dxa"/>
            <w:gridSpan w:val="2"/>
          </w:tcPr>
          <w:p w:rsidR="002A556F" w:rsidRPr="00A019E2" w:rsidRDefault="00D6316F" w:rsidP="002A556F">
            <w:pPr>
              <w:rPr>
                <w:b/>
                <w:sz w:val="20"/>
                <w:lang w:val="en-AU"/>
              </w:rPr>
            </w:pPr>
            <w:r w:rsidRPr="00A019E2">
              <w:rPr>
                <w:b/>
                <w:sz w:val="20"/>
                <w:lang w:val="en-AU"/>
              </w:rPr>
              <w:t>Nervous system disorders</w:t>
            </w:r>
          </w:p>
        </w:tc>
      </w:tr>
      <w:tr w:rsidR="00737A3A" w:rsidRPr="00A019E2" w:rsidTr="00AD62DD">
        <w:tc>
          <w:tcPr>
            <w:tcW w:w="5211" w:type="dxa"/>
          </w:tcPr>
          <w:p w:rsidR="00737A3A" w:rsidRPr="00A019E2" w:rsidRDefault="00D6316F" w:rsidP="008452F4">
            <w:pPr>
              <w:ind w:left="720"/>
              <w:rPr>
                <w:sz w:val="20"/>
                <w:lang w:val="en-AU"/>
              </w:rPr>
            </w:pPr>
            <w:r w:rsidRPr="00A019E2">
              <w:rPr>
                <w:sz w:val="20"/>
                <w:lang w:val="en-AU"/>
              </w:rPr>
              <w:t>Headache</w:t>
            </w:r>
          </w:p>
        </w:tc>
        <w:tc>
          <w:tcPr>
            <w:tcW w:w="4076" w:type="dxa"/>
          </w:tcPr>
          <w:p w:rsidR="00737A3A" w:rsidRPr="00A019E2" w:rsidRDefault="00D6316F" w:rsidP="002A556F">
            <w:pPr>
              <w:jc w:val="center"/>
              <w:rPr>
                <w:sz w:val="20"/>
                <w:lang w:val="en-AU"/>
              </w:rPr>
            </w:pPr>
            <w:r w:rsidRPr="00A019E2">
              <w:rPr>
                <w:sz w:val="20"/>
                <w:lang w:val="en-AU"/>
              </w:rPr>
              <w:t>21 (21)</w:t>
            </w:r>
          </w:p>
        </w:tc>
      </w:tr>
      <w:tr w:rsidR="00737A3A" w:rsidRPr="00A019E2" w:rsidTr="00AD62DD">
        <w:tc>
          <w:tcPr>
            <w:tcW w:w="5211" w:type="dxa"/>
          </w:tcPr>
          <w:p w:rsidR="00737A3A" w:rsidRPr="00A019E2" w:rsidRDefault="00D6316F" w:rsidP="008452F4">
            <w:pPr>
              <w:ind w:left="720"/>
              <w:rPr>
                <w:sz w:val="20"/>
                <w:lang w:val="en-AU"/>
              </w:rPr>
            </w:pPr>
            <w:r w:rsidRPr="00A019E2">
              <w:rPr>
                <w:sz w:val="20"/>
                <w:lang w:val="en-AU"/>
              </w:rPr>
              <w:t>Dizziness</w:t>
            </w:r>
          </w:p>
        </w:tc>
        <w:tc>
          <w:tcPr>
            <w:tcW w:w="4076" w:type="dxa"/>
          </w:tcPr>
          <w:p w:rsidR="00737A3A" w:rsidRPr="00A019E2" w:rsidRDefault="00D6316F" w:rsidP="002A556F">
            <w:pPr>
              <w:jc w:val="center"/>
              <w:rPr>
                <w:sz w:val="20"/>
                <w:lang w:val="en-AU"/>
              </w:rPr>
            </w:pPr>
            <w:r w:rsidRPr="00A019E2">
              <w:rPr>
                <w:sz w:val="20"/>
                <w:lang w:val="en-AU"/>
              </w:rPr>
              <w:t>15 (15)</w:t>
            </w:r>
          </w:p>
        </w:tc>
      </w:tr>
      <w:tr w:rsidR="00737A3A" w:rsidRPr="00A019E2" w:rsidTr="00AD62DD">
        <w:tc>
          <w:tcPr>
            <w:tcW w:w="5211" w:type="dxa"/>
          </w:tcPr>
          <w:p w:rsidR="00737A3A" w:rsidRPr="00A019E2" w:rsidRDefault="00D6316F" w:rsidP="008452F4">
            <w:pPr>
              <w:ind w:left="720"/>
              <w:rPr>
                <w:sz w:val="20"/>
                <w:lang w:val="en-AU"/>
              </w:rPr>
            </w:pPr>
            <w:r w:rsidRPr="00A019E2">
              <w:rPr>
                <w:sz w:val="20"/>
                <w:lang w:val="en-AU"/>
              </w:rPr>
              <w:t>Dysgeusia</w:t>
            </w:r>
          </w:p>
        </w:tc>
        <w:tc>
          <w:tcPr>
            <w:tcW w:w="4076" w:type="dxa"/>
          </w:tcPr>
          <w:p w:rsidR="00737A3A" w:rsidRPr="00A019E2" w:rsidRDefault="00D6316F" w:rsidP="002A556F">
            <w:pPr>
              <w:jc w:val="center"/>
              <w:rPr>
                <w:sz w:val="20"/>
                <w:lang w:val="en-AU"/>
              </w:rPr>
            </w:pPr>
            <w:r w:rsidRPr="00A019E2">
              <w:rPr>
                <w:sz w:val="20"/>
                <w:lang w:val="en-AU"/>
              </w:rPr>
              <w:t>11 (11)</w:t>
            </w:r>
          </w:p>
        </w:tc>
      </w:tr>
      <w:tr w:rsidR="002A556F" w:rsidRPr="00A019E2" w:rsidTr="002A556F">
        <w:tc>
          <w:tcPr>
            <w:tcW w:w="9287" w:type="dxa"/>
            <w:gridSpan w:val="2"/>
          </w:tcPr>
          <w:p w:rsidR="002A556F" w:rsidRPr="00A019E2" w:rsidRDefault="00D6316F" w:rsidP="002A556F">
            <w:pPr>
              <w:rPr>
                <w:b/>
                <w:sz w:val="20"/>
                <w:lang w:val="en-AU"/>
              </w:rPr>
            </w:pPr>
            <w:r w:rsidRPr="00A019E2">
              <w:rPr>
                <w:b/>
                <w:sz w:val="20"/>
                <w:lang w:val="en-AU"/>
              </w:rPr>
              <w:t>Psychiatric disorders</w:t>
            </w:r>
          </w:p>
        </w:tc>
      </w:tr>
      <w:tr w:rsidR="00737A3A" w:rsidRPr="00A019E2" w:rsidTr="00AD62DD">
        <w:tc>
          <w:tcPr>
            <w:tcW w:w="5211" w:type="dxa"/>
          </w:tcPr>
          <w:p w:rsidR="00737A3A" w:rsidRPr="00A019E2" w:rsidRDefault="00D6316F" w:rsidP="008452F4">
            <w:pPr>
              <w:ind w:left="720"/>
              <w:rPr>
                <w:sz w:val="20"/>
                <w:lang w:val="en-AU"/>
              </w:rPr>
            </w:pPr>
            <w:r w:rsidRPr="00A019E2">
              <w:rPr>
                <w:sz w:val="20"/>
                <w:lang w:val="en-AU"/>
              </w:rPr>
              <w:t>Insomnia</w:t>
            </w:r>
          </w:p>
        </w:tc>
        <w:tc>
          <w:tcPr>
            <w:tcW w:w="4076" w:type="dxa"/>
          </w:tcPr>
          <w:p w:rsidR="00737A3A" w:rsidRPr="00A019E2" w:rsidRDefault="00D6316F" w:rsidP="002A556F">
            <w:pPr>
              <w:jc w:val="center"/>
              <w:rPr>
                <w:sz w:val="20"/>
                <w:lang w:val="en-AU"/>
              </w:rPr>
            </w:pPr>
            <w:r w:rsidRPr="00A019E2">
              <w:rPr>
                <w:sz w:val="20"/>
                <w:lang w:val="en-AU"/>
              </w:rPr>
              <w:t>15 (15)</w:t>
            </w:r>
          </w:p>
        </w:tc>
      </w:tr>
      <w:tr w:rsidR="00737A3A" w:rsidRPr="00A019E2" w:rsidTr="00AD62DD">
        <w:tc>
          <w:tcPr>
            <w:tcW w:w="5211" w:type="dxa"/>
          </w:tcPr>
          <w:p w:rsidR="00737A3A" w:rsidRPr="00A019E2" w:rsidRDefault="00D6316F" w:rsidP="008452F4">
            <w:pPr>
              <w:ind w:left="720"/>
              <w:rPr>
                <w:sz w:val="20"/>
                <w:lang w:val="en-AU"/>
              </w:rPr>
            </w:pPr>
            <w:r w:rsidRPr="00A019E2">
              <w:rPr>
                <w:sz w:val="20"/>
                <w:lang w:val="en-AU"/>
              </w:rPr>
              <w:t>Anxiety</w:t>
            </w:r>
          </w:p>
        </w:tc>
        <w:tc>
          <w:tcPr>
            <w:tcW w:w="4076" w:type="dxa"/>
          </w:tcPr>
          <w:p w:rsidR="00737A3A" w:rsidRPr="00A019E2" w:rsidRDefault="00D6316F" w:rsidP="002A556F">
            <w:pPr>
              <w:jc w:val="center"/>
              <w:rPr>
                <w:sz w:val="20"/>
                <w:lang w:val="en-AU"/>
              </w:rPr>
            </w:pPr>
            <w:r w:rsidRPr="00A019E2">
              <w:rPr>
                <w:sz w:val="20"/>
                <w:lang w:val="en-AU"/>
              </w:rPr>
              <w:t>8 (8)</w:t>
            </w:r>
          </w:p>
        </w:tc>
      </w:tr>
      <w:tr w:rsidR="00737A3A" w:rsidRPr="00A019E2" w:rsidTr="00AD62DD">
        <w:tc>
          <w:tcPr>
            <w:tcW w:w="5211" w:type="dxa"/>
          </w:tcPr>
          <w:p w:rsidR="00737A3A" w:rsidRPr="00A019E2" w:rsidRDefault="00D6316F" w:rsidP="008452F4">
            <w:pPr>
              <w:ind w:left="720"/>
              <w:rPr>
                <w:sz w:val="20"/>
                <w:lang w:val="en-AU"/>
              </w:rPr>
            </w:pPr>
            <w:r w:rsidRPr="00A019E2">
              <w:rPr>
                <w:sz w:val="20"/>
                <w:lang w:val="en-AU"/>
              </w:rPr>
              <w:t>Depression</w:t>
            </w:r>
          </w:p>
        </w:tc>
        <w:tc>
          <w:tcPr>
            <w:tcW w:w="4076" w:type="dxa"/>
          </w:tcPr>
          <w:p w:rsidR="00737A3A" w:rsidRPr="00A019E2" w:rsidRDefault="00D6316F" w:rsidP="002A556F">
            <w:pPr>
              <w:jc w:val="center"/>
              <w:rPr>
                <w:sz w:val="20"/>
                <w:lang w:val="en-AU"/>
              </w:rPr>
            </w:pPr>
            <w:r w:rsidRPr="00A019E2">
              <w:rPr>
                <w:sz w:val="20"/>
                <w:lang w:val="en-AU"/>
              </w:rPr>
              <w:t>5 (5)</w:t>
            </w:r>
          </w:p>
        </w:tc>
      </w:tr>
      <w:tr w:rsidR="002A556F" w:rsidRPr="00A019E2" w:rsidTr="002A556F">
        <w:tc>
          <w:tcPr>
            <w:tcW w:w="9287" w:type="dxa"/>
            <w:gridSpan w:val="2"/>
          </w:tcPr>
          <w:p w:rsidR="002A556F" w:rsidRPr="00A019E2" w:rsidRDefault="00D6316F" w:rsidP="002A556F">
            <w:pPr>
              <w:rPr>
                <w:b/>
                <w:sz w:val="20"/>
                <w:lang w:val="en-AU"/>
              </w:rPr>
            </w:pPr>
            <w:r w:rsidRPr="00A019E2">
              <w:rPr>
                <w:b/>
                <w:sz w:val="20"/>
                <w:lang w:val="en-AU"/>
              </w:rPr>
              <w:t>Respiratory, thoracic &amp; mediastinal disorders</w:t>
            </w:r>
          </w:p>
        </w:tc>
      </w:tr>
      <w:tr w:rsidR="00737A3A" w:rsidRPr="00A019E2" w:rsidTr="00AD62DD">
        <w:tc>
          <w:tcPr>
            <w:tcW w:w="5211" w:type="dxa"/>
          </w:tcPr>
          <w:p w:rsidR="00737A3A" w:rsidRPr="00A019E2" w:rsidRDefault="00D6316F" w:rsidP="008452F4">
            <w:pPr>
              <w:ind w:left="720"/>
              <w:rPr>
                <w:sz w:val="20"/>
                <w:lang w:val="en-AU"/>
              </w:rPr>
            </w:pPr>
            <w:r w:rsidRPr="00A019E2">
              <w:rPr>
                <w:sz w:val="20"/>
                <w:lang w:val="en-AU"/>
              </w:rPr>
              <w:t>Dyspnoea</w:t>
            </w:r>
          </w:p>
        </w:tc>
        <w:tc>
          <w:tcPr>
            <w:tcW w:w="4076" w:type="dxa"/>
          </w:tcPr>
          <w:p w:rsidR="00737A3A" w:rsidRPr="00A019E2" w:rsidRDefault="00D6316F" w:rsidP="002A556F">
            <w:pPr>
              <w:jc w:val="center"/>
              <w:rPr>
                <w:sz w:val="20"/>
                <w:lang w:val="en-AU"/>
              </w:rPr>
            </w:pPr>
            <w:r w:rsidRPr="00A019E2">
              <w:rPr>
                <w:sz w:val="20"/>
                <w:lang w:val="en-AU"/>
              </w:rPr>
              <w:t>17 (17)</w:t>
            </w:r>
          </w:p>
        </w:tc>
      </w:tr>
      <w:tr w:rsidR="00737A3A" w:rsidRPr="00A019E2" w:rsidTr="00AD62DD">
        <w:tc>
          <w:tcPr>
            <w:tcW w:w="5211" w:type="dxa"/>
          </w:tcPr>
          <w:p w:rsidR="00737A3A" w:rsidRPr="00A019E2" w:rsidRDefault="00D6316F" w:rsidP="008452F4">
            <w:pPr>
              <w:ind w:left="720"/>
              <w:rPr>
                <w:sz w:val="20"/>
                <w:lang w:val="en-AU"/>
              </w:rPr>
            </w:pPr>
            <w:r w:rsidRPr="00A019E2">
              <w:rPr>
                <w:sz w:val="20"/>
                <w:lang w:val="en-AU"/>
              </w:rPr>
              <w:t>Cough</w:t>
            </w:r>
          </w:p>
        </w:tc>
        <w:tc>
          <w:tcPr>
            <w:tcW w:w="4076" w:type="dxa"/>
          </w:tcPr>
          <w:p w:rsidR="00737A3A" w:rsidRPr="00A019E2" w:rsidRDefault="00D6316F" w:rsidP="002A556F">
            <w:pPr>
              <w:jc w:val="center"/>
              <w:rPr>
                <w:sz w:val="20"/>
                <w:lang w:val="en-AU"/>
              </w:rPr>
            </w:pPr>
            <w:r w:rsidRPr="00A019E2">
              <w:rPr>
                <w:sz w:val="20"/>
                <w:lang w:val="en-AU"/>
              </w:rPr>
              <w:t>16 (16)</w:t>
            </w:r>
          </w:p>
        </w:tc>
      </w:tr>
      <w:tr w:rsidR="00737A3A" w:rsidRPr="00A019E2" w:rsidTr="00AD62DD">
        <w:tc>
          <w:tcPr>
            <w:tcW w:w="5211" w:type="dxa"/>
          </w:tcPr>
          <w:p w:rsidR="00737A3A" w:rsidRPr="00A019E2" w:rsidRDefault="00D6316F" w:rsidP="008452F4">
            <w:pPr>
              <w:ind w:left="720"/>
              <w:rPr>
                <w:sz w:val="20"/>
                <w:lang w:val="en-AU"/>
              </w:rPr>
            </w:pPr>
            <w:r w:rsidRPr="00A019E2">
              <w:rPr>
                <w:sz w:val="20"/>
                <w:lang w:val="en-AU"/>
              </w:rPr>
              <w:t>Pharyngolaryngeal pain</w:t>
            </w:r>
          </w:p>
        </w:tc>
        <w:tc>
          <w:tcPr>
            <w:tcW w:w="4076" w:type="dxa"/>
          </w:tcPr>
          <w:p w:rsidR="00737A3A" w:rsidRPr="00A019E2" w:rsidRDefault="00D6316F" w:rsidP="002A556F">
            <w:pPr>
              <w:jc w:val="center"/>
              <w:rPr>
                <w:sz w:val="20"/>
                <w:lang w:val="en-AU"/>
              </w:rPr>
            </w:pPr>
            <w:r w:rsidRPr="00A019E2">
              <w:rPr>
                <w:sz w:val="20"/>
                <w:lang w:val="en-AU"/>
              </w:rPr>
              <w:t>10 (10)</w:t>
            </w:r>
          </w:p>
        </w:tc>
      </w:tr>
      <w:tr w:rsidR="002A556F" w:rsidRPr="00A019E2" w:rsidTr="00AD62DD">
        <w:tc>
          <w:tcPr>
            <w:tcW w:w="5211" w:type="dxa"/>
          </w:tcPr>
          <w:p w:rsidR="002A556F" w:rsidRPr="00A019E2" w:rsidRDefault="00D6316F" w:rsidP="008452F4">
            <w:pPr>
              <w:ind w:left="720"/>
              <w:rPr>
                <w:sz w:val="20"/>
                <w:lang w:val="en-AU"/>
              </w:rPr>
            </w:pPr>
            <w:r w:rsidRPr="00A019E2">
              <w:rPr>
                <w:sz w:val="20"/>
                <w:lang w:val="en-AU"/>
              </w:rPr>
              <w:t>Nasal congestion</w:t>
            </w:r>
          </w:p>
        </w:tc>
        <w:tc>
          <w:tcPr>
            <w:tcW w:w="4076" w:type="dxa"/>
          </w:tcPr>
          <w:p w:rsidR="002A556F" w:rsidRPr="00A019E2" w:rsidRDefault="00D6316F" w:rsidP="002A556F">
            <w:pPr>
              <w:jc w:val="center"/>
              <w:rPr>
                <w:sz w:val="20"/>
                <w:lang w:val="en-AU"/>
              </w:rPr>
            </w:pPr>
            <w:r w:rsidRPr="00A019E2">
              <w:rPr>
                <w:sz w:val="20"/>
                <w:lang w:val="en-AU"/>
              </w:rPr>
              <w:t>5 (5)</w:t>
            </w:r>
          </w:p>
        </w:tc>
      </w:tr>
      <w:tr w:rsidR="002A556F" w:rsidRPr="00A019E2" w:rsidTr="002A556F">
        <w:tc>
          <w:tcPr>
            <w:tcW w:w="9287" w:type="dxa"/>
            <w:gridSpan w:val="2"/>
          </w:tcPr>
          <w:p w:rsidR="002A556F" w:rsidRPr="00A019E2" w:rsidRDefault="00D6316F" w:rsidP="002A556F">
            <w:pPr>
              <w:rPr>
                <w:b/>
                <w:sz w:val="20"/>
                <w:lang w:val="en-AU"/>
              </w:rPr>
            </w:pPr>
            <w:r w:rsidRPr="00A019E2">
              <w:rPr>
                <w:b/>
                <w:sz w:val="20"/>
                <w:lang w:val="en-AU"/>
              </w:rPr>
              <w:t>Skin &amp; subcutaneous tissue disorders</w:t>
            </w:r>
          </w:p>
        </w:tc>
      </w:tr>
      <w:tr w:rsidR="002A556F" w:rsidRPr="00A019E2" w:rsidTr="00AD62DD">
        <w:tc>
          <w:tcPr>
            <w:tcW w:w="5211" w:type="dxa"/>
          </w:tcPr>
          <w:p w:rsidR="002A556F" w:rsidRPr="00A019E2" w:rsidRDefault="00D6316F" w:rsidP="008452F4">
            <w:pPr>
              <w:ind w:left="720"/>
              <w:rPr>
                <w:sz w:val="20"/>
                <w:lang w:val="en-AU"/>
              </w:rPr>
            </w:pPr>
            <w:r w:rsidRPr="00A019E2">
              <w:rPr>
                <w:sz w:val="20"/>
                <w:lang w:val="en-AU"/>
              </w:rPr>
              <w:t>Rash</w:t>
            </w:r>
          </w:p>
        </w:tc>
        <w:tc>
          <w:tcPr>
            <w:tcW w:w="4076" w:type="dxa"/>
          </w:tcPr>
          <w:p w:rsidR="002A556F" w:rsidRPr="00A019E2" w:rsidRDefault="00D6316F" w:rsidP="002A556F">
            <w:pPr>
              <w:jc w:val="center"/>
              <w:rPr>
                <w:sz w:val="20"/>
                <w:lang w:val="en-AU"/>
              </w:rPr>
            </w:pPr>
            <w:r w:rsidRPr="00A019E2">
              <w:rPr>
                <w:sz w:val="20"/>
                <w:lang w:val="en-AU"/>
              </w:rPr>
              <w:t>15 (15)</w:t>
            </w:r>
          </w:p>
        </w:tc>
      </w:tr>
      <w:tr w:rsidR="002A556F" w:rsidRPr="00A019E2" w:rsidTr="00AD62DD">
        <w:tc>
          <w:tcPr>
            <w:tcW w:w="5211" w:type="dxa"/>
          </w:tcPr>
          <w:p w:rsidR="002A556F" w:rsidRPr="00A019E2" w:rsidRDefault="00D6316F" w:rsidP="008452F4">
            <w:pPr>
              <w:ind w:left="720"/>
              <w:rPr>
                <w:sz w:val="20"/>
                <w:lang w:val="en-AU"/>
              </w:rPr>
            </w:pPr>
            <w:r w:rsidRPr="00A019E2">
              <w:rPr>
                <w:sz w:val="20"/>
                <w:lang w:val="en-AU"/>
              </w:rPr>
              <w:t>Dry skin</w:t>
            </w:r>
          </w:p>
        </w:tc>
        <w:tc>
          <w:tcPr>
            <w:tcW w:w="4076" w:type="dxa"/>
          </w:tcPr>
          <w:p w:rsidR="002A556F" w:rsidRPr="00A019E2" w:rsidRDefault="00D6316F" w:rsidP="002A556F">
            <w:pPr>
              <w:jc w:val="center"/>
              <w:rPr>
                <w:sz w:val="20"/>
                <w:lang w:val="en-AU"/>
              </w:rPr>
            </w:pPr>
            <w:r w:rsidRPr="00A019E2">
              <w:rPr>
                <w:sz w:val="20"/>
                <w:lang w:val="en-AU"/>
              </w:rPr>
              <w:t>7 (7)</w:t>
            </w:r>
          </w:p>
        </w:tc>
      </w:tr>
      <w:tr w:rsidR="002A556F" w:rsidRPr="00A019E2" w:rsidTr="00AD62DD">
        <w:tc>
          <w:tcPr>
            <w:tcW w:w="5211" w:type="dxa"/>
          </w:tcPr>
          <w:p w:rsidR="002A556F" w:rsidRPr="00A019E2" w:rsidRDefault="00D6316F" w:rsidP="008452F4">
            <w:pPr>
              <w:ind w:left="720"/>
              <w:rPr>
                <w:sz w:val="20"/>
                <w:lang w:val="en-AU"/>
              </w:rPr>
            </w:pPr>
            <w:r w:rsidRPr="00A019E2">
              <w:rPr>
                <w:sz w:val="20"/>
                <w:lang w:val="en-AU"/>
              </w:rPr>
              <w:t>Pruritus</w:t>
            </w:r>
          </w:p>
        </w:tc>
        <w:tc>
          <w:tcPr>
            <w:tcW w:w="4076" w:type="dxa"/>
          </w:tcPr>
          <w:p w:rsidR="002A556F" w:rsidRPr="00A019E2" w:rsidRDefault="00D6316F" w:rsidP="002A556F">
            <w:pPr>
              <w:jc w:val="center"/>
              <w:rPr>
                <w:sz w:val="20"/>
                <w:lang w:val="en-AU"/>
              </w:rPr>
            </w:pPr>
            <w:r w:rsidRPr="00A019E2">
              <w:rPr>
                <w:sz w:val="20"/>
                <w:lang w:val="en-AU"/>
              </w:rPr>
              <w:t>6 (6)</w:t>
            </w:r>
          </w:p>
        </w:tc>
      </w:tr>
      <w:tr w:rsidR="002A556F" w:rsidRPr="00A019E2" w:rsidTr="00AD62DD">
        <w:tc>
          <w:tcPr>
            <w:tcW w:w="5211" w:type="dxa"/>
          </w:tcPr>
          <w:p w:rsidR="002A556F" w:rsidRPr="00A019E2" w:rsidRDefault="00D6316F" w:rsidP="008452F4">
            <w:pPr>
              <w:ind w:left="720"/>
              <w:rPr>
                <w:sz w:val="20"/>
                <w:lang w:val="en-AU"/>
              </w:rPr>
            </w:pPr>
            <w:r w:rsidRPr="00A019E2">
              <w:rPr>
                <w:sz w:val="20"/>
                <w:lang w:val="en-AU"/>
              </w:rPr>
              <w:lastRenderedPageBreak/>
              <w:t>Hyperhidrosis</w:t>
            </w:r>
          </w:p>
        </w:tc>
        <w:tc>
          <w:tcPr>
            <w:tcW w:w="4076" w:type="dxa"/>
          </w:tcPr>
          <w:p w:rsidR="002A556F" w:rsidRPr="00A019E2" w:rsidRDefault="00D6316F" w:rsidP="002A556F">
            <w:pPr>
              <w:jc w:val="center"/>
              <w:rPr>
                <w:sz w:val="20"/>
                <w:lang w:val="en-AU"/>
              </w:rPr>
            </w:pPr>
            <w:r w:rsidRPr="00A019E2">
              <w:rPr>
                <w:sz w:val="20"/>
                <w:lang w:val="en-AU"/>
              </w:rPr>
              <w:t>5 (5)</w:t>
            </w:r>
          </w:p>
        </w:tc>
      </w:tr>
      <w:tr w:rsidR="002A556F" w:rsidRPr="00A019E2" w:rsidTr="002A556F">
        <w:tc>
          <w:tcPr>
            <w:tcW w:w="9287" w:type="dxa"/>
            <w:gridSpan w:val="2"/>
          </w:tcPr>
          <w:p w:rsidR="002A556F" w:rsidRPr="00A019E2" w:rsidRDefault="00D6316F" w:rsidP="002A556F">
            <w:pPr>
              <w:rPr>
                <w:b/>
                <w:sz w:val="20"/>
                <w:lang w:val="en-AU"/>
              </w:rPr>
            </w:pPr>
            <w:r w:rsidRPr="00A019E2">
              <w:rPr>
                <w:b/>
                <w:sz w:val="20"/>
                <w:lang w:val="en-AU"/>
              </w:rPr>
              <w:t>Vascular disorders</w:t>
            </w:r>
          </w:p>
        </w:tc>
      </w:tr>
      <w:tr w:rsidR="002A556F" w:rsidRPr="00A019E2" w:rsidTr="00AD62DD">
        <w:tc>
          <w:tcPr>
            <w:tcW w:w="5211" w:type="dxa"/>
          </w:tcPr>
          <w:p w:rsidR="002A556F" w:rsidRPr="00A019E2" w:rsidRDefault="00D6316F" w:rsidP="008452F4">
            <w:pPr>
              <w:ind w:left="720"/>
              <w:rPr>
                <w:sz w:val="20"/>
                <w:lang w:val="en-AU"/>
              </w:rPr>
            </w:pPr>
            <w:r w:rsidRPr="00A019E2">
              <w:rPr>
                <w:sz w:val="20"/>
                <w:lang w:val="en-AU"/>
              </w:rPr>
              <w:t>Hypotension</w:t>
            </w:r>
          </w:p>
        </w:tc>
        <w:tc>
          <w:tcPr>
            <w:tcW w:w="4076" w:type="dxa"/>
          </w:tcPr>
          <w:p w:rsidR="002A556F" w:rsidRPr="00A019E2" w:rsidRDefault="00D6316F" w:rsidP="002A556F">
            <w:pPr>
              <w:jc w:val="center"/>
              <w:rPr>
                <w:sz w:val="20"/>
                <w:lang w:val="en-AU"/>
              </w:rPr>
            </w:pPr>
            <w:r w:rsidRPr="00A019E2">
              <w:rPr>
                <w:sz w:val="20"/>
                <w:lang w:val="en-AU"/>
              </w:rPr>
              <w:t>8 (8)</w:t>
            </w:r>
          </w:p>
        </w:tc>
      </w:tr>
    </w:tbl>
    <w:p w:rsidR="004001B7" w:rsidRPr="00A019E2" w:rsidRDefault="00D6316F" w:rsidP="00056811">
      <w:pPr>
        <w:rPr>
          <w:sz w:val="18"/>
          <w:szCs w:val="18"/>
          <w:lang w:val="en-AU"/>
        </w:rPr>
      </w:pPr>
      <w:r w:rsidRPr="00A019E2">
        <w:rPr>
          <w:sz w:val="18"/>
          <w:szCs w:val="18"/>
          <w:lang w:val="en-AU"/>
        </w:rPr>
        <w:t>* Patients are counted only once for each arm</w:t>
      </w:r>
    </w:p>
    <w:p w:rsidR="008452F4" w:rsidRPr="00A019E2" w:rsidRDefault="00E63FC4" w:rsidP="008452F4">
      <w:pPr>
        <w:rPr>
          <w:lang w:val="en-AU"/>
        </w:rPr>
      </w:pPr>
      <w:r w:rsidRPr="00A019E2">
        <w:rPr>
          <w:lang w:val="en-AU"/>
        </w:rPr>
        <w:t>The data described below reflect exposure to RIBOMUSTIN in 176 patients with indolent B-cell NHL treated in two single-arm studies (SDX-105-03 and SDX-105-01).</w:t>
      </w:r>
    </w:p>
    <w:p w:rsidR="008452F4" w:rsidRPr="00A019E2" w:rsidRDefault="00E63FC4" w:rsidP="008452F4">
      <w:pPr>
        <w:rPr>
          <w:lang w:val="en-AU"/>
        </w:rPr>
      </w:pPr>
      <w:r w:rsidRPr="00A019E2">
        <w:rPr>
          <w:lang w:val="en-AU"/>
        </w:rPr>
        <w:t>The adverse reactions occurring in at least 5% of the NHL patients, regardless of severity, are shown in Table 1</w:t>
      </w:r>
      <w:r w:rsidR="004E110E" w:rsidRPr="00A019E2">
        <w:rPr>
          <w:lang w:val="en-AU"/>
        </w:rPr>
        <w:t>2</w:t>
      </w:r>
      <w:r w:rsidRPr="00A019E2">
        <w:rPr>
          <w:lang w:val="en-AU"/>
        </w:rPr>
        <w:t xml:space="preserve">. </w:t>
      </w:r>
    </w:p>
    <w:p w:rsidR="00985F65" w:rsidRPr="00A019E2" w:rsidRDefault="00D6316F" w:rsidP="008452F4">
      <w:pPr>
        <w:rPr>
          <w:b/>
          <w:sz w:val="20"/>
          <w:lang w:val="en-AU"/>
        </w:rPr>
      </w:pPr>
      <w:r w:rsidRPr="00A019E2">
        <w:rPr>
          <w:b/>
          <w:sz w:val="20"/>
          <w:lang w:val="en-AU"/>
        </w:rPr>
        <w:t>Table 1</w:t>
      </w:r>
      <w:r w:rsidR="004E110E" w:rsidRPr="00A019E2">
        <w:rPr>
          <w:b/>
          <w:sz w:val="20"/>
          <w:lang w:val="en-AU"/>
        </w:rPr>
        <w:t>2</w:t>
      </w:r>
      <w:r w:rsidRPr="00A019E2">
        <w:rPr>
          <w:b/>
          <w:sz w:val="20"/>
          <w:lang w:val="en-AU"/>
        </w:rPr>
        <w:t>: Non-haematological ADRs occurring in at least 5% of NHL patients treated with RIBOMUSTIN by system organ class and preferred term</w:t>
      </w:r>
    </w:p>
    <w:tbl>
      <w:tblPr>
        <w:tblStyle w:val="TableGrid"/>
        <w:tblW w:w="0" w:type="auto"/>
        <w:tblLook w:val="04A0" w:firstRow="1" w:lastRow="0" w:firstColumn="1" w:lastColumn="0" w:noHBand="0" w:noVBand="1"/>
      </w:tblPr>
      <w:tblGrid>
        <w:gridCol w:w="3510"/>
        <w:gridCol w:w="2835"/>
        <w:gridCol w:w="2942"/>
      </w:tblGrid>
      <w:tr w:rsidR="0070193D" w:rsidRPr="00A019E2" w:rsidTr="00985F65">
        <w:tc>
          <w:tcPr>
            <w:tcW w:w="3510" w:type="dxa"/>
          </w:tcPr>
          <w:p w:rsidR="0070193D" w:rsidRPr="00A019E2" w:rsidRDefault="0070193D" w:rsidP="008452F4">
            <w:pPr>
              <w:rPr>
                <w:sz w:val="20"/>
                <w:lang w:val="en-AU"/>
              </w:rPr>
            </w:pPr>
          </w:p>
        </w:tc>
        <w:tc>
          <w:tcPr>
            <w:tcW w:w="5777" w:type="dxa"/>
            <w:gridSpan w:val="2"/>
          </w:tcPr>
          <w:p w:rsidR="0070193D" w:rsidRPr="00A019E2" w:rsidRDefault="00D6316F" w:rsidP="0070193D">
            <w:pPr>
              <w:jc w:val="center"/>
              <w:rPr>
                <w:b/>
                <w:sz w:val="20"/>
                <w:lang w:val="en-AU"/>
              </w:rPr>
            </w:pPr>
            <w:r w:rsidRPr="00A019E2">
              <w:rPr>
                <w:b/>
                <w:sz w:val="20"/>
                <w:lang w:val="en-AU"/>
              </w:rPr>
              <w:t>Number (%) of patients*</w:t>
            </w:r>
          </w:p>
        </w:tc>
      </w:tr>
      <w:tr w:rsidR="0070193D" w:rsidRPr="00A019E2" w:rsidTr="00985F65">
        <w:tc>
          <w:tcPr>
            <w:tcW w:w="3510" w:type="dxa"/>
          </w:tcPr>
          <w:p w:rsidR="0070193D" w:rsidRPr="00A019E2" w:rsidRDefault="00D6316F" w:rsidP="0070193D">
            <w:pPr>
              <w:rPr>
                <w:b/>
                <w:sz w:val="20"/>
                <w:lang w:val="en-AU"/>
              </w:rPr>
            </w:pPr>
            <w:r w:rsidRPr="00A019E2">
              <w:rPr>
                <w:b/>
                <w:sz w:val="20"/>
                <w:lang w:val="en-AU"/>
              </w:rPr>
              <w:t xml:space="preserve">System organ class </w:t>
            </w:r>
          </w:p>
          <w:p w:rsidR="0070193D" w:rsidRPr="00A019E2" w:rsidRDefault="00D6316F" w:rsidP="0070193D">
            <w:pPr>
              <w:rPr>
                <w:sz w:val="20"/>
                <w:lang w:val="en-AU"/>
              </w:rPr>
            </w:pPr>
            <w:r w:rsidRPr="00A019E2">
              <w:rPr>
                <w:b/>
                <w:sz w:val="20"/>
                <w:lang w:val="en-AU"/>
              </w:rPr>
              <w:t>Preferred term</w:t>
            </w:r>
          </w:p>
        </w:tc>
        <w:tc>
          <w:tcPr>
            <w:tcW w:w="2835" w:type="dxa"/>
          </w:tcPr>
          <w:p w:rsidR="0070193D" w:rsidRPr="00A019E2" w:rsidRDefault="00D6316F" w:rsidP="00985F65">
            <w:pPr>
              <w:jc w:val="center"/>
              <w:rPr>
                <w:b/>
                <w:sz w:val="20"/>
                <w:lang w:val="en-AU"/>
              </w:rPr>
            </w:pPr>
            <w:r w:rsidRPr="00A019E2">
              <w:rPr>
                <w:b/>
                <w:sz w:val="20"/>
                <w:lang w:val="en-AU"/>
              </w:rPr>
              <w:t>All Grades</w:t>
            </w:r>
          </w:p>
        </w:tc>
        <w:tc>
          <w:tcPr>
            <w:tcW w:w="2942" w:type="dxa"/>
          </w:tcPr>
          <w:p w:rsidR="0070193D" w:rsidRPr="00A019E2" w:rsidRDefault="00D6316F" w:rsidP="00985F65">
            <w:pPr>
              <w:jc w:val="center"/>
              <w:rPr>
                <w:b/>
                <w:sz w:val="20"/>
                <w:lang w:val="en-AU"/>
              </w:rPr>
            </w:pPr>
            <w:r w:rsidRPr="00A019E2">
              <w:rPr>
                <w:b/>
                <w:sz w:val="20"/>
                <w:lang w:val="en-AU"/>
              </w:rPr>
              <w:t>Grade 3 / 4</w:t>
            </w:r>
          </w:p>
        </w:tc>
      </w:tr>
      <w:tr w:rsidR="0070193D" w:rsidRPr="00A019E2" w:rsidTr="00985F65">
        <w:tc>
          <w:tcPr>
            <w:tcW w:w="3510" w:type="dxa"/>
          </w:tcPr>
          <w:p w:rsidR="0070193D" w:rsidRPr="00A019E2" w:rsidRDefault="00D6316F" w:rsidP="008452F4">
            <w:pPr>
              <w:rPr>
                <w:b/>
                <w:sz w:val="20"/>
                <w:lang w:val="en-AU"/>
              </w:rPr>
            </w:pPr>
            <w:r w:rsidRPr="00A019E2">
              <w:rPr>
                <w:b/>
                <w:sz w:val="20"/>
                <w:lang w:val="en-AU"/>
              </w:rPr>
              <w:t>Total number of patients with at least 1 ADR</w:t>
            </w:r>
          </w:p>
        </w:tc>
        <w:tc>
          <w:tcPr>
            <w:tcW w:w="2835" w:type="dxa"/>
          </w:tcPr>
          <w:p w:rsidR="0070193D" w:rsidRPr="00A019E2" w:rsidRDefault="00D6316F" w:rsidP="00985F65">
            <w:pPr>
              <w:jc w:val="center"/>
              <w:rPr>
                <w:sz w:val="20"/>
                <w:lang w:val="en-AU"/>
              </w:rPr>
            </w:pPr>
            <w:r w:rsidRPr="00A019E2">
              <w:rPr>
                <w:sz w:val="20"/>
                <w:lang w:val="en-AU"/>
              </w:rPr>
              <w:t>176 (100)</w:t>
            </w:r>
          </w:p>
        </w:tc>
        <w:tc>
          <w:tcPr>
            <w:tcW w:w="2942" w:type="dxa"/>
          </w:tcPr>
          <w:p w:rsidR="0070193D" w:rsidRPr="00A019E2" w:rsidRDefault="00D6316F" w:rsidP="00985F65">
            <w:pPr>
              <w:jc w:val="center"/>
              <w:rPr>
                <w:sz w:val="20"/>
                <w:lang w:val="en-AU"/>
              </w:rPr>
            </w:pPr>
            <w:r w:rsidRPr="00A019E2">
              <w:rPr>
                <w:sz w:val="20"/>
                <w:lang w:val="en-AU"/>
              </w:rPr>
              <w:t>94 (53)</w:t>
            </w:r>
          </w:p>
        </w:tc>
      </w:tr>
      <w:tr w:rsidR="00985F65" w:rsidRPr="00A019E2" w:rsidTr="00985F65">
        <w:tc>
          <w:tcPr>
            <w:tcW w:w="9287" w:type="dxa"/>
            <w:gridSpan w:val="3"/>
          </w:tcPr>
          <w:p w:rsidR="00985F65" w:rsidRPr="00A019E2" w:rsidRDefault="00D6316F" w:rsidP="00985F65">
            <w:pPr>
              <w:rPr>
                <w:b/>
                <w:sz w:val="20"/>
                <w:lang w:val="en-AU"/>
              </w:rPr>
            </w:pPr>
            <w:r w:rsidRPr="00A019E2">
              <w:rPr>
                <w:b/>
                <w:sz w:val="20"/>
                <w:lang w:val="en-AU"/>
              </w:rPr>
              <w:t>Cardiac disorders</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Tachycardia</w:t>
            </w:r>
          </w:p>
        </w:tc>
        <w:tc>
          <w:tcPr>
            <w:tcW w:w="2835" w:type="dxa"/>
          </w:tcPr>
          <w:p w:rsidR="0070193D" w:rsidRPr="00A019E2" w:rsidRDefault="00D6316F" w:rsidP="00985F65">
            <w:pPr>
              <w:jc w:val="center"/>
              <w:rPr>
                <w:sz w:val="20"/>
                <w:lang w:val="en-AU"/>
              </w:rPr>
            </w:pPr>
            <w:r w:rsidRPr="00A019E2">
              <w:rPr>
                <w:sz w:val="20"/>
                <w:lang w:val="en-AU"/>
              </w:rPr>
              <w:t>13 (7)</w:t>
            </w:r>
          </w:p>
        </w:tc>
        <w:tc>
          <w:tcPr>
            <w:tcW w:w="2942" w:type="dxa"/>
          </w:tcPr>
          <w:p w:rsidR="0070193D" w:rsidRPr="00A019E2" w:rsidRDefault="00D6316F" w:rsidP="00985F65">
            <w:pPr>
              <w:jc w:val="center"/>
              <w:rPr>
                <w:sz w:val="20"/>
                <w:lang w:val="en-AU"/>
              </w:rPr>
            </w:pPr>
            <w:r w:rsidRPr="00A019E2">
              <w:rPr>
                <w:sz w:val="20"/>
                <w:lang w:val="en-AU"/>
              </w:rPr>
              <w:t>0</w:t>
            </w:r>
          </w:p>
        </w:tc>
      </w:tr>
      <w:tr w:rsidR="00985F65" w:rsidRPr="00A019E2" w:rsidTr="00985F65">
        <w:tc>
          <w:tcPr>
            <w:tcW w:w="9287" w:type="dxa"/>
            <w:gridSpan w:val="3"/>
          </w:tcPr>
          <w:p w:rsidR="00985F65" w:rsidRPr="00A019E2" w:rsidRDefault="00D6316F" w:rsidP="00985F65">
            <w:pPr>
              <w:rPr>
                <w:b/>
                <w:sz w:val="20"/>
                <w:lang w:val="en-AU"/>
              </w:rPr>
            </w:pPr>
            <w:r w:rsidRPr="00A019E2">
              <w:rPr>
                <w:b/>
                <w:sz w:val="20"/>
                <w:lang w:val="en-AU"/>
              </w:rPr>
              <w:t>Gastrointestinal disorders</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Nausea</w:t>
            </w:r>
          </w:p>
        </w:tc>
        <w:tc>
          <w:tcPr>
            <w:tcW w:w="2835" w:type="dxa"/>
          </w:tcPr>
          <w:p w:rsidR="0070193D" w:rsidRPr="00A019E2" w:rsidRDefault="00D6316F" w:rsidP="00985F65">
            <w:pPr>
              <w:jc w:val="center"/>
              <w:rPr>
                <w:sz w:val="20"/>
                <w:lang w:val="en-AU"/>
              </w:rPr>
            </w:pPr>
            <w:r w:rsidRPr="00A019E2">
              <w:rPr>
                <w:sz w:val="20"/>
                <w:lang w:val="en-AU"/>
              </w:rPr>
              <w:t>132 (75)</w:t>
            </w:r>
          </w:p>
        </w:tc>
        <w:tc>
          <w:tcPr>
            <w:tcW w:w="2942" w:type="dxa"/>
          </w:tcPr>
          <w:p w:rsidR="0070193D" w:rsidRPr="00A019E2" w:rsidRDefault="00D6316F" w:rsidP="00985F65">
            <w:pPr>
              <w:jc w:val="center"/>
              <w:rPr>
                <w:sz w:val="20"/>
                <w:lang w:val="en-AU"/>
              </w:rPr>
            </w:pPr>
            <w:r w:rsidRPr="00A019E2">
              <w:rPr>
                <w:sz w:val="20"/>
                <w:lang w:val="en-AU"/>
              </w:rPr>
              <w:t>7 (4)</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Vomiting</w:t>
            </w:r>
          </w:p>
        </w:tc>
        <w:tc>
          <w:tcPr>
            <w:tcW w:w="2835" w:type="dxa"/>
          </w:tcPr>
          <w:p w:rsidR="0070193D" w:rsidRPr="00A019E2" w:rsidRDefault="00D6316F" w:rsidP="00985F65">
            <w:pPr>
              <w:jc w:val="center"/>
              <w:rPr>
                <w:sz w:val="20"/>
                <w:lang w:val="en-AU"/>
              </w:rPr>
            </w:pPr>
            <w:r w:rsidRPr="00A019E2">
              <w:rPr>
                <w:sz w:val="20"/>
                <w:lang w:val="en-AU"/>
              </w:rPr>
              <w:t>71 (40)</w:t>
            </w:r>
          </w:p>
        </w:tc>
        <w:tc>
          <w:tcPr>
            <w:tcW w:w="2942" w:type="dxa"/>
          </w:tcPr>
          <w:p w:rsidR="0070193D" w:rsidRPr="00A019E2" w:rsidRDefault="00D6316F" w:rsidP="00985F65">
            <w:pPr>
              <w:jc w:val="center"/>
              <w:rPr>
                <w:sz w:val="20"/>
                <w:lang w:val="en-AU"/>
              </w:rPr>
            </w:pPr>
            <w:r w:rsidRPr="00A019E2">
              <w:rPr>
                <w:sz w:val="20"/>
                <w:lang w:val="en-AU"/>
              </w:rPr>
              <w:t>5 (3)</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Diarrhoea</w:t>
            </w:r>
          </w:p>
        </w:tc>
        <w:tc>
          <w:tcPr>
            <w:tcW w:w="2835" w:type="dxa"/>
          </w:tcPr>
          <w:p w:rsidR="0070193D" w:rsidRPr="00A019E2" w:rsidRDefault="00D6316F" w:rsidP="00985F65">
            <w:pPr>
              <w:jc w:val="center"/>
              <w:rPr>
                <w:sz w:val="20"/>
                <w:lang w:val="en-AU"/>
              </w:rPr>
            </w:pPr>
            <w:r w:rsidRPr="00A019E2">
              <w:rPr>
                <w:sz w:val="20"/>
                <w:lang w:val="en-AU"/>
              </w:rPr>
              <w:t>65 (37)</w:t>
            </w:r>
          </w:p>
        </w:tc>
        <w:tc>
          <w:tcPr>
            <w:tcW w:w="2942" w:type="dxa"/>
          </w:tcPr>
          <w:p w:rsidR="0070193D" w:rsidRPr="00A019E2" w:rsidRDefault="00D6316F" w:rsidP="00985F65">
            <w:pPr>
              <w:jc w:val="center"/>
              <w:rPr>
                <w:sz w:val="20"/>
                <w:lang w:val="en-AU"/>
              </w:rPr>
            </w:pPr>
            <w:r w:rsidRPr="00A019E2">
              <w:rPr>
                <w:sz w:val="20"/>
                <w:lang w:val="en-AU"/>
              </w:rPr>
              <w:t>6 (3)</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 xml:space="preserve">Constipation </w:t>
            </w:r>
          </w:p>
        </w:tc>
        <w:tc>
          <w:tcPr>
            <w:tcW w:w="2835" w:type="dxa"/>
          </w:tcPr>
          <w:p w:rsidR="0070193D" w:rsidRPr="00A019E2" w:rsidRDefault="00D6316F" w:rsidP="00985F65">
            <w:pPr>
              <w:jc w:val="center"/>
              <w:rPr>
                <w:sz w:val="20"/>
                <w:lang w:val="en-AU"/>
              </w:rPr>
            </w:pPr>
            <w:r w:rsidRPr="00A019E2">
              <w:rPr>
                <w:sz w:val="20"/>
                <w:lang w:val="en-AU"/>
              </w:rPr>
              <w:t>51 (29)</w:t>
            </w:r>
          </w:p>
        </w:tc>
        <w:tc>
          <w:tcPr>
            <w:tcW w:w="2942" w:type="dxa"/>
          </w:tcPr>
          <w:p w:rsidR="0070193D" w:rsidRPr="00A019E2" w:rsidRDefault="00D6316F" w:rsidP="00985F65">
            <w:pPr>
              <w:jc w:val="center"/>
              <w:rPr>
                <w:sz w:val="20"/>
                <w:lang w:val="en-AU"/>
              </w:rPr>
            </w:pPr>
            <w:r w:rsidRPr="00A019E2">
              <w:rPr>
                <w:sz w:val="20"/>
                <w:lang w:val="en-AU"/>
              </w:rPr>
              <w:t>1 (</w:t>
            </w:r>
            <w:r w:rsidRPr="00A019E2">
              <w:rPr>
                <w:rFonts w:cs="Arial"/>
                <w:sz w:val="20"/>
                <w:lang w:val="en-AU"/>
              </w:rPr>
              <w:t>&lt;</w:t>
            </w:r>
            <w:r w:rsidRPr="00A019E2">
              <w:rPr>
                <w:sz w:val="20"/>
                <w:lang w:val="en-AU"/>
              </w:rPr>
              <w:t>1)</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Stomatitis</w:t>
            </w:r>
          </w:p>
        </w:tc>
        <w:tc>
          <w:tcPr>
            <w:tcW w:w="2835" w:type="dxa"/>
          </w:tcPr>
          <w:p w:rsidR="0070193D" w:rsidRPr="00A019E2" w:rsidRDefault="00D6316F" w:rsidP="00985F65">
            <w:pPr>
              <w:jc w:val="center"/>
              <w:rPr>
                <w:sz w:val="20"/>
                <w:lang w:val="en-AU"/>
              </w:rPr>
            </w:pPr>
            <w:r w:rsidRPr="00A019E2">
              <w:rPr>
                <w:sz w:val="20"/>
                <w:lang w:val="en-AU"/>
              </w:rPr>
              <w:t>27 (15)</w:t>
            </w:r>
          </w:p>
        </w:tc>
        <w:tc>
          <w:tcPr>
            <w:tcW w:w="2942" w:type="dxa"/>
          </w:tcPr>
          <w:p w:rsidR="0070193D" w:rsidRPr="00A019E2" w:rsidRDefault="00D6316F" w:rsidP="00985F65">
            <w:pPr>
              <w:jc w:val="center"/>
              <w:rPr>
                <w:sz w:val="20"/>
                <w:lang w:val="en-AU"/>
              </w:rPr>
            </w:pPr>
            <w:r w:rsidRPr="00A019E2">
              <w:rPr>
                <w:sz w:val="20"/>
                <w:lang w:val="en-AU"/>
              </w:rPr>
              <w:t>1 (</w:t>
            </w:r>
            <w:r w:rsidRPr="00A019E2">
              <w:rPr>
                <w:rFonts w:cs="Arial"/>
                <w:sz w:val="20"/>
                <w:lang w:val="en-AU"/>
              </w:rPr>
              <w:t>&lt;</w:t>
            </w:r>
            <w:r w:rsidRPr="00A019E2">
              <w:rPr>
                <w:sz w:val="20"/>
                <w:lang w:val="en-AU"/>
              </w:rPr>
              <w:t>1)</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Abdominal pain</w:t>
            </w:r>
          </w:p>
        </w:tc>
        <w:tc>
          <w:tcPr>
            <w:tcW w:w="2835" w:type="dxa"/>
          </w:tcPr>
          <w:p w:rsidR="0070193D" w:rsidRPr="00A019E2" w:rsidRDefault="00D6316F" w:rsidP="00985F65">
            <w:pPr>
              <w:jc w:val="center"/>
              <w:rPr>
                <w:sz w:val="20"/>
                <w:lang w:val="en-AU"/>
              </w:rPr>
            </w:pPr>
            <w:r w:rsidRPr="00A019E2">
              <w:rPr>
                <w:sz w:val="20"/>
                <w:lang w:val="en-AU"/>
              </w:rPr>
              <w:t>22 (13)</w:t>
            </w:r>
          </w:p>
        </w:tc>
        <w:tc>
          <w:tcPr>
            <w:tcW w:w="2942" w:type="dxa"/>
          </w:tcPr>
          <w:p w:rsidR="0070193D" w:rsidRPr="00A019E2" w:rsidRDefault="00D6316F" w:rsidP="00985F65">
            <w:pPr>
              <w:jc w:val="center"/>
              <w:rPr>
                <w:sz w:val="20"/>
                <w:lang w:val="en-AU"/>
              </w:rPr>
            </w:pPr>
            <w:r w:rsidRPr="00A019E2">
              <w:rPr>
                <w:sz w:val="20"/>
                <w:lang w:val="en-AU"/>
              </w:rPr>
              <w:t>2 (1)</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Dyspepsia</w:t>
            </w:r>
          </w:p>
        </w:tc>
        <w:tc>
          <w:tcPr>
            <w:tcW w:w="2835" w:type="dxa"/>
          </w:tcPr>
          <w:p w:rsidR="0070193D" w:rsidRPr="00A019E2" w:rsidRDefault="00D6316F" w:rsidP="00985F65">
            <w:pPr>
              <w:jc w:val="center"/>
              <w:rPr>
                <w:sz w:val="20"/>
                <w:lang w:val="en-AU"/>
              </w:rPr>
            </w:pPr>
            <w:r w:rsidRPr="00A019E2">
              <w:rPr>
                <w:sz w:val="20"/>
                <w:lang w:val="en-AU"/>
              </w:rPr>
              <w:t>20 (11)</w:t>
            </w:r>
          </w:p>
        </w:tc>
        <w:tc>
          <w:tcPr>
            <w:tcW w:w="2942" w:type="dxa"/>
          </w:tcPr>
          <w:p w:rsidR="0070193D" w:rsidRPr="00A019E2" w:rsidRDefault="00D6316F" w:rsidP="00985F65">
            <w:pPr>
              <w:jc w:val="center"/>
              <w:rPr>
                <w:sz w:val="20"/>
                <w:lang w:val="en-AU"/>
              </w:rPr>
            </w:pPr>
            <w:r w:rsidRPr="00A019E2">
              <w:rPr>
                <w:sz w:val="20"/>
                <w:lang w:val="en-AU"/>
              </w:rPr>
              <w:t>0</w:t>
            </w:r>
          </w:p>
        </w:tc>
      </w:tr>
      <w:tr w:rsidR="0070193D" w:rsidRPr="00A019E2" w:rsidTr="00985F65">
        <w:tc>
          <w:tcPr>
            <w:tcW w:w="3510" w:type="dxa"/>
          </w:tcPr>
          <w:p w:rsidR="0070193D" w:rsidRPr="00A019E2" w:rsidRDefault="00FF3C28" w:rsidP="00985F65">
            <w:pPr>
              <w:ind w:left="720"/>
              <w:rPr>
                <w:sz w:val="20"/>
                <w:lang w:val="en-AU"/>
              </w:rPr>
            </w:pPr>
            <w:r w:rsidRPr="00A019E2">
              <w:rPr>
                <w:sz w:val="20"/>
                <w:lang w:val="en-AU"/>
              </w:rPr>
              <w:t>Gastro oesophageal</w:t>
            </w:r>
            <w:r w:rsidR="00D6316F" w:rsidRPr="00A019E2">
              <w:rPr>
                <w:sz w:val="20"/>
                <w:lang w:val="en-AU"/>
              </w:rPr>
              <w:t xml:space="preserve"> reflux disease</w:t>
            </w:r>
          </w:p>
        </w:tc>
        <w:tc>
          <w:tcPr>
            <w:tcW w:w="2835" w:type="dxa"/>
          </w:tcPr>
          <w:p w:rsidR="0070193D" w:rsidRPr="00A019E2" w:rsidRDefault="00D6316F" w:rsidP="00985F65">
            <w:pPr>
              <w:jc w:val="center"/>
              <w:rPr>
                <w:sz w:val="20"/>
                <w:lang w:val="en-AU"/>
              </w:rPr>
            </w:pPr>
            <w:r w:rsidRPr="00A019E2">
              <w:rPr>
                <w:sz w:val="20"/>
                <w:lang w:val="en-AU"/>
              </w:rPr>
              <w:t>18 (10)</w:t>
            </w:r>
          </w:p>
        </w:tc>
        <w:tc>
          <w:tcPr>
            <w:tcW w:w="2942" w:type="dxa"/>
          </w:tcPr>
          <w:p w:rsidR="0070193D" w:rsidRPr="00A019E2" w:rsidRDefault="00D6316F" w:rsidP="00985F65">
            <w:pPr>
              <w:jc w:val="center"/>
              <w:rPr>
                <w:sz w:val="20"/>
                <w:lang w:val="en-AU"/>
              </w:rPr>
            </w:pPr>
            <w:r w:rsidRPr="00A019E2">
              <w:rPr>
                <w:sz w:val="20"/>
                <w:lang w:val="en-AU"/>
              </w:rPr>
              <w:t>0</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Dry moth</w:t>
            </w:r>
          </w:p>
        </w:tc>
        <w:tc>
          <w:tcPr>
            <w:tcW w:w="2835" w:type="dxa"/>
          </w:tcPr>
          <w:p w:rsidR="0070193D" w:rsidRPr="00A019E2" w:rsidRDefault="00D6316F" w:rsidP="00985F65">
            <w:pPr>
              <w:jc w:val="center"/>
              <w:rPr>
                <w:sz w:val="20"/>
                <w:lang w:val="en-AU"/>
              </w:rPr>
            </w:pPr>
            <w:r w:rsidRPr="00A019E2">
              <w:rPr>
                <w:sz w:val="20"/>
                <w:lang w:val="en-AU"/>
              </w:rPr>
              <w:t>15 (9)</w:t>
            </w:r>
          </w:p>
        </w:tc>
        <w:tc>
          <w:tcPr>
            <w:tcW w:w="2942" w:type="dxa"/>
          </w:tcPr>
          <w:p w:rsidR="0070193D" w:rsidRPr="00A019E2" w:rsidRDefault="00D6316F" w:rsidP="00985F65">
            <w:pPr>
              <w:jc w:val="center"/>
              <w:rPr>
                <w:sz w:val="20"/>
                <w:lang w:val="en-AU"/>
              </w:rPr>
            </w:pPr>
            <w:r w:rsidRPr="00A019E2">
              <w:rPr>
                <w:sz w:val="20"/>
                <w:lang w:val="en-AU"/>
              </w:rPr>
              <w:t>1 (</w:t>
            </w:r>
            <w:r w:rsidRPr="00A019E2">
              <w:rPr>
                <w:rFonts w:cs="Arial"/>
                <w:sz w:val="20"/>
                <w:lang w:val="en-AU"/>
              </w:rPr>
              <w:t>&lt;</w:t>
            </w:r>
            <w:r w:rsidRPr="00A019E2">
              <w:rPr>
                <w:sz w:val="20"/>
                <w:lang w:val="en-AU"/>
              </w:rPr>
              <w:t>1)</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Abdominal pain upper</w:t>
            </w:r>
          </w:p>
        </w:tc>
        <w:tc>
          <w:tcPr>
            <w:tcW w:w="2835" w:type="dxa"/>
          </w:tcPr>
          <w:p w:rsidR="0070193D" w:rsidRPr="00A019E2" w:rsidRDefault="00D6316F" w:rsidP="00985F65">
            <w:pPr>
              <w:jc w:val="center"/>
              <w:rPr>
                <w:sz w:val="20"/>
                <w:lang w:val="en-AU"/>
              </w:rPr>
            </w:pPr>
            <w:r w:rsidRPr="00A019E2">
              <w:rPr>
                <w:sz w:val="20"/>
                <w:lang w:val="en-AU"/>
              </w:rPr>
              <w:t>8 (5)</w:t>
            </w:r>
          </w:p>
        </w:tc>
        <w:tc>
          <w:tcPr>
            <w:tcW w:w="2942" w:type="dxa"/>
          </w:tcPr>
          <w:p w:rsidR="0070193D" w:rsidRPr="00A019E2" w:rsidRDefault="00D6316F" w:rsidP="00985F65">
            <w:pPr>
              <w:jc w:val="center"/>
              <w:rPr>
                <w:sz w:val="20"/>
                <w:lang w:val="en-AU"/>
              </w:rPr>
            </w:pPr>
            <w:r w:rsidRPr="00A019E2">
              <w:rPr>
                <w:sz w:val="20"/>
                <w:lang w:val="en-AU"/>
              </w:rPr>
              <w:t>0</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lastRenderedPageBreak/>
              <w:t>Abdominal distension</w:t>
            </w:r>
          </w:p>
        </w:tc>
        <w:tc>
          <w:tcPr>
            <w:tcW w:w="2835" w:type="dxa"/>
          </w:tcPr>
          <w:p w:rsidR="0070193D" w:rsidRPr="00A019E2" w:rsidRDefault="00D6316F" w:rsidP="00985F65">
            <w:pPr>
              <w:jc w:val="center"/>
              <w:rPr>
                <w:sz w:val="20"/>
                <w:lang w:val="en-AU"/>
              </w:rPr>
            </w:pPr>
            <w:r w:rsidRPr="00A019E2">
              <w:rPr>
                <w:sz w:val="20"/>
                <w:lang w:val="en-AU"/>
              </w:rPr>
              <w:t>8 (5)</w:t>
            </w:r>
          </w:p>
        </w:tc>
        <w:tc>
          <w:tcPr>
            <w:tcW w:w="2942" w:type="dxa"/>
          </w:tcPr>
          <w:p w:rsidR="0070193D" w:rsidRPr="00A019E2" w:rsidRDefault="00D6316F" w:rsidP="00985F65">
            <w:pPr>
              <w:jc w:val="center"/>
              <w:rPr>
                <w:sz w:val="20"/>
                <w:lang w:val="en-AU"/>
              </w:rPr>
            </w:pPr>
            <w:r w:rsidRPr="00A019E2">
              <w:rPr>
                <w:sz w:val="20"/>
                <w:lang w:val="en-AU"/>
              </w:rPr>
              <w:t>0</w:t>
            </w:r>
          </w:p>
        </w:tc>
      </w:tr>
      <w:tr w:rsidR="00985F65" w:rsidRPr="00A019E2" w:rsidTr="00985F65">
        <w:tc>
          <w:tcPr>
            <w:tcW w:w="9287" w:type="dxa"/>
            <w:gridSpan w:val="3"/>
          </w:tcPr>
          <w:p w:rsidR="00985F65" w:rsidRPr="00A019E2" w:rsidRDefault="00D6316F" w:rsidP="00985F65">
            <w:pPr>
              <w:rPr>
                <w:b/>
                <w:sz w:val="20"/>
                <w:lang w:val="en-AU"/>
              </w:rPr>
            </w:pPr>
            <w:r w:rsidRPr="00A019E2">
              <w:rPr>
                <w:b/>
                <w:sz w:val="20"/>
                <w:lang w:val="en-AU"/>
              </w:rPr>
              <w:t>General disorders &amp; administration site conditions</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Fatigue</w:t>
            </w:r>
          </w:p>
        </w:tc>
        <w:tc>
          <w:tcPr>
            <w:tcW w:w="2835" w:type="dxa"/>
          </w:tcPr>
          <w:p w:rsidR="0070193D" w:rsidRPr="00A019E2" w:rsidRDefault="00D6316F" w:rsidP="00985F65">
            <w:pPr>
              <w:jc w:val="center"/>
              <w:rPr>
                <w:sz w:val="20"/>
                <w:lang w:val="en-AU"/>
              </w:rPr>
            </w:pPr>
            <w:r w:rsidRPr="00A019E2">
              <w:rPr>
                <w:sz w:val="20"/>
                <w:lang w:val="en-AU"/>
              </w:rPr>
              <w:t>101 (57)</w:t>
            </w:r>
          </w:p>
        </w:tc>
        <w:tc>
          <w:tcPr>
            <w:tcW w:w="2942" w:type="dxa"/>
          </w:tcPr>
          <w:p w:rsidR="0070193D" w:rsidRPr="00A019E2" w:rsidRDefault="00D6316F" w:rsidP="00985F65">
            <w:pPr>
              <w:jc w:val="center"/>
              <w:rPr>
                <w:sz w:val="20"/>
                <w:lang w:val="en-AU"/>
              </w:rPr>
            </w:pPr>
            <w:r w:rsidRPr="00A019E2">
              <w:rPr>
                <w:sz w:val="20"/>
                <w:lang w:val="en-AU"/>
              </w:rPr>
              <w:t>19 (11)</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Pyrexia</w:t>
            </w:r>
          </w:p>
        </w:tc>
        <w:tc>
          <w:tcPr>
            <w:tcW w:w="2835" w:type="dxa"/>
          </w:tcPr>
          <w:p w:rsidR="0070193D" w:rsidRPr="00A019E2" w:rsidRDefault="00D6316F" w:rsidP="00985F65">
            <w:pPr>
              <w:jc w:val="center"/>
              <w:rPr>
                <w:sz w:val="20"/>
                <w:lang w:val="en-AU"/>
              </w:rPr>
            </w:pPr>
            <w:r w:rsidRPr="00A019E2">
              <w:rPr>
                <w:sz w:val="20"/>
                <w:lang w:val="en-AU"/>
              </w:rPr>
              <w:t>59 (34)</w:t>
            </w:r>
          </w:p>
        </w:tc>
        <w:tc>
          <w:tcPr>
            <w:tcW w:w="2942" w:type="dxa"/>
          </w:tcPr>
          <w:p w:rsidR="0070193D" w:rsidRPr="00A019E2" w:rsidRDefault="00D6316F" w:rsidP="00985F65">
            <w:pPr>
              <w:jc w:val="center"/>
              <w:rPr>
                <w:sz w:val="20"/>
                <w:lang w:val="en-AU"/>
              </w:rPr>
            </w:pPr>
            <w:r w:rsidRPr="00A019E2">
              <w:rPr>
                <w:sz w:val="20"/>
                <w:lang w:val="en-AU"/>
              </w:rPr>
              <w:t>3 (2)</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Chills</w:t>
            </w:r>
          </w:p>
        </w:tc>
        <w:tc>
          <w:tcPr>
            <w:tcW w:w="2835" w:type="dxa"/>
          </w:tcPr>
          <w:p w:rsidR="0070193D" w:rsidRPr="00A019E2" w:rsidRDefault="00D6316F" w:rsidP="00985F65">
            <w:pPr>
              <w:jc w:val="center"/>
              <w:rPr>
                <w:sz w:val="20"/>
                <w:lang w:val="en-AU"/>
              </w:rPr>
            </w:pPr>
            <w:r w:rsidRPr="00A019E2">
              <w:rPr>
                <w:sz w:val="20"/>
                <w:lang w:val="en-AU"/>
              </w:rPr>
              <w:t>24 (14)</w:t>
            </w:r>
          </w:p>
        </w:tc>
        <w:tc>
          <w:tcPr>
            <w:tcW w:w="2942" w:type="dxa"/>
          </w:tcPr>
          <w:p w:rsidR="0070193D" w:rsidRPr="00A019E2" w:rsidRDefault="00D6316F" w:rsidP="00985F65">
            <w:pPr>
              <w:jc w:val="center"/>
              <w:rPr>
                <w:sz w:val="20"/>
                <w:lang w:val="en-AU"/>
              </w:rPr>
            </w:pPr>
            <w:r w:rsidRPr="00A019E2">
              <w:rPr>
                <w:sz w:val="20"/>
                <w:lang w:val="en-AU"/>
              </w:rPr>
              <w:t>0</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Oedema peripheral</w:t>
            </w:r>
          </w:p>
        </w:tc>
        <w:tc>
          <w:tcPr>
            <w:tcW w:w="2835" w:type="dxa"/>
          </w:tcPr>
          <w:p w:rsidR="0070193D" w:rsidRPr="00A019E2" w:rsidRDefault="00D6316F" w:rsidP="00985F65">
            <w:pPr>
              <w:jc w:val="center"/>
              <w:rPr>
                <w:sz w:val="20"/>
                <w:lang w:val="en-AU"/>
              </w:rPr>
            </w:pPr>
            <w:r w:rsidRPr="00A019E2">
              <w:rPr>
                <w:sz w:val="20"/>
                <w:lang w:val="en-AU"/>
              </w:rPr>
              <w:t>23 (13)</w:t>
            </w:r>
          </w:p>
        </w:tc>
        <w:tc>
          <w:tcPr>
            <w:tcW w:w="2942" w:type="dxa"/>
          </w:tcPr>
          <w:p w:rsidR="0070193D" w:rsidRPr="00A019E2" w:rsidRDefault="00D6316F" w:rsidP="00985F65">
            <w:pPr>
              <w:jc w:val="center"/>
              <w:rPr>
                <w:sz w:val="20"/>
                <w:lang w:val="en-AU"/>
              </w:rPr>
            </w:pPr>
            <w:r w:rsidRPr="00A019E2">
              <w:rPr>
                <w:sz w:val="20"/>
                <w:lang w:val="en-AU"/>
              </w:rPr>
              <w:t>1 (</w:t>
            </w:r>
            <w:r w:rsidRPr="00A019E2">
              <w:rPr>
                <w:rFonts w:cs="Arial"/>
                <w:sz w:val="20"/>
                <w:lang w:val="en-AU"/>
              </w:rPr>
              <w:t>&lt;</w:t>
            </w:r>
            <w:r w:rsidRPr="00A019E2">
              <w:rPr>
                <w:sz w:val="20"/>
                <w:lang w:val="en-AU"/>
              </w:rPr>
              <w:t>1)</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Asthenia</w:t>
            </w:r>
          </w:p>
        </w:tc>
        <w:tc>
          <w:tcPr>
            <w:tcW w:w="2835" w:type="dxa"/>
          </w:tcPr>
          <w:p w:rsidR="0070193D" w:rsidRPr="00A019E2" w:rsidRDefault="00D6316F" w:rsidP="00985F65">
            <w:pPr>
              <w:jc w:val="center"/>
              <w:rPr>
                <w:sz w:val="20"/>
                <w:lang w:val="en-AU"/>
              </w:rPr>
            </w:pPr>
            <w:r w:rsidRPr="00A019E2">
              <w:rPr>
                <w:sz w:val="20"/>
                <w:lang w:val="en-AU"/>
              </w:rPr>
              <w:t>19 (11)</w:t>
            </w:r>
          </w:p>
        </w:tc>
        <w:tc>
          <w:tcPr>
            <w:tcW w:w="2942" w:type="dxa"/>
          </w:tcPr>
          <w:p w:rsidR="0070193D" w:rsidRPr="00A019E2" w:rsidRDefault="00D6316F" w:rsidP="00985F65">
            <w:pPr>
              <w:jc w:val="center"/>
              <w:rPr>
                <w:sz w:val="20"/>
                <w:lang w:val="en-AU"/>
              </w:rPr>
            </w:pPr>
            <w:r w:rsidRPr="00A019E2">
              <w:rPr>
                <w:sz w:val="20"/>
                <w:lang w:val="en-AU"/>
              </w:rPr>
              <w:t>4 (2)</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Chest pain</w:t>
            </w:r>
          </w:p>
        </w:tc>
        <w:tc>
          <w:tcPr>
            <w:tcW w:w="2835" w:type="dxa"/>
          </w:tcPr>
          <w:p w:rsidR="0070193D" w:rsidRPr="00A019E2" w:rsidRDefault="00D6316F" w:rsidP="00985F65">
            <w:pPr>
              <w:jc w:val="center"/>
              <w:rPr>
                <w:sz w:val="20"/>
                <w:lang w:val="en-AU"/>
              </w:rPr>
            </w:pPr>
            <w:r w:rsidRPr="00A019E2">
              <w:rPr>
                <w:sz w:val="20"/>
                <w:lang w:val="en-AU"/>
              </w:rPr>
              <w:t>11 (6)</w:t>
            </w:r>
          </w:p>
        </w:tc>
        <w:tc>
          <w:tcPr>
            <w:tcW w:w="2942" w:type="dxa"/>
          </w:tcPr>
          <w:p w:rsidR="0070193D" w:rsidRPr="00A019E2" w:rsidRDefault="00D6316F" w:rsidP="00985F65">
            <w:pPr>
              <w:jc w:val="center"/>
              <w:rPr>
                <w:sz w:val="20"/>
                <w:lang w:val="en-AU"/>
              </w:rPr>
            </w:pPr>
            <w:r w:rsidRPr="00A019E2">
              <w:rPr>
                <w:sz w:val="20"/>
                <w:lang w:val="en-AU"/>
              </w:rPr>
              <w:t>1 (</w:t>
            </w:r>
            <w:r w:rsidRPr="00A019E2">
              <w:rPr>
                <w:rFonts w:cs="Arial"/>
                <w:sz w:val="20"/>
                <w:lang w:val="en-AU"/>
              </w:rPr>
              <w:t>&lt;</w:t>
            </w:r>
            <w:r w:rsidRPr="00A019E2">
              <w:rPr>
                <w:sz w:val="20"/>
                <w:lang w:val="en-AU"/>
              </w:rPr>
              <w:t>1)</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Infusion site pain</w:t>
            </w:r>
          </w:p>
        </w:tc>
        <w:tc>
          <w:tcPr>
            <w:tcW w:w="2835" w:type="dxa"/>
          </w:tcPr>
          <w:p w:rsidR="0070193D" w:rsidRPr="00A019E2" w:rsidRDefault="00D6316F" w:rsidP="00985F65">
            <w:pPr>
              <w:jc w:val="center"/>
              <w:rPr>
                <w:sz w:val="20"/>
                <w:lang w:val="en-AU"/>
              </w:rPr>
            </w:pPr>
            <w:r w:rsidRPr="00A019E2">
              <w:rPr>
                <w:sz w:val="20"/>
                <w:lang w:val="en-AU"/>
              </w:rPr>
              <w:t>11 (6)</w:t>
            </w:r>
          </w:p>
        </w:tc>
        <w:tc>
          <w:tcPr>
            <w:tcW w:w="2942" w:type="dxa"/>
          </w:tcPr>
          <w:p w:rsidR="0070193D" w:rsidRPr="00A019E2" w:rsidRDefault="00D6316F" w:rsidP="00985F65">
            <w:pPr>
              <w:jc w:val="center"/>
              <w:rPr>
                <w:sz w:val="20"/>
                <w:lang w:val="en-AU"/>
              </w:rPr>
            </w:pPr>
            <w:r w:rsidRPr="00A019E2">
              <w:rPr>
                <w:sz w:val="20"/>
                <w:lang w:val="en-AU"/>
              </w:rPr>
              <w:t>0</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Pain</w:t>
            </w:r>
          </w:p>
        </w:tc>
        <w:tc>
          <w:tcPr>
            <w:tcW w:w="2835" w:type="dxa"/>
          </w:tcPr>
          <w:p w:rsidR="0070193D" w:rsidRPr="00A019E2" w:rsidRDefault="00D6316F" w:rsidP="00985F65">
            <w:pPr>
              <w:jc w:val="center"/>
              <w:rPr>
                <w:sz w:val="20"/>
                <w:lang w:val="en-AU"/>
              </w:rPr>
            </w:pPr>
            <w:r w:rsidRPr="00A019E2">
              <w:rPr>
                <w:sz w:val="20"/>
                <w:lang w:val="en-AU"/>
              </w:rPr>
              <w:t>10 (6)</w:t>
            </w:r>
          </w:p>
        </w:tc>
        <w:tc>
          <w:tcPr>
            <w:tcW w:w="2942" w:type="dxa"/>
          </w:tcPr>
          <w:p w:rsidR="0070193D" w:rsidRPr="00A019E2" w:rsidRDefault="00D6316F" w:rsidP="00985F65">
            <w:pPr>
              <w:jc w:val="center"/>
              <w:rPr>
                <w:sz w:val="20"/>
                <w:lang w:val="en-AU"/>
              </w:rPr>
            </w:pPr>
            <w:r w:rsidRPr="00A019E2">
              <w:rPr>
                <w:sz w:val="20"/>
                <w:lang w:val="en-AU"/>
              </w:rPr>
              <w:t>0</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Catheter site pain</w:t>
            </w:r>
          </w:p>
        </w:tc>
        <w:tc>
          <w:tcPr>
            <w:tcW w:w="2835" w:type="dxa"/>
          </w:tcPr>
          <w:p w:rsidR="0070193D" w:rsidRPr="00A019E2" w:rsidRDefault="00D6316F" w:rsidP="00985F65">
            <w:pPr>
              <w:jc w:val="center"/>
              <w:rPr>
                <w:sz w:val="20"/>
                <w:lang w:val="en-AU"/>
              </w:rPr>
            </w:pPr>
            <w:r w:rsidRPr="00A019E2">
              <w:rPr>
                <w:sz w:val="20"/>
                <w:lang w:val="en-AU"/>
              </w:rPr>
              <w:t>8 (5)</w:t>
            </w:r>
          </w:p>
        </w:tc>
        <w:tc>
          <w:tcPr>
            <w:tcW w:w="2942" w:type="dxa"/>
          </w:tcPr>
          <w:p w:rsidR="0070193D" w:rsidRPr="00A019E2" w:rsidRDefault="00D6316F" w:rsidP="00985F65">
            <w:pPr>
              <w:jc w:val="center"/>
              <w:rPr>
                <w:sz w:val="20"/>
                <w:lang w:val="en-AU"/>
              </w:rPr>
            </w:pPr>
            <w:r w:rsidRPr="00A019E2">
              <w:rPr>
                <w:sz w:val="20"/>
                <w:lang w:val="en-AU"/>
              </w:rPr>
              <w:t>0</w:t>
            </w:r>
          </w:p>
        </w:tc>
      </w:tr>
      <w:tr w:rsidR="00985F65" w:rsidRPr="00A019E2" w:rsidTr="00985F65">
        <w:tc>
          <w:tcPr>
            <w:tcW w:w="9287" w:type="dxa"/>
            <w:gridSpan w:val="3"/>
          </w:tcPr>
          <w:p w:rsidR="00985F65" w:rsidRPr="00A019E2" w:rsidRDefault="00D6316F" w:rsidP="00985F65">
            <w:pPr>
              <w:rPr>
                <w:b/>
                <w:sz w:val="20"/>
                <w:lang w:val="en-AU"/>
              </w:rPr>
            </w:pPr>
            <w:r w:rsidRPr="00A019E2">
              <w:rPr>
                <w:b/>
                <w:sz w:val="20"/>
                <w:lang w:val="en-AU"/>
              </w:rPr>
              <w:t>Infections &amp; infestations</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Herpes zoster</w:t>
            </w:r>
          </w:p>
        </w:tc>
        <w:tc>
          <w:tcPr>
            <w:tcW w:w="2835" w:type="dxa"/>
          </w:tcPr>
          <w:p w:rsidR="0070193D" w:rsidRPr="00A019E2" w:rsidRDefault="00D6316F" w:rsidP="00985F65">
            <w:pPr>
              <w:jc w:val="center"/>
              <w:rPr>
                <w:sz w:val="20"/>
                <w:lang w:val="en-AU"/>
              </w:rPr>
            </w:pPr>
            <w:r w:rsidRPr="00A019E2">
              <w:rPr>
                <w:sz w:val="20"/>
                <w:lang w:val="en-AU"/>
              </w:rPr>
              <w:t>18 (10)</w:t>
            </w:r>
          </w:p>
        </w:tc>
        <w:tc>
          <w:tcPr>
            <w:tcW w:w="2942" w:type="dxa"/>
          </w:tcPr>
          <w:p w:rsidR="0070193D" w:rsidRPr="00A019E2" w:rsidRDefault="00D6316F" w:rsidP="00985F65">
            <w:pPr>
              <w:jc w:val="center"/>
              <w:rPr>
                <w:sz w:val="20"/>
                <w:lang w:val="en-AU"/>
              </w:rPr>
            </w:pPr>
            <w:r w:rsidRPr="00A019E2">
              <w:rPr>
                <w:sz w:val="20"/>
                <w:lang w:val="en-AU"/>
              </w:rPr>
              <w:t>5 (3)</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Upper respiratory tract infection</w:t>
            </w:r>
          </w:p>
        </w:tc>
        <w:tc>
          <w:tcPr>
            <w:tcW w:w="2835" w:type="dxa"/>
          </w:tcPr>
          <w:p w:rsidR="0070193D" w:rsidRPr="00A019E2" w:rsidRDefault="00D6316F" w:rsidP="00985F65">
            <w:pPr>
              <w:jc w:val="center"/>
              <w:rPr>
                <w:sz w:val="20"/>
                <w:lang w:val="en-AU"/>
              </w:rPr>
            </w:pPr>
            <w:r w:rsidRPr="00A019E2">
              <w:rPr>
                <w:sz w:val="20"/>
                <w:lang w:val="en-AU"/>
              </w:rPr>
              <w:t>18 (10)</w:t>
            </w:r>
          </w:p>
        </w:tc>
        <w:tc>
          <w:tcPr>
            <w:tcW w:w="2942" w:type="dxa"/>
          </w:tcPr>
          <w:p w:rsidR="0070193D" w:rsidRPr="00A019E2" w:rsidRDefault="00D6316F" w:rsidP="00985F65">
            <w:pPr>
              <w:jc w:val="center"/>
              <w:rPr>
                <w:sz w:val="20"/>
                <w:lang w:val="en-AU"/>
              </w:rPr>
            </w:pPr>
            <w:r w:rsidRPr="00A019E2">
              <w:rPr>
                <w:sz w:val="20"/>
                <w:lang w:val="en-AU"/>
              </w:rPr>
              <w:t>0</w:t>
            </w:r>
          </w:p>
        </w:tc>
      </w:tr>
      <w:tr w:rsidR="0070193D" w:rsidRPr="00A019E2" w:rsidTr="00985F65">
        <w:tc>
          <w:tcPr>
            <w:tcW w:w="3510" w:type="dxa"/>
          </w:tcPr>
          <w:p w:rsidR="0070193D" w:rsidRPr="00A019E2" w:rsidRDefault="00D6316F" w:rsidP="00985F65">
            <w:pPr>
              <w:ind w:left="720"/>
              <w:rPr>
                <w:sz w:val="20"/>
                <w:lang w:val="en-AU"/>
              </w:rPr>
            </w:pPr>
            <w:r w:rsidRPr="00A019E2">
              <w:rPr>
                <w:sz w:val="20"/>
                <w:lang w:val="en-AU"/>
              </w:rPr>
              <w:t>Urinary tract infection</w:t>
            </w:r>
          </w:p>
        </w:tc>
        <w:tc>
          <w:tcPr>
            <w:tcW w:w="2835" w:type="dxa"/>
          </w:tcPr>
          <w:p w:rsidR="0070193D" w:rsidRPr="00A019E2" w:rsidRDefault="00D6316F" w:rsidP="00985F65">
            <w:pPr>
              <w:jc w:val="center"/>
              <w:rPr>
                <w:sz w:val="20"/>
                <w:lang w:val="en-AU"/>
              </w:rPr>
            </w:pPr>
            <w:r w:rsidRPr="00A019E2">
              <w:rPr>
                <w:sz w:val="20"/>
                <w:lang w:val="en-AU"/>
              </w:rPr>
              <w:t>17 (10)</w:t>
            </w:r>
          </w:p>
        </w:tc>
        <w:tc>
          <w:tcPr>
            <w:tcW w:w="2942" w:type="dxa"/>
          </w:tcPr>
          <w:p w:rsidR="0070193D" w:rsidRPr="00A019E2" w:rsidRDefault="00D6316F" w:rsidP="00985F65">
            <w:pPr>
              <w:jc w:val="center"/>
              <w:rPr>
                <w:sz w:val="20"/>
                <w:lang w:val="en-AU"/>
              </w:rPr>
            </w:pPr>
            <w:r w:rsidRPr="00A019E2">
              <w:rPr>
                <w:sz w:val="20"/>
                <w:lang w:val="en-AU"/>
              </w:rPr>
              <w:t>4 (2)</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Sinusitis</w:t>
            </w:r>
          </w:p>
        </w:tc>
        <w:tc>
          <w:tcPr>
            <w:tcW w:w="2835" w:type="dxa"/>
          </w:tcPr>
          <w:p w:rsidR="009D240D" w:rsidRPr="00A019E2" w:rsidRDefault="00D6316F" w:rsidP="00985F65">
            <w:pPr>
              <w:jc w:val="center"/>
              <w:rPr>
                <w:sz w:val="20"/>
                <w:lang w:val="en-AU"/>
              </w:rPr>
            </w:pPr>
            <w:r w:rsidRPr="00A019E2">
              <w:rPr>
                <w:sz w:val="20"/>
                <w:lang w:val="en-AU"/>
              </w:rPr>
              <w:t>15 (9)</w:t>
            </w:r>
          </w:p>
        </w:tc>
        <w:tc>
          <w:tcPr>
            <w:tcW w:w="2942" w:type="dxa"/>
          </w:tcPr>
          <w:p w:rsidR="009D240D" w:rsidRPr="00A019E2" w:rsidRDefault="00D6316F" w:rsidP="00985F65">
            <w:pPr>
              <w:jc w:val="center"/>
              <w:rPr>
                <w:sz w:val="20"/>
                <w:lang w:val="en-AU"/>
              </w:rPr>
            </w:pPr>
            <w:r w:rsidRPr="00A019E2">
              <w:rPr>
                <w:sz w:val="20"/>
                <w:lang w:val="en-AU"/>
              </w:rPr>
              <w:t>0</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Pneumonia</w:t>
            </w:r>
          </w:p>
        </w:tc>
        <w:tc>
          <w:tcPr>
            <w:tcW w:w="2835" w:type="dxa"/>
          </w:tcPr>
          <w:p w:rsidR="009D240D" w:rsidRPr="00A019E2" w:rsidRDefault="00D6316F" w:rsidP="00985F65">
            <w:pPr>
              <w:jc w:val="center"/>
              <w:rPr>
                <w:sz w:val="20"/>
                <w:lang w:val="en-AU"/>
              </w:rPr>
            </w:pPr>
            <w:r w:rsidRPr="00A019E2">
              <w:rPr>
                <w:sz w:val="20"/>
                <w:lang w:val="en-AU"/>
              </w:rPr>
              <w:t>14 (8)</w:t>
            </w:r>
          </w:p>
        </w:tc>
        <w:tc>
          <w:tcPr>
            <w:tcW w:w="2942" w:type="dxa"/>
          </w:tcPr>
          <w:p w:rsidR="009D240D" w:rsidRPr="00A019E2" w:rsidRDefault="00D6316F" w:rsidP="00985F65">
            <w:pPr>
              <w:jc w:val="center"/>
              <w:rPr>
                <w:sz w:val="20"/>
                <w:lang w:val="en-AU"/>
              </w:rPr>
            </w:pPr>
            <w:r w:rsidRPr="00A019E2">
              <w:rPr>
                <w:sz w:val="20"/>
                <w:lang w:val="en-AU"/>
              </w:rPr>
              <w:t>9 (5)</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Febrile neutropaenia</w:t>
            </w:r>
          </w:p>
        </w:tc>
        <w:tc>
          <w:tcPr>
            <w:tcW w:w="2835" w:type="dxa"/>
          </w:tcPr>
          <w:p w:rsidR="009D240D" w:rsidRPr="00A019E2" w:rsidRDefault="00D6316F" w:rsidP="00985F65">
            <w:pPr>
              <w:jc w:val="center"/>
              <w:rPr>
                <w:sz w:val="20"/>
                <w:lang w:val="en-AU"/>
              </w:rPr>
            </w:pPr>
            <w:r w:rsidRPr="00A019E2">
              <w:rPr>
                <w:sz w:val="20"/>
                <w:lang w:val="en-AU"/>
              </w:rPr>
              <w:t>11 (6)</w:t>
            </w:r>
          </w:p>
        </w:tc>
        <w:tc>
          <w:tcPr>
            <w:tcW w:w="2942" w:type="dxa"/>
          </w:tcPr>
          <w:p w:rsidR="009D240D" w:rsidRPr="00A019E2" w:rsidRDefault="00D6316F" w:rsidP="00985F65">
            <w:pPr>
              <w:jc w:val="center"/>
              <w:rPr>
                <w:sz w:val="20"/>
                <w:lang w:val="en-AU"/>
              </w:rPr>
            </w:pPr>
            <w:r w:rsidRPr="00A019E2">
              <w:rPr>
                <w:sz w:val="20"/>
                <w:lang w:val="en-AU"/>
              </w:rPr>
              <w:t>11 (6)</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Oral candidiasis</w:t>
            </w:r>
          </w:p>
        </w:tc>
        <w:tc>
          <w:tcPr>
            <w:tcW w:w="2835" w:type="dxa"/>
          </w:tcPr>
          <w:p w:rsidR="009D240D" w:rsidRPr="00A019E2" w:rsidRDefault="00D6316F" w:rsidP="00985F65">
            <w:pPr>
              <w:jc w:val="center"/>
              <w:rPr>
                <w:sz w:val="20"/>
                <w:lang w:val="en-AU"/>
              </w:rPr>
            </w:pPr>
            <w:r w:rsidRPr="00A019E2">
              <w:rPr>
                <w:sz w:val="20"/>
                <w:lang w:val="en-AU"/>
              </w:rPr>
              <w:t>11 (6)</w:t>
            </w:r>
          </w:p>
        </w:tc>
        <w:tc>
          <w:tcPr>
            <w:tcW w:w="2942" w:type="dxa"/>
          </w:tcPr>
          <w:p w:rsidR="009D240D" w:rsidRPr="00A019E2" w:rsidRDefault="00D6316F" w:rsidP="00985F65">
            <w:pPr>
              <w:jc w:val="center"/>
              <w:rPr>
                <w:sz w:val="20"/>
                <w:lang w:val="en-AU"/>
              </w:rPr>
            </w:pPr>
            <w:r w:rsidRPr="00A019E2">
              <w:rPr>
                <w:sz w:val="20"/>
                <w:lang w:val="en-AU"/>
              </w:rPr>
              <w:t>2 (1)</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Nasopharyngitis</w:t>
            </w:r>
          </w:p>
        </w:tc>
        <w:tc>
          <w:tcPr>
            <w:tcW w:w="2835" w:type="dxa"/>
          </w:tcPr>
          <w:p w:rsidR="009D240D" w:rsidRPr="00A019E2" w:rsidRDefault="00D6316F" w:rsidP="00985F65">
            <w:pPr>
              <w:jc w:val="center"/>
              <w:rPr>
                <w:sz w:val="20"/>
                <w:lang w:val="en-AU"/>
              </w:rPr>
            </w:pPr>
            <w:r w:rsidRPr="00A019E2">
              <w:rPr>
                <w:sz w:val="20"/>
                <w:lang w:val="en-AU"/>
              </w:rPr>
              <w:t>11 (6)</w:t>
            </w:r>
          </w:p>
        </w:tc>
        <w:tc>
          <w:tcPr>
            <w:tcW w:w="2942" w:type="dxa"/>
          </w:tcPr>
          <w:p w:rsidR="009D240D" w:rsidRPr="00A019E2" w:rsidRDefault="00D6316F" w:rsidP="00985F65">
            <w:pPr>
              <w:jc w:val="center"/>
              <w:rPr>
                <w:sz w:val="20"/>
                <w:lang w:val="en-AU"/>
              </w:rPr>
            </w:pPr>
            <w:r w:rsidRPr="00A019E2">
              <w:rPr>
                <w:sz w:val="20"/>
                <w:lang w:val="en-AU"/>
              </w:rPr>
              <w:t>0</w:t>
            </w:r>
          </w:p>
        </w:tc>
      </w:tr>
      <w:tr w:rsidR="00985F65" w:rsidRPr="00A019E2" w:rsidTr="00985F65">
        <w:tc>
          <w:tcPr>
            <w:tcW w:w="9287" w:type="dxa"/>
            <w:gridSpan w:val="3"/>
          </w:tcPr>
          <w:p w:rsidR="00985F65" w:rsidRPr="00A019E2" w:rsidRDefault="00D6316F" w:rsidP="00985F65">
            <w:pPr>
              <w:rPr>
                <w:b/>
                <w:sz w:val="20"/>
                <w:lang w:val="en-AU"/>
              </w:rPr>
            </w:pPr>
            <w:r w:rsidRPr="00A019E2">
              <w:rPr>
                <w:b/>
                <w:sz w:val="20"/>
                <w:lang w:val="en-AU"/>
              </w:rPr>
              <w:t>Investigations</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Weight decreased</w:t>
            </w:r>
          </w:p>
        </w:tc>
        <w:tc>
          <w:tcPr>
            <w:tcW w:w="2835" w:type="dxa"/>
          </w:tcPr>
          <w:p w:rsidR="009D240D" w:rsidRPr="00A019E2" w:rsidRDefault="00D6316F" w:rsidP="00985F65">
            <w:pPr>
              <w:jc w:val="center"/>
              <w:rPr>
                <w:sz w:val="20"/>
                <w:lang w:val="en-AU"/>
              </w:rPr>
            </w:pPr>
            <w:r w:rsidRPr="00A019E2">
              <w:rPr>
                <w:sz w:val="20"/>
                <w:lang w:val="en-AU"/>
              </w:rPr>
              <w:t>31 (18)</w:t>
            </w:r>
          </w:p>
        </w:tc>
        <w:tc>
          <w:tcPr>
            <w:tcW w:w="2942" w:type="dxa"/>
          </w:tcPr>
          <w:p w:rsidR="009D240D" w:rsidRPr="00A019E2" w:rsidRDefault="00D6316F" w:rsidP="00985F65">
            <w:pPr>
              <w:jc w:val="center"/>
              <w:rPr>
                <w:sz w:val="20"/>
                <w:lang w:val="en-AU"/>
              </w:rPr>
            </w:pPr>
            <w:r w:rsidRPr="00A019E2">
              <w:rPr>
                <w:sz w:val="20"/>
                <w:lang w:val="en-AU"/>
              </w:rPr>
              <w:t>3 (2)</w:t>
            </w:r>
          </w:p>
        </w:tc>
      </w:tr>
      <w:tr w:rsidR="00985F65" w:rsidRPr="00A019E2" w:rsidTr="00985F65">
        <w:tc>
          <w:tcPr>
            <w:tcW w:w="9287" w:type="dxa"/>
            <w:gridSpan w:val="3"/>
          </w:tcPr>
          <w:p w:rsidR="00985F65" w:rsidRPr="00A019E2" w:rsidRDefault="00D6316F" w:rsidP="00985F65">
            <w:pPr>
              <w:rPr>
                <w:b/>
                <w:sz w:val="20"/>
                <w:lang w:val="en-AU"/>
              </w:rPr>
            </w:pPr>
            <w:r w:rsidRPr="00A019E2">
              <w:rPr>
                <w:b/>
                <w:sz w:val="20"/>
                <w:lang w:val="en-AU"/>
              </w:rPr>
              <w:t>Metabolism &amp; nutrition disorders</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Anorexia</w:t>
            </w:r>
          </w:p>
        </w:tc>
        <w:tc>
          <w:tcPr>
            <w:tcW w:w="2835" w:type="dxa"/>
          </w:tcPr>
          <w:p w:rsidR="009D240D" w:rsidRPr="00A019E2" w:rsidRDefault="00D6316F" w:rsidP="00985F65">
            <w:pPr>
              <w:jc w:val="center"/>
              <w:rPr>
                <w:sz w:val="20"/>
                <w:lang w:val="en-AU"/>
              </w:rPr>
            </w:pPr>
            <w:r w:rsidRPr="00A019E2">
              <w:rPr>
                <w:sz w:val="20"/>
                <w:lang w:val="en-AU"/>
              </w:rPr>
              <w:t>40 (23)</w:t>
            </w:r>
          </w:p>
        </w:tc>
        <w:tc>
          <w:tcPr>
            <w:tcW w:w="2942" w:type="dxa"/>
          </w:tcPr>
          <w:p w:rsidR="009D240D" w:rsidRPr="00A019E2" w:rsidRDefault="00D6316F" w:rsidP="00985F65">
            <w:pPr>
              <w:jc w:val="center"/>
              <w:rPr>
                <w:sz w:val="20"/>
                <w:lang w:val="en-AU"/>
              </w:rPr>
            </w:pPr>
            <w:r w:rsidRPr="00A019E2">
              <w:rPr>
                <w:sz w:val="20"/>
                <w:lang w:val="en-AU"/>
              </w:rPr>
              <w:t>3 (2)</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Dehydration</w:t>
            </w:r>
          </w:p>
        </w:tc>
        <w:tc>
          <w:tcPr>
            <w:tcW w:w="2835" w:type="dxa"/>
          </w:tcPr>
          <w:p w:rsidR="009D240D" w:rsidRPr="00A019E2" w:rsidRDefault="00D6316F" w:rsidP="00985F65">
            <w:pPr>
              <w:jc w:val="center"/>
              <w:rPr>
                <w:sz w:val="20"/>
                <w:lang w:val="en-AU"/>
              </w:rPr>
            </w:pPr>
            <w:r w:rsidRPr="00A019E2">
              <w:rPr>
                <w:sz w:val="20"/>
                <w:lang w:val="en-AU"/>
              </w:rPr>
              <w:t>24 (14)</w:t>
            </w:r>
          </w:p>
        </w:tc>
        <w:tc>
          <w:tcPr>
            <w:tcW w:w="2942" w:type="dxa"/>
          </w:tcPr>
          <w:p w:rsidR="009D240D" w:rsidRPr="00A019E2" w:rsidRDefault="00D6316F" w:rsidP="00985F65">
            <w:pPr>
              <w:jc w:val="center"/>
              <w:rPr>
                <w:sz w:val="20"/>
                <w:lang w:val="en-AU"/>
              </w:rPr>
            </w:pPr>
            <w:r w:rsidRPr="00A019E2">
              <w:rPr>
                <w:sz w:val="20"/>
                <w:lang w:val="en-AU"/>
              </w:rPr>
              <w:t>8 (5)</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Decreased appetite</w:t>
            </w:r>
          </w:p>
        </w:tc>
        <w:tc>
          <w:tcPr>
            <w:tcW w:w="2835" w:type="dxa"/>
          </w:tcPr>
          <w:p w:rsidR="009D240D" w:rsidRPr="00A019E2" w:rsidRDefault="00D6316F" w:rsidP="00985F65">
            <w:pPr>
              <w:jc w:val="center"/>
              <w:rPr>
                <w:sz w:val="20"/>
                <w:lang w:val="en-AU"/>
              </w:rPr>
            </w:pPr>
            <w:r w:rsidRPr="00A019E2">
              <w:rPr>
                <w:sz w:val="20"/>
                <w:lang w:val="en-AU"/>
              </w:rPr>
              <w:t>22 (13)</w:t>
            </w:r>
          </w:p>
        </w:tc>
        <w:tc>
          <w:tcPr>
            <w:tcW w:w="2942" w:type="dxa"/>
          </w:tcPr>
          <w:p w:rsidR="009D240D" w:rsidRPr="00A019E2" w:rsidRDefault="00D6316F" w:rsidP="00985F65">
            <w:pPr>
              <w:jc w:val="center"/>
              <w:rPr>
                <w:sz w:val="20"/>
                <w:lang w:val="en-AU"/>
              </w:rPr>
            </w:pPr>
            <w:r w:rsidRPr="00A019E2">
              <w:rPr>
                <w:sz w:val="20"/>
                <w:lang w:val="en-AU"/>
              </w:rPr>
              <w:t>1 (</w:t>
            </w:r>
            <w:r w:rsidRPr="00A019E2">
              <w:rPr>
                <w:rFonts w:cs="Arial"/>
                <w:sz w:val="20"/>
                <w:lang w:val="en-AU"/>
              </w:rPr>
              <w:t>&lt;</w:t>
            </w:r>
            <w:r w:rsidRPr="00A019E2">
              <w:rPr>
                <w:sz w:val="20"/>
                <w:lang w:val="en-AU"/>
              </w:rPr>
              <w:t>1)</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lastRenderedPageBreak/>
              <w:t xml:space="preserve">Hypokalaemia </w:t>
            </w:r>
          </w:p>
        </w:tc>
        <w:tc>
          <w:tcPr>
            <w:tcW w:w="2835" w:type="dxa"/>
          </w:tcPr>
          <w:p w:rsidR="009D240D" w:rsidRPr="00A019E2" w:rsidRDefault="00D6316F" w:rsidP="00985F65">
            <w:pPr>
              <w:jc w:val="center"/>
              <w:rPr>
                <w:sz w:val="20"/>
                <w:lang w:val="en-AU"/>
              </w:rPr>
            </w:pPr>
            <w:r w:rsidRPr="00A019E2">
              <w:rPr>
                <w:sz w:val="20"/>
                <w:lang w:val="en-AU"/>
              </w:rPr>
              <w:t>15 (9)</w:t>
            </w:r>
          </w:p>
        </w:tc>
        <w:tc>
          <w:tcPr>
            <w:tcW w:w="2942" w:type="dxa"/>
          </w:tcPr>
          <w:p w:rsidR="009D240D" w:rsidRPr="00A019E2" w:rsidRDefault="00D6316F" w:rsidP="00985F65">
            <w:pPr>
              <w:jc w:val="center"/>
              <w:rPr>
                <w:sz w:val="20"/>
                <w:lang w:val="en-AU"/>
              </w:rPr>
            </w:pPr>
            <w:r w:rsidRPr="00A019E2">
              <w:rPr>
                <w:sz w:val="20"/>
                <w:lang w:val="en-AU"/>
              </w:rPr>
              <w:t>9 (5)</w:t>
            </w:r>
          </w:p>
        </w:tc>
      </w:tr>
      <w:tr w:rsidR="00985F65" w:rsidRPr="00A019E2" w:rsidTr="00985F65">
        <w:tc>
          <w:tcPr>
            <w:tcW w:w="9287" w:type="dxa"/>
            <w:gridSpan w:val="3"/>
          </w:tcPr>
          <w:p w:rsidR="00985F65" w:rsidRPr="00A019E2" w:rsidRDefault="00D6316F" w:rsidP="00985F65">
            <w:pPr>
              <w:rPr>
                <w:b/>
                <w:sz w:val="20"/>
                <w:lang w:val="en-AU"/>
              </w:rPr>
            </w:pPr>
            <w:r w:rsidRPr="00A019E2">
              <w:rPr>
                <w:b/>
                <w:sz w:val="20"/>
                <w:lang w:val="en-AU"/>
              </w:rPr>
              <w:t>Musculoskeletal &amp; Connective tissue disorders</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Back pain</w:t>
            </w:r>
          </w:p>
        </w:tc>
        <w:tc>
          <w:tcPr>
            <w:tcW w:w="2835" w:type="dxa"/>
          </w:tcPr>
          <w:p w:rsidR="009D240D" w:rsidRPr="00A019E2" w:rsidRDefault="00D6316F" w:rsidP="00985F65">
            <w:pPr>
              <w:jc w:val="center"/>
              <w:rPr>
                <w:sz w:val="20"/>
                <w:lang w:val="en-AU"/>
              </w:rPr>
            </w:pPr>
            <w:r w:rsidRPr="00A019E2">
              <w:rPr>
                <w:sz w:val="20"/>
                <w:lang w:val="en-AU"/>
              </w:rPr>
              <w:t>25 (14)</w:t>
            </w:r>
          </w:p>
        </w:tc>
        <w:tc>
          <w:tcPr>
            <w:tcW w:w="2942" w:type="dxa"/>
          </w:tcPr>
          <w:p w:rsidR="009D240D" w:rsidRPr="00A019E2" w:rsidRDefault="00D6316F" w:rsidP="00985F65">
            <w:pPr>
              <w:jc w:val="center"/>
              <w:rPr>
                <w:sz w:val="20"/>
                <w:lang w:val="en-AU"/>
              </w:rPr>
            </w:pPr>
            <w:r w:rsidRPr="00A019E2">
              <w:rPr>
                <w:sz w:val="20"/>
                <w:lang w:val="en-AU"/>
              </w:rPr>
              <w:t>5 (3)</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Arthralgia</w:t>
            </w:r>
          </w:p>
        </w:tc>
        <w:tc>
          <w:tcPr>
            <w:tcW w:w="2835" w:type="dxa"/>
          </w:tcPr>
          <w:p w:rsidR="009D240D" w:rsidRPr="00A019E2" w:rsidRDefault="00D6316F" w:rsidP="00985F65">
            <w:pPr>
              <w:jc w:val="center"/>
              <w:rPr>
                <w:sz w:val="20"/>
                <w:lang w:val="en-AU"/>
              </w:rPr>
            </w:pPr>
            <w:r w:rsidRPr="00A019E2">
              <w:rPr>
                <w:sz w:val="20"/>
                <w:lang w:val="en-AU"/>
              </w:rPr>
              <w:t>11 (6)</w:t>
            </w:r>
          </w:p>
        </w:tc>
        <w:tc>
          <w:tcPr>
            <w:tcW w:w="2942" w:type="dxa"/>
          </w:tcPr>
          <w:p w:rsidR="009D240D" w:rsidRPr="00A019E2" w:rsidRDefault="00D6316F" w:rsidP="00985F65">
            <w:pPr>
              <w:jc w:val="center"/>
              <w:rPr>
                <w:sz w:val="20"/>
                <w:lang w:val="en-AU"/>
              </w:rPr>
            </w:pPr>
            <w:r w:rsidRPr="00A019E2">
              <w:rPr>
                <w:sz w:val="20"/>
                <w:lang w:val="en-AU"/>
              </w:rPr>
              <w:t>0</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Pain in extremity</w:t>
            </w:r>
          </w:p>
        </w:tc>
        <w:tc>
          <w:tcPr>
            <w:tcW w:w="2835" w:type="dxa"/>
          </w:tcPr>
          <w:p w:rsidR="009D240D" w:rsidRPr="00A019E2" w:rsidRDefault="00D6316F" w:rsidP="00985F65">
            <w:pPr>
              <w:jc w:val="center"/>
              <w:rPr>
                <w:sz w:val="20"/>
                <w:lang w:val="en-AU"/>
              </w:rPr>
            </w:pPr>
            <w:r w:rsidRPr="00A019E2">
              <w:rPr>
                <w:sz w:val="20"/>
                <w:lang w:val="en-AU"/>
              </w:rPr>
              <w:t>8 (5)</w:t>
            </w:r>
          </w:p>
        </w:tc>
        <w:tc>
          <w:tcPr>
            <w:tcW w:w="2942" w:type="dxa"/>
          </w:tcPr>
          <w:p w:rsidR="009D240D" w:rsidRPr="00A019E2" w:rsidRDefault="00D6316F" w:rsidP="00985F65">
            <w:pPr>
              <w:jc w:val="center"/>
              <w:rPr>
                <w:sz w:val="20"/>
                <w:lang w:val="en-AU"/>
              </w:rPr>
            </w:pPr>
            <w:r w:rsidRPr="00A019E2">
              <w:rPr>
                <w:sz w:val="20"/>
                <w:lang w:val="en-AU"/>
              </w:rPr>
              <w:t>2 (1)</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Bone pain</w:t>
            </w:r>
          </w:p>
        </w:tc>
        <w:tc>
          <w:tcPr>
            <w:tcW w:w="2835" w:type="dxa"/>
          </w:tcPr>
          <w:p w:rsidR="009D240D" w:rsidRPr="00A019E2" w:rsidRDefault="00D6316F" w:rsidP="00985F65">
            <w:pPr>
              <w:jc w:val="center"/>
              <w:rPr>
                <w:sz w:val="20"/>
                <w:lang w:val="en-AU"/>
              </w:rPr>
            </w:pPr>
            <w:r w:rsidRPr="00A019E2">
              <w:rPr>
                <w:sz w:val="20"/>
                <w:lang w:val="en-AU"/>
              </w:rPr>
              <w:t>8 (5)</w:t>
            </w:r>
          </w:p>
        </w:tc>
        <w:tc>
          <w:tcPr>
            <w:tcW w:w="2942" w:type="dxa"/>
          </w:tcPr>
          <w:p w:rsidR="009D240D" w:rsidRPr="00A019E2" w:rsidRDefault="00D6316F" w:rsidP="00985F65">
            <w:pPr>
              <w:jc w:val="center"/>
              <w:rPr>
                <w:sz w:val="20"/>
                <w:lang w:val="en-AU"/>
              </w:rPr>
            </w:pPr>
            <w:r w:rsidRPr="00A019E2">
              <w:rPr>
                <w:sz w:val="20"/>
                <w:lang w:val="en-AU"/>
              </w:rPr>
              <w:t>0</w:t>
            </w:r>
          </w:p>
        </w:tc>
      </w:tr>
      <w:tr w:rsidR="00985F65" w:rsidRPr="00A019E2" w:rsidTr="00985F65">
        <w:tc>
          <w:tcPr>
            <w:tcW w:w="9287" w:type="dxa"/>
            <w:gridSpan w:val="3"/>
          </w:tcPr>
          <w:p w:rsidR="00985F65" w:rsidRPr="00A019E2" w:rsidRDefault="00D6316F" w:rsidP="00985F65">
            <w:pPr>
              <w:rPr>
                <w:b/>
                <w:sz w:val="20"/>
                <w:lang w:val="en-AU"/>
              </w:rPr>
            </w:pPr>
            <w:r w:rsidRPr="00A019E2">
              <w:rPr>
                <w:b/>
                <w:sz w:val="20"/>
                <w:lang w:val="en-AU"/>
              </w:rPr>
              <w:t>Nervous system disorders</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Headache</w:t>
            </w:r>
          </w:p>
        </w:tc>
        <w:tc>
          <w:tcPr>
            <w:tcW w:w="2835" w:type="dxa"/>
          </w:tcPr>
          <w:p w:rsidR="009D240D" w:rsidRPr="00A019E2" w:rsidRDefault="00D6316F" w:rsidP="00985F65">
            <w:pPr>
              <w:jc w:val="center"/>
              <w:rPr>
                <w:sz w:val="20"/>
                <w:lang w:val="en-AU"/>
              </w:rPr>
            </w:pPr>
            <w:r w:rsidRPr="00A019E2">
              <w:rPr>
                <w:sz w:val="20"/>
                <w:lang w:val="en-AU"/>
              </w:rPr>
              <w:t>36 (21)</w:t>
            </w:r>
          </w:p>
        </w:tc>
        <w:tc>
          <w:tcPr>
            <w:tcW w:w="2942" w:type="dxa"/>
          </w:tcPr>
          <w:p w:rsidR="009D240D" w:rsidRPr="00A019E2" w:rsidRDefault="00D6316F" w:rsidP="00985F65">
            <w:pPr>
              <w:jc w:val="center"/>
              <w:rPr>
                <w:sz w:val="20"/>
                <w:lang w:val="en-AU"/>
              </w:rPr>
            </w:pPr>
            <w:r w:rsidRPr="00A019E2">
              <w:rPr>
                <w:sz w:val="20"/>
                <w:lang w:val="en-AU"/>
              </w:rPr>
              <w:t>0</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Dizziness</w:t>
            </w:r>
          </w:p>
        </w:tc>
        <w:tc>
          <w:tcPr>
            <w:tcW w:w="2835" w:type="dxa"/>
          </w:tcPr>
          <w:p w:rsidR="009D240D" w:rsidRPr="00A019E2" w:rsidRDefault="00E63FC4" w:rsidP="00E95C20">
            <w:pPr>
              <w:jc w:val="center"/>
              <w:rPr>
                <w:sz w:val="20"/>
                <w:lang w:val="en-AU"/>
              </w:rPr>
            </w:pPr>
            <w:r w:rsidRPr="00A019E2">
              <w:rPr>
                <w:sz w:val="20"/>
                <w:lang w:val="en-AU"/>
              </w:rPr>
              <w:t xml:space="preserve">25 </w:t>
            </w:r>
            <w:r w:rsidR="00E95C20" w:rsidRPr="00A019E2">
              <w:rPr>
                <w:sz w:val="20"/>
                <w:lang w:val="en-AU"/>
              </w:rPr>
              <w:t>(14)</w:t>
            </w:r>
          </w:p>
        </w:tc>
        <w:tc>
          <w:tcPr>
            <w:tcW w:w="2942" w:type="dxa"/>
          </w:tcPr>
          <w:p w:rsidR="009D240D" w:rsidRPr="00A019E2" w:rsidRDefault="009D240D" w:rsidP="00985F65">
            <w:pPr>
              <w:jc w:val="center"/>
              <w:rPr>
                <w:sz w:val="20"/>
                <w:lang w:val="en-AU"/>
              </w:rPr>
            </w:pPr>
            <w:r w:rsidRPr="00A019E2">
              <w:rPr>
                <w:sz w:val="20"/>
                <w:lang w:val="en-AU"/>
              </w:rPr>
              <w:t>0</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Dysgeusia</w:t>
            </w:r>
          </w:p>
        </w:tc>
        <w:tc>
          <w:tcPr>
            <w:tcW w:w="2835" w:type="dxa"/>
          </w:tcPr>
          <w:p w:rsidR="009D240D" w:rsidRPr="00A019E2" w:rsidRDefault="00D6316F" w:rsidP="00985F65">
            <w:pPr>
              <w:jc w:val="center"/>
              <w:rPr>
                <w:sz w:val="20"/>
                <w:lang w:val="en-AU"/>
              </w:rPr>
            </w:pPr>
            <w:r w:rsidRPr="00A019E2">
              <w:rPr>
                <w:sz w:val="20"/>
                <w:lang w:val="en-AU"/>
              </w:rPr>
              <w:t>13 (7)</w:t>
            </w:r>
          </w:p>
        </w:tc>
        <w:tc>
          <w:tcPr>
            <w:tcW w:w="2942" w:type="dxa"/>
          </w:tcPr>
          <w:p w:rsidR="009D240D" w:rsidRPr="00A019E2" w:rsidRDefault="00D6316F" w:rsidP="00985F65">
            <w:pPr>
              <w:jc w:val="center"/>
              <w:rPr>
                <w:sz w:val="20"/>
                <w:lang w:val="en-AU"/>
              </w:rPr>
            </w:pPr>
            <w:r w:rsidRPr="00A019E2">
              <w:rPr>
                <w:sz w:val="20"/>
                <w:lang w:val="en-AU"/>
              </w:rPr>
              <w:t>0</w:t>
            </w:r>
          </w:p>
        </w:tc>
      </w:tr>
      <w:tr w:rsidR="009D240D" w:rsidRPr="00A019E2" w:rsidTr="00985F65">
        <w:tc>
          <w:tcPr>
            <w:tcW w:w="3510" w:type="dxa"/>
          </w:tcPr>
          <w:p w:rsidR="00CF3F2C" w:rsidRPr="00A019E2" w:rsidRDefault="00E63FC4">
            <w:pPr>
              <w:rPr>
                <w:b/>
                <w:sz w:val="20"/>
                <w:lang w:val="en-AU"/>
              </w:rPr>
            </w:pPr>
            <w:r w:rsidRPr="00A019E2">
              <w:rPr>
                <w:b/>
                <w:sz w:val="20"/>
                <w:lang w:val="en-AU"/>
              </w:rPr>
              <w:t>Psychiatric disorders</w:t>
            </w:r>
          </w:p>
        </w:tc>
        <w:tc>
          <w:tcPr>
            <w:tcW w:w="2835" w:type="dxa"/>
          </w:tcPr>
          <w:p w:rsidR="009D240D" w:rsidRPr="00A019E2" w:rsidRDefault="009D240D" w:rsidP="00985F65">
            <w:pPr>
              <w:jc w:val="center"/>
              <w:rPr>
                <w:sz w:val="20"/>
                <w:lang w:val="en-AU"/>
              </w:rPr>
            </w:pPr>
          </w:p>
        </w:tc>
        <w:tc>
          <w:tcPr>
            <w:tcW w:w="2942" w:type="dxa"/>
          </w:tcPr>
          <w:p w:rsidR="009D240D" w:rsidRPr="00A019E2" w:rsidRDefault="009D240D" w:rsidP="00985F65">
            <w:pPr>
              <w:jc w:val="center"/>
              <w:rPr>
                <w:sz w:val="20"/>
                <w:lang w:val="en-AU"/>
              </w:rPr>
            </w:pP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Insomnia</w:t>
            </w:r>
          </w:p>
        </w:tc>
        <w:tc>
          <w:tcPr>
            <w:tcW w:w="2835" w:type="dxa"/>
          </w:tcPr>
          <w:p w:rsidR="009D240D" w:rsidRPr="00A019E2" w:rsidRDefault="00D6316F" w:rsidP="00985F65">
            <w:pPr>
              <w:jc w:val="center"/>
              <w:rPr>
                <w:sz w:val="20"/>
                <w:lang w:val="en-AU"/>
              </w:rPr>
            </w:pPr>
            <w:r w:rsidRPr="00A019E2">
              <w:rPr>
                <w:sz w:val="20"/>
                <w:lang w:val="en-AU"/>
              </w:rPr>
              <w:t>23 (13)</w:t>
            </w:r>
          </w:p>
        </w:tc>
        <w:tc>
          <w:tcPr>
            <w:tcW w:w="2942" w:type="dxa"/>
          </w:tcPr>
          <w:p w:rsidR="009D240D" w:rsidRPr="00A019E2" w:rsidRDefault="00D6316F" w:rsidP="00985F65">
            <w:pPr>
              <w:jc w:val="center"/>
              <w:rPr>
                <w:sz w:val="20"/>
                <w:lang w:val="en-AU"/>
              </w:rPr>
            </w:pPr>
            <w:r w:rsidRPr="00A019E2">
              <w:rPr>
                <w:sz w:val="20"/>
                <w:lang w:val="en-AU"/>
              </w:rPr>
              <w:t>0</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Anxiety</w:t>
            </w:r>
          </w:p>
        </w:tc>
        <w:tc>
          <w:tcPr>
            <w:tcW w:w="2835" w:type="dxa"/>
          </w:tcPr>
          <w:p w:rsidR="009D240D" w:rsidRPr="00A019E2" w:rsidRDefault="00D6316F" w:rsidP="00985F65">
            <w:pPr>
              <w:jc w:val="center"/>
              <w:rPr>
                <w:sz w:val="20"/>
                <w:lang w:val="en-AU"/>
              </w:rPr>
            </w:pPr>
            <w:r w:rsidRPr="00A019E2">
              <w:rPr>
                <w:sz w:val="20"/>
                <w:lang w:val="en-AU"/>
              </w:rPr>
              <w:t>14 (8)</w:t>
            </w:r>
          </w:p>
        </w:tc>
        <w:tc>
          <w:tcPr>
            <w:tcW w:w="2942" w:type="dxa"/>
          </w:tcPr>
          <w:p w:rsidR="009D240D" w:rsidRPr="00A019E2" w:rsidRDefault="00D6316F" w:rsidP="00985F65">
            <w:pPr>
              <w:jc w:val="center"/>
              <w:rPr>
                <w:sz w:val="20"/>
                <w:lang w:val="en-AU"/>
              </w:rPr>
            </w:pPr>
            <w:r w:rsidRPr="00A019E2">
              <w:rPr>
                <w:sz w:val="20"/>
                <w:lang w:val="en-AU"/>
              </w:rPr>
              <w:t>1 (</w:t>
            </w:r>
            <w:r w:rsidRPr="00A019E2">
              <w:rPr>
                <w:rFonts w:cs="Arial"/>
                <w:sz w:val="20"/>
                <w:lang w:val="en-AU"/>
              </w:rPr>
              <w:t>&lt;</w:t>
            </w:r>
            <w:r w:rsidRPr="00A019E2">
              <w:rPr>
                <w:sz w:val="20"/>
                <w:lang w:val="en-AU"/>
              </w:rPr>
              <w:t>1)</w:t>
            </w:r>
          </w:p>
        </w:tc>
      </w:tr>
      <w:tr w:rsidR="009D240D" w:rsidRPr="00A019E2" w:rsidTr="00985F65">
        <w:tc>
          <w:tcPr>
            <w:tcW w:w="3510" w:type="dxa"/>
          </w:tcPr>
          <w:p w:rsidR="009D240D" w:rsidRPr="00A019E2" w:rsidRDefault="00D6316F" w:rsidP="00985F65">
            <w:pPr>
              <w:ind w:left="720"/>
              <w:rPr>
                <w:sz w:val="20"/>
                <w:lang w:val="en-AU"/>
              </w:rPr>
            </w:pPr>
            <w:r w:rsidRPr="00A019E2">
              <w:rPr>
                <w:sz w:val="20"/>
                <w:lang w:val="en-AU"/>
              </w:rPr>
              <w:t>Depression</w:t>
            </w:r>
          </w:p>
        </w:tc>
        <w:tc>
          <w:tcPr>
            <w:tcW w:w="2835" w:type="dxa"/>
          </w:tcPr>
          <w:p w:rsidR="009D240D" w:rsidRPr="00A019E2" w:rsidRDefault="00D6316F" w:rsidP="00985F65">
            <w:pPr>
              <w:jc w:val="center"/>
              <w:rPr>
                <w:sz w:val="20"/>
                <w:lang w:val="en-AU"/>
              </w:rPr>
            </w:pPr>
            <w:r w:rsidRPr="00A019E2">
              <w:rPr>
                <w:sz w:val="20"/>
                <w:lang w:val="en-AU"/>
              </w:rPr>
              <w:t>10 (6)</w:t>
            </w:r>
          </w:p>
        </w:tc>
        <w:tc>
          <w:tcPr>
            <w:tcW w:w="2942" w:type="dxa"/>
          </w:tcPr>
          <w:p w:rsidR="009D240D" w:rsidRPr="00A019E2" w:rsidRDefault="00D6316F" w:rsidP="00985F65">
            <w:pPr>
              <w:jc w:val="center"/>
              <w:rPr>
                <w:sz w:val="20"/>
                <w:lang w:val="en-AU"/>
              </w:rPr>
            </w:pPr>
            <w:r w:rsidRPr="00A019E2">
              <w:rPr>
                <w:sz w:val="20"/>
                <w:lang w:val="en-AU"/>
              </w:rPr>
              <w:t>0</w:t>
            </w:r>
          </w:p>
        </w:tc>
      </w:tr>
      <w:tr w:rsidR="00985F65" w:rsidRPr="00A019E2" w:rsidTr="00985F65">
        <w:tc>
          <w:tcPr>
            <w:tcW w:w="9287" w:type="dxa"/>
            <w:gridSpan w:val="3"/>
          </w:tcPr>
          <w:p w:rsidR="00985F65" w:rsidRPr="00A019E2" w:rsidRDefault="00D6316F" w:rsidP="00985F65">
            <w:pPr>
              <w:rPr>
                <w:b/>
                <w:sz w:val="20"/>
                <w:lang w:val="en-AU"/>
              </w:rPr>
            </w:pPr>
            <w:r w:rsidRPr="00A019E2">
              <w:rPr>
                <w:b/>
                <w:sz w:val="20"/>
                <w:lang w:val="en-AU"/>
              </w:rPr>
              <w:t>Respiratory, thoracic &amp; mediastinal disorders</w:t>
            </w:r>
          </w:p>
        </w:tc>
      </w:tr>
      <w:tr w:rsidR="00C306C9" w:rsidRPr="00A019E2" w:rsidTr="00985F65">
        <w:tc>
          <w:tcPr>
            <w:tcW w:w="3510" w:type="dxa"/>
          </w:tcPr>
          <w:p w:rsidR="00C306C9" w:rsidRPr="00A019E2" w:rsidRDefault="00D6316F" w:rsidP="00985F65">
            <w:pPr>
              <w:ind w:left="720"/>
              <w:rPr>
                <w:sz w:val="20"/>
                <w:lang w:val="en-AU"/>
              </w:rPr>
            </w:pPr>
            <w:r w:rsidRPr="00A019E2">
              <w:rPr>
                <w:sz w:val="20"/>
                <w:lang w:val="en-AU"/>
              </w:rPr>
              <w:t>Cough</w:t>
            </w:r>
          </w:p>
        </w:tc>
        <w:tc>
          <w:tcPr>
            <w:tcW w:w="2835" w:type="dxa"/>
          </w:tcPr>
          <w:p w:rsidR="00C306C9" w:rsidRPr="00A019E2" w:rsidRDefault="00D6316F" w:rsidP="00985F65">
            <w:pPr>
              <w:jc w:val="center"/>
              <w:rPr>
                <w:sz w:val="20"/>
                <w:lang w:val="en-AU"/>
              </w:rPr>
            </w:pPr>
            <w:r w:rsidRPr="00A019E2">
              <w:rPr>
                <w:sz w:val="20"/>
                <w:lang w:val="en-AU"/>
              </w:rPr>
              <w:t>38 (22)</w:t>
            </w:r>
          </w:p>
        </w:tc>
        <w:tc>
          <w:tcPr>
            <w:tcW w:w="2942" w:type="dxa"/>
          </w:tcPr>
          <w:p w:rsidR="00C306C9" w:rsidRPr="00A019E2" w:rsidRDefault="00D6316F" w:rsidP="00985F65">
            <w:pPr>
              <w:jc w:val="center"/>
              <w:rPr>
                <w:sz w:val="20"/>
                <w:lang w:val="en-AU"/>
              </w:rPr>
            </w:pPr>
            <w:r w:rsidRPr="00A019E2">
              <w:rPr>
                <w:sz w:val="20"/>
                <w:lang w:val="en-AU"/>
              </w:rPr>
              <w:t>1 (</w:t>
            </w:r>
            <w:r w:rsidRPr="00A019E2">
              <w:rPr>
                <w:rFonts w:cs="Arial"/>
                <w:sz w:val="20"/>
                <w:lang w:val="en-AU"/>
              </w:rPr>
              <w:t>&lt;</w:t>
            </w:r>
            <w:r w:rsidRPr="00A019E2">
              <w:rPr>
                <w:sz w:val="20"/>
                <w:lang w:val="en-AU"/>
              </w:rPr>
              <w:t>1)</w:t>
            </w:r>
          </w:p>
        </w:tc>
      </w:tr>
      <w:tr w:rsidR="00C306C9" w:rsidRPr="00A019E2" w:rsidTr="00985F65">
        <w:tc>
          <w:tcPr>
            <w:tcW w:w="3510" w:type="dxa"/>
          </w:tcPr>
          <w:p w:rsidR="00C306C9" w:rsidRPr="00A019E2" w:rsidRDefault="00D6316F" w:rsidP="00985F65">
            <w:pPr>
              <w:ind w:left="720"/>
              <w:rPr>
                <w:sz w:val="20"/>
                <w:lang w:val="en-AU"/>
              </w:rPr>
            </w:pPr>
            <w:r w:rsidRPr="00A019E2">
              <w:rPr>
                <w:sz w:val="20"/>
                <w:lang w:val="en-AU"/>
              </w:rPr>
              <w:t>Dyspnoea</w:t>
            </w:r>
          </w:p>
        </w:tc>
        <w:tc>
          <w:tcPr>
            <w:tcW w:w="2835" w:type="dxa"/>
          </w:tcPr>
          <w:p w:rsidR="00C306C9" w:rsidRPr="00A019E2" w:rsidRDefault="00D6316F" w:rsidP="00985F65">
            <w:pPr>
              <w:jc w:val="center"/>
              <w:rPr>
                <w:sz w:val="20"/>
                <w:lang w:val="en-AU"/>
              </w:rPr>
            </w:pPr>
            <w:r w:rsidRPr="00A019E2">
              <w:rPr>
                <w:sz w:val="20"/>
                <w:lang w:val="en-AU"/>
              </w:rPr>
              <w:t>28 (16)</w:t>
            </w:r>
          </w:p>
        </w:tc>
        <w:tc>
          <w:tcPr>
            <w:tcW w:w="2942" w:type="dxa"/>
          </w:tcPr>
          <w:p w:rsidR="00C306C9" w:rsidRPr="00A019E2" w:rsidRDefault="00D6316F" w:rsidP="00985F65">
            <w:pPr>
              <w:jc w:val="center"/>
              <w:rPr>
                <w:sz w:val="20"/>
                <w:lang w:val="en-AU"/>
              </w:rPr>
            </w:pPr>
            <w:r w:rsidRPr="00A019E2">
              <w:rPr>
                <w:sz w:val="20"/>
                <w:lang w:val="en-AU"/>
              </w:rPr>
              <w:t>3 (2)</w:t>
            </w:r>
          </w:p>
        </w:tc>
      </w:tr>
      <w:tr w:rsidR="00C306C9" w:rsidRPr="00A019E2" w:rsidTr="00985F65">
        <w:tc>
          <w:tcPr>
            <w:tcW w:w="3510" w:type="dxa"/>
          </w:tcPr>
          <w:p w:rsidR="00C306C9" w:rsidRPr="00A019E2" w:rsidRDefault="00D6316F" w:rsidP="00985F65">
            <w:pPr>
              <w:ind w:left="720"/>
              <w:rPr>
                <w:sz w:val="20"/>
                <w:lang w:val="en-AU"/>
              </w:rPr>
            </w:pPr>
            <w:r w:rsidRPr="00A019E2">
              <w:rPr>
                <w:sz w:val="20"/>
                <w:lang w:val="en-AU"/>
              </w:rPr>
              <w:t>Pharyngolaryngeal pain</w:t>
            </w:r>
          </w:p>
        </w:tc>
        <w:tc>
          <w:tcPr>
            <w:tcW w:w="2835" w:type="dxa"/>
          </w:tcPr>
          <w:p w:rsidR="00C306C9" w:rsidRPr="00A019E2" w:rsidRDefault="00D6316F" w:rsidP="00985F65">
            <w:pPr>
              <w:jc w:val="center"/>
              <w:rPr>
                <w:sz w:val="20"/>
                <w:lang w:val="en-AU"/>
              </w:rPr>
            </w:pPr>
            <w:r w:rsidRPr="00A019E2">
              <w:rPr>
                <w:sz w:val="20"/>
                <w:lang w:val="en-AU"/>
              </w:rPr>
              <w:t>14 (8)</w:t>
            </w:r>
          </w:p>
        </w:tc>
        <w:tc>
          <w:tcPr>
            <w:tcW w:w="2942" w:type="dxa"/>
          </w:tcPr>
          <w:p w:rsidR="00C306C9" w:rsidRPr="00A019E2" w:rsidRDefault="00D6316F" w:rsidP="00985F65">
            <w:pPr>
              <w:jc w:val="center"/>
              <w:rPr>
                <w:sz w:val="20"/>
                <w:lang w:val="en-AU"/>
              </w:rPr>
            </w:pPr>
            <w:r w:rsidRPr="00A019E2">
              <w:rPr>
                <w:sz w:val="20"/>
                <w:lang w:val="en-AU"/>
              </w:rPr>
              <w:t>1 (</w:t>
            </w:r>
            <w:r w:rsidRPr="00A019E2">
              <w:rPr>
                <w:rFonts w:cs="Arial"/>
                <w:sz w:val="20"/>
                <w:lang w:val="en-AU"/>
              </w:rPr>
              <w:t>&lt;</w:t>
            </w:r>
            <w:r w:rsidRPr="00A019E2">
              <w:rPr>
                <w:sz w:val="20"/>
                <w:lang w:val="en-AU"/>
              </w:rPr>
              <w:t>1)</w:t>
            </w:r>
          </w:p>
        </w:tc>
      </w:tr>
      <w:tr w:rsidR="00C306C9" w:rsidRPr="00A019E2" w:rsidTr="00985F65">
        <w:tc>
          <w:tcPr>
            <w:tcW w:w="3510" w:type="dxa"/>
          </w:tcPr>
          <w:p w:rsidR="00C306C9" w:rsidRPr="00A019E2" w:rsidRDefault="00D6316F" w:rsidP="00985F65">
            <w:pPr>
              <w:ind w:left="720"/>
              <w:rPr>
                <w:sz w:val="20"/>
                <w:lang w:val="en-AU"/>
              </w:rPr>
            </w:pPr>
            <w:r w:rsidRPr="00A019E2">
              <w:rPr>
                <w:sz w:val="20"/>
                <w:lang w:val="en-AU"/>
              </w:rPr>
              <w:t>Wheezing</w:t>
            </w:r>
          </w:p>
        </w:tc>
        <w:tc>
          <w:tcPr>
            <w:tcW w:w="2835" w:type="dxa"/>
          </w:tcPr>
          <w:p w:rsidR="00C306C9" w:rsidRPr="00A019E2" w:rsidRDefault="00D6316F" w:rsidP="00985F65">
            <w:pPr>
              <w:jc w:val="center"/>
              <w:rPr>
                <w:sz w:val="20"/>
                <w:lang w:val="en-AU"/>
              </w:rPr>
            </w:pPr>
            <w:r w:rsidRPr="00A019E2">
              <w:rPr>
                <w:sz w:val="20"/>
                <w:lang w:val="en-AU"/>
              </w:rPr>
              <w:t>8 (5)</w:t>
            </w:r>
          </w:p>
        </w:tc>
        <w:tc>
          <w:tcPr>
            <w:tcW w:w="2942" w:type="dxa"/>
          </w:tcPr>
          <w:p w:rsidR="00C306C9" w:rsidRPr="00A019E2" w:rsidRDefault="00D6316F" w:rsidP="00985F65">
            <w:pPr>
              <w:jc w:val="center"/>
              <w:rPr>
                <w:sz w:val="20"/>
                <w:lang w:val="en-AU"/>
              </w:rPr>
            </w:pPr>
            <w:r w:rsidRPr="00A019E2">
              <w:rPr>
                <w:sz w:val="20"/>
                <w:lang w:val="en-AU"/>
              </w:rPr>
              <w:t>0</w:t>
            </w:r>
          </w:p>
        </w:tc>
      </w:tr>
      <w:tr w:rsidR="00C306C9" w:rsidRPr="00A019E2" w:rsidTr="00985F65">
        <w:tc>
          <w:tcPr>
            <w:tcW w:w="3510" w:type="dxa"/>
          </w:tcPr>
          <w:p w:rsidR="00C306C9" w:rsidRPr="00A019E2" w:rsidRDefault="00D6316F" w:rsidP="00985F65">
            <w:pPr>
              <w:ind w:left="720"/>
              <w:rPr>
                <w:sz w:val="20"/>
                <w:lang w:val="en-AU"/>
              </w:rPr>
            </w:pPr>
            <w:r w:rsidRPr="00A019E2">
              <w:rPr>
                <w:sz w:val="20"/>
                <w:lang w:val="en-AU"/>
              </w:rPr>
              <w:t>Nasal congestion</w:t>
            </w:r>
          </w:p>
        </w:tc>
        <w:tc>
          <w:tcPr>
            <w:tcW w:w="2835" w:type="dxa"/>
          </w:tcPr>
          <w:p w:rsidR="00C306C9" w:rsidRPr="00A019E2" w:rsidRDefault="00D6316F" w:rsidP="00985F65">
            <w:pPr>
              <w:jc w:val="center"/>
              <w:rPr>
                <w:sz w:val="20"/>
                <w:lang w:val="en-AU"/>
              </w:rPr>
            </w:pPr>
            <w:r w:rsidRPr="00A019E2">
              <w:rPr>
                <w:sz w:val="20"/>
                <w:lang w:val="en-AU"/>
              </w:rPr>
              <w:t>8 (5)</w:t>
            </w:r>
          </w:p>
        </w:tc>
        <w:tc>
          <w:tcPr>
            <w:tcW w:w="2942" w:type="dxa"/>
          </w:tcPr>
          <w:p w:rsidR="00C306C9" w:rsidRPr="00A019E2" w:rsidRDefault="00D6316F" w:rsidP="00985F65">
            <w:pPr>
              <w:jc w:val="center"/>
              <w:rPr>
                <w:sz w:val="20"/>
                <w:lang w:val="en-AU"/>
              </w:rPr>
            </w:pPr>
            <w:r w:rsidRPr="00A019E2">
              <w:rPr>
                <w:sz w:val="20"/>
                <w:lang w:val="en-AU"/>
              </w:rPr>
              <w:t>0</w:t>
            </w:r>
          </w:p>
        </w:tc>
      </w:tr>
      <w:tr w:rsidR="00985F65" w:rsidRPr="00A019E2" w:rsidTr="00985F65">
        <w:tc>
          <w:tcPr>
            <w:tcW w:w="9287" w:type="dxa"/>
            <w:gridSpan w:val="3"/>
          </w:tcPr>
          <w:p w:rsidR="00985F65" w:rsidRPr="00A019E2" w:rsidRDefault="00D6316F" w:rsidP="00985F65">
            <w:pPr>
              <w:rPr>
                <w:b/>
                <w:sz w:val="20"/>
                <w:lang w:val="en-AU"/>
              </w:rPr>
            </w:pPr>
            <w:r w:rsidRPr="00A019E2">
              <w:rPr>
                <w:b/>
                <w:sz w:val="20"/>
                <w:lang w:val="en-AU"/>
              </w:rPr>
              <w:t>Skin &amp; subcutaneous tissue disorders</w:t>
            </w:r>
          </w:p>
        </w:tc>
      </w:tr>
      <w:tr w:rsidR="00C306C9" w:rsidRPr="00A019E2" w:rsidTr="00985F65">
        <w:tc>
          <w:tcPr>
            <w:tcW w:w="3510" w:type="dxa"/>
          </w:tcPr>
          <w:p w:rsidR="00C306C9" w:rsidRPr="00A019E2" w:rsidRDefault="00D6316F" w:rsidP="00985F65">
            <w:pPr>
              <w:ind w:left="720"/>
              <w:rPr>
                <w:sz w:val="20"/>
                <w:lang w:val="en-AU"/>
              </w:rPr>
            </w:pPr>
            <w:r w:rsidRPr="00A019E2">
              <w:rPr>
                <w:sz w:val="20"/>
                <w:lang w:val="en-AU"/>
              </w:rPr>
              <w:t>Rash</w:t>
            </w:r>
          </w:p>
        </w:tc>
        <w:tc>
          <w:tcPr>
            <w:tcW w:w="2835" w:type="dxa"/>
          </w:tcPr>
          <w:p w:rsidR="00C306C9" w:rsidRPr="00A019E2" w:rsidRDefault="00D6316F" w:rsidP="00985F65">
            <w:pPr>
              <w:jc w:val="center"/>
              <w:rPr>
                <w:sz w:val="20"/>
                <w:lang w:val="en-AU"/>
              </w:rPr>
            </w:pPr>
            <w:r w:rsidRPr="00A019E2">
              <w:rPr>
                <w:sz w:val="20"/>
                <w:lang w:val="en-AU"/>
              </w:rPr>
              <w:t>28 (16)</w:t>
            </w:r>
          </w:p>
        </w:tc>
        <w:tc>
          <w:tcPr>
            <w:tcW w:w="2942" w:type="dxa"/>
          </w:tcPr>
          <w:p w:rsidR="00C306C9" w:rsidRPr="00A019E2" w:rsidRDefault="00D6316F" w:rsidP="00985F65">
            <w:pPr>
              <w:jc w:val="center"/>
              <w:rPr>
                <w:sz w:val="20"/>
                <w:lang w:val="en-AU"/>
              </w:rPr>
            </w:pPr>
            <w:r w:rsidRPr="00A019E2">
              <w:rPr>
                <w:sz w:val="20"/>
                <w:lang w:val="en-AU"/>
              </w:rPr>
              <w:t>1 (</w:t>
            </w:r>
            <w:r w:rsidRPr="00A019E2">
              <w:rPr>
                <w:rFonts w:cs="Arial"/>
                <w:sz w:val="20"/>
                <w:lang w:val="en-AU"/>
              </w:rPr>
              <w:t>&lt;</w:t>
            </w:r>
            <w:r w:rsidRPr="00A019E2">
              <w:rPr>
                <w:sz w:val="20"/>
                <w:lang w:val="en-AU"/>
              </w:rPr>
              <w:t>1)</w:t>
            </w:r>
          </w:p>
        </w:tc>
      </w:tr>
      <w:tr w:rsidR="00C306C9" w:rsidRPr="00A019E2" w:rsidTr="00985F65">
        <w:tc>
          <w:tcPr>
            <w:tcW w:w="3510" w:type="dxa"/>
          </w:tcPr>
          <w:p w:rsidR="00C306C9" w:rsidRPr="00A019E2" w:rsidRDefault="00D6316F" w:rsidP="00985F65">
            <w:pPr>
              <w:ind w:left="720"/>
              <w:rPr>
                <w:sz w:val="20"/>
                <w:lang w:val="en-AU"/>
              </w:rPr>
            </w:pPr>
            <w:r w:rsidRPr="00A019E2">
              <w:rPr>
                <w:sz w:val="20"/>
                <w:lang w:val="en-AU"/>
              </w:rPr>
              <w:t>Pruritus</w:t>
            </w:r>
          </w:p>
        </w:tc>
        <w:tc>
          <w:tcPr>
            <w:tcW w:w="2835" w:type="dxa"/>
          </w:tcPr>
          <w:p w:rsidR="00C306C9" w:rsidRPr="00A019E2" w:rsidRDefault="00D6316F" w:rsidP="00985F65">
            <w:pPr>
              <w:jc w:val="center"/>
              <w:rPr>
                <w:sz w:val="20"/>
                <w:lang w:val="en-AU"/>
              </w:rPr>
            </w:pPr>
            <w:r w:rsidRPr="00A019E2">
              <w:rPr>
                <w:sz w:val="20"/>
                <w:lang w:val="en-AU"/>
              </w:rPr>
              <w:t>11 (6)</w:t>
            </w:r>
          </w:p>
        </w:tc>
        <w:tc>
          <w:tcPr>
            <w:tcW w:w="2942" w:type="dxa"/>
          </w:tcPr>
          <w:p w:rsidR="00C306C9" w:rsidRPr="00A019E2" w:rsidRDefault="00D6316F" w:rsidP="00985F65">
            <w:pPr>
              <w:jc w:val="center"/>
              <w:rPr>
                <w:sz w:val="20"/>
                <w:lang w:val="en-AU"/>
              </w:rPr>
            </w:pPr>
            <w:r w:rsidRPr="00A019E2">
              <w:rPr>
                <w:sz w:val="20"/>
                <w:lang w:val="en-AU"/>
              </w:rPr>
              <w:t>0</w:t>
            </w:r>
          </w:p>
        </w:tc>
      </w:tr>
      <w:tr w:rsidR="00C306C9" w:rsidRPr="00A019E2" w:rsidTr="00985F65">
        <w:tc>
          <w:tcPr>
            <w:tcW w:w="3510" w:type="dxa"/>
          </w:tcPr>
          <w:p w:rsidR="00C306C9" w:rsidRPr="00A019E2" w:rsidRDefault="00D6316F" w:rsidP="00985F65">
            <w:pPr>
              <w:ind w:left="720"/>
              <w:rPr>
                <w:sz w:val="20"/>
                <w:lang w:val="en-AU"/>
              </w:rPr>
            </w:pPr>
            <w:r w:rsidRPr="00A019E2">
              <w:rPr>
                <w:sz w:val="20"/>
                <w:lang w:val="en-AU"/>
              </w:rPr>
              <w:t>Dry skin</w:t>
            </w:r>
          </w:p>
        </w:tc>
        <w:tc>
          <w:tcPr>
            <w:tcW w:w="2835" w:type="dxa"/>
          </w:tcPr>
          <w:p w:rsidR="00C306C9" w:rsidRPr="00A019E2" w:rsidRDefault="00D6316F" w:rsidP="00985F65">
            <w:pPr>
              <w:jc w:val="center"/>
              <w:rPr>
                <w:sz w:val="20"/>
                <w:lang w:val="en-AU"/>
              </w:rPr>
            </w:pPr>
            <w:r w:rsidRPr="00A019E2">
              <w:rPr>
                <w:sz w:val="20"/>
                <w:lang w:val="en-AU"/>
              </w:rPr>
              <w:t>9 (5)</w:t>
            </w:r>
          </w:p>
        </w:tc>
        <w:tc>
          <w:tcPr>
            <w:tcW w:w="2942" w:type="dxa"/>
          </w:tcPr>
          <w:p w:rsidR="00C306C9" w:rsidRPr="00A019E2" w:rsidRDefault="00D6316F" w:rsidP="00985F65">
            <w:pPr>
              <w:jc w:val="center"/>
              <w:rPr>
                <w:sz w:val="20"/>
                <w:lang w:val="en-AU"/>
              </w:rPr>
            </w:pPr>
            <w:r w:rsidRPr="00A019E2">
              <w:rPr>
                <w:sz w:val="20"/>
                <w:lang w:val="en-AU"/>
              </w:rPr>
              <w:t>0</w:t>
            </w:r>
          </w:p>
        </w:tc>
      </w:tr>
      <w:tr w:rsidR="00C306C9" w:rsidRPr="00A019E2" w:rsidTr="00985F65">
        <w:tc>
          <w:tcPr>
            <w:tcW w:w="3510" w:type="dxa"/>
          </w:tcPr>
          <w:p w:rsidR="00C306C9" w:rsidRPr="00A019E2" w:rsidRDefault="00D6316F" w:rsidP="00985F65">
            <w:pPr>
              <w:ind w:left="720"/>
              <w:rPr>
                <w:sz w:val="20"/>
                <w:lang w:val="en-AU"/>
              </w:rPr>
            </w:pPr>
            <w:r w:rsidRPr="00A019E2">
              <w:rPr>
                <w:sz w:val="20"/>
                <w:lang w:val="en-AU"/>
              </w:rPr>
              <w:t>Night sweats</w:t>
            </w:r>
          </w:p>
        </w:tc>
        <w:tc>
          <w:tcPr>
            <w:tcW w:w="2835" w:type="dxa"/>
          </w:tcPr>
          <w:p w:rsidR="00C306C9" w:rsidRPr="00A019E2" w:rsidRDefault="00D6316F" w:rsidP="00985F65">
            <w:pPr>
              <w:jc w:val="center"/>
              <w:rPr>
                <w:sz w:val="20"/>
                <w:lang w:val="en-AU"/>
              </w:rPr>
            </w:pPr>
            <w:r w:rsidRPr="00A019E2">
              <w:rPr>
                <w:sz w:val="20"/>
                <w:lang w:val="en-AU"/>
              </w:rPr>
              <w:t>9 (5)</w:t>
            </w:r>
          </w:p>
        </w:tc>
        <w:tc>
          <w:tcPr>
            <w:tcW w:w="2942" w:type="dxa"/>
          </w:tcPr>
          <w:p w:rsidR="00C306C9" w:rsidRPr="00A019E2" w:rsidRDefault="00D6316F" w:rsidP="00985F65">
            <w:pPr>
              <w:jc w:val="center"/>
              <w:rPr>
                <w:sz w:val="20"/>
                <w:lang w:val="en-AU"/>
              </w:rPr>
            </w:pPr>
            <w:r w:rsidRPr="00A019E2">
              <w:rPr>
                <w:sz w:val="20"/>
                <w:lang w:val="en-AU"/>
              </w:rPr>
              <w:t>0</w:t>
            </w:r>
          </w:p>
        </w:tc>
      </w:tr>
      <w:tr w:rsidR="00C306C9" w:rsidRPr="00A019E2" w:rsidTr="00985F65">
        <w:tc>
          <w:tcPr>
            <w:tcW w:w="3510" w:type="dxa"/>
          </w:tcPr>
          <w:p w:rsidR="00C306C9" w:rsidRPr="00A019E2" w:rsidRDefault="00D6316F" w:rsidP="00985F65">
            <w:pPr>
              <w:ind w:left="720"/>
              <w:rPr>
                <w:sz w:val="20"/>
                <w:lang w:val="en-AU"/>
              </w:rPr>
            </w:pPr>
            <w:r w:rsidRPr="00A019E2">
              <w:rPr>
                <w:sz w:val="20"/>
                <w:lang w:val="en-AU"/>
              </w:rPr>
              <w:t>Hyperhidrosis</w:t>
            </w:r>
          </w:p>
        </w:tc>
        <w:tc>
          <w:tcPr>
            <w:tcW w:w="2835" w:type="dxa"/>
          </w:tcPr>
          <w:p w:rsidR="00C306C9" w:rsidRPr="00A019E2" w:rsidRDefault="00D6316F" w:rsidP="00985F65">
            <w:pPr>
              <w:jc w:val="center"/>
              <w:rPr>
                <w:sz w:val="20"/>
                <w:lang w:val="en-AU"/>
              </w:rPr>
            </w:pPr>
            <w:r w:rsidRPr="00A019E2">
              <w:rPr>
                <w:sz w:val="20"/>
                <w:lang w:val="en-AU"/>
              </w:rPr>
              <w:t>8 (5)</w:t>
            </w:r>
          </w:p>
        </w:tc>
        <w:tc>
          <w:tcPr>
            <w:tcW w:w="2942" w:type="dxa"/>
          </w:tcPr>
          <w:p w:rsidR="00C306C9" w:rsidRPr="00A019E2" w:rsidRDefault="00D6316F" w:rsidP="00985F65">
            <w:pPr>
              <w:jc w:val="center"/>
              <w:rPr>
                <w:sz w:val="20"/>
                <w:lang w:val="en-AU"/>
              </w:rPr>
            </w:pPr>
            <w:r w:rsidRPr="00A019E2">
              <w:rPr>
                <w:sz w:val="20"/>
                <w:lang w:val="en-AU"/>
              </w:rPr>
              <w:t>0</w:t>
            </w:r>
          </w:p>
        </w:tc>
      </w:tr>
      <w:tr w:rsidR="00985F65" w:rsidRPr="00A019E2" w:rsidTr="00985F65">
        <w:tc>
          <w:tcPr>
            <w:tcW w:w="9287" w:type="dxa"/>
            <w:gridSpan w:val="3"/>
          </w:tcPr>
          <w:p w:rsidR="00985F65" w:rsidRPr="00A019E2" w:rsidRDefault="00D6316F" w:rsidP="00985F65">
            <w:pPr>
              <w:rPr>
                <w:b/>
                <w:sz w:val="20"/>
                <w:lang w:val="en-AU"/>
              </w:rPr>
            </w:pPr>
            <w:r w:rsidRPr="00A019E2">
              <w:rPr>
                <w:b/>
                <w:sz w:val="20"/>
                <w:lang w:val="en-AU"/>
              </w:rPr>
              <w:t>Vascular disorders</w:t>
            </w:r>
          </w:p>
        </w:tc>
      </w:tr>
      <w:tr w:rsidR="00C306C9" w:rsidRPr="00A019E2" w:rsidTr="00985F65">
        <w:tc>
          <w:tcPr>
            <w:tcW w:w="3510" w:type="dxa"/>
          </w:tcPr>
          <w:p w:rsidR="00C306C9" w:rsidRPr="00A019E2" w:rsidRDefault="00D6316F" w:rsidP="00985F65">
            <w:pPr>
              <w:ind w:left="720"/>
              <w:rPr>
                <w:sz w:val="20"/>
                <w:lang w:val="en-AU"/>
              </w:rPr>
            </w:pPr>
            <w:r w:rsidRPr="00A019E2">
              <w:rPr>
                <w:sz w:val="20"/>
                <w:lang w:val="en-AU"/>
              </w:rPr>
              <w:lastRenderedPageBreak/>
              <w:t>Hypotension</w:t>
            </w:r>
          </w:p>
        </w:tc>
        <w:tc>
          <w:tcPr>
            <w:tcW w:w="2835" w:type="dxa"/>
          </w:tcPr>
          <w:p w:rsidR="00C306C9" w:rsidRPr="00A019E2" w:rsidRDefault="00D6316F" w:rsidP="00985F65">
            <w:pPr>
              <w:jc w:val="center"/>
              <w:rPr>
                <w:sz w:val="20"/>
                <w:lang w:val="en-AU"/>
              </w:rPr>
            </w:pPr>
            <w:r w:rsidRPr="00A019E2">
              <w:rPr>
                <w:sz w:val="20"/>
                <w:lang w:val="en-AU"/>
              </w:rPr>
              <w:t>10 (6)</w:t>
            </w:r>
          </w:p>
        </w:tc>
        <w:tc>
          <w:tcPr>
            <w:tcW w:w="2942" w:type="dxa"/>
          </w:tcPr>
          <w:p w:rsidR="00C306C9" w:rsidRPr="00A019E2" w:rsidRDefault="00D6316F" w:rsidP="00985F65">
            <w:pPr>
              <w:jc w:val="center"/>
              <w:rPr>
                <w:sz w:val="20"/>
                <w:lang w:val="en-AU"/>
              </w:rPr>
            </w:pPr>
            <w:r w:rsidRPr="00A019E2">
              <w:rPr>
                <w:sz w:val="20"/>
                <w:lang w:val="en-AU"/>
              </w:rPr>
              <w:t>2 (1)</w:t>
            </w:r>
          </w:p>
        </w:tc>
      </w:tr>
    </w:tbl>
    <w:p w:rsidR="0070193D" w:rsidRPr="00A019E2" w:rsidRDefault="00D6316F" w:rsidP="008452F4">
      <w:pPr>
        <w:rPr>
          <w:sz w:val="18"/>
          <w:szCs w:val="18"/>
          <w:lang w:val="en-AU"/>
        </w:rPr>
      </w:pPr>
      <w:r w:rsidRPr="00A019E2">
        <w:rPr>
          <w:sz w:val="18"/>
          <w:szCs w:val="18"/>
          <w:lang w:val="en-AU"/>
        </w:rPr>
        <w:t>* Patients may have reported more than 1 adverse reaction.</w:t>
      </w:r>
    </w:p>
    <w:p w:rsidR="00985F65" w:rsidRPr="00A019E2" w:rsidRDefault="00D6316F" w:rsidP="008452F4">
      <w:pPr>
        <w:rPr>
          <w:sz w:val="18"/>
          <w:szCs w:val="18"/>
          <w:lang w:val="en-AU"/>
        </w:rPr>
      </w:pPr>
      <w:r w:rsidRPr="00A019E2">
        <w:rPr>
          <w:b/>
          <w:sz w:val="18"/>
          <w:szCs w:val="18"/>
          <w:lang w:val="en-AU"/>
        </w:rPr>
        <w:t>NOTE:</w:t>
      </w:r>
      <w:r w:rsidRPr="00A019E2">
        <w:rPr>
          <w:sz w:val="18"/>
          <w:szCs w:val="18"/>
          <w:lang w:val="en-AU"/>
        </w:rPr>
        <w:t xml:space="preserve"> Patients counted only once in each preferred term category and once in each system organ class category.</w:t>
      </w:r>
    </w:p>
    <w:p w:rsidR="00985F65" w:rsidRPr="00A019E2" w:rsidRDefault="00985F65" w:rsidP="008452F4">
      <w:pPr>
        <w:rPr>
          <w:lang w:val="en-AU"/>
        </w:rPr>
      </w:pPr>
    </w:p>
    <w:p w:rsidR="0026611A" w:rsidRPr="00A019E2" w:rsidRDefault="00E63FC4" w:rsidP="0026611A">
      <w:pPr>
        <w:rPr>
          <w:lang w:val="en-AU"/>
        </w:rPr>
      </w:pPr>
      <w:r w:rsidRPr="00A019E2">
        <w:rPr>
          <w:lang w:val="en-AU"/>
        </w:rPr>
        <w:t>Haematologic toxicities, based on laboratory values and CTC grade, in NHL patients treated in both single arm studies combined are described in Table 11. Clinically important chemistry laboratory values that were new or worsened from baseline and occurred in &gt;1% of patients at Grade 3 or 4, in NHL patients treated in both single arm studies combined were hyperglyc</w:t>
      </w:r>
      <w:r w:rsidR="000417D6">
        <w:rPr>
          <w:lang w:val="en-AU"/>
        </w:rPr>
        <w:t>a</w:t>
      </w:r>
      <w:r w:rsidRPr="00A019E2">
        <w:rPr>
          <w:lang w:val="en-AU"/>
        </w:rPr>
        <w:t xml:space="preserve">emia (3%), elevated creatinine (2%), </w:t>
      </w:r>
      <w:proofErr w:type="spellStart"/>
      <w:r w:rsidRPr="00A019E2">
        <w:rPr>
          <w:lang w:val="en-AU"/>
        </w:rPr>
        <w:t>hyponatr</w:t>
      </w:r>
      <w:r w:rsidR="000417D6">
        <w:rPr>
          <w:lang w:val="en-AU"/>
        </w:rPr>
        <w:t>a</w:t>
      </w:r>
      <w:r w:rsidRPr="00A019E2">
        <w:rPr>
          <w:lang w:val="en-AU"/>
        </w:rPr>
        <w:t>emia</w:t>
      </w:r>
      <w:proofErr w:type="spellEnd"/>
      <w:r w:rsidRPr="00A019E2">
        <w:rPr>
          <w:lang w:val="en-AU"/>
        </w:rPr>
        <w:t xml:space="preserve"> (2%), and hypocalc</w:t>
      </w:r>
      <w:r w:rsidR="000417D6">
        <w:rPr>
          <w:lang w:val="en-AU"/>
        </w:rPr>
        <w:t>a</w:t>
      </w:r>
      <w:r w:rsidRPr="00A019E2">
        <w:rPr>
          <w:lang w:val="en-AU"/>
        </w:rPr>
        <w:t>emia (2%).</w:t>
      </w:r>
    </w:p>
    <w:p w:rsidR="0026611A" w:rsidRPr="00A019E2" w:rsidRDefault="00D6316F" w:rsidP="0026611A">
      <w:pPr>
        <w:rPr>
          <w:b/>
          <w:sz w:val="20"/>
          <w:lang w:val="en-AU"/>
        </w:rPr>
      </w:pPr>
      <w:r w:rsidRPr="00A019E2">
        <w:rPr>
          <w:b/>
          <w:sz w:val="20"/>
          <w:lang w:val="en-AU"/>
        </w:rPr>
        <w:t>Table 1</w:t>
      </w:r>
      <w:r w:rsidR="004E110E" w:rsidRPr="00A019E2">
        <w:rPr>
          <w:b/>
          <w:sz w:val="20"/>
          <w:lang w:val="en-AU"/>
        </w:rPr>
        <w:t>3</w:t>
      </w:r>
      <w:r w:rsidRPr="00A019E2">
        <w:rPr>
          <w:b/>
          <w:sz w:val="20"/>
          <w:lang w:val="en-AU"/>
        </w:rPr>
        <w:t>: Incidence of haematology laboratory abnormalities in patients who received RIBOMUSTIN in the NHL studies</w:t>
      </w:r>
    </w:p>
    <w:tbl>
      <w:tblPr>
        <w:tblStyle w:val="TableGrid"/>
        <w:tblW w:w="0" w:type="auto"/>
        <w:tblLook w:val="04A0" w:firstRow="1" w:lastRow="0" w:firstColumn="1" w:lastColumn="0" w:noHBand="0" w:noVBand="1"/>
      </w:tblPr>
      <w:tblGrid>
        <w:gridCol w:w="3095"/>
        <w:gridCol w:w="3096"/>
        <w:gridCol w:w="3096"/>
      </w:tblGrid>
      <w:tr w:rsidR="0026611A" w:rsidRPr="00A019E2" w:rsidTr="0026611A">
        <w:tc>
          <w:tcPr>
            <w:tcW w:w="3095" w:type="dxa"/>
          </w:tcPr>
          <w:p w:rsidR="0026611A" w:rsidRPr="00A019E2" w:rsidRDefault="0026611A" w:rsidP="0026611A">
            <w:pPr>
              <w:rPr>
                <w:b/>
                <w:sz w:val="20"/>
                <w:lang w:val="en-AU"/>
              </w:rPr>
            </w:pPr>
          </w:p>
        </w:tc>
        <w:tc>
          <w:tcPr>
            <w:tcW w:w="6192" w:type="dxa"/>
            <w:gridSpan w:val="2"/>
          </w:tcPr>
          <w:p w:rsidR="0026611A" w:rsidRPr="00A019E2" w:rsidRDefault="00D6316F" w:rsidP="0026611A">
            <w:pPr>
              <w:jc w:val="center"/>
              <w:rPr>
                <w:b/>
                <w:sz w:val="20"/>
                <w:lang w:val="en-AU"/>
              </w:rPr>
            </w:pPr>
            <w:r w:rsidRPr="00A019E2">
              <w:rPr>
                <w:b/>
                <w:sz w:val="20"/>
                <w:lang w:val="en-AU"/>
              </w:rPr>
              <w:t>Percent of patients</w:t>
            </w:r>
          </w:p>
        </w:tc>
      </w:tr>
      <w:tr w:rsidR="0026611A" w:rsidRPr="00A019E2" w:rsidTr="0026611A">
        <w:tc>
          <w:tcPr>
            <w:tcW w:w="3095" w:type="dxa"/>
          </w:tcPr>
          <w:p w:rsidR="0026611A" w:rsidRPr="00A019E2" w:rsidRDefault="00D6316F" w:rsidP="0026611A">
            <w:pPr>
              <w:rPr>
                <w:b/>
                <w:sz w:val="20"/>
                <w:lang w:val="en-AU"/>
              </w:rPr>
            </w:pPr>
            <w:r w:rsidRPr="00A019E2">
              <w:rPr>
                <w:b/>
                <w:sz w:val="20"/>
                <w:lang w:val="en-AU"/>
              </w:rPr>
              <w:t>Haematology variable</w:t>
            </w:r>
          </w:p>
        </w:tc>
        <w:tc>
          <w:tcPr>
            <w:tcW w:w="3096" w:type="dxa"/>
          </w:tcPr>
          <w:p w:rsidR="0026611A" w:rsidRPr="00A019E2" w:rsidRDefault="00D6316F" w:rsidP="0026611A">
            <w:pPr>
              <w:jc w:val="center"/>
              <w:rPr>
                <w:b/>
                <w:sz w:val="20"/>
                <w:lang w:val="en-AU"/>
              </w:rPr>
            </w:pPr>
            <w:r w:rsidRPr="00A019E2">
              <w:rPr>
                <w:b/>
                <w:sz w:val="20"/>
                <w:lang w:val="en-AU"/>
              </w:rPr>
              <w:t>All Grades</w:t>
            </w:r>
          </w:p>
        </w:tc>
        <w:tc>
          <w:tcPr>
            <w:tcW w:w="3096" w:type="dxa"/>
          </w:tcPr>
          <w:p w:rsidR="0026611A" w:rsidRPr="00A019E2" w:rsidRDefault="00D6316F" w:rsidP="0026611A">
            <w:pPr>
              <w:jc w:val="center"/>
              <w:rPr>
                <w:b/>
                <w:sz w:val="20"/>
                <w:lang w:val="en-AU"/>
              </w:rPr>
            </w:pPr>
            <w:r w:rsidRPr="00A019E2">
              <w:rPr>
                <w:b/>
                <w:sz w:val="20"/>
                <w:lang w:val="en-AU"/>
              </w:rPr>
              <w:t>Grade 3 / 4</w:t>
            </w:r>
          </w:p>
        </w:tc>
      </w:tr>
      <w:tr w:rsidR="0026611A" w:rsidRPr="00A019E2" w:rsidTr="0026611A">
        <w:tc>
          <w:tcPr>
            <w:tcW w:w="3095" w:type="dxa"/>
          </w:tcPr>
          <w:p w:rsidR="0026611A" w:rsidRPr="00A019E2" w:rsidRDefault="00D6316F" w:rsidP="0026611A">
            <w:pPr>
              <w:rPr>
                <w:sz w:val="20"/>
                <w:lang w:val="en-AU"/>
              </w:rPr>
            </w:pPr>
            <w:r w:rsidRPr="00A019E2">
              <w:rPr>
                <w:sz w:val="20"/>
                <w:lang w:val="en-AU"/>
              </w:rPr>
              <w:t>Lymphocytes decreased</w:t>
            </w:r>
          </w:p>
        </w:tc>
        <w:tc>
          <w:tcPr>
            <w:tcW w:w="3096" w:type="dxa"/>
          </w:tcPr>
          <w:p w:rsidR="0026611A" w:rsidRPr="00A019E2" w:rsidRDefault="00D6316F" w:rsidP="0026611A">
            <w:pPr>
              <w:jc w:val="center"/>
              <w:rPr>
                <w:sz w:val="20"/>
                <w:lang w:val="en-AU"/>
              </w:rPr>
            </w:pPr>
            <w:r w:rsidRPr="00A019E2">
              <w:rPr>
                <w:sz w:val="20"/>
                <w:lang w:val="en-AU"/>
              </w:rPr>
              <w:t>99</w:t>
            </w:r>
          </w:p>
        </w:tc>
        <w:tc>
          <w:tcPr>
            <w:tcW w:w="3096" w:type="dxa"/>
          </w:tcPr>
          <w:p w:rsidR="0026611A" w:rsidRPr="00A019E2" w:rsidRDefault="00D6316F" w:rsidP="0026611A">
            <w:pPr>
              <w:jc w:val="center"/>
              <w:rPr>
                <w:sz w:val="20"/>
                <w:lang w:val="en-AU"/>
              </w:rPr>
            </w:pPr>
            <w:r w:rsidRPr="00A019E2">
              <w:rPr>
                <w:sz w:val="20"/>
                <w:lang w:val="en-AU"/>
              </w:rPr>
              <w:t>94</w:t>
            </w:r>
          </w:p>
        </w:tc>
      </w:tr>
      <w:tr w:rsidR="0026611A" w:rsidRPr="00A019E2" w:rsidTr="0026611A">
        <w:tc>
          <w:tcPr>
            <w:tcW w:w="3095" w:type="dxa"/>
          </w:tcPr>
          <w:p w:rsidR="0026611A" w:rsidRPr="00A019E2" w:rsidRDefault="00D6316F" w:rsidP="0026611A">
            <w:pPr>
              <w:rPr>
                <w:sz w:val="20"/>
                <w:lang w:val="en-AU"/>
              </w:rPr>
            </w:pPr>
            <w:r w:rsidRPr="00A019E2">
              <w:rPr>
                <w:sz w:val="20"/>
                <w:lang w:val="en-AU"/>
              </w:rPr>
              <w:t>Leukocytes decreased</w:t>
            </w:r>
          </w:p>
        </w:tc>
        <w:tc>
          <w:tcPr>
            <w:tcW w:w="3096" w:type="dxa"/>
          </w:tcPr>
          <w:p w:rsidR="0026611A" w:rsidRPr="00A019E2" w:rsidRDefault="00D6316F" w:rsidP="0026611A">
            <w:pPr>
              <w:jc w:val="center"/>
              <w:rPr>
                <w:sz w:val="20"/>
                <w:lang w:val="en-AU"/>
              </w:rPr>
            </w:pPr>
            <w:r w:rsidRPr="00A019E2">
              <w:rPr>
                <w:sz w:val="20"/>
                <w:lang w:val="en-AU"/>
              </w:rPr>
              <w:t>94</w:t>
            </w:r>
          </w:p>
        </w:tc>
        <w:tc>
          <w:tcPr>
            <w:tcW w:w="3096" w:type="dxa"/>
          </w:tcPr>
          <w:p w:rsidR="0026611A" w:rsidRPr="00A019E2" w:rsidRDefault="00D6316F" w:rsidP="0026611A">
            <w:pPr>
              <w:jc w:val="center"/>
              <w:rPr>
                <w:sz w:val="20"/>
                <w:lang w:val="en-AU"/>
              </w:rPr>
            </w:pPr>
            <w:r w:rsidRPr="00A019E2">
              <w:rPr>
                <w:sz w:val="20"/>
                <w:lang w:val="en-AU"/>
              </w:rPr>
              <w:t>56</w:t>
            </w:r>
          </w:p>
        </w:tc>
      </w:tr>
      <w:tr w:rsidR="0026611A" w:rsidRPr="00A019E2" w:rsidTr="0026611A">
        <w:tc>
          <w:tcPr>
            <w:tcW w:w="3095" w:type="dxa"/>
          </w:tcPr>
          <w:p w:rsidR="0026611A" w:rsidRPr="00A019E2" w:rsidRDefault="00D6316F" w:rsidP="0026611A">
            <w:pPr>
              <w:rPr>
                <w:sz w:val="20"/>
                <w:lang w:val="en-AU"/>
              </w:rPr>
            </w:pPr>
            <w:r w:rsidRPr="00A019E2">
              <w:rPr>
                <w:sz w:val="20"/>
                <w:lang w:val="en-AU"/>
              </w:rPr>
              <w:t>Haemoglobin decreased</w:t>
            </w:r>
          </w:p>
        </w:tc>
        <w:tc>
          <w:tcPr>
            <w:tcW w:w="3096" w:type="dxa"/>
          </w:tcPr>
          <w:p w:rsidR="0026611A" w:rsidRPr="00A019E2" w:rsidRDefault="00D6316F" w:rsidP="0026611A">
            <w:pPr>
              <w:jc w:val="center"/>
              <w:rPr>
                <w:sz w:val="20"/>
                <w:lang w:val="en-AU"/>
              </w:rPr>
            </w:pPr>
            <w:r w:rsidRPr="00A019E2">
              <w:rPr>
                <w:sz w:val="20"/>
                <w:lang w:val="en-AU"/>
              </w:rPr>
              <w:t>88</w:t>
            </w:r>
          </w:p>
        </w:tc>
        <w:tc>
          <w:tcPr>
            <w:tcW w:w="3096" w:type="dxa"/>
          </w:tcPr>
          <w:p w:rsidR="0026611A" w:rsidRPr="00A019E2" w:rsidRDefault="00D6316F" w:rsidP="0026611A">
            <w:pPr>
              <w:jc w:val="center"/>
              <w:rPr>
                <w:sz w:val="20"/>
                <w:lang w:val="en-AU"/>
              </w:rPr>
            </w:pPr>
            <w:r w:rsidRPr="00A019E2">
              <w:rPr>
                <w:sz w:val="20"/>
                <w:lang w:val="en-AU"/>
              </w:rPr>
              <w:t>11</w:t>
            </w:r>
          </w:p>
        </w:tc>
      </w:tr>
      <w:tr w:rsidR="0026611A" w:rsidRPr="00A019E2" w:rsidTr="0026611A">
        <w:tc>
          <w:tcPr>
            <w:tcW w:w="3095" w:type="dxa"/>
          </w:tcPr>
          <w:p w:rsidR="0026611A" w:rsidRPr="00A019E2" w:rsidRDefault="00D6316F" w:rsidP="0026611A">
            <w:pPr>
              <w:rPr>
                <w:sz w:val="20"/>
                <w:lang w:val="en-AU"/>
              </w:rPr>
            </w:pPr>
            <w:r w:rsidRPr="00A019E2">
              <w:rPr>
                <w:sz w:val="20"/>
                <w:lang w:val="en-AU"/>
              </w:rPr>
              <w:t>Neutrophils decreased</w:t>
            </w:r>
          </w:p>
        </w:tc>
        <w:tc>
          <w:tcPr>
            <w:tcW w:w="3096" w:type="dxa"/>
          </w:tcPr>
          <w:p w:rsidR="0026611A" w:rsidRPr="00A019E2" w:rsidRDefault="00D6316F" w:rsidP="0026611A">
            <w:pPr>
              <w:jc w:val="center"/>
              <w:rPr>
                <w:sz w:val="20"/>
                <w:lang w:val="en-AU"/>
              </w:rPr>
            </w:pPr>
            <w:r w:rsidRPr="00A019E2">
              <w:rPr>
                <w:sz w:val="20"/>
                <w:lang w:val="en-AU"/>
              </w:rPr>
              <w:t>86</w:t>
            </w:r>
          </w:p>
        </w:tc>
        <w:tc>
          <w:tcPr>
            <w:tcW w:w="3096" w:type="dxa"/>
          </w:tcPr>
          <w:p w:rsidR="0026611A" w:rsidRPr="00A019E2" w:rsidRDefault="00D6316F" w:rsidP="0026611A">
            <w:pPr>
              <w:jc w:val="center"/>
              <w:rPr>
                <w:sz w:val="20"/>
                <w:lang w:val="en-AU"/>
              </w:rPr>
            </w:pPr>
            <w:r w:rsidRPr="00A019E2">
              <w:rPr>
                <w:sz w:val="20"/>
                <w:lang w:val="en-AU"/>
              </w:rPr>
              <w:t>60</w:t>
            </w:r>
          </w:p>
        </w:tc>
      </w:tr>
      <w:tr w:rsidR="0026611A" w:rsidRPr="00A019E2" w:rsidTr="0026611A">
        <w:tc>
          <w:tcPr>
            <w:tcW w:w="3095" w:type="dxa"/>
          </w:tcPr>
          <w:p w:rsidR="0026611A" w:rsidRPr="00A019E2" w:rsidRDefault="00D6316F" w:rsidP="0026611A">
            <w:pPr>
              <w:rPr>
                <w:sz w:val="20"/>
                <w:lang w:val="en-AU"/>
              </w:rPr>
            </w:pPr>
            <w:r w:rsidRPr="00A019E2">
              <w:rPr>
                <w:sz w:val="20"/>
                <w:lang w:val="en-AU"/>
              </w:rPr>
              <w:t>Platelets decreased</w:t>
            </w:r>
          </w:p>
        </w:tc>
        <w:tc>
          <w:tcPr>
            <w:tcW w:w="3096" w:type="dxa"/>
          </w:tcPr>
          <w:p w:rsidR="0026611A" w:rsidRPr="00A019E2" w:rsidRDefault="00D6316F" w:rsidP="0026611A">
            <w:pPr>
              <w:jc w:val="center"/>
              <w:rPr>
                <w:sz w:val="20"/>
                <w:lang w:val="en-AU"/>
              </w:rPr>
            </w:pPr>
            <w:r w:rsidRPr="00A019E2">
              <w:rPr>
                <w:sz w:val="20"/>
                <w:lang w:val="en-AU"/>
              </w:rPr>
              <w:t>86</w:t>
            </w:r>
          </w:p>
        </w:tc>
        <w:tc>
          <w:tcPr>
            <w:tcW w:w="3096" w:type="dxa"/>
          </w:tcPr>
          <w:p w:rsidR="0026611A" w:rsidRPr="00A019E2" w:rsidRDefault="00D6316F" w:rsidP="0026611A">
            <w:pPr>
              <w:jc w:val="center"/>
              <w:rPr>
                <w:sz w:val="20"/>
                <w:lang w:val="en-AU"/>
              </w:rPr>
            </w:pPr>
            <w:r w:rsidRPr="00A019E2">
              <w:rPr>
                <w:sz w:val="20"/>
                <w:lang w:val="en-AU"/>
              </w:rPr>
              <w:t>25</w:t>
            </w:r>
          </w:p>
        </w:tc>
      </w:tr>
    </w:tbl>
    <w:p w:rsidR="0026611A" w:rsidRPr="00A019E2" w:rsidRDefault="0026611A" w:rsidP="0026611A">
      <w:pPr>
        <w:rPr>
          <w:lang w:val="en-AU"/>
        </w:rPr>
      </w:pPr>
    </w:p>
    <w:p w:rsidR="00DB6B4B" w:rsidRPr="00A019E2" w:rsidRDefault="00E63FC4" w:rsidP="00DB6B4B">
      <w:pPr>
        <w:rPr>
          <w:lang w:val="en-AU"/>
        </w:rPr>
      </w:pPr>
      <w:r w:rsidRPr="00A019E2">
        <w:rPr>
          <w:lang w:val="en-AU"/>
        </w:rPr>
        <w:t xml:space="preserve">In both studies, serious adverse reactions, regardless of causality, were reported in 37% of patients receiving RIBOMUSTIN. The most common serious adverse reactions occurring in 5% of patients were febrile neutropaenia and pneumonia. Other important serious adverse reactions reported in clinical trials and/or postmarketing experience were acute renal failure, cardiac failure, hypersensitivity, skin reactions, pulmonary fibrosis, and </w:t>
      </w:r>
      <w:proofErr w:type="spellStart"/>
      <w:r w:rsidRPr="00A019E2">
        <w:rPr>
          <w:lang w:val="en-AU"/>
        </w:rPr>
        <w:t>myelodysplastic</w:t>
      </w:r>
      <w:proofErr w:type="spellEnd"/>
      <w:r w:rsidRPr="00A019E2">
        <w:rPr>
          <w:lang w:val="en-AU"/>
        </w:rPr>
        <w:t xml:space="preserve"> syndrome.</w:t>
      </w:r>
    </w:p>
    <w:p w:rsidR="00DB6B4B" w:rsidRPr="00A019E2" w:rsidRDefault="00E63FC4" w:rsidP="00DB6B4B">
      <w:pPr>
        <w:rPr>
          <w:lang w:val="en-AU"/>
        </w:rPr>
      </w:pPr>
      <w:r w:rsidRPr="00A019E2">
        <w:rPr>
          <w:lang w:val="en-AU"/>
        </w:rPr>
        <w:t xml:space="preserve">Serious drug-related adverse reactions reported in clinical trials included myelosuppression, infection, pneumonia, tumour lysis syndrome and infusion reactions (see </w:t>
      </w:r>
      <w:r w:rsidRPr="00A019E2">
        <w:rPr>
          <w:b/>
          <w:lang w:val="en-AU"/>
        </w:rPr>
        <w:t>PRECAUTIONS</w:t>
      </w:r>
      <w:r w:rsidRPr="00A019E2">
        <w:rPr>
          <w:lang w:val="en-AU"/>
        </w:rPr>
        <w:t xml:space="preserve">). Adverse reactions occurring less frequently but possibly related to RIBOMUSTIN treatment were haemolysis, </w:t>
      </w:r>
      <w:proofErr w:type="spellStart"/>
      <w:r w:rsidRPr="00A019E2">
        <w:rPr>
          <w:lang w:val="en-AU"/>
        </w:rPr>
        <w:t>dysgeusia</w:t>
      </w:r>
      <w:proofErr w:type="spellEnd"/>
      <w:r w:rsidRPr="00A019E2">
        <w:rPr>
          <w:lang w:val="en-AU"/>
        </w:rPr>
        <w:t xml:space="preserve">/taste disorder, atypical pneumonia, sepsis, </w:t>
      </w:r>
      <w:r w:rsidR="000417D6" w:rsidRPr="000417D6">
        <w:rPr>
          <w:i/>
          <w:lang w:val="en-AU"/>
        </w:rPr>
        <w:t>H</w:t>
      </w:r>
      <w:r w:rsidRPr="000417D6">
        <w:rPr>
          <w:i/>
          <w:lang w:val="en-AU"/>
        </w:rPr>
        <w:t>erpes zoster</w:t>
      </w:r>
      <w:r w:rsidRPr="00A019E2">
        <w:rPr>
          <w:lang w:val="en-AU"/>
        </w:rPr>
        <w:t>, erythema, dermatitis, and skin necrosis.</w:t>
      </w:r>
    </w:p>
    <w:p w:rsidR="0033282E" w:rsidRPr="00A019E2" w:rsidRDefault="00E63FC4" w:rsidP="00DB6B4B">
      <w:pPr>
        <w:pStyle w:val="PIHEADING2"/>
        <w:rPr>
          <w:u w:val="single"/>
          <w:lang w:val="en-AU"/>
        </w:rPr>
      </w:pPr>
      <w:r w:rsidRPr="00A019E2">
        <w:rPr>
          <w:u w:val="single"/>
          <w:lang w:val="en-AU"/>
        </w:rPr>
        <w:t>Post Marketing Experience</w:t>
      </w:r>
    </w:p>
    <w:p w:rsidR="00C96892" w:rsidRPr="00A019E2" w:rsidRDefault="00E63FC4" w:rsidP="00C96892">
      <w:pPr>
        <w:rPr>
          <w:lang w:val="en-AU"/>
        </w:rPr>
      </w:pPr>
      <w:r w:rsidRPr="00A019E2">
        <w:rPr>
          <w:lang w:val="en-AU"/>
        </w:rPr>
        <w:t>The following adverse reactions have been identified during post-approval use of RIBOMUSTIN. Because these reactions are reported</w:t>
      </w:r>
      <w:r w:rsidRPr="00A019E2">
        <w:rPr>
          <w:b/>
          <w:caps/>
          <w:lang w:val="en-AU"/>
        </w:rPr>
        <w:t xml:space="preserve"> </w:t>
      </w:r>
      <w:r w:rsidRPr="00A019E2">
        <w:rPr>
          <w:lang w:val="en-AU"/>
        </w:rPr>
        <w:t>voluntarily from a population of uncertain size, it is not always possible to reliably estimate their frequency or establish a causal</w:t>
      </w:r>
      <w:r w:rsidRPr="00A019E2">
        <w:rPr>
          <w:b/>
          <w:caps/>
          <w:lang w:val="en-AU"/>
        </w:rPr>
        <w:t xml:space="preserve"> </w:t>
      </w:r>
      <w:r w:rsidRPr="00A019E2">
        <w:rPr>
          <w:lang w:val="en-AU"/>
        </w:rPr>
        <w:t xml:space="preserve">relationship to drug exposure: </w:t>
      </w:r>
      <w:r w:rsidRPr="00A019E2">
        <w:rPr>
          <w:lang w:val="en-AU"/>
        </w:rPr>
        <w:lastRenderedPageBreak/>
        <w:t>anaphylaxis; and injection or infusion site reactions including phlebitis, pruritus, irritation, pain, and</w:t>
      </w:r>
      <w:r w:rsidRPr="00A019E2">
        <w:rPr>
          <w:b/>
          <w:caps/>
          <w:lang w:val="en-AU"/>
        </w:rPr>
        <w:t xml:space="preserve"> </w:t>
      </w:r>
      <w:r w:rsidRPr="00A019E2">
        <w:rPr>
          <w:lang w:val="en-AU"/>
        </w:rPr>
        <w:t>swelling.</w:t>
      </w:r>
    </w:p>
    <w:p w:rsidR="00C96892" w:rsidRPr="00A019E2" w:rsidRDefault="00E63FC4" w:rsidP="00C96892">
      <w:pPr>
        <w:rPr>
          <w:lang w:val="en-AU"/>
        </w:rPr>
      </w:pPr>
      <w:r w:rsidRPr="00A019E2">
        <w:rPr>
          <w:lang w:val="en-AU"/>
        </w:rPr>
        <w:t xml:space="preserve">Skin reactions including </w:t>
      </w:r>
      <w:proofErr w:type="gramStart"/>
      <w:r w:rsidRPr="00A019E2">
        <w:rPr>
          <w:lang w:val="en-AU"/>
        </w:rPr>
        <w:t>Stevens-Johnson Syndrome</w:t>
      </w:r>
      <w:proofErr w:type="gramEnd"/>
      <w:r w:rsidRPr="00A019E2">
        <w:rPr>
          <w:lang w:val="en-AU"/>
        </w:rPr>
        <w:t xml:space="preserve"> and Toxic Necrolysis</w:t>
      </w:r>
      <w:r w:rsidRPr="00A019E2">
        <w:rPr>
          <w:b/>
          <w:smallCaps/>
          <w:lang w:val="en-AU"/>
        </w:rPr>
        <w:t xml:space="preserve"> </w:t>
      </w:r>
      <w:r w:rsidRPr="00A019E2">
        <w:rPr>
          <w:lang w:val="en-AU"/>
        </w:rPr>
        <w:t xml:space="preserve">have occurred when RIBOMUSTIN was administered concomitantly with allopurinol and other medications known to cause these syndromes (see </w:t>
      </w:r>
      <w:r w:rsidRPr="00A019E2">
        <w:rPr>
          <w:b/>
          <w:lang w:val="en-AU"/>
        </w:rPr>
        <w:t>PRECAUTIONS – Tumour Lysis Syndrome</w:t>
      </w:r>
      <w:r w:rsidRPr="00A019E2">
        <w:rPr>
          <w:lang w:val="en-AU"/>
        </w:rPr>
        <w:t>)</w:t>
      </w:r>
      <w:r w:rsidR="00C96892" w:rsidRPr="00A019E2">
        <w:rPr>
          <w:lang w:val="en-AU"/>
        </w:rPr>
        <w:t>.</w:t>
      </w:r>
    </w:p>
    <w:p w:rsidR="0033282E" w:rsidRPr="00A019E2" w:rsidRDefault="0033282E" w:rsidP="00C96892">
      <w:pPr>
        <w:pStyle w:val="PIHEADING1"/>
        <w:keepLines/>
        <w:jc w:val="both"/>
        <w:rPr>
          <w:lang w:val="en-AU"/>
        </w:rPr>
      </w:pPr>
      <w:r w:rsidRPr="00A019E2">
        <w:rPr>
          <w:lang w:val="en-AU"/>
        </w:rPr>
        <w:t>DOSAGE AND ADMINISTRATION</w:t>
      </w:r>
    </w:p>
    <w:p w:rsidR="007158CA" w:rsidRPr="00A019E2" w:rsidRDefault="00E63FC4" w:rsidP="007158CA">
      <w:pPr>
        <w:rPr>
          <w:lang w:val="en-AU"/>
        </w:rPr>
      </w:pPr>
      <w:r w:rsidRPr="00A019E2">
        <w:rPr>
          <w:lang w:val="en-AU"/>
        </w:rPr>
        <w:t xml:space="preserve">For intravenous infusion over 30 - 60 minutes (see </w:t>
      </w:r>
      <w:r w:rsidRPr="00A019E2">
        <w:rPr>
          <w:b/>
          <w:lang w:val="en-AU"/>
        </w:rPr>
        <w:t>Special Precautions for Disposal and Handling</w:t>
      </w:r>
      <w:r w:rsidRPr="00A019E2">
        <w:rPr>
          <w:lang w:val="en-AU"/>
        </w:rPr>
        <w:t>).</w:t>
      </w:r>
    </w:p>
    <w:p w:rsidR="007158CA" w:rsidRPr="00A019E2" w:rsidRDefault="00E63FC4" w:rsidP="007158CA">
      <w:pPr>
        <w:rPr>
          <w:lang w:val="en-AU"/>
        </w:rPr>
      </w:pPr>
      <w:r w:rsidRPr="00A019E2">
        <w:rPr>
          <w:lang w:val="en-AU"/>
        </w:rPr>
        <w:t>Infusion must be administered under the supervision of a physician qualified and experienced in the use of chemotherapeutic agents.</w:t>
      </w:r>
    </w:p>
    <w:p w:rsidR="007158CA" w:rsidRPr="00A019E2" w:rsidRDefault="00E63FC4" w:rsidP="007158CA">
      <w:pPr>
        <w:rPr>
          <w:lang w:val="en-AU"/>
        </w:rPr>
      </w:pPr>
      <w:r w:rsidRPr="00A019E2">
        <w:rPr>
          <w:lang w:val="en-AU"/>
        </w:rPr>
        <w:t>Poor bone marrow function is related to increased chemotherapy-induced haematological toxicity. Treatment should not be started if leukocyte and/or platelet values drop to &lt; 3x10</w:t>
      </w:r>
      <w:r w:rsidRPr="00A019E2">
        <w:rPr>
          <w:vertAlign w:val="superscript"/>
          <w:lang w:val="en-AU"/>
        </w:rPr>
        <w:t>9</w:t>
      </w:r>
      <w:r w:rsidRPr="00A019E2">
        <w:rPr>
          <w:lang w:val="en-AU"/>
        </w:rPr>
        <w:t>/L or &lt; 75x10</w:t>
      </w:r>
      <w:r w:rsidRPr="00A019E2">
        <w:rPr>
          <w:vertAlign w:val="superscript"/>
          <w:lang w:val="en-AU"/>
        </w:rPr>
        <w:t>9</w:t>
      </w:r>
      <w:r w:rsidRPr="00A019E2">
        <w:rPr>
          <w:lang w:val="en-AU"/>
        </w:rPr>
        <w:t xml:space="preserve">/L, respectively (see </w:t>
      </w:r>
      <w:r w:rsidRPr="00A019E2">
        <w:rPr>
          <w:b/>
          <w:lang w:val="en-AU"/>
        </w:rPr>
        <w:t xml:space="preserve">PRECAUTIONS - </w:t>
      </w:r>
      <w:proofErr w:type="spellStart"/>
      <w:r w:rsidRPr="00A019E2">
        <w:rPr>
          <w:b/>
          <w:lang w:val="en-AU"/>
        </w:rPr>
        <w:t>Myelosuppresion</w:t>
      </w:r>
      <w:proofErr w:type="spellEnd"/>
      <w:r w:rsidRPr="00A019E2">
        <w:rPr>
          <w:lang w:val="en-AU"/>
        </w:rPr>
        <w:t>).</w:t>
      </w:r>
    </w:p>
    <w:p w:rsidR="00C96892" w:rsidRPr="00A019E2" w:rsidRDefault="00E63FC4" w:rsidP="00C96892">
      <w:pPr>
        <w:rPr>
          <w:b/>
          <w:i/>
          <w:lang w:val="en-AU"/>
        </w:rPr>
      </w:pPr>
      <w:r w:rsidRPr="00A019E2">
        <w:rPr>
          <w:b/>
          <w:i/>
          <w:lang w:val="en-AU"/>
        </w:rPr>
        <w:t>Monotherapy for chronic lymphocytic leukaemia</w:t>
      </w:r>
    </w:p>
    <w:p w:rsidR="00C96892" w:rsidRPr="00A019E2" w:rsidRDefault="00E63FC4" w:rsidP="007158CA">
      <w:pPr>
        <w:rPr>
          <w:lang w:val="en-AU"/>
        </w:rPr>
      </w:pPr>
      <w:r w:rsidRPr="00A019E2">
        <w:rPr>
          <w:lang w:val="en-AU"/>
        </w:rPr>
        <w:t>100 mg/m² body surface area bendamustine hydrochloride on days 1 and 2; every 4 weeks, for up to 6 cycles.</w:t>
      </w:r>
    </w:p>
    <w:p w:rsidR="007158CA" w:rsidRPr="00A019E2" w:rsidRDefault="00E63FC4" w:rsidP="007158CA">
      <w:pPr>
        <w:rPr>
          <w:b/>
          <w:i/>
          <w:lang w:val="en-AU"/>
        </w:rPr>
      </w:pPr>
      <w:r w:rsidRPr="00A019E2">
        <w:rPr>
          <w:b/>
          <w:i/>
          <w:lang w:val="en-AU"/>
        </w:rPr>
        <w:t>Monotherapy for indolent non-Hodgkin’s lymphomas refractory to rituximab</w:t>
      </w:r>
    </w:p>
    <w:p w:rsidR="007158CA" w:rsidRPr="00A019E2" w:rsidRDefault="00E63FC4" w:rsidP="007158CA">
      <w:pPr>
        <w:rPr>
          <w:lang w:val="en-AU"/>
        </w:rPr>
      </w:pPr>
      <w:r w:rsidRPr="00A019E2">
        <w:rPr>
          <w:lang w:val="en-AU"/>
        </w:rPr>
        <w:t>120 mg/m² body surface area bendamustine hydrochloride on days 1 and 2; every 3 weeks, for at least 6 to 8 cycles (maximum 8 cycles).</w:t>
      </w:r>
    </w:p>
    <w:p w:rsidR="00C96892" w:rsidRPr="00A019E2" w:rsidRDefault="00E63FC4" w:rsidP="00C96892">
      <w:pPr>
        <w:rPr>
          <w:b/>
          <w:i/>
          <w:lang w:val="en-AU"/>
        </w:rPr>
      </w:pPr>
      <w:r w:rsidRPr="00A019E2">
        <w:rPr>
          <w:b/>
          <w:i/>
          <w:lang w:val="en-AU"/>
        </w:rPr>
        <w:t>Combination therapy with rituximab for first-line non-Hodgkin’s lymphoma and mantle cell lymphoma</w:t>
      </w:r>
    </w:p>
    <w:p w:rsidR="00C96892" w:rsidRPr="00A019E2" w:rsidRDefault="00E63FC4" w:rsidP="00C96892">
      <w:pPr>
        <w:rPr>
          <w:lang w:val="en-AU"/>
        </w:rPr>
      </w:pPr>
      <w:proofErr w:type="gramStart"/>
      <w:r w:rsidRPr="00A019E2">
        <w:rPr>
          <w:lang w:val="en-AU"/>
        </w:rPr>
        <w:t>90 mg/m</w:t>
      </w:r>
      <w:r w:rsidRPr="00A019E2">
        <w:rPr>
          <w:vertAlign w:val="superscript"/>
          <w:lang w:val="en-AU"/>
        </w:rPr>
        <w:t>2</w:t>
      </w:r>
      <w:r w:rsidRPr="00A019E2">
        <w:rPr>
          <w:lang w:val="en-AU"/>
        </w:rPr>
        <w:t xml:space="preserve"> on days 1 and 2 of a 4-week cycle for up to 6 cycles.</w:t>
      </w:r>
      <w:proofErr w:type="gramEnd"/>
    </w:p>
    <w:p w:rsidR="00797E35" w:rsidRPr="00A019E2" w:rsidRDefault="00E63FC4" w:rsidP="00797E35">
      <w:pPr>
        <w:rPr>
          <w:lang w:val="en-AU"/>
        </w:rPr>
      </w:pPr>
      <w:r w:rsidRPr="00A019E2">
        <w:rPr>
          <w:lang w:val="en-AU"/>
        </w:rPr>
        <w:t>Treatment should be terminated or delayed if leukocyte and/or platelet values dropped to      &lt; 3x10</w:t>
      </w:r>
      <w:r w:rsidRPr="00A019E2">
        <w:rPr>
          <w:vertAlign w:val="superscript"/>
          <w:lang w:val="en-AU"/>
        </w:rPr>
        <w:t>9</w:t>
      </w:r>
      <w:r w:rsidRPr="00A019E2">
        <w:rPr>
          <w:lang w:val="en-AU"/>
        </w:rPr>
        <w:t>/L or &lt; 75x10</w:t>
      </w:r>
      <w:r w:rsidRPr="00A019E2">
        <w:rPr>
          <w:vertAlign w:val="superscript"/>
          <w:lang w:val="en-AU"/>
        </w:rPr>
        <w:t>9</w:t>
      </w:r>
      <w:r w:rsidRPr="00A019E2">
        <w:rPr>
          <w:lang w:val="en-AU"/>
        </w:rPr>
        <w:t>/L, respectively. Treatment can be continued after leukocyte values have increased to &gt; 4x10</w:t>
      </w:r>
      <w:r w:rsidRPr="00A019E2">
        <w:rPr>
          <w:vertAlign w:val="superscript"/>
          <w:lang w:val="en-AU"/>
        </w:rPr>
        <w:t>9</w:t>
      </w:r>
      <w:r w:rsidRPr="00A019E2">
        <w:rPr>
          <w:lang w:val="en-AU"/>
        </w:rPr>
        <w:t>/L and platelet values to &gt; 100x10</w:t>
      </w:r>
      <w:r w:rsidRPr="00A019E2">
        <w:rPr>
          <w:vertAlign w:val="superscript"/>
          <w:lang w:val="en-AU"/>
        </w:rPr>
        <w:t>9</w:t>
      </w:r>
      <w:r w:rsidRPr="00A019E2">
        <w:rPr>
          <w:lang w:val="en-AU"/>
        </w:rPr>
        <w:t>/L.</w:t>
      </w:r>
    </w:p>
    <w:p w:rsidR="00797E35" w:rsidRPr="00A019E2" w:rsidRDefault="00E63FC4" w:rsidP="00797E35">
      <w:pPr>
        <w:rPr>
          <w:lang w:val="en-AU"/>
        </w:rPr>
      </w:pPr>
      <w:r w:rsidRPr="00A019E2">
        <w:rPr>
          <w:lang w:val="en-AU"/>
        </w:rPr>
        <w:t xml:space="preserve">The leukocyte and platelet nadir is reached after 14-20 days with regeneration after 3-5 weeks. During therapy free intervals strict monitoring of the blood count is recommended (see </w:t>
      </w:r>
      <w:r w:rsidRPr="00A019E2">
        <w:rPr>
          <w:b/>
          <w:lang w:val="en-AU"/>
        </w:rPr>
        <w:t>PRECAUTIONS</w:t>
      </w:r>
      <w:r w:rsidRPr="00A019E2">
        <w:rPr>
          <w:lang w:val="en-AU"/>
        </w:rPr>
        <w:t>).</w:t>
      </w:r>
    </w:p>
    <w:p w:rsidR="00797E35" w:rsidRPr="00A019E2" w:rsidRDefault="00E63FC4" w:rsidP="00797E35">
      <w:pPr>
        <w:rPr>
          <w:lang w:val="en-AU"/>
        </w:rPr>
      </w:pPr>
      <w:r w:rsidRPr="00A019E2">
        <w:rPr>
          <w:lang w:val="en-AU"/>
        </w:rPr>
        <w:t xml:space="preserve">In case of non-haematological toxicity dose reductions have to be based on the worst CTC grades in the preceding cycle. A 50% dose reduction is recommended in case of CTC Grade 3 toxicity. An interruption of treatment is recommended in case of CTC Grade 4 toxicity. If the toxicity resolves and the </w:t>
      </w:r>
      <w:r w:rsidR="0021225C" w:rsidRPr="00A019E2">
        <w:rPr>
          <w:lang w:val="en-AU"/>
        </w:rPr>
        <w:t>previous d</w:t>
      </w:r>
      <w:r w:rsidRPr="00A019E2">
        <w:rPr>
          <w:lang w:val="en-AU"/>
        </w:rPr>
        <w:t>ose</w:t>
      </w:r>
      <w:r w:rsidR="0021225C" w:rsidRPr="00A019E2">
        <w:rPr>
          <w:lang w:val="en-AU"/>
        </w:rPr>
        <w:t xml:space="preserve"> is tolerated</w:t>
      </w:r>
      <w:r w:rsidRPr="00A019E2">
        <w:rPr>
          <w:lang w:val="en-AU"/>
        </w:rPr>
        <w:t>, th</w:t>
      </w:r>
      <w:r w:rsidR="0021225C" w:rsidRPr="00A019E2">
        <w:rPr>
          <w:lang w:val="en-AU"/>
        </w:rPr>
        <w:t>e reduced dose</w:t>
      </w:r>
      <w:r w:rsidRPr="00A019E2">
        <w:rPr>
          <w:lang w:val="en-AU"/>
        </w:rPr>
        <w:t xml:space="preserve"> may be increased again.</w:t>
      </w:r>
    </w:p>
    <w:p w:rsidR="00797E35" w:rsidRPr="00A019E2" w:rsidRDefault="00797E35" w:rsidP="00797E35">
      <w:pPr>
        <w:rPr>
          <w:lang w:val="en-AU"/>
        </w:rPr>
      </w:pPr>
      <w:r w:rsidRPr="00A019E2">
        <w:rPr>
          <w:lang w:val="en-AU"/>
        </w:rPr>
        <w:lastRenderedPageBreak/>
        <w:t>If a patient requires a dose modification the individually calculated reduced dose must be given on day 1 and 2 of the respective treatment cycle</w:t>
      </w:r>
      <w:r w:rsidR="00E63FC4" w:rsidRPr="00A019E2">
        <w:rPr>
          <w:lang w:val="en-AU"/>
        </w:rPr>
        <w:t>.</w:t>
      </w:r>
    </w:p>
    <w:p w:rsidR="00C75558" w:rsidRPr="00A019E2" w:rsidRDefault="00D6316F" w:rsidP="00C75558">
      <w:pPr>
        <w:pStyle w:val="PIHEADING1"/>
        <w:keepLines/>
        <w:spacing w:before="0" w:after="0"/>
        <w:rPr>
          <w:b w:val="0"/>
          <w:iCs/>
          <w:caps w:val="0"/>
          <w:spacing w:val="0"/>
          <w:sz w:val="22"/>
          <w:lang w:val="en-AU"/>
        </w:rPr>
      </w:pPr>
      <w:r w:rsidRPr="00A019E2">
        <w:rPr>
          <w:b w:val="0"/>
          <w:iCs/>
          <w:caps w:val="0"/>
          <w:spacing w:val="0"/>
          <w:sz w:val="22"/>
          <w:lang w:val="en-AU"/>
        </w:rPr>
        <w:t>The powder for concentrate for solution for infusion has to be reconstituted with water for injection, diluted with sodium chloride 9 mg/mL (0.9%) solution for injection and then administered by intravenous infusion. Aseptic technique is to be used.</w:t>
      </w:r>
    </w:p>
    <w:p w:rsidR="00C75558" w:rsidRPr="00A019E2" w:rsidRDefault="00C75558" w:rsidP="00C75558">
      <w:pPr>
        <w:pStyle w:val="PIHEADING1"/>
        <w:keepLines/>
        <w:spacing w:before="0" w:after="0"/>
        <w:rPr>
          <w:b w:val="0"/>
          <w:iCs/>
          <w:caps w:val="0"/>
          <w:spacing w:val="0"/>
          <w:sz w:val="22"/>
          <w:lang w:val="en-AU"/>
        </w:rPr>
      </w:pPr>
    </w:p>
    <w:p w:rsidR="00C75558" w:rsidRPr="00A019E2" w:rsidRDefault="00D6316F" w:rsidP="00C75558">
      <w:pPr>
        <w:pStyle w:val="PIHEADING1"/>
        <w:keepLines/>
        <w:spacing w:before="0" w:after="0"/>
        <w:rPr>
          <w:i/>
          <w:iCs/>
          <w:caps w:val="0"/>
          <w:spacing w:val="0"/>
          <w:sz w:val="22"/>
          <w:lang w:val="en-AU"/>
        </w:rPr>
      </w:pPr>
      <w:r w:rsidRPr="00A019E2">
        <w:rPr>
          <w:i/>
          <w:iCs/>
          <w:caps w:val="0"/>
          <w:spacing w:val="0"/>
          <w:sz w:val="22"/>
          <w:lang w:val="en-AU"/>
        </w:rPr>
        <w:t>1. Reconstitution</w:t>
      </w:r>
    </w:p>
    <w:p w:rsidR="00C75558" w:rsidRPr="00A019E2" w:rsidRDefault="00D6316F" w:rsidP="00C75558">
      <w:pPr>
        <w:pStyle w:val="PIHEADING1"/>
        <w:keepLines/>
        <w:spacing w:before="0" w:after="0"/>
        <w:rPr>
          <w:b w:val="0"/>
          <w:iCs/>
          <w:caps w:val="0"/>
          <w:spacing w:val="0"/>
          <w:sz w:val="22"/>
          <w:lang w:val="en-AU"/>
        </w:rPr>
      </w:pPr>
      <w:r w:rsidRPr="00A019E2">
        <w:rPr>
          <w:b w:val="0"/>
          <w:iCs/>
          <w:caps w:val="0"/>
          <w:spacing w:val="0"/>
          <w:sz w:val="22"/>
          <w:lang w:val="en-AU"/>
        </w:rPr>
        <w:t>Reconstitute each vial of RIBOMUSTIN containing 25 mg bendamustine hydrochloride in 10 ml water for injection by shaking.</w:t>
      </w:r>
    </w:p>
    <w:p w:rsidR="00C75558" w:rsidRPr="00A019E2" w:rsidRDefault="00C75558" w:rsidP="00C75558">
      <w:pPr>
        <w:pStyle w:val="PIHEADING1"/>
        <w:keepLines/>
        <w:spacing w:before="0" w:after="0"/>
        <w:rPr>
          <w:b w:val="0"/>
          <w:iCs/>
          <w:caps w:val="0"/>
          <w:spacing w:val="0"/>
          <w:sz w:val="22"/>
          <w:lang w:val="en-AU"/>
        </w:rPr>
      </w:pPr>
    </w:p>
    <w:p w:rsidR="00C75558" w:rsidRPr="00A019E2" w:rsidRDefault="00D6316F" w:rsidP="00C75558">
      <w:pPr>
        <w:pStyle w:val="PIHEADING1"/>
        <w:keepLines/>
        <w:spacing w:before="0" w:after="0"/>
        <w:rPr>
          <w:b w:val="0"/>
          <w:iCs/>
          <w:caps w:val="0"/>
          <w:spacing w:val="0"/>
          <w:sz w:val="22"/>
          <w:lang w:val="en-AU"/>
        </w:rPr>
      </w:pPr>
      <w:r w:rsidRPr="00A019E2">
        <w:rPr>
          <w:b w:val="0"/>
          <w:iCs/>
          <w:caps w:val="0"/>
          <w:spacing w:val="0"/>
          <w:sz w:val="22"/>
          <w:lang w:val="en-AU"/>
        </w:rPr>
        <w:t>Reconstitute each vial of RIBOMUSTIN containing 100 mg bendamustine hydrochloride in 40 ml water for injection by shaking.</w:t>
      </w:r>
    </w:p>
    <w:p w:rsidR="00C75558" w:rsidRPr="00A019E2" w:rsidRDefault="00C75558" w:rsidP="00C75558">
      <w:pPr>
        <w:pStyle w:val="PIHEADING1"/>
        <w:keepLines/>
        <w:spacing w:before="0" w:after="0"/>
        <w:rPr>
          <w:b w:val="0"/>
          <w:iCs/>
          <w:caps w:val="0"/>
          <w:spacing w:val="0"/>
          <w:sz w:val="22"/>
          <w:lang w:val="en-AU"/>
        </w:rPr>
      </w:pPr>
    </w:p>
    <w:p w:rsidR="00C75558" w:rsidRPr="00A019E2" w:rsidRDefault="00D6316F" w:rsidP="00C75558">
      <w:pPr>
        <w:pStyle w:val="PIHEADING1"/>
        <w:keepLines/>
        <w:spacing w:before="0" w:after="0"/>
        <w:rPr>
          <w:b w:val="0"/>
          <w:iCs/>
          <w:caps w:val="0"/>
          <w:spacing w:val="0"/>
          <w:sz w:val="22"/>
          <w:lang w:val="en-AU"/>
        </w:rPr>
      </w:pPr>
      <w:r w:rsidRPr="00A019E2">
        <w:rPr>
          <w:b w:val="0"/>
          <w:iCs/>
          <w:caps w:val="0"/>
          <w:spacing w:val="0"/>
          <w:sz w:val="22"/>
          <w:lang w:val="en-AU"/>
        </w:rPr>
        <w:t>The reconstituted concentrate contains 2.5 mg bendamustine hydrochloride per ml and appears as a clear colourless solution.</w:t>
      </w:r>
    </w:p>
    <w:p w:rsidR="00C75558" w:rsidRPr="00A019E2" w:rsidRDefault="00C75558" w:rsidP="00C75558">
      <w:pPr>
        <w:pStyle w:val="PIHEADING1"/>
        <w:keepLines/>
        <w:spacing w:before="0" w:after="0"/>
        <w:rPr>
          <w:b w:val="0"/>
          <w:iCs/>
          <w:caps w:val="0"/>
          <w:spacing w:val="0"/>
          <w:sz w:val="22"/>
          <w:lang w:val="en-AU"/>
        </w:rPr>
      </w:pPr>
    </w:p>
    <w:p w:rsidR="0021225C" w:rsidRPr="00A019E2" w:rsidRDefault="0021225C" w:rsidP="00C75558">
      <w:pPr>
        <w:pStyle w:val="PIHEADING1"/>
        <w:keepLines/>
        <w:spacing w:before="0" w:after="0"/>
        <w:rPr>
          <w:b w:val="0"/>
          <w:iCs/>
          <w:caps w:val="0"/>
          <w:spacing w:val="0"/>
          <w:sz w:val="22"/>
          <w:lang w:val="en-AU"/>
        </w:rPr>
      </w:pPr>
      <w:r w:rsidRPr="00A019E2">
        <w:rPr>
          <w:b w:val="0"/>
          <w:iCs/>
          <w:caps w:val="0"/>
          <w:spacing w:val="0"/>
          <w:sz w:val="22"/>
          <w:lang w:val="en-AU"/>
        </w:rPr>
        <w:t xml:space="preserve">No overfill is </w:t>
      </w:r>
      <w:r w:rsidR="00093E31" w:rsidRPr="00A019E2">
        <w:rPr>
          <w:b w:val="0"/>
          <w:iCs/>
          <w:caps w:val="0"/>
          <w:spacing w:val="0"/>
          <w:sz w:val="22"/>
          <w:lang w:val="en-AU"/>
        </w:rPr>
        <w:t>included</w:t>
      </w:r>
      <w:r w:rsidRPr="00A019E2">
        <w:rPr>
          <w:b w:val="0"/>
          <w:iCs/>
          <w:caps w:val="0"/>
          <w:spacing w:val="0"/>
          <w:sz w:val="22"/>
          <w:lang w:val="en-AU"/>
        </w:rPr>
        <w:t>.</w:t>
      </w:r>
    </w:p>
    <w:p w:rsidR="0021225C" w:rsidRPr="00A019E2" w:rsidRDefault="0021225C" w:rsidP="00C75558">
      <w:pPr>
        <w:pStyle w:val="PIHEADING1"/>
        <w:keepLines/>
        <w:spacing w:before="0" w:after="0"/>
        <w:rPr>
          <w:b w:val="0"/>
          <w:iCs/>
          <w:caps w:val="0"/>
          <w:spacing w:val="0"/>
          <w:sz w:val="22"/>
          <w:lang w:val="en-AU"/>
        </w:rPr>
      </w:pPr>
    </w:p>
    <w:p w:rsidR="00C75558" w:rsidRPr="00A019E2" w:rsidRDefault="00D6316F" w:rsidP="00C75558">
      <w:pPr>
        <w:pStyle w:val="PIHEADING1"/>
        <w:keepLines/>
        <w:spacing w:before="0" w:after="0"/>
        <w:rPr>
          <w:i/>
          <w:iCs/>
          <w:caps w:val="0"/>
          <w:spacing w:val="0"/>
          <w:sz w:val="22"/>
          <w:lang w:val="en-AU"/>
        </w:rPr>
      </w:pPr>
      <w:r w:rsidRPr="00A019E2">
        <w:rPr>
          <w:i/>
          <w:iCs/>
          <w:caps w:val="0"/>
          <w:spacing w:val="0"/>
          <w:sz w:val="22"/>
          <w:lang w:val="en-AU"/>
        </w:rPr>
        <w:t>2. Dilution</w:t>
      </w:r>
    </w:p>
    <w:p w:rsidR="00C75558" w:rsidRPr="00A019E2" w:rsidRDefault="00D6316F" w:rsidP="00C75558">
      <w:pPr>
        <w:pStyle w:val="PIHEADING1"/>
        <w:keepLines/>
        <w:spacing w:before="0" w:after="0"/>
        <w:rPr>
          <w:b w:val="0"/>
          <w:iCs/>
          <w:caps w:val="0"/>
          <w:spacing w:val="0"/>
          <w:sz w:val="22"/>
          <w:lang w:val="en-AU"/>
        </w:rPr>
      </w:pPr>
      <w:r w:rsidRPr="00A019E2">
        <w:rPr>
          <w:b w:val="0"/>
          <w:iCs/>
          <w:caps w:val="0"/>
          <w:spacing w:val="0"/>
          <w:sz w:val="22"/>
          <w:lang w:val="en-AU"/>
        </w:rPr>
        <w:t xml:space="preserve">As soon as a clear solution is obtained (usually after 5-10 minutes) dilute the total recommended dose of RIBOMUSTIN immediately with 0.9% </w:t>
      </w:r>
      <w:proofErr w:type="spellStart"/>
      <w:r w:rsidRPr="00A019E2">
        <w:rPr>
          <w:b w:val="0"/>
          <w:iCs/>
          <w:caps w:val="0"/>
          <w:spacing w:val="0"/>
          <w:sz w:val="22"/>
          <w:lang w:val="en-AU"/>
        </w:rPr>
        <w:t>NaCl</w:t>
      </w:r>
      <w:proofErr w:type="spellEnd"/>
      <w:r w:rsidRPr="00A019E2">
        <w:rPr>
          <w:b w:val="0"/>
          <w:iCs/>
          <w:caps w:val="0"/>
          <w:spacing w:val="0"/>
          <w:sz w:val="22"/>
          <w:lang w:val="en-AU"/>
        </w:rPr>
        <w:t xml:space="preserve"> solution to produce a final volume of about 500 ml.</w:t>
      </w:r>
    </w:p>
    <w:p w:rsidR="00C75558" w:rsidRPr="00A019E2" w:rsidRDefault="00C75558" w:rsidP="00C75558">
      <w:pPr>
        <w:pStyle w:val="PIHEADING1"/>
        <w:keepLines/>
        <w:spacing w:before="0" w:after="0"/>
        <w:rPr>
          <w:b w:val="0"/>
          <w:iCs/>
          <w:caps w:val="0"/>
          <w:spacing w:val="0"/>
          <w:sz w:val="22"/>
          <w:lang w:val="en-AU"/>
        </w:rPr>
      </w:pPr>
    </w:p>
    <w:p w:rsidR="00C75558" w:rsidRPr="00A019E2" w:rsidRDefault="00D6316F" w:rsidP="00C75558">
      <w:pPr>
        <w:pStyle w:val="PIHEADING1"/>
        <w:keepLines/>
        <w:spacing w:before="0" w:after="0"/>
        <w:rPr>
          <w:b w:val="0"/>
          <w:iCs/>
          <w:caps w:val="0"/>
          <w:spacing w:val="0"/>
          <w:sz w:val="22"/>
          <w:lang w:val="en-AU"/>
        </w:rPr>
      </w:pPr>
      <w:r w:rsidRPr="00A019E2">
        <w:rPr>
          <w:b w:val="0"/>
          <w:iCs/>
          <w:caps w:val="0"/>
          <w:spacing w:val="0"/>
          <w:sz w:val="22"/>
          <w:lang w:val="en-AU"/>
        </w:rPr>
        <w:t xml:space="preserve">RIBOMUSTIN must be diluted with 0.9% </w:t>
      </w:r>
      <w:proofErr w:type="spellStart"/>
      <w:r w:rsidRPr="00A019E2">
        <w:rPr>
          <w:b w:val="0"/>
          <w:iCs/>
          <w:caps w:val="0"/>
          <w:spacing w:val="0"/>
          <w:sz w:val="22"/>
          <w:lang w:val="en-AU"/>
        </w:rPr>
        <w:t>NaCl</w:t>
      </w:r>
      <w:proofErr w:type="spellEnd"/>
      <w:r w:rsidRPr="00A019E2">
        <w:rPr>
          <w:b w:val="0"/>
          <w:iCs/>
          <w:caps w:val="0"/>
          <w:spacing w:val="0"/>
          <w:sz w:val="22"/>
          <w:lang w:val="en-AU"/>
        </w:rPr>
        <w:t xml:space="preserve"> solution and not with any other injectable solution.</w:t>
      </w:r>
    </w:p>
    <w:p w:rsidR="00C75558" w:rsidRPr="00A019E2" w:rsidRDefault="00C75558" w:rsidP="00C75558">
      <w:pPr>
        <w:pStyle w:val="PIHEADING1"/>
        <w:keepLines/>
        <w:spacing w:before="0" w:after="0"/>
        <w:rPr>
          <w:b w:val="0"/>
          <w:iCs/>
          <w:caps w:val="0"/>
          <w:spacing w:val="0"/>
          <w:sz w:val="22"/>
          <w:lang w:val="en-AU"/>
        </w:rPr>
      </w:pPr>
    </w:p>
    <w:p w:rsidR="00C75558" w:rsidRPr="00A019E2" w:rsidRDefault="00D6316F" w:rsidP="00C75558">
      <w:pPr>
        <w:pStyle w:val="PIHEADING1"/>
        <w:keepLines/>
        <w:spacing w:before="0" w:after="0"/>
        <w:rPr>
          <w:i/>
          <w:iCs/>
          <w:caps w:val="0"/>
          <w:spacing w:val="0"/>
          <w:sz w:val="22"/>
          <w:lang w:val="en-AU"/>
        </w:rPr>
      </w:pPr>
      <w:r w:rsidRPr="00A019E2">
        <w:rPr>
          <w:i/>
          <w:iCs/>
          <w:caps w:val="0"/>
          <w:spacing w:val="0"/>
          <w:sz w:val="22"/>
          <w:lang w:val="en-AU"/>
        </w:rPr>
        <w:t>3. Administration</w:t>
      </w:r>
    </w:p>
    <w:p w:rsidR="00797E35" w:rsidRPr="00A019E2" w:rsidRDefault="00D6316F" w:rsidP="00C75558">
      <w:pPr>
        <w:pStyle w:val="PIHEADING1"/>
        <w:keepLines/>
        <w:spacing w:before="0" w:after="0"/>
        <w:rPr>
          <w:b w:val="0"/>
          <w:iCs/>
          <w:caps w:val="0"/>
          <w:spacing w:val="0"/>
          <w:sz w:val="22"/>
          <w:lang w:val="en-AU"/>
        </w:rPr>
      </w:pPr>
      <w:r w:rsidRPr="00A019E2">
        <w:rPr>
          <w:b w:val="0"/>
          <w:iCs/>
          <w:caps w:val="0"/>
          <w:spacing w:val="0"/>
          <w:sz w:val="22"/>
          <w:lang w:val="en-AU"/>
        </w:rPr>
        <w:t>The solution is administered by intravenous infusion over 30-60 min.</w:t>
      </w:r>
    </w:p>
    <w:p w:rsidR="00035FAD" w:rsidRPr="00A019E2" w:rsidRDefault="00035FAD" w:rsidP="007158CA">
      <w:pPr>
        <w:rPr>
          <w:lang w:val="en-AU"/>
        </w:rPr>
      </w:pPr>
    </w:p>
    <w:p w:rsidR="007158CA" w:rsidRPr="00A019E2" w:rsidRDefault="00D6316F" w:rsidP="007158CA">
      <w:pPr>
        <w:rPr>
          <w:b/>
          <w:i/>
          <w:lang w:val="en-AU"/>
        </w:rPr>
      </w:pPr>
      <w:r w:rsidRPr="00A019E2">
        <w:rPr>
          <w:b/>
          <w:i/>
          <w:lang w:val="en-AU"/>
        </w:rPr>
        <w:t>Hepatic impairment</w:t>
      </w:r>
    </w:p>
    <w:p w:rsidR="007158CA" w:rsidRPr="00A019E2" w:rsidRDefault="00D6316F" w:rsidP="007158CA">
      <w:pPr>
        <w:rPr>
          <w:lang w:val="en-AU"/>
        </w:rPr>
      </w:pPr>
      <w:r w:rsidRPr="00A019E2">
        <w:rPr>
          <w:lang w:val="en-AU"/>
        </w:rPr>
        <w:t>On the basis of pharmacokinetic data, no dose adjustment is necessary in patients with mild hepatic impairment (serum bilirubin &lt; 1.2 mg/dL). A 30% dose reduction is recommended in patients with moderate hepatic impairment (serum bilirubin 1.2 - 3.0 mg/dL).</w:t>
      </w:r>
    </w:p>
    <w:p w:rsidR="007158CA" w:rsidRPr="00A019E2" w:rsidRDefault="00E63FC4" w:rsidP="007158CA">
      <w:pPr>
        <w:rPr>
          <w:lang w:val="en-AU"/>
        </w:rPr>
      </w:pPr>
      <w:r w:rsidRPr="00A019E2">
        <w:rPr>
          <w:lang w:val="en-AU"/>
        </w:rPr>
        <w:t xml:space="preserve">No data is available in patients with severe hepatic impairment (serum bilirubin values of &gt; 3.0 mg/dL) (see </w:t>
      </w:r>
      <w:r w:rsidRPr="00A019E2">
        <w:rPr>
          <w:b/>
          <w:lang w:val="en-AU"/>
        </w:rPr>
        <w:t>CONTRAINDICATIONS</w:t>
      </w:r>
      <w:r w:rsidRPr="00A019E2">
        <w:rPr>
          <w:lang w:val="en-AU"/>
        </w:rPr>
        <w:t>).</w:t>
      </w:r>
    </w:p>
    <w:p w:rsidR="007158CA" w:rsidRPr="00A019E2" w:rsidRDefault="00E63FC4" w:rsidP="007158CA">
      <w:pPr>
        <w:rPr>
          <w:b/>
          <w:i/>
          <w:lang w:val="en-AU"/>
        </w:rPr>
      </w:pPr>
      <w:r w:rsidRPr="00A019E2">
        <w:rPr>
          <w:b/>
          <w:i/>
          <w:lang w:val="en-AU"/>
        </w:rPr>
        <w:t>Renal impairment</w:t>
      </w:r>
    </w:p>
    <w:p w:rsidR="007158CA" w:rsidRPr="00A019E2" w:rsidRDefault="00E63FC4" w:rsidP="007158CA">
      <w:pPr>
        <w:rPr>
          <w:lang w:val="en-AU"/>
        </w:rPr>
      </w:pPr>
      <w:r w:rsidRPr="00A019E2">
        <w:rPr>
          <w:lang w:val="en-AU"/>
        </w:rPr>
        <w:t>On the basis of pharmacokinetic data, no dose adjustment is necessary in patients with a creatinine clearance of &gt; 10 mL/min. Experience in patients with severe renal impairment is limited.</w:t>
      </w:r>
    </w:p>
    <w:p w:rsidR="00DB7713" w:rsidRPr="00A019E2" w:rsidRDefault="00E63FC4" w:rsidP="007158CA">
      <w:pPr>
        <w:rPr>
          <w:b/>
          <w:i/>
          <w:lang w:val="en-AU"/>
        </w:rPr>
      </w:pPr>
      <w:r w:rsidRPr="00A019E2">
        <w:rPr>
          <w:b/>
          <w:i/>
          <w:lang w:val="en-AU"/>
        </w:rPr>
        <w:t>Paediatric Patients</w:t>
      </w:r>
    </w:p>
    <w:p w:rsidR="00DB7713" w:rsidRPr="00A019E2" w:rsidRDefault="00E63FC4" w:rsidP="007158CA">
      <w:pPr>
        <w:rPr>
          <w:lang w:val="en-AU"/>
        </w:rPr>
      </w:pPr>
      <w:r w:rsidRPr="00A019E2">
        <w:rPr>
          <w:lang w:val="en-AU"/>
        </w:rPr>
        <w:lastRenderedPageBreak/>
        <w:t>There is no experience in children and adolescents with bendamustine.</w:t>
      </w:r>
    </w:p>
    <w:p w:rsidR="00DB7713" w:rsidRPr="00A019E2" w:rsidRDefault="00E63FC4" w:rsidP="007158CA">
      <w:pPr>
        <w:rPr>
          <w:b/>
          <w:i/>
          <w:lang w:val="en-AU"/>
        </w:rPr>
      </w:pPr>
      <w:r w:rsidRPr="00A019E2">
        <w:rPr>
          <w:b/>
          <w:i/>
          <w:lang w:val="en-AU"/>
        </w:rPr>
        <w:t>Elderly Patients</w:t>
      </w:r>
    </w:p>
    <w:p w:rsidR="00DB7713" w:rsidRPr="00A019E2" w:rsidRDefault="00E63FC4" w:rsidP="007158CA">
      <w:pPr>
        <w:rPr>
          <w:lang w:val="en-AU"/>
        </w:rPr>
      </w:pPr>
      <w:r w:rsidRPr="00A019E2">
        <w:rPr>
          <w:lang w:val="en-AU"/>
        </w:rPr>
        <w:t>There is no evidence that dose adjustments are necessary in elderly patients.</w:t>
      </w:r>
    </w:p>
    <w:p w:rsidR="0033282E" w:rsidRPr="00A019E2" w:rsidRDefault="00E63FC4" w:rsidP="0033282E">
      <w:pPr>
        <w:pStyle w:val="Footer"/>
        <w:tabs>
          <w:tab w:val="clear" w:pos="4153"/>
          <w:tab w:val="clear" w:pos="8306"/>
        </w:tabs>
        <w:spacing w:before="120" w:after="80"/>
        <w:rPr>
          <w:b/>
          <w:bCs/>
          <w:u w:val="single"/>
          <w:lang w:val="en-AU"/>
        </w:rPr>
      </w:pPr>
      <w:r w:rsidRPr="00A019E2">
        <w:rPr>
          <w:b/>
          <w:bCs/>
          <w:u w:val="single"/>
          <w:lang w:val="en-AU"/>
        </w:rPr>
        <w:t>Special Precautions for Disposal and Handling</w:t>
      </w:r>
    </w:p>
    <w:p w:rsidR="00035FAD" w:rsidRPr="00A019E2" w:rsidRDefault="00D6316F" w:rsidP="00035FAD">
      <w:pPr>
        <w:pStyle w:val="PIHEADING1"/>
        <w:keepLines/>
        <w:spacing w:before="0" w:after="0"/>
        <w:rPr>
          <w:b w:val="0"/>
          <w:iCs/>
          <w:caps w:val="0"/>
          <w:spacing w:val="0"/>
          <w:sz w:val="22"/>
          <w:lang w:val="en-AU"/>
        </w:rPr>
      </w:pPr>
      <w:r w:rsidRPr="00A019E2">
        <w:rPr>
          <w:b w:val="0"/>
          <w:iCs/>
          <w:caps w:val="0"/>
          <w:spacing w:val="0"/>
          <w:sz w:val="22"/>
          <w:lang w:val="en-AU"/>
        </w:rPr>
        <w:t xml:space="preserve">When handling RIBOMUSTIN, inhalation, skin contact or contact with mucous membranes should be avoided (wear gloves and protective clothes). Contaminated body parts should be carefully rinsed with water and soap, the eye should be rinsed with physiological saline solution. If possible it is recommended to work on special safety workbenches (laminar flow) with liquid impermeable, absorbing disposable foil. Pregnant personnel should be excluded from handling </w:t>
      </w:r>
      <w:proofErr w:type="spellStart"/>
      <w:r w:rsidRPr="00A019E2">
        <w:rPr>
          <w:b w:val="0"/>
          <w:iCs/>
          <w:caps w:val="0"/>
          <w:spacing w:val="0"/>
          <w:sz w:val="22"/>
          <w:lang w:val="en-AU"/>
        </w:rPr>
        <w:t>cytostatics</w:t>
      </w:r>
      <w:proofErr w:type="spellEnd"/>
      <w:r w:rsidRPr="00A019E2">
        <w:rPr>
          <w:b w:val="0"/>
          <w:iCs/>
          <w:caps w:val="0"/>
          <w:spacing w:val="0"/>
          <w:sz w:val="22"/>
          <w:lang w:val="en-AU"/>
        </w:rPr>
        <w:t>.</w:t>
      </w:r>
    </w:p>
    <w:p w:rsidR="004C3411" w:rsidRPr="00A019E2" w:rsidRDefault="004C3411" w:rsidP="00035FAD">
      <w:pPr>
        <w:pStyle w:val="PIHEADING1"/>
        <w:keepLines/>
        <w:spacing w:before="0" w:after="0"/>
        <w:rPr>
          <w:b w:val="0"/>
          <w:iCs/>
          <w:caps w:val="0"/>
          <w:spacing w:val="0"/>
          <w:sz w:val="22"/>
          <w:lang w:val="en-AU"/>
        </w:rPr>
      </w:pPr>
    </w:p>
    <w:p w:rsidR="00035FAD" w:rsidRPr="00A019E2" w:rsidRDefault="00D6316F" w:rsidP="00035FAD">
      <w:pPr>
        <w:pStyle w:val="PIHEADING1"/>
        <w:keepLines/>
        <w:spacing w:before="0" w:after="0"/>
        <w:rPr>
          <w:b w:val="0"/>
          <w:iCs/>
          <w:caps w:val="0"/>
          <w:spacing w:val="0"/>
          <w:sz w:val="22"/>
          <w:lang w:val="en-AU"/>
        </w:rPr>
      </w:pPr>
      <w:r w:rsidRPr="00A019E2">
        <w:rPr>
          <w:b w:val="0"/>
          <w:iCs/>
          <w:caps w:val="0"/>
          <w:spacing w:val="0"/>
          <w:sz w:val="22"/>
          <w:lang w:val="en-AU"/>
        </w:rPr>
        <w:t>The product is for single use in one patient only.  Discard any residue. Any unused product or waste material should be disposed of in accordance with local requirements.</w:t>
      </w:r>
    </w:p>
    <w:p w:rsidR="0033282E" w:rsidRPr="00A019E2" w:rsidRDefault="00E63FC4" w:rsidP="00035FAD">
      <w:pPr>
        <w:pStyle w:val="PIHEADING1"/>
        <w:keepLines/>
        <w:rPr>
          <w:lang w:val="en-AU"/>
        </w:rPr>
      </w:pPr>
      <w:r w:rsidRPr="00A019E2">
        <w:rPr>
          <w:lang w:val="en-AU"/>
        </w:rPr>
        <w:t>OVERDOSAGE</w:t>
      </w:r>
    </w:p>
    <w:p w:rsidR="003B52AD" w:rsidRPr="00A019E2" w:rsidRDefault="00E63FC4" w:rsidP="0033282E">
      <w:pPr>
        <w:autoSpaceDE w:val="0"/>
        <w:autoSpaceDN w:val="0"/>
        <w:adjustRightInd w:val="0"/>
        <w:rPr>
          <w:lang w:val="en-AU"/>
        </w:rPr>
      </w:pPr>
      <w:r w:rsidRPr="00A019E2">
        <w:rPr>
          <w:lang w:val="en-AU"/>
        </w:rPr>
        <w:t>The maximum single dose of bendamustine received in clinical studies was 280 mg/m</w:t>
      </w:r>
      <w:r w:rsidRPr="00A019E2">
        <w:rPr>
          <w:vertAlign w:val="superscript"/>
          <w:lang w:val="en-AU"/>
        </w:rPr>
        <w:t>2</w:t>
      </w:r>
      <w:r w:rsidRPr="00A019E2">
        <w:rPr>
          <w:lang w:val="en-AU"/>
        </w:rPr>
        <w:t xml:space="preserve"> body surface area.</w:t>
      </w:r>
    </w:p>
    <w:p w:rsidR="004C3411" w:rsidRPr="00A019E2" w:rsidRDefault="00E63FC4" w:rsidP="0033282E">
      <w:pPr>
        <w:autoSpaceDE w:val="0"/>
        <w:autoSpaceDN w:val="0"/>
        <w:adjustRightInd w:val="0"/>
        <w:rPr>
          <w:lang w:val="en-AU"/>
        </w:rPr>
      </w:pPr>
      <w:r w:rsidRPr="00A019E2">
        <w:rPr>
          <w:lang w:val="en-AU"/>
        </w:rPr>
        <w:t>Three out of the four patients treated with 280 mg/m</w:t>
      </w:r>
      <w:r w:rsidRPr="00A019E2">
        <w:rPr>
          <w:vertAlign w:val="superscript"/>
          <w:lang w:val="en-AU"/>
        </w:rPr>
        <w:t>2</w:t>
      </w:r>
      <w:r w:rsidRPr="00A019E2">
        <w:rPr>
          <w:lang w:val="en-AU"/>
        </w:rPr>
        <w:t xml:space="preserve"> experienced ECG changes which were regarded as dose-limiting toxicities on days 7 and 21. These changes included prolonged QT (1 patient), displaced ST and T waves (2 patients) and left interior fascicle block (1 patient).</w:t>
      </w:r>
    </w:p>
    <w:p w:rsidR="0063409F" w:rsidRPr="00A019E2" w:rsidRDefault="00E63FC4" w:rsidP="0033282E">
      <w:pPr>
        <w:autoSpaceDE w:val="0"/>
        <w:autoSpaceDN w:val="0"/>
        <w:adjustRightInd w:val="0"/>
        <w:rPr>
          <w:lang w:val="en-AU"/>
        </w:rPr>
      </w:pPr>
      <w:r w:rsidRPr="00A019E2">
        <w:rPr>
          <w:lang w:val="en-AU"/>
        </w:rPr>
        <w:t xml:space="preserve">There is no specific antidote for </w:t>
      </w:r>
      <w:proofErr w:type="spellStart"/>
      <w:r w:rsidRPr="00A019E2">
        <w:rPr>
          <w:lang w:val="en-AU"/>
        </w:rPr>
        <w:t>bendamustine</w:t>
      </w:r>
      <w:proofErr w:type="spellEnd"/>
      <w:r w:rsidRPr="00A019E2">
        <w:rPr>
          <w:lang w:val="en-AU"/>
        </w:rPr>
        <w:t xml:space="preserve"> </w:t>
      </w:r>
      <w:proofErr w:type="spellStart"/>
      <w:r w:rsidRPr="00A019E2">
        <w:rPr>
          <w:lang w:val="en-AU"/>
        </w:rPr>
        <w:t>overdosage</w:t>
      </w:r>
      <w:proofErr w:type="spellEnd"/>
      <w:r w:rsidRPr="00A019E2">
        <w:rPr>
          <w:lang w:val="en-AU"/>
        </w:rPr>
        <w:t>. Supportive therapy should be given when needed.</w:t>
      </w:r>
    </w:p>
    <w:p w:rsidR="0033282E" w:rsidRPr="00A019E2" w:rsidRDefault="00E63FC4" w:rsidP="0033282E">
      <w:pPr>
        <w:autoSpaceDE w:val="0"/>
        <w:autoSpaceDN w:val="0"/>
        <w:adjustRightInd w:val="0"/>
        <w:rPr>
          <w:lang w:val="en-AU"/>
        </w:rPr>
      </w:pPr>
      <w:r w:rsidRPr="00A019E2">
        <w:rPr>
          <w:lang w:val="en-AU"/>
        </w:rPr>
        <w:t>Refer to the Australian Poisons Information Centre for further information (telephone number: 131126).</w:t>
      </w:r>
    </w:p>
    <w:p w:rsidR="0033282E" w:rsidRPr="00A019E2" w:rsidRDefault="00E63FC4" w:rsidP="0033282E">
      <w:pPr>
        <w:pStyle w:val="PIHEADING1"/>
        <w:keepLines/>
        <w:jc w:val="both"/>
        <w:rPr>
          <w:lang w:val="en-AU"/>
        </w:rPr>
      </w:pPr>
      <w:r w:rsidRPr="00A019E2">
        <w:rPr>
          <w:lang w:val="en-AU"/>
        </w:rPr>
        <w:t>PRESENTATION and Storage Conditions</w:t>
      </w:r>
    </w:p>
    <w:p w:rsidR="00035FAD" w:rsidRPr="00A019E2" w:rsidRDefault="00E63FC4" w:rsidP="003B52AD">
      <w:pPr>
        <w:pStyle w:val="BodyText12"/>
        <w:spacing w:after="0"/>
        <w:ind w:left="0"/>
        <w:jc w:val="left"/>
        <w:rPr>
          <w:rFonts w:cs="Arial"/>
          <w:sz w:val="22"/>
          <w:lang w:val="en-AU"/>
        </w:rPr>
      </w:pPr>
      <w:r w:rsidRPr="00A019E2">
        <w:rPr>
          <w:rFonts w:cs="Arial"/>
          <w:sz w:val="22"/>
          <w:lang w:val="en-AU"/>
        </w:rPr>
        <w:t xml:space="preserve">RIBOMUSTIN is supplied in Type I brown glass vials of 26 ml or 60 ml with rubber stopper and an </w:t>
      </w:r>
      <w:proofErr w:type="spellStart"/>
      <w:r w:rsidRPr="00A019E2">
        <w:rPr>
          <w:rFonts w:cs="Arial"/>
          <w:sz w:val="22"/>
          <w:lang w:val="en-AU"/>
        </w:rPr>
        <w:t>aluminum</w:t>
      </w:r>
      <w:proofErr w:type="spellEnd"/>
      <w:r w:rsidRPr="00A019E2">
        <w:rPr>
          <w:rFonts w:cs="Arial"/>
          <w:sz w:val="22"/>
          <w:lang w:val="en-AU"/>
        </w:rPr>
        <w:t xml:space="preserve"> flip-off cap.</w:t>
      </w:r>
    </w:p>
    <w:p w:rsidR="0063409F" w:rsidRPr="00A019E2" w:rsidRDefault="0063409F" w:rsidP="003B52AD">
      <w:pPr>
        <w:pStyle w:val="BodyText12"/>
        <w:spacing w:after="0"/>
        <w:ind w:left="0"/>
        <w:jc w:val="left"/>
        <w:rPr>
          <w:rFonts w:cs="Arial"/>
          <w:sz w:val="22"/>
          <w:lang w:val="en-AU"/>
        </w:rPr>
      </w:pPr>
    </w:p>
    <w:p w:rsidR="00035FAD" w:rsidRPr="00A019E2" w:rsidRDefault="00E63FC4" w:rsidP="003B52AD">
      <w:pPr>
        <w:pStyle w:val="BodyText12"/>
        <w:spacing w:after="0"/>
        <w:ind w:left="0"/>
        <w:jc w:val="left"/>
        <w:rPr>
          <w:rFonts w:cs="Arial"/>
          <w:sz w:val="22"/>
          <w:lang w:val="en-AU"/>
        </w:rPr>
      </w:pPr>
      <w:r w:rsidRPr="00A019E2">
        <w:rPr>
          <w:rFonts w:cs="Arial"/>
          <w:sz w:val="22"/>
          <w:lang w:val="en-AU"/>
        </w:rPr>
        <w:t>26 mL-vials contain 25 mg bendamustine hydrochloride; supplied in cartons containing 1 vial.</w:t>
      </w:r>
    </w:p>
    <w:p w:rsidR="0063409F" w:rsidRPr="00A019E2" w:rsidRDefault="0063409F" w:rsidP="003B52AD">
      <w:pPr>
        <w:pStyle w:val="BodyText12"/>
        <w:spacing w:after="0" w:line="240" w:lineRule="auto"/>
        <w:ind w:left="0"/>
        <w:jc w:val="left"/>
        <w:rPr>
          <w:rFonts w:cs="Arial"/>
          <w:sz w:val="22"/>
          <w:lang w:val="en-AU"/>
        </w:rPr>
      </w:pPr>
    </w:p>
    <w:p w:rsidR="00035FAD" w:rsidRPr="00A019E2" w:rsidRDefault="00E63FC4" w:rsidP="003B52AD">
      <w:pPr>
        <w:pStyle w:val="BodyText12"/>
        <w:spacing w:after="0" w:line="240" w:lineRule="auto"/>
        <w:ind w:left="0"/>
        <w:jc w:val="left"/>
        <w:rPr>
          <w:rFonts w:cs="Arial"/>
          <w:sz w:val="22"/>
          <w:lang w:val="en-AU"/>
        </w:rPr>
      </w:pPr>
      <w:r w:rsidRPr="00A019E2">
        <w:rPr>
          <w:rFonts w:cs="Arial"/>
          <w:sz w:val="22"/>
          <w:lang w:val="en-AU"/>
        </w:rPr>
        <w:t>60 mL-vials contain 100 mg bendamustine hydrochloride; supplied in cartons containing 1 vial.</w:t>
      </w:r>
    </w:p>
    <w:p w:rsidR="00B337EE" w:rsidRPr="00A019E2" w:rsidRDefault="00B337EE" w:rsidP="003B52AD">
      <w:pPr>
        <w:pStyle w:val="BodyText12"/>
        <w:spacing w:after="0" w:line="240" w:lineRule="auto"/>
        <w:ind w:left="0"/>
        <w:jc w:val="left"/>
        <w:rPr>
          <w:rFonts w:cs="Arial"/>
          <w:sz w:val="22"/>
          <w:lang w:val="en-AU"/>
        </w:rPr>
      </w:pPr>
    </w:p>
    <w:p w:rsidR="00B337EE" w:rsidRPr="00A019E2" w:rsidRDefault="00E63FC4" w:rsidP="003B52AD">
      <w:pPr>
        <w:pStyle w:val="BodyText12"/>
        <w:spacing w:after="0" w:line="240" w:lineRule="auto"/>
        <w:ind w:left="0"/>
        <w:jc w:val="left"/>
        <w:rPr>
          <w:rFonts w:cs="Arial"/>
          <w:sz w:val="22"/>
          <w:lang w:val="en-AU"/>
        </w:rPr>
      </w:pPr>
      <w:r w:rsidRPr="00A019E2">
        <w:rPr>
          <w:rFonts w:cs="Arial"/>
          <w:sz w:val="22"/>
          <w:lang w:val="en-AU"/>
        </w:rPr>
        <w:t>The vials are for single use only.</w:t>
      </w:r>
    </w:p>
    <w:p w:rsidR="0063409F" w:rsidRPr="00A019E2" w:rsidRDefault="0063409F" w:rsidP="003B52AD">
      <w:pPr>
        <w:pStyle w:val="BodyText12"/>
        <w:spacing w:after="0" w:line="240" w:lineRule="auto"/>
        <w:ind w:left="0"/>
        <w:jc w:val="left"/>
        <w:rPr>
          <w:rFonts w:cs="Arial"/>
          <w:sz w:val="22"/>
          <w:lang w:val="en-AU"/>
        </w:rPr>
      </w:pPr>
    </w:p>
    <w:p w:rsidR="0063409F" w:rsidRPr="00A019E2" w:rsidRDefault="00E63FC4" w:rsidP="003B52AD">
      <w:pPr>
        <w:pStyle w:val="BodyText12"/>
        <w:spacing w:after="0" w:line="240" w:lineRule="auto"/>
        <w:ind w:left="0"/>
        <w:jc w:val="left"/>
        <w:rPr>
          <w:rFonts w:cs="Arial"/>
          <w:sz w:val="22"/>
          <w:lang w:val="en-AU"/>
        </w:rPr>
      </w:pPr>
      <w:r w:rsidRPr="00A019E2">
        <w:rPr>
          <w:rFonts w:cs="Arial"/>
          <w:sz w:val="22"/>
          <w:lang w:val="en-AU"/>
        </w:rPr>
        <w:t>Not all presentations may be marketed.</w:t>
      </w:r>
    </w:p>
    <w:p w:rsidR="0033282E" w:rsidRPr="00A019E2" w:rsidRDefault="00E63FC4" w:rsidP="0033282E">
      <w:pPr>
        <w:pStyle w:val="PIHEADING2"/>
        <w:keepLines/>
        <w:rPr>
          <w:sz w:val="24"/>
          <w:szCs w:val="24"/>
          <w:lang w:val="en-AU"/>
        </w:rPr>
      </w:pPr>
      <w:r w:rsidRPr="00A019E2">
        <w:rPr>
          <w:sz w:val="24"/>
          <w:szCs w:val="24"/>
          <w:lang w:val="en-AU"/>
        </w:rPr>
        <w:t>Storage</w:t>
      </w:r>
    </w:p>
    <w:p w:rsidR="0033282E" w:rsidRPr="00A019E2" w:rsidRDefault="0033282E" w:rsidP="0033282E">
      <w:pPr>
        <w:spacing w:before="20" w:after="80"/>
        <w:rPr>
          <w:lang w:val="en-AU"/>
        </w:rPr>
      </w:pPr>
      <w:r w:rsidRPr="00A019E2">
        <w:rPr>
          <w:i/>
          <w:iCs/>
          <w:lang w:val="en-AU"/>
        </w:rPr>
        <w:lastRenderedPageBreak/>
        <w:t>Unopened vials:</w:t>
      </w:r>
      <w:r w:rsidRPr="00A019E2">
        <w:rPr>
          <w:lang w:val="en-AU"/>
        </w:rPr>
        <w:t xml:space="preserve"> Store below </w:t>
      </w:r>
      <w:r w:rsidR="00E63FC4" w:rsidRPr="00A019E2">
        <w:rPr>
          <w:lang w:val="en-AU"/>
        </w:rPr>
        <w:t>25</w:t>
      </w:r>
      <w:r w:rsidR="00E63FC4" w:rsidRPr="00A019E2">
        <w:rPr>
          <w:rFonts w:cs="Arial"/>
          <w:lang w:val="en-AU"/>
        </w:rPr>
        <w:t>°</w:t>
      </w:r>
      <w:r w:rsidR="00E63FC4" w:rsidRPr="00A019E2">
        <w:rPr>
          <w:lang w:val="en-AU"/>
        </w:rPr>
        <w:t>C.  Keep the container in the outer carton in order to protect from light.</w:t>
      </w:r>
    </w:p>
    <w:p w:rsidR="003B52AD" w:rsidRPr="00A019E2" w:rsidRDefault="00E63FC4" w:rsidP="0033282E">
      <w:pPr>
        <w:spacing w:before="20" w:after="80"/>
        <w:rPr>
          <w:lang w:val="en-AU"/>
        </w:rPr>
      </w:pPr>
      <w:r w:rsidRPr="00A019E2">
        <w:rPr>
          <w:lang w:val="en-AU"/>
        </w:rPr>
        <w:t>The powder should be reconstituted immediately after opening of the vial. The reconstituted concentrate should be diluted immediately with 0.9% sodium chloride solution.</w:t>
      </w:r>
    </w:p>
    <w:p w:rsidR="0033282E" w:rsidRPr="00A019E2" w:rsidRDefault="00E63FC4" w:rsidP="003B52AD">
      <w:pPr>
        <w:spacing w:before="20" w:after="80"/>
        <w:rPr>
          <w:lang w:val="en-AU"/>
        </w:rPr>
      </w:pPr>
      <w:proofErr w:type="gramStart"/>
      <w:r w:rsidRPr="00A019E2">
        <w:rPr>
          <w:bCs/>
          <w:i/>
          <w:lang w:val="en-AU"/>
        </w:rPr>
        <w:t>Reconstituted solution:</w:t>
      </w:r>
      <w:r w:rsidRPr="00A019E2">
        <w:rPr>
          <w:lang w:val="en-AU"/>
        </w:rPr>
        <w:t xml:space="preserve">  To reduce microbiological hazard, use as soon as possible after reconstitution/preparation.</w:t>
      </w:r>
      <w:proofErr w:type="gramEnd"/>
      <w:r w:rsidRPr="00A019E2">
        <w:rPr>
          <w:lang w:val="en-AU"/>
        </w:rPr>
        <w:t xml:space="preserve"> If storage is necessary, hold at not more than 3.5 hours at 25 °C or at 2°-8°C for not more than 24 hours. From a microbiological point of view, the solution should be used immediately. If not used immediately, in-use storage times and conditions prior to use are the responsibility of the user.</w:t>
      </w:r>
    </w:p>
    <w:p w:rsidR="0033282E" w:rsidRPr="00A019E2" w:rsidRDefault="00E63FC4" w:rsidP="0033282E">
      <w:pPr>
        <w:pStyle w:val="PIHEADING1"/>
        <w:keepLines/>
        <w:jc w:val="both"/>
        <w:rPr>
          <w:lang w:val="en-AU"/>
        </w:rPr>
      </w:pPr>
      <w:r w:rsidRPr="00A019E2">
        <w:rPr>
          <w:lang w:val="en-AU"/>
        </w:rPr>
        <w:t>Name and Address of the Sponsor</w:t>
      </w:r>
    </w:p>
    <w:p w:rsidR="0033282E" w:rsidRPr="00A019E2" w:rsidRDefault="00E63FC4" w:rsidP="0033282E">
      <w:pPr>
        <w:spacing w:before="20" w:after="80"/>
        <w:rPr>
          <w:lang w:val="en-AU"/>
        </w:rPr>
      </w:pPr>
      <w:r w:rsidRPr="00A019E2">
        <w:rPr>
          <w:lang w:val="en-AU"/>
        </w:rPr>
        <w:t xml:space="preserve">JANSSEN-CILAG Pty Ltd </w:t>
      </w:r>
    </w:p>
    <w:p w:rsidR="0033282E" w:rsidRPr="00A019E2" w:rsidRDefault="00E63FC4" w:rsidP="0033282E">
      <w:pPr>
        <w:spacing w:before="20" w:after="80"/>
        <w:rPr>
          <w:lang w:val="en-AU"/>
        </w:rPr>
      </w:pPr>
      <w:r w:rsidRPr="00A019E2">
        <w:rPr>
          <w:lang w:val="en-AU"/>
        </w:rPr>
        <w:t>1-5 Khartoum Rd Macquarie Park NSW 2113 Australia</w:t>
      </w:r>
    </w:p>
    <w:p w:rsidR="0033282E" w:rsidRPr="00A019E2" w:rsidRDefault="00E63FC4" w:rsidP="0033282E">
      <w:pPr>
        <w:spacing w:before="20" w:after="80"/>
        <w:rPr>
          <w:lang w:val="en-AU"/>
        </w:rPr>
      </w:pPr>
      <w:r w:rsidRPr="00A019E2">
        <w:rPr>
          <w:lang w:val="en-AU"/>
        </w:rPr>
        <w:t>NZ Office: Auckland New Zealand</w:t>
      </w:r>
    </w:p>
    <w:p w:rsidR="00AB0C95" w:rsidRDefault="00AB0C95" w:rsidP="0033282E">
      <w:pPr>
        <w:pStyle w:val="PIHEADING1"/>
        <w:keepLines/>
        <w:jc w:val="both"/>
        <w:rPr>
          <w:lang w:val="en-AU"/>
        </w:rPr>
      </w:pPr>
    </w:p>
    <w:p w:rsidR="0033282E" w:rsidRPr="00A019E2" w:rsidRDefault="00E63FC4" w:rsidP="0033282E">
      <w:pPr>
        <w:pStyle w:val="PIHEADING1"/>
        <w:keepLines/>
        <w:jc w:val="both"/>
        <w:rPr>
          <w:lang w:val="en-AU"/>
        </w:rPr>
      </w:pPr>
      <w:r w:rsidRPr="00A019E2">
        <w:rPr>
          <w:lang w:val="en-AU"/>
        </w:rPr>
        <w:t>poison schedule of the Medicine</w:t>
      </w:r>
    </w:p>
    <w:p w:rsidR="0033282E" w:rsidRPr="00A019E2" w:rsidRDefault="00E63FC4" w:rsidP="0033282E">
      <w:pPr>
        <w:pStyle w:val="PIEXPLAIN"/>
        <w:keepLines/>
        <w:rPr>
          <w:lang w:val="en-AU"/>
        </w:rPr>
      </w:pPr>
      <w:r w:rsidRPr="00A019E2">
        <w:rPr>
          <w:lang w:val="en-AU"/>
        </w:rPr>
        <w:t xml:space="preserve">Prescription Only </w:t>
      </w:r>
      <w:proofErr w:type="gramStart"/>
      <w:r w:rsidRPr="00A019E2">
        <w:rPr>
          <w:lang w:val="en-AU"/>
        </w:rPr>
        <w:t xml:space="preserve">Medicine  </w:t>
      </w:r>
      <w:r w:rsidR="000417D6">
        <w:rPr>
          <w:lang w:val="en-AU"/>
        </w:rPr>
        <w:t>(</w:t>
      </w:r>
      <w:proofErr w:type="gramEnd"/>
      <w:r w:rsidR="000417D6">
        <w:rPr>
          <w:lang w:val="en-AU"/>
        </w:rPr>
        <w:t>S4)</w:t>
      </w:r>
    </w:p>
    <w:p w:rsidR="003B10C7" w:rsidRDefault="003B10C7">
      <w:pPr>
        <w:pStyle w:val="PIEXPLAIN"/>
        <w:keepLines/>
        <w:rPr>
          <w:b/>
          <w:caps/>
          <w:sz w:val="28"/>
          <w:lang w:val="en-AU"/>
        </w:rPr>
      </w:pPr>
    </w:p>
    <w:p w:rsidR="003B10C7" w:rsidRDefault="003B10C7">
      <w:pPr>
        <w:pStyle w:val="PIEXPLAIN"/>
        <w:keepLines/>
        <w:rPr>
          <w:b/>
          <w:caps/>
          <w:sz w:val="28"/>
          <w:lang w:val="en-AU"/>
        </w:rPr>
      </w:pPr>
      <w:r w:rsidRPr="003B10C7">
        <w:rPr>
          <w:b/>
          <w:caps/>
          <w:sz w:val="28"/>
          <w:lang w:val="en-AU"/>
        </w:rPr>
        <w:t xml:space="preserve">Date of first inclusion in the Australian Register of Therapeutic Goods (the ARTG) </w:t>
      </w:r>
    </w:p>
    <w:p w:rsidR="00E52001" w:rsidRPr="00A019E2" w:rsidRDefault="003B10C7">
      <w:pPr>
        <w:pStyle w:val="PIEXPLAIN"/>
        <w:keepLines/>
        <w:rPr>
          <w:bCs/>
          <w:lang w:val="en-AU"/>
        </w:rPr>
      </w:pPr>
      <w:r>
        <w:rPr>
          <w:bCs/>
          <w:lang w:val="en-AU"/>
        </w:rPr>
        <w:t>30</w:t>
      </w:r>
      <w:r w:rsidR="00D73E56">
        <w:rPr>
          <w:bCs/>
          <w:lang w:val="en-AU"/>
        </w:rPr>
        <w:t xml:space="preserve"> June 2014</w:t>
      </w:r>
    </w:p>
    <w:sectPr w:rsidR="00E52001" w:rsidRPr="00A019E2" w:rsidSect="00126A70">
      <w:headerReference w:type="default" r:id="rId12"/>
      <w:footerReference w:type="first" r:id="rId13"/>
      <w:endnotePr>
        <w:numFmt w:val="decimal"/>
      </w:endnotePr>
      <w:type w:val="continuous"/>
      <w:pgSz w:w="11907" w:h="16840" w:code="9"/>
      <w:pgMar w:top="709" w:right="1418" w:bottom="1418" w:left="1418" w:header="720" w:footer="50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7D6" w:rsidRDefault="00D417D6">
      <w:pPr>
        <w:spacing w:line="20" w:lineRule="exact"/>
      </w:pPr>
    </w:p>
  </w:endnote>
  <w:endnote w:type="continuationSeparator" w:id="0">
    <w:p w:rsidR="00D417D6" w:rsidRDefault="00D417D6">
      <w:r>
        <w:t xml:space="preserve"> </w:t>
      </w:r>
    </w:p>
  </w:endnote>
  <w:endnote w:type="continuationNotice" w:id="1">
    <w:p w:rsidR="00D417D6" w:rsidRDefault="00D417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imes New Roman Bold">
    <w:altName w:val="Tahoma"/>
    <w:panose1 w:val="02020803070505020304"/>
    <w:charset w:val="00"/>
    <w:family w:val="roman"/>
    <w:notTrueType/>
    <w:pitch w:val="default"/>
    <w:sig w:usb0="00000003" w:usb1="00000000" w:usb2="00000000" w:usb3="00000000" w:csb0="00000001" w:csb1="00000000"/>
  </w:font>
  <w:font w:name="Andy">
    <w:altName w:val="Courier New"/>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D6" w:rsidRDefault="00D417D6">
    <w:pPr>
      <w:pBdr>
        <w:top w:val="single" w:sz="6" w:space="4" w:color="auto"/>
      </w:pBdr>
      <w:tabs>
        <w:tab w:val="center" w:pos="5103"/>
        <w:tab w:val="left" w:pos="7371"/>
        <w:tab w:val="right" w:pos="10206"/>
      </w:tabs>
      <w:suppressAutoHyphens/>
      <w:jc w:val="both"/>
      <w:rPr>
        <w:spacing w:val="-2"/>
        <w:sz w:val="16"/>
      </w:rPr>
    </w:pPr>
    <w:r>
      <w:rPr>
        <w:sz w:val="16"/>
      </w:rPr>
      <w:tab/>
    </w:r>
    <w:r>
      <w:rPr>
        <w:sz w:val="16"/>
      </w:rPr>
      <w:tab/>
    </w:r>
    <w:proofErr w:type="gramStart"/>
    <w:r>
      <w:rPr>
        <w:spacing w:val="-2"/>
        <w:sz w:val="16"/>
      </w:rPr>
      <w:t>LYRINEL(</w:t>
    </w:r>
    <w:proofErr w:type="gramEnd"/>
    <w:r>
      <w:rPr>
        <w:spacing w:val="-2"/>
        <w:sz w:val="16"/>
      </w:rPr>
      <w:t>050624)DPI</w:t>
    </w:r>
  </w:p>
  <w:p w:rsidR="00D417D6" w:rsidRDefault="00D417D6">
    <w:pPr>
      <w:tabs>
        <w:tab w:val="right" w:pos="10206"/>
      </w:tabs>
      <w:suppressAutoHyphens/>
      <w:jc w:val="both"/>
      <w:rPr>
        <w:spacing w:val="-2"/>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7D6" w:rsidRDefault="00D417D6">
      <w:r>
        <w:separator/>
      </w:r>
    </w:p>
  </w:footnote>
  <w:footnote w:type="continuationSeparator" w:id="0">
    <w:p w:rsidR="00D417D6" w:rsidRDefault="00D41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A95213" w:rsidTr="00C327A2">
      <w:tc>
        <w:tcPr>
          <w:tcW w:w="8720" w:type="dxa"/>
          <w:shd w:val="clear" w:color="auto" w:fill="E4F2E0"/>
        </w:tcPr>
        <w:p w:rsidR="00A95213" w:rsidRPr="00A95213" w:rsidRDefault="00A95213" w:rsidP="00C327A2">
          <w:pPr>
            <w:spacing w:before="40" w:after="40"/>
            <w:rPr>
              <w:rFonts w:ascii="Cambria" w:hAnsi="Cambria"/>
              <w:b/>
              <w:sz w:val="20"/>
              <w:szCs w:val="20"/>
            </w:rPr>
          </w:pPr>
          <w:r w:rsidRPr="00A95213">
            <w:rPr>
              <w:rFonts w:ascii="Cambria" w:hAnsi="Cambria"/>
              <w:b/>
              <w:sz w:val="20"/>
              <w:szCs w:val="20"/>
            </w:rPr>
            <w:t xml:space="preserve">Attachment 1: Product information for </w:t>
          </w:r>
          <w:proofErr w:type="spellStart"/>
          <w:r w:rsidRPr="00A95213">
            <w:rPr>
              <w:rFonts w:ascii="Cambria" w:hAnsi="Cambria"/>
              <w:b/>
              <w:sz w:val="20"/>
              <w:szCs w:val="20"/>
            </w:rPr>
            <w:t>AusPAR</w:t>
          </w:r>
          <w:proofErr w:type="spellEnd"/>
          <w:r w:rsidRPr="00A95213">
            <w:rPr>
              <w:rFonts w:ascii="Cambria" w:hAnsi="Cambria"/>
              <w:b/>
              <w:sz w:val="20"/>
              <w:szCs w:val="20"/>
            </w:rPr>
            <w:t xml:space="preserve"> </w:t>
          </w:r>
          <w:proofErr w:type="spellStart"/>
          <w:r w:rsidRPr="00A95213">
            <w:rPr>
              <w:rFonts w:ascii="Cambria" w:hAnsi="Cambria"/>
              <w:b/>
              <w:sz w:val="20"/>
              <w:szCs w:val="20"/>
            </w:rPr>
            <w:t>Ribomustin</w:t>
          </w:r>
          <w:proofErr w:type="spellEnd"/>
          <w:r w:rsidRPr="00A95213">
            <w:rPr>
              <w:rFonts w:ascii="Cambria" w:hAnsi="Cambria"/>
              <w:b/>
              <w:sz w:val="20"/>
              <w:szCs w:val="20"/>
            </w:rPr>
            <w:t xml:space="preserve"> </w:t>
          </w:r>
          <w:proofErr w:type="spellStart"/>
          <w:r w:rsidRPr="00A95213">
            <w:rPr>
              <w:rFonts w:ascii="Cambria" w:hAnsi="Cambria"/>
              <w:b/>
              <w:sz w:val="20"/>
              <w:szCs w:val="20"/>
            </w:rPr>
            <w:t>Bendamustine</w:t>
          </w:r>
          <w:proofErr w:type="spellEnd"/>
          <w:r w:rsidRPr="00A95213">
            <w:rPr>
              <w:rFonts w:ascii="Cambria" w:hAnsi="Cambria"/>
              <w:b/>
              <w:sz w:val="20"/>
              <w:szCs w:val="20"/>
            </w:rPr>
            <w:t xml:space="preserve"> Janssen-</w:t>
          </w:r>
          <w:proofErr w:type="spellStart"/>
          <w:r w:rsidRPr="00A95213">
            <w:rPr>
              <w:rFonts w:ascii="Cambria" w:hAnsi="Cambria"/>
              <w:b/>
              <w:sz w:val="20"/>
              <w:szCs w:val="20"/>
            </w:rPr>
            <w:t>Cilag</w:t>
          </w:r>
          <w:proofErr w:type="spellEnd"/>
          <w:r w:rsidRPr="00A95213">
            <w:rPr>
              <w:rFonts w:ascii="Cambria" w:hAnsi="Cambria"/>
              <w:b/>
              <w:sz w:val="20"/>
              <w:szCs w:val="20"/>
            </w:rPr>
            <w:t xml:space="preserve"> Pty Ltd PM-2013-01517-1-4 Final 6 January 2015. This Product Information was approved at the time this </w:t>
          </w:r>
          <w:proofErr w:type="spellStart"/>
          <w:r w:rsidRPr="00A95213">
            <w:rPr>
              <w:rFonts w:ascii="Cambria" w:hAnsi="Cambria"/>
              <w:b/>
              <w:sz w:val="20"/>
              <w:szCs w:val="20"/>
            </w:rPr>
            <w:t>AusPAR</w:t>
          </w:r>
          <w:proofErr w:type="spellEnd"/>
          <w:r w:rsidRPr="00A95213">
            <w:rPr>
              <w:rFonts w:ascii="Cambria" w:hAnsi="Cambria"/>
              <w:b/>
              <w:sz w:val="20"/>
              <w:szCs w:val="20"/>
            </w:rPr>
            <w:t xml:space="preserve"> was published.</w:t>
          </w:r>
        </w:p>
      </w:tc>
    </w:tr>
  </w:tbl>
  <w:p w:rsidR="00A95213" w:rsidRPr="00A95213" w:rsidRDefault="00A95213" w:rsidP="00A95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0949196"/>
    <w:lvl w:ilvl="0">
      <w:start w:val="1"/>
      <w:numFmt w:val="none"/>
      <w:suff w:val="nothing"/>
      <w:lvlText w:val=""/>
      <w:lvlJc w:val="left"/>
      <w:pPr>
        <w:ind w:left="0" w:firstLine="0"/>
      </w:pPr>
    </w:lvl>
    <w:lvl w:ilvl="1">
      <w:start w:val="1"/>
      <w:numFmt w:val="decimal"/>
      <w:lvlText w:val="%2."/>
      <w:lvlJc w:val="left"/>
      <w:pPr>
        <w:tabs>
          <w:tab w:val="num" w:pos="835"/>
        </w:tabs>
        <w:ind w:left="835" w:hanging="835"/>
      </w:pPr>
    </w:lvl>
    <w:lvl w:ilvl="2">
      <w:start w:val="1"/>
      <w:numFmt w:val="decimal"/>
      <w:lvlText w:val="%2.%3."/>
      <w:lvlJc w:val="left"/>
      <w:pPr>
        <w:tabs>
          <w:tab w:val="num" w:pos="835"/>
        </w:tabs>
        <w:ind w:left="835" w:hanging="835"/>
      </w:pPr>
    </w:lvl>
    <w:lvl w:ilvl="3">
      <w:start w:val="1"/>
      <w:numFmt w:val="decimal"/>
      <w:lvlText w:val="%2.%3.%4."/>
      <w:lvlJc w:val="left"/>
      <w:pPr>
        <w:tabs>
          <w:tab w:val="num" w:pos="2246"/>
        </w:tabs>
        <w:ind w:left="2246" w:hanging="1411"/>
      </w:pPr>
    </w:lvl>
    <w:lvl w:ilvl="4">
      <w:start w:val="1"/>
      <w:numFmt w:val="decimal"/>
      <w:lvlText w:val="%2.%3.%4.%5."/>
      <w:lvlJc w:val="left"/>
      <w:pPr>
        <w:tabs>
          <w:tab w:val="num" w:pos="2246"/>
        </w:tabs>
        <w:ind w:left="2246" w:hanging="1411"/>
      </w:pPr>
    </w:lvl>
    <w:lvl w:ilvl="5">
      <w:start w:val="1"/>
      <w:numFmt w:val="decimal"/>
      <w:lvlText w:val="%2.%3.%4.%5.%6."/>
      <w:lvlJc w:val="left"/>
      <w:pPr>
        <w:tabs>
          <w:tab w:val="num" w:pos="2246"/>
        </w:tabs>
        <w:ind w:left="2246" w:hanging="1411"/>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2.%3.%4.%5.%6.%9."/>
      <w:lvlJc w:val="left"/>
      <w:pPr>
        <w:tabs>
          <w:tab w:val="num" w:pos="2246"/>
        </w:tabs>
        <w:ind w:left="2246" w:hanging="1411"/>
      </w:pPr>
    </w:lvl>
  </w:abstractNum>
  <w:abstractNum w:abstractNumId="1">
    <w:nsid w:val="FFFFFFFE"/>
    <w:multiLevelType w:val="singleLevel"/>
    <w:tmpl w:val="FFFFFFFF"/>
    <w:lvl w:ilvl="0">
      <w:numFmt w:val="decimal"/>
      <w:lvlText w:val="*"/>
      <w:lvlJc w:val="left"/>
    </w:lvl>
  </w:abstractNum>
  <w:abstractNum w:abstractNumId="2">
    <w:nsid w:val="001D13EC"/>
    <w:multiLevelType w:val="singleLevel"/>
    <w:tmpl w:val="FB40675E"/>
    <w:lvl w:ilvl="0">
      <w:start w:val="1"/>
      <w:numFmt w:val="bullet"/>
      <w:pStyle w:val="BulletIndent3"/>
      <w:lvlText w:val=""/>
      <w:lvlJc w:val="left"/>
      <w:pPr>
        <w:tabs>
          <w:tab w:val="num" w:pos="936"/>
        </w:tabs>
        <w:ind w:left="288" w:firstLine="288"/>
      </w:pPr>
      <w:rPr>
        <w:rFonts w:ascii="Symbol" w:hAnsi="Symbol" w:hint="default"/>
      </w:rPr>
    </w:lvl>
  </w:abstractNum>
  <w:abstractNum w:abstractNumId="3">
    <w:nsid w:val="04D32F5B"/>
    <w:multiLevelType w:val="hybridMultilevel"/>
    <w:tmpl w:val="CAD4B1C0"/>
    <w:lvl w:ilvl="0" w:tplc="C4B4E5F6">
      <w:start w:val="1"/>
      <w:numFmt w:val="bullet"/>
      <w:lvlText w:val=""/>
      <w:lvlJc w:val="left"/>
      <w:pPr>
        <w:tabs>
          <w:tab w:val="num" w:pos="432"/>
        </w:tabs>
        <w:ind w:left="0" w:firstLine="7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BC23123"/>
    <w:multiLevelType w:val="hybridMultilevel"/>
    <w:tmpl w:val="8DF09F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AE31E5B"/>
    <w:multiLevelType w:val="hybridMultilevel"/>
    <w:tmpl w:val="9B8847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0FB7B82"/>
    <w:multiLevelType w:val="multilevel"/>
    <w:tmpl w:val="40D0DB70"/>
    <w:lvl w:ilvl="0">
      <w:start w:val="1"/>
      <w:numFmt w:val="upperLetter"/>
      <w:lvlText w:val="%1."/>
      <w:lvlJc w:val="left"/>
      <w:pPr>
        <w:tabs>
          <w:tab w:val="num" w:pos="1210"/>
        </w:tabs>
        <w:ind w:left="1210" w:hanging="360"/>
      </w:pPr>
    </w:lvl>
    <w:lvl w:ilvl="1">
      <w:start w:val="1"/>
      <w:numFmt w:val="decimal"/>
      <w:lvlText w:val="%2."/>
      <w:lvlJc w:val="left"/>
      <w:pPr>
        <w:tabs>
          <w:tab w:val="num" w:pos="1570"/>
        </w:tabs>
        <w:ind w:left="1570" w:hanging="360"/>
      </w:pPr>
    </w:lvl>
    <w:lvl w:ilvl="2">
      <w:start w:val="1"/>
      <w:numFmt w:val="lowerLetter"/>
      <w:lvlText w:val="%3."/>
      <w:lvlJc w:val="left"/>
      <w:pPr>
        <w:tabs>
          <w:tab w:val="num" w:pos="2160"/>
        </w:tabs>
        <w:ind w:left="2160" w:hanging="590"/>
      </w:pPr>
    </w:lvl>
    <w:lvl w:ilvl="3">
      <w:start w:val="1"/>
      <w:numFmt w:val="none"/>
      <w:lvlText w:val="%4"/>
      <w:lvlJc w:val="left"/>
      <w:pPr>
        <w:tabs>
          <w:tab w:val="num" w:pos="360"/>
        </w:tabs>
        <w:ind w:left="0" w:firstLine="0"/>
      </w:pPr>
    </w:lvl>
    <w:lvl w:ilvl="4">
      <w:start w:val="1"/>
      <w:numFmt w:val="none"/>
      <w:lvlText w:val="%5"/>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nsid w:val="221129CB"/>
    <w:multiLevelType w:val="hybridMultilevel"/>
    <w:tmpl w:val="F88CD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FF166A"/>
    <w:multiLevelType w:val="hybridMultilevel"/>
    <w:tmpl w:val="A176C602"/>
    <w:lvl w:ilvl="0" w:tplc="04090017">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A9793C"/>
    <w:multiLevelType w:val="hybridMultilevel"/>
    <w:tmpl w:val="24C86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9919D8"/>
    <w:multiLevelType w:val="hybridMultilevel"/>
    <w:tmpl w:val="3B7E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3A0328"/>
    <w:multiLevelType w:val="hybridMultilevel"/>
    <w:tmpl w:val="944E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237411"/>
    <w:multiLevelType w:val="hybridMultilevel"/>
    <w:tmpl w:val="0916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E155EB"/>
    <w:multiLevelType w:val="hybridMultilevel"/>
    <w:tmpl w:val="8B1AD0EC"/>
    <w:lvl w:ilvl="0" w:tplc="08FC2CAE">
      <w:start w:val="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48D0B98"/>
    <w:multiLevelType w:val="hybridMultilevel"/>
    <w:tmpl w:val="D41C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C81042"/>
    <w:multiLevelType w:val="hybridMultilevel"/>
    <w:tmpl w:val="D31EB5A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nsid w:val="4CE93F44"/>
    <w:multiLevelType w:val="hybridMultilevel"/>
    <w:tmpl w:val="69D696C6"/>
    <w:lvl w:ilvl="0" w:tplc="41BC1FEA">
      <w:start w:val="1"/>
      <w:numFmt w:val="bullet"/>
      <w:lvlText w:val=""/>
      <w:lvlJc w:val="left"/>
      <w:pPr>
        <w:tabs>
          <w:tab w:val="num" w:pos="360"/>
        </w:tabs>
        <w:ind w:left="-72" w:firstLine="72"/>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nsid w:val="55D87EB7"/>
    <w:multiLevelType w:val="hybridMultilevel"/>
    <w:tmpl w:val="F81C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4F27EB"/>
    <w:multiLevelType w:val="hybridMultilevel"/>
    <w:tmpl w:val="4EF69728"/>
    <w:lvl w:ilvl="0" w:tplc="BA586AEC">
      <w:start w:val="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3C55205"/>
    <w:multiLevelType w:val="hybridMultilevel"/>
    <w:tmpl w:val="A9606B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080F4D"/>
    <w:multiLevelType w:val="hybridMultilevel"/>
    <w:tmpl w:val="0DD4BCE0"/>
    <w:lvl w:ilvl="0" w:tplc="E944819E">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FD3F02"/>
    <w:multiLevelType w:val="hybridMultilevel"/>
    <w:tmpl w:val="3E5823EE"/>
    <w:lvl w:ilvl="0" w:tplc="B798DEA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0D3219"/>
    <w:multiLevelType w:val="hybridMultilevel"/>
    <w:tmpl w:val="ACB8988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B6582D"/>
    <w:multiLevelType w:val="hybridMultilevel"/>
    <w:tmpl w:val="1CD67E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4F8150A"/>
    <w:multiLevelType w:val="hybridMultilevel"/>
    <w:tmpl w:val="8CDC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BA0337"/>
    <w:multiLevelType w:val="hybridMultilevel"/>
    <w:tmpl w:val="8FCE72E2"/>
    <w:lvl w:ilvl="0" w:tplc="7CF67868">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EC2215D"/>
    <w:multiLevelType w:val="singleLevel"/>
    <w:tmpl w:val="FFFFFFFF"/>
    <w:lvl w:ilvl="0">
      <w:start w:val="1"/>
      <w:numFmt w:val="bullet"/>
      <w:lvlText w:val=""/>
      <w:legacy w:legacy="1" w:legacySpace="0" w:legacyIndent="283"/>
      <w:lvlJc w:val="left"/>
      <w:pPr>
        <w:ind w:left="567" w:hanging="283"/>
      </w:pPr>
      <w:rPr>
        <w:rFonts w:ascii="Symbol" w:hAnsi="Symbo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num>
  <w:num w:numId="3">
    <w:abstractNumId w:val="4"/>
  </w:num>
  <w:num w:numId="4">
    <w:abstractNumId w:val="24"/>
  </w:num>
  <w:num w:numId="5">
    <w:abstractNumId w:val="6"/>
  </w:num>
  <w:num w:numId="6">
    <w:abstractNumId w:val="2"/>
  </w:num>
  <w:num w:numId="7">
    <w:abstractNumId w:val="27"/>
  </w:num>
  <w:num w:numId="8">
    <w:abstractNumId w:val="7"/>
  </w:num>
  <w:num w:numId="9">
    <w:abstractNumId w:val="9"/>
  </w:num>
  <w:num w:numId="10">
    <w:abstractNumId w:val="3"/>
  </w:num>
  <w:num w:numId="11">
    <w:abstractNumId w:val="17"/>
  </w:num>
  <w:num w:numId="12">
    <w:abstractNumId w:val="8"/>
  </w:num>
  <w:num w:numId="13">
    <w:abstractNumId w:val="11"/>
  </w:num>
  <w:num w:numId="14">
    <w:abstractNumId w:val="15"/>
  </w:num>
  <w:num w:numId="15">
    <w:abstractNumId w:val="16"/>
  </w:num>
  <w:num w:numId="16">
    <w:abstractNumId w:val="19"/>
  </w:num>
  <w:num w:numId="17">
    <w:abstractNumId w:val="14"/>
  </w:num>
  <w:num w:numId="18">
    <w:abstractNumId w:val="22"/>
  </w:num>
  <w:num w:numId="19">
    <w:abstractNumId w:val="23"/>
  </w:num>
  <w:num w:numId="20">
    <w:abstractNumId w:val="20"/>
  </w:num>
  <w:num w:numId="21">
    <w:abstractNumId w:val="18"/>
  </w:num>
  <w:num w:numId="22">
    <w:abstractNumId w:val="13"/>
  </w:num>
  <w:num w:numId="23">
    <w:abstractNumId w:val="10"/>
  </w:num>
  <w:num w:numId="24">
    <w:abstractNumId w:val="21"/>
  </w:num>
  <w:num w:numId="25">
    <w:abstractNumId w:val="12"/>
  </w:num>
  <w:num w:numId="26">
    <w:abstractNumId w:val="25"/>
  </w:num>
  <w:num w:numId="27">
    <w:abstractNumId w:val="26"/>
  </w:num>
  <w:num w:numId="2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919"/>
  <w:doNotHyphenateCaps/>
  <w:drawingGridHorizontalSpacing w:val="110"/>
  <w:displayHorizontalDrawingGridEvery w:val="0"/>
  <w:displayVerticalDrawingGridEvery w:val="0"/>
  <w:doNotShadeFormData/>
  <w:noPunctuationKerning/>
  <w:characterSpacingControl w:val="doNotCompress"/>
  <w:hdrShapeDefaults>
    <o:shapedefaults v:ext="edit" spidmax="134145" fillcolor="white">
      <v:fill color="white"/>
      <o:colormenu v:ext="edit" fillcolor="white"/>
    </o:shapedefaults>
  </w:hdrShapeDefaults>
  <w:footnotePr>
    <w:footnote w:id="-1"/>
    <w:footnote w:id="0"/>
  </w:footnotePr>
  <w:endnotePr>
    <w:numFmt w:val="decimal"/>
    <w:endnote w:id="-1"/>
    <w:endnote w:id="0"/>
    <w:endnote w:id="1"/>
  </w:endnotePr>
  <w:compat>
    <w:useFELayout/>
    <w:compatSetting w:name="compatibilityMode" w:uri="http://schemas.microsoft.com/office/word" w:val="12"/>
  </w:compat>
  <w:rsids>
    <w:rsidRoot w:val="00823D39"/>
    <w:rsid w:val="000136B7"/>
    <w:rsid w:val="0002675D"/>
    <w:rsid w:val="0003001E"/>
    <w:rsid w:val="00034C85"/>
    <w:rsid w:val="00035A50"/>
    <w:rsid w:val="00035FAD"/>
    <w:rsid w:val="000405C7"/>
    <w:rsid w:val="000417D6"/>
    <w:rsid w:val="00042419"/>
    <w:rsid w:val="0005216D"/>
    <w:rsid w:val="00053545"/>
    <w:rsid w:val="00056811"/>
    <w:rsid w:val="00077784"/>
    <w:rsid w:val="00081A13"/>
    <w:rsid w:val="00083B4F"/>
    <w:rsid w:val="00090D03"/>
    <w:rsid w:val="00092B71"/>
    <w:rsid w:val="00093E31"/>
    <w:rsid w:val="000A7222"/>
    <w:rsid w:val="000B1F80"/>
    <w:rsid w:val="000D3E9A"/>
    <w:rsid w:val="000E0B43"/>
    <w:rsid w:val="000E1232"/>
    <w:rsid w:val="000F185F"/>
    <w:rsid w:val="000F1B1C"/>
    <w:rsid w:val="00111C50"/>
    <w:rsid w:val="001128D4"/>
    <w:rsid w:val="00120094"/>
    <w:rsid w:val="00126A70"/>
    <w:rsid w:val="00136A68"/>
    <w:rsid w:val="00141172"/>
    <w:rsid w:val="0014322A"/>
    <w:rsid w:val="00144FA0"/>
    <w:rsid w:val="0015148F"/>
    <w:rsid w:val="00166840"/>
    <w:rsid w:val="0017377E"/>
    <w:rsid w:val="00176064"/>
    <w:rsid w:val="00186603"/>
    <w:rsid w:val="00194253"/>
    <w:rsid w:val="00196F94"/>
    <w:rsid w:val="001A3761"/>
    <w:rsid w:val="001C0668"/>
    <w:rsid w:val="001D27A1"/>
    <w:rsid w:val="001E4307"/>
    <w:rsid w:val="002008E3"/>
    <w:rsid w:val="0021225C"/>
    <w:rsid w:val="00215F74"/>
    <w:rsid w:val="0023442D"/>
    <w:rsid w:val="00234847"/>
    <w:rsid w:val="00244387"/>
    <w:rsid w:val="00250160"/>
    <w:rsid w:val="00254E0C"/>
    <w:rsid w:val="00257A12"/>
    <w:rsid w:val="00257BE3"/>
    <w:rsid w:val="00261D71"/>
    <w:rsid w:val="002658B2"/>
    <w:rsid w:val="0026611A"/>
    <w:rsid w:val="00285952"/>
    <w:rsid w:val="00294DC1"/>
    <w:rsid w:val="002A2699"/>
    <w:rsid w:val="002A556F"/>
    <w:rsid w:val="002A5B32"/>
    <w:rsid w:val="002B20A7"/>
    <w:rsid w:val="002B3A62"/>
    <w:rsid w:val="002B4F6B"/>
    <w:rsid w:val="002D0725"/>
    <w:rsid w:val="002D0F51"/>
    <w:rsid w:val="002D29E2"/>
    <w:rsid w:val="002D512A"/>
    <w:rsid w:val="002E17D9"/>
    <w:rsid w:val="002E5FAF"/>
    <w:rsid w:val="00313731"/>
    <w:rsid w:val="00313B32"/>
    <w:rsid w:val="00330E5E"/>
    <w:rsid w:val="003319CE"/>
    <w:rsid w:val="0033282E"/>
    <w:rsid w:val="00334913"/>
    <w:rsid w:val="00364A5C"/>
    <w:rsid w:val="00366175"/>
    <w:rsid w:val="00370886"/>
    <w:rsid w:val="00375FC2"/>
    <w:rsid w:val="0038234D"/>
    <w:rsid w:val="00382453"/>
    <w:rsid w:val="00382781"/>
    <w:rsid w:val="003903DA"/>
    <w:rsid w:val="003924B0"/>
    <w:rsid w:val="003A1363"/>
    <w:rsid w:val="003A25D7"/>
    <w:rsid w:val="003A45A9"/>
    <w:rsid w:val="003B0B3C"/>
    <w:rsid w:val="003B10C7"/>
    <w:rsid w:val="003B52AD"/>
    <w:rsid w:val="003B76DB"/>
    <w:rsid w:val="003E31A5"/>
    <w:rsid w:val="003E3AC5"/>
    <w:rsid w:val="003F127C"/>
    <w:rsid w:val="003F2862"/>
    <w:rsid w:val="004001B7"/>
    <w:rsid w:val="00401C15"/>
    <w:rsid w:val="00404BB7"/>
    <w:rsid w:val="004419D5"/>
    <w:rsid w:val="004462E4"/>
    <w:rsid w:val="00464411"/>
    <w:rsid w:val="00481260"/>
    <w:rsid w:val="00487D2A"/>
    <w:rsid w:val="004A126A"/>
    <w:rsid w:val="004A1B55"/>
    <w:rsid w:val="004C3411"/>
    <w:rsid w:val="004C47A0"/>
    <w:rsid w:val="004C49D9"/>
    <w:rsid w:val="004C4CC7"/>
    <w:rsid w:val="004D670A"/>
    <w:rsid w:val="004E110E"/>
    <w:rsid w:val="00501713"/>
    <w:rsid w:val="00504F8F"/>
    <w:rsid w:val="00513EBF"/>
    <w:rsid w:val="00532773"/>
    <w:rsid w:val="005449CA"/>
    <w:rsid w:val="00556AFE"/>
    <w:rsid w:val="00577F10"/>
    <w:rsid w:val="00586421"/>
    <w:rsid w:val="005A5EA2"/>
    <w:rsid w:val="005D067E"/>
    <w:rsid w:val="005D18D8"/>
    <w:rsid w:val="005D2E22"/>
    <w:rsid w:val="005E1DA7"/>
    <w:rsid w:val="005F451F"/>
    <w:rsid w:val="0063409F"/>
    <w:rsid w:val="00637CD6"/>
    <w:rsid w:val="00650196"/>
    <w:rsid w:val="00651F73"/>
    <w:rsid w:val="00655A0A"/>
    <w:rsid w:val="006572E8"/>
    <w:rsid w:val="006573A1"/>
    <w:rsid w:val="00661B6B"/>
    <w:rsid w:val="00680C9E"/>
    <w:rsid w:val="0068103A"/>
    <w:rsid w:val="006937F5"/>
    <w:rsid w:val="006A44F8"/>
    <w:rsid w:val="006A5CD9"/>
    <w:rsid w:val="006B2451"/>
    <w:rsid w:val="006B7343"/>
    <w:rsid w:val="006E1002"/>
    <w:rsid w:val="006F1841"/>
    <w:rsid w:val="00701829"/>
    <w:rsid w:val="0070193D"/>
    <w:rsid w:val="00703F2B"/>
    <w:rsid w:val="0070638D"/>
    <w:rsid w:val="0070719A"/>
    <w:rsid w:val="0070736D"/>
    <w:rsid w:val="007158CA"/>
    <w:rsid w:val="007208FD"/>
    <w:rsid w:val="00734A64"/>
    <w:rsid w:val="00735B7B"/>
    <w:rsid w:val="00737A3A"/>
    <w:rsid w:val="00743FB2"/>
    <w:rsid w:val="00770D85"/>
    <w:rsid w:val="00784A87"/>
    <w:rsid w:val="00792074"/>
    <w:rsid w:val="00797D66"/>
    <w:rsid w:val="00797E35"/>
    <w:rsid w:val="007B1EDC"/>
    <w:rsid w:val="007B6B7B"/>
    <w:rsid w:val="007C5A0E"/>
    <w:rsid w:val="007E787E"/>
    <w:rsid w:val="008008E1"/>
    <w:rsid w:val="008209C8"/>
    <w:rsid w:val="008235EC"/>
    <w:rsid w:val="00823D39"/>
    <w:rsid w:val="008452F4"/>
    <w:rsid w:val="00847C73"/>
    <w:rsid w:val="00853432"/>
    <w:rsid w:val="008538FC"/>
    <w:rsid w:val="00854D8E"/>
    <w:rsid w:val="00856CD2"/>
    <w:rsid w:val="008646BF"/>
    <w:rsid w:val="00895B3E"/>
    <w:rsid w:val="008A14DF"/>
    <w:rsid w:val="008B50CD"/>
    <w:rsid w:val="008B57E6"/>
    <w:rsid w:val="008C11E0"/>
    <w:rsid w:val="008D59EF"/>
    <w:rsid w:val="008F4751"/>
    <w:rsid w:val="009135CB"/>
    <w:rsid w:val="00924FE8"/>
    <w:rsid w:val="00925311"/>
    <w:rsid w:val="00925A2F"/>
    <w:rsid w:val="00931805"/>
    <w:rsid w:val="0094273D"/>
    <w:rsid w:val="0094612F"/>
    <w:rsid w:val="00963E80"/>
    <w:rsid w:val="00973ADB"/>
    <w:rsid w:val="00985F65"/>
    <w:rsid w:val="009867CF"/>
    <w:rsid w:val="00995F98"/>
    <w:rsid w:val="009C4F7D"/>
    <w:rsid w:val="009C5A37"/>
    <w:rsid w:val="009C6D87"/>
    <w:rsid w:val="009D240D"/>
    <w:rsid w:val="009D2E6A"/>
    <w:rsid w:val="009D4BF0"/>
    <w:rsid w:val="009D6311"/>
    <w:rsid w:val="009E4BA6"/>
    <w:rsid w:val="009F0A93"/>
    <w:rsid w:val="009F5D1D"/>
    <w:rsid w:val="00A019E2"/>
    <w:rsid w:val="00A1077C"/>
    <w:rsid w:val="00A305AA"/>
    <w:rsid w:val="00A354F3"/>
    <w:rsid w:val="00A40AD3"/>
    <w:rsid w:val="00A41964"/>
    <w:rsid w:val="00A41A01"/>
    <w:rsid w:val="00A53567"/>
    <w:rsid w:val="00A56900"/>
    <w:rsid w:val="00A75968"/>
    <w:rsid w:val="00A768C3"/>
    <w:rsid w:val="00A7725E"/>
    <w:rsid w:val="00A81167"/>
    <w:rsid w:val="00A9215A"/>
    <w:rsid w:val="00A95213"/>
    <w:rsid w:val="00A95646"/>
    <w:rsid w:val="00AA38BF"/>
    <w:rsid w:val="00AB0C95"/>
    <w:rsid w:val="00AC467D"/>
    <w:rsid w:val="00AC56FD"/>
    <w:rsid w:val="00AD469C"/>
    <w:rsid w:val="00AD5DE4"/>
    <w:rsid w:val="00AD62DD"/>
    <w:rsid w:val="00AD6FFD"/>
    <w:rsid w:val="00AF33A6"/>
    <w:rsid w:val="00AF67CD"/>
    <w:rsid w:val="00B115B5"/>
    <w:rsid w:val="00B13541"/>
    <w:rsid w:val="00B16615"/>
    <w:rsid w:val="00B223AD"/>
    <w:rsid w:val="00B243F0"/>
    <w:rsid w:val="00B337EE"/>
    <w:rsid w:val="00B431FB"/>
    <w:rsid w:val="00B45FB7"/>
    <w:rsid w:val="00B517F2"/>
    <w:rsid w:val="00B555A4"/>
    <w:rsid w:val="00B60CFC"/>
    <w:rsid w:val="00B64C05"/>
    <w:rsid w:val="00B67F4A"/>
    <w:rsid w:val="00B943FA"/>
    <w:rsid w:val="00BB31B2"/>
    <w:rsid w:val="00BD1A14"/>
    <w:rsid w:val="00BD669F"/>
    <w:rsid w:val="00BE3A16"/>
    <w:rsid w:val="00BE4F4C"/>
    <w:rsid w:val="00BF0E4E"/>
    <w:rsid w:val="00BF5D99"/>
    <w:rsid w:val="00C04F2C"/>
    <w:rsid w:val="00C05B6C"/>
    <w:rsid w:val="00C06933"/>
    <w:rsid w:val="00C16683"/>
    <w:rsid w:val="00C254A7"/>
    <w:rsid w:val="00C306C9"/>
    <w:rsid w:val="00C431C4"/>
    <w:rsid w:val="00C4414E"/>
    <w:rsid w:val="00C44A58"/>
    <w:rsid w:val="00C45E09"/>
    <w:rsid w:val="00C51B5A"/>
    <w:rsid w:val="00C7014C"/>
    <w:rsid w:val="00C75558"/>
    <w:rsid w:val="00C769C0"/>
    <w:rsid w:val="00C82184"/>
    <w:rsid w:val="00C8392E"/>
    <w:rsid w:val="00C84766"/>
    <w:rsid w:val="00C907BE"/>
    <w:rsid w:val="00C96892"/>
    <w:rsid w:val="00CA4B9C"/>
    <w:rsid w:val="00CC02FA"/>
    <w:rsid w:val="00CC1832"/>
    <w:rsid w:val="00CC4FDA"/>
    <w:rsid w:val="00CD6FEB"/>
    <w:rsid w:val="00CE079B"/>
    <w:rsid w:val="00CF2A53"/>
    <w:rsid w:val="00CF3F2C"/>
    <w:rsid w:val="00D00833"/>
    <w:rsid w:val="00D07143"/>
    <w:rsid w:val="00D07BAD"/>
    <w:rsid w:val="00D11A3D"/>
    <w:rsid w:val="00D15D2A"/>
    <w:rsid w:val="00D417D6"/>
    <w:rsid w:val="00D47A3F"/>
    <w:rsid w:val="00D6316F"/>
    <w:rsid w:val="00D73E56"/>
    <w:rsid w:val="00D759B3"/>
    <w:rsid w:val="00D84FB7"/>
    <w:rsid w:val="00D97139"/>
    <w:rsid w:val="00DA07B3"/>
    <w:rsid w:val="00DB6B4B"/>
    <w:rsid w:val="00DB7713"/>
    <w:rsid w:val="00DE6022"/>
    <w:rsid w:val="00DF1949"/>
    <w:rsid w:val="00E15927"/>
    <w:rsid w:val="00E15F88"/>
    <w:rsid w:val="00E25E23"/>
    <w:rsid w:val="00E52001"/>
    <w:rsid w:val="00E63FC4"/>
    <w:rsid w:val="00E65392"/>
    <w:rsid w:val="00E70B0D"/>
    <w:rsid w:val="00E75008"/>
    <w:rsid w:val="00E91DA7"/>
    <w:rsid w:val="00E923AE"/>
    <w:rsid w:val="00E95C20"/>
    <w:rsid w:val="00EA0DA5"/>
    <w:rsid w:val="00EC10B3"/>
    <w:rsid w:val="00EC4212"/>
    <w:rsid w:val="00EF0774"/>
    <w:rsid w:val="00EF61E6"/>
    <w:rsid w:val="00F06795"/>
    <w:rsid w:val="00F06F04"/>
    <w:rsid w:val="00F13539"/>
    <w:rsid w:val="00F51AD5"/>
    <w:rsid w:val="00F552A4"/>
    <w:rsid w:val="00F9702F"/>
    <w:rsid w:val="00FA2305"/>
    <w:rsid w:val="00FA340E"/>
    <w:rsid w:val="00FB5457"/>
    <w:rsid w:val="00FC214A"/>
    <w:rsid w:val="00FE2BFC"/>
    <w:rsid w:val="00FE3720"/>
    <w:rsid w:val="00FE7260"/>
    <w:rsid w:val="00FF17B2"/>
    <w:rsid w:val="00FF3C28"/>
    <w:rsid w:val="00FF5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fillcolor="white">
      <v:fill color="white"/>
      <o:colormenu v:ext="edit" fill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endnote reference" w:uiPriority="0"/>
    <w:lsdException w:name="endnote text" w:uiPriority="0"/>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6A"/>
  </w:style>
  <w:style w:type="paragraph" w:styleId="Heading1">
    <w:name w:val="heading 1"/>
    <w:aliases w:val="Heading 1 Char1,D70AR,Info rubrik 1,titel 1,Title_1"/>
    <w:basedOn w:val="Normal"/>
    <w:next w:val="Normal"/>
    <w:link w:val="Heading1Char"/>
    <w:uiPriority w:val="9"/>
    <w:qFormat/>
    <w:rsid w:val="009D2E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D70AR2,Heading two,Heading 2 Char,Heading 2 Char1 Char,Heading 2 Char Char Char,Heading two Char Char Char,Heading two Char1 Char"/>
    <w:basedOn w:val="Normal"/>
    <w:next w:val="Normal"/>
    <w:uiPriority w:val="9"/>
    <w:semiHidden/>
    <w:unhideWhenUsed/>
    <w:qFormat/>
    <w:rsid w:val="009D2E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Char,D70AR3,titel 3,OLD Heading 3,Heading 3 Char1 Char,Heading 3 Char Char Char"/>
    <w:basedOn w:val="Normal"/>
    <w:next w:val="Normal"/>
    <w:uiPriority w:val="9"/>
    <w:semiHidden/>
    <w:unhideWhenUsed/>
    <w:qFormat/>
    <w:rsid w:val="009D2E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D70AR4,titel 4"/>
    <w:basedOn w:val="Normal"/>
    <w:next w:val="Normal"/>
    <w:link w:val="Heading4Char"/>
    <w:uiPriority w:val="9"/>
    <w:semiHidden/>
    <w:unhideWhenUsed/>
    <w:qFormat/>
    <w:rsid w:val="009D2E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D70AR5,titel 5,DontUse,DontUse1,DontUse2,DontUse11,DontUse3,DontUse4,DontUse12,DontUse21,DontUse111,DontUse31,DontUse5,DontUse13,DontUse22,DontUse112,DontUse32,DontUse6,DontUse14,DontUse23,DontUse113,DontUse33,DontUse7,DontUse15,DontUse24"/>
    <w:basedOn w:val="Normal"/>
    <w:next w:val="Normal"/>
    <w:link w:val="Heading5Char"/>
    <w:uiPriority w:val="9"/>
    <w:semiHidden/>
    <w:unhideWhenUsed/>
    <w:qFormat/>
    <w:rsid w:val="009D2E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dontUse,dontUse1,dontUse2,dontUse3,dontUse4,dontUse11,dontUse21,dontUse31,dontUse5,dontUse6,dontUse12,dontUse22,dontUse32,dontUse41,dontUse111,dontUse211,dontUse311,dontUse51,dontUse7,dontUse13,dontUse23,dontUse33,dontUse42,dontUse112,dontUse8"/>
    <w:basedOn w:val="Normal"/>
    <w:next w:val="Normal"/>
    <w:link w:val="Heading6Char"/>
    <w:uiPriority w:val="9"/>
    <w:semiHidden/>
    <w:unhideWhenUsed/>
    <w:qFormat/>
    <w:rsid w:val="009D2E6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DontUse!,DontUse!1,DontUse!2,DontUse!3,DontUse!4,DontUse!5,DontUse!11,DontUse!21,DontUse!31,DontUse!41,DontUse!6,DontUse!7,DontUse!12,DontUse!22,DontUse!32,DontUse!42,DontUse!51,DontUse!111,DontUse!211,DontUse!311,DontUse!411,DontUse!61"/>
    <w:basedOn w:val="Normal"/>
    <w:next w:val="Normal"/>
    <w:link w:val="Heading7Char"/>
    <w:uiPriority w:val="9"/>
    <w:semiHidden/>
    <w:unhideWhenUsed/>
    <w:qFormat/>
    <w:rsid w:val="009D2E6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don'tUse,don'tUse1,don'tUse2,don'tUse3,don'tUse4,don'tUse5,don'tUse11,don'tUse21,don'tUse31,don'tUse41,don'tUse6,don'tUse7,don'tUse12,don'tUse22,don'tUse32,don'tUse42,don'tUse51,don'tUse111,don'tUse211,don'tUse311,don'tUse411,don'tUse61"/>
    <w:basedOn w:val="Normal"/>
    <w:next w:val="Normal"/>
    <w:link w:val="Heading8Char"/>
    <w:uiPriority w:val="9"/>
    <w:semiHidden/>
    <w:unhideWhenUsed/>
    <w:qFormat/>
    <w:rsid w:val="009D2E6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aliases w:val="Don'tUse,Don'tUse1,Don'tUse2,Don'tUse3,Don'tUse4,Don'tUse5,Don'tUse11,Don'tUse21,Don'tUse31,Don'tUse41,Don'tUse6,Don'tUse7,Don'tUse12,Don'tUse22,Don'tUse32,Don'tUse42,Don'tUse51,Don'tUse111,Don'tUse211,Don'tUse311,Don'tUse411,Don'tUse61"/>
    <w:basedOn w:val="Normal"/>
    <w:next w:val="Normal"/>
    <w:link w:val="Heading9Char"/>
    <w:uiPriority w:val="9"/>
    <w:semiHidden/>
    <w:unhideWhenUsed/>
    <w:qFormat/>
    <w:rsid w:val="009D2E6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HEADING1">
    <w:name w:val="PI HEADING1"/>
    <w:basedOn w:val="PIHEADTOP"/>
    <w:rsid w:val="00784A87"/>
    <w:pPr>
      <w:spacing w:before="360"/>
    </w:pPr>
  </w:style>
  <w:style w:type="paragraph" w:customStyle="1" w:styleId="PIHEADTOP">
    <w:name w:val="PI HEADTOP"/>
    <w:basedOn w:val="Normal"/>
    <w:rsid w:val="00784A87"/>
    <w:pPr>
      <w:tabs>
        <w:tab w:val="left" w:pos="-720"/>
      </w:tabs>
      <w:suppressAutoHyphens/>
      <w:spacing w:after="120"/>
    </w:pPr>
    <w:rPr>
      <w:b/>
      <w:caps/>
      <w:spacing w:val="-2"/>
      <w:sz w:val="28"/>
    </w:rPr>
  </w:style>
  <w:style w:type="paragraph" w:customStyle="1" w:styleId="PIProductInfo">
    <w:name w:val="PI Product Info"/>
    <w:basedOn w:val="Normal"/>
    <w:rsid w:val="00784A87"/>
    <w:pPr>
      <w:widowControl w:val="0"/>
      <w:pBdr>
        <w:bottom w:val="single" w:sz="6" w:space="1" w:color="auto"/>
      </w:pBdr>
      <w:spacing w:before="60" w:after="240"/>
      <w:jc w:val="center"/>
    </w:pPr>
    <w:rPr>
      <w:b/>
      <w:sz w:val="36"/>
    </w:rPr>
  </w:style>
  <w:style w:type="paragraph" w:customStyle="1" w:styleId="PIMAINHEADING">
    <w:name w:val="PI MAINHEADING"/>
    <w:basedOn w:val="Heading1"/>
    <w:rsid w:val="00784A87"/>
    <w:pPr>
      <w:widowControl w:val="0"/>
      <w:pBdr>
        <w:top w:val="single" w:sz="6" w:space="1" w:color="auto"/>
      </w:pBdr>
      <w:spacing w:before="0"/>
      <w:jc w:val="center"/>
      <w:outlineLvl w:val="9"/>
    </w:pPr>
    <w:rPr>
      <w:rFonts w:ascii="Arial Rounded MT Bold" w:hAnsi="Arial Rounded MT Bold"/>
      <w:sz w:val="56"/>
    </w:rPr>
  </w:style>
  <w:style w:type="paragraph" w:customStyle="1" w:styleId="PIEXPLAIN">
    <w:name w:val="PI EXPLAIN"/>
    <w:basedOn w:val="Normal"/>
    <w:rsid w:val="00784A87"/>
    <w:pPr>
      <w:tabs>
        <w:tab w:val="left" w:pos="-720"/>
      </w:tabs>
      <w:suppressAutoHyphens/>
      <w:spacing w:before="20" w:after="80"/>
    </w:pPr>
    <w:rPr>
      <w:spacing w:val="-2"/>
    </w:rPr>
  </w:style>
  <w:style w:type="paragraph" w:customStyle="1" w:styleId="PIHEADING2">
    <w:name w:val="PI HEADING2"/>
    <w:basedOn w:val="Normal"/>
    <w:rsid w:val="00784A87"/>
    <w:pPr>
      <w:tabs>
        <w:tab w:val="left" w:pos="-720"/>
      </w:tabs>
      <w:suppressAutoHyphens/>
      <w:spacing w:before="120" w:after="80"/>
    </w:pPr>
    <w:rPr>
      <w:b/>
      <w:spacing w:val="-2"/>
    </w:rPr>
  </w:style>
  <w:style w:type="paragraph" w:customStyle="1" w:styleId="PIDOTPOINT">
    <w:name w:val="PI DOTPOINT"/>
    <w:basedOn w:val="PIEXPLAIN"/>
    <w:rsid w:val="00784A87"/>
    <w:pPr>
      <w:spacing w:before="0" w:after="40"/>
      <w:ind w:left="568" w:hanging="284"/>
    </w:pPr>
  </w:style>
  <w:style w:type="paragraph" w:styleId="Header">
    <w:name w:val="header"/>
    <w:basedOn w:val="Normal"/>
    <w:semiHidden/>
    <w:rsid w:val="00784A87"/>
    <w:pPr>
      <w:tabs>
        <w:tab w:val="center" w:pos="4153"/>
        <w:tab w:val="right" w:pos="8306"/>
      </w:tabs>
    </w:pPr>
  </w:style>
  <w:style w:type="paragraph" w:styleId="Footer">
    <w:name w:val="footer"/>
    <w:basedOn w:val="Normal"/>
    <w:semiHidden/>
    <w:rsid w:val="00784A87"/>
    <w:pPr>
      <w:tabs>
        <w:tab w:val="center" w:pos="4153"/>
        <w:tab w:val="right" w:pos="8306"/>
      </w:tabs>
    </w:pPr>
  </w:style>
  <w:style w:type="paragraph" w:styleId="FootnoteText">
    <w:name w:val="footnote text"/>
    <w:basedOn w:val="Normal"/>
    <w:semiHidden/>
    <w:rsid w:val="00784A87"/>
    <w:rPr>
      <w:sz w:val="20"/>
    </w:rPr>
  </w:style>
  <w:style w:type="character" w:styleId="FootnoteReference">
    <w:name w:val="footnote reference"/>
    <w:basedOn w:val="DefaultParagraphFont"/>
    <w:semiHidden/>
    <w:rsid w:val="00784A87"/>
    <w:rPr>
      <w:vertAlign w:val="superscript"/>
    </w:rPr>
  </w:style>
  <w:style w:type="paragraph" w:customStyle="1" w:styleId="BodyText12">
    <w:name w:val="BodyText12"/>
    <w:link w:val="BodyText12Char"/>
    <w:uiPriority w:val="99"/>
    <w:rsid w:val="00784A87"/>
    <w:pPr>
      <w:spacing w:line="300" w:lineRule="auto"/>
      <w:ind w:left="835"/>
      <w:jc w:val="both"/>
    </w:pPr>
    <w:rPr>
      <w:sz w:val="24"/>
    </w:rPr>
  </w:style>
  <w:style w:type="character" w:customStyle="1" w:styleId="BodyText12Char">
    <w:name w:val="BodyText12 Char"/>
    <w:basedOn w:val="DefaultParagraphFont"/>
    <w:link w:val="BodyText12"/>
    <w:uiPriority w:val="99"/>
    <w:locked/>
    <w:rsid w:val="0033282E"/>
    <w:rPr>
      <w:sz w:val="24"/>
    </w:rPr>
  </w:style>
  <w:style w:type="paragraph" w:customStyle="1" w:styleId="ReferenceText">
    <w:name w:val="Reference Text"/>
    <w:rsid w:val="00784A87"/>
    <w:pPr>
      <w:ind w:left="1656"/>
    </w:pPr>
    <w:rPr>
      <w:rFonts w:ascii="Times New Roman Bold" w:hAnsi="Times New Roman Bold"/>
      <w:b/>
      <w:sz w:val="24"/>
    </w:rPr>
  </w:style>
  <w:style w:type="paragraph" w:customStyle="1" w:styleId="ReferenceHeading3">
    <w:name w:val="Reference Heading 3"/>
    <w:basedOn w:val="Normal"/>
    <w:next w:val="ReferenceText"/>
    <w:rsid w:val="00784A87"/>
    <w:pPr>
      <w:keepLines/>
      <w:ind w:left="835"/>
      <w:jc w:val="both"/>
    </w:pPr>
    <w:rPr>
      <w:b/>
    </w:rPr>
  </w:style>
  <w:style w:type="paragraph" w:styleId="BodyTextIndent">
    <w:name w:val="Body Text Indent"/>
    <w:basedOn w:val="Normal"/>
    <w:semiHidden/>
    <w:rsid w:val="00784A87"/>
    <w:pPr>
      <w:ind w:left="720"/>
    </w:pPr>
    <w:rPr>
      <w:rFonts w:ascii="Times New Roman" w:hAnsi="Times New Roman"/>
      <w:lang w:val="en-GB"/>
    </w:rPr>
  </w:style>
  <w:style w:type="paragraph" w:customStyle="1" w:styleId="BulletIndent3">
    <w:name w:val="Bullet Indent 3 (.)"/>
    <w:rsid w:val="00784A87"/>
    <w:pPr>
      <w:numPr>
        <w:numId w:val="6"/>
      </w:numPr>
      <w:tabs>
        <w:tab w:val="clear" w:pos="936"/>
        <w:tab w:val="left" w:pos="864"/>
      </w:tabs>
      <w:spacing w:after="120"/>
      <w:ind w:left="864" w:hanging="288"/>
      <w:jc w:val="both"/>
    </w:pPr>
    <w:rPr>
      <w:sz w:val="24"/>
    </w:rPr>
  </w:style>
  <w:style w:type="character" w:styleId="CommentReference">
    <w:name w:val="annotation reference"/>
    <w:basedOn w:val="DefaultParagraphFont"/>
    <w:uiPriority w:val="99"/>
    <w:semiHidden/>
    <w:rsid w:val="00784A87"/>
    <w:rPr>
      <w:noProof w:val="0"/>
      <w:sz w:val="16"/>
      <w:lang w:val="en-US"/>
    </w:rPr>
  </w:style>
  <w:style w:type="paragraph" w:customStyle="1" w:styleId="TableText">
    <w:name w:val="TableText"/>
    <w:rsid w:val="00784A87"/>
    <w:pPr>
      <w:keepNext/>
    </w:pPr>
  </w:style>
  <w:style w:type="paragraph" w:customStyle="1" w:styleId="TableNote">
    <w:name w:val="TableNote"/>
    <w:rsid w:val="00784A87"/>
    <w:pPr>
      <w:keepNext/>
      <w:keepLines/>
      <w:tabs>
        <w:tab w:val="left" w:pos="187"/>
        <w:tab w:val="left" w:pos="1440"/>
      </w:tabs>
      <w:ind w:left="187" w:hanging="187"/>
    </w:pPr>
  </w:style>
  <w:style w:type="paragraph" w:styleId="CommentText">
    <w:name w:val="annotation text"/>
    <w:basedOn w:val="Normal"/>
    <w:link w:val="CommentTextChar"/>
    <w:semiHidden/>
    <w:rsid w:val="00784A87"/>
    <w:pPr>
      <w:jc w:val="both"/>
    </w:pPr>
    <w:rPr>
      <w:rFonts w:ascii="Times New Roman" w:hAnsi="Times New Roman"/>
      <w:sz w:val="20"/>
    </w:rPr>
  </w:style>
  <w:style w:type="character" w:customStyle="1" w:styleId="CommentTextChar">
    <w:name w:val="Comment Text Char"/>
    <w:basedOn w:val="DefaultParagraphFont"/>
    <w:link w:val="CommentText"/>
    <w:semiHidden/>
    <w:rsid w:val="0033282E"/>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link w:val="BodyTextChar"/>
    <w:semiHidden/>
    <w:unhideWhenUsed/>
    <w:rsid w:val="0033282E"/>
    <w:pPr>
      <w:spacing w:after="120"/>
    </w:p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
    <w:basedOn w:val="DefaultParagraphFont"/>
    <w:link w:val="BodyText"/>
    <w:uiPriority w:val="99"/>
    <w:semiHidden/>
    <w:rsid w:val="0033282E"/>
    <w:rPr>
      <w:rFonts w:ascii="Arial" w:hAnsi="Arial"/>
      <w:sz w:val="24"/>
      <w:lang w:val="en-AU"/>
    </w:rPr>
  </w:style>
  <w:style w:type="paragraph" w:styleId="BodyText3">
    <w:name w:val="Body Text 3"/>
    <w:basedOn w:val="Normal"/>
    <w:link w:val="BodyText3Char"/>
    <w:semiHidden/>
    <w:unhideWhenUsed/>
    <w:rsid w:val="0033282E"/>
    <w:pPr>
      <w:spacing w:after="120"/>
    </w:pPr>
    <w:rPr>
      <w:sz w:val="16"/>
      <w:szCs w:val="16"/>
    </w:rPr>
  </w:style>
  <w:style w:type="character" w:customStyle="1" w:styleId="BodyText3Char">
    <w:name w:val="Body Text 3 Char"/>
    <w:basedOn w:val="DefaultParagraphFont"/>
    <w:link w:val="BodyText3"/>
    <w:uiPriority w:val="99"/>
    <w:semiHidden/>
    <w:rsid w:val="0033282E"/>
    <w:rPr>
      <w:rFonts w:ascii="Arial" w:hAnsi="Arial"/>
      <w:sz w:val="16"/>
      <w:szCs w:val="16"/>
      <w:lang w:val="en-AU"/>
    </w:rPr>
  </w:style>
  <w:style w:type="paragraph" w:customStyle="1" w:styleId="Hint">
    <w:name w:val="Hint"/>
    <w:basedOn w:val="BodyTextIndent2"/>
    <w:autoRedefine/>
    <w:rsid w:val="0033282E"/>
    <w:pPr>
      <w:keepLines w:val="0"/>
      <w:tabs>
        <w:tab w:val="left" w:pos="709"/>
      </w:tabs>
      <w:spacing w:before="120" w:line="240" w:lineRule="auto"/>
      <w:ind w:left="709" w:right="318" w:hanging="709"/>
    </w:pPr>
    <w:rPr>
      <w:rFonts w:ascii="Andy" w:hAnsi="Andy"/>
      <w:color w:val="0000FF"/>
      <w:sz w:val="26"/>
    </w:rPr>
  </w:style>
  <w:style w:type="paragraph" w:styleId="BodyTextIndent2">
    <w:name w:val="Body Text Indent 2"/>
    <w:basedOn w:val="Normal"/>
    <w:link w:val="BodyTextIndent2Char"/>
    <w:semiHidden/>
    <w:rsid w:val="0033282E"/>
    <w:pPr>
      <w:keepLines/>
      <w:spacing w:after="120" w:line="480" w:lineRule="auto"/>
      <w:ind w:left="360"/>
      <w:jc w:val="both"/>
    </w:pPr>
    <w:rPr>
      <w:sz w:val="21"/>
    </w:rPr>
  </w:style>
  <w:style w:type="character" w:customStyle="1" w:styleId="BodyTextIndent2Char">
    <w:name w:val="Body Text Indent 2 Char"/>
    <w:basedOn w:val="DefaultParagraphFont"/>
    <w:link w:val="BodyTextIndent2"/>
    <w:semiHidden/>
    <w:rsid w:val="0033282E"/>
    <w:rPr>
      <w:rFonts w:ascii="Arial" w:hAnsi="Arial"/>
      <w:sz w:val="21"/>
      <w:lang w:val="en-AU"/>
    </w:rPr>
  </w:style>
  <w:style w:type="character" w:styleId="Strong">
    <w:name w:val="Strong"/>
    <w:basedOn w:val="DefaultParagraphFont"/>
    <w:uiPriority w:val="22"/>
    <w:qFormat/>
    <w:rsid w:val="009D2E6A"/>
    <w:rPr>
      <w:b/>
      <w:bCs/>
    </w:rPr>
  </w:style>
  <w:style w:type="paragraph" w:customStyle="1" w:styleId="Paragraph">
    <w:name w:val="Paragraph"/>
    <w:rsid w:val="0033282E"/>
    <w:pPr>
      <w:numPr>
        <w:ilvl w:val="12"/>
      </w:numPr>
      <w:suppressAutoHyphens/>
      <w:spacing w:before="120" w:line="260" w:lineRule="exact"/>
    </w:pPr>
  </w:style>
  <w:style w:type="paragraph" w:styleId="EndnoteText">
    <w:name w:val="endnote text"/>
    <w:basedOn w:val="Normal"/>
    <w:next w:val="Normal"/>
    <w:link w:val="EndnoteTextChar"/>
    <w:semiHidden/>
    <w:rsid w:val="0033282E"/>
    <w:pPr>
      <w:tabs>
        <w:tab w:val="left" w:pos="567"/>
      </w:tabs>
    </w:pPr>
    <w:rPr>
      <w:rFonts w:ascii="Times New Roman" w:hAnsi="Times New Roman"/>
      <w:lang w:val="en-GB"/>
    </w:rPr>
  </w:style>
  <w:style w:type="character" w:customStyle="1" w:styleId="EndnoteTextChar">
    <w:name w:val="Endnote Text Char"/>
    <w:basedOn w:val="DefaultParagraphFont"/>
    <w:link w:val="EndnoteText"/>
    <w:semiHidden/>
    <w:rsid w:val="0033282E"/>
    <w:rPr>
      <w:sz w:val="22"/>
      <w:lang w:val="en-GB"/>
    </w:rPr>
  </w:style>
  <w:style w:type="paragraph" w:customStyle="1" w:styleId="ParagraphChar">
    <w:name w:val="Paragraph Char"/>
    <w:rsid w:val="0033282E"/>
    <w:pPr>
      <w:numPr>
        <w:ilvl w:val="12"/>
      </w:numPr>
      <w:suppressAutoHyphens/>
      <w:spacing w:after="120" w:line="260" w:lineRule="exact"/>
    </w:pPr>
  </w:style>
  <w:style w:type="paragraph" w:styleId="BodyText2">
    <w:name w:val="Body Text 2"/>
    <w:basedOn w:val="Normal"/>
    <w:link w:val="BodyText2Char"/>
    <w:semiHidden/>
    <w:rsid w:val="0033282E"/>
    <w:pPr>
      <w:keepLines/>
      <w:jc w:val="both"/>
    </w:pPr>
    <w:rPr>
      <w:b/>
      <w:bCs/>
      <w:sz w:val="21"/>
    </w:rPr>
  </w:style>
  <w:style w:type="character" w:customStyle="1" w:styleId="BodyText2Char">
    <w:name w:val="Body Text 2 Char"/>
    <w:basedOn w:val="DefaultParagraphFont"/>
    <w:link w:val="BodyText2"/>
    <w:semiHidden/>
    <w:rsid w:val="0033282E"/>
    <w:rPr>
      <w:rFonts w:ascii="Arial" w:hAnsi="Arial"/>
      <w:b/>
      <w:bCs/>
      <w:sz w:val="21"/>
      <w:lang w:val="en-AU"/>
    </w:rPr>
  </w:style>
  <w:style w:type="character" w:customStyle="1" w:styleId="TableFootnoteChar1">
    <w:name w:val="Table Footnote Char1"/>
    <w:basedOn w:val="DefaultParagraphFont"/>
    <w:rsid w:val="0033282E"/>
    <w:rPr>
      <w:noProof w:val="0"/>
      <w:snapToGrid w:val="0"/>
      <w:lang w:val="en-US" w:eastAsia="en-US" w:bidi="ar-SA"/>
    </w:rPr>
  </w:style>
  <w:style w:type="paragraph" w:customStyle="1" w:styleId="tablebodyChar">
    <w:name w:val="table:body Char"/>
    <w:basedOn w:val="Normal"/>
    <w:rsid w:val="0033282E"/>
    <w:pPr>
      <w:suppressAutoHyphens/>
      <w:spacing w:before="20" w:after="20"/>
    </w:pPr>
    <w:rPr>
      <w:rFonts w:ascii="Times New Roman" w:hAnsi="Times New Roman"/>
      <w:sz w:val="20"/>
    </w:rPr>
  </w:style>
  <w:style w:type="paragraph" w:customStyle="1" w:styleId="ParagraphCharChar">
    <w:name w:val="Paragraph Char Char"/>
    <w:rsid w:val="0033282E"/>
    <w:pPr>
      <w:numPr>
        <w:ilvl w:val="12"/>
      </w:numPr>
      <w:suppressAutoHyphens/>
      <w:spacing w:after="120" w:line="260" w:lineRule="exact"/>
    </w:pPr>
  </w:style>
  <w:style w:type="paragraph" w:customStyle="1" w:styleId="tabletitleCharChar">
    <w:name w:val="table:title Char Char"/>
    <w:basedOn w:val="Normal"/>
    <w:next w:val="Normal"/>
    <w:uiPriority w:val="99"/>
    <w:rsid w:val="0033282E"/>
    <w:pPr>
      <w:keepNext/>
      <w:numPr>
        <w:ilvl w:val="12"/>
      </w:numPr>
      <w:suppressAutoHyphens/>
      <w:spacing w:before="120" w:after="120" w:line="260" w:lineRule="exact"/>
      <w:ind w:left="1152" w:hanging="1152"/>
    </w:pPr>
    <w:rPr>
      <w:rFonts w:ascii="Times New Roman" w:hAnsi="Times New Roman"/>
      <w:b/>
    </w:rPr>
  </w:style>
  <w:style w:type="character" w:customStyle="1" w:styleId="BodyTextIndentCharChar">
    <w:name w:val="Body Text Indent Char Char"/>
    <w:basedOn w:val="DefaultParagraphFont"/>
    <w:rsid w:val="0033282E"/>
    <w:rPr>
      <w:lang w:val="en-US" w:eastAsia="en-US" w:bidi="ar-SA"/>
    </w:rPr>
  </w:style>
  <w:style w:type="paragraph" w:customStyle="1" w:styleId="SubheaderCharCharCharCharCharCharCharCharCharCharCharCharCharCharCharCharChar">
    <w:name w:val="Subheader Char Char Char Char Char Char Char Char Char Char Char Char Char Char Char Char Char"/>
    <w:basedOn w:val="BodyText"/>
    <w:next w:val="BodyText"/>
    <w:rsid w:val="0033282E"/>
    <w:pPr>
      <w:keepNext/>
      <w:spacing w:after="60"/>
    </w:pPr>
    <w:rPr>
      <w:rFonts w:ascii="Times New Roman" w:hAnsi="Times New Roman"/>
      <w:u w:val="single"/>
      <w:lang w:val="en-GB"/>
    </w:rPr>
  </w:style>
  <w:style w:type="paragraph" w:customStyle="1" w:styleId="SubheaderCharCharCharCharCharCharCharCharCharCharCharCharCharCharCharChar">
    <w:name w:val="Subheader Char Char Char Char Char Char Char Char Char Char Char Char Char Char Char Char"/>
    <w:basedOn w:val="BodyText"/>
    <w:next w:val="BodyText"/>
    <w:rsid w:val="0033282E"/>
    <w:pPr>
      <w:keepNext/>
      <w:spacing w:after="60"/>
    </w:pPr>
    <w:rPr>
      <w:rFonts w:ascii="Times New Roman" w:hAnsi="Times New Roman"/>
      <w:u w:val="single"/>
      <w:lang w:val="en-GB"/>
    </w:rPr>
  </w:style>
  <w:style w:type="paragraph" w:customStyle="1" w:styleId="TableFootnoteCharChar1">
    <w:name w:val="Table Footnote Char Char1"/>
    <w:basedOn w:val="Normal"/>
    <w:next w:val="Normal"/>
    <w:rsid w:val="0033282E"/>
    <w:pPr>
      <w:keepNext/>
      <w:keepLines/>
      <w:widowControl w:val="0"/>
      <w:tabs>
        <w:tab w:val="left" w:pos="259"/>
      </w:tabs>
      <w:spacing w:before="20" w:after="20" w:line="220" w:lineRule="atLeast"/>
      <w:ind w:left="259" w:hanging="259"/>
    </w:pPr>
    <w:rPr>
      <w:rFonts w:ascii="Times New Roman" w:hAnsi="Times New Roman"/>
      <w:sz w:val="20"/>
    </w:rPr>
  </w:style>
  <w:style w:type="paragraph" w:customStyle="1" w:styleId="tableheaderChar">
    <w:name w:val="table:header Char"/>
    <w:basedOn w:val="Normal"/>
    <w:rsid w:val="0033282E"/>
    <w:pPr>
      <w:suppressAutoHyphens/>
      <w:spacing w:before="20" w:after="20"/>
    </w:pPr>
    <w:rPr>
      <w:rFonts w:ascii="Times New Roman" w:hAnsi="Times New Roman"/>
      <w:b/>
      <w:sz w:val="20"/>
    </w:rPr>
  </w:style>
  <w:style w:type="character" w:styleId="Hyperlink">
    <w:name w:val="Hyperlink"/>
    <w:basedOn w:val="DefaultParagraphFont"/>
    <w:semiHidden/>
    <w:rsid w:val="0033282E"/>
    <w:rPr>
      <w:color w:val="0000FF"/>
      <w:u w:val="single"/>
    </w:rPr>
  </w:style>
  <w:style w:type="paragraph" w:customStyle="1" w:styleId="Narrative1">
    <w:name w:val="Narrative 1"/>
    <w:rsid w:val="0033282E"/>
    <w:pPr>
      <w:tabs>
        <w:tab w:val="num" w:pos="1210"/>
      </w:tabs>
      <w:spacing w:line="300" w:lineRule="auto"/>
      <w:ind w:left="1210" w:hanging="360"/>
      <w:jc w:val="both"/>
    </w:pPr>
    <w:rPr>
      <w:sz w:val="24"/>
    </w:rPr>
  </w:style>
  <w:style w:type="paragraph" w:customStyle="1" w:styleId="Narrative2">
    <w:name w:val="Narrative 2"/>
    <w:rsid w:val="0033282E"/>
    <w:pPr>
      <w:tabs>
        <w:tab w:val="num" w:pos="1570"/>
      </w:tabs>
      <w:spacing w:line="300" w:lineRule="auto"/>
      <w:ind w:left="1570" w:hanging="360"/>
      <w:jc w:val="both"/>
    </w:pPr>
    <w:rPr>
      <w:sz w:val="24"/>
    </w:rPr>
  </w:style>
  <w:style w:type="paragraph" w:customStyle="1" w:styleId="MarkTable">
    <w:name w:val="Mark Table"/>
    <w:next w:val="TableText"/>
    <w:uiPriority w:val="99"/>
    <w:rsid w:val="0033282E"/>
    <w:pPr>
      <w:keepNext/>
      <w:ind w:left="1080" w:hanging="1066"/>
    </w:pPr>
  </w:style>
  <w:style w:type="paragraph" w:customStyle="1" w:styleId="paragraph0">
    <w:name w:val="paragraph"/>
    <w:basedOn w:val="Normal"/>
    <w:rsid w:val="0033282E"/>
    <w:pPr>
      <w:spacing w:before="120" w:after="120" w:line="280" w:lineRule="atLeast"/>
    </w:pPr>
    <w:rPr>
      <w:rFonts w:ascii="Times New Roman" w:eastAsia="Arial Unicode MS" w:hAnsi="Times New Roman"/>
      <w:szCs w:val="24"/>
      <w:lang w:val="en-GB"/>
    </w:rPr>
  </w:style>
  <w:style w:type="paragraph" w:customStyle="1" w:styleId="TableHeadings">
    <w:name w:val="Table Headings"/>
    <w:basedOn w:val="Normal"/>
    <w:rsid w:val="0033282E"/>
    <w:pPr>
      <w:keepNext/>
      <w:keepLines/>
      <w:widowControl w:val="0"/>
      <w:spacing w:before="40" w:after="40"/>
      <w:jc w:val="center"/>
    </w:pPr>
    <w:rPr>
      <w:rFonts w:ascii="Times New Roman" w:hAnsi="Times New Roman"/>
      <w:b/>
      <w:snapToGrid w:val="0"/>
      <w:sz w:val="20"/>
    </w:rPr>
  </w:style>
  <w:style w:type="paragraph" w:customStyle="1" w:styleId="TableBody-tight">
    <w:name w:val="Table Body-tight"/>
    <w:basedOn w:val="Normal"/>
    <w:uiPriority w:val="99"/>
    <w:rsid w:val="0033282E"/>
    <w:pPr>
      <w:keepNext/>
      <w:keepLines/>
      <w:widowControl w:val="0"/>
      <w:suppressAutoHyphens/>
      <w:spacing w:before="20" w:after="20" w:line="240" w:lineRule="exact"/>
    </w:pPr>
    <w:rPr>
      <w:rFonts w:ascii="Times New Roman" w:hAnsi="Times New Roman"/>
      <w:snapToGrid w:val="0"/>
      <w:sz w:val="20"/>
    </w:rPr>
  </w:style>
  <w:style w:type="paragraph" w:customStyle="1" w:styleId="PIParagraphCharCharChar">
    <w:name w:val="PI Paragraph Char Char Char"/>
    <w:basedOn w:val="Normal"/>
    <w:uiPriority w:val="99"/>
    <w:rsid w:val="0033282E"/>
    <w:pPr>
      <w:spacing w:after="120"/>
    </w:pPr>
    <w:rPr>
      <w:rFonts w:ascii="Times New Roman" w:hAnsi="Times New Roman"/>
    </w:rPr>
  </w:style>
  <w:style w:type="paragraph" w:customStyle="1" w:styleId="TableBody">
    <w:name w:val="Table Body"/>
    <w:basedOn w:val="Normal"/>
    <w:rsid w:val="0033282E"/>
    <w:pPr>
      <w:keepNext/>
      <w:keepLines/>
      <w:widowControl w:val="0"/>
      <w:snapToGrid w:val="0"/>
      <w:spacing w:before="60" w:after="60" w:line="240" w:lineRule="exact"/>
    </w:pPr>
    <w:rPr>
      <w:rFonts w:ascii="Times New Roman" w:hAnsi="Times New Roman"/>
      <w:sz w:val="20"/>
    </w:rPr>
  </w:style>
  <w:style w:type="paragraph" w:customStyle="1" w:styleId="DashIndent3">
    <w:name w:val="Dash Indent 3"/>
    <w:basedOn w:val="Normal"/>
    <w:rsid w:val="0033282E"/>
    <w:pPr>
      <w:tabs>
        <w:tab w:val="left" w:pos="1714"/>
      </w:tabs>
      <w:spacing w:after="100"/>
      <w:ind w:left="1714" w:hanging="288"/>
      <w:jc w:val="both"/>
    </w:pPr>
    <w:rPr>
      <w:rFonts w:ascii="Times New Roman" w:hAnsi="Times New Roman"/>
    </w:rPr>
  </w:style>
  <w:style w:type="paragraph" w:styleId="Caption">
    <w:name w:val="caption"/>
    <w:basedOn w:val="Normal"/>
    <w:next w:val="Normal"/>
    <w:uiPriority w:val="35"/>
    <w:semiHidden/>
    <w:unhideWhenUsed/>
    <w:qFormat/>
    <w:rsid w:val="009D2E6A"/>
    <w:pPr>
      <w:spacing w:line="240" w:lineRule="auto"/>
    </w:pPr>
    <w:rPr>
      <w:b/>
      <w:bCs/>
      <w:color w:val="4F81BD" w:themeColor="accent1"/>
      <w:sz w:val="18"/>
      <w:szCs w:val="18"/>
    </w:rPr>
  </w:style>
  <w:style w:type="paragraph" w:styleId="CommentSubject">
    <w:name w:val="annotation subject"/>
    <w:basedOn w:val="CommentText"/>
    <w:next w:val="CommentText"/>
    <w:link w:val="CommentSubjectChar"/>
    <w:uiPriority w:val="99"/>
    <w:semiHidden/>
    <w:unhideWhenUsed/>
    <w:rsid w:val="0033282E"/>
    <w:pPr>
      <w:keepLines/>
    </w:pPr>
    <w:rPr>
      <w:rFonts w:ascii="Arial" w:hAnsi="Arial"/>
      <w:b/>
      <w:bCs/>
      <w:lang w:val="en-AU"/>
    </w:rPr>
  </w:style>
  <w:style w:type="character" w:customStyle="1" w:styleId="CommentSubjectChar">
    <w:name w:val="Comment Subject Char"/>
    <w:basedOn w:val="CommentTextChar"/>
    <w:link w:val="CommentSubject"/>
    <w:uiPriority w:val="99"/>
    <w:semiHidden/>
    <w:rsid w:val="0033282E"/>
    <w:rPr>
      <w:rFonts w:ascii="Arial" w:hAnsi="Arial"/>
      <w:b/>
      <w:bCs/>
      <w:lang w:val="en-AU"/>
    </w:rPr>
  </w:style>
  <w:style w:type="character" w:customStyle="1" w:styleId="BalloonTextChar">
    <w:name w:val="Balloon Text Char"/>
    <w:basedOn w:val="DefaultParagraphFont"/>
    <w:link w:val="BalloonText"/>
    <w:uiPriority w:val="99"/>
    <w:semiHidden/>
    <w:rsid w:val="0033282E"/>
    <w:rPr>
      <w:rFonts w:ascii="Tahoma" w:hAnsi="Tahoma" w:cs="Tahoma"/>
      <w:sz w:val="16"/>
      <w:szCs w:val="16"/>
      <w:lang w:val="en-AU"/>
    </w:rPr>
  </w:style>
  <w:style w:type="paragraph" w:styleId="BalloonText">
    <w:name w:val="Balloon Text"/>
    <w:basedOn w:val="Normal"/>
    <w:link w:val="BalloonTextChar"/>
    <w:uiPriority w:val="99"/>
    <w:semiHidden/>
    <w:unhideWhenUsed/>
    <w:rsid w:val="0033282E"/>
    <w:pPr>
      <w:keepLines/>
      <w:jc w:val="both"/>
    </w:pPr>
    <w:rPr>
      <w:rFonts w:ascii="Tahoma" w:hAnsi="Tahoma" w:cs="Tahoma"/>
      <w:sz w:val="16"/>
      <w:szCs w:val="16"/>
    </w:rPr>
  </w:style>
  <w:style w:type="paragraph" w:customStyle="1" w:styleId="TableFootnote">
    <w:name w:val="Table Footnote"/>
    <w:basedOn w:val="Normal"/>
    <w:next w:val="Normal"/>
    <w:rsid w:val="0033282E"/>
    <w:pPr>
      <w:keepNext/>
      <w:keepLines/>
      <w:widowControl w:val="0"/>
      <w:tabs>
        <w:tab w:val="left" w:pos="259"/>
      </w:tabs>
      <w:spacing w:before="20" w:after="20" w:line="220" w:lineRule="atLeast"/>
      <w:ind w:left="259" w:hanging="259"/>
    </w:pPr>
    <w:rPr>
      <w:rFonts w:ascii="Times New Roman" w:hAnsi="Times New Roman"/>
      <w:sz w:val="20"/>
    </w:rPr>
  </w:style>
  <w:style w:type="paragraph" w:customStyle="1" w:styleId="table-heading-10">
    <w:name w:val="table-heading-10"/>
    <w:basedOn w:val="Normal"/>
    <w:rsid w:val="0033282E"/>
    <w:pPr>
      <w:spacing w:before="40" w:after="40"/>
    </w:pPr>
    <w:rPr>
      <w:rFonts w:ascii="Times New Roman" w:hAnsi="Times New Roman"/>
      <w:b/>
      <w:sz w:val="20"/>
      <w:szCs w:val="24"/>
    </w:rPr>
  </w:style>
  <w:style w:type="paragraph" w:customStyle="1" w:styleId="table-body-10">
    <w:name w:val="table-body-10"/>
    <w:basedOn w:val="Normal"/>
    <w:rsid w:val="0033282E"/>
    <w:pPr>
      <w:spacing w:before="40" w:after="40"/>
    </w:pPr>
    <w:rPr>
      <w:rFonts w:ascii="Times New Roman" w:hAnsi="Times New Roman"/>
      <w:sz w:val="20"/>
      <w:szCs w:val="24"/>
    </w:rPr>
  </w:style>
  <w:style w:type="paragraph" w:styleId="ListParagraph">
    <w:name w:val="List Paragraph"/>
    <w:basedOn w:val="Normal"/>
    <w:uiPriority w:val="34"/>
    <w:qFormat/>
    <w:rsid w:val="009D2E6A"/>
    <w:pPr>
      <w:ind w:left="720"/>
      <w:contextualSpacing/>
    </w:pPr>
  </w:style>
  <w:style w:type="paragraph" w:customStyle="1" w:styleId="ParagraphCharChar1">
    <w:name w:val="Paragraph Char Char1"/>
    <w:uiPriority w:val="99"/>
    <w:rsid w:val="0033282E"/>
    <w:pPr>
      <w:numPr>
        <w:ilvl w:val="12"/>
      </w:numPr>
      <w:suppressAutoHyphens/>
      <w:spacing w:after="120" w:line="260" w:lineRule="exact"/>
    </w:pPr>
    <w:rPr>
      <w:szCs w:val="24"/>
    </w:rPr>
  </w:style>
  <w:style w:type="paragraph" w:customStyle="1" w:styleId="CM1">
    <w:name w:val="CM1"/>
    <w:basedOn w:val="Normal"/>
    <w:next w:val="Normal"/>
    <w:uiPriority w:val="99"/>
    <w:rsid w:val="008235EC"/>
    <w:pPr>
      <w:autoSpaceDE w:val="0"/>
      <w:autoSpaceDN w:val="0"/>
      <w:adjustRightInd w:val="0"/>
      <w:spacing w:line="196" w:lineRule="atLeast"/>
    </w:pPr>
    <w:rPr>
      <w:rFonts w:ascii="Times New Roman" w:hAnsi="Times New Roman"/>
      <w:szCs w:val="24"/>
    </w:rPr>
  </w:style>
  <w:style w:type="paragraph" w:customStyle="1" w:styleId="Default">
    <w:name w:val="Default"/>
    <w:rsid w:val="008235EC"/>
    <w:pPr>
      <w:autoSpaceDE w:val="0"/>
      <w:autoSpaceDN w:val="0"/>
      <w:adjustRightInd w:val="0"/>
    </w:pPr>
    <w:rPr>
      <w:color w:val="000000"/>
      <w:sz w:val="24"/>
      <w:szCs w:val="24"/>
    </w:rPr>
  </w:style>
  <w:style w:type="paragraph" w:customStyle="1" w:styleId="CM35">
    <w:name w:val="CM35"/>
    <w:basedOn w:val="Default"/>
    <w:next w:val="Default"/>
    <w:uiPriority w:val="99"/>
    <w:rsid w:val="008235EC"/>
    <w:rPr>
      <w:color w:val="auto"/>
    </w:rPr>
  </w:style>
  <w:style w:type="paragraph" w:customStyle="1" w:styleId="CM34">
    <w:name w:val="CM34"/>
    <w:basedOn w:val="Default"/>
    <w:next w:val="Default"/>
    <w:uiPriority w:val="99"/>
    <w:rsid w:val="008235EC"/>
    <w:rPr>
      <w:color w:val="auto"/>
    </w:rPr>
  </w:style>
  <w:style w:type="table" w:styleId="TableGrid">
    <w:name w:val="Table Grid"/>
    <w:basedOn w:val="TableNormal"/>
    <w:uiPriority w:val="59"/>
    <w:rsid w:val="00D759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semiHidden/>
    <w:unhideWhenUsed/>
    <w:rsid w:val="005D067E"/>
    <w:rPr>
      <w:vertAlign w:val="superscript"/>
    </w:rPr>
  </w:style>
  <w:style w:type="paragraph" w:styleId="Revision">
    <w:name w:val="Revision"/>
    <w:hidden/>
    <w:uiPriority w:val="99"/>
    <w:semiHidden/>
    <w:rsid w:val="00C45E09"/>
    <w:rPr>
      <w:rFonts w:ascii="Arial" w:hAnsi="Arial"/>
      <w:sz w:val="24"/>
      <w:lang w:val="en-AU"/>
    </w:rPr>
  </w:style>
  <w:style w:type="character" w:customStyle="1" w:styleId="Heading1Char">
    <w:name w:val="Heading 1 Char"/>
    <w:aliases w:val="Heading 1 Char1 Char,D70AR Char,Info rubrik 1 Char,titel 1 Char,Title_1 Char"/>
    <w:basedOn w:val="DefaultParagraphFont"/>
    <w:link w:val="Heading1"/>
    <w:uiPriority w:val="9"/>
    <w:rsid w:val="009D2E6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aliases w:val="D70AR4 Char,titel 4 Char"/>
    <w:basedOn w:val="DefaultParagraphFont"/>
    <w:link w:val="Heading4"/>
    <w:uiPriority w:val="9"/>
    <w:rsid w:val="009D2E6A"/>
    <w:rPr>
      <w:rFonts w:asciiTheme="majorHAnsi" w:eastAsiaTheme="majorEastAsia" w:hAnsiTheme="majorHAnsi" w:cstheme="majorBidi"/>
      <w:b/>
      <w:bCs/>
      <w:i/>
      <w:iCs/>
      <w:color w:val="4F81BD" w:themeColor="accent1"/>
    </w:rPr>
  </w:style>
  <w:style w:type="character" w:customStyle="1" w:styleId="Heading5Char">
    <w:name w:val="Heading 5 Char"/>
    <w:aliases w:val="D70AR5 Char,titel 5 Char,DontUse Char,DontUse1 Char,DontUse2 Char,DontUse11 Char,DontUse3 Char,DontUse4 Char,DontUse12 Char,DontUse21 Char,DontUse111 Char,DontUse31 Char,DontUse5 Char,DontUse13 Char,DontUse22 Char,DontUse112 Char"/>
    <w:basedOn w:val="DefaultParagraphFont"/>
    <w:link w:val="Heading5"/>
    <w:uiPriority w:val="9"/>
    <w:rsid w:val="009D2E6A"/>
    <w:rPr>
      <w:rFonts w:asciiTheme="majorHAnsi" w:eastAsiaTheme="majorEastAsia" w:hAnsiTheme="majorHAnsi" w:cstheme="majorBidi"/>
      <w:color w:val="243F60" w:themeColor="accent1" w:themeShade="7F"/>
    </w:rPr>
  </w:style>
  <w:style w:type="character" w:customStyle="1" w:styleId="Heading6Char">
    <w:name w:val="Heading 6 Char"/>
    <w:aliases w:val="dontUse Char,dontUse1 Char,dontUse2 Char,dontUse3 Char,dontUse4 Char,dontUse11 Char,dontUse21 Char,dontUse31 Char,dontUse5 Char,dontUse6 Char,dontUse12 Char,dontUse22 Char,dontUse32 Char,dontUse41 Char,dontUse111 Char,dontUse211 Char"/>
    <w:basedOn w:val="DefaultParagraphFont"/>
    <w:link w:val="Heading6"/>
    <w:uiPriority w:val="9"/>
    <w:rsid w:val="009D2E6A"/>
    <w:rPr>
      <w:rFonts w:asciiTheme="majorHAnsi" w:eastAsiaTheme="majorEastAsia" w:hAnsiTheme="majorHAnsi" w:cstheme="majorBidi"/>
      <w:i/>
      <w:iCs/>
      <w:color w:val="243F60" w:themeColor="accent1" w:themeShade="7F"/>
    </w:rPr>
  </w:style>
  <w:style w:type="character" w:customStyle="1" w:styleId="Heading7Char">
    <w:name w:val="Heading 7 Char"/>
    <w:aliases w:val="DontUse! Char,DontUse!1 Char,DontUse!2 Char,DontUse!3 Char,DontUse!4 Char,DontUse!5 Char,DontUse!11 Char,DontUse!21 Char,DontUse!31 Char,DontUse!41 Char,DontUse!6 Char,DontUse!7 Char,DontUse!12 Char,DontUse!22 Char,DontUse!32 Char"/>
    <w:basedOn w:val="DefaultParagraphFont"/>
    <w:link w:val="Heading7"/>
    <w:uiPriority w:val="9"/>
    <w:rsid w:val="009D2E6A"/>
    <w:rPr>
      <w:rFonts w:asciiTheme="majorHAnsi" w:eastAsiaTheme="majorEastAsia" w:hAnsiTheme="majorHAnsi" w:cstheme="majorBidi"/>
      <w:i/>
      <w:iCs/>
      <w:color w:val="404040" w:themeColor="text1" w:themeTint="BF"/>
    </w:rPr>
  </w:style>
  <w:style w:type="character" w:customStyle="1" w:styleId="Heading8Char">
    <w:name w:val="Heading 8 Char"/>
    <w:aliases w:val="don'tUse Char,don'tUse1 Char,don'tUse2 Char,don'tUse3 Char,don'tUse4 Char,don'tUse5 Char,don'tUse11 Char,don'tUse21 Char,don'tUse31 Char,don'tUse41 Char,don'tUse6 Char,don'tUse7 Char,don'tUse12 Char,don'tUse22 Char,don'tUse32 Char"/>
    <w:basedOn w:val="DefaultParagraphFont"/>
    <w:link w:val="Heading8"/>
    <w:uiPriority w:val="9"/>
    <w:rsid w:val="009D2E6A"/>
    <w:rPr>
      <w:rFonts w:asciiTheme="majorHAnsi" w:eastAsiaTheme="majorEastAsia" w:hAnsiTheme="majorHAnsi" w:cstheme="majorBidi"/>
      <w:color w:val="4F81BD" w:themeColor="accent1"/>
      <w:sz w:val="20"/>
      <w:szCs w:val="20"/>
    </w:rPr>
  </w:style>
  <w:style w:type="character" w:customStyle="1" w:styleId="Heading9Char">
    <w:name w:val="Heading 9 Char"/>
    <w:aliases w:val="Don'tUse Char,Don'tUse1 Char,Don'tUse2 Char,Don'tUse3 Char,Don'tUse4 Char,Don'tUse5 Char,Don'tUse11 Char,Don'tUse21 Char,Don'tUse31 Char,Don'tUse41 Char,Don'tUse6 Char,Don'tUse7 Char,Don'tUse12 Char,Don'tUse22 Char,Don'tUse32 Char"/>
    <w:basedOn w:val="DefaultParagraphFont"/>
    <w:link w:val="Heading9"/>
    <w:uiPriority w:val="9"/>
    <w:rsid w:val="009D2E6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D2E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2E6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D2E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D2E6A"/>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9D2E6A"/>
    <w:rPr>
      <w:i/>
      <w:iCs/>
    </w:rPr>
  </w:style>
  <w:style w:type="paragraph" w:styleId="NoSpacing">
    <w:name w:val="No Spacing"/>
    <w:link w:val="NoSpacingChar"/>
    <w:uiPriority w:val="1"/>
    <w:qFormat/>
    <w:rsid w:val="009D2E6A"/>
    <w:pPr>
      <w:spacing w:after="0" w:line="240" w:lineRule="auto"/>
    </w:pPr>
  </w:style>
  <w:style w:type="character" w:customStyle="1" w:styleId="NoSpacingChar">
    <w:name w:val="No Spacing Char"/>
    <w:basedOn w:val="DefaultParagraphFont"/>
    <w:link w:val="NoSpacing"/>
    <w:uiPriority w:val="1"/>
    <w:rsid w:val="009D2E6A"/>
  </w:style>
  <w:style w:type="paragraph" w:styleId="Quote">
    <w:name w:val="Quote"/>
    <w:basedOn w:val="Normal"/>
    <w:next w:val="Normal"/>
    <w:link w:val="QuoteChar"/>
    <w:uiPriority w:val="29"/>
    <w:qFormat/>
    <w:rsid w:val="009D2E6A"/>
    <w:rPr>
      <w:i/>
      <w:iCs/>
      <w:color w:val="000000" w:themeColor="text1"/>
    </w:rPr>
  </w:style>
  <w:style w:type="character" w:customStyle="1" w:styleId="QuoteChar">
    <w:name w:val="Quote Char"/>
    <w:basedOn w:val="DefaultParagraphFont"/>
    <w:link w:val="Quote"/>
    <w:uiPriority w:val="29"/>
    <w:rsid w:val="009D2E6A"/>
    <w:rPr>
      <w:i/>
      <w:iCs/>
      <w:color w:val="000000" w:themeColor="text1"/>
    </w:rPr>
  </w:style>
  <w:style w:type="paragraph" w:styleId="IntenseQuote">
    <w:name w:val="Intense Quote"/>
    <w:basedOn w:val="Normal"/>
    <w:next w:val="Normal"/>
    <w:link w:val="IntenseQuoteChar"/>
    <w:uiPriority w:val="30"/>
    <w:qFormat/>
    <w:rsid w:val="009D2E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D2E6A"/>
    <w:rPr>
      <w:b/>
      <w:bCs/>
      <w:i/>
      <w:iCs/>
      <w:color w:val="4F81BD" w:themeColor="accent1"/>
    </w:rPr>
  </w:style>
  <w:style w:type="character" w:styleId="SubtleEmphasis">
    <w:name w:val="Subtle Emphasis"/>
    <w:basedOn w:val="DefaultParagraphFont"/>
    <w:uiPriority w:val="19"/>
    <w:qFormat/>
    <w:rsid w:val="009D2E6A"/>
    <w:rPr>
      <w:i/>
      <w:iCs/>
      <w:color w:val="808080" w:themeColor="text1" w:themeTint="7F"/>
    </w:rPr>
  </w:style>
  <w:style w:type="character" w:styleId="IntenseEmphasis">
    <w:name w:val="Intense Emphasis"/>
    <w:basedOn w:val="DefaultParagraphFont"/>
    <w:uiPriority w:val="21"/>
    <w:qFormat/>
    <w:rsid w:val="009D2E6A"/>
    <w:rPr>
      <w:b/>
      <w:bCs/>
      <w:i/>
      <w:iCs/>
      <w:color w:val="4F81BD" w:themeColor="accent1"/>
    </w:rPr>
  </w:style>
  <w:style w:type="character" w:styleId="SubtleReference">
    <w:name w:val="Subtle Reference"/>
    <w:basedOn w:val="DefaultParagraphFont"/>
    <w:uiPriority w:val="31"/>
    <w:qFormat/>
    <w:rsid w:val="009D2E6A"/>
    <w:rPr>
      <w:smallCaps/>
      <w:color w:val="C0504D" w:themeColor="accent2"/>
      <w:u w:val="single"/>
    </w:rPr>
  </w:style>
  <w:style w:type="character" w:styleId="IntenseReference">
    <w:name w:val="Intense Reference"/>
    <w:basedOn w:val="DefaultParagraphFont"/>
    <w:uiPriority w:val="32"/>
    <w:qFormat/>
    <w:rsid w:val="009D2E6A"/>
    <w:rPr>
      <w:b/>
      <w:bCs/>
      <w:smallCaps/>
      <w:color w:val="C0504D" w:themeColor="accent2"/>
      <w:spacing w:val="5"/>
      <w:u w:val="single"/>
    </w:rPr>
  </w:style>
  <w:style w:type="character" w:styleId="BookTitle">
    <w:name w:val="Book Title"/>
    <w:basedOn w:val="DefaultParagraphFont"/>
    <w:uiPriority w:val="33"/>
    <w:qFormat/>
    <w:rsid w:val="009D2E6A"/>
    <w:rPr>
      <w:b/>
      <w:bCs/>
      <w:smallCaps/>
      <w:spacing w:val="5"/>
    </w:rPr>
  </w:style>
  <w:style w:type="paragraph" w:styleId="TOCHeading">
    <w:name w:val="TOC Heading"/>
    <w:basedOn w:val="Heading1"/>
    <w:next w:val="Normal"/>
    <w:uiPriority w:val="39"/>
    <w:semiHidden/>
    <w:unhideWhenUsed/>
    <w:qFormat/>
    <w:rsid w:val="009D2E6A"/>
    <w:pPr>
      <w:outlineLvl w:val="9"/>
    </w:pPr>
  </w:style>
  <w:style w:type="paragraph" w:styleId="ListBullet">
    <w:name w:val="List Bullet"/>
    <w:basedOn w:val="Normal"/>
    <w:uiPriority w:val="99"/>
    <w:qFormat/>
    <w:rsid w:val="00A95213"/>
    <w:pPr>
      <w:numPr>
        <w:numId w:val="28"/>
      </w:numPr>
      <w:spacing w:before="120" w:after="180" w:line="240" w:lineRule="atLeast"/>
    </w:pPr>
    <w:rPr>
      <w:rFonts w:ascii="Cambria" w:eastAsia="Cambria" w:hAnsi="Cambria" w:cs="Times New Roman"/>
      <w:lang w:val="en-AU" w:bidi="ar-SA"/>
    </w:rPr>
  </w:style>
  <w:style w:type="paragraph" w:styleId="ListBullet2">
    <w:name w:val="List Bullet 2"/>
    <w:basedOn w:val="Normal"/>
    <w:uiPriority w:val="99"/>
    <w:qFormat/>
    <w:rsid w:val="00A95213"/>
    <w:pPr>
      <w:numPr>
        <w:ilvl w:val="1"/>
        <w:numId w:val="28"/>
      </w:numPr>
      <w:spacing w:before="120" w:after="180" w:line="240" w:lineRule="atLeast"/>
    </w:pPr>
    <w:rPr>
      <w:rFonts w:ascii="Cambria" w:eastAsia="Cambria" w:hAnsi="Cambria" w:cs="Times New Roman"/>
      <w:lang w:val="en-AU" w:bidi="ar-SA"/>
    </w:rPr>
  </w:style>
  <w:style w:type="paragraph" w:styleId="ListBullet3">
    <w:name w:val="List Bullet 3"/>
    <w:basedOn w:val="Normal"/>
    <w:uiPriority w:val="99"/>
    <w:qFormat/>
    <w:rsid w:val="00A95213"/>
    <w:pPr>
      <w:numPr>
        <w:ilvl w:val="2"/>
        <w:numId w:val="28"/>
      </w:numPr>
      <w:spacing w:before="120" w:after="180" w:line="240" w:lineRule="atLeast"/>
    </w:pPr>
    <w:rPr>
      <w:rFonts w:ascii="Cambria" w:eastAsia="Cambria" w:hAnsi="Cambria" w:cs="Times New Roman"/>
      <w:lang w:val="en-AU" w:bidi="ar-SA"/>
    </w:rPr>
  </w:style>
  <w:style w:type="numbering" w:customStyle="1" w:styleId="ListBullets">
    <w:name w:val="ListBullets"/>
    <w:uiPriority w:val="99"/>
    <w:locked/>
    <w:rsid w:val="00A95213"/>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A87"/>
    <w:rPr>
      <w:rFonts w:ascii="Arial" w:hAnsi="Arial"/>
      <w:sz w:val="24"/>
      <w:lang w:val="en-AU"/>
    </w:rPr>
  </w:style>
  <w:style w:type="paragraph" w:styleId="Heading1">
    <w:name w:val="heading 1"/>
    <w:aliases w:val="Heading 1 Char1,D70AR,Info rubrik 1,titel 1,Title_1"/>
    <w:basedOn w:val="Normal"/>
    <w:next w:val="Normal"/>
    <w:qFormat/>
    <w:rsid w:val="00784A87"/>
    <w:pPr>
      <w:keepNext/>
      <w:spacing w:before="240" w:after="60"/>
      <w:outlineLvl w:val="0"/>
    </w:pPr>
    <w:rPr>
      <w:b/>
      <w:kern w:val="28"/>
      <w:sz w:val="28"/>
    </w:rPr>
  </w:style>
  <w:style w:type="paragraph" w:styleId="Heading2">
    <w:name w:val="heading 2"/>
    <w:aliases w:val="D70AR2,Heading two,Heading 2 Char,Heading 2 Char1 Char,Heading 2 Char Char Char,Heading two Char Char Char,Heading two Char1 Char"/>
    <w:basedOn w:val="Normal"/>
    <w:next w:val="Normal"/>
    <w:qFormat/>
    <w:rsid w:val="00784A87"/>
    <w:pPr>
      <w:keepNext/>
      <w:spacing w:before="240" w:after="60"/>
      <w:outlineLvl w:val="1"/>
    </w:pPr>
    <w:rPr>
      <w:b/>
      <w:i/>
    </w:rPr>
  </w:style>
  <w:style w:type="paragraph" w:styleId="Heading3">
    <w:name w:val="heading 3"/>
    <w:aliases w:val="Heading 3 Char,D70AR3,titel 3,OLD Heading 3,Heading 3 Char1 Char,Heading 3 Char Char Char"/>
    <w:basedOn w:val="Heading2"/>
    <w:next w:val="Normal"/>
    <w:qFormat/>
    <w:rsid w:val="00784A87"/>
    <w:pPr>
      <w:keepLines/>
      <w:numPr>
        <w:ilvl w:val="2"/>
        <w:numId w:val="2"/>
      </w:numPr>
      <w:tabs>
        <w:tab w:val="clear" w:pos="835"/>
        <w:tab w:val="num" w:pos="360"/>
      </w:tabs>
      <w:spacing w:before="0"/>
      <w:ind w:left="360" w:hanging="360"/>
      <w:outlineLvl w:val="2"/>
    </w:pPr>
    <w:rPr>
      <w:i w:val="0"/>
      <w:sz w:val="28"/>
      <w:lang w:val="en-US"/>
    </w:rPr>
  </w:style>
  <w:style w:type="paragraph" w:styleId="Heading4">
    <w:name w:val="heading 4"/>
    <w:aliases w:val="D70AR4,titel 4"/>
    <w:basedOn w:val="Heading3"/>
    <w:next w:val="Normal"/>
    <w:qFormat/>
    <w:rsid w:val="00784A87"/>
    <w:pPr>
      <w:numPr>
        <w:ilvl w:val="3"/>
      </w:numPr>
      <w:tabs>
        <w:tab w:val="clear" w:pos="2246"/>
        <w:tab w:val="num" w:pos="360"/>
      </w:tabs>
      <w:ind w:left="360" w:hanging="360"/>
      <w:outlineLvl w:val="3"/>
    </w:pPr>
    <w:rPr>
      <w:smallCaps/>
      <w:sz w:val="24"/>
    </w:rPr>
  </w:style>
  <w:style w:type="paragraph" w:styleId="Heading5">
    <w:name w:val="heading 5"/>
    <w:aliases w:val="D70AR5,titel 5,DontUse,DontUse1,DontUse2,DontUse11,DontUse3,DontUse4,DontUse12,DontUse21,DontUse111,DontUse31,DontUse5,DontUse13,DontUse22,DontUse112,DontUse32,DontUse6,DontUse14,DontUse23,DontUse113,DontUse33,DontUse7,DontUse15,DontUse24"/>
    <w:basedOn w:val="Heading4"/>
    <w:next w:val="Normal"/>
    <w:qFormat/>
    <w:rsid w:val="00784A87"/>
    <w:pPr>
      <w:numPr>
        <w:ilvl w:val="4"/>
      </w:numPr>
      <w:tabs>
        <w:tab w:val="clear" w:pos="2246"/>
        <w:tab w:val="num" w:pos="360"/>
      </w:tabs>
      <w:ind w:left="360" w:hanging="360"/>
      <w:outlineLvl w:val="4"/>
    </w:pPr>
    <w:rPr>
      <w:smallCaps w:val="0"/>
    </w:rPr>
  </w:style>
  <w:style w:type="paragraph" w:styleId="Heading6">
    <w:name w:val="heading 6"/>
    <w:aliases w:val="dontUse,dontUse1,dontUse2,dontUse3,dontUse4,dontUse11,dontUse21,dontUse31,dontUse5,dontUse6,dontUse12,dontUse22,dontUse32,dontUse41,dontUse111,dontUse211,dontUse311,dontUse51,dontUse7,dontUse13,dontUse23,dontUse33,dontUse42,dontUse112,dontUse8"/>
    <w:basedOn w:val="Heading5"/>
    <w:next w:val="Normal"/>
    <w:qFormat/>
    <w:rsid w:val="00784A87"/>
    <w:pPr>
      <w:numPr>
        <w:ilvl w:val="5"/>
      </w:numPr>
      <w:tabs>
        <w:tab w:val="clear" w:pos="2246"/>
        <w:tab w:val="num" w:pos="360"/>
      </w:tabs>
      <w:ind w:left="360" w:hanging="360"/>
      <w:outlineLvl w:val="5"/>
    </w:pPr>
    <w:rPr>
      <w:i/>
    </w:rPr>
  </w:style>
  <w:style w:type="paragraph" w:styleId="Heading7">
    <w:name w:val="heading 7"/>
    <w:aliases w:val="DontUse!,DontUse!1,DontUse!2,DontUse!3,DontUse!4,DontUse!5,DontUse!11,DontUse!21,DontUse!31,DontUse!41,DontUse!6,DontUse!7,DontUse!12,DontUse!22,DontUse!32,DontUse!42,DontUse!51,DontUse!111,DontUse!211,DontUse!311,DontUse!411,DontUse!61"/>
    <w:basedOn w:val="Heading1"/>
    <w:next w:val="Normal"/>
    <w:qFormat/>
    <w:rsid w:val="00784A87"/>
    <w:pPr>
      <w:keepLines/>
      <w:numPr>
        <w:ilvl w:val="6"/>
        <w:numId w:val="2"/>
      </w:numPr>
      <w:tabs>
        <w:tab w:val="num" w:pos="360"/>
      </w:tabs>
      <w:spacing w:before="0"/>
      <w:ind w:left="360" w:hanging="360"/>
      <w:jc w:val="center"/>
      <w:outlineLvl w:val="6"/>
    </w:pPr>
    <w:rPr>
      <w:caps/>
      <w:kern w:val="0"/>
      <w:sz w:val="24"/>
      <w:lang w:val="en-US"/>
    </w:rPr>
  </w:style>
  <w:style w:type="paragraph" w:styleId="Heading8">
    <w:name w:val="heading 8"/>
    <w:aliases w:val="don'tUse,don'tUse1,don'tUse2,don'tUse3,don'tUse4,don'tUse5,don'tUse11,don'tUse21,don'tUse31,don'tUse41,don'tUse6,don'tUse7,don'tUse12,don'tUse22,don'tUse32,don'tUse42,don'tUse51,don'tUse111,don'tUse211,don'tUse311,don'tUse411,don'tUse61"/>
    <w:basedOn w:val="Heading7"/>
    <w:next w:val="Normal"/>
    <w:qFormat/>
    <w:rsid w:val="00784A87"/>
    <w:pPr>
      <w:numPr>
        <w:ilvl w:val="7"/>
      </w:numPr>
      <w:tabs>
        <w:tab w:val="num" w:pos="360"/>
      </w:tabs>
      <w:ind w:left="360" w:hanging="360"/>
      <w:outlineLvl w:val="7"/>
    </w:pPr>
    <w:rPr>
      <w:b w:val="0"/>
      <w:caps w:val="0"/>
    </w:rPr>
  </w:style>
  <w:style w:type="paragraph" w:styleId="Heading9">
    <w:name w:val="heading 9"/>
    <w:aliases w:val="Don'tUse,Don'tUse1,Don'tUse2,Don'tUse3,Don'tUse4,Don'tUse5,Don'tUse11,Don'tUse21,Don'tUse31,Don'tUse41,Don'tUse6,Don'tUse7,Don'tUse12,Don'tUse22,Don'tUse32,Don'tUse42,Don'tUse51,Don'tUse111,Don'tUse211,Don'tUse311,Don'tUse411,Don'tUse61"/>
    <w:basedOn w:val="Heading6"/>
    <w:next w:val="Normal"/>
    <w:qFormat/>
    <w:rsid w:val="00784A87"/>
    <w:pPr>
      <w:numPr>
        <w:ilvl w:val="8"/>
      </w:numPr>
      <w:tabs>
        <w:tab w:val="clear" w:pos="2246"/>
        <w:tab w:val="num" w:pos="360"/>
      </w:tabs>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HEADING1">
    <w:name w:val="PI HEADING1"/>
    <w:basedOn w:val="PIHEADTOP"/>
    <w:rsid w:val="00784A87"/>
    <w:pPr>
      <w:spacing w:before="360"/>
    </w:pPr>
  </w:style>
  <w:style w:type="paragraph" w:customStyle="1" w:styleId="PIHEADTOP">
    <w:name w:val="PI HEADTOP"/>
    <w:basedOn w:val="Normal"/>
    <w:rsid w:val="00784A87"/>
    <w:pPr>
      <w:tabs>
        <w:tab w:val="left" w:pos="-720"/>
      </w:tabs>
      <w:suppressAutoHyphens/>
      <w:spacing w:after="120"/>
    </w:pPr>
    <w:rPr>
      <w:b/>
      <w:caps/>
      <w:spacing w:val="-2"/>
      <w:sz w:val="28"/>
    </w:rPr>
  </w:style>
  <w:style w:type="paragraph" w:customStyle="1" w:styleId="PIProductInfo">
    <w:name w:val="PI Product Info"/>
    <w:basedOn w:val="Normal"/>
    <w:rsid w:val="00784A87"/>
    <w:pPr>
      <w:widowControl w:val="0"/>
      <w:pBdr>
        <w:bottom w:val="single" w:sz="6" w:space="1" w:color="auto"/>
      </w:pBdr>
      <w:spacing w:before="60" w:after="240"/>
      <w:jc w:val="center"/>
    </w:pPr>
    <w:rPr>
      <w:b/>
      <w:sz w:val="36"/>
      <w:lang w:val="en-US"/>
    </w:rPr>
  </w:style>
  <w:style w:type="paragraph" w:customStyle="1" w:styleId="PIMAINHEADING">
    <w:name w:val="PI MAINHEADING"/>
    <w:basedOn w:val="Heading1"/>
    <w:rsid w:val="00784A87"/>
    <w:pPr>
      <w:keepNext w:val="0"/>
      <w:widowControl w:val="0"/>
      <w:pBdr>
        <w:top w:val="single" w:sz="6" w:space="1" w:color="auto"/>
      </w:pBdr>
      <w:spacing w:before="0" w:after="0"/>
      <w:jc w:val="center"/>
      <w:outlineLvl w:val="9"/>
    </w:pPr>
    <w:rPr>
      <w:rFonts w:ascii="Arial Rounded MT Bold" w:hAnsi="Arial Rounded MT Bold"/>
      <w:sz w:val="56"/>
    </w:rPr>
  </w:style>
  <w:style w:type="paragraph" w:customStyle="1" w:styleId="PIEXPLAIN">
    <w:name w:val="PI EXPLAIN"/>
    <w:basedOn w:val="Normal"/>
    <w:rsid w:val="00784A87"/>
    <w:pPr>
      <w:tabs>
        <w:tab w:val="left" w:pos="-720"/>
      </w:tabs>
      <w:suppressAutoHyphens/>
      <w:spacing w:before="20" w:after="80"/>
    </w:pPr>
    <w:rPr>
      <w:spacing w:val="-2"/>
      <w:sz w:val="22"/>
    </w:rPr>
  </w:style>
  <w:style w:type="paragraph" w:customStyle="1" w:styleId="PIHEADING2">
    <w:name w:val="PI HEADING2"/>
    <w:basedOn w:val="Normal"/>
    <w:rsid w:val="00784A87"/>
    <w:pPr>
      <w:tabs>
        <w:tab w:val="left" w:pos="-720"/>
      </w:tabs>
      <w:suppressAutoHyphens/>
      <w:spacing w:before="120" w:after="80"/>
    </w:pPr>
    <w:rPr>
      <w:b/>
      <w:spacing w:val="-2"/>
    </w:rPr>
  </w:style>
  <w:style w:type="paragraph" w:customStyle="1" w:styleId="PIDOTPOINT">
    <w:name w:val="PI DOTPOINT"/>
    <w:basedOn w:val="PIEXPLAIN"/>
    <w:rsid w:val="00784A87"/>
    <w:pPr>
      <w:spacing w:before="0" w:after="40"/>
      <w:ind w:left="568" w:hanging="284"/>
    </w:pPr>
  </w:style>
  <w:style w:type="paragraph" w:styleId="Header">
    <w:name w:val="header"/>
    <w:basedOn w:val="Normal"/>
    <w:semiHidden/>
    <w:rsid w:val="00784A87"/>
    <w:pPr>
      <w:tabs>
        <w:tab w:val="center" w:pos="4153"/>
        <w:tab w:val="right" w:pos="8306"/>
      </w:tabs>
    </w:pPr>
  </w:style>
  <w:style w:type="paragraph" w:styleId="Footer">
    <w:name w:val="footer"/>
    <w:basedOn w:val="Normal"/>
    <w:semiHidden/>
    <w:rsid w:val="00784A87"/>
    <w:pPr>
      <w:tabs>
        <w:tab w:val="center" w:pos="4153"/>
        <w:tab w:val="right" w:pos="8306"/>
      </w:tabs>
    </w:pPr>
  </w:style>
  <w:style w:type="paragraph" w:styleId="FootnoteText">
    <w:name w:val="footnote text"/>
    <w:basedOn w:val="Normal"/>
    <w:semiHidden/>
    <w:rsid w:val="00784A87"/>
    <w:rPr>
      <w:sz w:val="20"/>
    </w:rPr>
  </w:style>
  <w:style w:type="character" w:styleId="FootnoteReference">
    <w:name w:val="footnote reference"/>
    <w:basedOn w:val="DefaultParagraphFont"/>
    <w:semiHidden/>
    <w:rsid w:val="00784A87"/>
    <w:rPr>
      <w:vertAlign w:val="superscript"/>
    </w:rPr>
  </w:style>
  <w:style w:type="paragraph" w:customStyle="1" w:styleId="BodyText12">
    <w:name w:val="BodyText12"/>
    <w:link w:val="BodyText12Char"/>
    <w:uiPriority w:val="99"/>
    <w:rsid w:val="00784A87"/>
    <w:pPr>
      <w:spacing w:after="200" w:line="300" w:lineRule="auto"/>
      <w:ind w:left="835"/>
      <w:jc w:val="both"/>
    </w:pPr>
    <w:rPr>
      <w:sz w:val="24"/>
    </w:rPr>
  </w:style>
  <w:style w:type="character" w:customStyle="1" w:styleId="BodyText12Char">
    <w:name w:val="BodyText12 Char"/>
    <w:basedOn w:val="DefaultParagraphFont"/>
    <w:link w:val="BodyText12"/>
    <w:uiPriority w:val="99"/>
    <w:locked/>
    <w:rsid w:val="0033282E"/>
    <w:rPr>
      <w:sz w:val="24"/>
    </w:rPr>
  </w:style>
  <w:style w:type="paragraph" w:customStyle="1" w:styleId="ReferenceText">
    <w:name w:val="Reference Text"/>
    <w:rsid w:val="00784A87"/>
    <w:pPr>
      <w:spacing w:after="200"/>
      <w:ind w:left="1656"/>
    </w:pPr>
    <w:rPr>
      <w:rFonts w:ascii="Times New Roman Bold" w:hAnsi="Times New Roman Bold"/>
      <w:b/>
      <w:sz w:val="24"/>
    </w:rPr>
  </w:style>
  <w:style w:type="paragraph" w:customStyle="1" w:styleId="ReferenceHeading3">
    <w:name w:val="Reference Heading 3"/>
    <w:basedOn w:val="Normal"/>
    <w:next w:val="ReferenceText"/>
    <w:rsid w:val="00784A87"/>
    <w:pPr>
      <w:keepLines/>
      <w:spacing w:after="200"/>
      <w:ind w:left="835"/>
      <w:jc w:val="both"/>
    </w:pPr>
    <w:rPr>
      <w:b/>
      <w:lang w:val="en-US"/>
    </w:rPr>
  </w:style>
  <w:style w:type="paragraph" w:styleId="BodyTextIndent">
    <w:name w:val="Body Text Indent"/>
    <w:basedOn w:val="Normal"/>
    <w:semiHidden/>
    <w:rsid w:val="00784A87"/>
    <w:pPr>
      <w:ind w:left="720"/>
    </w:pPr>
    <w:rPr>
      <w:rFonts w:ascii="Times New Roman" w:hAnsi="Times New Roman"/>
      <w:sz w:val="22"/>
      <w:lang w:val="en-GB"/>
    </w:rPr>
  </w:style>
  <w:style w:type="paragraph" w:customStyle="1" w:styleId="BulletIndent3">
    <w:name w:val="Bullet Indent 3 (.)"/>
    <w:rsid w:val="00784A87"/>
    <w:pPr>
      <w:numPr>
        <w:numId w:val="6"/>
      </w:numPr>
      <w:tabs>
        <w:tab w:val="clear" w:pos="936"/>
        <w:tab w:val="left" w:pos="864"/>
      </w:tabs>
      <w:spacing w:after="120"/>
      <w:ind w:left="864" w:hanging="288"/>
      <w:jc w:val="both"/>
    </w:pPr>
    <w:rPr>
      <w:sz w:val="24"/>
    </w:rPr>
  </w:style>
  <w:style w:type="character" w:styleId="CommentReference">
    <w:name w:val="annotation reference"/>
    <w:basedOn w:val="DefaultParagraphFont"/>
    <w:uiPriority w:val="99"/>
    <w:semiHidden/>
    <w:rsid w:val="00784A87"/>
    <w:rPr>
      <w:noProof w:val="0"/>
      <w:sz w:val="16"/>
      <w:lang w:val="en-US"/>
    </w:rPr>
  </w:style>
  <w:style w:type="paragraph" w:customStyle="1" w:styleId="TableText">
    <w:name w:val="TableText"/>
    <w:rsid w:val="00784A87"/>
    <w:pPr>
      <w:keepNext/>
    </w:pPr>
  </w:style>
  <w:style w:type="paragraph" w:customStyle="1" w:styleId="TableNote">
    <w:name w:val="TableNote"/>
    <w:rsid w:val="00784A87"/>
    <w:pPr>
      <w:keepNext/>
      <w:keepLines/>
      <w:tabs>
        <w:tab w:val="left" w:pos="187"/>
        <w:tab w:val="left" w:pos="1440"/>
      </w:tabs>
      <w:ind w:left="187" w:hanging="187"/>
    </w:pPr>
  </w:style>
  <w:style w:type="paragraph" w:styleId="CommentText">
    <w:name w:val="annotation text"/>
    <w:basedOn w:val="Normal"/>
    <w:link w:val="CommentTextChar"/>
    <w:semiHidden/>
    <w:rsid w:val="00784A87"/>
    <w:pPr>
      <w:jc w:val="both"/>
    </w:pPr>
    <w:rPr>
      <w:rFonts w:ascii="Times New Roman" w:hAnsi="Times New Roman"/>
      <w:sz w:val="20"/>
      <w:lang w:val="en-US"/>
    </w:rPr>
  </w:style>
  <w:style w:type="character" w:customStyle="1" w:styleId="CommentTextChar">
    <w:name w:val="Comment Text Char"/>
    <w:basedOn w:val="DefaultParagraphFont"/>
    <w:link w:val="CommentText"/>
    <w:semiHidden/>
    <w:rsid w:val="0033282E"/>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link w:val="BodyTextChar"/>
    <w:semiHidden/>
    <w:unhideWhenUsed/>
    <w:rsid w:val="0033282E"/>
    <w:pPr>
      <w:spacing w:after="120"/>
    </w:p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
    <w:basedOn w:val="DefaultParagraphFont"/>
    <w:link w:val="BodyText"/>
    <w:uiPriority w:val="99"/>
    <w:semiHidden/>
    <w:rsid w:val="0033282E"/>
    <w:rPr>
      <w:rFonts w:ascii="Arial" w:hAnsi="Arial"/>
      <w:sz w:val="24"/>
      <w:lang w:val="en-AU"/>
    </w:rPr>
  </w:style>
  <w:style w:type="paragraph" w:styleId="BodyText3">
    <w:name w:val="Body Text 3"/>
    <w:basedOn w:val="Normal"/>
    <w:link w:val="BodyText3Char"/>
    <w:semiHidden/>
    <w:unhideWhenUsed/>
    <w:rsid w:val="0033282E"/>
    <w:pPr>
      <w:spacing w:after="120"/>
    </w:pPr>
    <w:rPr>
      <w:sz w:val="16"/>
      <w:szCs w:val="16"/>
    </w:rPr>
  </w:style>
  <w:style w:type="character" w:customStyle="1" w:styleId="BodyText3Char">
    <w:name w:val="Body Text 3 Char"/>
    <w:basedOn w:val="DefaultParagraphFont"/>
    <w:link w:val="BodyText3"/>
    <w:uiPriority w:val="99"/>
    <w:semiHidden/>
    <w:rsid w:val="0033282E"/>
    <w:rPr>
      <w:rFonts w:ascii="Arial" w:hAnsi="Arial"/>
      <w:sz w:val="16"/>
      <w:szCs w:val="16"/>
      <w:lang w:val="en-AU"/>
    </w:rPr>
  </w:style>
  <w:style w:type="paragraph" w:customStyle="1" w:styleId="Hint">
    <w:name w:val="Hint"/>
    <w:basedOn w:val="BodyTextIndent2"/>
    <w:autoRedefine/>
    <w:rsid w:val="0033282E"/>
    <w:pPr>
      <w:keepLines w:val="0"/>
      <w:tabs>
        <w:tab w:val="left" w:pos="709"/>
      </w:tabs>
      <w:spacing w:before="120" w:line="240" w:lineRule="auto"/>
      <w:ind w:left="709" w:right="318" w:hanging="709"/>
    </w:pPr>
    <w:rPr>
      <w:rFonts w:ascii="Andy" w:hAnsi="Andy"/>
      <w:color w:val="0000FF"/>
      <w:sz w:val="26"/>
      <w:lang w:val="en-US"/>
    </w:rPr>
  </w:style>
  <w:style w:type="paragraph" w:styleId="BodyTextIndent2">
    <w:name w:val="Body Text Indent 2"/>
    <w:basedOn w:val="Normal"/>
    <w:link w:val="BodyTextIndent2Char"/>
    <w:semiHidden/>
    <w:rsid w:val="0033282E"/>
    <w:pPr>
      <w:keepLines/>
      <w:spacing w:after="120" w:line="480" w:lineRule="auto"/>
      <w:ind w:left="360"/>
      <w:jc w:val="both"/>
    </w:pPr>
    <w:rPr>
      <w:sz w:val="21"/>
    </w:rPr>
  </w:style>
  <w:style w:type="character" w:customStyle="1" w:styleId="BodyTextIndent2Char">
    <w:name w:val="Body Text Indent 2 Char"/>
    <w:basedOn w:val="DefaultParagraphFont"/>
    <w:link w:val="BodyTextIndent2"/>
    <w:semiHidden/>
    <w:rsid w:val="0033282E"/>
    <w:rPr>
      <w:rFonts w:ascii="Arial" w:hAnsi="Arial"/>
      <w:sz w:val="21"/>
      <w:lang w:val="en-AU"/>
    </w:rPr>
  </w:style>
  <w:style w:type="character" w:styleId="Strong">
    <w:name w:val="Strong"/>
    <w:basedOn w:val="DefaultParagraphFont"/>
    <w:qFormat/>
    <w:rsid w:val="0033282E"/>
    <w:rPr>
      <w:b/>
    </w:rPr>
  </w:style>
  <w:style w:type="paragraph" w:customStyle="1" w:styleId="Paragraph">
    <w:name w:val="Paragraph"/>
    <w:rsid w:val="0033282E"/>
    <w:pPr>
      <w:numPr>
        <w:ilvl w:val="12"/>
      </w:numPr>
      <w:suppressAutoHyphens/>
      <w:spacing w:before="120" w:line="260" w:lineRule="exact"/>
    </w:pPr>
    <w:rPr>
      <w:sz w:val="22"/>
    </w:rPr>
  </w:style>
  <w:style w:type="paragraph" w:styleId="EndnoteText">
    <w:name w:val="endnote text"/>
    <w:basedOn w:val="Normal"/>
    <w:next w:val="Normal"/>
    <w:link w:val="EndnoteTextChar"/>
    <w:semiHidden/>
    <w:rsid w:val="0033282E"/>
    <w:pPr>
      <w:tabs>
        <w:tab w:val="left" w:pos="567"/>
      </w:tabs>
    </w:pPr>
    <w:rPr>
      <w:rFonts w:ascii="Times New Roman" w:hAnsi="Times New Roman"/>
      <w:sz w:val="22"/>
      <w:lang w:val="en-GB"/>
    </w:rPr>
  </w:style>
  <w:style w:type="character" w:customStyle="1" w:styleId="EndnoteTextChar">
    <w:name w:val="Endnote Text Char"/>
    <w:basedOn w:val="DefaultParagraphFont"/>
    <w:link w:val="EndnoteText"/>
    <w:semiHidden/>
    <w:rsid w:val="0033282E"/>
    <w:rPr>
      <w:sz w:val="22"/>
      <w:lang w:val="en-GB"/>
    </w:rPr>
  </w:style>
  <w:style w:type="paragraph" w:customStyle="1" w:styleId="ParagraphChar">
    <w:name w:val="Paragraph Char"/>
    <w:rsid w:val="0033282E"/>
    <w:pPr>
      <w:numPr>
        <w:ilvl w:val="12"/>
      </w:numPr>
      <w:suppressAutoHyphens/>
      <w:spacing w:after="120" w:line="260" w:lineRule="exact"/>
    </w:pPr>
    <w:rPr>
      <w:sz w:val="22"/>
    </w:rPr>
  </w:style>
  <w:style w:type="paragraph" w:styleId="BodyText2">
    <w:name w:val="Body Text 2"/>
    <w:basedOn w:val="Normal"/>
    <w:link w:val="BodyText2Char"/>
    <w:semiHidden/>
    <w:rsid w:val="0033282E"/>
    <w:pPr>
      <w:keepLines/>
      <w:jc w:val="both"/>
    </w:pPr>
    <w:rPr>
      <w:b/>
      <w:bCs/>
      <w:sz w:val="21"/>
    </w:rPr>
  </w:style>
  <w:style w:type="character" w:customStyle="1" w:styleId="BodyText2Char">
    <w:name w:val="Body Text 2 Char"/>
    <w:basedOn w:val="DefaultParagraphFont"/>
    <w:link w:val="BodyText2"/>
    <w:semiHidden/>
    <w:rsid w:val="0033282E"/>
    <w:rPr>
      <w:rFonts w:ascii="Arial" w:hAnsi="Arial"/>
      <w:b/>
      <w:bCs/>
      <w:sz w:val="21"/>
      <w:lang w:val="en-AU"/>
    </w:rPr>
  </w:style>
  <w:style w:type="character" w:customStyle="1" w:styleId="TableFootnoteChar1">
    <w:name w:val="Table Footnote Char1"/>
    <w:basedOn w:val="DefaultParagraphFont"/>
    <w:rsid w:val="0033282E"/>
    <w:rPr>
      <w:noProof w:val="0"/>
      <w:snapToGrid w:val="0"/>
      <w:lang w:val="en-US" w:eastAsia="en-US" w:bidi="ar-SA"/>
    </w:rPr>
  </w:style>
  <w:style w:type="paragraph" w:customStyle="1" w:styleId="tablebodyChar">
    <w:name w:val="table:body Char"/>
    <w:basedOn w:val="Normal"/>
    <w:rsid w:val="0033282E"/>
    <w:pPr>
      <w:suppressAutoHyphens/>
      <w:spacing w:before="20" w:after="20"/>
    </w:pPr>
    <w:rPr>
      <w:rFonts w:ascii="Times New Roman" w:hAnsi="Times New Roman"/>
      <w:sz w:val="20"/>
      <w:lang w:val="en-US"/>
    </w:rPr>
  </w:style>
  <w:style w:type="paragraph" w:customStyle="1" w:styleId="ParagraphCharChar">
    <w:name w:val="Paragraph Char Char"/>
    <w:rsid w:val="0033282E"/>
    <w:pPr>
      <w:numPr>
        <w:ilvl w:val="12"/>
      </w:numPr>
      <w:suppressAutoHyphens/>
      <w:spacing w:after="120" w:line="260" w:lineRule="exact"/>
    </w:pPr>
    <w:rPr>
      <w:sz w:val="22"/>
    </w:rPr>
  </w:style>
  <w:style w:type="paragraph" w:customStyle="1" w:styleId="tabletitleCharChar">
    <w:name w:val="table:title Char Char"/>
    <w:basedOn w:val="Normal"/>
    <w:next w:val="Normal"/>
    <w:uiPriority w:val="99"/>
    <w:rsid w:val="0033282E"/>
    <w:pPr>
      <w:keepNext/>
      <w:numPr>
        <w:ilvl w:val="12"/>
      </w:numPr>
      <w:suppressAutoHyphens/>
      <w:spacing w:before="120" w:after="120" w:line="260" w:lineRule="exact"/>
      <w:ind w:left="1152" w:hanging="1152"/>
    </w:pPr>
    <w:rPr>
      <w:rFonts w:ascii="Times New Roman" w:hAnsi="Times New Roman"/>
      <w:b/>
      <w:sz w:val="22"/>
      <w:lang w:val="en-US"/>
    </w:rPr>
  </w:style>
  <w:style w:type="character" w:customStyle="1" w:styleId="BodyTextIndentCharChar">
    <w:name w:val="Body Text Indent Char Char"/>
    <w:basedOn w:val="DefaultParagraphFont"/>
    <w:rsid w:val="0033282E"/>
    <w:rPr>
      <w:lang w:val="en-US" w:eastAsia="en-US" w:bidi="ar-SA"/>
    </w:rPr>
  </w:style>
  <w:style w:type="paragraph" w:customStyle="1" w:styleId="SubheaderCharCharCharCharCharCharCharCharCharCharCharCharCharCharCharCharChar">
    <w:name w:val="Subheader Char Char Char Char Char Char Char Char Char Char Char Char Char Char Char Char Char"/>
    <w:basedOn w:val="BodyText"/>
    <w:next w:val="BodyText"/>
    <w:rsid w:val="0033282E"/>
    <w:pPr>
      <w:keepNext/>
      <w:spacing w:after="60"/>
    </w:pPr>
    <w:rPr>
      <w:rFonts w:ascii="Times New Roman" w:hAnsi="Times New Roman"/>
      <w:sz w:val="22"/>
      <w:u w:val="single"/>
      <w:lang w:val="en-GB"/>
    </w:rPr>
  </w:style>
  <w:style w:type="paragraph" w:customStyle="1" w:styleId="SubheaderCharCharCharCharCharCharCharCharCharCharCharCharCharCharCharChar">
    <w:name w:val="Subheader Char Char Char Char Char Char Char Char Char Char Char Char Char Char Char Char"/>
    <w:basedOn w:val="BodyText"/>
    <w:next w:val="BodyText"/>
    <w:rsid w:val="0033282E"/>
    <w:pPr>
      <w:keepNext/>
      <w:spacing w:after="60"/>
    </w:pPr>
    <w:rPr>
      <w:rFonts w:ascii="Times New Roman" w:hAnsi="Times New Roman"/>
      <w:sz w:val="22"/>
      <w:u w:val="single"/>
      <w:lang w:val="en-GB"/>
    </w:rPr>
  </w:style>
  <w:style w:type="paragraph" w:customStyle="1" w:styleId="TableFootnoteCharChar1">
    <w:name w:val="Table Footnote Char Char1"/>
    <w:basedOn w:val="Normal"/>
    <w:next w:val="Normal"/>
    <w:rsid w:val="0033282E"/>
    <w:pPr>
      <w:keepNext/>
      <w:keepLines/>
      <w:widowControl w:val="0"/>
      <w:tabs>
        <w:tab w:val="left" w:pos="259"/>
      </w:tabs>
      <w:spacing w:before="20" w:after="20" w:line="220" w:lineRule="atLeast"/>
      <w:ind w:left="259" w:hanging="259"/>
    </w:pPr>
    <w:rPr>
      <w:rFonts w:ascii="Times New Roman" w:hAnsi="Times New Roman"/>
      <w:sz w:val="20"/>
      <w:lang w:val="en-US"/>
    </w:rPr>
  </w:style>
  <w:style w:type="paragraph" w:customStyle="1" w:styleId="tableheaderChar">
    <w:name w:val="table:header Char"/>
    <w:basedOn w:val="Normal"/>
    <w:rsid w:val="0033282E"/>
    <w:pPr>
      <w:suppressAutoHyphens/>
      <w:spacing w:before="20" w:after="20"/>
    </w:pPr>
    <w:rPr>
      <w:rFonts w:ascii="Times New Roman" w:hAnsi="Times New Roman"/>
      <w:b/>
      <w:sz w:val="20"/>
      <w:lang w:val="en-US"/>
    </w:rPr>
  </w:style>
  <w:style w:type="character" w:styleId="Hyperlink">
    <w:name w:val="Hyperlink"/>
    <w:basedOn w:val="DefaultParagraphFont"/>
    <w:semiHidden/>
    <w:rsid w:val="0033282E"/>
    <w:rPr>
      <w:color w:val="0000FF"/>
      <w:u w:val="single"/>
    </w:rPr>
  </w:style>
  <w:style w:type="paragraph" w:customStyle="1" w:styleId="Narrative1">
    <w:name w:val="Narrative 1"/>
    <w:rsid w:val="0033282E"/>
    <w:pPr>
      <w:tabs>
        <w:tab w:val="num" w:pos="1210"/>
      </w:tabs>
      <w:spacing w:after="200" w:line="300" w:lineRule="auto"/>
      <w:ind w:left="1210" w:hanging="360"/>
      <w:jc w:val="both"/>
    </w:pPr>
    <w:rPr>
      <w:sz w:val="24"/>
    </w:rPr>
  </w:style>
  <w:style w:type="paragraph" w:customStyle="1" w:styleId="Narrative2">
    <w:name w:val="Narrative 2"/>
    <w:rsid w:val="0033282E"/>
    <w:pPr>
      <w:tabs>
        <w:tab w:val="num" w:pos="1570"/>
      </w:tabs>
      <w:spacing w:after="200" w:line="300" w:lineRule="auto"/>
      <w:ind w:left="1570" w:hanging="360"/>
      <w:jc w:val="both"/>
    </w:pPr>
    <w:rPr>
      <w:sz w:val="24"/>
    </w:rPr>
  </w:style>
  <w:style w:type="paragraph" w:customStyle="1" w:styleId="MarkTable">
    <w:name w:val="Mark Table"/>
    <w:next w:val="TableText"/>
    <w:uiPriority w:val="99"/>
    <w:rsid w:val="0033282E"/>
    <w:pPr>
      <w:keepNext/>
      <w:ind w:left="1080" w:hanging="1066"/>
    </w:pPr>
  </w:style>
  <w:style w:type="paragraph" w:customStyle="1" w:styleId="paragraph0">
    <w:name w:val="paragraph"/>
    <w:basedOn w:val="Normal"/>
    <w:rsid w:val="0033282E"/>
    <w:pPr>
      <w:spacing w:before="120" w:after="120" w:line="280" w:lineRule="atLeast"/>
    </w:pPr>
    <w:rPr>
      <w:rFonts w:ascii="Times New Roman" w:eastAsia="Arial Unicode MS" w:hAnsi="Times New Roman"/>
      <w:szCs w:val="24"/>
      <w:lang w:val="en-GB"/>
    </w:rPr>
  </w:style>
  <w:style w:type="paragraph" w:customStyle="1" w:styleId="TableHeadings">
    <w:name w:val="Table Headings"/>
    <w:basedOn w:val="Normal"/>
    <w:rsid w:val="0033282E"/>
    <w:pPr>
      <w:keepNext/>
      <w:keepLines/>
      <w:widowControl w:val="0"/>
      <w:spacing w:before="40" w:after="40"/>
      <w:jc w:val="center"/>
    </w:pPr>
    <w:rPr>
      <w:rFonts w:ascii="Times New Roman" w:hAnsi="Times New Roman"/>
      <w:b/>
      <w:snapToGrid w:val="0"/>
      <w:sz w:val="20"/>
      <w:lang w:val="en-US"/>
    </w:rPr>
  </w:style>
  <w:style w:type="paragraph" w:customStyle="1" w:styleId="TableBody-tight">
    <w:name w:val="Table Body-tight"/>
    <w:basedOn w:val="Normal"/>
    <w:uiPriority w:val="99"/>
    <w:rsid w:val="0033282E"/>
    <w:pPr>
      <w:keepNext/>
      <w:keepLines/>
      <w:widowControl w:val="0"/>
      <w:suppressAutoHyphens/>
      <w:spacing w:before="20" w:after="20" w:line="240" w:lineRule="exact"/>
    </w:pPr>
    <w:rPr>
      <w:rFonts w:ascii="Times New Roman" w:hAnsi="Times New Roman"/>
      <w:snapToGrid w:val="0"/>
      <w:sz w:val="20"/>
      <w:lang w:val="en-US"/>
    </w:rPr>
  </w:style>
  <w:style w:type="paragraph" w:customStyle="1" w:styleId="PIParagraphCharCharChar">
    <w:name w:val="PI Paragraph Char Char Char"/>
    <w:basedOn w:val="Normal"/>
    <w:uiPriority w:val="99"/>
    <w:rsid w:val="0033282E"/>
    <w:pPr>
      <w:spacing w:after="120"/>
    </w:pPr>
    <w:rPr>
      <w:rFonts w:ascii="Times New Roman" w:hAnsi="Times New Roman"/>
      <w:lang w:val="en-US"/>
    </w:rPr>
  </w:style>
  <w:style w:type="paragraph" w:customStyle="1" w:styleId="TableBody">
    <w:name w:val="Table Body"/>
    <w:basedOn w:val="Normal"/>
    <w:rsid w:val="0033282E"/>
    <w:pPr>
      <w:keepNext/>
      <w:keepLines/>
      <w:widowControl w:val="0"/>
      <w:snapToGrid w:val="0"/>
      <w:spacing w:before="60" w:after="60" w:line="240" w:lineRule="exact"/>
    </w:pPr>
    <w:rPr>
      <w:rFonts w:ascii="Times New Roman" w:hAnsi="Times New Roman"/>
      <w:sz w:val="20"/>
      <w:lang w:val="en-US"/>
    </w:rPr>
  </w:style>
  <w:style w:type="paragraph" w:customStyle="1" w:styleId="DashIndent3">
    <w:name w:val="Dash Indent 3"/>
    <w:basedOn w:val="Normal"/>
    <w:rsid w:val="0033282E"/>
    <w:pPr>
      <w:tabs>
        <w:tab w:val="left" w:pos="1714"/>
      </w:tabs>
      <w:spacing w:after="100"/>
      <w:ind w:left="1714" w:hanging="288"/>
      <w:jc w:val="both"/>
    </w:pPr>
    <w:rPr>
      <w:rFonts w:ascii="Times New Roman" w:hAnsi="Times New Roman"/>
      <w:lang w:val="en-US"/>
    </w:rPr>
  </w:style>
  <w:style w:type="paragraph" w:styleId="Caption">
    <w:name w:val="caption"/>
    <w:basedOn w:val="Normal"/>
    <w:next w:val="Normal"/>
    <w:qFormat/>
    <w:rsid w:val="0033282E"/>
    <w:pPr>
      <w:keepLines/>
      <w:tabs>
        <w:tab w:val="left" w:pos="6780"/>
      </w:tabs>
      <w:ind w:left="567" w:hanging="567"/>
      <w:jc w:val="both"/>
    </w:pPr>
    <w:rPr>
      <w:sz w:val="20"/>
    </w:rPr>
  </w:style>
  <w:style w:type="paragraph" w:styleId="CommentSubject">
    <w:name w:val="annotation subject"/>
    <w:basedOn w:val="CommentText"/>
    <w:next w:val="CommentText"/>
    <w:link w:val="CommentSubjectChar"/>
    <w:uiPriority w:val="99"/>
    <w:semiHidden/>
    <w:unhideWhenUsed/>
    <w:rsid w:val="0033282E"/>
    <w:pPr>
      <w:keepLines/>
    </w:pPr>
    <w:rPr>
      <w:rFonts w:ascii="Arial" w:hAnsi="Arial"/>
      <w:b/>
      <w:bCs/>
      <w:lang w:val="en-AU"/>
    </w:rPr>
  </w:style>
  <w:style w:type="character" w:customStyle="1" w:styleId="CommentSubjectChar">
    <w:name w:val="Comment Subject Char"/>
    <w:basedOn w:val="CommentTextChar"/>
    <w:link w:val="CommentSubject"/>
    <w:uiPriority w:val="99"/>
    <w:semiHidden/>
    <w:rsid w:val="0033282E"/>
    <w:rPr>
      <w:rFonts w:ascii="Arial" w:hAnsi="Arial"/>
      <w:b/>
      <w:bCs/>
      <w:lang w:val="en-AU"/>
    </w:rPr>
  </w:style>
  <w:style w:type="character" w:customStyle="1" w:styleId="BalloonTextChar">
    <w:name w:val="Balloon Text Char"/>
    <w:basedOn w:val="DefaultParagraphFont"/>
    <w:link w:val="BalloonText"/>
    <w:uiPriority w:val="99"/>
    <w:semiHidden/>
    <w:rsid w:val="0033282E"/>
    <w:rPr>
      <w:rFonts w:ascii="Tahoma" w:hAnsi="Tahoma" w:cs="Tahoma"/>
      <w:sz w:val="16"/>
      <w:szCs w:val="16"/>
      <w:lang w:val="en-AU"/>
    </w:rPr>
  </w:style>
  <w:style w:type="paragraph" w:styleId="BalloonText">
    <w:name w:val="Balloon Text"/>
    <w:basedOn w:val="Normal"/>
    <w:link w:val="BalloonTextChar"/>
    <w:uiPriority w:val="99"/>
    <w:semiHidden/>
    <w:unhideWhenUsed/>
    <w:rsid w:val="0033282E"/>
    <w:pPr>
      <w:keepLines/>
      <w:jc w:val="both"/>
    </w:pPr>
    <w:rPr>
      <w:rFonts w:ascii="Tahoma" w:hAnsi="Tahoma" w:cs="Tahoma"/>
      <w:sz w:val="16"/>
      <w:szCs w:val="16"/>
    </w:rPr>
  </w:style>
  <w:style w:type="paragraph" w:customStyle="1" w:styleId="TableFootnote">
    <w:name w:val="Table Footnote"/>
    <w:basedOn w:val="Normal"/>
    <w:next w:val="Normal"/>
    <w:rsid w:val="0033282E"/>
    <w:pPr>
      <w:keepNext/>
      <w:keepLines/>
      <w:widowControl w:val="0"/>
      <w:tabs>
        <w:tab w:val="left" w:pos="259"/>
      </w:tabs>
      <w:spacing w:before="20" w:after="20" w:line="220" w:lineRule="atLeast"/>
      <w:ind w:left="259" w:hanging="259"/>
    </w:pPr>
    <w:rPr>
      <w:rFonts w:ascii="Times New Roman" w:hAnsi="Times New Roman"/>
      <w:sz w:val="20"/>
      <w:lang w:val="en-US"/>
    </w:rPr>
  </w:style>
  <w:style w:type="paragraph" w:customStyle="1" w:styleId="table-heading-10">
    <w:name w:val="table-heading-10"/>
    <w:basedOn w:val="Normal"/>
    <w:rsid w:val="0033282E"/>
    <w:pPr>
      <w:spacing w:before="40" w:after="40"/>
    </w:pPr>
    <w:rPr>
      <w:rFonts w:ascii="Times New Roman" w:hAnsi="Times New Roman"/>
      <w:b/>
      <w:sz w:val="20"/>
      <w:szCs w:val="24"/>
      <w:lang w:val="en-US"/>
    </w:rPr>
  </w:style>
  <w:style w:type="paragraph" w:customStyle="1" w:styleId="table-body-10">
    <w:name w:val="table-body-10"/>
    <w:basedOn w:val="Normal"/>
    <w:rsid w:val="0033282E"/>
    <w:pPr>
      <w:spacing w:before="40" w:after="40"/>
    </w:pPr>
    <w:rPr>
      <w:rFonts w:ascii="Times New Roman" w:hAnsi="Times New Roman"/>
      <w:sz w:val="20"/>
      <w:szCs w:val="24"/>
      <w:lang w:val="en-US"/>
    </w:rPr>
  </w:style>
  <w:style w:type="paragraph" w:styleId="ListParagraph">
    <w:name w:val="List Paragraph"/>
    <w:basedOn w:val="Normal"/>
    <w:uiPriority w:val="34"/>
    <w:qFormat/>
    <w:rsid w:val="0033282E"/>
    <w:pPr>
      <w:keepLines/>
      <w:ind w:left="720"/>
      <w:contextualSpacing/>
      <w:jc w:val="both"/>
    </w:pPr>
    <w:rPr>
      <w:sz w:val="21"/>
    </w:rPr>
  </w:style>
  <w:style w:type="paragraph" w:customStyle="1" w:styleId="ParagraphCharChar1">
    <w:name w:val="Paragraph Char Char1"/>
    <w:uiPriority w:val="99"/>
    <w:rsid w:val="0033282E"/>
    <w:pPr>
      <w:numPr>
        <w:ilvl w:val="12"/>
      </w:numPr>
      <w:suppressAutoHyphens/>
      <w:spacing w:after="120" w:line="260" w:lineRule="exact"/>
    </w:pPr>
    <w:rPr>
      <w:sz w:val="22"/>
      <w:szCs w:val="24"/>
    </w:rPr>
  </w:style>
  <w:style w:type="paragraph" w:customStyle="1" w:styleId="CM1">
    <w:name w:val="CM1"/>
    <w:basedOn w:val="Normal"/>
    <w:next w:val="Normal"/>
    <w:uiPriority w:val="99"/>
    <w:rsid w:val="008235EC"/>
    <w:pPr>
      <w:autoSpaceDE w:val="0"/>
      <w:autoSpaceDN w:val="0"/>
      <w:adjustRightInd w:val="0"/>
      <w:spacing w:line="196" w:lineRule="atLeast"/>
    </w:pPr>
    <w:rPr>
      <w:rFonts w:ascii="Times New Roman" w:hAnsi="Times New Roman"/>
      <w:szCs w:val="24"/>
      <w:lang w:val="en-US"/>
    </w:rPr>
  </w:style>
  <w:style w:type="paragraph" w:customStyle="1" w:styleId="Default">
    <w:name w:val="Default"/>
    <w:rsid w:val="008235EC"/>
    <w:pPr>
      <w:autoSpaceDE w:val="0"/>
      <w:autoSpaceDN w:val="0"/>
      <w:adjustRightInd w:val="0"/>
    </w:pPr>
    <w:rPr>
      <w:color w:val="000000"/>
      <w:sz w:val="24"/>
      <w:szCs w:val="24"/>
    </w:rPr>
  </w:style>
  <w:style w:type="paragraph" w:customStyle="1" w:styleId="CM35">
    <w:name w:val="CM35"/>
    <w:basedOn w:val="Default"/>
    <w:next w:val="Default"/>
    <w:uiPriority w:val="99"/>
    <w:rsid w:val="008235EC"/>
    <w:rPr>
      <w:color w:val="auto"/>
    </w:rPr>
  </w:style>
  <w:style w:type="paragraph" w:customStyle="1" w:styleId="CM34">
    <w:name w:val="CM34"/>
    <w:basedOn w:val="Default"/>
    <w:next w:val="Default"/>
    <w:uiPriority w:val="99"/>
    <w:rsid w:val="008235EC"/>
    <w:rPr>
      <w:color w:val="auto"/>
    </w:rPr>
  </w:style>
  <w:style w:type="table" w:styleId="TableGrid">
    <w:name w:val="Table Grid"/>
    <w:basedOn w:val="TableNormal"/>
    <w:uiPriority w:val="59"/>
    <w:rsid w:val="00D759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semiHidden/>
    <w:unhideWhenUsed/>
    <w:rsid w:val="005D067E"/>
    <w:rPr>
      <w:vertAlign w:val="superscript"/>
    </w:rPr>
  </w:style>
  <w:style w:type="paragraph" w:styleId="Revision">
    <w:name w:val="Revision"/>
    <w:hidden/>
    <w:uiPriority w:val="99"/>
    <w:semiHidden/>
    <w:rsid w:val="00C45E09"/>
    <w:rPr>
      <w:rFonts w:ascii="Arial" w:hAnsi="Arial"/>
      <w:sz w:val="24"/>
      <w:lang w:val="en-AU"/>
    </w:rPr>
  </w:style>
  <w:style w:type="numbering" w:customStyle="1" w:styleId="Heading1Char">
    <w:name w:val="ListBullets"/>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342260">
      <w:bodyDiv w:val="1"/>
      <w:marLeft w:val="0"/>
      <w:marRight w:val="0"/>
      <w:marTop w:val="0"/>
      <w:marBottom w:val="0"/>
      <w:divBdr>
        <w:top w:val="none" w:sz="0" w:space="0" w:color="auto"/>
        <w:left w:val="none" w:sz="0" w:space="0" w:color="auto"/>
        <w:bottom w:val="none" w:sz="0" w:space="0" w:color="auto"/>
        <w:right w:val="none" w:sz="0" w:space="0" w:color="auto"/>
      </w:divBdr>
    </w:div>
    <w:div w:id="1279727026">
      <w:bodyDiv w:val="1"/>
      <w:marLeft w:val="0"/>
      <w:marRight w:val="0"/>
      <w:marTop w:val="0"/>
      <w:marBottom w:val="0"/>
      <w:divBdr>
        <w:top w:val="none" w:sz="0" w:space="0" w:color="auto"/>
        <w:left w:val="none" w:sz="0" w:space="0" w:color="auto"/>
        <w:bottom w:val="none" w:sz="0" w:space="0" w:color="auto"/>
        <w:right w:val="none" w:sz="0" w:space="0" w:color="auto"/>
      </w:divBdr>
    </w:div>
    <w:div w:id="1366373323">
      <w:bodyDiv w:val="1"/>
      <w:marLeft w:val="0"/>
      <w:marRight w:val="0"/>
      <w:marTop w:val="0"/>
      <w:marBottom w:val="0"/>
      <w:divBdr>
        <w:top w:val="none" w:sz="0" w:space="0" w:color="auto"/>
        <w:left w:val="none" w:sz="0" w:space="0" w:color="auto"/>
        <w:bottom w:val="none" w:sz="0" w:space="0" w:color="auto"/>
        <w:right w:val="none" w:sz="0" w:space="0" w:color="auto"/>
      </w:divBdr>
    </w:div>
    <w:div w:id="199205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93251-0663-4D62-908D-2914F60A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7855</Words>
  <Characters>44909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AusPAR Attachment 1. Product Information for Bendamustine</vt:lpstr>
    </vt:vector>
  </TitlesOfParts>
  <Company>Janssen-Cilag Pty Ltd</Company>
  <LinksUpToDate>false</LinksUpToDate>
  <CharactersWithSpaces>52659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Bendamustine</dc:title>
  <dc:subject>prescription medicine regulation</dc:subject>
  <dc:creator>Janssen-Cilag Pty Ltd</dc:creator>
  <cp:keywords>product, information, prescription, medicine, regulation, bendamustine, ribomustin</cp:keywords>
  <cp:lastModifiedBy>Dixon, Jenna</cp:lastModifiedBy>
  <cp:revision>7</cp:revision>
  <cp:lastPrinted>2014-05-14T03:29:00Z</cp:lastPrinted>
  <dcterms:created xsi:type="dcterms:W3CDTF">2015-01-04T23:10:00Z</dcterms:created>
  <dcterms:modified xsi:type="dcterms:W3CDTF">2015-02-04T22:30:00Z</dcterms:modified>
</cp:coreProperties>
</file>