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9F81D98" w14:textId="77777777" w:rsidTr="00BF1190">
        <w:trPr>
          <w:trHeight w:val="1863"/>
        </w:trPr>
        <w:tc>
          <w:tcPr>
            <w:tcW w:w="3652" w:type="dxa"/>
            <w:tcBorders>
              <w:top w:val="nil"/>
              <w:left w:val="nil"/>
              <w:bottom w:val="nil"/>
              <w:right w:val="nil"/>
            </w:tcBorders>
          </w:tcPr>
          <w:p w14:paraId="1B7B083F" w14:textId="6956B481" w:rsidR="008E7846" w:rsidRPr="00096AA7" w:rsidRDefault="00645D29" w:rsidP="00096AA7">
            <w:pPr>
              <w:rPr>
                <w:rFonts w:ascii="Arial" w:hAnsi="Arial" w:cs="Arial"/>
                <w:b/>
                <w:color w:val="002C47"/>
                <w:sz w:val="36"/>
                <w:szCs w:val="36"/>
              </w:rPr>
            </w:pPr>
            <w:r>
              <w:rPr>
                <w:rFonts w:ascii="Arial" w:hAnsi="Arial" w:cs="Arial"/>
                <w:b/>
                <w:color w:val="002C47"/>
                <w:sz w:val="36"/>
                <w:szCs w:val="36"/>
              </w:rPr>
              <w:t xml:space="preserve">May </w:t>
            </w:r>
            <w:r w:rsidR="001D03F9">
              <w:rPr>
                <w:rFonts w:ascii="Arial" w:hAnsi="Arial" w:cs="Arial"/>
                <w:b/>
                <w:color w:val="002C47"/>
                <w:sz w:val="36"/>
                <w:szCs w:val="36"/>
              </w:rPr>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85D0DBF" w14:textId="77777777" w:rsidTr="0032583B">
        <w:trPr>
          <w:trHeight w:val="868"/>
        </w:trPr>
        <w:tc>
          <w:tcPr>
            <w:tcW w:w="9079" w:type="dxa"/>
          </w:tcPr>
          <w:p w14:paraId="1E943FB7" w14:textId="41796559" w:rsidR="0032583B" w:rsidRPr="00A964D1" w:rsidRDefault="0032583B" w:rsidP="00460036">
            <w:pPr>
              <w:pStyle w:val="Title"/>
              <w:rPr>
                <w:color w:val="FFFFFF" w:themeColor="background1"/>
              </w:rPr>
            </w:pPr>
            <w:r w:rsidRPr="00A964D1">
              <w:rPr>
                <w:color w:val="FFFFFF" w:themeColor="background1"/>
              </w:rPr>
              <w:t xml:space="preserve">Australian Public Assessment Report for </w:t>
            </w:r>
            <w:proofErr w:type="spellStart"/>
            <w:r w:rsidR="001D03F9">
              <w:rPr>
                <w:color w:val="FFFFFF" w:themeColor="background1"/>
              </w:rPr>
              <w:t>b</w:t>
            </w:r>
            <w:r w:rsidR="001D03F9" w:rsidRPr="001D03F9">
              <w:rPr>
                <w:color w:val="FFFFFF" w:themeColor="background1"/>
              </w:rPr>
              <w:t>elumosudil</w:t>
            </w:r>
            <w:proofErr w:type="spellEnd"/>
          </w:p>
        </w:tc>
      </w:tr>
      <w:tr w:rsidR="0032583B" w:rsidRPr="00B64760" w14:paraId="4771507E" w14:textId="77777777" w:rsidTr="0032583B">
        <w:tc>
          <w:tcPr>
            <w:tcW w:w="9079" w:type="dxa"/>
          </w:tcPr>
          <w:p w14:paraId="64E5300D" w14:textId="17BDAFDC" w:rsidR="0032583B" w:rsidRPr="008E7846" w:rsidRDefault="0032583B" w:rsidP="00460036">
            <w:pPr>
              <w:pStyle w:val="Subtitle"/>
              <w:rPr>
                <w:color w:val="FFFFFF" w:themeColor="background1"/>
              </w:rPr>
            </w:pPr>
            <w:r w:rsidRPr="008E7846">
              <w:rPr>
                <w:color w:val="FFFFFF" w:themeColor="background1"/>
              </w:rPr>
              <w:t xml:space="preserve">Proprietary Product Name: </w:t>
            </w:r>
            <w:proofErr w:type="spellStart"/>
            <w:r w:rsidR="001D03F9">
              <w:rPr>
                <w:color w:val="FFFFFF" w:themeColor="background1"/>
              </w:rPr>
              <w:t>Rholistiq</w:t>
            </w:r>
            <w:proofErr w:type="spellEnd"/>
          </w:p>
        </w:tc>
      </w:tr>
      <w:tr w:rsidR="0032583B" w:rsidRPr="00B64760" w14:paraId="1C0D70DB" w14:textId="77777777" w:rsidTr="0032583B">
        <w:trPr>
          <w:trHeight w:val="486"/>
        </w:trPr>
        <w:tc>
          <w:tcPr>
            <w:tcW w:w="9079" w:type="dxa"/>
          </w:tcPr>
          <w:p w14:paraId="6129CF95" w14:textId="6FDB041C" w:rsidR="0032583B" w:rsidRPr="008E7846" w:rsidRDefault="00460036" w:rsidP="0032583B">
            <w:pPr>
              <w:pStyle w:val="Subtitle"/>
              <w:rPr>
                <w:color w:val="FFFFFF" w:themeColor="background1"/>
              </w:rPr>
            </w:pPr>
            <w:r>
              <w:rPr>
                <w:color w:val="FFFFFF" w:themeColor="background1"/>
              </w:rPr>
              <w:t xml:space="preserve">Sponsor: </w:t>
            </w:r>
            <w:proofErr w:type="spellStart"/>
            <w:r w:rsidR="001D03F9" w:rsidRPr="001D03F9">
              <w:rPr>
                <w:color w:val="FFFFFF" w:themeColor="background1"/>
              </w:rPr>
              <w:t>Kadmon</w:t>
            </w:r>
            <w:proofErr w:type="spellEnd"/>
            <w:r w:rsidR="001D03F9" w:rsidRPr="001D03F9">
              <w:rPr>
                <w:color w:val="FFFFFF" w:themeColor="background1"/>
              </w:rPr>
              <w:t xml:space="preserve"> Oceania Pty Ltd</w:t>
            </w:r>
          </w:p>
        </w:tc>
      </w:tr>
    </w:tbl>
    <w:p w14:paraId="4AAF4059" w14:textId="77777777" w:rsidR="008E7846" w:rsidRPr="0085156D" w:rsidRDefault="008E7846" w:rsidP="0085156D">
      <w:r w:rsidRPr="0085156D">
        <w:br w:type="page"/>
      </w:r>
    </w:p>
    <w:p w14:paraId="4044786A" w14:textId="77777777" w:rsidR="008E7846" w:rsidRPr="001F6CBA" w:rsidRDefault="008E7846" w:rsidP="008E7846">
      <w:pPr>
        <w:pStyle w:val="NonTOCHeading2"/>
      </w:pPr>
      <w:r w:rsidRPr="001F6CBA">
        <w:lastRenderedPageBreak/>
        <w:t>About the Therapeutic Goods Administration (TGA)</w:t>
      </w:r>
    </w:p>
    <w:p w14:paraId="1DCC4B6F"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1769B65"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7E3442C3"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35F22136"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24F0DD86" w14:textId="6565E4B8"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476F2D67" w14:textId="77777777" w:rsidR="008E7846" w:rsidRDefault="008E7846" w:rsidP="00875A6B">
      <w:pPr>
        <w:pStyle w:val="NonTOCHeading2"/>
      </w:pPr>
      <w:r>
        <w:t xml:space="preserve">About </w:t>
      </w:r>
      <w:proofErr w:type="spellStart"/>
      <w:r>
        <w:t>AusPARs</w:t>
      </w:r>
      <w:proofErr w:type="spellEnd"/>
    </w:p>
    <w:p w14:paraId="0F2DAC73" w14:textId="77777777" w:rsidR="008E7846"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663D7E0F"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6019EDD3"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w:t>
      </w:r>
      <w:proofErr w:type="gramStart"/>
      <w:r>
        <w:t>variations</w:t>
      </w:r>
      <w:proofErr w:type="gramEnd"/>
      <w:r>
        <w:t xml:space="preserve"> and extensions of indications.</w:t>
      </w:r>
    </w:p>
    <w:p w14:paraId="5DC59277"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7F90BEC3" w14:textId="77777777"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6EF32F61" w14:textId="77777777" w:rsidR="00924482" w:rsidRPr="00DF1D7F" w:rsidRDefault="00924482" w:rsidP="00F54B65">
      <w:pPr>
        <w:pStyle w:val="LegalSubheading"/>
        <w:spacing w:before="3120"/>
      </w:pPr>
      <w:r w:rsidRPr="00DF1D7F">
        <w:t>Copyright</w:t>
      </w:r>
    </w:p>
    <w:p w14:paraId="026D95DA" w14:textId="11045B36"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C405C6">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proofErr w:type="gramStart"/>
      <w:r w:rsidRPr="00191B3B">
        <w:rPr>
          <w:rFonts w:cs="Arial"/>
          <w:lang w:val="en-GB"/>
        </w:rPr>
        <w:t>reserved</w:t>
      </w:r>
      <w:proofErr w:type="gramEnd"/>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411A782E"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F814818" w14:textId="77777777" w:rsidR="0089635C" w:rsidRPr="0089635C" w:rsidRDefault="0089635C" w:rsidP="0010788A">
          <w:pPr>
            <w:pStyle w:val="Contents"/>
          </w:pPr>
          <w:r w:rsidRPr="0010788A">
            <w:t>Contents</w:t>
          </w:r>
        </w:p>
        <w:p w14:paraId="261BA60F" w14:textId="337C5232" w:rsidR="00C85F74"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02638216" w:history="1">
            <w:r w:rsidR="00C85F74" w:rsidRPr="00012ADC">
              <w:rPr>
                <w:rStyle w:val="Hyperlink"/>
                <w:noProof/>
              </w:rPr>
              <w:t>List of abbreviations</w:t>
            </w:r>
            <w:r w:rsidR="00C85F74">
              <w:rPr>
                <w:noProof/>
                <w:webHidden/>
              </w:rPr>
              <w:tab/>
            </w:r>
            <w:r w:rsidR="00C85F74">
              <w:rPr>
                <w:noProof/>
                <w:webHidden/>
              </w:rPr>
              <w:fldChar w:fldCharType="begin"/>
            </w:r>
            <w:r w:rsidR="00C85F74">
              <w:rPr>
                <w:noProof/>
                <w:webHidden/>
              </w:rPr>
              <w:instrText xml:space="preserve"> PAGEREF _Toc102638216 \h </w:instrText>
            </w:r>
            <w:r w:rsidR="00C85F74">
              <w:rPr>
                <w:noProof/>
                <w:webHidden/>
              </w:rPr>
            </w:r>
            <w:r w:rsidR="00C85F74">
              <w:rPr>
                <w:noProof/>
                <w:webHidden/>
              </w:rPr>
              <w:fldChar w:fldCharType="separate"/>
            </w:r>
            <w:r w:rsidR="004C5EAC">
              <w:rPr>
                <w:noProof/>
                <w:webHidden/>
              </w:rPr>
              <w:t>4</w:t>
            </w:r>
            <w:r w:rsidR="00C85F74">
              <w:rPr>
                <w:noProof/>
                <w:webHidden/>
              </w:rPr>
              <w:fldChar w:fldCharType="end"/>
            </w:r>
          </w:hyperlink>
        </w:p>
        <w:p w14:paraId="0DBE5336" w14:textId="27C382E6" w:rsidR="00C85F74" w:rsidRDefault="004C5EAC">
          <w:pPr>
            <w:pStyle w:val="TOC1"/>
            <w:rPr>
              <w:rFonts w:asciiTheme="minorHAnsi" w:eastAsiaTheme="minorEastAsia" w:hAnsiTheme="minorHAnsi" w:cstheme="minorBidi"/>
              <w:b w:val="0"/>
              <w:noProof/>
              <w:sz w:val="22"/>
              <w:lang w:eastAsia="en-AU"/>
            </w:rPr>
          </w:pPr>
          <w:hyperlink w:anchor="_Toc102638217" w:history="1">
            <w:r w:rsidR="00C85F74" w:rsidRPr="00012ADC">
              <w:rPr>
                <w:rStyle w:val="Hyperlink"/>
                <w:noProof/>
              </w:rPr>
              <w:t>I. Introduction to product submission</w:t>
            </w:r>
            <w:r w:rsidR="00C85F74">
              <w:rPr>
                <w:noProof/>
                <w:webHidden/>
              </w:rPr>
              <w:tab/>
            </w:r>
            <w:r w:rsidR="00C85F74">
              <w:rPr>
                <w:noProof/>
                <w:webHidden/>
              </w:rPr>
              <w:fldChar w:fldCharType="begin"/>
            </w:r>
            <w:r w:rsidR="00C85F74">
              <w:rPr>
                <w:noProof/>
                <w:webHidden/>
              </w:rPr>
              <w:instrText xml:space="preserve"> PAGEREF _Toc102638217 \h </w:instrText>
            </w:r>
            <w:r w:rsidR="00C85F74">
              <w:rPr>
                <w:noProof/>
                <w:webHidden/>
              </w:rPr>
            </w:r>
            <w:r w:rsidR="00C85F74">
              <w:rPr>
                <w:noProof/>
                <w:webHidden/>
              </w:rPr>
              <w:fldChar w:fldCharType="separate"/>
            </w:r>
            <w:r>
              <w:rPr>
                <w:noProof/>
                <w:webHidden/>
              </w:rPr>
              <w:t>7</w:t>
            </w:r>
            <w:r w:rsidR="00C85F74">
              <w:rPr>
                <w:noProof/>
                <w:webHidden/>
              </w:rPr>
              <w:fldChar w:fldCharType="end"/>
            </w:r>
          </w:hyperlink>
        </w:p>
        <w:p w14:paraId="598AF636" w14:textId="0CE67D9C" w:rsidR="00C85F74" w:rsidRDefault="004C5EAC">
          <w:pPr>
            <w:pStyle w:val="TOC2"/>
            <w:rPr>
              <w:rFonts w:asciiTheme="minorHAnsi" w:eastAsiaTheme="minorEastAsia" w:hAnsiTheme="minorHAnsi" w:cstheme="minorBidi"/>
              <w:b w:val="0"/>
              <w:noProof/>
              <w:sz w:val="22"/>
              <w:lang w:eastAsia="en-AU"/>
            </w:rPr>
          </w:pPr>
          <w:hyperlink w:anchor="_Toc102638218" w:history="1">
            <w:r w:rsidR="00C85F74" w:rsidRPr="00012ADC">
              <w:rPr>
                <w:rStyle w:val="Hyperlink"/>
                <w:noProof/>
                <w:lang w:eastAsia="en-AU"/>
              </w:rPr>
              <w:t>Submission details</w:t>
            </w:r>
            <w:r w:rsidR="00C85F74">
              <w:rPr>
                <w:noProof/>
                <w:webHidden/>
              </w:rPr>
              <w:tab/>
            </w:r>
            <w:r w:rsidR="00C85F74">
              <w:rPr>
                <w:noProof/>
                <w:webHidden/>
              </w:rPr>
              <w:fldChar w:fldCharType="begin"/>
            </w:r>
            <w:r w:rsidR="00C85F74">
              <w:rPr>
                <w:noProof/>
                <w:webHidden/>
              </w:rPr>
              <w:instrText xml:space="preserve"> PAGEREF _Toc102638218 \h </w:instrText>
            </w:r>
            <w:r w:rsidR="00C85F74">
              <w:rPr>
                <w:noProof/>
                <w:webHidden/>
              </w:rPr>
            </w:r>
            <w:r w:rsidR="00C85F74">
              <w:rPr>
                <w:noProof/>
                <w:webHidden/>
              </w:rPr>
              <w:fldChar w:fldCharType="separate"/>
            </w:r>
            <w:r>
              <w:rPr>
                <w:noProof/>
                <w:webHidden/>
              </w:rPr>
              <w:t>7</w:t>
            </w:r>
            <w:r w:rsidR="00C85F74">
              <w:rPr>
                <w:noProof/>
                <w:webHidden/>
              </w:rPr>
              <w:fldChar w:fldCharType="end"/>
            </w:r>
          </w:hyperlink>
        </w:p>
        <w:p w14:paraId="43146D47" w14:textId="1702F3DA" w:rsidR="00C85F74" w:rsidRDefault="004C5EAC">
          <w:pPr>
            <w:pStyle w:val="TOC2"/>
            <w:rPr>
              <w:rFonts w:asciiTheme="minorHAnsi" w:eastAsiaTheme="minorEastAsia" w:hAnsiTheme="minorHAnsi" w:cstheme="minorBidi"/>
              <w:b w:val="0"/>
              <w:noProof/>
              <w:sz w:val="22"/>
              <w:lang w:eastAsia="en-AU"/>
            </w:rPr>
          </w:pPr>
          <w:hyperlink w:anchor="_Toc102638219" w:history="1">
            <w:r w:rsidR="00C85F74" w:rsidRPr="00012ADC">
              <w:rPr>
                <w:rStyle w:val="Hyperlink"/>
                <w:noProof/>
              </w:rPr>
              <w:t>Product background</w:t>
            </w:r>
            <w:r w:rsidR="00C85F74">
              <w:rPr>
                <w:noProof/>
                <w:webHidden/>
              </w:rPr>
              <w:tab/>
            </w:r>
            <w:r w:rsidR="00C85F74">
              <w:rPr>
                <w:noProof/>
                <w:webHidden/>
              </w:rPr>
              <w:fldChar w:fldCharType="begin"/>
            </w:r>
            <w:r w:rsidR="00C85F74">
              <w:rPr>
                <w:noProof/>
                <w:webHidden/>
              </w:rPr>
              <w:instrText xml:space="preserve"> PAGEREF _Toc102638219 \h </w:instrText>
            </w:r>
            <w:r w:rsidR="00C85F74">
              <w:rPr>
                <w:noProof/>
                <w:webHidden/>
              </w:rPr>
            </w:r>
            <w:r w:rsidR="00C85F74">
              <w:rPr>
                <w:noProof/>
                <w:webHidden/>
              </w:rPr>
              <w:fldChar w:fldCharType="separate"/>
            </w:r>
            <w:r>
              <w:rPr>
                <w:noProof/>
                <w:webHidden/>
              </w:rPr>
              <w:t>8</w:t>
            </w:r>
            <w:r w:rsidR="00C85F74">
              <w:rPr>
                <w:noProof/>
                <w:webHidden/>
              </w:rPr>
              <w:fldChar w:fldCharType="end"/>
            </w:r>
          </w:hyperlink>
        </w:p>
        <w:p w14:paraId="01B119B5" w14:textId="5132FFD7" w:rsidR="00C85F74" w:rsidRDefault="004C5EAC">
          <w:pPr>
            <w:pStyle w:val="TOC2"/>
            <w:rPr>
              <w:rFonts w:asciiTheme="minorHAnsi" w:eastAsiaTheme="minorEastAsia" w:hAnsiTheme="minorHAnsi" w:cstheme="minorBidi"/>
              <w:b w:val="0"/>
              <w:noProof/>
              <w:sz w:val="22"/>
              <w:lang w:eastAsia="en-AU"/>
            </w:rPr>
          </w:pPr>
          <w:hyperlink w:anchor="_Toc102638220" w:history="1">
            <w:r w:rsidR="00C85F74" w:rsidRPr="00012ADC">
              <w:rPr>
                <w:rStyle w:val="Hyperlink"/>
                <w:noProof/>
              </w:rPr>
              <w:t>Regulatory status</w:t>
            </w:r>
            <w:r w:rsidR="00C85F74">
              <w:rPr>
                <w:noProof/>
                <w:webHidden/>
              </w:rPr>
              <w:tab/>
            </w:r>
            <w:r w:rsidR="00C85F74">
              <w:rPr>
                <w:noProof/>
                <w:webHidden/>
              </w:rPr>
              <w:fldChar w:fldCharType="begin"/>
            </w:r>
            <w:r w:rsidR="00C85F74">
              <w:rPr>
                <w:noProof/>
                <w:webHidden/>
              </w:rPr>
              <w:instrText xml:space="preserve"> PAGEREF _Toc102638220 \h </w:instrText>
            </w:r>
            <w:r w:rsidR="00C85F74">
              <w:rPr>
                <w:noProof/>
                <w:webHidden/>
              </w:rPr>
            </w:r>
            <w:r w:rsidR="00C85F74">
              <w:rPr>
                <w:noProof/>
                <w:webHidden/>
              </w:rPr>
              <w:fldChar w:fldCharType="separate"/>
            </w:r>
            <w:r>
              <w:rPr>
                <w:noProof/>
                <w:webHidden/>
              </w:rPr>
              <w:t>9</w:t>
            </w:r>
            <w:r w:rsidR="00C85F74">
              <w:rPr>
                <w:noProof/>
                <w:webHidden/>
              </w:rPr>
              <w:fldChar w:fldCharType="end"/>
            </w:r>
          </w:hyperlink>
        </w:p>
        <w:p w14:paraId="0233F13A" w14:textId="068AE274" w:rsidR="00C85F74" w:rsidRDefault="004C5EAC">
          <w:pPr>
            <w:pStyle w:val="TOC2"/>
            <w:rPr>
              <w:rFonts w:asciiTheme="minorHAnsi" w:eastAsiaTheme="minorEastAsia" w:hAnsiTheme="minorHAnsi" w:cstheme="minorBidi"/>
              <w:b w:val="0"/>
              <w:noProof/>
              <w:sz w:val="22"/>
              <w:lang w:eastAsia="en-AU"/>
            </w:rPr>
          </w:pPr>
          <w:hyperlink w:anchor="_Toc102638221" w:history="1">
            <w:r w:rsidR="00C85F74" w:rsidRPr="00012ADC">
              <w:rPr>
                <w:rStyle w:val="Hyperlink"/>
                <w:noProof/>
              </w:rPr>
              <w:t>Product Information</w:t>
            </w:r>
            <w:r w:rsidR="00C85F74">
              <w:rPr>
                <w:noProof/>
                <w:webHidden/>
              </w:rPr>
              <w:tab/>
            </w:r>
            <w:r w:rsidR="00C85F74">
              <w:rPr>
                <w:noProof/>
                <w:webHidden/>
              </w:rPr>
              <w:fldChar w:fldCharType="begin"/>
            </w:r>
            <w:r w:rsidR="00C85F74">
              <w:rPr>
                <w:noProof/>
                <w:webHidden/>
              </w:rPr>
              <w:instrText xml:space="preserve"> PAGEREF _Toc102638221 \h </w:instrText>
            </w:r>
            <w:r w:rsidR="00C85F74">
              <w:rPr>
                <w:noProof/>
                <w:webHidden/>
              </w:rPr>
            </w:r>
            <w:r w:rsidR="00C85F74">
              <w:rPr>
                <w:noProof/>
                <w:webHidden/>
              </w:rPr>
              <w:fldChar w:fldCharType="separate"/>
            </w:r>
            <w:r>
              <w:rPr>
                <w:noProof/>
                <w:webHidden/>
              </w:rPr>
              <w:t>10</w:t>
            </w:r>
            <w:r w:rsidR="00C85F74">
              <w:rPr>
                <w:noProof/>
                <w:webHidden/>
              </w:rPr>
              <w:fldChar w:fldCharType="end"/>
            </w:r>
          </w:hyperlink>
        </w:p>
        <w:p w14:paraId="1DB9E197" w14:textId="70A4B0B1" w:rsidR="00C85F74" w:rsidRDefault="004C5EAC">
          <w:pPr>
            <w:pStyle w:val="TOC1"/>
            <w:rPr>
              <w:rFonts w:asciiTheme="minorHAnsi" w:eastAsiaTheme="minorEastAsia" w:hAnsiTheme="minorHAnsi" w:cstheme="minorBidi"/>
              <w:b w:val="0"/>
              <w:noProof/>
              <w:sz w:val="22"/>
              <w:lang w:eastAsia="en-AU"/>
            </w:rPr>
          </w:pPr>
          <w:hyperlink w:anchor="_Toc102638222" w:history="1">
            <w:r w:rsidR="00C85F74" w:rsidRPr="00012ADC">
              <w:rPr>
                <w:rStyle w:val="Hyperlink"/>
                <w:noProof/>
              </w:rPr>
              <w:t>II. Registration timeline</w:t>
            </w:r>
            <w:r w:rsidR="00C85F74">
              <w:rPr>
                <w:noProof/>
                <w:webHidden/>
              </w:rPr>
              <w:tab/>
            </w:r>
            <w:r w:rsidR="00C85F74">
              <w:rPr>
                <w:noProof/>
                <w:webHidden/>
              </w:rPr>
              <w:fldChar w:fldCharType="begin"/>
            </w:r>
            <w:r w:rsidR="00C85F74">
              <w:rPr>
                <w:noProof/>
                <w:webHidden/>
              </w:rPr>
              <w:instrText xml:space="preserve"> PAGEREF _Toc102638222 \h </w:instrText>
            </w:r>
            <w:r w:rsidR="00C85F74">
              <w:rPr>
                <w:noProof/>
                <w:webHidden/>
              </w:rPr>
            </w:r>
            <w:r w:rsidR="00C85F74">
              <w:rPr>
                <w:noProof/>
                <w:webHidden/>
              </w:rPr>
              <w:fldChar w:fldCharType="separate"/>
            </w:r>
            <w:r>
              <w:rPr>
                <w:noProof/>
                <w:webHidden/>
              </w:rPr>
              <w:t>10</w:t>
            </w:r>
            <w:r w:rsidR="00C85F74">
              <w:rPr>
                <w:noProof/>
                <w:webHidden/>
              </w:rPr>
              <w:fldChar w:fldCharType="end"/>
            </w:r>
          </w:hyperlink>
        </w:p>
        <w:p w14:paraId="7F102C13" w14:textId="49E11DE1" w:rsidR="00C85F74" w:rsidRDefault="004C5EAC">
          <w:pPr>
            <w:pStyle w:val="TOC1"/>
            <w:rPr>
              <w:rFonts w:asciiTheme="minorHAnsi" w:eastAsiaTheme="minorEastAsia" w:hAnsiTheme="minorHAnsi" w:cstheme="minorBidi"/>
              <w:b w:val="0"/>
              <w:noProof/>
              <w:sz w:val="22"/>
              <w:lang w:eastAsia="en-AU"/>
            </w:rPr>
          </w:pPr>
          <w:hyperlink w:anchor="_Toc102638223" w:history="1">
            <w:r w:rsidR="00C85F74" w:rsidRPr="00012ADC">
              <w:rPr>
                <w:rStyle w:val="Hyperlink"/>
                <w:noProof/>
              </w:rPr>
              <w:t>III. Submission overview and risk/benefit assessment</w:t>
            </w:r>
            <w:r w:rsidR="00C85F74">
              <w:rPr>
                <w:noProof/>
                <w:webHidden/>
              </w:rPr>
              <w:tab/>
            </w:r>
            <w:r w:rsidR="00C85F74">
              <w:rPr>
                <w:noProof/>
                <w:webHidden/>
              </w:rPr>
              <w:fldChar w:fldCharType="begin"/>
            </w:r>
            <w:r w:rsidR="00C85F74">
              <w:rPr>
                <w:noProof/>
                <w:webHidden/>
              </w:rPr>
              <w:instrText xml:space="preserve"> PAGEREF _Toc102638223 \h </w:instrText>
            </w:r>
            <w:r w:rsidR="00C85F74">
              <w:rPr>
                <w:noProof/>
                <w:webHidden/>
              </w:rPr>
            </w:r>
            <w:r w:rsidR="00C85F74">
              <w:rPr>
                <w:noProof/>
                <w:webHidden/>
              </w:rPr>
              <w:fldChar w:fldCharType="separate"/>
            </w:r>
            <w:r>
              <w:rPr>
                <w:noProof/>
                <w:webHidden/>
              </w:rPr>
              <w:t>11</w:t>
            </w:r>
            <w:r w:rsidR="00C85F74">
              <w:rPr>
                <w:noProof/>
                <w:webHidden/>
              </w:rPr>
              <w:fldChar w:fldCharType="end"/>
            </w:r>
          </w:hyperlink>
        </w:p>
        <w:p w14:paraId="2A77BF61" w14:textId="4184E5C7" w:rsidR="00C85F74" w:rsidRDefault="004C5EAC">
          <w:pPr>
            <w:pStyle w:val="TOC2"/>
            <w:rPr>
              <w:rFonts w:asciiTheme="minorHAnsi" w:eastAsiaTheme="minorEastAsia" w:hAnsiTheme="minorHAnsi" w:cstheme="minorBidi"/>
              <w:b w:val="0"/>
              <w:noProof/>
              <w:sz w:val="22"/>
              <w:lang w:eastAsia="en-AU"/>
            </w:rPr>
          </w:pPr>
          <w:hyperlink w:anchor="_Toc102638224" w:history="1">
            <w:r w:rsidR="00C85F74" w:rsidRPr="00012ADC">
              <w:rPr>
                <w:rStyle w:val="Hyperlink"/>
                <w:noProof/>
              </w:rPr>
              <w:t>Quality</w:t>
            </w:r>
            <w:r w:rsidR="00C85F74">
              <w:rPr>
                <w:noProof/>
                <w:webHidden/>
              </w:rPr>
              <w:tab/>
            </w:r>
            <w:r w:rsidR="00C85F74">
              <w:rPr>
                <w:noProof/>
                <w:webHidden/>
              </w:rPr>
              <w:fldChar w:fldCharType="begin"/>
            </w:r>
            <w:r w:rsidR="00C85F74">
              <w:rPr>
                <w:noProof/>
                <w:webHidden/>
              </w:rPr>
              <w:instrText xml:space="preserve"> PAGEREF _Toc102638224 \h </w:instrText>
            </w:r>
            <w:r w:rsidR="00C85F74">
              <w:rPr>
                <w:noProof/>
                <w:webHidden/>
              </w:rPr>
            </w:r>
            <w:r w:rsidR="00C85F74">
              <w:rPr>
                <w:noProof/>
                <w:webHidden/>
              </w:rPr>
              <w:fldChar w:fldCharType="separate"/>
            </w:r>
            <w:r>
              <w:rPr>
                <w:noProof/>
                <w:webHidden/>
              </w:rPr>
              <w:t>11</w:t>
            </w:r>
            <w:r w:rsidR="00C85F74">
              <w:rPr>
                <w:noProof/>
                <w:webHidden/>
              </w:rPr>
              <w:fldChar w:fldCharType="end"/>
            </w:r>
          </w:hyperlink>
        </w:p>
        <w:p w14:paraId="4EF5A40F" w14:textId="4758030B" w:rsidR="00C85F74" w:rsidRDefault="004C5EAC">
          <w:pPr>
            <w:pStyle w:val="TOC2"/>
            <w:rPr>
              <w:rFonts w:asciiTheme="minorHAnsi" w:eastAsiaTheme="minorEastAsia" w:hAnsiTheme="minorHAnsi" w:cstheme="minorBidi"/>
              <w:b w:val="0"/>
              <w:noProof/>
              <w:sz w:val="22"/>
              <w:lang w:eastAsia="en-AU"/>
            </w:rPr>
          </w:pPr>
          <w:hyperlink w:anchor="_Toc102638225" w:history="1">
            <w:r w:rsidR="00C85F74" w:rsidRPr="00012ADC">
              <w:rPr>
                <w:rStyle w:val="Hyperlink"/>
                <w:noProof/>
              </w:rPr>
              <w:t>Nonclinical</w:t>
            </w:r>
            <w:r w:rsidR="00C85F74">
              <w:rPr>
                <w:noProof/>
                <w:webHidden/>
              </w:rPr>
              <w:tab/>
            </w:r>
            <w:r w:rsidR="00C85F74">
              <w:rPr>
                <w:noProof/>
                <w:webHidden/>
              </w:rPr>
              <w:fldChar w:fldCharType="begin"/>
            </w:r>
            <w:r w:rsidR="00C85F74">
              <w:rPr>
                <w:noProof/>
                <w:webHidden/>
              </w:rPr>
              <w:instrText xml:space="preserve"> PAGEREF _Toc102638225 \h </w:instrText>
            </w:r>
            <w:r w:rsidR="00C85F74">
              <w:rPr>
                <w:noProof/>
                <w:webHidden/>
              </w:rPr>
            </w:r>
            <w:r w:rsidR="00C85F74">
              <w:rPr>
                <w:noProof/>
                <w:webHidden/>
              </w:rPr>
              <w:fldChar w:fldCharType="separate"/>
            </w:r>
            <w:r>
              <w:rPr>
                <w:noProof/>
                <w:webHidden/>
              </w:rPr>
              <w:t>12</w:t>
            </w:r>
            <w:r w:rsidR="00C85F74">
              <w:rPr>
                <w:noProof/>
                <w:webHidden/>
              </w:rPr>
              <w:fldChar w:fldCharType="end"/>
            </w:r>
          </w:hyperlink>
        </w:p>
        <w:p w14:paraId="40A3B9A7" w14:textId="7D25C231" w:rsidR="00C85F74" w:rsidRDefault="004C5EAC">
          <w:pPr>
            <w:pStyle w:val="TOC2"/>
            <w:rPr>
              <w:rFonts w:asciiTheme="minorHAnsi" w:eastAsiaTheme="minorEastAsia" w:hAnsiTheme="minorHAnsi" w:cstheme="minorBidi"/>
              <w:b w:val="0"/>
              <w:noProof/>
              <w:sz w:val="22"/>
              <w:lang w:eastAsia="en-AU"/>
            </w:rPr>
          </w:pPr>
          <w:hyperlink w:anchor="_Toc102638226" w:history="1">
            <w:r w:rsidR="00C85F74" w:rsidRPr="00012ADC">
              <w:rPr>
                <w:rStyle w:val="Hyperlink"/>
                <w:noProof/>
              </w:rPr>
              <w:t>Clinical</w:t>
            </w:r>
            <w:r w:rsidR="00C85F74">
              <w:rPr>
                <w:noProof/>
                <w:webHidden/>
              </w:rPr>
              <w:tab/>
            </w:r>
            <w:r w:rsidR="00C85F74">
              <w:rPr>
                <w:noProof/>
                <w:webHidden/>
              </w:rPr>
              <w:fldChar w:fldCharType="begin"/>
            </w:r>
            <w:r w:rsidR="00C85F74">
              <w:rPr>
                <w:noProof/>
                <w:webHidden/>
              </w:rPr>
              <w:instrText xml:space="preserve"> PAGEREF _Toc102638226 \h </w:instrText>
            </w:r>
            <w:r w:rsidR="00C85F74">
              <w:rPr>
                <w:noProof/>
                <w:webHidden/>
              </w:rPr>
            </w:r>
            <w:r w:rsidR="00C85F74">
              <w:rPr>
                <w:noProof/>
                <w:webHidden/>
              </w:rPr>
              <w:fldChar w:fldCharType="separate"/>
            </w:r>
            <w:r>
              <w:rPr>
                <w:noProof/>
                <w:webHidden/>
              </w:rPr>
              <w:t>13</w:t>
            </w:r>
            <w:r w:rsidR="00C85F74">
              <w:rPr>
                <w:noProof/>
                <w:webHidden/>
              </w:rPr>
              <w:fldChar w:fldCharType="end"/>
            </w:r>
          </w:hyperlink>
        </w:p>
        <w:p w14:paraId="64160C37" w14:textId="7B55DDF7" w:rsidR="00C85F74" w:rsidRDefault="004C5EAC">
          <w:pPr>
            <w:pStyle w:val="TOC2"/>
            <w:rPr>
              <w:rFonts w:asciiTheme="minorHAnsi" w:eastAsiaTheme="minorEastAsia" w:hAnsiTheme="minorHAnsi" w:cstheme="minorBidi"/>
              <w:b w:val="0"/>
              <w:noProof/>
              <w:sz w:val="22"/>
              <w:lang w:eastAsia="en-AU"/>
            </w:rPr>
          </w:pPr>
          <w:hyperlink w:anchor="_Toc102638227" w:history="1">
            <w:r w:rsidR="00C85F74" w:rsidRPr="00012ADC">
              <w:rPr>
                <w:rStyle w:val="Hyperlink"/>
                <w:noProof/>
                <w:lang w:eastAsia="en-AU"/>
              </w:rPr>
              <w:t>Risk management plan</w:t>
            </w:r>
            <w:r w:rsidR="00C85F74">
              <w:rPr>
                <w:noProof/>
                <w:webHidden/>
              </w:rPr>
              <w:tab/>
            </w:r>
            <w:r w:rsidR="00C85F74">
              <w:rPr>
                <w:noProof/>
                <w:webHidden/>
              </w:rPr>
              <w:fldChar w:fldCharType="begin"/>
            </w:r>
            <w:r w:rsidR="00C85F74">
              <w:rPr>
                <w:noProof/>
                <w:webHidden/>
              </w:rPr>
              <w:instrText xml:space="preserve"> PAGEREF _Toc102638227 \h </w:instrText>
            </w:r>
            <w:r w:rsidR="00C85F74">
              <w:rPr>
                <w:noProof/>
                <w:webHidden/>
              </w:rPr>
            </w:r>
            <w:r w:rsidR="00C85F74">
              <w:rPr>
                <w:noProof/>
                <w:webHidden/>
              </w:rPr>
              <w:fldChar w:fldCharType="separate"/>
            </w:r>
            <w:r>
              <w:rPr>
                <w:noProof/>
                <w:webHidden/>
              </w:rPr>
              <w:t>38</w:t>
            </w:r>
            <w:r w:rsidR="00C85F74">
              <w:rPr>
                <w:noProof/>
                <w:webHidden/>
              </w:rPr>
              <w:fldChar w:fldCharType="end"/>
            </w:r>
          </w:hyperlink>
        </w:p>
        <w:p w14:paraId="3CDF7DEF" w14:textId="206B818F" w:rsidR="00C85F74" w:rsidRDefault="004C5EAC">
          <w:pPr>
            <w:pStyle w:val="TOC2"/>
            <w:rPr>
              <w:rFonts w:asciiTheme="minorHAnsi" w:eastAsiaTheme="minorEastAsia" w:hAnsiTheme="minorHAnsi" w:cstheme="minorBidi"/>
              <w:b w:val="0"/>
              <w:noProof/>
              <w:sz w:val="22"/>
              <w:lang w:eastAsia="en-AU"/>
            </w:rPr>
          </w:pPr>
          <w:hyperlink w:anchor="_Toc102638228" w:history="1">
            <w:r w:rsidR="00C85F74" w:rsidRPr="00012ADC">
              <w:rPr>
                <w:rStyle w:val="Hyperlink"/>
                <w:noProof/>
              </w:rPr>
              <w:t>Risk-benefit analysis</w:t>
            </w:r>
            <w:r w:rsidR="00C85F74">
              <w:rPr>
                <w:noProof/>
                <w:webHidden/>
              </w:rPr>
              <w:tab/>
            </w:r>
            <w:r w:rsidR="00C85F74">
              <w:rPr>
                <w:noProof/>
                <w:webHidden/>
              </w:rPr>
              <w:fldChar w:fldCharType="begin"/>
            </w:r>
            <w:r w:rsidR="00C85F74">
              <w:rPr>
                <w:noProof/>
                <w:webHidden/>
              </w:rPr>
              <w:instrText xml:space="preserve"> PAGEREF _Toc102638228 \h </w:instrText>
            </w:r>
            <w:r w:rsidR="00C85F74">
              <w:rPr>
                <w:noProof/>
                <w:webHidden/>
              </w:rPr>
            </w:r>
            <w:r w:rsidR="00C85F74">
              <w:rPr>
                <w:noProof/>
                <w:webHidden/>
              </w:rPr>
              <w:fldChar w:fldCharType="separate"/>
            </w:r>
            <w:r>
              <w:rPr>
                <w:noProof/>
                <w:webHidden/>
              </w:rPr>
              <w:t>41</w:t>
            </w:r>
            <w:r w:rsidR="00C85F74">
              <w:rPr>
                <w:noProof/>
                <w:webHidden/>
              </w:rPr>
              <w:fldChar w:fldCharType="end"/>
            </w:r>
          </w:hyperlink>
        </w:p>
        <w:p w14:paraId="64EF1F80" w14:textId="3B860F37" w:rsidR="00C85F74" w:rsidRDefault="004C5EAC">
          <w:pPr>
            <w:pStyle w:val="TOC2"/>
            <w:rPr>
              <w:rFonts w:asciiTheme="minorHAnsi" w:eastAsiaTheme="minorEastAsia" w:hAnsiTheme="minorHAnsi" w:cstheme="minorBidi"/>
              <w:b w:val="0"/>
              <w:noProof/>
              <w:sz w:val="22"/>
              <w:lang w:eastAsia="en-AU"/>
            </w:rPr>
          </w:pPr>
          <w:hyperlink w:anchor="_Toc102638229" w:history="1">
            <w:r w:rsidR="00C85F74" w:rsidRPr="00012ADC">
              <w:rPr>
                <w:rStyle w:val="Hyperlink"/>
                <w:noProof/>
              </w:rPr>
              <w:t>Outcome</w:t>
            </w:r>
            <w:r w:rsidR="00C85F74">
              <w:rPr>
                <w:noProof/>
                <w:webHidden/>
              </w:rPr>
              <w:tab/>
            </w:r>
            <w:r w:rsidR="00C85F74">
              <w:rPr>
                <w:noProof/>
                <w:webHidden/>
              </w:rPr>
              <w:fldChar w:fldCharType="begin"/>
            </w:r>
            <w:r w:rsidR="00C85F74">
              <w:rPr>
                <w:noProof/>
                <w:webHidden/>
              </w:rPr>
              <w:instrText xml:space="preserve"> PAGEREF _Toc102638229 \h </w:instrText>
            </w:r>
            <w:r w:rsidR="00C85F74">
              <w:rPr>
                <w:noProof/>
                <w:webHidden/>
              </w:rPr>
            </w:r>
            <w:r w:rsidR="00C85F74">
              <w:rPr>
                <w:noProof/>
                <w:webHidden/>
              </w:rPr>
              <w:fldChar w:fldCharType="separate"/>
            </w:r>
            <w:r>
              <w:rPr>
                <w:noProof/>
                <w:webHidden/>
              </w:rPr>
              <w:t>45</w:t>
            </w:r>
            <w:r w:rsidR="00C85F74">
              <w:rPr>
                <w:noProof/>
                <w:webHidden/>
              </w:rPr>
              <w:fldChar w:fldCharType="end"/>
            </w:r>
          </w:hyperlink>
        </w:p>
        <w:p w14:paraId="44985DFF" w14:textId="59C54576" w:rsidR="00C85F74" w:rsidRDefault="004C5EAC">
          <w:pPr>
            <w:pStyle w:val="TOC1"/>
            <w:rPr>
              <w:rFonts w:asciiTheme="minorHAnsi" w:eastAsiaTheme="minorEastAsia" w:hAnsiTheme="minorHAnsi" w:cstheme="minorBidi"/>
              <w:b w:val="0"/>
              <w:noProof/>
              <w:sz w:val="22"/>
              <w:lang w:eastAsia="en-AU"/>
            </w:rPr>
          </w:pPr>
          <w:hyperlink w:anchor="_Toc102638230" w:history="1">
            <w:r w:rsidR="00C85F74" w:rsidRPr="00012ADC">
              <w:rPr>
                <w:rStyle w:val="Hyperlink"/>
                <w:noProof/>
              </w:rPr>
              <w:t>Attachment 1. Product Information</w:t>
            </w:r>
            <w:r w:rsidR="00C85F74">
              <w:rPr>
                <w:noProof/>
                <w:webHidden/>
              </w:rPr>
              <w:tab/>
            </w:r>
            <w:r w:rsidR="00C85F74">
              <w:rPr>
                <w:noProof/>
                <w:webHidden/>
              </w:rPr>
              <w:fldChar w:fldCharType="begin"/>
            </w:r>
            <w:r w:rsidR="00C85F74">
              <w:rPr>
                <w:noProof/>
                <w:webHidden/>
              </w:rPr>
              <w:instrText xml:space="preserve"> PAGEREF _Toc102638230 \h </w:instrText>
            </w:r>
            <w:r w:rsidR="00C85F74">
              <w:rPr>
                <w:noProof/>
                <w:webHidden/>
              </w:rPr>
            </w:r>
            <w:r w:rsidR="00C85F74">
              <w:rPr>
                <w:noProof/>
                <w:webHidden/>
              </w:rPr>
              <w:fldChar w:fldCharType="separate"/>
            </w:r>
            <w:r>
              <w:rPr>
                <w:noProof/>
                <w:webHidden/>
              </w:rPr>
              <w:t>47</w:t>
            </w:r>
            <w:r w:rsidR="00C85F74">
              <w:rPr>
                <w:noProof/>
                <w:webHidden/>
              </w:rPr>
              <w:fldChar w:fldCharType="end"/>
            </w:r>
          </w:hyperlink>
        </w:p>
        <w:p w14:paraId="518A4292" w14:textId="245ADA14" w:rsidR="003A7F6C" w:rsidRPr="00B811C6" w:rsidRDefault="00C525A2" w:rsidP="00B811C6">
          <w:pPr>
            <w:pStyle w:val="TOC2"/>
          </w:pPr>
          <w:r>
            <w:fldChar w:fldCharType="end"/>
          </w:r>
        </w:p>
      </w:sdtContent>
    </w:sdt>
    <w:bookmarkStart w:id="2" w:name="_Toc314842482" w:displacedByCustomXml="prev"/>
    <w:p w14:paraId="4028CDC1" w14:textId="77777777" w:rsidR="00FD119B" w:rsidRDefault="00FD119B">
      <w:pPr>
        <w:spacing w:before="0" w:after="200" w:line="0" w:lineRule="auto"/>
      </w:pPr>
      <w:r>
        <w:br w:type="page"/>
      </w:r>
    </w:p>
    <w:p w14:paraId="1F85023D" w14:textId="56C4A143" w:rsidR="00C52E24" w:rsidRPr="00C52E24" w:rsidRDefault="00324E45" w:rsidP="00195641">
      <w:pPr>
        <w:pStyle w:val="Heading2"/>
      </w:pPr>
      <w:bookmarkStart w:id="3" w:name="_Toc351716269"/>
      <w:bookmarkStart w:id="4" w:name="_Toc351718881"/>
      <w:bookmarkStart w:id="5" w:name="_Toc355338616"/>
      <w:bookmarkStart w:id="6" w:name="_Toc356306144"/>
      <w:bookmarkStart w:id="7" w:name="_Toc102638216"/>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797"/>
        <w:gridCol w:w="6697"/>
      </w:tblGrid>
      <w:tr w:rsidR="00527D3C" w:rsidRPr="00FD119B" w14:paraId="5319599E" w14:textId="77777777" w:rsidTr="00862F11">
        <w:trPr>
          <w:cnfStyle w:val="100000000000" w:firstRow="1" w:lastRow="0" w:firstColumn="0" w:lastColumn="0" w:oddVBand="0" w:evenVBand="0" w:oddHBand="0" w:evenHBand="0" w:firstRowFirstColumn="0" w:firstRowLastColumn="0" w:lastRowFirstColumn="0" w:lastRowLastColumn="0"/>
        </w:trPr>
        <w:tc>
          <w:tcPr>
            <w:tcW w:w="1797" w:type="dxa"/>
            <w:tcBorders>
              <w:top w:val="single" w:sz="4" w:space="0" w:color="auto"/>
              <w:left w:val="single" w:sz="4" w:space="0" w:color="auto"/>
              <w:bottom w:val="single" w:sz="4" w:space="0" w:color="auto"/>
              <w:right w:val="single" w:sz="4" w:space="0" w:color="auto"/>
            </w:tcBorders>
          </w:tcPr>
          <w:p w14:paraId="21E46398" w14:textId="77777777" w:rsidR="00527D3C" w:rsidRPr="00FD119B" w:rsidRDefault="00527D3C" w:rsidP="00C85F74">
            <w:pPr>
              <w:keepNext w:val="0"/>
              <w:ind w:left="144" w:right="0"/>
              <w:rPr>
                <w:szCs w:val="22"/>
                <w:lang w:eastAsia="en-US"/>
              </w:rPr>
            </w:pPr>
            <w:r w:rsidRPr="00FD119B">
              <w:rPr>
                <w:szCs w:val="22"/>
                <w:lang w:eastAsia="en-US"/>
              </w:rPr>
              <w:t>Abbreviation</w:t>
            </w:r>
          </w:p>
        </w:tc>
        <w:tc>
          <w:tcPr>
            <w:tcW w:w="6697" w:type="dxa"/>
            <w:tcBorders>
              <w:top w:val="single" w:sz="4" w:space="0" w:color="auto"/>
              <w:left w:val="single" w:sz="4" w:space="0" w:color="auto"/>
              <w:bottom w:val="single" w:sz="4" w:space="0" w:color="auto"/>
              <w:right w:val="single" w:sz="4" w:space="0" w:color="auto"/>
            </w:tcBorders>
          </w:tcPr>
          <w:p w14:paraId="51CD7BF5" w14:textId="77777777" w:rsidR="00527D3C" w:rsidRPr="00FD119B" w:rsidRDefault="00527D3C" w:rsidP="00C85F74">
            <w:pPr>
              <w:keepNext w:val="0"/>
              <w:ind w:left="144" w:right="0"/>
              <w:rPr>
                <w:szCs w:val="22"/>
                <w:lang w:eastAsia="en-US"/>
              </w:rPr>
            </w:pPr>
            <w:r w:rsidRPr="00FD119B">
              <w:rPr>
                <w:szCs w:val="22"/>
                <w:lang w:eastAsia="en-US"/>
              </w:rPr>
              <w:t>Meaning</w:t>
            </w:r>
          </w:p>
        </w:tc>
      </w:tr>
      <w:tr w:rsidR="00527D3C" w:rsidRPr="00FD119B" w14:paraId="5D200092" w14:textId="77777777" w:rsidTr="00862F11">
        <w:tc>
          <w:tcPr>
            <w:tcW w:w="1797" w:type="dxa"/>
            <w:tcBorders>
              <w:top w:val="single" w:sz="4" w:space="0" w:color="auto"/>
            </w:tcBorders>
          </w:tcPr>
          <w:p w14:paraId="0E8FE6A8" w14:textId="77777777" w:rsidR="00527D3C" w:rsidRPr="00FD119B" w:rsidRDefault="00527D3C" w:rsidP="00C85F74">
            <w:pPr>
              <w:ind w:left="144" w:right="0"/>
            </w:pPr>
            <w:r>
              <w:t>ACM</w:t>
            </w:r>
          </w:p>
        </w:tc>
        <w:tc>
          <w:tcPr>
            <w:tcW w:w="6697" w:type="dxa"/>
            <w:tcBorders>
              <w:top w:val="single" w:sz="4" w:space="0" w:color="auto"/>
            </w:tcBorders>
          </w:tcPr>
          <w:p w14:paraId="41906FDB" w14:textId="77777777" w:rsidR="00527D3C" w:rsidRPr="00FD119B" w:rsidRDefault="00527D3C" w:rsidP="00C85F74">
            <w:pPr>
              <w:ind w:left="144" w:right="0"/>
            </w:pPr>
            <w:r w:rsidRPr="00460036">
              <w:t>Advisory Committee on Medicines</w:t>
            </w:r>
          </w:p>
        </w:tc>
      </w:tr>
      <w:tr w:rsidR="00527D3C" w:rsidRPr="00FD119B" w14:paraId="7C43F978" w14:textId="77777777" w:rsidTr="00862F11">
        <w:tc>
          <w:tcPr>
            <w:tcW w:w="1797" w:type="dxa"/>
          </w:tcPr>
          <w:p w14:paraId="2FC2BCFA" w14:textId="77777777" w:rsidR="00527D3C" w:rsidRDefault="00527D3C" w:rsidP="00C85F74">
            <w:pPr>
              <w:ind w:left="144"/>
            </w:pPr>
            <w:r>
              <w:t>AE</w:t>
            </w:r>
          </w:p>
        </w:tc>
        <w:tc>
          <w:tcPr>
            <w:tcW w:w="6697" w:type="dxa"/>
          </w:tcPr>
          <w:p w14:paraId="5CD897CA" w14:textId="77777777" w:rsidR="00527D3C" w:rsidRDefault="00527D3C" w:rsidP="00C85F74">
            <w:pPr>
              <w:ind w:left="144"/>
            </w:pPr>
            <w:r>
              <w:t>Adverse event</w:t>
            </w:r>
          </w:p>
        </w:tc>
      </w:tr>
      <w:tr w:rsidR="00527D3C" w:rsidRPr="00FD119B" w14:paraId="26FD84B0" w14:textId="77777777" w:rsidTr="00862F11">
        <w:tc>
          <w:tcPr>
            <w:tcW w:w="1797" w:type="dxa"/>
          </w:tcPr>
          <w:p w14:paraId="56C66FAC" w14:textId="77777777" w:rsidR="00527D3C" w:rsidRDefault="00527D3C" w:rsidP="00C85F74">
            <w:pPr>
              <w:ind w:left="144"/>
            </w:pPr>
            <w:r>
              <w:t>ALT</w:t>
            </w:r>
          </w:p>
        </w:tc>
        <w:tc>
          <w:tcPr>
            <w:tcW w:w="6697" w:type="dxa"/>
          </w:tcPr>
          <w:p w14:paraId="15B6F5B9" w14:textId="77777777" w:rsidR="00527D3C" w:rsidRDefault="00527D3C" w:rsidP="00C85F74">
            <w:pPr>
              <w:ind w:left="144"/>
            </w:pPr>
            <w:r>
              <w:t>A</w:t>
            </w:r>
            <w:r w:rsidRPr="00A61079">
              <w:t>lanine aminotransferase</w:t>
            </w:r>
          </w:p>
        </w:tc>
      </w:tr>
      <w:tr w:rsidR="00527D3C" w:rsidRPr="00FD119B" w14:paraId="26924645" w14:textId="77777777" w:rsidTr="00862F11">
        <w:tc>
          <w:tcPr>
            <w:tcW w:w="1797" w:type="dxa"/>
          </w:tcPr>
          <w:p w14:paraId="66D81C8A" w14:textId="77777777" w:rsidR="00527D3C" w:rsidRPr="00FD119B" w:rsidRDefault="00527D3C" w:rsidP="00C85F74">
            <w:pPr>
              <w:ind w:left="144" w:right="0"/>
            </w:pPr>
            <w:r>
              <w:t>ARTG</w:t>
            </w:r>
          </w:p>
        </w:tc>
        <w:tc>
          <w:tcPr>
            <w:tcW w:w="6697" w:type="dxa"/>
          </w:tcPr>
          <w:p w14:paraId="0BCBDAB7" w14:textId="77777777" w:rsidR="00527D3C" w:rsidRPr="00FD119B" w:rsidRDefault="00527D3C" w:rsidP="00C85F74">
            <w:pPr>
              <w:ind w:left="144" w:right="0"/>
            </w:pPr>
            <w:r w:rsidRPr="00460036">
              <w:t>Australian Register of Therapeutic Goods</w:t>
            </w:r>
          </w:p>
        </w:tc>
      </w:tr>
      <w:tr w:rsidR="00527D3C" w:rsidRPr="00FD119B" w14:paraId="6D7E5DC0" w14:textId="77777777" w:rsidTr="00862F11">
        <w:tc>
          <w:tcPr>
            <w:tcW w:w="1797" w:type="dxa"/>
          </w:tcPr>
          <w:p w14:paraId="549E89DA" w14:textId="77777777" w:rsidR="00527D3C" w:rsidRDefault="00527D3C" w:rsidP="00C85F74">
            <w:pPr>
              <w:ind w:left="144"/>
            </w:pPr>
            <w:r>
              <w:t>ASA</w:t>
            </w:r>
          </w:p>
        </w:tc>
        <w:tc>
          <w:tcPr>
            <w:tcW w:w="6697" w:type="dxa"/>
          </w:tcPr>
          <w:p w14:paraId="611B404B" w14:textId="77777777" w:rsidR="00527D3C" w:rsidRDefault="00527D3C" w:rsidP="00C85F74">
            <w:pPr>
              <w:ind w:left="144"/>
            </w:pPr>
            <w:r>
              <w:t>Australian specific annex</w:t>
            </w:r>
          </w:p>
        </w:tc>
      </w:tr>
      <w:tr w:rsidR="00527D3C" w:rsidRPr="00FD119B" w14:paraId="225AE0F3" w14:textId="77777777" w:rsidTr="00862F11">
        <w:tc>
          <w:tcPr>
            <w:tcW w:w="1797" w:type="dxa"/>
          </w:tcPr>
          <w:p w14:paraId="23DF8D28" w14:textId="77777777" w:rsidR="00527D3C" w:rsidRDefault="00527D3C" w:rsidP="00C85F74">
            <w:pPr>
              <w:ind w:left="144"/>
            </w:pPr>
            <w:r>
              <w:t>AST</w:t>
            </w:r>
          </w:p>
        </w:tc>
        <w:tc>
          <w:tcPr>
            <w:tcW w:w="6697" w:type="dxa"/>
          </w:tcPr>
          <w:p w14:paraId="5236FB7E" w14:textId="77777777" w:rsidR="00527D3C" w:rsidRDefault="00527D3C" w:rsidP="00C85F74">
            <w:pPr>
              <w:ind w:left="144"/>
            </w:pPr>
            <w:r>
              <w:t>A</w:t>
            </w:r>
            <w:r w:rsidRPr="00A61079">
              <w:t>spartate transaminase</w:t>
            </w:r>
          </w:p>
        </w:tc>
      </w:tr>
      <w:tr w:rsidR="00527D3C" w:rsidRPr="00FD119B" w14:paraId="1B310E83" w14:textId="77777777" w:rsidTr="00862F11">
        <w:tc>
          <w:tcPr>
            <w:tcW w:w="1797" w:type="dxa"/>
          </w:tcPr>
          <w:p w14:paraId="13748B65" w14:textId="77777777" w:rsidR="00527D3C" w:rsidRDefault="00527D3C" w:rsidP="00C85F74">
            <w:pPr>
              <w:ind w:left="144"/>
            </w:pPr>
            <w:r>
              <w:t>AUC</w:t>
            </w:r>
          </w:p>
        </w:tc>
        <w:tc>
          <w:tcPr>
            <w:tcW w:w="6697" w:type="dxa"/>
          </w:tcPr>
          <w:p w14:paraId="79144F3F" w14:textId="3152FCBF" w:rsidR="00527D3C" w:rsidRDefault="00527D3C" w:rsidP="00C85F74">
            <w:pPr>
              <w:ind w:left="144"/>
            </w:pPr>
            <w:r>
              <w:t xml:space="preserve">Area under </w:t>
            </w:r>
            <w:r w:rsidR="00645D29">
              <w:t xml:space="preserve">the </w:t>
            </w:r>
            <w:r>
              <w:t>concentration time curve</w:t>
            </w:r>
          </w:p>
        </w:tc>
      </w:tr>
      <w:tr w:rsidR="00527D3C" w:rsidRPr="00FD119B" w14:paraId="4DB6178B" w14:textId="77777777" w:rsidTr="00862F11">
        <w:tc>
          <w:tcPr>
            <w:tcW w:w="1797" w:type="dxa"/>
          </w:tcPr>
          <w:p w14:paraId="44067D59" w14:textId="4E3EDF00" w:rsidR="00527D3C" w:rsidRDefault="00527D3C" w:rsidP="00C85F74">
            <w:pPr>
              <w:ind w:left="144"/>
            </w:pPr>
            <w:r>
              <w:t>AUC</w:t>
            </w:r>
            <w:r w:rsidRPr="00315C76">
              <w:rPr>
                <w:vertAlign w:val="subscript"/>
              </w:rPr>
              <w:t>0-24</w:t>
            </w:r>
            <w:r w:rsidR="00645D29">
              <w:rPr>
                <w:vertAlign w:val="subscript"/>
              </w:rPr>
              <w:t>h</w:t>
            </w:r>
          </w:p>
        </w:tc>
        <w:tc>
          <w:tcPr>
            <w:tcW w:w="6697" w:type="dxa"/>
          </w:tcPr>
          <w:p w14:paraId="48039D4B" w14:textId="3E57B8D7" w:rsidR="00527D3C" w:rsidRPr="00A71895" w:rsidRDefault="00527D3C" w:rsidP="00C85F74">
            <w:pPr>
              <w:ind w:left="144"/>
            </w:pPr>
            <w:r>
              <w:t>A</w:t>
            </w:r>
            <w:r w:rsidRPr="00315C76">
              <w:t>rea under the concentration</w:t>
            </w:r>
            <w:r>
              <w:t xml:space="preserve"> </w:t>
            </w:r>
            <w:r w:rsidRPr="00315C76">
              <w:t xml:space="preserve">time curve </w:t>
            </w:r>
            <w:r>
              <w:t>from time zero to 24</w:t>
            </w:r>
            <w:r w:rsidR="00645D29">
              <w:t> </w:t>
            </w:r>
            <w:r>
              <w:t>hour</w:t>
            </w:r>
            <w:r w:rsidR="00645D29">
              <w:t>s</w:t>
            </w:r>
          </w:p>
        </w:tc>
      </w:tr>
      <w:tr w:rsidR="00527D3C" w:rsidRPr="00FD119B" w14:paraId="25F354EB" w14:textId="77777777" w:rsidTr="00862F11">
        <w:tc>
          <w:tcPr>
            <w:tcW w:w="1797" w:type="dxa"/>
          </w:tcPr>
          <w:p w14:paraId="5DB20C68" w14:textId="77777777" w:rsidR="00527D3C" w:rsidRDefault="00527D3C" w:rsidP="00C85F74">
            <w:pPr>
              <w:ind w:left="144"/>
            </w:pPr>
            <w:r>
              <w:t>AUC</w:t>
            </w:r>
            <w:r w:rsidRPr="00220F2D">
              <w:rPr>
                <w:vertAlign w:val="subscript"/>
              </w:rPr>
              <w:t>inf</w:t>
            </w:r>
          </w:p>
        </w:tc>
        <w:tc>
          <w:tcPr>
            <w:tcW w:w="6697" w:type="dxa"/>
          </w:tcPr>
          <w:p w14:paraId="1292D49D" w14:textId="2A322A8D" w:rsidR="00527D3C" w:rsidRDefault="00527D3C" w:rsidP="00C85F74">
            <w:pPr>
              <w:ind w:left="144"/>
            </w:pPr>
            <w:r>
              <w:t>A</w:t>
            </w:r>
            <w:r w:rsidRPr="00B74FCB">
              <w:t xml:space="preserve">rea under the </w:t>
            </w:r>
            <w:r>
              <w:t xml:space="preserve">concentration time </w:t>
            </w:r>
            <w:r w:rsidRPr="00B74FCB">
              <w:t>curve</w:t>
            </w:r>
            <w:r>
              <w:t xml:space="preserve"> </w:t>
            </w:r>
            <w:r w:rsidRPr="006506DB">
              <w:t xml:space="preserve">from time </w:t>
            </w:r>
            <w:r>
              <w:t>zero</w:t>
            </w:r>
            <w:r w:rsidRPr="006506DB">
              <w:t xml:space="preserve"> </w:t>
            </w:r>
            <w:r w:rsidR="00645D29">
              <w:t xml:space="preserve">extrapolated to </w:t>
            </w:r>
            <w:r w:rsidRPr="006506DB">
              <w:t>infinit</w:t>
            </w:r>
            <w:r w:rsidR="00645D29">
              <w:t>y</w:t>
            </w:r>
          </w:p>
        </w:tc>
      </w:tr>
      <w:tr w:rsidR="00527D3C" w:rsidRPr="00FD119B" w14:paraId="20DE78CA" w14:textId="77777777" w:rsidTr="00862F11">
        <w:tc>
          <w:tcPr>
            <w:tcW w:w="1797" w:type="dxa"/>
          </w:tcPr>
          <w:p w14:paraId="030D7299" w14:textId="77777777" w:rsidR="00527D3C" w:rsidRPr="00FD119B" w:rsidRDefault="00527D3C" w:rsidP="00C85F74">
            <w:pPr>
              <w:ind w:left="144"/>
            </w:pPr>
            <w:proofErr w:type="spellStart"/>
            <w:r>
              <w:t>AusPAR</w:t>
            </w:r>
            <w:proofErr w:type="spellEnd"/>
          </w:p>
        </w:tc>
        <w:tc>
          <w:tcPr>
            <w:tcW w:w="6697" w:type="dxa"/>
          </w:tcPr>
          <w:p w14:paraId="35F2060A" w14:textId="77777777" w:rsidR="00527D3C" w:rsidRPr="00FD119B" w:rsidRDefault="00527D3C" w:rsidP="00C85F74">
            <w:pPr>
              <w:ind w:left="144"/>
            </w:pPr>
            <w:r>
              <w:t>Australian Public Assessment Report</w:t>
            </w:r>
          </w:p>
        </w:tc>
      </w:tr>
      <w:tr w:rsidR="00527D3C" w:rsidRPr="00FD119B" w14:paraId="611AFDA7" w14:textId="77777777" w:rsidTr="00862F11">
        <w:tc>
          <w:tcPr>
            <w:tcW w:w="1797" w:type="dxa"/>
          </w:tcPr>
          <w:p w14:paraId="11CCAEFC" w14:textId="77777777" w:rsidR="00527D3C" w:rsidRDefault="00527D3C" w:rsidP="00C85F74">
            <w:pPr>
              <w:ind w:left="144"/>
            </w:pPr>
            <w:r>
              <w:t>BCRP</w:t>
            </w:r>
          </w:p>
        </w:tc>
        <w:tc>
          <w:tcPr>
            <w:tcW w:w="6697" w:type="dxa"/>
          </w:tcPr>
          <w:p w14:paraId="7461A59A" w14:textId="77777777" w:rsidR="00527D3C" w:rsidRPr="00A71895" w:rsidRDefault="00527D3C" w:rsidP="00C85F74">
            <w:pPr>
              <w:ind w:left="144"/>
            </w:pPr>
            <w:r>
              <w:t>B</w:t>
            </w:r>
            <w:r w:rsidRPr="009031D6">
              <w:t xml:space="preserve">reast </w:t>
            </w:r>
            <w:r>
              <w:t>c</w:t>
            </w:r>
            <w:r w:rsidRPr="009031D6">
              <w:t xml:space="preserve">ancer </w:t>
            </w:r>
            <w:r>
              <w:t>r</w:t>
            </w:r>
            <w:r w:rsidRPr="009031D6">
              <w:t xml:space="preserve">esistance </w:t>
            </w:r>
            <w:r>
              <w:t>p</w:t>
            </w:r>
            <w:r w:rsidRPr="009031D6">
              <w:t>rotein</w:t>
            </w:r>
          </w:p>
        </w:tc>
      </w:tr>
      <w:tr w:rsidR="00527D3C" w:rsidRPr="00FD119B" w14:paraId="02831AF6" w14:textId="77777777" w:rsidTr="00862F11">
        <w:tc>
          <w:tcPr>
            <w:tcW w:w="1797" w:type="dxa"/>
          </w:tcPr>
          <w:p w14:paraId="6381E17B" w14:textId="77777777" w:rsidR="00527D3C" w:rsidRDefault="00527D3C" w:rsidP="00C85F74">
            <w:pPr>
              <w:ind w:left="144"/>
            </w:pPr>
            <w:r>
              <w:t>C1D1</w:t>
            </w:r>
          </w:p>
        </w:tc>
        <w:tc>
          <w:tcPr>
            <w:tcW w:w="6697" w:type="dxa"/>
          </w:tcPr>
          <w:p w14:paraId="08B42885" w14:textId="77777777" w:rsidR="00527D3C" w:rsidRDefault="00527D3C" w:rsidP="00C85F74">
            <w:pPr>
              <w:ind w:left="144"/>
            </w:pPr>
            <w:r>
              <w:t>Cycle 1 Day 1</w:t>
            </w:r>
          </w:p>
        </w:tc>
      </w:tr>
      <w:tr w:rsidR="00527D3C" w:rsidRPr="00FD119B" w14:paraId="44AEB36C" w14:textId="77777777" w:rsidTr="00862F11">
        <w:tc>
          <w:tcPr>
            <w:tcW w:w="1797" w:type="dxa"/>
          </w:tcPr>
          <w:p w14:paraId="7AADFC05" w14:textId="77777777" w:rsidR="00527D3C" w:rsidRDefault="00527D3C" w:rsidP="00C85F74">
            <w:pPr>
              <w:ind w:left="144"/>
            </w:pPr>
            <w:r>
              <w:t>C7D1</w:t>
            </w:r>
          </w:p>
        </w:tc>
        <w:tc>
          <w:tcPr>
            <w:tcW w:w="6697" w:type="dxa"/>
          </w:tcPr>
          <w:p w14:paraId="7FAA55E8" w14:textId="77777777" w:rsidR="00527D3C" w:rsidRPr="00A71895" w:rsidRDefault="00527D3C" w:rsidP="00C85F74">
            <w:pPr>
              <w:ind w:left="144"/>
            </w:pPr>
            <w:r>
              <w:t>Cycle 7 Day1</w:t>
            </w:r>
          </w:p>
        </w:tc>
      </w:tr>
      <w:tr w:rsidR="00527D3C" w:rsidRPr="00FD119B" w14:paraId="27CC06A1" w14:textId="77777777" w:rsidTr="00862F11">
        <w:tc>
          <w:tcPr>
            <w:tcW w:w="1797" w:type="dxa"/>
          </w:tcPr>
          <w:p w14:paraId="7D25FFBC" w14:textId="77777777" w:rsidR="00527D3C" w:rsidRPr="00FD119B" w:rsidRDefault="00527D3C" w:rsidP="00C85F74">
            <w:pPr>
              <w:ind w:left="144"/>
            </w:pPr>
            <w:proofErr w:type="spellStart"/>
            <w:r>
              <w:t>cGVHD</w:t>
            </w:r>
            <w:proofErr w:type="spellEnd"/>
          </w:p>
        </w:tc>
        <w:tc>
          <w:tcPr>
            <w:tcW w:w="6697" w:type="dxa"/>
          </w:tcPr>
          <w:p w14:paraId="35D0D6C5" w14:textId="77777777" w:rsidR="00527D3C" w:rsidRPr="00FD119B" w:rsidRDefault="00527D3C" w:rsidP="00C85F74">
            <w:pPr>
              <w:ind w:left="144"/>
            </w:pPr>
            <w:r>
              <w:t>Chronic graft versus host disease</w:t>
            </w:r>
          </w:p>
        </w:tc>
      </w:tr>
      <w:tr w:rsidR="00527D3C" w:rsidRPr="00FD119B" w14:paraId="463BD0FE" w14:textId="77777777" w:rsidTr="00862F11">
        <w:tc>
          <w:tcPr>
            <w:tcW w:w="1797" w:type="dxa"/>
          </w:tcPr>
          <w:p w14:paraId="592717C4" w14:textId="77777777" w:rsidR="00527D3C" w:rsidRDefault="00527D3C" w:rsidP="00C85F74">
            <w:pPr>
              <w:ind w:left="144"/>
            </w:pPr>
            <w:r>
              <w:t>CI</w:t>
            </w:r>
          </w:p>
        </w:tc>
        <w:tc>
          <w:tcPr>
            <w:tcW w:w="6697" w:type="dxa"/>
          </w:tcPr>
          <w:p w14:paraId="4BC7ACC5" w14:textId="77777777" w:rsidR="00527D3C" w:rsidRDefault="00527D3C" w:rsidP="00C85F74">
            <w:pPr>
              <w:ind w:left="144"/>
            </w:pPr>
            <w:r>
              <w:t>Confidence interval</w:t>
            </w:r>
          </w:p>
        </w:tc>
      </w:tr>
      <w:tr w:rsidR="00527D3C" w:rsidRPr="00FD119B" w14:paraId="650A3898" w14:textId="77777777" w:rsidTr="00862F11">
        <w:tc>
          <w:tcPr>
            <w:tcW w:w="1797" w:type="dxa"/>
          </w:tcPr>
          <w:p w14:paraId="7FCD686D" w14:textId="77777777" w:rsidR="00527D3C" w:rsidRDefault="00527D3C" w:rsidP="00C85F74">
            <w:pPr>
              <w:ind w:left="144"/>
            </w:pPr>
            <w:r>
              <w:t>CL/F</w:t>
            </w:r>
          </w:p>
        </w:tc>
        <w:tc>
          <w:tcPr>
            <w:tcW w:w="6697" w:type="dxa"/>
          </w:tcPr>
          <w:p w14:paraId="062C1ABB" w14:textId="77777777" w:rsidR="00527D3C" w:rsidRPr="00A71895" w:rsidRDefault="00527D3C" w:rsidP="00C85F74">
            <w:pPr>
              <w:ind w:left="144"/>
            </w:pPr>
            <w:r>
              <w:t>Oral clearance</w:t>
            </w:r>
          </w:p>
        </w:tc>
      </w:tr>
      <w:tr w:rsidR="00527D3C" w:rsidRPr="00FD119B" w14:paraId="394C4057" w14:textId="77777777" w:rsidTr="00862F11">
        <w:tc>
          <w:tcPr>
            <w:tcW w:w="1797" w:type="dxa"/>
          </w:tcPr>
          <w:p w14:paraId="542A160E" w14:textId="77777777" w:rsidR="00527D3C" w:rsidRDefault="00527D3C" w:rsidP="00C85F74">
            <w:pPr>
              <w:ind w:left="144"/>
            </w:pPr>
            <w:proofErr w:type="spellStart"/>
            <w:r>
              <w:t>C</w:t>
            </w:r>
            <w:r w:rsidRPr="00A71895">
              <w:rPr>
                <w:vertAlign w:val="subscript"/>
              </w:rPr>
              <w:t>max</w:t>
            </w:r>
            <w:proofErr w:type="spellEnd"/>
          </w:p>
        </w:tc>
        <w:tc>
          <w:tcPr>
            <w:tcW w:w="6697" w:type="dxa"/>
          </w:tcPr>
          <w:p w14:paraId="6D9CF412" w14:textId="77777777" w:rsidR="00527D3C" w:rsidRDefault="00527D3C" w:rsidP="00C85F74">
            <w:pPr>
              <w:ind w:left="144"/>
            </w:pPr>
            <w:r>
              <w:t>Maximum concentration</w:t>
            </w:r>
          </w:p>
        </w:tc>
      </w:tr>
      <w:tr w:rsidR="00527D3C" w:rsidRPr="00FD119B" w14:paraId="24E7B0B0" w14:textId="77777777" w:rsidTr="00862F11">
        <w:tc>
          <w:tcPr>
            <w:tcW w:w="1797" w:type="dxa"/>
          </w:tcPr>
          <w:p w14:paraId="3D4D0F5D" w14:textId="77777777" w:rsidR="00527D3C" w:rsidRDefault="00527D3C" w:rsidP="00C85F74">
            <w:pPr>
              <w:ind w:left="144"/>
            </w:pPr>
            <w:r>
              <w:t>CMI</w:t>
            </w:r>
          </w:p>
        </w:tc>
        <w:tc>
          <w:tcPr>
            <w:tcW w:w="6697" w:type="dxa"/>
          </w:tcPr>
          <w:p w14:paraId="505340BF" w14:textId="77777777" w:rsidR="00527D3C" w:rsidRDefault="00527D3C" w:rsidP="00C85F74">
            <w:pPr>
              <w:ind w:left="144"/>
            </w:pPr>
            <w:r>
              <w:t>Consumer Medicines Information</w:t>
            </w:r>
          </w:p>
        </w:tc>
      </w:tr>
      <w:tr w:rsidR="00527D3C" w:rsidRPr="00FD119B" w14:paraId="023B729F" w14:textId="77777777" w:rsidTr="00862F11">
        <w:tc>
          <w:tcPr>
            <w:tcW w:w="1797" w:type="dxa"/>
          </w:tcPr>
          <w:p w14:paraId="6772067C" w14:textId="77777777" w:rsidR="00527D3C" w:rsidRDefault="00527D3C" w:rsidP="00C85F74">
            <w:pPr>
              <w:ind w:left="144"/>
            </w:pPr>
            <w:r>
              <w:t>CNI</w:t>
            </w:r>
          </w:p>
        </w:tc>
        <w:tc>
          <w:tcPr>
            <w:tcW w:w="6697" w:type="dxa"/>
          </w:tcPr>
          <w:p w14:paraId="1C6FA5E1" w14:textId="77777777" w:rsidR="00527D3C" w:rsidRDefault="00527D3C" w:rsidP="00C85F74">
            <w:pPr>
              <w:ind w:left="144"/>
            </w:pPr>
            <w:r>
              <w:t>Calcineurin inhibitor</w:t>
            </w:r>
          </w:p>
        </w:tc>
      </w:tr>
      <w:tr w:rsidR="00527D3C" w:rsidRPr="00FD119B" w14:paraId="30D7C44E" w14:textId="77777777" w:rsidTr="00862F11">
        <w:tc>
          <w:tcPr>
            <w:tcW w:w="1797" w:type="dxa"/>
          </w:tcPr>
          <w:p w14:paraId="3DA8F4FC" w14:textId="77777777" w:rsidR="00527D3C" w:rsidRDefault="00527D3C" w:rsidP="00C85F74">
            <w:pPr>
              <w:ind w:left="144"/>
            </w:pPr>
            <w:r>
              <w:t>CR</w:t>
            </w:r>
          </w:p>
        </w:tc>
        <w:tc>
          <w:tcPr>
            <w:tcW w:w="6697" w:type="dxa"/>
          </w:tcPr>
          <w:p w14:paraId="15CB3C5F" w14:textId="77777777" w:rsidR="00527D3C" w:rsidRPr="00A71895" w:rsidRDefault="00527D3C" w:rsidP="00C85F74">
            <w:pPr>
              <w:ind w:left="144"/>
            </w:pPr>
            <w:r>
              <w:t>Complete response</w:t>
            </w:r>
          </w:p>
        </w:tc>
      </w:tr>
      <w:tr w:rsidR="00527D3C" w:rsidRPr="00FD119B" w14:paraId="10DF560D" w14:textId="77777777" w:rsidTr="00862F11">
        <w:tc>
          <w:tcPr>
            <w:tcW w:w="1797" w:type="dxa"/>
          </w:tcPr>
          <w:p w14:paraId="6092BC3A" w14:textId="77777777" w:rsidR="00527D3C" w:rsidRDefault="00527D3C" w:rsidP="00C85F74">
            <w:pPr>
              <w:ind w:left="144"/>
            </w:pPr>
            <w:r>
              <w:t>CV</w:t>
            </w:r>
          </w:p>
        </w:tc>
        <w:tc>
          <w:tcPr>
            <w:tcW w:w="6697" w:type="dxa"/>
          </w:tcPr>
          <w:p w14:paraId="784BD961" w14:textId="77777777" w:rsidR="00527D3C" w:rsidRDefault="00527D3C" w:rsidP="00C85F74">
            <w:pPr>
              <w:ind w:left="144"/>
            </w:pPr>
            <w:r w:rsidRPr="00A71895">
              <w:t xml:space="preserve">Coefficient of </w:t>
            </w:r>
            <w:r>
              <w:t>v</w:t>
            </w:r>
            <w:r w:rsidRPr="00A71895">
              <w:t>ariation</w:t>
            </w:r>
          </w:p>
        </w:tc>
      </w:tr>
      <w:tr w:rsidR="00527D3C" w:rsidRPr="00FD119B" w14:paraId="4C58AEFD" w14:textId="77777777" w:rsidTr="00862F11">
        <w:tc>
          <w:tcPr>
            <w:tcW w:w="1797" w:type="dxa"/>
          </w:tcPr>
          <w:p w14:paraId="62F4F548" w14:textId="77777777" w:rsidR="00527D3C" w:rsidRDefault="00527D3C" w:rsidP="00C85F74">
            <w:pPr>
              <w:ind w:left="144"/>
            </w:pPr>
            <w:r>
              <w:t>DDI</w:t>
            </w:r>
          </w:p>
        </w:tc>
        <w:tc>
          <w:tcPr>
            <w:tcW w:w="6697" w:type="dxa"/>
          </w:tcPr>
          <w:p w14:paraId="6A72ACB6" w14:textId="61973052" w:rsidR="00527D3C" w:rsidRDefault="00527D3C" w:rsidP="00C85F74">
            <w:pPr>
              <w:ind w:left="144"/>
            </w:pPr>
            <w:r>
              <w:t>Drug</w:t>
            </w:r>
            <w:r w:rsidR="00645D29">
              <w:noBreakHyphen/>
            </w:r>
            <w:r>
              <w:t>drug interaction</w:t>
            </w:r>
          </w:p>
        </w:tc>
      </w:tr>
      <w:tr w:rsidR="00527D3C" w:rsidRPr="00FD119B" w14:paraId="5A6642E3" w14:textId="77777777" w:rsidTr="00862F11">
        <w:tc>
          <w:tcPr>
            <w:tcW w:w="1797" w:type="dxa"/>
          </w:tcPr>
          <w:p w14:paraId="013DF6D5" w14:textId="77777777" w:rsidR="00527D3C" w:rsidRDefault="00527D3C" w:rsidP="00C85F74">
            <w:pPr>
              <w:ind w:left="144"/>
            </w:pPr>
            <w:r>
              <w:t>DLP</w:t>
            </w:r>
          </w:p>
        </w:tc>
        <w:tc>
          <w:tcPr>
            <w:tcW w:w="6697" w:type="dxa"/>
          </w:tcPr>
          <w:p w14:paraId="4132F177" w14:textId="77777777" w:rsidR="00527D3C" w:rsidRDefault="00527D3C" w:rsidP="00C85F74">
            <w:pPr>
              <w:ind w:left="144"/>
            </w:pPr>
            <w:r>
              <w:t>Data lock point</w:t>
            </w:r>
          </w:p>
        </w:tc>
      </w:tr>
      <w:tr w:rsidR="00527D3C" w:rsidRPr="00FD119B" w14:paraId="682643AC" w14:textId="77777777" w:rsidTr="00862F11">
        <w:tc>
          <w:tcPr>
            <w:tcW w:w="1797" w:type="dxa"/>
          </w:tcPr>
          <w:p w14:paraId="2020EFE9" w14:textId="77777777" w:rsidR="00527D3C" w:rsidRDefault="00527D3C" w:rsidP="00C85F74">
            <w:pPr>
              <w:ind w:left="144"/>
            </w:pPr>
            <w:r>
              <w:t>DOR</w:t>
            </w:r>
          </w:p>
        </w:tc>
        <w:tc>
          <w:tcPr>
            <w:tcW w:w="6697" w:type="dxa"/>
          </w:tcPr>
          <w:p w14:paraId="2AA07146" w14:textId="77777777" w:rsidR="00527D3C" w:rsidRPr="00A71895" w:rsidRDefault="00527D3C" w:rsidP="00C85F74">
            <w:pPr>
              <w:ind w:left="144"/>
            </w:pPr>
            <w:r>
              <w:t>Duration of response</w:t>
            </w:r>
          </w:p>
        </w:tc>
      </w:tr>
      <w:tr w:rsidR="00527D3C" w:rsidRPr="00FD119B" w14:paraId="2375D0BF" w14:textId="77777777" w:rsidTr="00862F11">
        <w:tc>
          <w:tcPr>
            <w:tcW w:w="1797" w:type="dxa"/>
          </w:tcPr>
          <w:p w14:paraId="1EFF14FF" w14:textId="77777777" w:rsidR="00527D3C" w:rsidRDefault="00527D3C" w:rsidP="00C85F74">
            <w:pPr>
              <w:ind w:left="144"/>
            </w:pPr>
            <w:r>
              <w:lastRenderedPageBreak/>
              <w:t>EU</w:t>
            </w:r>
          </w:p>
        </w:tc>
        <w:tc>
          <w:tcPr>
            <w:tcW w:w="6697" w:type="dxa"/>
          </w:tcPr>
          <w:p w14:paraId="3AD5499D" w14:textId="77777777" w:rsidR="00527D3C" w:rsidRDefault="00527D3C" w:rsidP="00C85F74">
            <w:pPr>
              <w:ind w:left="144"/>
            </w:pPr>
            <w:r>
              <w:t>European Union</w:t>
            </w:r>
          </w:p>
        </w:tc>
      </w:tr>
      <w:tr w:rsidR="00527D3C" w:rsidRPr="00FD119B" w14:paraId="78A15FDE" w14:textId="77777777" w:rsidTr="00862F11">
        <w:tc>
          <w:tcPr>
            <w:tcW w:w="1797" w:type="dxa"/>
          </w:tcPr>
          <w:p w14:paraId="79D5F883" w14:textId="77777777" w:rsidR="00527D3C" w:rsidRDefault="00527D3C" w:rsidP="00C85F74">
            <w:pPr>
              <w:ind w:left="144"/>
            </w:pPr>
            <w:r>
              <w:t>FDA</w:t>
            </w:r>
          </w:p>
        </w:tc>
        <w:tc>
          <w:tcPr>
            <w:tcW w:w="6697" w:type="dxa"/>
          </w:tcPr>
          <w:p w14:paraId="20ABC496" w14:textId="77777777" w:rsidR="00527D3C" w:rsidRDefault="00527D3C" w:rsidP="00C85F74">
            <w:pPr>
              <w:ind w:left="144"/>
            </w:pPr>
            <w:r>
              <w:t>Food and Drug Administration, United States of America</w:t>
            </w:r>
          </w:p>
        </w:tc>
      </w:tr>
      <w:tr w:rsidR="00527D3C" w:rsidRPr="00FD119B" w14:paraId="48F2DF82" w14:textId="77777777" w:rsidTr="00862F11">
        <w:tc>
          <w:tcPr>
            <w:tcW w:w="1797" w:type="dxa"/>
          </w:tcPr>
          <w:p w14:paraId="61E7BC63" w14:textId="77777777" w:rsidR="00527D3C" w:rsidRDefault="00527D3C" w:rsidP="00C85F74">
            <w:pPr>
              <w:ind w:left="144"/>
            </w:pPr>
            <w:r>
              <w:t>FFS</w:t>
            </w:r>
          </w:p>
        </w:tc>
        <w:tc>
          <w:tcPr>
            <w:tcW w:w="6697" w:type="dxa"/>
          </w:tcPr>
          <w:p w14:paraId="1232FBCF" w14:textId="77777777" w:rsidR="00527D3C" w:rsidRPr="00A71895" w:rsidRDefault="00527D3C" w:rsidP="00C85F74">
            <w:pPr>
              <w:ind w:left="144"/>
            </w:pPr>
            <w:r>
              <w:t>Failure free survival</w:t>
            </w:r>
          </w:p>
        </w:tc>
      </w:tr>
      <w:tr w:rsidR="00527D3C" w:rsidRPr="00FD119B" w14:paraId="3003C3E1" w14:textId="77777777" w:rsidTr="00862F11">
        <w:tc>
          <w:tcPr>
            <w:tcW w:w="1797" w:type="dxa"/>
          </w:tcPr>
          <w:p w14:paraId="2875579E" w14:textId="77777777" w:rsidR="00527D3C" w:rsidRDefault="00527D3C" w:rsidP="00C85F74">
            <w:pPr>
              <w:ind w:left="144"/>
            </w:pPr>
            <w:r>
              <w:t>GMR</w:t>
            </w:r>
          </w:p>
        </w:tc>
        <w:tc>
          <w:tcPr>
            <w:tcW w:w="6697" w:type="dxa"/>
          </w:tcPr>
          <w:p w14:paraId="38AF16A0" w14:textId="77777777" w:rsidR="00527D3C" w:rsidRDefault="00527D3C" w:rsidP="00C85F74">
            <w:pPr>
              <w:ind w:left="144"/>
            </w:pPr>
            <w:r>
              <w:t>G</w:t>
            </w:r>
            <w:r w:rsidRPr="00A71895">
              <w:t>eometric mean ratio</w:t>
            </w:r>
          </w:p>
        </w:tc>
      </w:tr>
      <w:tr w:rsidR="00527D3C" w:rsidRPr="00FD119B" w14:paraId="78D3674D" w14:textId="77777777" w:rsidTr="00862F11">
        <w:tc>
          <w:tcPr>
            <w:tcW w:w="1797" w:type="dxa"/>
          </w:tcPr>
          <w:p w14:paraId="1B7E5AB8" w14:textId="77777777" w:rsidR="00527D3C" w:rsidRDefault="00527D3C" w:rsidP="00C85F74">
            <w:pPr>
              <w:ind w:left="144"/>
            </w:pPr>
            <w:r>
              <w:t>GSR</w:t>
            </w:r>
          </w:p>
        </w:tc>
        <w:tc>
          <w:tcPr>
            <w:tcW w:w="6697" w:type="dxa"/>
          </w:tcPr>
          <w:p w14:paraId="596AFF5D" w14:textId="77777777" w:rsidR="00527D3C" w:rsidRDefault="00527D3C" w:rsidP="00C85F74">
            <w:pPr>
              <w:ind w:left="144"/>
            </w:pPr>
            <w:r>
              <w:t>Global severity rating</w:t>
            </w:r>
          </w:p>
        </w:tc>
      </w:tr>
      <w:tr w:rsidR="00527D3C" w:rsidRPr="00FD119B" w14:paraId="7CE3FC32" w14:textId="77777777" w:rsidTr="00862F11">
        <w:tc>
          <w:tcPr>
            <w:tcW w:w="1797" w:type="dxa"/>
          </w:tcPr>
          <w:p w14:paraId="612EF0FA" w14:textId="77777777" w:rsidR="00527D3C" w:rsidRDefault="00527D3C" w:rsidP="00C85F74">
            <w:pPr>
              <w:ind w:left="144"/>
            </w:pPr>
            <w:proofErr w:type="spellStart"/>
            <w:r>
              <w:t>hAME</w:t>
            </w:r>
            <w:proofErr w:type="spellEnd"/>
          </w:p>
        </w:tc>
        <w:tc>
          <w:tcPr>
            <w:tcW w:w="6697" w:type="dxa"/>
          </w:tcPr>
          <w:p w14:paraId="60DF9856" w14:textId="77777777" w:rsidR="00527D3C" w:rsidRDefault="00527D3C" w:rsidP="00C85F74">
            <w:pPr>
              <w:ind w:left="144"/>
            </w:pPr>
            <w:r>
              <w:t>Human absorption, metabolism, and excretion</w:t>
            </w:r>
          </w:p>
        </w:tc>
      </w:tr>
      <w:tr w:rsidR="00527D3C" w:rsidRPr="00FD119B" w14:paraId="13BD1026" w14:textId="77777777" w:rsidTr="00862F11">
        <w:tc>
          <w:tcPr>
            <w:tcW w:w="1797" w:type="dxa"/>
          </w:tcPr>
          <w:p w14:paraId="514F0C04" w14:textId="77777777" w:rsidR="00527D3C" w:rsidRDefault="00527D3C" w:rsidP="00C85F74">
            <w:pPr>
              <w:ind w:left="144"/>
            </w:pPr>
            <w:r>
              <w:t>HC</w:t>
            </w:r>
          </w:p>
        </w:tc>
        <w:tc>
          <w:tcPr>
            <w:tcW w:w="6697" w:type="dxa"/>
          </w:tcPr>
          <w:p w14:paraId="608CC70C" w14:textId="77777777" w:rsidR="00527D3C" w:rsidRDefault="00527D3C" w:rsidP="00C85F74">
            <w:pPr>
              <w:ind w:left="144"/>
            </w:pPr>
            <w:r>
              <w:t>Health Canada</w:t>
            </w:r>
          </w:p>
        </w:tc>
      </w:tr>
      <w:tr w:rsidR="00527D3C" w:rsidRPr="00FD119B" w14:paraId="58742D56" w14:textId="77777777" w:rsidTr="00862F11">
        <w:tc>
          <w:tcPr>
            <w:tcW w:w="1797" w:type="dxa"/>
          </w:tcPr>
          <w:p w14:paraId="57212DC9" w14:textId="77777777" w:rsidR="00527D3C" w:rsidRPr="00FD119B" w:rsidRDefault="00527D3C" w:rsidP="00C85F74">
            <w:pPr>
              <w:ind w:left="144"/>
            </w:pPr>
            <w:r>
              <w:t>HCT</w:t>
            </w:r>
          </w:p>
        </w:tc>
        <w:tc>
          <w:tcPr>
            <w:tcW w:w="6697" w:type="dxa"/>
          </w:tcPr>
          <w:p w14:paraId="2EE669C3" w14:textId="62F340C1" w:rsidR="00527D3C" w:rsidRPr="00FD119B" w:rsidRDefault="00527D3C" w:rsidP="00C85F74">
            <w:pPr>
              <w:ind w:left="144"/>
            </w:pPr>
            <w:r>
              <w:t>H</w:t>
            </w:r>
            <w:r w:rsidR="00645D29">
              <w:t>a</w:t>
            </w:r>
            <w:r>
              <w:t>ematopoietic cell transplantation</w:t>
            </w:r>
          </w:p>
        </w:tc>
      </w:tr>
      <w:tr w:rsidR="00527D3C" w:rsidRPr="00FD119B" w14:paraId="21390618" w14:textId="77777777" w:rsidTr="00862F11">
        <w:tc>
          <w:tcPr>
            <w:tcW w:w="1797" w:type="dxa"/>
          </w:tcPr>
          <w:p w14:paraId="7BFC31BA" w14:textId="77777777" w:rsidR="00527D3C" w:rsidRDefault="00527D3C" w:rsidP="00C85F74">
            <w:pPr>
              <w:ind w:left="144"/>
            </w:pPr>
            <w:r>
              <w:t>IC</w:t>
            </w:r>
            <w:r w:rsidRPr="0070336B">
              <w:rPr>
                <w:vertAlign w:val="subscript"/>
              </w:rPr>
              <w:t>50</w:t>
            </w:r>
          </w:p>
        </w:tc>
        <w:tc>
          <w:tcPr>
            <w:tcW w:w="6697" w:type="dxa"/>
          </w:tcPr>
          <w:p w14:paraId="150CA595" w14:textId="0025B679" w:rsidR="00527D3C" w:rsidRPr="00A71895" w:rsidRDefault="001739CE" w:rsidP="00C85F74">
            <w:pPr>
              <w:ind w:left="144"/>
            </w:pPr>
            <w:r>
              <w:t>50% (h</w:t>
            </w:r>
            <w:r w:rsidR="00527D3C" w:rsidRPr="00590CF8">
              <w:t>alf-maximal</w:t>
            </w:r>
            <w:r>
              <w:t>)</w:t>
            </w:r>
            <w:r w:rsidR="00527D3C" w:rsidRPr="00590CF8">
              <w:t xml:space="preserve"> inhibitory concentration</w:t>
            </w:r>
          </w:p>
        </w:tc>
      </w:tr>
      <w:tr w:rsidR="00527D3C" w:rsidRPr="00FD119B" w14:paraId="7BEC931F" w14:textId="77777777" w:rsidTr="00862F11">
        <w:tc>
          <w:tcPr>
            <w:tcW w:w="1797" w:type="dxa"/>
          </w:tcPr>
          <w:p w14:paraId="23AB8CB4" w14:textId="77777777" w:rsidR="00527D3C" w:rsidRPr="00FD119B" w:rsidRDefault="00527D3C" w:rsidP="00C85F74">
            <w:pPr>
              <w:ind w:left="144"/>
            </w:pPr>
            <w:r>
              <w:t>IL</w:t>
            </w:r>
          </w:p>
        </w:tc>
        <w:tc>
          <w:tcPr>
            <w:tcW w:w="6697" w:type="dxa"/>
          </w:tcPr>
          <w:p w14:paraId="0741A1E5" w14:textId="76366686" w:rsidR="00527D3C" w:rsidRPr="00FD119B" w:rsidRDefault="00527D3C" w:rsidP="00C85F74">
            <w:pPr>
              <w:ind w:left="144"/>
            </w:pPr>
            <w:r>
              <w:t>Inter</w:t>
            </w:r>
            <w:r w:rsidR="001739CE">
              <w:t>le</w:t>
            </w:r>
            <w:r>
              <w:t>ukin</w:t>
            </w:r>
          </w:p>
        </w:tc>
      </w:tr>
      <w:tr w:rsidR="00527D3C" w:rsidRPr="00FD119B" w14:paraId="6B823B0E" w14:textId="77777777" w:rsidTr="00862F11">
        <w:tc>
          <w:tcPr>
            <w:tcW w:w="1797" w:type="dxa"/>
          </w:tcPr>
          <w:p w14:paraId="3DD510A9" w14:textId="77777777" w:rsidR="00527D3C" w:rsidRDefault="00527D3C" w:rsidP="00C85F74">
            <w:pPr>
              <w:ind w:left="144"/>
            </w:pPr>
            <w:r>
              <w:t>IPF</w:t>
            </w:r>
          </w:p>
        </w:tc>
        <w:tc>
          <w:tcPr>
            <w:tcW w:w="6697" w:type="dxa"/>
          </w:tcPr>
          <w:p w14:paraId="31ECFBBC" w14:textId="77777777" w:rsidR="00527D3C" w:rsidRDefault="00527D3C" w:rsidP="00C85F74">
            <w:pPr>
              <w:ind w:left="144"/>
            </w:pPr>
            <w:r>
              <w:t>Idiopathic pulmonary fibrosis</w:t>
            </w:r>
          </w:p>
        </w:tc>
      </w:tr>
      <w:tr w:rsidR="00527D3C" w:rsidRPr="00FD119B" w14:paraId="1DA43D40" w14:textId="77777777" w:rsidTr="00862F11">
        <w:tc>
          <w:tcPr>
            <w:tcW w:w="1797" w:type="dxa"/>
          </w:tcPr>
          <w:p w14:paraId="7E20672B" w14:textId="77777777" w:rsidR="00527D3C" w:rsidRDefault="00527D3C" w:rsidP="00C85F74">
            <w:pPr>
              <w:ind w:left="144"/>
            </w:pPr>
            <w:r>
              <w:t>KARA</w:t>
            </w:r>
          </w:p>
        </w:tc>
        <w:tc>
          <w:tcPr>
            <w:tcW w:w="6697" w:type="dxa"/>
          </w:tcPr>
          <w:p w14:paraId="3C22C9CB" w14:textId="078CCF90" w:rsidR="00527D3C" w:rsidRPr="00A71895" w:rsidRDefault="00527D3C" w:rsidP="00C85F74">
            <w:pPr>
              <w:ind w:left="144"/>
            </w:pPr>
            <w:proofErr w:type="spellStart"/>
            <w:r>
              <w:t>K</w:t>
            </w:r>
            <w:r w:rsidRPr="00FA05FD">
              <w:t>admon</w:t>
            </w:r>
            <w:proofErr w:type="spellEnd"/>
            <w:r w:rsidRPr="00FA05FD">
              <w:t xml:space="preserve"> </w:t>
            </w:r>
            <w:r w:rsidR="001739CE">
              <w:t>A</w:t>
            </w:r>
            <w:r w:rsidR="001739CE" w:rsidRPr="00FA05FD">
              <w:t xml:space="preserve">lgorithmic </w:t>
            </w:r>
            <w:r w:rsidR="001739CE">
              <w:t>R</w:t>
            </w:r>
            <w:r w:rsidR="001739CE" w:rsidRPr="00FA05FD">
              <w:t xml:space="preserve">esponse </w:t>
            </w:r>
            <w:r w:rsidR="001739CE">
              <w:t>A</w:t>
            </w:r>
            <w:r w:rsidRPr="00FA05FD">
              <w:t>ssessment</w:t>
            </w:r>
          </w:p>
        </w:tc>
      </w:tr>
      <w:tr w:rsidR="00527D3C" w:rsidRPr="00FD119B" w14:paraId="7B3A1C6F" w14:textId="77777777" w:rsidTr="00862F11">
        <w:tc>
          <w:tcPr>
            <w:tcW w:w="1797" w:type="dxa"/>
          </w:tcPr>
          <w:p w14:paraId="40CE852F" w14:textId="77777777" w:rsidR="00527D3C" w:rsidRDefault="00527D3C" w:rsidP="00C85F74">
            <w:pPr>
              <w:ind w:left="144"/>
            </w:pPr>
            <w:r>
              <w:t>KPS</w:t>
            </w:r>
          </w:p>
        </w:tc>
        <w:tc>
          <w:tcPr>
            <w:tcW w:w="6697" w:type="dxa"/>
          </w:tcPr>
          <w:p w14:paraId="4DD83A1C" w14:textId="77777777" w:rsidR="00527D3C" w:rsidRDefault="00527D3C" w:rsidP="00C85F74">
            <w:pPr>
              <w:ind w:left="144"/>
            </w:pPr>
            <w:proofErr w:type="spellStart"/>
            <w:r>
              <w:t>Karnofsky</w:t>
            </w:r>
            <w:proofErr w:type="spellEnd"/>
            <w:r>
              <w:t xml:space="preserve"> Performance Scale</w:t>
            </w:r>
          </w:p>
        </w:tc>
      </w:tr>
      <w:tr w:rsidR="00527D3C" w:rsidRPr="00FD119B" w14:paraId="40FB7559" w14:textId="77777777" w:rsidTr="00862F11">
        <w:tc>
          <w:tcPr>
            <w:tcW w:w="1797" w:type="dxa"/>
          </w:tcPr>
          <w:p w14:paraId="7F61CD79" w14:textId="77777777" w:rsidR="00527D3C" w:rsidRDefault="00527D3C" w:rsidP="00C85F74">
            <w:pPr>
              <w:ind w:left="144"/>
            </w:pPr>
            <w:r>
              <w:t>LSS</w:t>
            </w:r>
          </w:p>
        </w:tc>
        <w:tc>
          <w:tcPr>
            <w:tcW w:w="6697" w:type="dxa"/>
          </w:tcPr>
          <w:p w14:paraId="6614A499" w14:textId="77777777" w:rsidR="00527D3C" w:rsidRPr="00A71895" w:rsidRDefault="00527D3C" w:rsidP="00C85F74">
            <w:pPr>
              <w:ind w:left="144"/>
            </w:pPr>
            <w:r>
              <w:t>Lee Symptom Scale</w:t>
            </w:r>
          </w:p>
        </w:tc>
      </w:tr>
      <w:tr w:rsidR="00527D3C" w:rsidRPr="00FD119B" w14:paraId="59AACADE" w14:textId="77777777" w:rsidTr="00862F11">
        <w:tc>
          <w:tcPr>
            <w:tcW w:w="1797" w:type="dxa"/>
          </w:tcPr>
          <w:p w14:paraId="09D1A32A" w14:textId="77777777" w:rsidR="00527D3C" w:rsidRDefault="00527D3C" w:rsidP="00C85F74">
            <w:pPr>
              <w:ind w:left="144"/>
            </w:pPr>
            <w:proofErr w:type="spellStart"/>
            <w:r>
              <w:t>mITT</w:t>
            </w:r>
            <w:proofErr w:type="spellEnd"/>
          </w:p>
        </w:tc>
        <w:tc>
          <w:tcPr>
            <w:tcW w:w="6697" w:type="dxa"/>
          </w:tcPr>
          <w:p w14:paraId="4A6D2ED7" w14:textId="77777777" w:rsidR="00527D3C" w:rsidRDefault="00527D3C" w:rsidP="00C85F74">
            <w:pPr>
              <w:ind w:left="144"/>
            </w:pPr>
            <w:r>
              <w:t>Modified intent to treat</w:t>
            </w:r>
          </w:p>
        </w:tc>
      </w:tr>
      <w:tr w:rsidR="00527D3C" w:rsidRPr="00FD119B" w14:paraId="27CE6B3D" w14:textId="77777777" w:rsidTr="00862F11">
        <w:tc>
          <w:tcPr>
            <w:tcW w:w="1797" w:type="dxa"/>
          </w:tcPr>
          <w:p w14:paraId="08357B8C" w14:textId="77777777" w:rsidR="00527D3C" w:rsidRPr="00FD119B" w:rsidRDefault="00527D3C" w:rsidP="00C85F74">
            <w:pPr>
              <w:ind w:left="144"/>
            </w:pPr>
            <w:r>
              <w:t>NIH</w:t>
            </w:r>
          </w:p>
        </w:tc>
        <w:tc>
          <w:tcPr>
            <w:tcW w:w="6697" w:type="dxa"/>
          </w:tcPr>
          <w:p w14:paraId="06D1559F" w14:textId="77777777" w:rsidR="00527D3C" w:rsidRPr="00FD119B" w:rsidRDefault="00527D3C" w:rsidP="00C85F74">
            <w:pPr>
              <w:ind w:left="144"/>
            </w:pPr>
            <w:r>
              <w:t>National Institutes of Health, United States of America</w:t>
            </w:r>
          </w:p>
        </w:tc>
      </w:tr>
      <w:tr w:rsidR="00527D3C" w:rsidRPr="00FD119B" w14:paraId="28D874E7" w14:textId="77777777" w:rsidTr="00862F11">
        <w:tc>
          <w:tcPr>
            <w:tcW w:w="1797" w:type="dxa"/>
          </w:tcPr>
          <w:p w14:paraId="34F4B8A9" w14:textId="77777777" w:rsidR="00527D3C" w:rsidRDefault="00527D3C" w:rsidP="00C85F74">
            <w:pPr>
              <w:ind w:left="144"/>
            </w:pPr>
            <w:r>
              <w:t>OCE</w:t>
            </w:r>
          </w:p>
        </w:tc>
        <w:tc>
          <w:tcPr>
            <w:tcW w:w="6697" w:type="dxa"/>
          </w:tcPr>
          <w:p w14:paraId="2B5CF965" w14:textId="77777777" w:rsidR="00527D3C" w:rsidRDefault="00527D3C" w:rsidP="00C85F74">
            <w:pPr>
              <w:ind w:left="144"/>
            </w:pPr>
            <w:r>
              <w:t xml:space="preserve">Oncology </w:t>
            </w:r>
            <w:proofErr w:type="spellStart"/>
            <w:r>
              <w:t>Center</w:t>
            </w:r>
            <w:proofErr w:type="spellEnd"/>
            <w:r>
              <w:t xml:space="preserve"> of Excellence, United States of America</w:t>
            </w:r>
          </w:p>
        </w:tc>
      </w:tr>
      <w:tr w:rsidR="00527D3C" w:rsidRPr="00FD119B" w14:paraId="429BCC62" w14:textId="77777777" w:rsidTr="00862F11">
        <w:tc>
          <w:tcPr>
            <w:tcW w:w="1797" w:type="dxa"/>
          </w:tcPr>
          <w:p w14:paraId="13099A43" w14:textId="77777777" w:rsidR="00527D3C" w:rsidRDefault="00527D3C" w:rsidP="00C85F74">
            <w:pPr>
              <w:ind w:left="144"/>
            </w:pPr>
            <w:r>
              <w:t>ORR</w:t>
            </w:r>
          </w:p>
        </w:tc>
        <w:tc>
          <w:tcPr>
            <w:tcW w:w="6697" w:type="dxa"/>
          </w:tcPr>
          <w:p w14:paraId="726FB5BB" w14:textId="77777777" w:rsidR="00527D3C" w:rsidRPr="00A71895" w:rsidRDefault="00527D3C" w:rsidP="00C85F74">
            <w:pPr>
              <w:ind w:left="144"/>
            </w:pPr>
            <w:r>
              <w:t>Overall response rate</w:t>
            </w:r>
          </w:p>
        </w:tc>
      </w:tr>
      <w:tr w:rsidR="00527D3C" w:rsidRPr="00FD119B" w14:paraId="71C8CF5E" w14:textId="77777777" w:rsidTr="00862F11">
        <w:tc>
          <w:tcPr>
            <w:tcW w:w="1797" w:type="dxa"/>
          </w:tcPr>
          <w:p w14:paraId="6DFC9268" w14:textId="77777777" w:rsidR="00527D3C" w:rsidRDefault="00527D3C" w:rsidP="00C85F74">
            <w:pPr>
              <w:ind w:left="144"/>
            </w:pPr>
            <w:r>
              <w:t>P-</w:t>
            </w:r>
            <w:proofErr w:type="spellStart"/>
            <w:r>
              <w:t>gp</w:t>
            </w:r>
            <w:proofErr w:type="spellEnd"/>
          </w:p>
        </w:tc>
        <w:tc>
          <w:tcPr>
            <w:tcW w:w="6697" w:type="dxa"/>
          </w:tcPr>
          <w:p w14:paraId="0D899293" w14:textId="77777777" w:rsidR="00527D3C" w:rsidRPr="00A71895" w:rsidRDefault="00527D3C" w:rsidP="00C85F74">
            <w:pPr>
              <w:ind w:left="144"/>
            </w:pPr>
            <w:r>
              <w:t>P-glycoprotein</w:t>
            </w:r>
          </w:p>
        </w:tc>
      </w:tr>
      <w:tr w:rsidR="00527D3C" w:rsidRPr="00FD119B" w14:paraId="081D7821" w14:textId="77777777" w:rsidTr="00862F11">
        <w:tc>
          <w:tcPr>
            <w:tcW w:w="1797" w:type="dxa"/>
          </w:tcPr>
          <w:p w14:paraId="3FC82B4E" w14:textId="77777777" w:rsidR="00527D3C" w:rsidRDefault="00527D3C" w:rsidP="00C85F74">
            <w:pPr>
              <w:ind w:left="144"/>
            </w:pPr>
            <w:r>
              <w:t>PI</w:t>
            </w:r>
          </w:p>
        </w:tc>
        <w:tc>
          <w:tcPr>
            <w:tcW w:w="6697" w:type="dxa"/>
          </w:tcPr>
          <w:p w14:paraId="7D322760" w14:textId="77777777" w:rsidR="00527D3C" w:rsidRDefault="00527D3C" w:rsidP="00C85F74">
            <w:pPr>
              <w:ind w:left="144"/>
            </w:pPr>
            <w:r>
              <w:t>Product Information</w:t>
            </w:r>
          </w:p>
        </w:tc>
      </w:tr>
      <w:tr w:rsidR="00527D3C" w:rsidRPr="00FD119B" w14:paraId="732F6129" w14:textId="77777777" w:rsidTr="00862F11">
        <w:tc>
          <w:tcPr>
            <w:tcW w:w="1797" w:type="dxa"/>
          </w:tcPr>
          <w:p w14:paraId="41A73A0F" w14:textId="77777777" w:rsidR="00527D3C" w:rsidRDefault="00527D3C" w:rsidP="00C85F74">
            <w:pPr>
              <w:ind w:left="144"/>
            </w:pPr>
            <w:r>
              <w:t>PK</w:t>
            </w:r>
          </w:p>
        </w:tc>
        <w:tc>
          <w:tcPr>
            <w:tcW w:w="6697" w:type="dxa"/>
          </w:tcPr>
          <w:p w14:paraId="476B1C74" w14:textId="77777777" w:rsidR="00527D3C" w:rsidRDefault="00527D3C" w:rsidP="00C85F74">
            <w:pPr>
              <w:ind w:left="144"/>
            </w:pPr>
            <w:r>
              <w:t>Pharmacokinetic(s)</w:t>
            </w:r>
          </w:p>
        </w:tc>
      </w:tr>
      <w:tr w:rsidR="00527D3C" w:rsidRPr="00FD119B" w14:paraId="6B19B8FE" w14:textId="77777777" w:rsidTr="00862F11">
        <w:tc>
          <w:tcPr>
            <w:tcW w:w="1797" w:type="dxa"/>
          </w:tcPr>
          <w:p w14:paraId="7BAF459F" w14:textId="77777777" w:rsidR="00527D3C" w:rsidRDefault="00527D3C" w:rsidP="00C85F74">
            <w:pPr>
              <w:ind w:left="144"/>
            </w:pPr>
            <w:proofErr w:type="spellStart"/>
            <w:r>
              <w:t>popPK</w:t>
            </w:r>
            <w:proofErr w:type="spellEnd"/>
          </w:p>
        </w:tc>
        <w:tc>
          <w:tcPr>
            <w:tcW w:w="6697" w:type="dxa"/>
          </w:tcPr>
          <w:p w14:paraId="0E0EDBFA" w14:textId="77777777" w:rsidR="00527D3C" w:rsidRDefault="00527D3C" w:rsidP="00C85F74">
            <w:pPr>
              <w:ind w:left="144"/>
            </w:pPr>
            <w:r>
              <w:t>Population pharmacokinetic(s)</w:t>
            </w:r>
          </w:p>
        </w:tc>
      </w:tr>
      <w:tr w:rsidR="00527D3C" w:rsidRPr="00FD119B" w14:paraId="42E9B904" w14:textId="77777777" w:rsidTr="00862F11">
        <w:tc>
          <w:tcPr>
            <w:tcW w:w="1797" w:type="dxa"/>
          </w:tcPr>
          <w:p w14:paraId="54DAEACC" w14:textId="77777777" w:rsidR="00527D3C" w:rsidRDefault="00527D3C" w:rsidP="00C85F74">
            <w:pPr>
              <w:ind w:left="144"/>
            </w:pPr>
            <w:r>
              <w:t>PPI</w:t>
            </w:r>
          </w:p>
        </w:tc>
        <w:tc>
          <w:tcPr>
            <w:tcW w:w="6697" w:type="dxa"/>
          </w:tcPr>
          <w:p w14:paraId="6D6E7E21" w14:textId="77777777" w:rsidR="00527D3C" w:rsidRPr="00A71895" w:rsidRDefault="00527D3C" w:rsidP="00C85F74">
            <w:pPr>
              <w:ind w:left="144"/>
            </w:pPr>
            <w:r>
              <w:t>Proton pump inhibition</w:t>
            </w:r>
          </w:p>
        </w:tc>
      </w:tr>
      <w:tr w:rsidR="00527D3C" w:rsidRPr="00FD119B" w14:paraId="59DB6291" w14:textId="77777777" w:rsidTr="00862F11">
        <w:tc>
          <w:tcPr>
            <w:tcW w:w="1797" w:type="dxa"/>
          </w:tcPr>
          <w:p w14:paraId="1B6BA034" w14:textId="77777777" w:rsidR="00527D3C" w:rsidRDefault="00527D3C" w:rsidP="00C85F74">
            <w:pPr>
              <w:ind w:left="144"/>
            </w:pPr>
            <w:r>
              <w:t>PR</w:t>
            </w:r>
          </w:p>
        </w:tc>
        <w:tc>
          <w:tcPr>
            <w:tcW w:w="6697" w:type="dxa"/>
          </w:tcPr>
          <w:p w14:paraId="0AEDA4E4" w14:textId="77777777" w:rsidR="00527D3C" w:rsidRPr="00A71895" w:rsidRDefault="00527D3C" w:rsidP="00C85F74">
            <w:pPr>
              <w:ind w:left="144"/>
            </w:pPr>
            <w:r>
              <w:t>Partial response</w:t>
            </w:r>
          </w:p>
        </w:tc>
      </w:tr>
      <w:tr w:rsidR="00527D3C" w:rsidRPr="00FD119B" w14:paraId="32739C8B" w14:textId="77777777" w:rsidTr="00862F11">
        <w:tc>
          <w:tcPr>
            <w:tcW w:w="1797" w:type="dxa"/>
          </w:tcPr>
          <w:p w14:paraId="5061472A" w14:textId="77777777" w:rsidR="00527D3C" w:rsidRDefault="00527D3C" w:rsidP="00C85F74">
            <w:pPr>
              <w:ind w:left="144"/>
            </w:pPr>
            <w:r>
              <w:t>RMP</w:t>
            </w:r>
          </w:p>
        </w:tc>
        <w:tc>
          <w:tcPr>
            <w:tcW w:w="6697" w:type="dxa"/>
          </w:tcPr>
          <w:p w14:paraId="3EF40514" w14:textId="77777777" w:rsidR="00527D3C" w:rsidRDefault="00527D3C" w:rsidP="00C85F74">
            <w:pPr>
              <w:ind w:left="144"/>
            </w:pPr>
            <w:r>
              <w:t>Risk management plan</w:t>
            </w:r>
          </w:p>
        </w:tc>
      </w:tr>
      <w:tr w:rsidR="00527D3C" w:rsidRPr="00FD119B" w14:paraId="52A0F16D" w14:textId="77777777" w:rsidTr="00862F11">
        <w:tc>
          <w:tcPr>
            <w:tcW w:w="1797" w:type="dxa"/>
          </w:tcPr>
          <w:p w14:paraId="184956E4" w14:textId="77777777" w:rsidR="00527D3C" w:rsidRDefault="00527D3C" w:rsidP="00C85F74">
            <w:pPr>
              <w:ind w:left="144"/>
            </w:pPr>
            <w:r>
              <w:t>ROCK-2</w:t>
            </w:r>
          </w:p>
        </w:tc>
        <w:tc>
          <w:tcPr>
            <w:tcW w:w="6697" w:type="dxa"/>
          </w:tcPr>
          <w:p w14:paraId="50972CDD" w14:textId="77777777" w:rsidR="00527D3C" w:rsidRDefault="00527D3C" w:rsidP="00C85F74">
            <w:pPr>
              <w:ind w:left="144"/>
            </w:pPr>
            <w:r>
              <w:t>R</w:t>
            </w:r>
            <w:r w:rsidRPr="006E54B4">
              <w:t>ho-associated protein kinase-2</w:t>
            </w:r>
          </w:p>
        </w:tc>
      </w:tr>
      <w:tr w:rsidR="00527D3C" w:rsidRPr="00FD119B" w14:paraId="71AFB8EC" w14:textId="77777777" w:rsidTr="00862F11">
        <w:tc>
          <w:tcPr>
            <w:tcW w:w="1797" w:type="dxa"/>
          </w:tcPr>
          <w:p w14:paraId="035AC5F5" w14:textId="77777777" w:rsidR="00527D3C" w:rsidRDefault="00527D3C" w:rsidP="00C85F74">
            <w:pPr>
              <w:ind w:left="144"/>
            </w:pPr>
            <w:r>
              <w:lastRenderedPageBreak/>
              <w:t>t</w:t>
            </w:r>
            <w:r w:rsidRPr="000E70FC">
              <w:rPr>
                <w:vertAlign w:val="subscript"/>
              </w:rPr>
              <w:t>1/2</w:t>
            </w:r>
          </w:p>
        </w:tc>
        <w:tc>
          <w:tcPr>
            <w:tcW w:w="6697" w:type="dxa"/>
          </w:tcPr>
          <w:p w14:paraId="4C68F5EF" w14:textId="400371B9" w:rsidR="00527D3C" w:rsidRPr="00A71895" w:rsidRDefault="00527D3C" w:rsidP="00C85F74">
            <w:pPr>
              <w:ind w:left="144"/>
            </w:pPr>
            <w:r>
              <w:t xml:space="preserve">Half </w:t>
            </w:r>
            <w:r w:rsidR="00D14926">
              <w:t>life</w:t>
            </w:r>
          </w:p>
        </w:tc>
      </w:tr>
      <w:tr w:rsidR="00527D3C" w:rsidRPr="00FD119B" w14:paraId="099CB9C2" w14:textId="77777777" w:rsidTr="00862F11">
        <w:tc>
          <w:tcPr>
            <w:tcW w:w="1797" w:type="dxa"/>
          </w:tcPr>
          <w:p w14:paraId="7D563389" w14:textId="77777777" w:rsidR="00527D3C" w:rsidRDefault="00527D3C" w:rsidP="00C85F74">
            <w:pPr>
              <w:ind w:left="144"/>
            </w:pPr>
            <w:r>
              <w:t>TEAE</w:t>
            </w:r>
          </w:p>
        </w:tc>
        <w:tc>
          <w:tcPr>
            <w:tcW w:w="6697" w:type="dxa"/>
          </w:tcPr>
          <w:p w14:paraId="6F040E12" w14:textId="5F2E98B4" w:rsidR="00527D3C" w:rsidRDefault="00527D3C" w:rsidP="00C85F74">
            <w:pPr>
              <w:ind w:left="144"/>
            </w:pPr>
            <w:r>
              <w:t>T</w:t>
            </w:r>
            <w:r w:rsidRPr="00D8482E">
              <w:t>reatment</w:t>
            </w:r>
            <w:r w:rsidR="00D14926">
              <w:t>-</w:t>
            </w:r>
            <w:r w:rsidRPr="00D8482E">
              <w:t>emergent adverse event</w:t>
            </w:r>
          </w:p>
        </w:tc>
      </w:tr>
      <w:tr w:rsidR="00527D3C" w:rsidRPr="00FD119B" w14:paraId="3A5358A6" w14:textId="77777777" w:rsidTr="00862F11">
        <w:tc>
          <w:tcPr>
            <w:tcW w:w="1797" w:type="dxa"/>
          </w:tcPr>
          <w:p w14:paraId="5C8F0CA2" w14:textId="77777777" w:rsidR="00527D3C" w:rsidRPr="00FD119B" w:rsidRDefault="00527D3C" w:rsidP="00C85F74">
            <w:pPr>
              <w:ind w:left="144"/>
            </w:pPr>
            <w:proofErr w:type="spellStart"/>
            <w:r>
              <w:t>Tfh</w:t>
            </w:r>
            <w:proofErr w:type="spellEnd"/>
          </w:p>
        </w:tc>
        <w:tc>
          <w:tcPr>
            <w:tcW w:w="6697" w:type="dxa"/>
          </w:tcPr>
          <w:p w14:paraId="76E495CA" w14:textId="77777777" w:rsidR="00527D3C" w:rsidRPr="00FD119B" w:rsidRDefault="00527D3C" w:rsidP="00C85F74">
            <w:pPr>
              <w:ind w:left="144"/>
            </w:pPr>
            <w:r>
              <w:t>T follicular helper cells</w:t>
            </w:r>
          </w:p>
        </w:tc>
      </w:tr>
      <w:tr w:rsidR="00527D3C" w:rsidRPr="00FD119B" w14:paraId="406990B5" w14:textId="77777777" w:rsidTr="00862F11">
        <w:tc>
          <w:tcPr>
            <w:tcW w:w="1797" w:type="dxa"/>
          </w:tcPr>
          <w:p w14:paraId="2A7CB24C" w14:textId="77777777" w:rsidR="00527D3C" w:rsidRPr="00FD119B" w:rsidRDefault="00527D3C" w:rsidP="00C85F74">
            <w:pPr>
              <w:ind w:left="144"/>
            </w:pPr>
            <w:r>
              <w:t>TGA</w:t>
            </w:r>
          </w:p>
        </w:tc>
        <w:tc>
          <w:tcPr>
            <w:tcW w:w="6697" w:type="dxa"/>
          </w:tcPr>
          <w:p w14:paraId="0CD0C6DC" w14:textId="19A50AB5" w:rsidR="00527D3C" w:rsidRPr="00FD119B" w:rsidRDefault="00527D3C" w:rsidP="00C85F74">
            <w:pPr>
              <w:ind w:left="144"/>
            </w:pPr>
            <w:r>
              <w:t xml:space="preserve">Therapeutic Goods </w:t>
            </w:r>
            <w:r w:rsidR="00D14926">
              <w:t>Administration</w:t>
            </w:r>
          </w:p>
        </w:tc>
      </w:tr>
      <w:tr w:rsidR="00527D3C" w:rsidRPr="00FD119B" w14:paraId="50929312" w14:textId="77777777" w:rsidTr="00862F11">
        <w:tc>
          <w:tcPr>
            <w:tcW w:w="1797" w:type="dxa"/>
          </w:tcPr>
          <w:p w14:paraId="2CE13EBB" w14:textId="77777777" w:rsidR="00527D3C" w:rsidRDefault="00527D3C" w:rsidP="00C85F74">
            <w:pPr>
              <w:ind w:left="144"/>
            </w:pPr>
            <w:r>
              <w:t>Th17</w:t>
            </w:r>
          </w:p>
        </w:tc>
        <w:tc>
          <w:tcPr>
            <w:tcW w:w="6697" w:type="dxa"/>
          </w:tcPr>
          <w:p w14:paraId="583050A4" w14:textId="77777777" w:rsidR="00527D3C" w:rsidRDefault="00527D3C" w:rsidP="00C85F74">
            <w:pPr>
              <w:ind w:left="144"/>
            </w:pPr>
            <w:r>
              <w:t>T helper 17 cells</w:t>
            </w:r>
          </w:p>
        </w:tc>
      </w:tr>
      <w:tr w:rsidR="00527D3C" w:rsidRPr="00FD119B" w14:paraId="775CD149" w14:textId="77777777" w:rsidTr="00862F11">
        <w:tc>
          <w:tcPr>
            <w:tcW w:w="1797" w:type="dxa"/>
          </w:tcPr>
          <w:p w14:paraId="2220FE2B" w14:textId="77777777" w:rsidR="00527D3C" w:rsidRDefault="00527D3C" w:rsidP="00C85F74">
            <w:pPr>
              <w:ind w:left="144"/>
            </w:pPr>
            <w:proofErr w:type="spellStart"/>
            <w:r>
              <w:t>T</w:t>
            </w:r>
            <w:r w:rsidRPr="00A71895">
              <w:rPr>
                <w:vertAlign w:val="subscript"/>
              </w:rPr>
              <w:t>max</w:t>
            </w:r>
            <w:proofErr w:type="spellEnd"/>
          </w:p>
        </w:tc>
        <w:tc>
          <w:tcPr>
            <w:tcW w:w="6697" w:type="dxa"/>
          </w:tcPr>
          <w:p w14:paraId="66C38F49" w14:textId="77777777" w:rsidR="00527D3C" w:rsidRDefault="00527D3C" w:rsidP="00C85F74">
            <w:pPr>
              <w:ind w:left="144"/>
            </w:pPr>
            <w:r>
              <w:t>Time to maximum concentration</w:t>
            </w:r>
          </w:p>
        </w:tc>
      </w:tr>
      <w:tr w:rsidR="00527D3C" w:rsidRPr="00FD119B" w14:paraId="6F0C2455" w14:textId="77777777" w:rsidTr="00862F11">
        <w:tc>
          <w:tcPr>
            <w:tcW w:w="1797" w:type="dxa"/>
          </w:tcPr>
          <w:p w14:paraId="3ED5E1B2" w14:textId="77777777" w:rsidR="00527D3C" w:rsidRDefault="00527D3C" w:rsidP="00C85F74">
            <w:pPr>
              <w:ind w:left="144"/>
            </w:pPr>
            <w:r>
              <w:t>Treg</w:t>
            </w:r>
          </w:p>
        </w:tc>
        <w:tc>
          <w:tcPr>
            <w:tcW w:w="6697" w:type="dxa"/>
          </w:tcPr>
          <w:p w14:paraId="2E402D07" w14:textId="6B988902" w:rsidR="00527D3C" w:rsidRDefault="00527D3C" w:rsidP="00C85F74">
            <w:pPr>
              <w:ind w:left="144"/>
            </w:pPr>
            <w:r>
              <w:t>Regulatory T</w:t>
            </w:r>
            <w:r w:rsidR="00D14926">
              <w:t xml:space="preserve"> </w:t>
            </w:r>
            <w:r>
              <w:t>cells</w:t>
            </w:r>
          </w:p>
        </w:tc>
      </w:tr>
      <w:tr w:rsidR="00527D3C" w:rsidRPr="00FD119B" w14:paraId="421ACF30" w14:textId="77777777" w:rsidTr="00862F11">
        <w:tc>
          <w:tcPr>
            <w:tcW w:w="1797" w:type="dxa"/>
          </w:tcPr>
          <w:p w14:paraId="3FDAB2F6" w14:textId="77777777" w:rsidR="00527D3C" w:rsidRDefault="00527D3C" w:rsidP="00C85F74">
            <w:pPr>
              <w:ind w:left="144"/>
            </w:pPr>
            <w:r>
              <w:t>TTR</w:t>
            </w:r>
          </w:p>
        </w:tc>
        <w:tc>
          <w:tcPr>
            <w:tcW w:w="6697" w:type="dxa"/>
          </w:tcPr>
          <w:p w14:paraId="4410585D" w14:textId="77777777" w:rsidR="00527D3C" w:rsidRPr="00A71895" w:rsidRDefault="00527D3C" w:rsidP="00C85F74">
            <w:pPr>
              <w:ind w:left="144"/>
            </w:pPr>
            <w:r>
              <w:t>Time to response</w:t>
            </w:r>
          </w:p>
        </w:tc>
      </w:tr>
      <w:tr w:rsidR="00527D3C" w:rsidRPr="00FD119B" w14:paraId="73CCB86C" w14:textId="77777777" w:rsidTr="00862F11">
        <w:tc>
          <w:tcPr>
            <w:tcW w:w="1797" w:type="dxa"/>
          </w:tcPr>
          <w:p w14:paraId="198B3164" w14:textId="77777777" w:rsidR="00527D3C" w:rsidRDefault="00527D3C" w:rsidP="00C85F74">
            <w:pPr>
              <w:ind w:left="144"/>
            </w:pPr>
            <w:r>
              <w:t>UK</w:t>
            </w:r>
          </w:p>
        </w:tc>
        <w:tc>
          <w:tcPr>
            <w:tcW w:w="6697" w:type="dxa"/>
          </w:tcPr>
          <w:p w14:paraId="0BF291B6" w14:textId="77777777" w:rsidR="00527D3C" w:rsidRDefault="00527D3C" w:rsidP="00C85F74">
            <w:pPr>
              <w:ind w:left="144"/>
            </w:pPr>
            <w:r>
              <w:t>United Kingdom</w:t>
            </w:r>
          </w:p>
        </w:tc>
      </w:tr>
      <w:tr w:rsidR="00527D3C" w:rsidRPr="00FD119B" w14:paraId="7B8DCCD3" w14:textId="77777777" w:rsidTr="00862F11">
        <w:tc>
          <w:tcPr>
            <w:tcW w:w="1797" w:type="dxa"/>
          </w:tcPr>
          <w:p w14:paraId="0FCC081D" w14:textId="77777777" w:rsidR="00527D3C" w:rsidRDefault="00527D3C" w:rsidP="00C85F74">
            <w:pPr>
              <w:ind w:left="144"/>
            </w:pPr>
            <w:r>
              <w:t>ULN</w:t>
            </w:r>
          </w:p>
        </w:tc>
        <w:tc>
          <w:tcPr>
            <w:tcW w:w="6697" w:type="dxa"/>
          </w:tcPr>
          <w:p w14:paraId="21600433" w14:textId="77777777" w:rsidR="00527D3C" w:rsidRDefault="00527D3C" w:rsidP="00C85F74">
            <w:pPr>
              <w:ind w:left="144"/>
            </w:pPr>
            <w:r>
              <w:t>Upper limit of normal</w:t>
            </w:r>
          </w:p>
        </w:tc>
      </w:tr>
      <w:tr w:rsidR="00527D3C" w:rsidRPr="00FD119B" w14:paraId="5C7051B8" w14:textId="77777777" w:rsidTr="00862F11">
        <w:tc>
          <w:tcPr>
            <w:tcW w:w="1797" w:type="dxa"/>
          </w:tcPr>
          <w:p w14:paraId="09F7B29E" w14:textId="77777777" w:rsidR="00527D3C" w:rsidRPr="00FD119B" w:rsidRDefault="00527D3C" w:rsidP="00C85F74">
            <w:pPr>
              <w:ind w:left="144"/>
            </w:pPr>
            <w:r>
              <w:t>US(A)</w:t>
            </w:r>
          </w:p>
        </w:tc>
        <w:tc>
          <w:tcPr>
            <w:tcW w:w="6697" w:type="dxa"/>
          </w:tcPr>
          <w:p w14:paraId="7E8C0387" w14:textId="77777777" w:rsidR="00527D3C" w:rsidRPr="00FD119B" w:rsidRDefault="00527D3C" w:rsidP="00C85F74">
            <w:pPr>
              <w:ind w:left="144"/>
            </w:pPr>
            <w:r>
              <w:t>United States of America</w:t>
            </w:r>
          </w:p>
        </w:tc>
      </w:tr>
      <w:tr w:rsidR="00527D3C" w:rsidRPr="00FD119B" w14:paraId="0B76DD6A" w14:textId="77777777" w:rsidTr="00862F11">
        <w:tc>
          <w:tcPr>
            <w:tcW w:w="1797" w:type="dxa"/>
          </w:tcPr>
          <w:p w14:paraId="5BFBED76" w14:textId="77777777" w:rsidR="00527D3C" w:rsidRDefault="00527D3C" w:rsidP="00C85F74">
            <w:pPr>
              <w:ind w:left="144"/>
            </w:pPr>
            <w:proofErr w:type="spellStart"/>
            <w:r>
              <w:t>Vz</w:t>
            </w:r>
            <w:proofErr w:type="spellEnd"/>
            <w:r>
              <w:t>/F</w:t>
            </w:r>
          </w:p>
        </w:tc>
        <w:tc>
          <w:tcPr>
            <w:tcW w:w="6697" w:type="dxa"/>
          </w:tcPr>
          <w:p w14:paraId="6AD1BE1A" w14:textId="77777777" w:rsidR="00527D3C" w:rsidRPr="00A71895" w:rsidRDefault="00527D3C" w:rsidP="00C85F74">
            <w:pPr>
              <w:ind w:left="144"/>
            </w:pPr>
            <w:r>
              <w:t xml:space="preserve">Apparent </w:t>
            </w:r>
            <w:r w:rsidRPr="009031D6">
              <w:t>volume of distribution during terminal phase</w:t>
            </w:r>
          </w:p>
        </w:tc>
      </w:tr>
    </w:tbl>
    <w:p w14:paraId="41220342" w14:textId="77777777" w:rsidR="00FD119B" w:rsidRDefault="00FD119B" w:rsidP="00FD119B"/>
    <w:p w14:paraId="50E3C096" w14:textId="77777777" w:rsidR="00FD119B" w:rsidRPr="00FD119B" w:rsidRDefault="00FD119B" w:rsidP="00FD119B">
      <w:pPr>
        <w:spacing w:before="0" w:after="200" w:line="0" w:lineRule="auto"/>
        <w:rPr>
          <w:b/>
          <w:i/>
          <w:sz w:val="24"/>
          <w:szCs w:val="24"/>
        </w:rPr>
      </w:pPr>
      <w:r w:rsidRPr="00FD119B">
        <w:rPr>
          <w:b/>
          <w:i/>
          <w:sz w:val="24"/>
          <w:szCs w:val="24"/>
        </w:rPr>
        <w:br w:type="page"/>
      </w:r>
    </w:p>
    <w:p w14:paraId="1B80437F" w14:textId="77777777" w:rsidR="008E7846" w:rsidRDefault="00F53C07" w:rsidP="008E7846">
      <w:pPr>
        <w:pStyle w:val="Heading2"/>
      </w:pPr>
      <w:bookmarkStart w:id="8" w:name="_Toc102638217"/>
      <w:r>
        <w:lastRenderedPageBreak/>
        <w:t>I.</w:t>
      </w:r>
      <w:r w:rsidR="008E7846">
        <w:t xml:space="preserve"> Introduction to product submission</w:t>
      </w:r>
      <w:bookmarkEnd w:id="8"/>
      <w:bookmarkEnd w:id="0"/>
      <w:bookmarkEnd w:id="2"/>
    </w:p>
    <w:p w14:paraId="22AA14F0" w14:textId="77777777" w:rsidR="008E7846" w:rsidRDefault="008E7846" w:rsidP="008E7846">
      <w:pPr>
        <w:pStyle w:val="Heading3"/>
        <w:rPr>
          <w:lang w:eastAsia="en-AU"/>
        </w:rPr>
      </w:pPr>
      <w:bookmarkStart w:id="9" w:name="_Toc247691502"/>
      <w:bookmarkStart w:id="10" w:name="_Toc314842483"/>
      <w:bookmarkStart w:id="11" w:name="_Toc102638218"/>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7BAEF6F3" w14:textId="77777777" w:rsidTr="003735BC">
        <w:tc>
          <w:tcPr>
            <w:tcW w:w="2907" w:type="dxa"/>
          </w:tcPr>
          <w:p w14:paraId="71F1FEB2"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6BC4E5C0" w14:textId="33F00867" w:rsidR="008E7846" w:rsidRPr="003D1E62" w:rsidRDefault="008E7846" w:rsidP="001B5C90">
            <w:r w:rsidRPr="003D1E62">
              <w:t xml:space="preserve">New </w:t>
            </w:r>
            <w:r w:rsidR="001B5C90">
              <w:t>c</w:t>
            </w:r>
            <w:r w:rsidRPr="003D1E62">
              <w:t xml:space="preserve">hemical </w:t>
            </w:r>
            <w:r w:rsidR="001B5C90">
              <w:t>e</w:t>
            </w:r>
            <w:r w:rsidRPr="003D1E62">
              <w:t>ntity</w:t>
            </w:r>
          </w:p>
        </w:tc>
      </w:tr>
      <w:tr w:rsidR="00460036" w:rsidRPr="003D1E62" w14:paraId="5AEBF821" w14:textId="77777777" w:rsidTr="003735BC">
        <w:tc>
          <w:tcPr>
            <w:tcW w:w="2907" w:type="dxa"/>
          </w:tcPr>
          <w:p w14:paraId="0244C064" w14:textId="6D335955" w:rsidR="00460036" w:rsidRPr="003D1E62" w:rsidRDefault="00460036" w:rsidP="003D1E62">
            <w:pPr>
              <w:rPr>
                <w:i/>
              </w:rPr>
            </w:pPr>
            <w:r w:rsidRPr="00460036">
              <w:rPr>
                <w:i/>
              </w:rPr>
              <w:t>Product name:</w:t>
            </w:r>
          </w:p>
        </w:tc>
        <w:tc>
          <w:tcPr>
            <w:tcW w:w="6307" w:type="dxa"/>
          </w:tcPr>
          <w:p w14:paraId="22957666" w14:textId="3EC7C356" w:rsidR="00460036" w:rsidRPr="003D1E62" w:rsidRDefault="001D03F9" w:rsidP="001B5C90">
            <w:proofErr w:type="spellStart"/>
            <w:r>
              <w:t>Rholistic</w:t>
            </w:r>
            <w:proofErr w:type="spellEnd"/>
          </w:p>
        </w:tc>
      </w:tr>
      <w:tr w:rsidR="00460036" w:rsidRPr="003D1E62" w14:paraId="32CB7CC9" w14:textId="77777777" w:rsidTr="003735BC">
        <w:tc>
          <w:tcPr>
            <w:tcW w:w="2907" w:type="dxa"/>
          </w:tcPr>
          <w:p w14:paraId="299AE900" w14:textId="256FCEE3" w:rsidR="00460036" w:rsidRPr="003D1E62" w:rsidRDefault="00460036" w:rsidP="003D1E62">
            <w:pPr>
              <w:rPr>
                <w:i/>
              </w:rPr>
            </w:pPr>
            <w:r w:rsidRPr="00460036">
              <w:rPr>
                <w:i/>
              </w:rPr>
              <w:t>Active ingredient:</w:t>
            </w:r>
          </w:p>
        </w:tc>
        <w:tc>
          <w:tcPr>
            <w:tcW w:w="6307" w:type="dxa"/>
          </w:tcPr>
          <w:p w14:paraId="36E964C4" w14:textId="20AC3DFF" w:rsidR="00460036" w:rsidRPr="003D1E62" w:rsidRDefault="001D03F9" w:rsidP="001B5C90">
            <w:proofErr w:type="spellStart"/>
            <w:r w:rsidRPr="001D03F9">
              <w:t>Belumosudil</w:t>
            </w:r>
            <w:proofErr w:type="spellEnd"/>
            <w:r w:rsidRPr="001D03F9">
              <w:t xml:space="preserve"> (as mesylate)</w:t>
            </w:r>
          </w:p>
        </w:tc>
      </w:tr>
      <w:tr w:rsidR="008E7846" w:rsidRPr="003D1E62" w14:paraId="52B898D0" w14:textId="77777777" w:rsidTr="003735BC">
        <w:tc>
          <w:tcPr>
            <w:tcW w:w="2907" w:type="dxa"/>
          </w:tcPr>
          <w:p w14:paraId="437EECBB" w14:textId="77777777" w:rsidR="008E7846" w:rsidRPr="003D1E62" w:rsidRDefault="008E7846" w:rsidP="003D1E62">
            <w:r w:rsidRPr="003D1E62">
              <w:rPr>
                <w:i/>
              </w:rPr>
              <w:t>Decision</w:t>
            </w:r>
            <w:r w:rsidRPr="003D1E62">
              <w:t>:</w:t>
            </w:r>
          </w:p>
        </w:tc>
        <w:tc>
          <w:tcPr>
            <w:tcW w:w="6307" w:type="dxa"/>
          </w:tcPr>
          <w:p w14:paraId="774CA73C" w14:textId="0C492731" w:rsidR="008E7846" w:rsidRPr="003D1E62" w:rsidRDefault="00460036" w:rsidP="001B5C90">
            <w:r w:rsidRPr="00460036">
              <w:t>Approved</w:t>
            </w:r>
          </w:p>
        </w:tc>
      </w:tr>
      <w:tr w:rsidR="008E7846" w:rsidRPr="003D1E62" w14:paraId="28B346B2" w14:textId="77777777" w:rsidTr="003735BC">
        <w:tc>
          <w:tcPr>
            <w:tcW w:w="2907" w:type="dxa"/>
          </w:tcPr>
          <w:p w14:paraId="0ECB52AF"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292FC55D" w14:textId="78DACBE4" w:rsidR="008E7846" w:rsidRPr="003D1E62" w:rsidRDefault="001D03F9" w:rsidP="001B5C90">
            <w:r>
              <w:t>11 November 2021</w:t>
            </w:r>
          </w:p>
        </w:tc>
      </w:tr>
      <w:tr w:rsidR="00ED2922" w:rsidRPr="003D1E62" w14:paraId="050FAACB" w14:textId="77777777" w:rsidTr="003735BC">
        <w:tc>
          <w:tcPr>
            <w:tcW w:w="2907" w:type="dxa"/>
          </w:tcPr>
          <w:p w14:paraId="00ABE034" w14:textId="77777777" w:rsidR="00ED2922" w:rsidRPr="00441C3F" w:rsidRDefault="00ED2922" w:rsidP="001B5C90">
            <w:pPr>
              <w:rPr>
                <w:i/>
              </w:rPr>
            </w:pPr>
            <w:r w:rsidRPr="00441C3F">
              <w:rPr>
                <w:i/>
              </w:rPr>
              <w:t>Date of entry onto ARTG</w:t>
            </w:r>
            <w:r w:rsidR="00500337">
              <w:rPr>
                <w:i/>
              </w:rPr>
              <w:t>:</w:t>
            </w:r>
          </w:p>
        </w:tc>
        <w:tc>
          <w:tcPr>
            <w:tcW w:w="6307" w:type="dxa"/>
          </w:tcPr>
          <w:p w14:paraId="5CC4CD95" w14:textId="1214FBCB" w:rsidR="00ED2922" w:rsidRPr="00441C3F" w:rsidRDefault="001D03F9" w:rsidP="00D153D8">
            <w:pPr>
              <w:rPr>
                <w:i/>
              </w:rPr>
            </w:pPr>
            <w:r>
              <w:t>12 November 2021</w:t>
            </w:r>
          </w:p>
        </w:tc>
      </w:tr>
      <w:tr w:rsidR="00500337" w:rsidRPr="003D1E62" w14:paraId="789E820E" w14:textId="77777777" w:rsidTr="003735BC">
        <w:tc>
          <w:tcPr>
            <w:tcW w:w="2907" w:type="dxa"/>
          </w:tcPr>
          <w:p w14:paraId="4517EEA2" w14:textId="7962A6C7" w:rsidR="00500337" w:rsidRPr="00441C3F" w:rsidRDefault="00500337" w:rsidP="001B5C90">
            <w:pPr>
              <w:rPr>
                <w:i/>
              </w:rPr>
            </w:pPr>
            <w:r>
              <w:rPr>
                <w:i/>
              </w:rPr>
              <w:t>ARTG number:</w:t>
            </w:r>
          </w:p>
        </w:tc>
        <w:tc>
          <w:tcPr>
            <w:tcW w:w="6307" w:type="dxa"/>
          </w:tcPr>
          <w:p w14:paraId="422AA23B" w14:textId="70221BB1" w:rsidR="00500337" w:rsidRPr="00441C3F" w:rsidRDefault="001D03F9" w:rsidP="00EC463D">
            <w:r>
              <w:t>346583</w:t>
            </w:r>
          </w:p>
        </w:tc>
      </w:tr>
      <w:tr w:rsidR="003735BC" w:rsidRPr="003D1E62" w14:paraId="4ECA56A8" w14:textId="77777777" w:rsidTr="003735BC">
        <w:tc>
          <w:tcPr>
            <w:tcW w:w="2907" w:type="dxa"/>
          </w:tcPr>
          <w:p w14:paraId="73F03E01"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6287B45B" w14:textId="20AEE60E" w:rsidR="003735BC" w:rsidRDefault="003735BC" w:rsidP="003735BC">
            <w:r>
              <w:t>Yes</w:t>
            </w:r>
          </w:p>
          <w:p w14:paraId="0E6EE16A" w14:textId="15FF709D" w:rsidR="003735BC" w:rsidRPr="00487162" w:rsidRDefault="003735BC" w:rsidP="003735BC">
            <w:r>
              <w:t xml:space="preserve">This product will remain in the scheme for 5 years, starting on the date the product is first supplied in </w:t>
            </w:r>
            <w:r w:rsidRPr="00D453FA">
              <w:t>Australia</w:t>
            </w:r>
          </w:p>
        </w:tc>
      </w:tr>
    </w:tbl>
    <w:p w14:paraId="436B38E2"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1D2EAB84" w14:textId="77777777" w:rsidTr="00BF1190">
        <w:tc>
          <w:tcPr>
            <w:tcW w:w="2907" w:type="dxa"/>
          </w:tcPr>
          <w:p w14:paraId="03720561"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7EBB03DF" w14:textId="77777777" w:rsidR="002432CD" w:rsidRDefault="002432CD" w:rsidP="002432CD">
            <w:proofErr w:type="spellStart"/>
            <w:r>
              <w:t>Kadmon</w:t>
            </w:r>
            <w:proofErr w:type="spellEnd"/>
            <w:r>
              <w:t xml:space="preserve"> Oceania Pty Ltd</w:t>
            </w:r>
          </w:p>
          <w:p w14:paraId="5D9A37DF" w14:textId="55CD07F6" w:rsidR="00D14926" w:rsidRDefault="002432CD">
            <w:r>
              <w:t xml:space="preserve">Level 13, 77 Castlereagh St, </w:t>
            </w:r>
          </w:p>
          <w:p w14:paraId="48451475" w14:textId="423535AC" w:rsidR="008E7846" w:rsidRPr="00487162" w:rsidRDefault="00D14926">
            <w:r>
              <w:t>Sydney, N</w:t>
            </w:r>
            <w:r w:rsidR="002432CD">
              <w:t>SW</w:t>
            </w:r>
            <w:r>
              <w:t>,</w:t>
            </w:r>
            <w:r w:rsidR="002432CD">
              <w:t xml:space="preserve"> 2000</w:t>
            </w:r>
          </w:p>
        </w:tc>
      </w:tr>
      <w:tr w:rsidR="008E7846" w:rsidRPr="00487162" w14:paraId="7824D94F" w14:textId="77777777" w:rsidTr="00BF1190">
        <w:tc>
          <w:tcPr>
            <w:tcW w:w="2907" w:type="dxa"/>
          </w:tcPr>
          <w:p w14:paraId="2276A6B8" w14:textId="2532D39D" w:rsidR="008E7846" w:rsidRPr="00487162" w:rsidRDefault="001B5C90" w:rsidP="00E45619">
            <w:pPr>
              <w:rPr>
                <w:i/>
              </w:rPr>
            </w:pPr>
            <w:r>
              <w:rPr>
                <w:i/>
              </w:rPr>
              <w:t>Dose form:</w:t>
            </w:r>
          </w:p>
        </w:tc>
        <w:tc>
          <w:tcPr>
            <w:tcW w:w="6307" w:type="dxa"/>
          </w:tcPr>
          <w:p w14:paraId="3CE6AA6D" w14:textId="7CCFEB04" w:rsidR="008E7846" w:rsidRPr="00487162" w:rsidRDefault="002432CD" w:rsidP="00E45619">
            <w:r>
              <w:t>Film coated tablet</w:t>
            </w:r>
          </w:p>
        </w:tc>
      </w:tr>
      <w:tr w:rsidR="008E7846" w:rsidRPr="00487162" w14:paraId="24D89180" w14:textId="77777777" w:rsidTr="00BF1190">
        <w:tc>
          <w:tcPr>
            <w:tcW w:w="2907" w:type="dxa"/>
          </w:tcPr>
          <w:p w14:paraId="38B19101" w14:textId="4629E922" w:rsidR="008E7846" w:rsidRPr="00487162" w:rsidRDefault="00324E45" w:rsidP="00E45619">
            <w:pPr>
              <w:rPr>
                <w:i/>
              </w:rPr>
            </w:pPr>
            <w:r>
              <w:rPr>
                <w:i/>
              </w:rPr>
              <w:t>Strength:</w:t>
            </w:r>
          </w:p>
        </w:tc>
        <w:tc>
          <w:tcPr>
            <w:tcW w:w="6307" w:type="dxa"/>
          </w:tcPr>
          <w:p w14:paraId="0F149D05" w14:textId="7F3D1795" w:rsidR="008E7846" w:rsidRPr="00487162" w:rsidRDefault="002432CD" w:rsidP="00E45619">
            <w:r>
              <w:t xml:space="preserve">200 mg (equivalent to 242.5 mg </w:t>
            </w:r>
            <w:proofErr w:type="spellStart"/>
            <w:r w:rsidRPr="002432CD">
              <w:t>belumosudil</w:t>
            </w:r>
            <w:proofErr w:type="spellEnd"/>
            <w:r w:rsidRPr="002432CD">
              <w:t xml:space="preserve"> </w:t>
            </w:r>
            <w:r>
              <w:t>mesylate)</w:t>
            </w:r>
          </w:p>
        </w:tc>
      </w:tr>
      <w:tr w:rsidR="008E7846" w:rsidRPr="00487162" w14:paraId="4AAFEA73" w14:textId="77777777" w:rsidTr="00BF1190">
        <w:tc>
          <w:tcPr>
            <w:tcW w:w="2907" w:type="dxa"/>
          </w:tcPr>
          <w:p w14:paraId="23529652" w14:textId="43BA4B9C" w:rsidR="008E7846" w:rsidRPr="00487162" w:rsidRDefault="008E7846" w:rsidP="00E45619">
            <w:pPr>
              <w:rPr>
                <w:i/>
              </w:rPr>
            </w:pPr>
            <w:r w:rsidRPr="00487162">
              <w:rPr>
                <w:i/>
              </w:rPr>
              <w:t>Container:</w:t>
            </w:r>
          </w:p>
        </w:tc>
        <w:tc>
          <w:tcPr>
            <w:tcW w:w="6307" w:type="dxa"/>
          </w:tcPr>
          <w:p w14:paraId="325D91D2" w14:textId="095CA839" w:rsidR="008E7846" w:rsidRPr="00487162" w:rsidRDefault="002432CD" w:rsidP="00E45619">
            <w:r>
              <w:t>Bottle</w:t>
            </w:r>
          </w:p>
        </w:tc>
      </w:tr>
      <w:tr w:rsidR="008E7846" w:rsidRPr="00487162" w14:paraId="10DB8749" w14:textId="77777777" w:rsidTr="00BF1190">
        <w:tc>
          <w:tcPr>
            <w:tcW w:w="2907" w:type="dxa"/>
          </w:tcPr>
          <w:p w14:paraId="59C20A5A" w14:textId="712C7E3D" w:rsidR="008E7846" w:rsidRPr="00487162" w:rsidRDefault="008E7846" w:rsidP="00E45619">
            <w:pPr>
              <w:rPr>
                <w:i/>
              </w:rPr>
            </w:pPr>
            <w:r w:rsidRPr="00487162">
              <w:rPr>
                <w:i/>
              </w:rPr>
              <w:t>Pack size:</w:t>
            </w:r>
          </w:p>
        </w:tc>
        <w:tc>
          <w:tcPr>
            <w:tcW w:w="6307" w:type="dxa"/>
          </w:tcPr>
          <w:p w14:paraId="041410F7" w14:textId="1DE67AD4" w:rsidR="008E7846" w:rsidRPr="00487162" w:rsidRDefault="002432CD" w:rsidP="00E45619">
            <w:r>
              <w:t>30</w:t>
            </w:r>
          </w:p>
        </w:tc>
      </w:tr>
      <w:tr w:rsidR="008E7846" w:rsidRPr="00487162" w14:paraId="1C1397D7" w14:textId="77777777" w:rsidTr="00BF1190">
        <w:tc>
          <w:tcPr>
            <w:tcW w:w="2907" w:type="dxa"/>
          </w:tcPr>
          <w:p w14:paraId="50E1ADCC"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CD54060" w14:textId="05F38474" w:rsidR="008E7846" w:rsidRPr="002432CD" w:rsidRDefault="002432CD" w:rsidP="00E45619">
            <w:pPr>
              <w:rPr>
                <w:rFonts w:eastAsia="MS Mincho"/>
                <w:i/>
                <w:iCs/>
                <w:lang w:eastAsia="ja-JP"/>
              </w:rPr>
            </w:pPr>
            <w:proofErr w:type="spellStart"/>
            <w:r w:rsidRPr="002432CD">
              <w:rPr>
                <w:i/>
                <w:iCs/>
              </w:rPr>
              <w:t>Rholistiq</w:t>
            </w:r>
            <w:proofErr w:type="spellEnd"/>
            <w:r w:rsidRPr="002432CD">
              <w:rPr>
                <w:i/>
                <w:iCs/>
              </w:rPr>
              <w:t xml:space="preserve"> is indicated for the treatment of patients with chronic graft-versus-host disease (chronic GVHD) aged 12 years and older who have an inadequate response to corticosteroids.</w:t>
            </w:r>
          </w:p>
        </w:tc>
      </w:tr>
      <w:tr w:rsidR="008E7846" w:rsidRPr="00487162" w14:paraId="13027678" w14:textId="77777777" w:rsidTr="00BF1190">
        <w:tc>
          <w:tcPr>
            <w:tcW w:w="2907" w:type="dxa"/>
          </w:tcPr>
          <w:p w14:paraId="36B4DB6A" w14:textId="5914BEF1" w:rsidR="008E7846" w:rsidRPr="00487162" w:rsidRDefault="008E7846" w:rsidP="00E45619">
            <w:pPr>
              <w:rPr>
                <w:i/>
              </w:rPr>
            </w:pPr>
            <w:r w:rsidRPr="00487162">
              <w:rPr>
                <w:i/>
              </w:rPr>
              <w:t>Route of administration:</w:t>
            </w:r>
          </w:p>
        </w:tc>
        <w:tc>
          <w:tcPr>
            <w:tcW w:w="6307" w:type="dxa"/>
          </w:tcPr>
          <w:p w14:paraId="53522FD9" w14:textId="2B1B5A64" w:rsidR="008E7846" w:rsidRPr="00487162" w:rsidRDefault="002432CD" w:rsidP="00E45619">
            <w:r>
              <w:t>Oral</w:t>
            </w:r>
          </w:p>
        </w:tc>
      </w:tr>
      <w:tr w:rsidR="008E7846" w:rsidRPr="00487162" w14:paraId="74C527BC" w14:textId="77777777" w:rsidTr="00BF1190">
        <w:tc>
          <w:tcPr>
            <w:tcW w:w="2907" w:type="dxa"/>
          </w:tcPr>
          <w:p w14:paraId="60879CE1" w14:textId="77777777" w:rsidR="008E7846" w:rsidRPr="00487162" w:rsidRDefault="008E7846" w:rsidP="00E45619">
            <w:pPr>
              <w:rPr>
                <w:i/>
              </w:rPr>
            </w:pPr>
            <w:r w:rsidRPr="00487162">
              <w:rPr>
                <w:i/>
              </w:rPr>
              <w:t>Dosage:</w:t>
            </w:r>
          </w:p>
        </w:tc>
        <w:tc>
          <w:tcPr>
            <w:tcW w:w="6307" w:type="dxa"/>
          </w:tcPr>
          <w:p w14:paraId="76CCF476" w14:textId="2FCB4429" w:rsidR="002432CD" w:rsidRDefault="002432CD" w:rsidP="002432CD">
            <w:r>
              <w:t xml:space="preserve">The recommended dose of </w:t>
            </w:r>
            <w:proofErr w:type="spellStart"/>
            <w:r w:rsidRPr="002432CD">
              <w:t>Rholistiq</w:t>
            </w:r>
            <w:proofErr w:type="spellEnd"/>
            <w:r>
              <w:t xml:space="preserve"> is 200 mg given orally once daily.</w:t>
            </w:r>
          </w:p>
          <w:p w14:paraId="31DFE0F0" w14:textId="0FB6E71D" w:rsidR="00460036" w:rsidRPr="00487162" w:rsidRDefault="00460036" w:rsidP="002432CD">
            <w:r w:rsidRPr="00460036">
              <w:t>For further information regarding dosage, refer to the Product Information.</w:t>
            </w:r>
          </w:p>
        </w:tc>
      </w:tr>
      <w:tr w:rsidR="00460036" w:rsidRPr="00487162" w14:paraId="1FF31F55" w14:textId="77777777" w:rsidTr="00BF1190">
        <w:tc>
          <w:tcPr>
            <w:tcW w:w="2907" w:type="dxa"/>
          </w:tcPr>
          <w:p w14:paraId="4A923B40" w14:textId="77777777" w:rsidR="00460036" w:rsidRPr="00487162" w:rsidRDefault="00460036" w:rsidP="00E45619">
            <w:pPr>
              <w:rPr>
                <w:i/>
              </w:rPr>
            </w:pPr>
            <w:r w:rsidRPr="00460036">
              <w:rPr>
                <w:i/>
              </w:rPr>
              <w:lastRenderedPageBreak/>
              <w:t>Pregnancy category</w:t>
            </w:r>
            <w:r>
              <w:rPr>
                <w:i/>
              </w:rPr>
              <w:t>:</w:t>
            </w:r>
          </w:p>
        </w:tc>
        <w:tc>
          <w:tcPr>
            <w:tcW w:w="6307" w:type="dxa"/>
          </w:tcPr>
          <w:p w14:paraId="385A60F7" w14:textId="00A510B6" w:rsidR="002432CD" w:rsidRDefault="002432CD" w:rsidP="002432CD">
            <w:r>
              <w:t>D</w:t>
            </w:r>
          </w:p>
          <w:p w14:paraId="3F22A1DC" w14:textId="7E46BE77" w:rsidR="002432CD" w:rsidRDefault="002432CD" w:rsidP="002432CD">
            <w:r>
              <w:t xml:space="preserve">Drugs which have caused, are suspected to have caused or may be expected to cause, an increased incidence of human </w:t>
            </w:r>
            <w:proofErr w:type="spellStart"/>
            <w:r>
              <w:t>fetal</w:t>
            </w:r>
            <w:proofErr w:type="spellEnd"/>
            <w:r>
              <w:t xml:space="preserve"> malformations or irreversible damage. These drugs may also have adverse pharmacological effects. Accompanying texts should be consulted for further details.</w:t>
            </w:r>
          </w:p>
          <w:p w14:paraId="46C21D84" w14:textId="2A0C90FA"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4D05B334" w14:textId="77777777" w:rsidR="008E7846" w:rsidRDefault="008E7846" w:rsidP="008E7846">
      <w:pPr>
        <w:pStyle w:val="Heading3"/>
      </w:pPr>
      <w:bookmarkStart w:id="12" w:name="_Toc247691503"/>
      <w:bookmarkStart w:id="13" w:name="_Toc314842484"/>
      <w:bookmarkStart w:id="14" w:name="_Toc102638219"/>
      <w:r>
        <w:t>Product background</w:t>
      </w:r>
      <w:bookmarkEnd w:id="12"/>
      <w:bookmarkEnd w:id="13"/>
      <w:bookmarkEnd w:id="14"/>
    </w:p>
    <w:p w14:paraId="6EB8BBFD" w14:textId="4942FCF5" w:rsidR="008E7846" w:rsidRDefault="00250271" w:rsidP="00940A89">
      <w:r w:rsidRPr="00250271">
        <w:t xml:space="preserve">This </w:t>
      </w:r>
      <w:proofErr w:type="spellStart"/>
      <w:r w:rsidRPr="00250271">
        <w:t>AusPAR</w:t>
      </w:r>
      <w:proofErr w:type="spellEnd"/>
      <w:r w:rsidRPr="00250271">
        <w:t xml:space="preserve"> describes the application by </w:t>
      </w:r>
      <w:proofErr w:type="spellStart"/>
      <w:r w:rsidR="003646EF">
        <w:t>Kadmon</w:t>
      </w:r>
      <w:proofErr w:type="spellEnd"/>
      <w:r w:rsidR="003646EF">
        <w:t xml:space="preserve"> Oceania Pty Ltd</w:t>
      </w:r>
      <w:r w:rsidRPr="00250271">
        <w:t xml:space="preserve"> (the sponsor) to register </w:t>
      </w:r>
      <w:proofErr w:type="spellStart"/>
      <w:r w:rsidR="003646EF">
        <w:t>Rholistiq</w:t>
      </w:r>
      <w:proofErr w:type="spellEnd"/>
      <w:r w:rsidR="003646EF">
        <w:t xml:space="preserve"> (</w:t>
      </w:r>
      <w:proofErr w:type="spellStart"/>
      <w:r w:rsidR="003646EF" w:rsidRPr="001D03F9">
        <w:t>belumosudil</w:t>
      </w:r>
      <w:proofErr w:type="spellEnd"/>
      <w:r w:rsidRPr="00250271">
        <w:t xml:space="preserve">) </w:t>
      </w:r>
      <w:r w:rsidR="003646EF">
        <w:t>200mg</w:t>
      </w:r>
      <w:r w:rsidRPr="00250271">
        <w:t xml:space="preserve">, </w:t>
      </w:r>
      <w:r w:rsidR="003646EF">
        <w:t>film coated tablet</w:t>
      </w:r>
      <w:r w:rsidRPr="00250271">
        <w:t xml:space="preserve"> for the following proposed indication</w:t>
      </w:r>
      <w:r w:rsidR="00CF5DAD">
        <w:t>:</w:t>
      </w:r>
    </w:p>
    <w:p w14:paraId="125DEE98" w14:textId="547F128B" w:rsidR="003646EF" w:rsidRPr="003646EF" w:rsidRDefault="003646EF" w:rsidP="003646EF">
      <w:pPr>
        <w:ind w:left="720"/>
        <w:rPr>
          <w:i/>
          <w:iCs/>
        </w:rPr>
      </w:pPr>
      <w:r w:rsidRPr="003646EF">
        <w:rPr>
          <w:i/>
          <w:iCs/>
        </w:rPr>
        <w:t>The treatment of patients 12 years and older with chronic graft-versus-host disease (</w:t>
      </w:r>
      <w:proofErr w:type="spellStart"/>
      <w:r w:rsidRPr="003646EF">
        <w:rPr>
          <w:i/>
          <w:iCs/>
        </w:rPr>
        <w:t>cGVHD</w:t>
      </w:r>
      <w:proofErr w:type="spellEnd"/>
      <w:r w:rsidRPr="003646EF">
        <w:rPr>
          <w:i/>
          <w:iCs/>
        </w:rPr>
        <w:t>) after failure of at least one prior line of systemic therapy</w:t>
      </w:r>
      <w:r>
        <w:rPr>
          <w:i/>
          <w:iCs/>
        </w:rPr>
        <w:t>.</w:t>
      </w:r>
    </w:p>
    <w:p w14:paraId="42BD0D82" w14:textId="0807125C" w:rsidR="003646EF" w:rsidRDefault="003646EF" w:rsidP="003646EF">
      <w:r>
        <w:t>H</w:t>
      </w:r>
      <w:r w:rsidR="00D14926">
        <w:t>a</w:t>
      </w:r>
      <w:r>
        <w:t xml:space="preserve">ematopoietic cell transplantation, occurring in approximately 30% to 55% of transplant recipients and involving multiple organs. The pathophysiology of chronic </w:t>
      </w:r>
      <w:r w:rsidRPr="003646EF">
        <w:t>graft</w:t>
      </w:r>
      <w:r w:rsidR="00CE2354">
        <w:t xml:space="preserve"> </w:t>
      </w:r>
      <w:r w:rsidRPr="003646EF">
        <w:t>versus</w:t>
      </w:r>
      <w:r w:rsidR="00CE2354">
        <w:t xml:space="preserve"> </w:t>
      </w:r>
      <w:r w:rsidRPr="003646EF">
        <w:t>host disease</w:t>
      </w:r>
      <w:r w:rsidRPr="003646EF">
        <w:rPr>
          <w:i/>
          <w:iCs/>
        </w:rPr>
        <w:t xml:space="preserve"> </w:t>
      </w:r>
      <w:r w:rsidRPr="003646EF">
        <w:t>(</w:t>
      </w:r>
      <w:proofErr w:type="spellStart"/>
      <w:r>
        <w:t>cGVHD</w:t>
      </w:r>
      <w:proofErr w:type="spellEnd"/>
      <w:r>
        <w:t>) involves inflammation, humoral immunity, cell mediated immunity, and fibrosis.</w:t>
      </w:r>
    </w:p>
    <w:p w14:paraId="69BC060C" w14:textId="702B6EAD" w:rsidR="003646EF" w:rsidRDefault="003646EF" w:rsidP="003646EF">
      <w:r>
        <w:t>Chronic graft versus host disease pathology involves both T- and B-cells and is characterised by overproduction of pro-inflammatory cytokines interleukin (IL)-21 and IL-17 and over activation of pro-inflammatory T follicular helper cells (</w:t>
      </w:r>
      <w:proofErr w:type="spellStart"/>
      <w:r>
        <w:t>Tfh</w:t>
      </w:r>
      <w:proofErr w:type="spellEnd"/>
      <w:r>
        <w:t xml:space="preserve">) and B-cells, leading to overproduction of antibodies. In addition, </w:t>
      </w:r>
      <w:proofErr w:type="spellStart"/>
      <w:r>
        <w:t>cGVHD</w:t>
      </w:r>
      <w:proofErr w:type="spellEnd"/>
      <w:r>
        <w:t xml:space="preserve"> is associated with fibrotic change in multiple organs. The pathogenesis is thought to evolve from an acute inflammatory response to tissue injury early post-transplant which evolves into chronic inflammation and dysregulation of both T</w:t>
      </w:r>
      <w:r w:rsidR="00DB1ACB">
        <w:t>-</w:t>
      </w:r>
      <w:r>
        <w:t xml:space="preserve"> and B</w:t>
      </w:r>
      <w:r w:rsidR="00DB1ACB">
        <w:t>-</w:t>
      </w:r>
      <w:r>
        <w:t>cells with subsequent aberrant tissue repair and fibrotic reaction.</w:t>
      </w:r>
    </w:p>
    <w:p w14:paraId="6D40E1AF" w14:textId="70A65503" w:rsidR="003646EF" w:rsidRDefault="003646EF" w:rsidP="003646EF">
      <w:r>
        <w:t xml:space="preserve">Manifestations may be systemic, involving multiple organs, with profound impact upon quality of life and </w:t>
      </w:r>
      <w:proofErr w:type="spellStart"/>
      <w:r>
        <w:t>nonrelapse</w:t>
      </w:r>
      <w:proofErr w:type="spellEnd"/>
      <w:r>
        <w:t xml:space="preserve"> mortality. Patients who develop </w:t>
      </w:r>
      <w:proofErr w:type="spellStart"/>
      <w:r>
        <w:t>cGVHD</w:t>
      </w:r>
      <w:proofErr w:type="spellEnd"/>
      <w:r>
        <w:t xml:space="preserve"> after an allogeneic h</w:t>
      </w:r>
      <w:r w:rsidR="00D14926">
        <w:t>a</w:t>
      </w:r>
      <w:r>
        <w:t xml:space="preserve">ematopoietic cell transplantation (HCT) face a multifaceted burden, including physical, functional, and psychosocial deficits, which negatively influence quality of life. The presence of fibrotic skin, joint/fascia, and/or lung involvement have the greatest effect on function and quality of life. </w:t>
      </w:r>
      <w:proofErr w:type="spellStart"/>
      <w:r>
        <w:t>cGVHD</w:t>
      </w:r>
      <w:proofErr w:type="spellEnd"/>
      <w:r>
        <w:t xml:space="preserve"> is usually diagnosed within 6 months post-transplant and can last approximately 2</w:t>
      </w:r>
      <w:r w:rsidR="00DB1ACB">
        <w:t xml:space="preserve"> to </w:t>
      </w:r>
      <w:r>
        <w:t>5 years. Survival of up to five years in patients with high</w:t>
      </w:r>
      <w:r w:rsidR="00DB1ACB">
        <w:noBreakHyphen/>
      </w:r>
      <w:r>
        <w:t>risk disease and who fail corticosteroids is 30</w:t>
      </w:r>
      <w:r w:rsidR="00DB1ACB">
        <w:t xml:space="preserve"> to </w:t>
      </w:r>
      <w:r>
        <w:t>40%. Alternatively, survival of up to 5 years is 70</w:t>
      </w:r>
      <w:r w:rsidR="00DB1ACB">
        <w:t xml:space="preserve"> to </w:t>
      </w:r>
      <w:r>
        <w:t xml:space="preserve">80% for </w:t>
      </w:r>
      <w:proofErr w:type="spellStart"/>
      <w:r>
        <w:t>cGVHD</w:t>
      </w:r>
      <w:proofErr w:type="spellEnd"/>
      <w:r>
        <w:t xml:space="preserve"> patients with lower risk </w:t>
      </w:r>
      <w:proofErr w:type="spellStart"/>
      <w:r>
        <w:t>cGVHD</w:t>
      </w:r>
      <w:proofErr w:type="spellEnd"/>
      <w:r>
        <w:t xml:space="preserve"> and those responding to treatment with corticosteroids.</w:t>
      </w:r>
    </w:p>
    <w:p w14:paraId="6D1EE2EB" w14:textId="35B75A7C" w:rsidR="003646EF" w:rsidRDefault="003646EF" w:rsidP="003646EF">
      <w:r>
        <w:t xml:space="preserve">Clinical features resemble autoimmune diseases like progressive systemic sclerosis, systemic lupus </w:t>
      </w:r>
      <w:proofErr w:type="spellStart"/>
      <w:r>
        <w:t>erythematosis</w:t>
      </w:r>
      <w:proofErr w:type="spellEnd"/>
      <w:r>
        <w:t xml:space="preserve"> and </w:t>
      </w:r>
      <w:proofErr w:type="spellStart"/>
      <w:r>
        <w:t>Sj</w:t>
      </w:r>
      <w:r w:rsidR="00D14926" w:rsidRPr="00D14926">
        <w:t>ö</w:t>
      </w:r>
      <w:r>
        <w:t>gren’s</w:t>
      </w:r>
      <w:proofErr w:type="spellEnd"/>
      <w:r>
        <w:t xml:space="preserve"> syndrome. It has been described as a syndrome of variable clinical features resembling autoimmune and other immunologic disorders such as scleroderma, primary biliary cirrhosis, wasting syndrome, bronchiolitis obliterans, immune </w:t>
      </w:r>
      <w:proofErr w:type="spellStart"/>
      <w:r>
        <w:t>cytopenias</w:t>
      </w:r>
      <w:proofErr w:type="spellEnd"/>
      <w:r>
        <w:t>, and chronic immunodeficiency.</w:t>
      </w:r>
    </w:p>
    <w:p w14:paraId="54F44463" w14:textId="56171306" w:rsidR="003646EF" w:rsidRDefault="003646EF" w:rsidP="003646EF">
      <w:r>
        <w:lastRenderedPageBreak/>
        <w:t xml:space="preserve">The pathophysiology of </w:t>
      </w:r>
      <w:proofErr w:type="spellStart"/>
      <w:r w:rsidR="00D14926">
        <w:t>c</w:t>
      </w:r>
      <w:r>
        <w:t>GVHD</w:t>
      </w:r>
      <w:proofErr w:type="spellEnd"/>
      <w:r>
        <w:t xml:space="preserve"> syndrome may involve inflammation, cell</w:t>
      </w:r>
      <w:r w:rsidR="00DB1ACB">
        <w:noBreakHyphen/>
      </w:r>
      <w:r>
        <w:t xml:space="preserve">mediated immunity, humoral immunity, and fibrosis. Manifestations of </w:t>
      </w:r>
      <w:proofErr w:type="spellStart"/>
      <w:r>
        <w:t>cGVHD</w:t>
      </w:r>
      <w:proofErr w:type="spellEnd"/>
      <w:r>
        <w:t xml:space="preserve"> may be restricted to a single organ or site or may be widespread, with profound impact on quality of life. Treatment of </w:t>
      </w:r>
      <w:proofErr w:type="spellStart"/>
      <w:r>
        <w:t>cGVHD</w:t>
      </w:r>
      <w:proofErr w:type="spellEnd"/>
      <w:r>
        <w:t xml:space="preserve"> is intended to reduce symptom burden, control objective manifestations of disease activity, and prevent damage and disability, without disproportionate toxicity related to the treatments themselves.</w:t>
      </w:r>
    </w:p>
    <w:p w14:paraId="55293368" w14:textId="691CA16D" w:rsidR="003646EF" w:rsidRDefault="003646EF" w:rsidP="003646EF">
      <w:r>
        <w:t>Treatment of chronic graft</w:t>
      </w:r>
      <w:r w:rsidR="00E042BF">
        <w:t xml:space="preserve"> </w:t>
      </w:r>
      <w:r>
        <w:t>versus</w:t>
      </w:r>
      <w:r w:rsidR="00E042BF">
        <w:t xml:space="preserve"> </w:t>
      </w:r>
      <w:r>
        <w:t>host disease is intended to produce a sustainable benefit by reducing symptom burden, controlling objective manifestations of disease activity, preventing damage and impairment, and improving overall survival without causing disproportionate harms related to the treatment itself. Successful management can control the disease until systemic treatment is no longer needed. The complexity of the disease, the extended duration of follow-up needed to observe disease resolution and withdrawal of immunosuppressive treatment, and the lack of fully developed shorter term endpoints impede progress in the field</w:t>
      </w:r>
      <w:r w:rsidR="00DB1ACB">
        <w:t>.</w:t>
      </w:r>
      <w:bookmarkStart w:id="15" w:name="_Ref99362095"/>
      <w:r w:rsidR="00DB1ACB">
        <w:rPr>
          <w:rStyle w:val="FootnoteReference"/>
        </w:rPr>
        <w:footnoteReference w:id="2"/>
      </w:r>
      <w:bookmarkEnd w:id="15"/>
    </w:p>
    <w:p w14:paraId="28A5F1AD" w14:textId="48BF7055" w:rsidR="003646EF" w:rsidRDefault="003646EF" w:rsidP="003646EF">
      <w:r>
        <w:t xml:space="preserve">Systemic therapy is indicated for patients with moderate or severe </w:t>
      </w:r>
      <w:proofErr w:type="spellStart"/>
      <w:r>
        <w:t>cGVHD</w:t>
      </w:r>
      <w:proofErr w:type="spellEnd"/>
      <w:r>
        <w:t xml:space="preserve"> according to the </w:t>
      </w:r>
      <w:r w:rsidR="00DB1ACB">
        <w:t>United States (</w:t>
      </w:r>
      <w:r>
        <w:t>US</w:t>
      </w:r>
      <w:r w:rsidR="00DB1ACB">
        <w:t>)</w:t>
      </w:r>
      <w:r>
        <w:t xml:space="preserve"> National Institutes of Health (NIH) consensus criteria: involvement of </w:t>
      </w:r>
      <w:r w:rsidR="00DB1ACB">
        <w:t>three</w:t>
      </w:r>
      <w:r>
        <w:t xml:space="preserve"> or more organs, moderate or severe organ involvement in any organ, or any lung involvement.</w:t>
      </w:r>
      <w:r w:rsidR="00DB1ACB">
        <w:rPr>
          <w:rStyle w:val="FootnoteReference"/>
        </w:rPr>
        <w:footnoteReference w:id="3"/>
      </w:r>
    </w:p>
    <w:p w14:paraId="01354BF9" w14:textId="3E66EEFF" w:rsidR="003646EF" w:rsidRDefault="003646EF" w:rsidP="003646EF">
      <w:r>
        <w:t>First</w:t>
      </w:r>
      <w:r w:rsidR="00DF61ED">
        <w:t xml:space="preserve"> </w:t>
      </w:r>
      <w:r>
        <w:t xml:space="preserve">line therapy for the treatment of </w:t>
      </w:r>
      <w:proofErr w:type="spellStart"/>
      <w:r>
        <w:t>cGVHD</w:t>
      </w:r>
      <w:proofErr w:type="spellEnd"/>
      <w:r>
        <w:t xml:space="preserve"> has relied on corticosteroids with or without a calcineurin inhibitor (CNI). It is estimated that approximately 50 to 75% of patients with </w:t>
      </w:r>
      <w:proofErr w:type="spellStart"/>
      <w:r>
        <w:t>cGVHD</w:t>
      </w:r>
      <w:proofErr w:type="spellEnd"/>
      <w:r>
        <w:t xml:space="preserve"> will require at least second</w:t>
      </w:r>
      <w:r w:rsidR="00DF61ED">
        <w:t xml:space="preserve"> </w:t>
      </w:r>
      <w:r>
        <w:t>line treatment. Indications for second</w:t>
      </w:r>
      <w:r w:rsidR="00DF61ED">
        <w:t xml:space="preserve"> </w:t>
      </w:r>
      <w:r>
        <w:t xml:space="preserve">line treatment include worsening manifestations of </w:t>
      </w:r>
      <w:proofErr w:type="spellStart"/>
      <w:r>
        <w:t>cGVHD</w:t>
      </w:r>
      <w:proofErr w:type="spellEnd"/>
      <w:r>
        <w:t xml:space="preserve"> in a previously affected organ, development of </w:t>
      </w:r>
      <w:proofErr w:type="spellStart"/>
      <w:r>
        <w:t>cGVHD</w:t>
      </w:r>
      <w:proofErr w:type="spellEnd"/>
      <w:r>
        <w:t xml:space="preserve"> in a previously unaffected organ, absence of improvement, and inability to taper corticosteroids or significant treatment-related toxicity.</w:t>
      </w:r>
    </w:p>
    <w:p w14:paraId="6BF524B0" w14:textId="6E24C256" w:rsidR="003646EF" w:rsidRDefault="003646EF" w:rsidP="003646EF">
      <w:r>
        <w:t>In the US</w:t>
      </w:r>
      <w:r w:rsidR="00DF61ED">
        <w:t>A</w:t>
      </w:r>
      <w:r>
        <w:t xml:space="preserve">, ibrutinib is approved for the treatment of </w:t>
      </w:r>
      <w:proofErr w:type="spellStart"/>
      <w:r>
        <w:t>cGVHD</w:t>
      </w:r>
      <w:proofErr w:type="spellEnd"/>
      <w:r>
        <w:t xml:space="preserve"> after failure of one or more lines of systemic therapy. Ibrutinib was not approved for this indication in Australia at the time of submission. Other therapies commonly used to treat steroid refractory </w:t>
      </w:r>
      <w:proofErr w:type="spellStart"/>
      <w:r>
        <w:t>cGVHD</w:t>
      </w:r>
      <w:proofErr w:type="spellEnd"/>
      <w:r>
        <w:t xml:space="preserve"> </w:t>
      </w:r>
      <w:proofErr w:type="gramStart"/>
      <w:r>
        <w:t>include:</w:t>
      </w:r>
      <w:proofErr w:type="gramEnd"/>
      <w:r w:rsidR="006E0FFF">
        <w:t xml:space="preserve"> </w:t>
      </w:r>
      <w:r>
        <w:t xml:space="preserve">mycophenolate mofetil, methotrexate, rituximab, sirolimus, tacrolimus, cyclosporin, </w:t>
      </w:r>
      <w:proofErr w:type="spellStart"/>
      <w:r>
        <w:t>pentostatin</w:t>
      </w:r>
      <w:proofErr w:type="spellEnd"/>
      <w:r>
        <w:t>, thalidomide, imatinib, and extracorporeal photopheresis. The efficacy of these second</w:t>
      </w:r>
      <w:r w:rsidR="006E0FFF">
        <w:t xml:space="preserve"> </w:t>
      </w:r>
      <w:r>
        <w:t xml:space="preserve">line agents is limited with response rates of </w:t>
      </w:r>
      <w:r w:rsidR="00DF61ED">
        <w:t xml:space="preserve">about </w:t>
      </w:r>
      <w:r>
        <w:t>30% regardless of the agent.</w:t>
      </w:r>
    </w:p>
    <w:p w14:paraId="1EB34B1B" w14:textId="1AACA887" w:rsidR="00250271" w:rsidRDefault="00250271" w:rsidP="003646EF">
      <w:r>
        <w:t xml:space="preserve">This evaluation was facilitated through Project Orbis, an initiative of the </w:t>
      </w:r>
      <w:r w:rsidR="00E042BF">
        <w:t>US</w:t>
      </w:r>
      <w:r>
        <w:t xml:space="preserve"> Food and Drug Administration (FDA) Oncology </w:t>
      </w:r>
      <w:proofErr w:type="spellStart"/>
      <w:r>
        <w:t>Center</w:t>
      </w:r>
      <w:proofErr w:type="spellEnd"/>
      <w:r>
        <w:t xml:space="preserve"> of Excellence (OCE). Under this project, the FDA, Health Canada (HC) and the TGA collaboratively reviewed the application. This innovative evaluation process provided a framework for process alignment and management of evaluation issues in real-time across jurisdictions.</w:t>
      </w:r>
    </w:p>
    <w:p w14:paraId="5F5509D2" w14:textId="77777777" w:rsidR="00250271" w:rsidRDefault="00250271" w:rsidP="00250271">
      <w:r>
        <w:t>Each regulator agency maintained its regulatory process to make independent decisions about the approval (market authorisation).</w:t>
      </w:r>
    </w:p>
    <w:p w14:paraId="17927A41" w14:textId="77777777" w:rsidR="008E7846" w:rsidRPr="003F31A2" w:rsidRDefault="00386150" w:rsidP="008E7846">
      <w:pPr>
        <w:pStyle w:val="Heading3"/>
      </w:pPr>
      <w:bookmarkStart w:id="16" w:name="_Toc314842485"/>
      <w:bookmarkStart w:id="17" w:name="_Toc247691504"/>
      <w:bookmarkStart w:id="18" w:name="_Toc102638220"/>
      <w:r>
        <w:t>Regulatory s</w:t>
      </w:r>
      <w:r w:rsidR="008E7846">
        <w:t>tatus</w:t>
      </w:r>
      <w:bookmarkEnd w:id="16"/>
      <w:bookmarkEnd w:id="17"/>
      <w:bookmarkEnd w:id="18"/>
    </w:p>
    <w:p w14:paraId="75F0F9EB" w14:textId="4A834FB1" w:rsidR="00006FAB" w:rsidRDefault="00006FAB" w:rsidP="006E0FFF">
      <w:bookmarkStart w:id="19" w:name="_Toc247691505"/>
      <w:bookmarkStart w:id="20" w:name="_Toc314842486"/>
      <w:r w:rsidRPr="00006FAB">
        <w:t>This product is considered a new chemical entity for Australian regulatory purposes.</w:t>
      </w:r>
    </w:p>
    <w:p w14:paraId="0C9413D0" w14:textId="51FBA2B4" w:rsidR="00006FAB" w:rsidRDefault="00006FAB" w:rsidP="00006FAB">
      <w:r>
        <w:lastRenderedPageBreak/>
        <w:t xml:space="preserve">At the time the TGA considered this application, a similar application had been approved </w:t>
      </w:r>
      <w:r w:rsidR="00E042BF">
        <w:t xml:space="preserve">in USA on the 16 July 2021 and was under consideration in Switzerland, </w:t>
      </w:r>
      <w:proofErr w:type="gramStart"/>
      <w:r w:rsidR="00E042BF">
        <w:t>Canada</w:t>
      </w:r>
      <w:proofErr w:type="gramEnd"/>
      <w:r w:rsidR="00E042BF">
        <w:t xml:space="preserve"> and United Kingdom (UK)</w:t>
      </w:r>
      <w:r>
        <w:t>.</w:t>
      </w:r>
    </w:p>
    <w:p w14:paraId="5C903D3C" w14:textId="193081BB" w:rsidR="00324E45" w:rsidRPr="00F0146F" w:rsidRDefault="00324E45" w:rsidP="00324E45">
      <w:pPr>
        <w:pStyle w:val="TableTitle"/>
      </w:pPr>
      <w:r>
        <w:t xml:space="preserve">Table </w:t>
      </w:r>
      <w:fldSimple w:instr=" SEQ Table \* ARABIC ">
        <w:r w:rsidR="00C85F74">
          <w:rPr>
            <w:noProof/>
          </w:rPr>
          <w:t>1</w:t>
        </w:r>
      </w:fldSimple>
      <w:r>
        <w:t>: International regulatory status</w:t>
      </w:r>
    </w:p>
    <w:tbl>
      <w:tblPr>
        <w:tblStyle w:val="TableTGAblue"/>
        <w:tblW w:w="8635" w:type="dxa"/>
        <w:tblLook w:val="04A0" w:firstRow="1" w:lastRow="0" w:firstColumn="1" w:lastColumn="0" w:noHBand="0" w:noVBand="1"/>
      </w:tblPr>
      <w:tblGrid>
        <w:gridCol w:w="1975"/>
        <w:gridCol w:w="2245"/>
        <w:gridCol w:w="1985"/>
        <w:gridCol w:w="2430"/>
      </w:tblGrid>
      <w:tr w:rsidR="00006FAB" w14:paraId="3BD481B2" w14:textId="77777777" w:rsidTr="00C85F74">
        <w:trPr>
          <w:cnfStyle w:val="100000000000" w:firstRow="1" w:lastRow="0" w:firstColumn="0" w:lastColumn="0" w:oddVBand="0" w:evenVBand="0" w:oddHBand="0" w:evenHBand="0" w:firstRowFirstColumn="0" w:firstRowLastColumn="0" w:lastRowFirstColumn="0" w:lastRowLastColumn="0"/>
        </w:trPr>
        <w:tc>
          <w:tcPr>
            <w:tcW w:w="1975" w:type="dxa"/>
            <w:tcBorders>
              <w:top w:val="single" w:sz="4" w:space="0" w:color="auto"/>
              <w:left w:val="single" w:sz="4" w:space="0" w:color="auto"/>
              <w:bottom w:val="single" w:sz="4" w:space="0" w:color="auto"/>
              <w:right w:val="single" w:sz="4" w:space="0" w:color="auto"/>
            </w:tcBorders>
          </w:tcPr>
          <w:p w14:paraId="248A0AFA" w14:textId="77777777" w:rsidR="00006FAB" w:rsidRDefault="00006FAB" w:rsidP="00006FAB">
            <w:pPr>
              <w:ind w:left="0" w:right="0"/>
            </w:pPr>
            <w:r>
              <w:t>Region</w:t>
            </w:r>
          </w:p>
        </w:tc>
        <w:tc>
          <w:tcPr>
            <w:tcW w:w="2245" w:type="dxa"/>
            <w:tcBorders>
              <w:top w:val="single" w:sz="4" w:space="0" w:color="auto"/>
              <w:left w:val="single" w:sz="4" w:space="0" w:color="auto"/>
              <w:bottom w:val="single" w:sz="4" w:space="0" w:color="auto"/>
              <w:right w:val="single" w:sz="4" w:space="0" w:color="auto"/>
            </w:tcBorders>
          </w:tcPr>
          <w:p w14:paraId="5ED3ED0A" w14:textId="77777777" w:rsidR="00006FAB" w:rsidRDefault="00006FAB" w:rsidP="00006FAB">
            <w:pPr>
              <w:ind w:left="0" w:right="0"/>
            </w:pPr>
            <w:r>
              <w:t>Submission date</w:t>
            </w:r>
          </w:p>
        </w:tc>
        <w:tc>
          <w:tcPr>
            <w:tcW w:w="1985" w:type="dxa"/>
            <w:tcBorders>
              <w:top w:val="single" w:sz="4" w:space="0" w:color="auto"/>
              <w:left w:val="single" w:sz="4" w:space="0" w:color="auto"/>
              <w:bottom w:val="single" w:sz="4" w:space="0" w:color="auto"/>
              <w:right w:val="single" w:sz="4" w:space="0" w:color="auto"/>
            </w:tcBorders>
          </w:tcPr>
          <w:p w14:paraId="033978C5" w14:textId="77777777" w:rsidR="00006FAB" w:rsidRDefault="00006FAB" w:rsidP="00006FAB">
            <w:pPr>
              <w:ind w:left="0" w:right="0"/>
            </w:pPr>
            <w:r>
              <w:t>Status</w:t>
            </w:r>
          </w:p>
        </w:tc>
        <w:tc>
          <w:tcPr>
            <w:tcW w:w="2430" w:type="dxa"/>
            <w:tcBorders>
              <w:top w:val="single" w:sz="4" w:space="0" w:color="auto"/>
              <w:left w:val="single" w:sz="4" w:space="0" w:color="auto"/>
              <w:bottom w:val="single" w:sz="4" w:space="0" w:color="auto"/>
              <w:right w:val="single" w:sz="4" w:space="0" w:color="auto"/>
            </w:tcBorders>
          </w:tcPr>
          <w:p w14:paraId="4EDAD2C4" w14:textId="77777777" w:rsidR="00006FAB" w:rsidRDefault="00006FAB" w:rsidP="00006FAB">
            <w:pPr>
              <w:ind w:left="0" w:right="0"/>
            </w:pPr>
            <w:r>
              <w:t>Approved indications</w:t>
            </w:r>
          </w:p>
        </w:tc>
      </w:tr>
      <w:tr w:rsidR="00006FAB" w14:paraId="0983CC07" w14:textId="77777777" w:rsidTr="00C85F74">
        <w:tc>
          <w:tcPr>
            <w:tcW w:w="1975" w:type="dxa"/>
            <w:tcBorders>
              <w:top w:val="single" w:sz="4" w:space="0" w:color="auto"/>
            </w:tcBorders>
          </w:tcPr>
          <w:p w14:paraId="628067FF" w14:textId="5F5382DD" w:rsidR="00006FAB" w:rsidRDefault="006E0FFF" w:rsidP="00006FAB">
            <w:pPr>
              <w:ind w:left="0" w:right="0"/>
            </w:pPr>
            <w:r>
              <w:t>USA</w:t>
            </w:r>
          </w:p>
        </w:tc>
        <w:tc>
          <w:tcPr>
            <w:tcW w:w="2245" w:type="dxa"/>
            <w:tcBorders>
              <w:top w:val="single" w:sz="4" w:space="0" w:color="auto"/>
            </w:tcBorders>
          </w:tcPr>
          <w:p w14:paraId="732295C6" w14:textId="0BD9F660" w:rsidR="00006FAB" w:rsidRDefault="006E0FFF" w:rsidP="00006FAB">
            <w:pPr>
              <w:ind w:left="0" w:right="0"/>
            </w:pPr>
            <w:r>
              <w:t>30 September 2020</w:t>
            </w:r>
          </w:p>
        </w:tc>
        <w:tc>
          <w:tcPr>
            <w:tcW w:w="1985" w:type="dxa"/>
            <w:tcBorders>
              <w:top w:val="single" w:sz="4" w:space="0" w:color="auto"/>
            </w:tcBorders>
          </w:tcPr>
          <w:p w14:paraId="10D8BB9A" w14:textId="140FA7C1" w:rsidR="00006FAB" w:rsidRDefault="00006FAB" w:rsidP="00006FAB">
            <w:pPr>
              <w:ind w:left="0" w:right="0"/>
            </w:pPr>
            <w:r w:rsidRPr="00006FAB">
              <w:t>Approved on</w:t>
            </w:r>
            <w:r w:rsidR="006E0FFF">
              <w:t xml:space="preserve"> 16</w:t>
            </w:r>
            <w:r w:rsidR="00B40C06">
              <w:t> </w:t>
            </w:r>
            <w:r w:rsidR="006E0FFF">
              <w:t>July 2021</w:t>
            </w:r>
          </w:p>
        </w:tc>
        <w:tc>
          <w:tcPr>
            <w:tcW w:w="2430" w:type="dxa"/>
            <w:tcBorders>
              <w:top w:val="single" w:sz="4" w:space="0" w:color="auto"/>
            </w:tcBorders>
          </w:tcPr>
          <w:p w14:paraId="65A1C15C" w14:textId="1665BF9F" w:rsidR="00006FAB" w:rsidRPr="006E0FFF" w:rsidRDefault="006E0FFF" w:rsidP="00006FAB">
            <w:pPr>
              <w:ind w:left="0" w:right="0"/>
              <w:rPr>
                <w:i/>
                <w:iCs/>
              </w:rPr>
            </w:pPr>
            <w:proofErr w:type="spellStart"/>
            <w:r w:rsidRPr="006E0FFF">
              <w:rPr>
                <w:i/>
                <w:iCs/>
              </w:rPr>
              <w:t>R</w:t>
            </w:r>
            <w:r>
              <w:rPr>
                <w:i/>
                <w:iCs/>
              </w:rPr>
              <w:t>ezurock</w:t>
            </w:r>
            <w:proofErr w:type="spellEnd"/>
            <w:r w:rsidRPr="006E0FFF">
              <w:rPr>
                <w:i/>
                <w:iCs/>
              </w:rPr>
              <w:t xml:space="preserve"> is a kinase inhibitor indicated for the treatment of adult and </w:t>
            </w:r>
            <w:proofErr w:type="spellStart"/>
            <w:r w:rsidRPr="006E0FFF">
              <w:rPr>
                <w:i/>
                <w:iCs/>
              </w:rPr>
              <w:t>pediatric</w:t>
            </w:r>
            <w:proofErr w:type="spellEnd"/>
            <w:r w:rsidRPr="006E0FFF">
              <w:rPr>
                <w:i/>
                <w:iCs/>
              </w:rPr>
              <w:t xml:space="preserve"> patients 12 years and older with chronic graft-versus-host disease (chronic GVHD) after failure of at least two prior lines of systemic therapy.</w:t>
            </w:r>
            <w:r>
              <w:rPr>
                <w:rStyle w:val="FootnoteReference"/>
                <w:i/>
                <w:iCs/>
              </w:rPr>
              <w:footnoteReference w:id="4"/>
            </w:r>
          </w:p>
        </w:tc>
      </w:tr>
      <w:tr w:rsidR="00006FAB" w14:paraId="04CA0F38" w14:textId="77777777" w:rsidTr="00C85F74">
        <w:tc>
          <w:tcPr>
            <w:tcW w:w="1975" w:type="dxa"/>
          </w:tcPr>
          <w:p w14:paraId="2036E7B6" w14:textId="619651E2" w:rsidR="00006FAB" w:rsidRDefault="006E0FFF" w:rsidP="00006FAB">
            <w:pPr>
              <w:ind w:left="0" w:right="0"/>
            </w:pPr>
            <w:r>
              <w:t>Switzerland</w:t>
            </w:r>
          </w:p>
        </w:tc>
        <w:tc>
          <w:tcPr>
            <w:tcW w:w="2245" w:type="dxa"/>
          </w:tcPr>
          <w:p w14:paraId="7563E94F" w14:textId="1544DD47" w:rsidR="00006FAB" w:rsidRDefault="006E0FFF" w:rsidP="00006FAB">
            <w:pPr>
              <w:ind w:left="0" w:right="0"/>
            </w:pPr>
            <w:r>
              <w:t>30 October 2020</w:t>
            </w:r>
          </w:p>
        </w:tc>
        <w:tc>
          <w:tcPr>
            <w:tcW w:w="1985" w:type="dxa"/>
          </w:tcPr>
          <w:p w14:paraId="14FA84BF" w14:textId="77777777" w:rsidR="00006FAB" w:rsidRDefault="00006FAB" w:rsidP="00006FAB">
            <w:pPr>
              <w:ind w:left="0" w:right="0"/>
            </w:pPr>
            <w:r w:rsidRPr="00006FAB">
              <w:t>Under consideration</w:t>
            </w:r>
          </w:p>
        </w:tc>
        <w:tc>
          <w:tcPr>
            <w:tcW w:w="2430" w:type="dxa"/>
          </w:tcPr>
          <w:p w14:paraId="69C34F67" w14:textId="77777777" w:rsidR="00006FAB" w:rsidRDefault="00006FAB" w:rsidP="00006FAB">
            <w:pPr>
              <w:ind w:left="0" w:right="0"/>
            </w:pPr>
            <w:r w:rsidRPr="00006FAB">
              <w:t>Under consideration</w:t>
            </w:r>
          </w:p>
        </w:tc>
      </w:tr>
      <w:tr w:rsidR="006E0FFF" w14:paraId="2437A030" w14:textId="77777777" w:rsidTr="00C85F74">
        <w:tc>
          <w:tcPr>
            <w:tcW w:w="1975" w:type="dxa"/>
          </w:tcPr>
          <w:p w14:paraId="7AB26C6F" w14:textId="2025C77C" w:rsidR="006E0FFF" w:rsidRDefault="006E0FFF" w:rsidP="006E0FFF">
            <w:pPr>
              <w:ind w:left="0"/>
            </w:pPr>
            <w:r>
              <w:t>Canada</w:t>
            </w:r>
          </w:p>
        </w:tc>
        <w:tc>
          <w:tcPr>
            <w:tcW w:w="2245" w:type="dxa"/>
          </w:tcPr>
          <w:p w14:paraId="29F6E473" w14:textId="0F9BC4D9" w:rsidR="006E0FFF" w:rsidRDefault="006E0FFF" w:rsidP="006E0FFF">
            <w:pPr>
              <w:ind w:left="0"/>
            </w:pPr>
            <w:r>
              <w:t>27 October 2020</w:t>
            </w:r>
          </w:p>
        </w:tc>
        <w:tc>
          <w:tcPr>
            <w:tcW w:w="1985" w:type="dxa"/>
          </w:tcPr>
          <w:p w14:paraId="7FA6C8A5" w14:textId="3689D64D" w:rsidR="006E0FFF" w:rsidRPr="00006FAB" w:rsidRDefault="006E0FFF" w:rsidP="006E0FFF">
            <w:pPr>
              <w:ind w:left="0"/>
            </w:pPr>
            <w:r w:rsidRPr="00006FAB">
              <w:t>Under consideration</w:t>
            </w:r>
          </w:p>
        </w:tc>
        <w:tc>
          <w:tcPr>
            <w:tcW w:w="2430" w:type="dxa"/>
          </w:tcPr>
          <w:p w14:paraId="3C6C5CF9" w14:textId="153D6B27" w:rsidR="006E0FFF" w:rsidRPr="00006FAB" w:rsidRDefault="006E0FFF" w:rsidP="006E0FFF">
            <w:pPr>
              <w:ind w:left="0"/>
            </w:pPr>
            <w:r w:rsidRPr="00006FAB">
              <w:t>Under consideration</w:t>
            </w:r>
          </w:p>
        </w:tc>
      </w:tr>
      <w:tr w:rsidR="006E0FFF" w14:paraId="221B58C5" w14:textId="77777777" w:rsidTr="00C85F74">
        <w:tc>
          <w:tcPr>
            <w:tcW w:w="1975" w:type="dxa"/>
          </w:tcPr>
          <w:p w14:paraId="31BED8B2" w14:textId="47DF7FED" w:rsidR="006E0FFF" w:rsidRDefault="006E0FFF" w:rsidP="006E0FFF">
            <w:pPr>
              <w:ind w:left="0"/>
            </w:pPr>
            <w:r>
              <w:t>United Kingdom</w:t>
            </w:r>
          </w:p>
        </w:tc>
        <w:tc>
          <w:tcPr>
            <w:tcW w:w="2245" w:type="dxa"/>
          </w:tcPr>
          <w:p w14:paraId="018C04CD" w14:textId="7931EFE6" w:rsidR="006E0FFF" w:rsidRDefault="006E0FFF" w:rsidP="006E0FFF">
            <w:pPr>
              <w:ind w:left="0"/>
            </w:pPr>
            <w:r>
              <w:t>26 November 2020</w:t>
            </w:r>
          </w:p>
        </w:tc>
        <w:tc>
          <w:tcPr>
            <w:tcW w:w="1985" w:type="dxa"/>
          </w:tcPr>
          <w:p w14:paraId="73A0E1AB" w14:textId="1089E5B1" w:rsidR="006E0FFF" w:rsidRPr="00006FAB" w:rsidRDefault="006E0FFF" w:rsidP="006E0FFF">
            <w:pPr>
              <w:ind w:left="0"/>
            </w:pPr>
            <w:r w:rsidRPr="00006FAB">
              <w:t>Under consideration</w:t>
            </w:r>
          </w:p>
        </w:tc>
        <w:tc>
          <w:tcPr>
            <w:tcW w:w="2430" w:type="dxa"/>
          </w:tcPr>
          <w:p w14:paraId="7DFE5BF9" w14:textId="224E5AA7" w:rsidR="006E0FFF" w:rsidRPr="00006FAB" w:rsidRDefault="006E0FFF" w:rsidP="006E0FFF">
            <w:pPr>
              <w:ind w:left="0"/>
            </w:pPr>
            <w:r w:rsidRPr="00006FAB">
              <w:t>Under consideration</w:t>
            </w:r>
          </w:p>
        </w:tc>
      </w:tr>
    </w:tbl>
    <w:p w14:paraId="56B680EE" w14:textId="77777777" w:rsidR="008E7846" w:rsidRDefault="008E7846" w:rsidP="00940A89">
      <w:pPr>
        <w:pStyle w:val="Heading3"/>
      </w:pPr>
      <w:bookmarkStart w:id="21" w:name="_Toc102638221"/>
      <w:r>
        <w:t>Product Information</w:t>
      </w:r>
      <w:bookmarkEnd w:id="19"/>
      <w:bookmarkEnd w:id="20"/>
      <w:bookmarkEnd w:id="21"/>
    </w:p>
    <w:p w14:paraId="0003FC31" w14:textId="74ED991B" w:rsidR="00006FAB" w:rsidRDefault="006136D7" w:rsidP="00D0147A">
      <w:bookmarkStart w:id="22" w:name="_Toc247691506"/>
      <w:bookmarkStart w:id="23"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3" w:history="1">
        <w:r w:rsidR="00441C3F" w:rsidRPr="00441C3F">
          <w:rPr>
            <w:rStyle w:val="Hyperlink"/>
          </w:rPr>
          <w:t>https://www.tga.gov.au/product-information-pi</w:t>
        </w:r>
      </w:hyperlink>
      <w:r w:rsidR="00441C3F">
        <w:t>&gt;</w:t>
      </w:r>
      <w:r w:rsidR="00940A89" w:rsidRPr="00940A89">
        <w:t>.</w:t>
      </w:r>
    </w:p>
    <w:p w14:paraId="33EEA6F0" w14:textId="77777777" w:rsidR="00500337" w:rsidRDefault="00500337" w:rsidP="00500337">
      <w:pPr>
        <w:pStyle w:val="Heading2"/>
      </w:pPr>
      <w:bookmarkStart w:id="24" w:name="_Toc504480011"/>
      <w:bookmarkStart w:id="25" w:name="_Toc102638222"/>
      <w:r>
        <w:t>II. Registration timeline</w:t>
      </w:r>
      <w:bookmarkEnd w:id="24"/>
      <w:bookmarkEnd w:id="25"/>
    </w:p>
    <w:p w14:paraId="6587156F" w14:textId="77777777" w:rsidR="00500337" w:rsidRDefault="00500337" w:rsidP="00500337">
      <w:r>
        <w:t xml:space="preserve">The following table captures the key steps and dates for this </w:t>
      </w:r>
      <w:proofErr w:type="gramStart"/>
      <w:r>
        <w:t>application</w:t>
      </w:r>
      <w:proofErr w:type="gramEnd"/>
      <w:r>
        <w:t xml:space="preserve"> and which are detailed and discussed in this </w:t>
      </w:r>
      <w:proofErr w:type="spellStart"/>
      <w:r>
        <w:t>AusPAR</w:t>
      </w:r>
      <w:proofErr w:type="spellEnd"/>
      <w:r>
        <w:t>.</w:t>
      </w:r>
    </w:p>
    <w:p w14:paraId="352C0E53" w14:textId="529B767C" w:rsidR="00500337" w:rsidRDefault="00771B79" w:rsidP="00771B79">
      <w:pPr>
        <w:pStyle w:val="TableTitle"/>
      </w:pPr>
      <w:r w:rsidRPr="00771B79">
        <w:t xml:space="preserve">Table </w:t>
      </w:r>
      <w:fldSimple w:instr=" SEQ Table \* ARABIC ">
        <w:r w:rsidR="00C85F74">
          <w:rPr>
            <w:noProof/>
          </w:rPr>
          <w:t>2</w:t>
        </w:r>
      </w:fldSimple>
      <w:r>
        <w:t xml:space="preserve">: </w:t>
      </w:r>
      <w:r w:rsidRPr="006A58A8">
        <w:t>Timeline for Submission PM-20</w:t>
      </w:r>
      <w:r>
        <w:t>20</w:t>
      </w:r>
      <w:r w:rsidRPr="006A58A8">
        <w:t>-</w:t>
      </w:r>
      <w:r>
        <w:t>05433</w:t>
      </w:r>
      <w:r w:rsidRPr="006A58A8">
        <w:t>-1-</w:t>
      </w:r>
      <w:r>
        <w:t>6</w:t>
      </w:r>
    </w:p>
    <w:tbl>
      <w:tblPr>
        <w:tblStyle w:val="TableTGAblue"/>
        <w:tblW w:w="0" w:type="auto"/>
        <w:tblLook w:val="04A0" w:firstRow="1" w:lastRow="0" w:firstColumn="1" w:lastColumn="0" w:noHBand="0" w:noVBand="1"/>
      </w:tblPr>
      <w:tblGrid>
        <w:gridCol w:w="4254"/>
        <w:gridCol w:w="4240"/>
      </w:tblGrid>
      <w:tr w:rsidR="00500337" w14:paraId="257FE141" w14:textId="77777777" w:rsidTr="00CF5DAD">
        <w:trPr>
          <w:cnfStyle w:val="100000000000" w:firstRow="1" w:lastRow="0" w:firstColumn="0" w:lastColumn="0" w:oddVBand="0" w:evenVBand="0" w:oddHBand="0" w:evenHBand="0" w:firstRowFirstColumn="0" w:firstRowLastColumn="0" w:lastRowFirstColumn="0" w:lastRowLastColumn="0"/>
          <w:cantSplit/>
        </w:trPr>
        <w:tc>
          <w:tcPr>
            <w:tcW w:w="4360" w:type="dxa"/>
            <w:tcBorders>
              <w:top w:val="single" w:sz="4" w:space="0" w:color="auto"/>
              <w:left w:val="single" w:sz="4" w:space="0" w:color="auto"/>
              <w:bottom w:val="single" w:sz="4" w:space="0" w:color="auto"/>
              <w:right w:val="single" w:sz="4" w:space="0" w:color="auto"/>
            </w:tcBorders>
          </w:tcPr>
          <w:p w14:paraId="762E44B7" w14:textId="77777777" w:rsidR="00500337" w:rsidRDefault="00500337" w:rsidP="00500337">
            <w:pPr>
              <w:ind w:left="0" w:right="0"/>
            </w:pPr>
            <w:r>
              <w:t>Description</w:t>
            </w:r>
          </w:p>
        </w:tc>
        <w:tc>
          <w:tcPr>
            <w:tcW w:w="4360" w:type="dxa"/>
            <w:tcBorders>
              <w:top w:val="single" w:sz="4" w:space="0" w:color="auto"/>
              <w:left w:val="single" w:sz="4" w:space="0" w:color="auto"/>
              <w:bottom w:val="single" w:sz="4" w:space="0" w:color="auto"/>
              <w:right w:val="single" w:sz="4" w:space="0" w:color="auto"/>
            </w:tcBorders>
          </w:tcPr>
          <w:p w14:paraId="680F1405" w14:textId="77777777" w:rsidR="00500337" w:rsidRDefault="00500337" w:rsidP="00500337">
            <w:pPr>
              <w:ind w:left="0" w:right="0"/>
            </w:pPr>
            <w:r>
              <w:t>Date</w:t>
            </w:r>
          </w:p>
        </w:tc>
      </w:tr>
      <w:tr w:rsidR="00500337" w14:paraId="269ED99E" w14:textId="77777777" w:rsidTr="00CF5DAD">
        <w:tc>
          <w:tcPr>
            <w:tcW w:w="4360" w:type="dxa"/>
            <w:tcBorders>
              <w:top w:val="single" w:sz="4" w:space="0" w:color="auto"/>
            </w:tcBorders>
          </w:tcPr>
          <w:p w14:paraId="35F1417F" w14:textId="7B2CD53E" w:rsidR="00500337" w:rsidRDefault="00500337" w:rsidP="00500337">
            <w:pPr>
              <w:ind w:left="0" w:right="0"/>
            </w:pPr>
            <w:r>
              <w:t>Positive D</w:t>
            </w:r>
            <w:r w:rsidR="00E042BF">
              <w:t>esignation</w:t>
            </w:r>
            <w:r>
              <w:t xml:space="preserve"> (Orphan)</w:t>
            </w:r>
            <w:r w:rsidR="00E042BF">
              <w:rPr>
                <w:rStyle w:val="FootnoteReference"/>
              </w:rPr>
              <w:footnoteReference w:id="5"/>
            </w:r>
          </w:p>
        </w:tc>
        <w:tc>
          <w:tcPr>
            <w:tcW w:w="4360" w:type="dxa"/>
            <w:tcBorders>
              <w:top w:val="single" w:sz="4" w:space="0" w:color="auto"/>
            </w:tcBorders>
          </w:tcPr>
          <w:p w14:paraId="036A7889" w14:textId="78423FF4" w:rsidR="00500337" w:rsidRDefault="00A5358D" w:rsidP="00500337">
            <w:pPr>
              <w:ind w:left="0" w:right="0"/>
            </w:pPr>
            <w:r>
              <w:t>4 September 2020</w:t>
            </w:r>
          </w:p>
        </w:tc>
      </w:tr>
      <w:tr w:rsidR="00500337" w14:paraId="55943511" w14:textId="77777777" w:rsidTr="00500337">
        <w:tc>
          <w:tcPr>
            <w:tcW w:w="4360" w:type="dxa"/>
          </w:tcPr>
          <w:p w14:paraId="370F3E91" w14:textId="77777777" w:rsidR="00500337" w:rsidRDefault="00500337" w:rsidP="00500337">
            <w:pPr>
              <w:ind w:left="0" w:right="0"/>
            </w:pPr>
            <w:r>
              <w:lastRenderedPageBreak/>
              <w:t>Submission dossier accepted and first round evaluation commenced</w:t>
            </w:r>
          </w:p>
        </w:tc>
        <w:tc>
          <w:tcPr>
            <w:tcW w:w="4360" w:type="dxa"/>
          </w:tcPr>
          <w:p w14:paraId="5EE0150B" w14:textId="5EBAF95B" w:rsidR="00500337" w:rsidRDefault="00A5358D" w:rsidP="00500337">
            <w:pPr>
              <w:ind w:left="0" w:right="0"/>
            </w:pPr>
            <w:r>
              <w:t>18 November 2020</w:t>
            </w:r>
          </w:p>
        </w:tc>
      </w:tr>
      <w:tr w:rsidR="00500337" w14:paraId="4E97A687" w14:textId="77777777" w:rsidTr="00500337">
        <w:tc>
          <w:tcPr>
            <w:tcW w:w="4360" w:type="dxa"/>
          </w:tcPr>
          <w:p w14:paraId="31C4A07F" w14:textId="77777777" w:rsidR="00500337" w:rsidRDefault="00500337" w:rsidP="00500337">
            <w:pPr>
              <w:ind w:left="0" w:right="0"/>
            </w:pPr>
            <w:r>
              <w:t>Evaluation completed</w:t>
            </w:r>
          </w:p>
        </w:tc>
        <w:tc>
          <w:tcPr>
            <w:tcW w:w="4360" w:type="dxa"/>
          </w:tcPr>
          <w:p w14:paraId="5F4E0160" w14:textId="778B4616" w:rsidR="00500337" w:rsidRDefault="00A5358D" w:rsidP="00500337">
            <w:pPr>
              <w:ind w:left="0" w:right="0"/>
            </w:pPr>
            <w:r>
              <w:t>2 September 2021</w:t>
            </w:r>
          </w:p>
        </w:tc>
      </w:tr>
      <w:tr w:rsidR="00500337" w14:paraId="4908C6D9" w14:textId="77777777" w:rsidTr="00500337">
        <w:tc>
          <w:tcPr>
            <w:tcW w:w="4360" w:type="dxa"/>
          </w:tcPr>
          <w:p w14:paraId="2ADC5D0A" w14:textId="045FFAB8" w:rsidR="00500337" w:rsidRDefault="00324E45" w:rsidP="00500337">
            <w:pPr>
              <w:ind w:left="0" w:right="0"/>
            </w:pPr>
            <w:r>
              <w:t xml:space="preserve">Delegate’s Overall benefit-risk assessment </w:t>
            </w:r>
            <w:r w:rsidRPr="00A5358D">
              <w:rPr>
                <w:color w:val="auto"/>
              </w:rPr>
              <w:t>and request for Advisory Committee advice</w:t>
            </w:r>
          </w:p>
        </w:tc>
        <w:tc>
          <w:tcPr>
            <w:tcW w:w="4360" w:type="dxa"/>
          </w:tcPr>
          <w:p w14:paraId="62EA13DC" w14:textId="72BC2EC4" w:rsidR="00500337" w:rsidRDefault="00A5358D" w:rsidP="00500337">
            <w:pPr>
              <w:ind w:left="0" w:right="0"/>
            </w:pPr>
            <w:r>
              <w:t>2 September 2021</w:t>
            </w:r>
          </w:p>
        </w:tc>
      </w:tr>
      <w:tr w:rsidR="00500337" w14:paraId="6C75159A" w14:textId="77777777" w:rsidTr="00500337">
        <w:tc>
          <w:tcPr>
            <w:tcW w:w="4360" w:type="dxa"/>
          </w:tcPr>
          <w:p w14:paraId="70C14A32" w14:textId="77777777" w:rsidR="00500337" w:rsidRDefault="00500337" w:rsidP="00500337">
            <w:pPr>
              <w:ind w:left="0" w:right="0"/>
            </w:pPr>
            <w:r>
              <w:t>Sponsor’s pre-Advisory Committee response</w:t>
            </w:r>
          </w:p>
        </w:tc>
        <w:tc>
          <w:tcPr>
            <w:tcW w:w="4360" w:type="dxa"/>
          </w:tcPr>
          <w:p w14:paraId="4248586D" w14:textId="057E476B" w:rsidR="00500337" w:rsidRDefault="00A5358D" w:rsidP="00500337">
            <w:pPr>
              <w:ind w:left="0" w:right="0"/>
            </w:pPr>
            <w:r>
              <w:t>15 September 2021</w:t>
            </w:r>
          </w:p>
        </w:tc>
      </w:tr>
      <w:tr w:rsidR="00500337" w14:paraId="2BA3F088" w14:textId="77777777" w:rsidTr="00500337">
        <w:tc>
          <w:tcPr>
            <w:tcW w:w="4360" w:type="dxa"/>
          </w:tcPr>
          <w:p w14:paraId="62CAA423" w14:textId="77777777" w:rsidR="00500337" w:rsidRDefault="00500337" w:rsidP="00500337">
            <w:pPr>
              <w:ind w:left="0" w:right="0"/>
            </w:pPr>
            <w:r>
              <w:t>Advisory Committee meeting</w:t>
            </w:r>
          </w:p>
        </w:tc>
        <w:tc>
          <w:tcPr>
            <w:tcW w:w="4360" w:type="dxa"/>
          </w:tcPr>
          <w:p w14:paraId="1307C1D6" w14:textId="5CB87221" w:rsidR="00500337" w:rsidRDefault="00A5358D" w:rsidP="00500337">
            <w:pPr>
              <w:ind w:left="0" w:right="0"/>
            </w:pPr>
            <w:r>
              <w:t>30 September and 1 October 2021</w:t>
            </w:r>
          </w:p>
        </w:tc>
      </w:tr>
      <w:tr w:rsidR="00500337" w14:paraId="43343D6C" w14:textId="77777777" w:rsidTr="00500337">
        <w:tc>
          <w:tcPr>
            <w:tcW w:w="4360" w:type="dxa"/>
          </w:tcPr>
          <w:p w14:paraId="4B4F5750" w14:textId="77777777" w:rsidR="00500337" w:rsidRDefault="00500337" w:rsidP="00500337">
            <w:pPr>
              <w:ind w:left="0" w:right="0"/>
            </w:pPr>
            <w:r>
              <w:t>Registration decision (Outcome)</w:t>
            </w:r>
          </w:p>
        </w:tc>
        <w:tc>
          <w:tcPr>
            <w:tcW w:w="4360" w:type="dxa"/>
          </w:tcPr>
          <w:p w14:paraId="3DD583F6" w14:textId="04C8B30B" w:rsidR="00500337" w:rsidRDefault="00A5358D" w:rsidP="00500337">
            <w:pPr>
              <w:ind w:left="0" w:right="0"/>
            </w:pPr>
            <w:r>
              <w:t>11 November 2021</w:t>
            </w:r>
          </w:p>
        </w:tc>
      </w:tr>
      <w:tr w:rsidR="00500337" w14:paraId="1234FD38" w14:textId="77777777" w:rsidTr="00500337">
        <w:tc>
          <w:tcPr>
            <w:tcW w:w="4360" w:type="dxa"/>
          </w:tcPr>
          <w:p w14:paraId="462535E5" w14:textId="77777777" w:rsidR="00500337" w:rsidRDefault="00500337" w:rsidP="00500337">
            <w:pPr>
              <w:ind w:left="0" w:right="0"/>
            </w:pPr>
            <w:r>
              <w:t xml:space="preserve">Completion of administrative activities and registration on </w:t>
            </w:r>
            <w:r w:rsidR="00006FAB">
              <w:t xml:space="preserve">the </w:t>
            </w:r>
            <w:r>
              <w:t>ARTG</w:t>
            </w:r>
          </w:p>
        </w:tc>
        <w:tc>
          <w:tcPr>
            <w:tcW w:w="4360" w:type="dxa"/>
          </w:tcPr>
          <w:p w14:paraId="1C916DFB" w14:textId="16AF3F1A" w:rsidR="00500337" w:rsidRDefault="00A5358D" w:rsidP="00500337">
            <w:pPr>
              <w:ind w:left="0" w:right="0"/>
            </w:pPr>
            <w:r>
              <w:t>12 November 2021</w:t>
            </w:r>
          </w:p>
        </w:tc>
      </w:tr>
      <w:tr w:rsidR="00500337" w14:paraId="66DA98D2" w14:textId="77777777" w:rsidTr="00500337">
        <w:tc>
          <w:tcPr>
            <w:tcW w:w="4360" w:type="dxa"/>
          </w:tcPr>
          <w:p w14:paraId="15E30851" w14:textId="77777777" w:rsidR="00500337" w:rsidRDefault="00500337" w:rsidP="00500337">
            <w:pPr>
              <w:ind w:left="0" w:right="0"/>
            </w:pPr>
            <w:r>
              <w:t>Number of working days from submission dossier acceptance to registration decision*</w:t>
            </w:r>
          </w:p>
        </w:tc>
        <w:tc>
          <w:tcPr>
            <w:tcW w:w="4360" w:type="dxa"/>
          </w:tcPr>
          <w:p w14:paraId="41C2BD07" w14:textId="5FEA6EB9" w:rsidR="00500337" w:rsidRDefault="00A5358D" w:rsidP="00500337">
            <w:pPr>
              <w:ind w:left="0" w:right="0"/>
            </w:pPr>
            <w:r>
              <w:t>160</w:t>
            </w:r>
          </w:p>
        </w:tc>
      </w:tr>
    </w:tbl>
    <w:p w14:paraId="6B25A3FA" w14:textId="77777777" w:rsidR="00500337" w:rsidRDefault="00500337" w:rsidP="00500337">
      <w:pPr>
        <w:pStyle w:val="TableDescription"/>
      </w:pPr>
      <w:r>
        <w:t>*Target timeframe for priority applications is 150 working days from acceptance for evaluation to the decision.</w:t>
      </w:r>
    </w:p>
    <w:p w14:paraId="1E10990C" w14:textId="77777777" w:rsidR="008E7846" w:rsidRPr="00792A32" w:rsidRDefault="00456765" w:rsidP="008E7846">
      <w:pPr>
        <w:pStyle w:val="Heading2"/>
      </w:pPr>
      <w:bookmarkStart w:id="26" w:name="_Toc196046504"/>
      <w:bookmarkStart w:id="27" w:name="_Toc247691527"/>
      <w:bookmarkStart w:id="28" w:name="_Toc314842510"/>
      <w:bookmarkStart w:id="29" w:name="_Toc102638223"/>
      <w:bookmarkStart w:id="30" w:name="_Toc163441390"/>
      <w:bookmarkEnd w:id="22"/>
      <w:bookmarkEnd w:id="23"/>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29"/>
    </w:p>
    <w:p w14:paraId="7E3602FB" w14:textId="1D4726DA" w:rsidR="00006FAB" w:rsidRDefault="00006FAB" w:rsidP="00006FAB">
      <w:bookmarkStart w:id="31" w:name="_Toc247691528"/>
      <w:r>
        <w:t>This section is a TGA summary of wording used in TGA’s evaluation report, which discussed numerous aspects of overseas evaluation reports and included some information that was commercial</w:t>
      </w:r>
      <w:r w:rsidR="00E042BF">
        <w:t xml:space="preserve"> </w:t>
      </w:r>
      <w:r>
        <w:t>in</w:t>
      </w:r>
      <w:r w:rsidR="00E042BF">
        <w:t xml:space="preserve"> </w:t>
      </w:r>
      <w:r>
        <w:t>confidence.</w:t>
      </w:r>
    </w:p>
    <w:p w14:paraId="63E66EA1" w14:textId="3574C104" w:rsidR="00A5358D" w:rsidRDefault="00A5358D" w:rsidP="00A5358D">
      <w:r>
        <w:t>Guidance used:</w:t>
      </w:r>
    </w:p>
    <w:p w14:paraId="1A2EFB1F" w14:textId="4DAA2B9F" w:rsidR="00A5358D" w:rsidRDefault="00A5358D" w:rsidP="00A5358D">
      <w:pPr>
        <w:pStyle w:val="ListBullet"/>
      </w:pPr>
      <w:r>
        <w:t xml:space="preserve">There is no specific regulatory guidance for assessment of medicinal products for treatment of </w:t>
      </w:r>
      <w:proofErr w:type="spellStart"/>
      <w:r>
        <w:t>cGVHD</w:t>
      </w:r>
      <w:proofErr w:type="spellEnd"/>
      <w:r>
        <w:t>.</w:t>
      </w:r>
    </w:p>
    <w:p w14:paraId="4D396289" w14:textId="4DF5BCCC" w:rsidR="00A5358D" w:rsidRDefault="00A5358D" w:rsidP="00A5358D">
      <w:pPr>
        <w:pStyle w:val="ListBullet"/>
      </w:pPr>
      <w:r>
        <w:t>The National Institutes of Health Consensus Development Project on Criteria for Clinical Trials in Chronic Graft-versus-Host Disease:1. The 2014 Diagnosis and Staging Working Group Report.</w:t>
      </w:r>
      <w:r>
        <w:fldChar w:fldCharType="begin"/>
      </w:r>
      <w:r>
        <w:instrText xml:space="preserve"> NOTEREF _Ref99362095 \f \h </w:instrText>
      </w:r>
      <w:r>
        <w:fldChar w:fldCharType="separate"/>
      </w:r>
      <w:r w:rsidR="00C85F74" w:rsidRPr="00C85F74">
        <w:rPr>
          <w:rStyle w:val="FootnoteReference"/>
        </w:rPr>
        <w:t>2</w:t>
      </w:r>
      <w:r>
        <w:fldChar w:fldCharType="end"/>
      </w:r>
    </w:p>
    <w:p w14:paraId="4E960BB5" w14:textId="77777777" w:rsidR="008E7846" w:rsidRDefault="008E7846" w:rsidP="008E7846">
      <w:pPr>
        <w:pStyle w:val="Heading3"/>
      </w:pPr>
      <w:bookmarkStart w:id="32" w:name="_Toc314842511"/>
      <w:bookmarkStart w:id="33" w:name="_Toc102638224"/>
      <w:r>
        <w:t>Quality</w:t>
      </w:r>
      <w:bookmarkEnd w:id="31"/>
      <w:bookmarkEnd w:id="32"/>
      <w:bookmarkEnd w:id="33"/>
    </w:p>
    <w:p w14:paraId="45B8616F" w14:textId="047427C3" w:rsidR="00A5358D" w:rsidRDefault="00A5358D" w:rsidP="00A5358D">
      <w:proofErr w:type="spellStart"/>
      <w:r w:rsidRPr="006E54B4">
        <w:t>Belumosudil</w:t>
      </w:r>
      <w:proofErr w:type="spellEnd"/>
      <w:r w:rsidRPr="006E54B4">
        <w:t xml:space="preserve"> (</w:t>
      </w:r>
      <w:r w:rsidR="00B40C06">
        <w:t xml:space="preserve">see </w:t>
      </w:r>
      <w:r w:rsidRPr="006E54B4">
        <w:t>structure below</w:t>
      </w:r>
      <w:r w:rsidR="00B40C06">
        <w:t xml:space="preserve"> in Figure 1</w:t>
      </w:r>
      <w:r w:rsidRPr="006E54B4">
        <w:t xml:space="preserve">) is a </w:t>
      </w:r>
      <w:r>
        <w:t>r</w:t>
      </w:r>
      <w:r w:rsidRPr="006E54B4">
        <w:t>ho-associated protein kinase-2 (ROCK</w:t>
      </w:r>
      <w:r w:rsidR="00B40C06">
        <w:noBreakHyphen/>
      </w:r>
      <w:r w:rsidRPr="006E54B4">
        <w:t>2) inhibitor that potentially down</w:t>
      </w:r>
      <w:r w:rsidR="00907348">
        <w:t xml:space="preserve"> </w:t>
      </w:r>
      <w:r w:rsidRPr="006E54B4">
        <w:t>regulates immune mediators (</w:t>
      </w:r>
      <w:r>
        <w:t>such as</w:t>
      </w:r>
      <w:r w:rsidRPr="006E54B4">
        <w:t xml:space="preserve"> IL-17, IL</w:t>
      </w:r>
      <w:r w:rsidR="00B40C06">
        <w:noBreakHyphen/>
      </w:r>
      <w:r w:rsidRPr="006E54B4">
        <w:t xml:space="preserve">21 and IL-23) by binding to and inhibiting the serine/threonine kinase activity of ROCK-2. </w:t>
      </w:r>
      <w:proofErr w:type="spellStart"/>
      <w:r w:rsidRPr="006E54B4">
        <w:t>Belumosudil</w:t>
      </w:r>
      <w:proofErr w:type="spellEnd"/>
      <w:r w:rsidRPr="006E54B4">
        <w:t xml:space="preserve"> is a quinazoline substituted with 5-aminoindazole and a </w:t>
      </w:r>
      <w:proofErr w:type="spellStart"/>
      <w:r w:rsidRPr="006E54B4">
        <w:t>phenoxyacetamide</w:t>
      </w:r>
      <w:proofErr w:type="spellEnd"/>
      <w:r w:rsidRPr="006E54B4">
        <w:t xml:space="preserve"> component on the 4 and 2 positions, respectively. It is chemically synthesised as the </w:t>
      </w:r>
      <w:proofErr w:type="spellStart"/>
      <w:r>
        <w:t>mesilate</w:t>
      </w:r>
      <w:proofErr w:type="spellEnd"/>
      <w:r w:rsidRPr="006E54B4">
        <w:t xml:space="preserve"> salt.</w:t>
      </w:r>
    </w:p>
    <w:p w14:paraId="6835A867" w14:textId="6925F6B8" w:rsidR="00A5358D" w:rsidRPr="006E54B4" w:rsidRDefault="00A5358D" w:rsidP="00A5358D">
      <w:pPr>
        <w:pStyle w:val="FigureTitle"/>
      </w:pPr>
      <w:r w:rsidRPr="00A5358D">
        <w:lastRenderedPageBreak/>
        <w:t xml:space="preserve">Figure </w:t>
      </w:r>
      <w:fldSimple w:instr=" SEQ Figure \* ARABIC ">
        <w:r w:rsidR="00C85F74">
          <w:rPr>
            <w:noProof/>
          </w:rPr>
          <w:t>1</w:t>
        </w:r>
      </w:fldSimple>
      <w:r>
        <w:t xml:space="preserve">: Chemical structure of </w:t>
      </w:r>
      <w:proofErr w:type="spellStart"/>
      <w:r>
        <w:t>b</w:t>
      </w:r>
      <w:r w:rsidRPr="006E54B4">
        <w:t>elumosudil</w:t>
      </w:r>
      <w:proofErr w:type="spellEnd"/>
      <w:r>
        <w:t xml:space="preserve"> (as </w:t>
      </w:r>
      <w:proofErr w:type="spellStart"/>
      <w:r>
        <w:t>mes</w:t>
      </w:r>
      <w:r w:rsidR="00B40C06">
        <w:t>i</w:t>
      </w:r>
      <w:r>
        <w:t>late</w:t>
      </w:r>
      <w:proofErr w:type="spellEnd"/>
      <w:r>
        <w:t>)</w:t>
      </w:r>
    </w:p>
    <w:p w14:paraId="065E040F" w14:textId="41224604" w:rsidR="00A5358D" w:rsidRDefault="00A5358D" w:rsidP="00A5358D">
      <w:r w:rsidRPr="00396264">
        <w:rPr>
          <w:noProof/>
          <w:lang w:val="en-GB" w:eastAsia="en-GB"/>
        </w:rPr>
        <w:drawing>
          <wp:inline distT="0" distB="0" distL="0" distR="0" wp14:anchorId="5AE4D288" wp14:editId="74FDAEE5">
            <wp:extent cx="1913255" cy="1238250"/>
            <wp:effectExtent l="0" t="0" r="0" b="0"/>
            <wp:docPr id="2" name="Picture 2" descr="Figure 1: Chemical structure of belumosudil (as mesy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Chemical structure of belumosudil (as mesyla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3255" cy="1238250"/>
                    </a:xfrm>
                    <a:prstGeom prst="rect">
                      <a:avLst/>
                    </a:prstGeom>
                    <a:noFill/>
                    <a:ln>
                      <a:noFill/>
                    </a:ln>
                  </pic:spPr>
                </pic:pic>
              </a:graphicData>
            </a:graphic>
          </wp:inline>
        </w:drawing>
      </w:r>
    </w:p>
    <w:p w14:paraId="1651CFED" w14:textId="4897E09E" w:rsidR="00A5358D" w:rsidRDefault="00A5358D" w:rsidP="00A5358D">
      <w:r>
        <w:t>The approved dissolution limit is considered sufficient as an interim limit only. There was a lack of data to show that the method was sufficiently optimal for quality control testing of future batches.</w:t>
      </w:r>
    </w:p>
    <w:p w14:paraId="13DC6AF9" w14:textId="05323CD7" w:rsidR="00E73641" w:rsidRDefault="00E73641" w:rsidP="00A5358D">
      <w:r>
        <w:t xml:space="preserve">Each </w:t>
      </w:r>
      <w:proofErr w:type="spellStart"/>
      <w:r>
        <w:t>Rholistiq</w:t>
      </w:r>
      <w:proofErr w:type="spellEnd"/>
      <w:r>
        <w:t xml:space="preserve"> tablet contains 200 mg </w:t>
      </w:r>
      <w:proofErr w:type="spellStart"/>
      <w:r>
        <w:t>belumosudil</w:t>
      </w:r>
      <w:proofErr w:type="spellEnd"/>
      <w:r>
        <w:t xml:space="preserve"> (as </w:t>
      </w:r>
      <w:proofErr w:type="spellStart"/>
      <w:r>
        <w:t>belumosudil</w:t>
      </w:r>
      <w:proofErr w:type="spellEnd"/>
      <w:r>
        <w:t xml:space="preserve"> </w:t>
      </w:r>
      <w:proofErr w:type="spellStart"/>
      <w:r>
        <w:t>mesilate</w:t>
      </w:r>
      <w:proofErr w:type="spellEnd"/>
      <w:r>
        <w:t xml:space="preserve">) as the active ingredient. </w:t>
      </w:r>
      <w:proofErr w:type="spellStart"/>
      <w:r>
        <w:t>Rholistiq</w:t>
      </w:r>
      <w:proofErr w:type="spellEnd"/>
      <w:r>
        <w:t xml:space="preserve"> film coated tablets are pale yellow oblong tablets debossed with ‘KDM’ on one side and ‘200’ on the reverse side.</w:t>
      </w:r>
    </w:p>
    <w:p w14:paraId="7354B568" w14:textId="3C8ABF8B" w:rsidR="00E73641" w:rsidRDefault="00E73641" w:rsidP="00A5358D">
      <w:proofErr w:type="spellStart"/>
      <w:r>
        <w:t>Rholistiq</w:t>
      </w:r>
      <w:proofErr w:type="spellEnd"/>
      <w:r>
        <w:t xml:space="preserve"> tablets should be stored below 25°C and store in a cool dry place away from moisture, </w:t>
      </w:r>
      <w:proofErr w:type="gramStart"/>
      <w:r>
        <w:t>heat</w:t>
      </w:r>
      <w:proofErr w:type="gramEnd"/>
      <w:r>
        <w:t xml:space="preserve"> or sunlight.</w:t>
      </w:r>
    </w:p>
    <w:p w14:paraId="2D8BF047" w14:textId="09E960A8" w:rsidR="00B40C06" w:rsidRDefault="00B40C06" w:rsidP="00A5358D">
      <w:pPr>
        <w:pStyle w:val="Heading4"/>
      </w:pPr>
      <w:r>
        <w:t>Recommendation and p</w:t>
      </w:r>
      <w:r w:rsidR="00A5358D" w:rsidRPr="00AA53F4">
        <w:t>roposed conditions of registration</w:t>
      </w:r>
    </w:p>
    <w:p w14:paraId="5BA27C08" w14:textId="49C39DF8" w:rsidR="00A5358D" w:rsidRDefault="00B40C06" w:rsidP="00C85F74">
      <w:r w:rsidRPr="00D06D43">
        <w:t>Approval is recommended from a quality and biopharmaceutics perspective.</w:t>
      </w:r>
    </w:p>
    <w:p w14:paraId="7D047A9B" w14:textId="0BB825B6" w:rsidR="00A5358D" w:rsidRDefault="00A5358D" w:rsidP="00A5358D">
      <w:r>
        <w:t xml:space="preserve">The </w:t>
      </w:r>
      <w:r w:rsidR="00B40C06">
        <w:t>q</w:t>
      </w:r>
      <w:r>
        <w:t xml:space="preserve">uality and </w:t>
      </w:r>
      <w:r w:rsidR="00B40C06">
        <w:t>b</w:t>
      </w:r>
      <w:r>
        <w:t>iopharmaceutic</w:t>
      </w:r>
      <w:r w:rsidR="00B40C06">
        <w:t>al chemistry</w:t>
      </w:r>
      <w:r>
        <w:t xml:space="preserve"> </w:t>
      </w:r>
      <w:r w:rsidR="00B40C06">
        <w:t>evaluator</w:t>
      </w:r>
      <w:r>
        <w:t xml:space="preserve"> has recommended the following:</w:t>
      </w:r>
    </w:p>
    <w:p w14:paraId="78E0DA91" w14:textId="328B60B4" w:rsidR="00E45619" w:rsidRDefault="00A5358D" w:rsidP="00006FAB">
      <w:r w:rsidRPr="00DE4684">
        <w:rPr>
          <w:i/>
          <w:iCs/>
        </w:rPr>
        <w:t xml:space="preserve">Develop and validate an optimal and discriminating dissolution method for quality control testing of </w:t>
      </w:r>
      <w:proofErr w:type="spellStart"/>
      <w:r w:rsidRPr="00DE4684">
        <w:rPr>
          <w:i/>
          <w:iCs/>
        </w:rPr>
        <w:t>belumosudil</w:t>
      </w:r>
      <w:proofErr w:type="spellEnd"/>
      <w:r w:rsidRPr="00DE4684">
        <w:rPr>
          <w:i/>
          <w:iCs/>
        </w:rPr>
        <w:t xml:space="preserve"> (as </w:t>
      </w:r>
      <w:proofErr w:type="spellStart"/>
      <w:r w:rsidRPr="00DE4684">
        <w:rPr>
          <w:i/>
          <w:iCs/>
        </w:rPr>
        <w:t>mesilate</w:t>
      </w:r>
      <w:proofErr w:type="spellEnd"/>
      <w:r w:rsidRPr="00DE4684">
        <w:rPr>
          <w:i/>
          <w:iCs/>
        </w:rPr>
        <w:t>) 200 mg tablets and submit this to the TGA within 18</w:t>
      </w:r>
      <w:r w:rsidR="00B40C06">
        <w:rPr>
          <w:i/>
          <w:iCs/>
        </w:rPr>
        <w:t> </w:t>
      </w:r>
      <w:r w:rsidRPr="00DE4684">
        <w:rPr>
          <w:i/>
          <w:iCs/>
        </w:rPr>
        <w:t>months of registration of the tablets.</w:t>
      </w:r>
      <w:r w:rsidR="008926B7">
        <w:rPr>
          <w:i/>
          <w:iCs/>
        </w:rPr>
        <w:t xml:space="preserve"> </w:t>
      </w:r>
      <w:r w:rsidRPr="00DE4684">
        <w:rPr>
          <w:i/>
          <w:iCs/>
        </w:rPr>
        <w:t>The development should be based on data generated from the unexpired clinical and registration batches, and available commercial batches.</w:t>
      </w:r>
    </w:p>
    <w:p w14:paraId="652DDEB7" w14:textId="77777777" w:rsidR="008E7846" w:rsidRDefault="008E7846" w:rsidP="008E7846">
      <w:pPr>
        <w:pStyle w:val="Heading3"/>
      </w:pPr>
      <w:bookmarkStart w:id="34" w:name="_Toc314842512"/>
      <w:bookmarkStart w:id="35" w:name="_Toc102638225"/>
      <w:r>
        <w:t>Nonclinical</w:t>
      </w:r>
      <w:bookmarkEnd w:id="34"/>
      <w:bookmarkEnd w:id="35"/>
    </w:p>
    <w:p w14:paraId="403511FB" w14:textId="701A7015" w:rsidR="00A5358D" w:rsidRDefault="00A5358D" w:rsidP="00195641">
      <w:proofErr w:type="spellStart"/>
      <w:r>
        <w:t>Belumosudil</w:t>
      </w:r>
      <w:proofErr w:type="spellEnd"/>
      <w:r>
        <w:t xml:space="preserve"> is a </w:t>
      </w:r>
      <w:r w:rsidR="008926B7">
        <w:t>ROCK-2</w:t>
      </w:r>
      <w:r>
        <w:t xml:space="preserve"> inhibitor, representing a novel pharmacological class. </w:t>
      </w:r>
      <w:proofErr w:type="spellStart"/>
      <w:r>
        <w:t>Belumosudil</w:t>
      </w:r>
      <w:proofErr w:type="spellEnd"/>
      <w:r>
        <w:t xml:space="preserve"> was shown to inhibit human </w:t>
      </w:r>
      <w:r w:rsidR="008926B7">
        <w:t>ROCK-2</w:t>
      </w:r>
      <w:r>
        <w:t xml:space="preserve"> with nanomolar </w:t>
      </w:r>
      <w:proofErr w:type="gramStart"/>
      <w:r>
        <w:t>potency, and</w:t>
      </w:r>
      <w:proofErr w:type="gramEnd"/>
      <w:r>
        <w:t xml:space="preserve"> display very high selectivity for it over </w:t>
      </w:r>
      <w:r w:rsidR="00907348">
        <w:t>R</w:t>
      </w:r>
      <w:r w:rsidR="00907348" w:rsidRPr="006E54B4">
        <w:t>ho-associated protein kinase</w:t>
      </w:r>
      <w:r w:rsidR="00907348">
        <w:t xml:space="preserve"> </w:t>
      </w:r>
      <w:r>
        <w:t>1, the other member of the Rho-associated, coiled</w:t>
      </w:r>
      <w:r w:rsidR="00907348">
        <w:t xml:space="preserve"> </w:t>
      </w:r>
      <w:r>
        <w:t xml:space="preserve">coil containing protein kinase family. </w:t>
      </w:r>
      <w:r w:rsidRPr="00195641">
        <w:rPr>
          <w:i/>
          <w:iCs/>
        </w:rPr>
        <w:t>In vitro</w:t>
      </w:r>
      <w:r>
        <w:t xml:space="preserve">, </w:t>
      </w:r>
      <w:proofErr w:type="spellStart"/>
      <w:r>
        <w:t>belumosudil</w:t>
      </w:r>
      <w:proofErr w:type="spellEnd"/>
      <w:r>
        <w:t xml:space="preserve"> was shown to suppress release of pro-inflammatory cytokines from human peripheral blood mononuclear cells, and to shift human T cells away from the pro</w:t>
      </w:r>
      <w:r w:rsidR="00E73641">
        <w:t>-</w:t>
      </w:r>
      <w:r>
        <w:t xml:space="preserve">inflammatory T-cell phenotype (Th17) that is a feature of </w:t>
      </w:r>
      <w:proofErr w:type="spellStart"/>
      <w:r>
        <w:t>cGVHD</w:t>
      </w:r>
      <w:proofErr w:type="spellEnd"/>
      <w:r>
        <w:t xml:space="preserve"> towards the regulatory</w:t>
      </w:r>
      <w:r w:rsidR="00907348">
        <w:t xml:space="preserve"> </w:t>
      </w:r>
      <w:r>
        <w:t>T</w:t>
      </w:r>
      <w:r w:rsidR="00907348">
        <w:t>-</w:t>
      </w:r>
      <w:r>
        <w:t>cell</w:t>
      </w:r>
      <w:r w:rsidR="00907348">
        <w:t xml:space="preserve"> (Treg</w:t>
      </w:r>
      <w:r>
        <w:t xml:space="preserve">) phenotype. Anti-fibrotic activity by </w:t>
      </w:r>
      <w:proofErr w:type="spellStart"/>
      <w:r>
        <w:t>belumosudil</w:t>
      </w:r>
      <w:proofErr w:type="spellEnd"/>
      <w:r>
        <w:t xml:space="preserve"> was also evident </w:t>
      </w:r>
      <w:r w:rsidRPr="00ED22AF">
        <w:rPr>
          <w:i/>
          <w:iCs/>
        </w:rPr>
        <w:t>in vitro</w:t>
      </w:r>
      <w:r>
        <w:t xml:space="preserve"> in cultured human lung fibroblasts. </w:t>
      </w:r>
      <w:r w:rsidRPr="00195641">
        <w:rPr>
          <w:i/>
          <w:iCs/>
        </w:rPr>
        <w:t>In vivo</w:t>
      </w:r>
      <w:r>
        <w:t xml:space="preserve"> efficacy was demonstrated in mouse models of </w:t>
      </w:r>
      <w:proofErr w:type="spellStart"/>
      <w:r>
        <w:t>cGVHD</w:t>
      </w:r>
      <w:proofErr w:type="spellEnd"/>
      <w:r>
        <w:t xml:space="preserve">, with </w:t>
      </w:r>
      <w:proofErr w:type="spellStart"/>
      <w:r>
        <w:t>belumosudil</w:t>
      </w:r>
      <w:proofErr w:type="spellEnd"/>
      <w:r>
        <w:t xml:space="preserve"> treatment found to improve pulmonary dysfunction, reduce pulmonary collagen and </w:t>
      </w:r>
      <w:r w:rsidR="00E73641">
        <w:t>immunoglobulin G (</w:t>
      </w:r>
      <w:r>
        <w:t>IgG</w:t>
      </w:r>
      <w:r w:rsidR="00E73641">
        <w:t>)</w:t>
      </w:r>
      <w:r>
        <w:t xml:space="preserve"> deposition, and attenuate pathological changes in the lung, liver, </w:t>
      </w:r>
      <w:proofErr w:type="gramStart"/>
      <w:r>
        <w:t>colon</w:t>
      </w:r>
      <w:proofErr w:type="gramEnd"/>
      <w:r>
        <w:t xml:space="preserve"> and spleen. These studies offer support for the utility of </w:t>
      </w:r>
      <w:proofErr w:type="spellStart"/>
      <w:r>
        <w:t>belumosudil</w:t>
      </w:r>
      <w:proofErr w:type="spellEnd"/>
      <w:r>
        <w:t xml:space="preserve"> in the proposed indication.</w:t>
      </w:r>
    </w:p>
    <w:p w14:paraId="4EFFAC7D" w14:textId="4C77B8B2" w:rsidR="00A5358D" w:rsidRDefault="00A5358D" w:rsidP="00195641">
      <w:r>
        <w:t xml:space="preserve">Screening assays identified no clinically relevant secondary pharmacological activity for </w:t>
      </w:r>
      <w:proofErr w:type="spellStart"/>
      <w:r>
        <w:t>belumosudil</w:t>
      </w:r>
      <w:proofErr w:type="spellEnd"/>
      <w:r>
        <w:t>.</w:t>
      </w:r>
    </w:p>
    <w:p w14:paraId="41891D3D" w14:textId="7122C707" w:rsidR="00A5358D" w:rsidRDefault="00A5358D" w:rsidP="00195641">
      <w:proofErr w:type="spellStart"/>
      <w:r>
        <w:t>Belumosudil</w:t>
      </w:r>
      <w:proofErr w:type="spellEnd"/>
      <w:r>
        <w:t xml:space="preserve"> is a substrate of P glycoprotein</w:t>
      </w:r>
      <w:r w:rsidR="001F2DA0">
        <w:t xml:space="preserve"> (p-</w:t>
      </w:r>
      <w:proofErr w:type="spellStart"/>
      <w:r w:rsidR="001F2DA0">
        <w:t>gp</w:t>
      </w:r>
      <w:proofErr w:type="spellEnd"/>
      <w:r w:rsidR="001F2DA0">
        <w:t>)</w:t>
      </w:r>
      <w:r>
        <w:t xml:space="preserve">. </w:t>
      </w:r>
      <w:r w:rsidRPr="00195641">
        <w:rPr>
          <w:i/>
          <w:iCs/>
        </w:rPr>
        <w:t>In vitro</w:t>
      </w:r>
      <w:r>
        <w:t xml:space="preserve"> experiments examining the potential for pharmacokinetic drug interactions revealed inhibition of multiple enzymes (CYP</w:t>
      </w:r>
      <w:r w:rsidR="00907348">
        <w:t>;</w:t>
      </w:r>
      <w:r w:rsidR="00907348">
        <w:rPr>
          <w:rStyle w:val="FootnoteReference"/>
        </w:rPr>
        <w:footnoteReference w:id="6"/>
      </w:r>
      <w:r>
        <w:t>2C8, CYP2C9, CYP2C19, CYP3A4, UGT1A1 and UGT1A9) and transporters (P-</w:t>
      </w:r>
      <w:proofErr w:type="spellStart"/>
      <w:r w:rsidR="001F2DA0">
        <w:t>gp</w:t>
      </w:r>
      <w:proofErr w:type="spellEnd"/>
      <w:r>
        <w:t xml:space="preserve">, </w:t>
      </w:r>
      <w:r>
        <w:lastRenderedPageBreak/>
        <w:t xml:space="preserve">BCRP, OATP1B1, MATE1 and MATE2-K) by </w:t>
      </w:r>
      <w:proofErr w:type="spellStart"/>
      <w:r>
        <w:t>belumosudil</w:t>
      </w:r>
      <w:proofErr w:type="spellEnd"/>
      <w:r>
        <w:t xml:space="preserve"> at clinically relevant concentrations. Slight induction of CYP1A2, 2B6 and 3A4 by </w:t>
      </w:r>
      <w:proofErr w:type="spellStart"/>
      <w:r>
        <w:t>belumosudil</w:t>
      </w:r>
      <w:proofErr w:type="spellEnd"/>
      <w:r>
        <w:t xml:space="preserve"> was seen in cultured human hepatocytes, this is unlikely to be clinically significant.</w:t>
      </w:r>
    </w:p>
    <w:p w14:paraId="4433813B" w14:textId="35336C26" w:rsidR="00A5358D" w:rsidRDefault="00A5358D" w:rsidP="00195641">
      <w:r>
        <w:t xml:space="preserve">Safety pharmacology studies revealed no clinically relevant effects </w:t>
      </w:r>
      <w:r w:rsidR="00907348">
        <w:t>on c</w:t>
      </w:r>
      <w:r w:rsidR="00907348" w:rsidRPr="00907348">
        <w:t>entral nervous system</w:t>
      </w:r>
      <w:r>
        <w:t xml:space="preserve"> function or on </w:t>
      </w:r>
      <w:r w:rsidR="00907348" w:rsidRPr="00907348">
        <w:t>electrocardiogram</w:t>
      </w:r>
      <w:r>
        <w:t>, no consistent effect on respiration, and potential for slight lowering of blood pressure.</w:t>
      </w:r>
    </w:p>
    <w:p w14:paraId="509B5522" w14:textId="49F7D106" w:rsidR="00A5358D" w:rsidRDefault="00A5358D" w:rsidP="00195641">
      <w:r>
        <w:t xml:space="preserve">The major targets for </w:t>
      </w:r>
      <w:proofErr w:type="spellStart"/>
      <w:r>
        <w:t>belumosudil</w:t>
      </w:r>
      <w:proofErr w:type="spellEnd"/>
      <w:r>
        <w:t xml:space="preserve"> toxicity in rats and dogs were the liver, </w:t>
      </w:r>
      <w:proofErr w:type="gramStart"/>
      <w:r>
        <w:t>kidneys</w:t>
      </w:r>
      <w:proofErr w:type="gramEnd"/>
      <w:r>
        <w:t xml:space="preserve"> and male reproductive tract. Effects on the spleen, thymus, adrenals, red blood cell indices and platelets, the gastrointestinal tract, body weight and the thyroid were also seen.</w:t>
      </w:r>
    </w:p>
    <w:p w14:paraId="431AB5C9" w14:textId="5D86A419" w:rsidR="00E73641" w:rsidRDefault="00E73641" w:rsidP="00C85F74">
      <w:pPr>
        <w:pStyle w:val="Heading4"/>
      </w:pPr>
      <w:r>
        <w:t>Recommendation and proposed conditions of registration</w:t>
      </w:r>
    </w:p>
    <w:p w14:paraId="3F5016D9" w14:textId="157396DD" w:rsidR="00E73641" w:rsidRDefault="00E73641" w:rsidP="00195641">
      <w:r>
        <w:t xml:space="preserve">There are no nonclinical objections to the registration of </w:t>
      </w:r>
      <w:proofErr w:type="spellStart"/>
      <w:r>
        <w:t>Rholistiq</w:t>
      </w:r>
      <w:proofErr w:type="spellEnd"/>
      <w:r>
        <w:t xml:space="preserve"> for the proposed indication. The conduct and timely submission of mouse and rat carcinogenicity studies with </w:t>
      </w:r>
      <w:proofErr w:type="spellStart"/>
      <w:r>
        <w:t>belumosudil</w:t>
      </w:r>
      <w:proofErr w:type="spellEnd"/>
      <w:r>
        <w:t xml:space="preserve"> should be included as a condition of registration.</w:t>
      </w:r>
    </w:p>
    <w:p w14:paraId="7B9AD90D" w14:textId="77777777" w:rsidR="008E7846" w:rsidRDefault="008E7846" w:rsidP="008E7846">
      <w:pPr>
        <w:pStyle w:val="Heading3"/>
      </w:pPr>
      <w:bookmarkStart w:id="36" w:name="_Toc247691530"/>
      <w:bookmarkStart w:id="37" w:name="_Toc314842513"/>
      <w:bookmarkStart w:id="38" w:name="_Toc102638226"/>
      <w:r>
        <w:t>Clinical</w:t>
      </w:r>
      <w:bookmarkEnd w:id="36"/>
      <w:bookmarkEnd w:id="37"/>
      <w:bookmarkEnd w:id="38"/>
    </w:p>
    <w:p w14:paraId="7E85C6B9" w14:textId="46E85AC4" w:rsidR="007B6132" w:rsidRDefault="00220F2D" w:rsidP="00220F2D">
      <w:bookmarkStart w:id="39" w:name="_Toc314842514"/>
      <w:r>
        <w:t>The</w:t>
      </w:r>
      <w:r w:rsidR="00006FAB" w:rsidRPr="00006FAB">
        <w:t xml:space="preserve"> clinical dossier consisted of</w:t>
      </w:r>
      <w:r w:rsidR="00C115AE">
        <w:t xml:space="preserve"> ten Phase I, and then Phase II trials.</w:t>
      </w:r>
    </w:p>
    <w:p w14:paraId="3A2726F1" w14:textId="77777777" w:rsidR="00220F2D" w:rsidRDefault="00220F2D" w:rsidP="00220F2D">
      <w:pPr>
        <w:pStyle w:val="Heading4"/>
      </w:pPr>
      <w:r>
        <w:t>Pharmacology</w:t>
      </w:r>
    </w:p>
    <w:p w14:paraId="0B0DB429" w14:textId="77D4D4E3" w:rsidR="00220F2D" w:rsidRDefault="00220F2D" w:rsidP="00220F2D">
      <w:pPr>
        <w:pStyle w:val="Heading5"/>
      </w:pPr>
      <w:r>
        <w:t>Pharmacokinetics</w:t>
      </w:r>
    </w:p>
    <w:p w14:paraId="27C53CBF" w14:textId="62CB8841" w:rsidR="00220F2D" w:rsidRDefault="00220F2D" w:rsidP="00220F2D">
      <w:proofErr w:type="spellStart"/>
      <w:r>
        <w:t>Belumosudil</w:t>
      </w:r>
      <w:proofErr w:type="spellEnd"/>
      <w:r>
        <w:t xml:space="preserve"> is an orally available </w:t>
      </w:r>
      <w:r w:rsidR="008926B7">
        <w:t>ROCK-2</w:t>
      </w:r>
      <w:r>
        <w:t xml:space="preserve"> selective inhibitor. Rho GTPase-mediated signalling pathways play a central role in coordinating and balancing T cell-mediated immune responses and impacts fibrotic pathways. ROCK signalling plays a role in </w:t>
      </w:r>
      <w:proofErr w:type="gramStart"/>
      <w:r>
        <w:t>a number of</w:t>
      </w:r>
      <w:proofErr w:type="gramEnd"/>
      <w:r>
        <w:t xml:space="preserve"> conditions, including </w:t>
      </w:r>
      <w:proofErr w:type="spellStart"/>
      <w:r>
        <w:t>cGVHD</w:t>
      </w:r>
      <w:proofErr w:type="spellEnd"/>
      <w:r>
        <w:t>.</w:t>
      </w:r>
    </w:p>
    <w:p w14:paraId="54B83989" w14:textId="145A1124" w:rsidR="00220F2D" w:rsidRDefault="00220F2D" w:rsidP="00220F2D">
      <w:r>
        <w:t xml:space="preserve">The clinical pharmacology program to support the use of </w:t>
      </w:r>
      <w:proofErr w:type="spellStart"/>
      <w:r>
        <w:t>belumosudil</w:t>
      </w:r>
      <w:proofErr w:type="spellEnd"/>
      <w:r>
        <w:t xml:space="preserve"> in </w:t>
      </w:r>
      <w:proofErr w:type="spellStart"/>
      <w:r>
        <w:t>cGVHD</w:t>
      </w:r>
      <w:proofErr w:type="spellEnd"/>
      <w:r>
        <w:t xml:space="preserve"> consisted of 12 clinical studies (</w:t>
      </w:r>
      <w:r w:rsidR="00907348">
        <w:t>ten</w:t>
      </w:r>
      <w:r>
        <w:t xml:space="preserve"> Phase I trials and </w:t>
      </w:r>
      <w:proofErr w:type="gramStart"/>
      <w:r w:rsidR="00907348">
        <w:t>two</w:t>
      </w:r>
      <w:r>
        <w:t xml:space="preserve"> Phase II</w:t>
      </w:r>
      <w:proofErr w:type="gramEnd"/>
      <w:r>
        <w:t xml:space="preserve"> trials), with </w:t>
      </w:r>
      <w:r w:rsidR="00907348">
        <w:t>ten</w:t>
      </w:r>
      <w:r>
        <w:t xml:space="preserve"> having been completed and </w:t>
      </w:r>
      <w:r w:rsidR="00907348">
        <w:t>two</w:t>
      </w:r>
      <w:r>
        <w:t xml:space="preserve"> are ongoing. An additional two clinical studies have been completed in subjects with psoriasis. Fourteen </w:t>
      </w:r>
      <w:r w:rsidRPr="00220F2D">
        <w:rPr>
          <w:i/>
          <w:iCs/>
        </w:rPr>
        <w:t>in vitro</w:t>
      </w:r>
      <w:r>
        <w:t xml:space="preserve"> studies using human biomaterials have also been completed.</w:t>
      </w:r>
    </w:p>
    <w:p w14:paraId="3A8427EB" w14:textId="641FF052" w:rsidR="00220F2D" w:rsidRDefault="00220F2D" w:rsidP="00220F2D">
      <w:r>
        <w:t xml:space="preserve">The </w:t>
      </w:r>
      <w:proofErr w:type="spellStart"/>
      <w:r>
        <w:t>belumosudil</w:t>
      </w:r>
      <w:proofErr w:type="spellEnd"/>
      <w:r>
        <w:t xml:space="preserve"> clinical studies include single and multiple</w:t>
      </w:r>
      <w:r w:rsidR="00907348">
        <w:t xml:space="preserve"> </w:t>
      </w:r>
      <w:r>
        <w:t xml:space="preserve">dose administration of </w:t>
      </w:r>
      <w:proofErr w:type="spellStart"/>
      <w:r>
        <w:t>belumosudil</w:t>
      </w:r>
      <w:proofErr w:type="spellEnd"/>
      <w:r>
        <w:t xml:space="preserve"> at doses ranging from 20 to 1000 mg; healthy subjects and subjects with </w:t>
      </w:r>
      <w:proofErr w:type="spellStart"/>
      <w:r>
        <w:t>cGVHD</w:t>
      </w:r>
      <w:proofErr w:type="spellEnd"/>
      <w:r>
        <w:t xml:space="preserve"> and psoriasis; evaluation of food effect; metabolism, distribution, and excretion studies; pharmacokinetics (PK) in subjects with hepatic impairment; characterisation/evaluation of victim and perpetrator drug</w:t>
      </w:r>
      <w:r w:rsidR="00C115AE">
        <w:noBreakHyphen/>
      </w:r>
      <w:r>
        <w:t>drug interactions; and population pharmacokinetic (</w:t>
      </w:r>
      <w:proofErr w:type="spellStart"/>
      <w:r>
        <w:t>popPK</w:t>
      </w:r>
      <w:proofErr w:type="spellEnd"/>
      <w:r>
        <w:t>) and exposure</w:t>
      </w:r>
      <w:r w:rsidR="00C115AE">
        <w:noBreakHyphen/>
      </w:r>
      <w:r>
        <w:t xml:space="preserve">response analyses. A study to determine effect of hepatic impairment on </w:t>
      </w:r>
      <w:r w:rsidR="00C115AE">
        <w:t xml:space="preserve">the </w:t>
      </w:r>
      <w:r>
        <w:t xml:space="preserve">PK, safety, and tolerability of single oral </w:t>
      </w:r>
      <w:r>
        <w:lastRenderedPageBreak/>
        <w:t xml:space="preserve">doses of </w:t>
      </w:r>
      <w:proofErr w:type="spellStart"/>
      <w:r>
        <w:t>belumosudil</w:t>
      </w:r>
      <w:proofErr w:type="spellEnd"/>
      <w:r>
        <w:t xml:space="preserve"> in subjects with normal hepatic function and mild, moderate, or severe hepatic impairment is ongoing. A QT study</w:t>
      </w:r>
      <w:r w:rsidR="00907348">
        <w:t>;</w:t>
      </w:r>
      <w:r w:rsidR="00907348">
        <w:rPr>
          <w:rStyle w:val="FootnoteReference"/>
        </w:rPr>
        <w:footnoteReference w:id="7"/>
      </w:r>
      <w:r>
        <w:t xml:space="preserve"> is also ongoing.</w:t>
      </w:r>
    </w:p>
    <w:p w14:paraId="7AFC3277" w14:textId="385377D2" w:rsidR="00220F2D" w:rsidRDefault="00220F2D" w:rsidP="00220F2D">
      <w:r>
        <w:t xml:space="preserve">Patients with </w:t>
      </w:r>
      <w:proofErr w:type="spellStart"/>
      <w:r>
        <w:t>cGVHD</w:t>
      </w:r>
      <w:proofErr w:type="spellEnd"/>
      <w:r>
        <w:t xml:space="preserve"> were included only in the Phase II studies which also assessed safety and efficacy. The Phase I PK studies were conducted in healthy subjects. A </w:t>
      </w:r>
      <w:proofErr w:type="spellStart"/>
      <w:r>
        <w:t>popPK</w:t>
      </w:r>
      <w:proofErr w:type="spellEnd"/>
      <w:r>
        <w:t xml:space="preserve"> analysis utilising data from five Phase I studies (including a controlled drug</w:t>
      </w:r>
      <w:r w:rsidR="00C115AE">
        <w:noBreakHyphen/>
      </w:r>
      <w:r>
        <w:t xml:space="preserve">drug interaction (DDI) study and a controlled food effect study) and the </w:t>
      </w:r>
      <w:r w:rsidR="00907348">
        <w:t>two</w:t>
      </w:r>
      <w:r>
        <w:t xml:space="preserve"> studies in subjects with </w:t>
      </w:r>
      <w:proofErr w:type="spellStart"/>
      <w:r>
        <w:t>cGVHD</w:t>
      </w:r>
      <w:proofErr w:type="spellEnd"/>
      <w:r>
        <w:t xml:space="preserve"> was developed to describe the PK of </w:t>
      </w:r>
      <w:proofErr w:type="spellStart"/>
      <w:r>
        <w:t>belumosudil</w:t>
      </w:r>
      <w:proofErr w:type="spellEnd"/>
      <w:r>
        <w:t>.</w:t>
      </w:r>
    </w:p>
    <w:p w14:paraId="3829061A" w14:textId="0117B35E" w:rsidR="00220F2D" w:rsidRDefault="00220F2D" w:rsidP="00220F2D">
      <w:r>
        <w:t xml:space="preserve">Two Phase I metabolites of </w:t>
      </w:r>
      <w:proofErr w:type="spellStart"/>
      <w:r>
        <w:t>belumosudil</w:t>
      </w:r>
      <w:proofErr w:type="spellEnd"/>
      <w:r>
        <w:t xml:space="preserve"> have been identified based on </w:t>
      </w:r>
      <w:r w:rsidRPr="00220F2D">
        <w:rPr>
          <w:i/>
          <w:iCs/>
        </w:rPr>
        <w:t>in vitro</w:t>
      </w:r>
      <w:r>
        <w:t xml:space="preserve"> studies in liver microsomes/hepatocytes and measured in clinical studies: KD025m1 (minor metabolite) and KD025m2 (major metabolite). </w:t>
      </w:r>
      <w:r w:rsidRPr="00220F2D">
        <w:rPr>
          <w:i/>
          <w:iCs/>
        </w:rPr>
        <w:t>In vitro</w:t>
      </w:r>
      <w:r>
        <w:t xml:space="preserve"> tests indicated that KD025m1, but not KD025m2, inhibits ROCK</w:t>
      </w:r>
      <w:r w:rsidR="00106CD4">
        <w:t>-</w:t>
      </w:r>
      <w:r>
        <w:t xml:space="preserve">2 at clinically relevant concentrations. </w:t>
      </w:r>
      <w:proofErr w:type="spellStart"/>
      <w:r>
        <w:t>Belumosudil</w:t>
      </w:r>
      <w:proofErr w:type="spellEnd"/>
      <w:r>
        <w:t xml:space="preserve"> </w:t>
      </w:r>
      <w:r w:rsidR="00C115AE">
        <w:t>inhibition constant (</w:t>
      </w:r>
      <w:r>
        <w:t>K</w:t>
      </w:r>
      <w:r w:rsidRPr="00C85F74">
        <w:rPr>
          <w:vertAlign w:val="subscript"/>
        </w:rPr>
        <w:t>i</w:t>
      </w:r>
      <w:r w:rsidR="00C115AE">
        <w:t xml:space="preserve">) </w:t>
      </w:r>
      <w:r>
        <w:t>for ROCK</w:t>
      </w:r>
      <w:r w:rsidR="00106CD4">
        <w:t>-</w:t>
      </w:r>
      <w:r>
        <w:t xml:space="preserve">2 = 40 </w:t>
      </w:r>
      <w:proofErr w:type="spellStart"/>
      <w:r>
        <w:t>nM</w:t>
      </w:r>
      <w:proofErr w:type="spellEnd"/>
      <w:r>
        <w:t xml:space="preserve">; KD025m1 </w:t>
      </w:r>
      <w:r w:rsidR="00C115AE">
        <w:t>K</w:t>
      </w:r>
      <w:r w:rsidR="00C115AE" w:rsidRPr="00416BD6">
        <w:rPr>
          <w:vertAlign w:val="subscript"/>
        </w:rPr>
        <w:t>i</w:t>
      </w:r>
      <w:r w:rsidR="00C115AE" w:rsidDel="00C115AE">
        <w:t xml:space="preserve"> </w:t>
      </w:r>
      <w:r>
        <w:t>for ROCK</w:t>
      </w:r>
      <w:r w:rsidR="00106CD4">
        <w:t>-</w:t>
      </w:r>
      <w:r>
        <w:t xml:space="preserve">2 = 55 </w:t>
      </w:r>
      <w:proofErr w:type="spellStart"/>
      <w:r>
        <w:t>nM</w:t>
      </w:r>
      <w:proofErr w:type="spellEnd"/>
      <w:r>
        <w:t xml:space="preserve"> and KD025m2</w:t>
      </w:r>
      <w:r w:rsidR="00C115AE" w:rsidRPr="00C115AE">
        <w:t xml:space="preserve"> </w:t>
      </w:r>
      <w:r w:rsidR="00C115AE">
        <w:t>K</w:t>
      </w:r>
      <w:r w:rsidR="00C115AE" w:rsidRPr="00416BD6">
        <w:rPr>
          <w:vertAlign w:val="subscript"/>
        </w:rPr>
        <w:t>i</w:t>
      </w:r>
      <w:r>
        <w:t xml:space="preserve"> for ROCK</w:t>
      </w:r>
      <w:r w:rsidR="00106CD4">
        <w:noBreakHyphen/>
      </w:r>
      <w:r>
        <w:t>2</w:t>
      </w:r>
      <w:r w:rsidR="00106CD4">
        <w:t> </w:t>
      </w:r>
      <w:r>
        <w:t>=</w:t>
      </w:r>
      <w:r w:rsidR="00106CD4">
        <w:t> </w:t>
      </w:r>
      <w:r>
        <w:t>338</w:t>
      </w:r>
      <w:r w:rsidR="00106CD4">
        <w:t> </w:t>
      </w:r>
      <w:proofErr w:type="spellStart"/>
      <w:r>
        <w:t>nM.</w:t>
      </w:r>
      <w:proofErr w:type="spellEnd"/>
      <w:r>
        <w:t xml:space="preserve"> </w:t>
      </w:r>
      <w:proofErr w:type="spellStart"/>
      <w:r>
        <w:t>Belumosudil</w:t>
      </w:r>
      <w:proofErr w:type="spellEnd"/>
      <w:r>
        <w:t xml:space="preserve">, KD025m2 and KD025m1were assayed in </w:t>
      </w:r>
      <w:proofErr w:type="gramStart"/>
      <w:r>
        <w:t>all of</w:t>
      </w:r>
      <w:proofErr w:type="gramEnd"/>
      <w:r>
        <w:t xml:space="preserve"> the completed clinical studies.</w:t>
      </w:r>
    </w:p>
    <w:p w14:paraId="18DBEB7D" w14:textId="3B078E0D" w:rsidR="00220F2D" w:rsidRDefault="00220F2D" w:rsidP="00220F2D">
      <w:r>
        <w:t xml:space="preserve">Additional Phase I metabolites identified in plasma </w:t>
      </w:r>
      <w:proofErr w:type="gramStart"/>
      <w:r>
        <w:t>in the course of</w:t>
      </w:r>
      <w:proofErr w:type="gramEnd"/>
      <w:r>
        <w:t xml:space="preserve"> a human absorption, metabolism, and excretion (</w:t>
      </w:r>
      <w:proofErr w:type="spellStart"/>
      <w:r>
        <w:t>hAME</w:t>
      </w:r>
      <w:proofErr w:type="spellEnd"/>
      <w:r>
        <w:t>) study were below 10% of total drug</w:t>
      </w:r>
      <w:r w:rsidR="006506DB">
        <w:t xml:space="preserve"> </w:t>
      </w:r>
      <w:r>
        <w:t xml:space="preserve">related exposure, measured as area under the curve at steady state and were not assayed in other </w:t>
      </w:r>
      <w:proofErr w:type="spellStart"/>
      <w:r>
        <w:t>belumosudil</w:t>
      </w:r>
      <w:proofErr w:type="spellEnd"/>
      <w:r>
        <w:t xml:space="preserve"> clinical trials. Two Phase II metabolites (O-dealkylated </w:t>
      </w:r>
      <w:proofErr w:type="spellStart"/>
      <w:r>
        <w:t>belumosudil</w:t>
      </w:r>
      <w:proofErr w:type="spellEnd"/>
      <w:r>
        <w:t xml:space="preserve"> </w:t>
      </w:r>
      <w:proofErr w:type="spellStart"/>
      <w:r>
        <w:t>sulfate</w:t>
      </w:r>
      <w:proofErr w:type="spellEnd"/>
      <w:r>
        <w:t xml:space="preserve"> and </w:t>
      </w:r>
      <w:proofErr w:type="spellStart"/>
      <w:r>
        <w:t>belumosudil</w:t>
      </w:r>
      <w:proofErr w:type="spellEnd"/>
      <w:r>
        <w:t xml:space="preserve"> glucuronide) were also identified in the </w:t>
      </w:r>
      <w:proofErr w:type="spellStart"/>
      <w:r>
        <w:t>hAME</w:t>
      </w:r>
      <w:proofErr w:type="spellEnd"/>
      <w:r>
        <w:t xml:space="preserve"> study and were not assayed in other </w:t>
      </w:r>
      <w:proofErr w:type="spellStart"/>
      <w:r>
        <w:t>belumosudil</w:t>
      </w:r>
      <w:proofErr w:type="spellEnd"/>
      <w:r>
        <w:t xml:space="preserve"> clinical trials.</w:t>
      </w:r>
    </w:p>
    <w:p w14:paraId="47E5DE4C" w14:textId="382EAC0B" w:rsidR="00220F2D" w:rsidRDefault="00220F2D" w:rsidP="00220F2D">
      <w:r>
        <w:t xml:space="preserve">Capsule and tablet formulations were used in the </w:t>
      </w:r>
      <w:proofErr w:type="spellStart"/>
      <w:r>
        <w:t>belumosudil</w:t>
      </w:r>
      <w:proofErr w:type="spellEnd"/>
      <w:r>
        <w:t xml:space="preserve"> development program. The tablet formulation is the formulation intended for marketing and was given in the </w:t>
      </w:r>
      <w:r w:rsidR="009031D6">
        <w:t>S</w:t>
      </w:r>
      <w:r>
        <w:t>tudies</w:t>
      </w:r>
      <w:r w:rsidR="00C115AE">
        <w:t> </w:t>
      </w:r>
      <w:r>
        <w:t xml:space="preserve">KD025-106; KD025-107; KD025-108; KD025-109a; KD025-110a; KD025-207; KD025-208b; KD025-209; KD025-211; and KD025-213b. A relative bioavailability study (Study KD025-106) demonstrated that there was no statistically significant difference in terms of exposure when subjects were administered </w:t>
      </w:r>
      <w:proofErr w:type="spellStart"/>
      <w:r>
        <w:t>belumosudil</w:t>
      </w:r>
      <w:proofErr w:type="spellEnd"/>
      <w:r>
        <w:t xml:space="preserve"> tablets or </w:t>
      </w:r>
      <w:proofErr w:type="spellStart"/>
      <w:r>
        <w:t>belumosudil</w:t>
      </w:r>
      <w:proofErr w:type="spellEnd"/>
      <w:r>
        <w:t xml:space="preserve"> capsules. </w:t>
      </w:r>
      <w:r w:rsidR="00C115AE">
        <w:t xml:space="preserve">The </w:t>
      </w:r>
      <w:r w:rsidR="006506DB">
        <w:t>a</w:t>
      </w:r>
      <w:r w:rsidR="006506DB" w:rsidRPr="00B74FCB">
        <w:t xml:space="preserve">rea under the </w:t>
      </w:r>
      <w:r w:rsidR="006506DB">
        <w:t xml:space="preserve">concentration time </w:t>
      </w:r>
      <w:r w:rsidR="006506DB" w:rsidRPr="00B74FCB">
        <w:t>curve</w:t>
      </w:r>
      <w:r w:rsidR="006506DB">
        <w:t xml:space="preserve"> </w:t>
      </w:r>
      <w:r w:rsidR="006506DB" w:rsidRPr="006506DB">
        <w:t xml:space="preserve">from time </w:t>
      </w:r>
      <w:r w:rsidR="006506DB">
        <w:t>zero</w:t>
      </w:r>
      <w:r w:rsidR="006506DB" w:rsidRPr="006506DB">
        <w:t xml:space="preserve"> </w:t>
      </w:r>
      <w:r w:rsidR="00C115AE">
        <w:t>extrapolated to</w:t>
      </w:r>
      <w:r w:rsidR="00C115AE" w:rsidRPr="006506DB">
        <w:t xml:space="preserve"> </w:t>
      </w:r>
      <w:r w:rsidR="006506DB" w:rsidRPr="006506DB">
        <w:t>infinit</w:t>
      </w:r>
      <w:r w:rsidR="00C115AE">
        <w:t xml:space="preserve">y </w:t>
      </w:r>
      <w:r w:rsidR="006506DB">
        <w:t>(</w:t>
      </w:r>
      <w:r>
        <w:t>AUC</w:t>
      </w:r>
      <w:r w:rsidRPr="00220F2D">
        <w:rPr>
          <w:vertAlign w:val="subscript"/>
        </w:rPr>
        <w:t>inf</w:t>
      </w:r>
      <w:r w:rsidR="006506DB">
        <w:t xml:space="preserve">, </w:t>
      </w:r>
      <w:r>
        <w:t xml:space="preserve">h*ng/mL) was 10400 (n = 17) for the tablet compared with 8760 (n = 19) for the capsule, adjusted </w:t>
      </w:r>
      <w:r w:rsidR="00106CD4" w:rsidRPr="00106CD4">
        <w:t xml:space="preserve">geometric mean ratio </w:t>
      </w:r>
      <w:r w:rsidR="00106CD4">
        <w:t>(</w:t>
      </w:r>
      <w:r>
        <w:t>GMR</w:t>
      </w:r>
      <w:r w:rsidR="00106CD4">
        <w:t>)</w:t>
      </w:r>
      <w:r>
        <w:t xml:space="preserve"> 118.43</w:t>
      </w:r>
      <w:r w:rsidR="00C115AE">
        <w:t>%</w:t>
      </w:r>
      <w:r>
        <w:t xml:space="preserve"> (90%</w:t>
      </w:r>
      <w:r w:rsidR="00C115AE">
        <w:t xml:space="preserve"> </w:t>
      </w:r>
      <w:r w:rsidR="00106CD4">
        <w:t>confidence interval (</w:t>
      </w:r>
      <w:r>
        <w:t>CI</w:t>
      </w:r>
      <w:r w:rsidR="00106CD4">
        <w:t>)</w:t>
      </w:r>
      <w:r>
        <w:t xml:space="preserve"> 97.16, 144.36).</w:t>
      </w:r>
    </w:p>
    <w:p w14:paraId="588DD2D0" w14:textId="718AE79A" w:rsidR="00220F2D" w:rsidRDefault="00220F2D" w:rsidP="00220F2D">
      <w:r>
        <w:t xml:space="preserve">Each tablet contains </w:t>
      </w:r>
      <w:proofErr w:type="spellStart"/>
      <w:r>
        <w:t>belumosudil</w:t>
      </w:r>
      <w:proofErr w:type="spellEnd"/>
      <w:r>
        <w:t xml:space="preserve"> </w:t>
      </w:r>
      <w:proofErr w:type="spellStart"/>
      <w:r>
        <w:t>mes</w:t>
      </w:r>
      <w:r w:rsidR="00C115AE">
        <w:t>i</w:t>
      </w:r>
      <w:r>
        <w:t>late</w:t>
      </w:r>
      <w:proofErr w:type="spellEnd"/>
      <w:r>
        <w:t xml:space="preserve"> equivalent to 200 mg of </w:t>
      </w:r>
      <w:proofErr w:type="spellStart"/>
      <w:r>
        <w:t>belumosudil</w:t>
      </w:r>
      <w:proofErr w:type="spellEnd"/>
      <w:r>
        <w:t xml:space="preserve"> free base along with the following inactive ingredients: microcrystalline cellulose, </w:t>
      </w:r>
      <w:proofErr w:type="spellStart"/>
      <w:r>
        <w:t>hypromellose</w:t>
      </w:r>
      <w:proofErr w:type="spellEnd"/>
      <w:r>
        <w:t xml:space="preserve">, croscarmellose sodium, colloidal silicon dioxide, and magnesium stearate. </w:t>
      </w:r>
      <w:proofErr w:type="spellStart"/>
      <w:r>
        <w:t>Belumosudil</w:t>
      </w:r>
      <w:proofErr w:type="spellEnd"/>
      <w:r>
        <w:t xml:space="preserve"> is a </w:t>
      </w:r>
      <w:r w:rsidRPr="00220F2D">
        <w:t>Biopharmaceutical Classification System</w:t>
      </w:r>
      <w:r>
        <w:t xml:space="preserve"> Class IV compound</w:t>
      </w:r>
      <w:r w:rsidR="00C115AE">
        <w:t xml:space="preserve"> (that is, </w:t>
      </w:r>
      <w:r w:rsidR="00C115AE" w:rsidRPr="00C115AE">
        <w:t>low permeability, low solubility</w:t>
      </w:r>
      <w:r w:rsidR="00C115AE">
        <w:t>)</w:t>
      </w:r>
      <w:r>
        <w:t>.</w:t>
      </w:r>
    </w:p>
    <w:p w14:paraId="53DD6129" w14:textId="77777777" w:rsidR="00220F2D" w:rsidRDefault="00220F2D" w:rsidP="00590CF8">
      <w:pPr>
        <w:pStyle w:val="Heading6"/>
      </w:pPr>
      <w:r w:rsidRPr="009031D6">
        <w:t>Absorption</w:t>
      </w:r>
    </w:p>
    <w:p w14:paraId="6A3FF7D4" w14:textId="0A8F9E84" w:rsidR="00220F2D" w:rsidRDefault="00220F2D" w:rsidP="009031D6">
      <w:r>
        <w:t>Geometric mean absolute bioavailability based on AUC</w:t>
      </w:r>
      <w:r w:rsidRPr="009031D6">
        <w:rPr>
          <w:vertAlign w:val="subscript"/>
        </w:rPr>
        <w:t>inf</w:t>
      </w:r>
      <w:r>
        <w:t xml:space="preserve"> is 64%. </w:t>
      </w:r>
      <w:r w:rsidR="009031D6">
        <w:t>Time to maximum concentration (</w:t>
      </w:r>
      <w:proofErr w:type="spellStart"/>
      <w:r>
        <w:t>T</w:t>
      </w:r>
      <w:r w:rsidRPr="009031D6">
        <w:rPr>
          <w:vertAlign w:val="subscript"/>
        </w:rPr>
        <w:t>max</w:t>
      </w:r>
      <w:proofErr w:type="spellEnd"/>
      <w:r w:rsidR="009031D6">
        <w:t xml:space="preserve">) </w:t>
      </w:r>
      <w:r>
        <w:t xml:space="preserve">for </w:t>
      </w:r>
      <w:proofErr w:type="spellStart"/>
      <w:r>
        <w:t>belumosudil</w:t>
      </w:r>
      <w:proofErr w:type="spellEnd"/>
      <w:r>
        <w:t xml:space="preserve"> and both metabolites (KD025m1 and KD025m2) generally </w:t>
      </w:r>
      <w:proofErr w:type="gramStart"/>
      <w:r>
        <w:t>ranges</w:t>
      </w:r>
      <w:proofErr w:type="gramEnd"/>
      <w:r>
        <w:t xml:space="preserve"> from 2 to 4 hours.</w:t>
      </w:r>
    </w:p>
    <w:p w14:paraId="331380D2" w14:textId="55CFBB75" w:rsidR="00220F2D" w:rsidRDefault="00220F2D" w:rsidP="009031D6">
      <w:r>
        <w:t xml:space="preserve">Exposure to </w:t>
      </w:r>
      <w:proofErr w:type="spellStart"/>
      <w:r>
        <w:t>belumosudil</w:t>
      </w:r>
      <w:proofErr w:type="spellEnd"/>
      <w:r>
        <w:t xml:space="preserve"> is slightly greater than dose proportional up to doses of 500 mg in healthy subjects. After 500 mg, increase in exposure is less than dose proportional in healthy subjects. Doses of 200 and 400 mg are approximately dose proportional in </w:t>
      </w:r>
      <w:proofErr w:type="spellStart"/>
      <w:r>
        <w:t>cGVHD</w:t>
      </w:r>
      <w:proofErr w:type="spellEnd"/>
      <w:r>
        <w:t xml:space="preserve"> subjects.</w:t>
      </w:r>
    </w:p>
    <w:p w14:paraId="0E41B4FC" w14:textId="78E3F554" w:rsidR="00220F2D" w:rsidRDefault="00220F2D" w:rsidP="009031D6">
      <w:r>
        <w:t xml:space="preserve">Food decreases the rate and increases the extent of </w:t>
      </w:r>
      <w:proofErr w:type="spellStart"/>
      <w:r>
        <w:t>belumosudil</w:t>
      </w:r>
      <w:proofErr w:type="spellEnd"/>
      <w:r>
        <w:t xml:space="preserve"> absorption. Exposure (</w:t>
      </w:r>
      <w:r w:rsidR="00106CD4">
        <w:t xml:space="preserve">area under </w:t>
      </w:r>
      <w:r w:rsidR="00C115AE">
        <w:t xml:space="preserve">the </w:t>
      </w:r>
      <w:r w:rsidR="00106CD4">
        <w:t>concentration time curve (</w:t>
      </w:r>
      <w:r>
        <w:t>AUC</w:t>
      </w:r>
      <w:r w:rsidR="00106CD4">
        <w:t>)</w:t>
      </w:r>
      <w:r>
        <w:t xml:space="preserve"> and </w:t>
      </w:r>
      <w:r w:rsidR="00106CD4">
        <w:t>maximum concentration (</w:t>
      </w:r>
      <w:proofErr w:type="spellStart"/>
      <w:r>
        <w:t>C</w:t>
      </w:r>
      <w:r w:rsidRPr="00106CD4">
        <w:rPr>
          <w:vertAlign w:val="subscript"/>
        </w:rPr>
        <w:t>max</w:t>
      </w:r>
      <w:proofErr w:type="spellEnd"/>
      <w:r>
        <w:t>)</w:t>
      </w:r>
      <w:r w:rsidR="00106CD4">
        <w:t>)</w:t>
      </w:r>
      <w:r>
        <w:t xml:space="preserve"> in the fed state is </w:t>
      </w:r>
      <w:r w:rsidR="00106CD4">
        <w:t xml:space="preserve">about </w:t>
      </w:r>
      <w:r>
        <w:t>2 to 3</w:t>
      </w:r>
      <w:r w:rsidR="00106CD4">
        <w:t xml:space="preserve"> times</w:t>
      </w:r>
      <w:r>
        <w:t xml:space="preserve"> that in the fasted state, and </w:t>
      </w:r>
      <w:proofErr w:type="spellStart"/>
      <w:r w:rsidR="00106CD4">
        <w:t>T</w:t>
      </w:r>
      <w:r w:rsidRPr="00106CD4">
        <w:rPr>
          <w:vertAlign w:val="subscript"/>
        </w:rPr>
        <w:t>max</w:t>
      </w:r>
      <w:proofErr w:type="spellEnd"/>
      <w:r>
        <w:t xml:space="preserve"> is delayed 0.5 to 2 hours.</w:t>
      </w:r>
    </w:p>
    <w:p w14:paraId="09C8DFF9" w14:textId="77777777" w:rsidR="00220F2D" w:rsidRDefault="00220F2D" w:rsidP="00590CF8">
      <w:pPr>
        <w:pStyle w:val="Heading6"/>
      </w:pPr>
      <w:r>
        <w:lastRenderedPageBreak/>
        <w:t>Distribution</w:t>
      </w:r>
    </w:p>
    <w:p w14:paraId="7A44FE50" w14:textId="1E765EBE" w:rsidR="00220F2D" w:rsidRDefault="00220F2D" w:rsidP="009031D6">
      <w:proofErr w:type="spellStart"/>
      <w:r>
        <w:t>Belumosudil</w:t>
      </w:r>
      <w:proofErr w:type="spellEnd"/>
      <w:r>
        <w:t xml:space="preserve"> and metabolites KD025m1 and KD025m2 are extensively bound to proteins in human plasma (&gt;</w:t>
      </w:r>
      <w:r w:rsidR="009031D6">
        <w:t xml:space="preserve"> </w:t>
      </w:r>
      <w:r>
        <w:t>99% bound).</w:t>
      </w:r>
    </w:p>
    <w:p w14:paraId="43DD3F5E" w14:textId="0FA1FA5F" w:rsidR="00220F2D" w:rsidRDefault="00220F2D" w:rsidP="009031D6">
      <w:proofErr w:type="spellStart"/>
      <w:r>
        <w:t>Belumosudil</w:t>
      </w:r>
      <w:proofErr w:type="spellEnd"/>
      <w:r>
        <w:t xml:space="preserve"> distributes into tissues and geometric mean (%</w:t>
      </w:r>
      <w:r w:rsidR="00106CD4">
        <w:t xml:space="preserve"> c</w:t>
      </w:r>
      <w:r w:rsidR="00106CD4" w:rsidRPr="00106CD4">
        <w:t xml:space="preserve">oefficient of </w:t>
      </w:r>
      <w:r w:rsidR="00106CD4">
        <w:t>v</w:t>
      </w:r>
      <w:r w:rsidR="00106CD4" w:rsidRPr="00106CD4">
        <w:t xml:space="preserve">ariation </w:t>
      </w:r>
      <w:r w:rsidR="00106CD4">
        <w:t>(</w:t>
      </w:r>
      <w:r>
        <w:t>CV)</w:t>
      </w:r>
      <w:r w:rsidR="00106CD4">
        <w:t>)</w:t>
      </w:r>
      <w:r>
        <w:t xml:space="preserve"> </w:t>
      </w:r>
      <w:r w:rsidR="009031D6">
        <w:t xml:space="preserve">apparent </w:t>
      </w:r>
      <w:r w:rsidR="009031D6" w:rsidRPr="009031D6">
        <w:t xml:space="preserve">volume of distribution during terminal phase </w:t>
      </w:r>
      <w:r w:rsidR="009031D6">
        <w:t>(</w:t>
      </w:r>
      <w:proofErr w:type="spellStart"/>
      <w:r>
        <w:t>Vz</w:t>
      </w:r>
      <w:proofErr w:type="spellEnd"/>
      <w:r>
        <w:t>/F</w:t>
      </w:r>
      <w:r w:rsidR="009031D6">
        <w:t>)</w:t>
      </w:r>
      <w:r>
        <w:t xml:space="preserve"> ranged from 184 to 251</w:t>
      </w:r>
      <w:r w:rsidR="00106CD4">
        <w:t xml:space="preserve"> L</w:t>
      </w:r>
      <w:r>
        <w:t xml:space="preserve"> (51.3% to 67.6%) following 200 mg tablet administration. The </w:t>
      </w:r>
      <w:proofErr w:type="spellStart"/>
      <w:r>
        <w:t>popPK</w:t>
      </w:r>
      <w:proofErr w:type="spellEnd"/>
      <w:r>
        <w:t xml:space="preserve"> estimate for the central compartment volume was 29.7 L and for the peripheral compartment volume was 78.8 L.</w:t>
      </w:r>
    </w:p>
    <w:p w14:paraId="19D4E02D" w14:textId="77777777" w:rsidR="00220F2D" w:rsidRDefault="00220F2D" w:rsidP="00590CF8">
      <w:pPr>
        <w:pStyle w:val="Heading6"/>
      </w:pPr>
      <w:r>
        <w:t>Elimination</w:t>
      </w:r>
    </w:p>
    <w:p w14:paraId="16A8EED3" w14:textId="7850BB24" w:rsidR="00220F2D" w:rsidRDefault="00220F2D" w:rsidP="009031D6">
      <w:r>
        <w:t xml:space="preserve">The </w:t>
      </w:r>
      <w:proofErr w:type="spellStart"/>
      <w:r>
        <w:t>hAME</w:t>
      </w:r>
      <w:proofErr w:type="spellEnd"/>
      <w:r>
        <w:t xml:space="preserve"> study, </w:t>
      </w:r>
      <w:r w:rsidR="009031D6">
        <w:t xml:space="preserve">Study </w:t>
      </w:r>
      <w:r>
        <w:t>KD025-108 demonstrated that 85% total radioactivity was recovered in faeces with &lt;</w:t>
      </w:r>
      <w:r w:rsidR="009031D6">
        <w:t xml:space="preserve"> </w:t>
      </w:r>
      <w:r>
        <w:t xml:space="preserve">5% recovered in urine. This indicates minimal renal elimination and that the predominant route of clearance of </w:t>
      </w:r>
      <w:r w:rsidR="009031D6">
        <w:t>(</w:t>
      </w:r>
      <w:r w:rsidRPr="009031D6">
        <w:rPr>
          <w:vertAlign w:val="superscript"/>
        </w:rPr>
        <w:t>14</w:t>
      </w:r>
      <w:r>
        <w:t>C</w:t>
      </w:r>
      <w:r w:rsidR="009031D6">
        <w:t>)</w:t>
      </w:r>
      <w:r>
        <w:t>-KD025 and associated metabolites is biliary and/or intestinal.</w:t>
      </w:r>
    </w:p>
    <w:p w14:paraId="69DECB46" w14:textId="4D43CB1A" w:rsidR="00220F2D" w:rsidRDefault="00220F2D" w:rsidP="009031D6">
      <w:r>
        <w:t>Hepatic P450 CYP</w:t>
      </w:r>
      <w:r w:rsidR="009031D6">
        <w:t>3</w:t>
      </w:r>
      <w:r>
        <w:t xml:space="preserve">A4 was the predominant CYP isoform responsible for the metabolism of </w:t>
      </w:r>
      <w:proofErr w:type="spellStart"/>
      <w:r>
        <w:t>belumosudil</w:t>
      </w:r>
      <w:proofErr w:type="spellEnd"/>
      <w:r>
        <w:t xml:space="preserve"> (41.9%), although CYP2D6 (21.7%), CYP2C8 (14.2%), CYP1A2 (&lt;</w:t>
      </w:r>
      <w:r w:rsidR="009031D6">
        <w:t xml:space="preserve"> </w:t>
      </w:r>
      <w:r>
        <w:t>5%), CYP2C19 (&lt;</w:t>
      </w:r>
      <w:r w:rsidR="009031D6">
        <w:t xml:space="preserve"> </w:t>
      </w:r>
      <w:r>
        <w:t>5%), and UGT1A9 contributed to a lesser extent.</w:t>
      </w:r>
    </w:p>
    <w:p w14:paraId="7CAC6B30" w14:textId="1764566C" w:rsidR="00220F2D" w:rsidRDefault="00220F2D" w:rsidP="009031D6">
      <w:r>
        <w:t xml:space="preserve">The major metabolite, KD025m2, has a </w:t>
      </w:r>
      <w:proofErr w:type="spellStart"/>
      <w:r>
        <w:t>C</w:t>
      </w:r>
      <w:r w:rsidRPr="009031D6">
        <w:rPr>
          <w:vertAlign w:val="subscript"/>
        </w:rPr>
        <w:t>max</w:t>
      </w:r>
      <w:proofErr w:type="spellEnd"/>
      <w:r w:rsidR="009031D6">
        <w:t xml:space="preserve"> </w:t>
      </w:r>
      <w:r>
        <w:t>value approximately 20% of the parent and an AUC value approximately 15% of the parent.</w:t>
      </w:r>
      <w:r w:rsidR="009031D6">
        <w:t xml:space="preserve"> </w:t>
      </w:r>
      <w:r>
        <w:t xml:space="preserve">The minor metabolite, KD025m1, has </w:t>
      </w:r>
      <w:proofErr w:type="spellStart"/>
      <w:r>
        <w:t>C</w:t>
      </w:r>
      <w:r w:rsidRPr="009031D6">
        <w:rPr>
          <w:vertAlign w:val="subscript"/>
        </w:rPr>
        <w:t>max</w:t>
      </w:r>
      <w:proofErr w:type="spellEnd"/>
      <w:r>
        <w:t xml:space="preserve"> and AUC values &lt;</w:t>
      </w:r>
      <w:r w:rsidR="009031D6">
        <w:t xml:space="preserve"> </w:t>
      </w:r>
      <w:r>
        <w:t>5% of the parent.</w:t>
      </w:r>
    </w:p>
    <w:p w14:paraId="584B9DAE" w14:textId="4188C01C" w:rsidR="00220F2D" w:rsidRDefault="00220F2D" w:rsidP="009031D6">
      <w:proofErr w:type="spellStart"/>
      <w:r>
        <w:t>Belumosudil</w:t>
      </w:r>
      <w:proofErr w:type="spellEnd"/>
      <w:r w:rsidR="009031D6">
        <w:t xml:space="preserve"> </w:t>
      </w:r>
      <w:proofErr w:type="spellStart"/>
      <w:r w:rsidR="009031D6">
        <w:t xml:space="preserve">half </w:t>
      </w:r>
      <w:r w:rsidR="00C115AE">
        <w:t>life</w:t>
      </w:r>
      <w:proofErr w:type="spellEnd"/>
      <w:r w:rsidR="00C115AE">
        <w:t xml:space="preserve"> </w:t>
      </w:r>
      <w:r w:rsidR="009031D6">
        <w:t>(</w:t>
      </w:r>
      <w:r>
        <w:t>t½</w:t>
      </w:r>
      <w:r w:rsidR="009031D6">
        <w:t>)</w:t>
      </w:r>
      <w:r>
        <w:t xml:space="preserve"> was estimated as 19 hours in subjects with </w:t>
      </w:r>
      <w:proofErr w:type="spellStart"/>
      <w:r>
        <w:t>cGVHD</w:t>
      </w:r>
      <w:proofErr w:type="spellEnd"/>
      <w:r>
        <w:t xml:space="preserve"> using </w:t>
      </w:r>
      <w:proofErr w:type="spellStart"/>
      <w:r>
        <w:t>popPK</w:t>
      </w:r>
      <w:proofErr w:type="spellEnd"/>
      <w:r>
        <w:t xml:space="preserve"> analysis.</w:t>
      </w:r>
      <w:r w:rsidR="009031D6">
        <w:t xml:space="preserve"> </w:t>
      </w:r>
      <w:r>
        <w:t xml:space="preserve">Following 200 mg </w:t>
      </w:r>
      <w:proofErr w:type="spellStart"/>
      <w:r>
        <w:t>belumosudil</w:t>
      </w:r>
      <w:proofErr w:type="spellEnd"/>
      <w:r>
        <w:t xml:space="preserve"> tablet administration, the geometric mean (%CV) </w:t>
      </w:r>
      <w:r w:rsidR="009031D6">
        <w:t>oral clearance (</w:t>
      </w:r>
      <w:r>
        <w:t>CL/F</w:t>
      </w:r>
      <w:r w:rsidR="009031D6">
        <w:t>)</w:t>
      </w:r>
      <w:r>
        <w:t xml:space="preserve"> ranges from 367 to 402 (33.3 to 40.2%) mL/min.</w:t>
      </w:r>
      <w:r w:rsidR="009031D6">
        <w:t xml:space="preserve"> C</w:t>
      </w:r>
      <w:r>
        <w:t xml:space="preserve">YP3A4 induction (rifampicin) decreased </w:t>
      </w:r>
      <w:proofErr w:type="spellStart"/>
      <w:r>
        <w:t>belumosudil</w:t>
      </w:r>
      <w:proofErr w:type="spellEnd"/>
      <w:r>
        <w:t xml:space="preserve"> </w:t>
      </w:r>
      <w:proofErr w:type="spellStart"/>
      <w:r>
        <w:t>C</w:t>
      </w:r>
      <w:r w:rsidRPr="009031D6">
        <w:rPr>
          <w:vertAlign w:val="subscript"/>
        </w:rPr>
        <w:t>max</w:t>
      </w:r>
      <w:proofErr w:type="spellEnd"/>
      <w:r>
        <w:t xml:space="preserve"> by 59% and AUC by 72%.</w:t>
      </w:r>
      <w:r w:rsidR="009031D6">
        <w:t xml:space="preserve"> </w:t>
      </w:r>
      <w:r>
        <w:t xml:space="preserve">CYP3A4 inhibition (itraconazole) does not notably affect </w:t>
      </w:r>
      <w:proofErr w:type="spellStart"/>
      <w:r>
        <w:t>belumosudil</w:t>
      </w:r>
      <w:proofErr w:type="spellEnd"/>
      <w:r>
        <w:t xml:space="preserve"> PK (</w:t>
      </w:r>
      <w:r w:rsidR="009031D6">
        <w:t xml:space="preserve">about </w:t>
      </w:r>
      <w:r>
        <w:t xml:space="preserve">20% increase in </w:t>
      </w:r>
      <w:proofErr w:type="spellStart"/>
      <w:r>
        <w:t>C</w:t>
      </w:r>
      <w:r w:rsidRPr="009031D6">
        <w:rPr>
          <w:vertAlign w:val="subscript"/>
        </w:rPr>
        <w:t>max</w:t>
      </w:r>
      <w:proofErr w:type="spellEnd"/>
      <w:r>
        <w:t xml:space="preserve"> and 25% increase in AUC</w:t>
      </w:r>
      <w:r w:rsidRPr="009031D6">
        <w:rPr>
          <w:vertAlign w:val="subscript"/>
        </w:rPr>
        <w:t>inf</w:t>
      </w:r>
      <w:r>
        <w:t>).</w:t>
      </w:r>
    </w:p>
    <w:p w14:paraId="67ED100C" w14:textId="1FD81B47" w:rsidR="00220F2D" w:rsidRDefault="00C115AE" w:rsidP="009031D6">
      <w:r>
        <w:t>A s</w:t>
      </w:r>
      <w:r w:rsidR="00220F2D">
        <w:t xml:space="preserve">trong proton pump inhibition (PPI) (rabeprazole) decreased </w:t>
      </w:r>
      <w:proofErr w:type="spellStart"/>
      <w:r w:rsidR="00220F2D">
        <w:t>belumosudil</w:t>
      </w:r>
      <w:proofErr w:type="spellEnd"/>
      <w:r w:rsidR="00220F2D">
        <w:t xml:space="preserve"> exposure by 87% (</w:t>
      </w:r>
      <w:proofErr w:type="spellStart"/>
      <w:r w:rsidR="00220F2D">
        <w:t>C</w:t>
      </w:r>
      <w:r w:rsidR="00220F2D" w:rsidRPr="001F2DA0">
        <w:rPr>
          <w:vertAlign w:val="subscript"/>
        </w:rPr>
        <w:t>max</w:t>
      </w:r>
      <w:proofErr w:type="spellEnd"/>
      <w:r w:rsidR="00220F2D">
        <w:t xml:space="preserve">) and 80% (AUC). </w:t>
      </w:r>
      <w:r>
        <w:t>A w</w:t>
      </w:r>
      <w:r w:rsidR="00220F2D">
        <w:t>eaker PPI (omeprazole) reduced exposure by 68% (</w:t>
      </w:r>
      <w:proofErr w:type="spellStart"/>
      <w:r w:rsidR="00220F2D">
        <w:t>C</w:t>
      </w:r>
      <w:r w:rsidR="00220F2D" w:rsidRPr="009031D6">
        <w:rPr>
          <w:vertAlign w:val="subscript"/>
        </w:rPr>
        <w:t>max</w:t>
      </w:r>
      <w:proofErr w:type="spellEnd"/>
      <w:r w:rsidR="00220F2D">
        <w:t>) and 47% (AUC).</w:t>
      </w:r>
    </w:p>
    <w:p w14:paraId="4BEC575A" w14:textId="662C54ED" w:rsidR="00220F2D" w:rsidRDefault="00220F2D" w:rsidP="00220F2D">
      <w:proofErr w:type="spellStart"/>
      <w:r>
        <w:t>Belumosudil</w:t>
      </w:r>
      <w:proofErr w:type="spellEnd"/>
      <w:r>
        <w:t xml:space="preserve"> is not an inducer of CYP1A2, CYP2B6, or CYP3A4.</w:t>
      </w:r>
      <w:r w:rsidR="009031D6">
        <w:t xml:space="preserve"> </w:t>
      </w:r>
      <w:proofErr w:type="spellStart"/>
      <w:r>
        <w:t>Belumosudil</w:t>
      </w:r>
      <w:proofErr w:type="spellEnd"/>
      <w:r>
        <w:t xml:space="preserve"> was an inhibitor of </w:t>
      </w:r>
      <w:r w:rsidR="009031D6">
        <w:t>b</w:t>
      </w:r>
      <w:r w:rsidR="009031D6" w:rsidRPr="009031D6">
        <w:t xml:space="preserve">reast </w:t>
      </w:r>
      <w:r w:rsidR="009031D6">
        <w:t>c</w:t>
      </w:r>
      <w:r w:rsidR="009031D6" w:rsidRPr="009031D6">
        <w:t xml:space="preserve">ancer </w:t>
      </w:r>
      <w:r w:rsidR="009031D6">
        <w:t>r</w:t>
      </w:r>
      <w:r w:rsidR="009031D6" w:rsidRPr="009031D6">
        <w:t xml:space="preserve">esistance </w:t>
      </w:r>
      <w:r w:rsidR="009031D6">
        <w:t>p</w:t>
      </w:r>
      <w:r w:rsidR="009031D6" w:rsidRPr="009031D6">
        <w:t>rotein</w:t>
      </w:r>
      <w:r w:rsidR="009031D6">
        <w:t xml:space="preserve"> (</w:t>
      </w:r>
      <w:r>
        <w:t>BCRP</w:t>
      </w:r>
      <w:r w:rsidR="009031D6">
        <w:t>)</w:t>
      </w:r>
      <w:r>
        <w:t xml:space="preserve"> (R value &gt;</w:t>
      </w:r>
      <w:r w:rsidR="009031D6">
        <w:t xml:space="preserve"> </w:t>
      </w:r>
      <w:r>
        <w:t>10), OATP1B1 (R value = 2.3), and P-</w:t>
      </w:r>
      <w:proofErr w:type="spellStart"/>
      <w:r>
        <w:t>gp</w:t>
      </w:r>
      <w:proofErr w:type="spellEnd"/>
      <w:r>
        <w:t xml:space="preserve"> (R value &gt;</w:t>
      </w:r>
      <w:r w:rsidR="009031D6">
        <w:t xml:space="preserve"> </w:t>
      </w:r>
      <w:r>
        <w:t xml:space="preserve">10). </w:t>
      </w:r>
      <w:proofErr w:type="spellStart"/>
      <w:r>
        <w:t>Belumosudil</w:t>
      </w:r>
      <w:proofErr w:type="spellEnd"/>
      <w:r>
        <w:t xml:space="preserve"> was an i</w:t>
      </w:r>
      <w:r w:rsidRPr="009031D6">
        <w:rPr>
          <w:i/>
          <w:iCs/>
        </w:rPr>
        <w:t>n vitro</w:t>
      </w:r>
      <w:r>
        <w:t xml:space="preserve"> inhibitor for MATE but did not meet the threshold for clinical significance (R value &lt;</w:t>
      </w:r>
      <w:r w:rsidR="009031D6">
        <w:t xml:space="preserve"> </w:t>
      </w:r>
      <w:r>
        <w:t>0.1; assumes fraction unbound of 0.12%), and MATE2K (R value &lt;</w:t>
      </w:r>
      <w:r w:rsidR="009031D6">
        <w:t xml:space="preserve"> </w:t>
      </w:r>
      <w:r>
        <w:t>0.1; assumes fraction unbound of 0.12%).</w:t>
      </w:r>
      <w:r w:rsidR="009031D6">
        <w:t xml:space="preserve"> </w:t>
      </w:r>
      <w:r>
        <w:t xml:space="preserve">Compared to healthy subjects, those with </w:t>
      </w:r>
      <w:proofErr w:type="spellStart"/>
      <w:r>
        <w:t>cGHVD</w:t>
      </w:r>
      <w:proofErr w:type="spellEnd"/>
      <w:r>
        <w:t xml:space="preserve"> have a ~53% reduction in CL/F (9.83 L/h) based on </w:t>
      </w:r>
      <w:proofErr w:type="spellStart"/>
      <w:r>
        <w:t>popPK</w:t>
      </w:r>
      <w:proofErr w:type="spellEnd"/>
      <w:r>
        <w:t xml:space="preserve"> analysis.</w:t>
      </w:r>
    </w:p>
    <w:p w14:paraId="44DFFB93" w14:textId="108245AC" w:rsidR="00220F2D" w:rsidRDefault="00220F2D" w:rsidP="00220F2D">
      <w:r>
        <w:t>The major PK issues are listed below</w:t>
      </w:r>
      <w:r w:rsidR="00590CF8">
        <w:t>:</w:t>
      </w:r>
    </w:p>
    <w:p w14:paraId="5FC3151C" w14:textId="4880EBD5" w:rsidR="00220F2D" w:rsidRDefault="00220F2D" w:rsidP="00590CF8">
      <w:pPr>
        <w:pStyle w:val="ListBullet"/>
      </w:pPr>
      <w:r>
        <w:t xml:space="preserve">The decrease in </w:t>
      </w:r>
      <w:proofErr w:type="spellStart"/>
      <w:r>
        <w:t>belumosudil</w:t>
      </w:r>
      <w:proofErr w:type="spellEnd"/>
      <w:r>
        <w:t xml:space="preserve"> exposure in the presence of concomitant PPIs or a strong CYP3A inducer is likely to be clinically significant. Due to this reduction in exposure dose adjustment to </w:t>
      </w:r>
      <w:proofErr w:type="spellStart"/>
      <w:r>
        <w:t>belumosudil</w:t>
      </w:r>
      <w:proofErr w:type="spellEnd"/>
      <w:r>
        <w:t xml:space="preserve"> 200 mg </w:t>
      </w:r>
      <w:r w:rsidR="00590CF8">
        <w:t>twice a day</w:t>
      </w:r>
      <w:r>
        <w:t xml:space="preserve"> in the presence of concomitant strong CYP3A inducers and PPIs is recommended.</w:t>
      </w:r>
    </w:p>
    <w:p w14:paraId="5A0DC3CA" w14:textId="69EB95F2" w:rsidR="00220F2D" w:rsidRDefault="00220F2D" w:rsidP="00590CF8">
      <w:pPr>
        <w:pStyle w:val="ListBullet"/>
      </w:pPr>
      <w:r>
        <w:t xml:space="preserve">The results from the </w:t>
      </w:r>
      <w:r w:rsidR="009A04A1">
        <w:t>50% (</w:t>
      </w:r>
      <w:r w:rsidR="00590CF8" w:rsidRPr="00590CF8">
        <w:t>half-maximal</w:t>
      </w:r>
      <w:r w:rsidR="009A04A1">
        <w:t>)</w:t>
      </w:r>
      <w:r w:rsidR="00590CF8" w:rsidRPr="00590CF8">
        <w:t xml:space="preserve"> inhibitory concentration </w:t>
      </w:r>
      <w:r w:rsidR="00590CF8">
        <w:t>(</w:t>
      </w:r>
      <w:r>
        <w:t>IC</w:t>
      </w:r>
      <w:r w:rsidRPr="00590CF8">
        <w:rPr>
          <w:vertAlign w:val="subscript"/>
        </w:rPr>
        <w:t>50</w:t>
      </w:r>
      <w:r w:rsidR="00590CF8">
        <w:t>)</w:t>
      </w:r>
      <w:r>
        <w:t xml:space="preserve"> shift assay showed that </w:t>
      </w:r>
      <w:proofErr w:type="spellStart"/>
      <w:r>
        <w:t>belumosudil</w:t>
      </w:r>
      <w:proofErr w:type="spellEnd"/>
      <w:r>
        <w:t xml:space="preserve"> was a </w:t>
      </w:r>
      <w:proofErr w:type="gramStart"/>
      <w:r>
        <w:t>mechanism</w:t>
      </w:r>
      <w:r w:rsidR="00590CF8">
        <w:t xml:space="preserve"> </w:t>
      </w:r>
      <w:r>
        <w:t>based</w:t>
      </w:r>
      <w:proofErr w:type="gramEnd"/>
      <w:r>
        <w:t xml:space="preserve"> inhibitor of CYP1A2, CYP2C19 and CYP2D6. A potential risk of </w:t>
      </w:r>
      <w:proofErr w:type="spellStart"/>
      <w:r>
        <w:t>belumosudil</w:t>
      </w:r>
      <w:proofErr w:type="spellEnd"/>
      <w:r>
        <w:t xml:space="preserve"> to increase the concentration of concomitant substrate drugs that are used in this patient population has not been estimated.</w:t>
      </w:r>
    </w:p>
    <w:p w14:paraId="5D1CF672" w14:textId="70E2A3FD" w:rsidR="00220F2D" w:rsidRDefault="00220F2D" w:rsidP="00590CF8">
      <w:pPr>
        <w:pStyle w:val="ListBullet"/>
      </w:pPr>
      <w:r w:rsidRPr="00590CF8">
        <w:rPr>
          <w:i/>
          <w:iCs/>
        </w:rPr>
        <w:t>In vitro</w:t>
      </w:r>
      <w:r>
        <w:t xml:space="preserve"> studies showed </w:t>
      </w:r>
      <w:proofErr w:type="spellStart"/>
      <w:r>
        <w:t>belumosudil</w:t>
      </w:r>
      <w:proofErr w:type="spellEnd"/>
      <w:r>
        <w:t xml:space="preserve"> inhibits P-</w:t>
      </w:r>
      <w:proofErr w:type="spellStart"/>
      <w:r>
        <w:t>gp</w:t>
      </w:r>
      <w:proofErr w:type="spellEnd"/>
      <w:r>
        <w:t>, BCRP and OATP1B1 transporters. This inhibitory effect indicates a potential risk of increasing the concentration of concomitant substrate drugs, that are used in this patient population, to toxic levels.</w:t>
      </w:r>
    </w:p>
    <w:p w14:paraId="3B2759FE" w14:textId="41BA089C" w:rsidR="00220F2D" w:rsidRDefault="00220F2D" w:rsidP="00590CF8">
      <w:pPr>
        <w:pStyle w:val="ListBullet"/>
      </w:pPr>
      <w:r w:rsidRPr="00590CF8">
        <w:rPr>
          <w:i/>
          <w:iCs/>
        </w:rPr>
        <w:lastRenderedPageBreak/>
        <w:t>In vitro</w:t>
      </w:r>
      <w:r>
        <w:t xml:space="preserve"> studies showed </w:t>
      </w:r>
      <w:proofErr w:type="spellStart"/>
      <w:r>
        <w:t>belumosudil</w:t>
      </w:r>
      <w:proofErr w:type="spellEnd"/>
      <w:r>
        <w:t xml:space="preserve"> inhibits the UGT1A1 enzyme. This inhibitory effect indicates a potential risk of increasing the concentration of concomitant substrate drugs, that are used in this patient population, to toxic levels.</w:t>
      </w:r>
    </w:p>
    <w:p w14:paraId="6FB4324C" w14:textId="18E93180" w:rsidR="00220F2D" w:rsidRDefault="00220F2D" w:rsidP="00590CF8">
      <w:pPr>
        <w:pStyle w:val="ListBullet"/>
      </w:pPr>
      <w:r>
        <w:t xml:space="preserve">Higher exposures to </w:t>
      </w:r>
      <w:proofErr w:type="spellStart"/>
      <w:r>
        <w:t>belumosudil</w:t>
      </w:r>
      <w:proofErr w:type="spellEnd"/>
      <w:r>
        <w:t xml:space="preserve"> were observed in patients with moderate hepatic impairment and no data are available in patients with severe hepatic impairment. A safe and appropriate dose of </w:t>
      </w:r>
      <w:proofErr w:type="spellStart"/>
      <w:r>
        <w:t>belumosudil</w:t>
      </w:r>
      <w:proofErr w:type="spellEnd"/>
      <w:r>
        <w:t xml:space="preserve"> in subjects with moderate, and severe hepatic impairment has not been determined.</w:t>
      </w:r>
    </w:p>
    <w:p w14:paraId="6EFA8352" w14:textId="1B265618" w:rsidR="00220F2D" w:rsidRDefault="00220F2D" w:rsidP="00590CF8">
      <w:pPr>
        <w:pStyle w:val="ListBullet"/>
      </w:pPr>
      <w:r>
        <w:t xml:space="preserve">Based on the limited data, differences in </w:t>
      </w:r>
      <w:proofErr w:type="spellStart"/>
      <w:r>
        <w:t>belumosudil</w:t>
      </w:r>
      <w:proofErr w:type="spellEnd"/>
      <w:r>
        <w:t xml:space="preserve"> exposure were observed between healthy subjects</w:t>
      </w:r>
      <w:r w:rsidR="009A04A1">
        <w:t xml:space="preserve"> of Black and White race</w:t>
      </w:r>
      <w:r>
        <w:t>, with a higher number safety events in patients</w:t>
      </w:r>
      <w:r w:rsidR="009A04A1">
        <w:t xml:space="preserve"> of Black race</w:t>
      </w:r>
      <w:r>
        <w:t>.</w:t>
      </w:r>
    </w:p>
    <w:p w14:paraId="1B8CC86B" w14:textId="00E6F5EF" w:rsidR="00220F2D" w:rsidRDefault="00220F2D" w:rsidP="00590CF8">
      <w:pPr>
        <w:pStyle w:val="Heading5"/>
      </w:pPr>
      <w:r>
        <w:t>Pharmacodynamics</w:t>
      </w:r>
    </w:p>
    <w:p w14:paraId="02F16C71" w14:textId="590D8D54" w:rsidR="00220F2D" w:rsidRDefault="00220F2D" w:rsidP="00590CF8">
      <w:r>
        <w:t>A thorough QT study is ongoing. At the time of submission there was no evidence for an increased risk of QT interval prolongation based on preclinical data, concentration-QT analysis, and review of clinical safety data.</w:t>
      </w:r>
    </w:p>
    <w:p w14:paraId="09BA857A" w14:textId="4718AF82" w:rsidR="00220F2D" w:rsidRDefault="00220F2D" w:rsidP="00590CF8">
      <w:r>
        <w:t xml:space="preserve">An </w:t>
      </w:r>
      <w:r w:rsidR="00315C76">
        <w:t>e</w:t>
      </w:r>
      <w:r>
        <w:t>xposure-</w:t>
      </w:r>
      <w:r w:rsidR="00315C76">
        <w:t>r</w:t>
      </w:r>
      <w:r>
        <w:t xml:space="preserve">esponse analysis was performed using the post hoc parameter estimates for subjects in the two </w:t>
      </w:r>
      <w:proofErr w:type="spellStart"/>
      <w:r>
        <w:t>cGVHD</w:t>
      </w:r>
      <w:proofErr w:type="spellEnd"/>
      <w:r>
        <w:t xml:space="preserve"> trials (</w:t>
      </w:r>
      <w:r w:rsidR="00315C76">
        <w:t xml:space="preserve">Studies </w:t>
      </w:r>
      <w:r>
        <w:t xml:space="preserve">KD025-208 and KD025-213) receiving 200 mg </w:t>
      </w:r>
      <w:r w:rsidR="00315C76">
        <w:t>once daily</w:t>
      </w:r>
      <w:r>
        <w:t xml:space="preserve">, 200 mg </w:t>
      </w:r>
      <w:r w:rsidR="00315C76">
        <w:t>twice daily</w:t>
      </w:r>
      <w:r>
        <w:t xml:space="preserve">, and 400 mg </w:t>
      </w:r>
      <w:r w:rsidR="00315C76">
        <w:t>once daily of</w:t>
      </w:r>
      <w:r>
        <w:t xml:space="preserve"> </w:t>
      </w:r>
      <w:proofErr w:type="spellStart"/>
      <w:r>
        <w:t>belumosudil</w:t>
      </w:r>
      <w:proofErr w:type="spellEnd"/>
      <w:r>
        <w:t xml:space="preserve">. Exploratory plots were generated for efficacy (overall response, duration of response, and response by organ) and safety (headache, nausea, diarrhoea, abnormal liver function, and fatigue) endpoints. That analysis indicated a flat relationship between both exposure and efficacy and exposure and safety over a range of </w:t>
      </w:r>
      <w:proofErr w:type="spellStart"/>
      <w:r>
        <w:t>C</w:t>
      </w:r>
      <w:r w:rsidRPr="00315C76">
        <w:rPr>
          <w:vertAlign w:val="subscript"/>
        </w:rPr>
        <w:t>max</w:t>
      </w:r>
      <w:proofErr w:type="spellEnd"/>
      <w:r>
        <w:t xml:space="preserve"> values from 143 to 5780 ng/mL and </w:t>
      </w:r>
      <w:r w:rsidR="00315C76" w:rsidRPr="00315C76">
        <w:t>area under the concentration</w:t>
      </w:r>
      <w:r w:rsidR="00315C76">
        <w:t xml:space="preserve"> </w:t>
      </w:r>
      <w:r w:rsidR="00315C76" w:rsidRPr="00315C76">
        <w:t xml:space="preserve">time curve </w:t>
      </w:r>
      <w:r w:rsidR="00315C76">
        <w:t>from time zero to 24 hour</w:t>
      </w:r>
      <w:r w:rsidR="00315C76" w:rsidRPr="00315C76">
        <w:t xml:space="preserve"> </w:t>
      </w:r>
      <w:r w:rsidR="00315C76">
        <w:t>(</w:t>
      </w:r>
      <w:r>
        <w:t>AUC</w:t>
      </w:r>
      <w:r w:rsidRPr="00315C76">
        <w:rPr>
          <w:vertAlign w:val="subscript"/>
        </w:rPr>
        <w:t>0-24</w:t>
      </w:r>
      <w:r w:rsidR="009A04A1">
        <w:rPr>
          <w:vertAlign w:val="subscript"/>
        </w:rPr>
        <w:t>h</w:t>
      </w:r>
      <w:r w:rsidR="00315C76">
        <w:t>) a</w:t>
      </w:r>
      <w:r>
        <w:t>t steady state values from 2780 to 83800 h*ng/</w:t>
      </w:r>
      <w:proofErr w:type="spellStart"/>
      <w:r>
        <w:t>mL.</w:t>
      </w:r>
      <w:proofErr w:type="spellEnd"/>
    </w:p>
    <w:p w14:paraId="68297623" w14:textId="2EC251D5" w:rsidR="00D97214" w:rsidRDefault="00D97214" w:rsidP="00D97214">
      <w:pPr>
        <w:pStyle w:val="FigureTitle"/>
      </w:pPr>
      <w:r w:rsidRPr="00D97214">
        <w:t xml:space="preserve">Figure </w:t>
      </w:r>
      <w:fldSimple w:instr=" SEQ Figure \* ARABIC ">
        <w:r w:rsidR="00C85F74">
          <w:rPr>
            <w:noProof/>
          </w:rPr>
          <w:t>2</w:t>
        </w:r>
      </w:fldSimple>
      <w:r>
        <w:t xml:space="preserve">: </w:t>
      </w:r>
      <w:r w:rsidR="009A04A1">
        <w:t>Exposure (area under the concentration curve from time zero to 24 hours at s</w:t>
      </w:r>
      <w:r>
        <w:t>teady state</w:t>
      </w:r>
      <w:r w:rsidR="009A04A1">
        <w:t>)</w:t>
      </w:r>
      <w:r>
        <w:t xml:space="preserve"> and efficacy relationship</w:t>
      </w:r>
    </w:p>
    <w:p w14:paraId="00345B8E" w14:textId="76E22DF9" w:rsidR="00D97214" w:rsidRDefault="00D97214" w:rsidP="00D97214">
      <w:r>
        <w:rPr>
          <w:noProof/>
          <w:lang w:val="en-GB" w:eastAsia="en-GB"/>
        </w:rPr>
        <w:drawing>
          <wp:inline distT="0" distB="0" distL="0" distR="0" wp14:anchorId="406F0E2A" wp14:editId="1F1835DC">
            <wp:extent cx="5303520" cy="3722703"/>
            <wp:effectExtent l="0" t="0" r="0" b="0"/>
            <wp:docPr id="1" name="Picture 1" descr="Figure 2: Exposure (area under the concentration curve from time zero to 24 hours at steady state) and efficac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Exposure (area under the concentration curve from time zero to 24 hours at steady state) and efficacy relationship"/>
                    <pic:cNvPicPr>
                      <a:picLocks noChangeAspect="1" noChangeArrowheads="1"/>
                    </pic:cNvPicPr>
                  </pic:nvPicPr>
                  <pic:blipFill rotWithShape="1">
                    <a:blip r:embed="rId15">
                      <a:extLst>
                        <a:ext uri="{28A0092B-C50C-407E-A947-70E740481C1C}">
                          <a14:useLocalDpi xmlns:a14="http://schemas.microsoft.com/office/drawing/2010/main" val="0"/>
                        </a:ext>
                      </a:extLst>
                    </a:blip>
                    <a:srcRect l="1761" t="1053" r="1" b="9630"/>
                    <a:stretch/>
                  </pic:blipFill>
                  <pic:spPr bwMode="auto">
                    <a:xfrm>
                      <a:off x="0" y="0"/>
                      <a:ext cx="5304923" cy="3723688"/>
                    </a:xfrm>
                    <a:prstGeom prst="rect">
                      <a:avLst/>
                    </a:prstGeom>
                    <a:noFill/>
                    <a:ln>
                      <a:noFill/>
                    </a:ln>
                    <a:extLst>
                      <a:ext uri="{53640926-AAD7-44D8-BBD7-CCE9431645EC}">
                        <a14:shadowObscured xmlns:a14="http://schemas.microsoft.com/office/drawing/2010/main"/>
                      </a:ext>
                    </a:extLst>
                  </pic:spPr>
                </pic:pic>
              </a:graphicData>
            </a:graphic>
          </wp:inline>
        </w:drawing>
      </w:r>
    </w:p>
    <w:p w14:paraId="5E0AA011" w14:textId="4F5295C1" w:rsidR="00D97214" w:rsidRDefault="00D97214" w:rsidP="0014033A">
      <w:pPr>
        <w:pStyle w:val="FigureDescription"/>
      </w:pPr>
      <w:r>
        <w:t xml:space="preserve">Box plots: </w:t>
      </w:r>
      <w:proofErr w:type="spellStart"/>
      <w:r>
        <w:t>So</w:t>
      </w:r>
      <w:r w:rsidR="009A04A1">
        <w:t>i</w:t>
      </w:r>
      <w:r>
        <w:t>ld</w:t>
      </w:r>
      <w:proofErr w:type="spellEnd"/>
      <w:r>
        <w:t xml:space="preserve"> line = Median; Box = 25% and 75% quartiles (</w:t>
      </w:r>
      <w:r w:rsidRPr="00D97214">
        <w:t>interquartile range</w:t>
      </w:r>
      <w:r>
        <w:t>, IQR); Whisker = lowest/highest values within 1.5*IQR of the lower/upper quartiles; Circles = observations beyond whiskers; * = Mean; Points = individual values; N = number of observations</w:t>
      </w:r>
      <w:r w:rsidR="009A04A1">
        <w:t>.</w:t>
      </w:r>
    </w:p>
    <w:p w14:paraId="5F164608" w14:textId="77777777" w:rsidR="00D97214" w:rsidRDefault="00D97214" w:rsidP="00D97214">
      <w:pPr>
        <w:pStyle w:val="Heading4"/>
      </w:pPr>
      <w:r w:rsidRPr="00AA53F4">
        <w:lastRenderedPageBreak/>
        <w:t>Efficacy</w:t>
      </w:r>
    </w:p>
    <w:p w14:paraId="7489792B" w14:textId="4F1F935D" w:rsidR="00D97214" w:rsidRDefault="00D97214" w:rsidP="00D97214">
      <w:r>
        <w:t xml:space="preserve">Studies KD025-208 and KD025-213 assessed the efficacy of </w:t>
      </w:r>
      <w:proofErr w:type="spellStart"/>
      <w:r>
        <w:t>belumosudil</w:t>
      </w:r>
      <w:proofErr w:type="spellEnd"/>
      <w:r>
        <w:t xml:space="preserve"> in the treatment of </w:t>
      </w:r>
      <w:proofErr w:type="spellStart"/>
      <w:r>
        <w:t>cGVHD</w:t>
      </w:r>
      <w:proofErr w:type="spellEnd"/>
      <w:r>
        <w:t xml:space="preserve">. An integrated efficacy analysis was also performed. The data </w:t>
      </w:r>
      <w:proofErr w:type="spellStart"/>
      <w:r>
        <w:t>cut</w:t>
      </w:r>
      <w:r w:rsidR="00FD7EAF">
        <w:t xml:space="preserve"> </w:t>
      </w:r>
      <w:r>
        <w:t>off</w:t>
      </w:r>
      <w:proofErr w:type="spellEnd"/>
      <w:r>
        <w:t xml:space="preserve"> date for the primary analysis of both these studies was 19 February 2020. Additional efficacy data was received at </w:t>
      </w:r>
      <w:r w:rsidR="00FD7EAF">
        <w:t>data cut off</w:t>
      </w:r>
      <w:r>
        <w:t xml:space="preserve"> 19 August 2020. The latter efficacy results are presented in the study descriptions below.</w:t>
      </w:r>
    </w:p>
    <w:p w14:paraId="58FA65C6" w14:textId="5A23B903" w:rsidR="00D97214" w:rsidRDefault="00D97214" w:rsidP="00D97214">
      <w:r>
        <w:t xml:space="preserve">Additional efficacy analyses using alternative efficacy endpoints were performed by clinical </w:t>
      </w:r>
      <w:r w:rsidR="00FD7EAF">
        <w:t>r</w:t>
      </w:r>
      <w:r>
        <w:t xml:space="preserve">eviewers. The sponsor used the </w:t>
      </w:r>
      <w:r w:rsidR="00FD7EAF">
        <w:t>i</w:t>
      </w:r>
      <w:r>
        <w:t>nvestigator's assessment of response for the primary analysis. The sponsor also used an algorithmic response assessment (</w:t>
      </w:r>
      <w:r w:rsidR="009A04A1">
        <w:t xml:space="preserve">the </w:t>
      </w:r>
      <w:proofErr w:type="spellStart"/>
      <w:r w:rsidR="009A04A1">
        <w:t>K</w:t>
      </w:r>
      <w:r w:rsidR="00FA05FD" w:rsidRPr="00FA05FD">
        <w:t>admon</w:t>
      </w:r>
      <w:proofErr w:type="spellEnd"/>
      <w:r w:rsidR="00FA05FD" w:rsidRPr="00FA05FD">
        <w:t xml:space="preserve"> </w:t>
      </w:r>
      <w:r w:rsidR="009A04A1">
        <w:t>A</w:t>
      </w:r>
      <w:r w:rsidR="009A04A1" w:rsidRPr="00FA05FD">
        <w:t xml:space="preserve">lgorithmic </w:t>
      </w:r>
      <w:r w:rsidR="009A04A1">
        <w:t>R</w:t>
      </w:r>
      <w:r w:rsidR="00FA05FD" w:rsidRPr="00FA05FD">
        <w:t xml:space="preserve">esponse </w:t>
      </w:r>
      <w:r w:rsidR="009A04A1">
        <w:t>A</w:t>
      </w:r>
      <w:r w:rsidR="00FA05FD" w:rsidRPr="00FA05FD">
        <w:t>ssessment</w:t>
      </w:r>
      <w:r w:rsidR="00FA05FD">
        <w:t xml:space="preserve">, </w:t>
      </w:r>
      <w:r>
        <w:t xml:space="preserve">KARA) to assess response. KARA did not include the </w:t>
      </w:r>
      <w:r w:rsidR="009A04A1">
        <w:t>clinician-</w:t>
      </w:r>
      <w:r>
        <w:t xml:space="preserve">reported </w:t>
      </w:r>
      <w:r w:rsidR="009A04A1">
        <w:t>g</w:t>
      </w:r>
      <w:r>
        <w:t xml:space="preserve">lobal </w:t>
      </w:r>
      <w:r w:rsidR="009A04A1">
        <w:t>s</w:t>
      </w:r>
      <w:r>
        <w:t>everity score. Reviewer’s reviewed responses using raw data for the organ criteria with manual adjudication for discrepancies with the sponsor's results.</w:t>
      </w:r>
    </w:p>
    <w:p w14:paraId="191F4036" w14:textId="61F28A8F" w:rsidR="00D97214" w:rsidRDefault="00D97214" w:rsidP="00D97214">
      <w:r>
        <w:t xml:space="preserve">The major differences in approach between the </w:t>
      </w:r>
      <w:r w:rsidR="00B40F94">
        <w:t>s</w:t>
      </w:r>
      <w:r>
        <w:t xml:space="preserve">ponsor’s and </w:t>
      </w:r>
      <w:r w:rsidR="00B40F94">
        <w:t>r</w:t>
      </w:r>
      <w:r>
        <w:t xml:space="preserve">eviewer’s assessment were in the definitions of </w:t>
      </w:r>
      <w:r w:rsidR="00B40F94">
        <w:t>o</w:t>
      </w:r>
      <w:r>
        <w:t xml:space="preserve">verall </w:t>
      </w:r>
      <w:r w:rsidR="00B40F94">
        <w:t>r</w:t>
      </w:r>
      <w:r>
        <w:t xml:space="preserve">esponse </w:t>
      </w:r>
      <w:r w:rsidR="00B40F94">
        <w:t>r</w:t>
      </w:r>
      <w:r>
        <w:t xml:space="preserve">ate (ORR) and </w:t>
      </w:r>
      <w:r w:rsidR="00B40F94">
        <w:t>d</w:t>
      </w:r>
      <w:r>
        <w:t xml:space="preserve">uration of </w:t>
      </w:r>
      <w:r w:rsidR="00B40F94">
        <w:t>r</w:t>
      </w:r>
      <w:r>
        <w:t xml:space="preserve">esponse (DOR). In these </w:t>
      </w:r>
      <w:proofErr w:type="gramStart"/>
      <w:r>
        <w:t>studies</w:t>
      </w:r>
      <w:proofErr w:type="gramEnd"/>
      <w:r>
        <w:t xml:space="preserve"> ORR was defined as the proportion of subjects with a best response meeting the overall response criteria assessment of </w:t>
      </w:r>
      <w:r w:rsidR="00B40F94">
        <w:t>c</w:t>
      </w:r>
      <w:r>
        <w:t xml:space="preserve">omplete </w:t>
      </w:r>
      <w:r w:rsidR="00B40F94">
        <w:t>r</w:t>
      </w:r>
      <w:r>
        <w:t xml:space="preserve">esponse (CR) or </w:t>
      </w:r>
      <w:r w:rsidR="00B40F94">
        <w:t>p</w:t>
      </w:r>
      <w:r>
        <w:t xml:space="preserve">artial </w:t>
      </w:r>
      <w:r w:rsidR="00B40F94">
        <w:t>r</w:t>
      </w:r>
      <w:r>
        <w:t>esponse (PR) at any post-baseline response assessment.</w:t>
      </w:r>
    </w:p>
    <w:p w14:paraId="5EEF24F1" w14:textId="368E92B6" w:rsidR="00D97214" w:rsidRDefault="00D97214" w:rsidP="00D97214">
      <w:r>
        <w:t>The 2014 NIH consensus criteria</w:t>
      </w:r>
      <w:r w:rsidR="00B40F94">
        <w:t>;</w:t>
      </w:r>
      <w:r w:rsidR="00B40F94">
        <w:fldChar w:fldCharType="begin"/>
      </w:r>
      <w:r w:rsidR="00B40F94">
        <w:instrText xml:space="preserve"> NOTEREF _Ref99362095 \f \h </w:instrText>
      </w:r>
      <w:r w:rsidR="00B40F94">
        <w:fldChar w:fldCharType="separate"/>
      </w:r>
      <w:r w:rsidR="00C85F74" w:rsidRPr="00C85F74">
        <w:rPr>
          <w:rStyle w:val="FootnoteReference"/>
        </w:rPr>
        <w:t>2</w:t>
      </w:r>
      <w:r w:rsidR="00B40F94">
        <w:fldChar w:fldCharType="end"/>
      </w:r>
      <w:r>
        <w:t xml:space="preserve"> were used to assess ORR. The </w:t>
      </w:r>
      <w:r w:rsidR="00B40F94">
        <w:t>r</w:t>
      </w:r>
      <w:r>
        <w:t>eviewer assessment of ORR limited response to within the time period through to Cycle 7 Day 1</w:t>
      </w:r>
      <w:r w:rsidR="00B43E03">
        <w:t xml:space="preserve"> (C7D1)</w:t>
      </w:r>
      <w:r>
        <w:t xml:space="preserve"> (</w:t>
      </w:r>
      <w:r w:rsidR="00B40F94">
        <w:t>that is</w:t>
      </w:r>
      <w:r>
        <w:t xml:space="preserve"> the first 6</w:t>
      </w:r>
      <w:r w:rsidR="00B40F94">
        <w:t> </w:t>
      </w:r>
      <w:r>
        <w:t>x</w:t>
      </w:r>
      <w:r w:rsidR="00B40F94">
        <w:t> </w:t>
      </w:r>
      <w:proofErr w:type="gramStart"/>
      <w:r>
        <w:t>28 day</w:t>
      </w:r>
      <w:proofErr w:type="gramEnd"/>
      <w:r>
        <w:t xml:space="preserve"> cycles) as the 6</w:t>
      </w:r>
      <w:r w:rsidR="00B40F94">
        <w:t xml:space="preserve"> </w:t>
      </w:r>
      <w:r>
        <w:t>month window was considered to have allowed sufficient time for development of a response without continuing a treatment that poses risks without efficacy.</w:t>
      </w:r>
    </w:p>
    <w:p w14:paraId="17691CC7" w14:textId="613128E6" w:rsidR="00D97214" w:rsidRDefault="00D97214" w:rsidP="00D97214">
      <w:r>
        <w:t xml:space="preserve">The </w:t>
      </w:r>
      <w:r w:rsidR="00B40F94">
        <w:t>s</w:t>
      </w:r>
      <w:r>
        <w:t xml:space="preserve">ponsor’s primary assessment of DOR was defined as the time from first documentation of response to the time of first documentation of deterioration from best ORR, initiation of new systemic therapy for </w:t>
      </w:r>
      <w:proofErr w:type="spellStart"/>
      <w:r>
        <w:t>cGVHD</w:t>
      </w:r>
      <w:proofErr w:type="spellEnd"/>
      <w:r>
        <w:t xml:space="preserve">, or death. </w:t>
      </w:r>
      <w:bookmarkStart w:id="40" w:name="_Hlk81304878"/>
      <w:r>
        <w:t xml:space="preserve">The </w:t>
      </w:r>
      <w:r w:rsidR="00B40F94">
        <w:t>r</w:t>
      </w:r>
      <w:r>
        <w:t xml:space="preserve">eviewer’s primary assessment of DOR was defined as the interval from first response by </w:t>
      </w:r>
      <w:r w:rsidR="00B43E03">
        <w:t>C7D</w:t>
      </w:r>
      <w:r>
        <w:t>1 (</w:t>
      </w:r>
      <w:r w:rsidR="00B40F94">
        <w:t>that is</w:t>
      </w:r>
      <w:r>
        <w:t xml:space="preserve"> after 6 months of treatment) to progression in any organ, death, or new systemic therapies for </w:t>
      </w:r>
      <w:proofErr w:type="spellStart"/>
      <w:r>
        <w:t>cGVHD</w:t>
      </w:r>
      <w:bookmarkEnd w:id="40"/>
      <w:proofErr w:type="spellEnd"/>
      <w:r>
        <w:t>. These differences in the primary definition of DOR resulted in marked differences in the reported primary DOR.</w:t>
      </w:r>
    </w:p>
    <w:p w14:paraId="3681AEFF" w14:textId="6FFCCFE6" w:rsidR="00D97214" w:rsidRPr="0054374E" w:rsidRDefault="00D97214" w:rsidP="00D97214">
      <w:r>
        <w:t xml:space="preserve">Additional definitions of DOR were also considered. The secondary definition of DOR was the time from first documentation of response to the time of first documentation of lack of response. The tertiary definition of DOR was the time from first documentation of response to the time of initiation of new systemic </w:t>
      </w:r>
      <w:proofErr w:type="spellStart"/>
      <w:r>
        <w:t>cGVHD</w:t>
      </w:r>
      <w:proofErr w:type="spellEnd"/>
      <w:r>
        <w:t xml:space="preserve"> therapy (which was reviewed and confirmed by a clinical team review). The quaternary definition of DOR was the time from first documentation of response to the time of first documentation of </w:t>
      </w:r>
      <w:r w:rsidR="003D0318">
        <w:t>lack of response</w:t>
      </w:r>
      <w:r>
        <w:t xml:space="preserve"> (as the secondary definition) but with duration summed for multiple response/</w:t>
      </w:r>
      <w:r w:rsidR="003D0318">
        <w:t>lack of response</w:t>
      </w:r>
      <w:r>
        <w:t xml:space="preserve"> episodes</w:t>
      </w:r>
      <w:r w:rsidR="003D0318">
        <w:t xml:space="preserve">. </w:t>
      </w:r>
      <w:r w:rsidR="003D0318">
        <w:fldChar w:fldCharType="begin"/>
      </w:r>
      <w:r w:rsidR="003D0318">
        <w:instrText xml:space="preserve"> REF _Ref99443502 \h </w:instrText>
      </w:r>
      <w:r w:rsidR="003D0318">
        <w:fldChar w:fldCharType="separate"/>
      </w:r>
      <w:r w:rsidR="00C85F74" w:rsidRPr="003D0318">
        <w:t xml:space="preserve">Table </w:t>
      </w:r>
      <w:r w:rsidR="00C85F74">
        <w:rPr>
          <w:noProof/>
        </w:rPr>
        <w:t>3</w:t>
      </w:r>
      <w:r w:rsidR="003D0318">
        <w:fldChar w:fldCharType="end"/>
      </w:r>
      <w:r w:rsidR="003D0318">
        <w:t xml:space="preserve"> </w:t>
      </w:r>
      <w:r>
        <w:t xml:space="preserve">tabulates the </w:t>
      </w:r>
      <w:proofErr w:type="gramStart"/>
      <w:r>
        <w:t>various differences</w:t>
      </w:r>
      <w:proofErr w:type="gramEnd"/>
      <w:r>
        <w:t xml:space="preserve"> in endpoint definitions between the </w:t>
      </w:r>
      <w:r w:rsidR="003D0318">
        <w:t>s</w:t>
      </w:r>
      <w:r>
        <w:t xml:space="preserve">ponsor and the </w:t>
      </w:r>
      <w:r w:rsidR="003D0318">
        <w:t>r</w:t>
      </w:r>
      <w:r>
        <w:t>eviewer.</w:t>
      </w:r>
    </w:p>
    <w:p w14:paraId="28234906" w14:textId="5C7FC001" w:rsidR="00D97214" w:rsidRDefault="003D0318" w:rsidP="003D0318">
      <w:pPr>
        <w:pStyle w:val="TableTitle"/>
      </w:pPr>
      <w:bookmarkStart w:id="41" w:name="_Ref99443502"/>
      <w:r w:rsidRPr="003D0318">
        <w:t xml:space="preserve">Table </w:t>
      </w:r>
      <w:fldSimple w:instr=" SEQ Table \* ARABIC ">
        <w:r w:rsidR="00C85F74">
          <w:rPr>
            <w:noProof/>
          </w:rPr>
          <w:t>3</w:t>
        </w:r>
      </w:fldSimple>
      <w:bookmarkEnd w:id="41"/>
      <w:r>
        <w:t>: Differences between sponsor and reviewer endpoint definitions</w:t>
      </w:r>
    </w:p>
    <w:tbl>
      <w:tblPr>
        <w:tblStyle w:val="TableTGAblue"/>
        <w:tblW w:w="4840" w:type="pct"/>
        <w:tblLook w:val="04A0" w:firstRow="1" w:lastRow="0" w:firstColumn="1" w:lastColumn="0" w:noHBand="0" w:noVBand="1"/>
      </w:tblPr>
      <w:tblGrid>
        <w:gridCol w:w="2224"/>
        <w:gridCol w:w="3154"/>
        <w:gridCol w:w="2835"/>
      </w:tblGrid>
      <w:tr w:rsidR="003D0318" w:rsidRPr="003D0318" w14:paraId="22B08FBB" w14:textId="77777777" w:rsidTr="003D0318">
        <w:trPr>
          <w:cnfStyle w:val="100000000000" w:firstRow="1" w:lastRow="0" w:firstColumn="0" w:lastColumn="0" w:oddVBand="0" w:evenVBand="0" w:oddHBand="0" w:evenHBand="0" w:firstRowFirstColumn="0" w:firstRowLastColumn="0" w:lastRowFirstColumn="0" w:lastRowLastColumn="0"/>
        </w:trPr>
        <w:tc>
          <w:tcPr>
            <w:tcW w:w="1354" w:type="pct"/>
          </w:tcPr>
          <w:p w14:paraId="52121A4D" w14:textId="77777777" w:rsidR="003D0318" w:rsidRPr="003D0318" w:rsidRDefault="003D0318" w:rsidP="003B2AFC">
            <w:pPr>
              <w:rPr>
                <w:sz w:val="19"/>
                <w:szCs w:val="19"/>
              </w:rPr>
            </w:pPr>
          </w:p>
        </w:tc>
        <w:tc>
          <w:tcPr>
            <w:tcW w:w="1920" w:type="pct"/>
          </w:tcPr>
          <w:p w14:paraId="1B87ECBE" w14:textId="77777777" w:rsidR="003D0318" w:rsidRPr="003D0318" w:rsidRDefault="003D0318" w:rsidP="003D0318">
            <w:pPr>
              <w:ind w:left="0"/>
              <w:rPr>
                <w:sz w:val="19"/>
                <w:szCs w:val="19"/>
              </w:rPr>
            </w:pPr>
            <w:r w:rsidRPr="003D0318">
              <w:rPr>
                <w:sz w:val="19"/>
                <w:szCs w:val="19"/>
              </w:rPr>
              <w:t>Applicant’s SAP</w:t>
            </w:r>
          </w:p>
        </w:tc>
        <w:tc>
          <w:tcPr>
            <w:tcW w:w="1726" w:type="pct"/>
          </w:tcPr>
          <w:p w14:paraId="4891F6A9" w14:textId="77777777" w:rsidR="003D0318" w:rsidRPr="003D0318" w:rsidRDefault="003D0318" w:rsidP="003D0318">
            <w:pPr>
              <w:ind w:left="0"/>
              <w:rPr>
                <w:sz w:val="19"/>
                <w:szCs w:val="19"/>
              </w:rPr>
            </w:pPr>
            <w:r w:rsidRPr="003D0318">
              <w:rPr>
                <w:sz w:val="19"/>
                <w:szCs w:val="19"/>
              </w:rPr>
              <w:t>Clinical Reviewer’s Assessment</w:t>
            </w:r>
          </w:p>
        </w:tc>
      </w:tr>
      <w:tr w:rsidR="003D0318" w:rsidRPr="003D0318" w14:paraId="2DAD98D3" w14:textId="77777777" w:rsidTr="003D0318">
        <w:tc>
          <w:tcPr>
            <w:tcW w:w="1354" w:type="pct"/>
          </w:tcPr>
          <w:p w14:paraId="6A86C6B5" w14:textId="77777777" w:rsidR="003D0318" w:rsidRPr="003D0318" w:rsidRDefault="003D0318" w:rsidP="003D0318">
            <w:pPr>
              <w:ind w:left="0"/>
              <w:rPr>
                <w:sz w:val="19"/>
                <w:szCs w:val="19"/>
              </w:rPr>
            </w:pPr>
            <w:r w:rsidRPr="003D0318">
              <w:rPr>
                <w:sz w:val="19"/>
                <w:szCs w:val="19"/>
              </w:rPr>
              <w:t>Primary endpoint</w:t>
            </w:r>
          </w:p>
        </w:tc>
        <w:tc>
          <w:tcPr>
            <w:tcW w:w="1920" w:type="pct"/>
          </w:tcPr>
          <w:p w14:paraId="4F81FC6C" w14:textId="77777777" w:rsidR="003D0318" w:rsidRPr="003D0318" w:rsidRDefault="003D0318" w:rsidP="003D0318">
            <w:pPr>
              <w:ind w:left="0"/>
              <w:rPr>
                <w:sz w:val="19"/>
                <w:szCs w:val="19"/>
              </w:rPr>
            </w:pPr>
            <w:r w:rsidRPr="003D0318">
              <w:rPr>
                <w:sz w:val="19"/>
                <w:szCs w:val="19"/>
              </w:rPr>
              <w:t>ORR at any time on study</w:t>
            </w:r>
          </w:p>
        </w:tc>
        <w:tc>
          <w:tcPr>
            <w:tcW w:w="1726" w:type="pct"/>
          </w:tcPr>
          <w:p w14:paraId="48BD9FF0" w14:textId="77777777" w:rsidR="003D0318" w:rsidRPr="003D0318" w:rsidRDefault="003D0318" w:rsidP="003D0318">
            <w:pPr>
              <w:ind w:left="0"/>
              <w:rPr>
                <w:sz w:val="19"/>
                <w:szCs w:val="19"/>
              </w:rPr>
            </w:pPr>
            <w:r w:rsidRPr="003D0318">
              <w:rPr>
                <w:sz w:val="19"/>
                <w:szCs w:val="19"/>
              </w:rPr>
              <w:t>ORR starting by C7D1</w:t>
            </w:r>
          </w:p>
        </w:tc>
      </w:tr>
      <w:tr w:rsidR="003D0318" w:rsidRPr="003D0318" w14:paraId="1631B0FA" w14:textId="77777777" w:rsidTr="003D0318">
        <w:tc>
          <w:tcPr>
            <w:tcW w:w="1354" w:type="pct"/>
          </w:tcPr>
          <w:p w14:paraId="77CC99EF" w14:textId="77777777" w:rsidR="003D0318" w:rsidRPr="003D0318" w:rsidRDefault="003D0318" w:rsidP="003D0318">
            <w:pPr>
              <w:ind w:left="0"/>
              <w:rPr>
                <w:sz w:val="19"/>
                <w:szCs w:val="19"/>
              </w:rPr>
            </w:pPr>
            <w:r w:rsidRPr="003D0318">
              <w:rPr>
                <w:sz w:val="19"/>
                <w:szCs w:val="19"/>
              </w:rPr>
              <w:t>Analysis set</w:t>
            </w:r>
          </w:p>
        </w:tc>
        <w:tc>
          <w:tcPr>
            <w:tcW w:w="1920" w:type="pct"/>
          </w:tcPr>
          <w:p w14:paraId="7F3A6A5E" w14:textId="77777777" w:rsidR="003D0318" w:rsidRPr="003D0318" w:rsidRDefault="003D0318" w:rsidP="003D0318">
            <w:pPr>
              <w:ind w:left="0"/>
              <w:rPr>
                <w:sz w:val="19"/>
                <w:szCs w:val="19"/>
              </w:rPr>
            </w:pPr>
            <w:r w:rsidRPr="003D0318">
              <w:rPr>
                <w:sz w:val="19"/>
                <w:szCs w:val="19"/>
              </w:rPr>
              <w:t>All patients who received at least one dose of study drug</w:t>
            </w:r>
          </w:p>
        </w:tc>
        <w:tc>
          <w:tcPr>
            <w:tcW w:w="1726" w:type="pct"/>
          </w:tcPr>
          <w:p w14:paraId="7F0FA4C9" w14:textId="4ED75F7D" w:rsidR="003D0318" w:rsidRPr="003D0318" w:rsidRDefault="003D0318" w:rsidP="003D0318">
            <w:pPr>
              <w:ind w:left="0"/>
              <w:rPr>
                <w:sz w:val="19"/>
                <w:szCs w:val="19"/>
              </w:rPr>
            </w:pPr>
            <w:r w:rsidRPr="003D0318">
              <w:rPr>
                <w:sz w:val="19"/>
                <w:szCs w:val="19"/>
              </w:rPr>
              <w:t xml:space="preserve">All patients with active disease </w:t>
            </w:r>
            <w:r w:rsidR="008926B7">
              <w:rPr>
                <w:sz w:val="19"/>
                <w:szCs w:val="19"/>
              </w:rPr>
              <w:t>at Baseline</w:t>
            </w:r>
            <w:r w:rsidRPr="003D0318">
              <w:rPr>
                <w:sz w:val="19"/>
                <w:szCs w:val="19"/>
              </w:rPr>
              <w:t xml:space="preserve"> who received at least one dose of study drug</w:t>
            </w:r>
          </w:p>
        </w:tc>
      </w:tr>
      <w:tr w:rsidR="003D0318" w:rsidRPr="003D0318" w14:paraId="3D5FBCF3" w14:textId="77777777" w:rsidTr="003D0318">
        <w:tc>
          <w:tcPr>
            <w:tcW w:w="1354" w:type="pct"/>
          </w:tcPr>
          <w:p w14:paraId="0B5F2756" w14:textId="77777777" w:rsidR="003D0318" w:rsidRPr="003D0318" w:rsidRDefault="003D0318" w:rsidP="003D0318">
            <w:pPr>
              <w:ind w:left="0"/>
              <w:rPr>
                <w:sz w:val="19"/>
                <w:szCs w:val="19"/>
              </w:rPr>
            </w:pPr>
            <w:r w:rsidRPr="003D0318">
              <w:rPr>
                <w:sz w:val="19"/>
                <w:szCs w:val="19"/>
              </w:rPr>
              <w:lastRenderedPageBreak/>
              <w:t>Adjudication</w:t>
            </w:r>
          </w:p>
        </w:tc>
        <w:tc>
          <w:tcPr>
            <w:tcW w:w="1920" w:type="pct"/>
          </w:tcPr>
          <w:p w14:paraId="5C74D0C7" w14:textId="77777777" w:rsidR="003D0318" w:rsidRPr="003D0318" w:rsidRDefault="003D0318" w:rsidP="003D0318">
            <w:pPr>
              <w:ind w:left="0"/>
              <w:rPr>
                <w:sz w:val="19"/>
                <w:szCs w:val="19"/>
              </w:rPr>
            </w:pPr>
            <w:r w:rsidRPr="003D0318">
              <w:rPr>
                <w:sz w:val="19"/>
                <w:szCs w:val="19"/>
              </w:rPr>
              <w:t>Primary – Investigator</w:t>
            </w:r>
          </w:p>
          <w:p w14:paraId="087A4786" w14:textId="277D8587" w:rsidR="003D0318" w:rsidRPr="003D0318" w:rsidRDefault="003D0318" w:rsidP="003D0318">
            <w:pPr>
              <w:ind w:left="0"/>
              <w:rPr>
                <w:sz w:val="19"/>
                <w:szCs w:val="19"/>
              </w:rPr>
            </w:pPr>
            <w:r w:rsidRPr="003D0318">
              <w:rPr>
                <w:sz w:val="19"/>
                <w:szCs w:val="19"/>
              </w:rPr>
              <w:t xml:space="preserve">Additional </w:t>
            </w:r>
            <w:r w:rsidR="00E91562">
              <w:rPr>
                <w:sz w:val="19"/>
                <w:szCs w:val="19"/>
              </w:rPr>
              <w:t>–</w:t>
            </w:r>
            <w:r w:rsidRPr="003D0318">
              <w:rPr>
                <w:sz w:val="19"/>
                <w:szCs w:val="19"/>
              </w:rPr>
              <w:t xml:space="preserve"> Algorithmic</w:t>
            </w:r>
          </w:p>
        </w:tc>
        <w:tc>
          <w:tcPr>
            <w:tcW w:w="1726" w:type="pct"/>
          </w:tcPr>
          <w:p w14:paraId="5616A25D" w14:textId="77777777" w:rsidR="003D0318" w:rsidRPr="003D0318" w:rsidRDefault="003D0318" w:rsidP="003D0318">
            <w:pPr>
              <w:ind w:left="0"/>
              <w:rPr>
                <w:sz w:val="19"/>
                <w:szCs w:val="19"/>
              </w:rPr>
            </w:pPr>
            <w:r w:rsidRPr="003D0318">
              <w:rPr>
                <w:sz w:val="19"/>
                <w:szCs w:val="19"/>
              </w:rPr>
              <w:t>Algorithmic with manual adjudication for discrepancies with the Applicant’s results</w:t>
            </w:r>
          </w:p>
        </w:tc>
      </w:tr>
      <w:tr w:rsidR="003D0318" w:rsidRPr="003D0318" w14:paraId="3A9A9F32" w14:textId="77777777" w:rsidTr="003D0318">
        <w:tc>
          <w:tcPr>
            <w:tcW w:w="1354" w:type="pct"/>
          </w:tcPr>
          <w:p w14:paraId="1CE09716" w14:textId="77777777" w:rsidR="003D0318" w:rsidRPr="003D0318" w:rsidRDefault="003D0318" w:rsidP="003D0318">
            <w:pPr>
              <w:ind w:left="0"/>
              <w:rPr>
                <w:sz w:val="19"/>
                <w:szCs w:val="19"/>
              </w:rPr>
            </w:pPr>
            <w:r w:rsidRPr="003D0318">
              <w:rPr>
                <w:sz w:val="19"/>
                <w:szCs w:val="19"/>
              </w:rPr>
              <w:t>Definition - ORR</w:t>
            </w:r>
          </w:p>
        </w:tc>
        <w:tc>
          <w:tcPr>
            <w:tcW w:w="1920" w:type="pct"/>
          </w:tcPr>
          <w:p w14:paraId="6F10F48A" w14:textId="77777777" w:rsidR="003D0318" w:rsidRPr="003D0318" w:rsidRDefault="003D0318" w:rsidP="003D0318">
            <w:pPr>
              <w:ind w:left="0"/>
              <w:rPr>
                <w:sz w:val="19"/>
                <w:szCs w:val="19"/>
              </w:rPr>
            </w:pPr>
            <w:r w:rsidRPr="003D0318">
              <w:rPr>
                <w:sz w:val="19"/>
                <w:szCs w:val="19"/>
              </w:rPr>
              <w:t>2014 NIH consensus criteria based on organ response criteria and clinician overall severity score</w:t>
            </w:r>
          </w:p>
        </w:tc>
        <w:tc>
          <w:tcPr>
            <w:tcW w:w="1726" w:type="pct"/>
          </w:tcPr>
          <w:p w14:paraId="78825242" w14:textId="77777777" w:rsidR="003D0318" w:rsidRPr="003D0318" w:rsidRDefault="003D0318" w:rsidP="003D0318">
            <w:pPr>
              <w:ind w:left="0"/>
              <w:rPr>
                <w:sz w:val="19"/>
                <w:szCs w:val="19"/>
              </w:rPr>
            </w:pPr>
            <w:bookmarkStart w:id="42" w:name="_Hlk81399079"/>
            <w:r w:rsidRPr="003D0318">
              <w:rPr>
                <w:sz w:val="19"/>
                <w:szCs w:val="19"/>
              </w:rPr>
              <w:t>2014 NIH consensus criteria based on organ response criteria and occurring by C7D1</w:t>
            </w:r>
            <w:bookmarkEnd w:id="42"/>
          </w:p>
        </w:tc>
      </w:tr>
      <w:tr w:rsidR="003D0318" w:rsidRPr="003D0318" w14:paraId="371512A8" w14:textId="77777777" w:rsidTr="003D0318">
        <w:tc>
          <w:tcPr>
            <w:tcW w:w="1354" w:type="pct"/>
          </w:tcPr>
          <w:p w14:paraId="58DA0652" w14:textId="09C71D56" w:rsidR="003D0318" w:rsidRPr="003D0318" w:rsidRDefault="003D0318" w:rsidP="003D0318">
            <w:pPr>
              <w:ind w:left="0"/>
              <w:rPr>
                <w:sz w:val="19"/>
                <w:szCs w:val="19"/>
              </w:rPr>
            </w:pPr>
            <w:r w:rsidRPr="003D0318">
              <w:rPr>
                <w:sz w:val="19"/>
                <w:szCs w:val="19"/>
              </w:rPr>
              <w:t>Definition –</w:t>
            </w:r>
            <w:r>
              <w:rPr>
                <w:sz w:val="19"/>
                <w:szCs w:val="19"/>
              </w:rPr>
              <w:t xml:space="preserve"> </w:t>
            </w:r>
            <w:r w:rsidRPr="003D0318">
              <w:rPr>
                <w:sz w:val="19"/>
                <w:szCs w:val="19"/>
              </w:rPr>
              <w:t>Duration of response (DOR)</w:t>
            </w:r>
          </w:p>
        </w:tc>
        <w:tc>
          <w:tcPr>
            <w:tcW w:w="1920" w:type="pct"/>
          </w:tcPr>
          <w:p w14:paraId="3F316ABB" w14:textId="77777777" w:rsidR="003D0318" w:rsidRPr="003D0318" w:rsidRDefault="003D0318" w:rsidP="003D0318">
            <w:pPr>
              <w:ind w:left="0"/>
              <w:rPr>
                <w:sz w:val="19"/>
                <w:szCs w:val="19"/>
              </w:rPr>
            </w:pPr>
            <w:r w:rsidRPr="003D0318">
              <w:rPr>
                <w:sz w:val="19"/>
                <w:szCs w:val="19"/>
              </w:rPr>
              <w:t xml:space="preserve">Time from first documentation of response to the time of first documentation of deterioration from best ORR, initiation of new systemic therapy for </w:t>
            </w:r>
            <w:proofErr w:type="spellStart"/>
            <w:r w:rsidRPr="003D0318">
              <w:rPr>
                <w:sz w:val="19"/>
                <w:szCs w:val="19"/>
              </w:rPr>
              <w:t>cGVHD</w:t>
            </w:r>
            <w:proofErr w:type="spellEnd"/>
            <w:r w:rsidRPr="003D0318">
              <w:rPr>
                <w:sz w:val="19"/>
                <w:szCs w:val="19"/>
              </w:rPr>
              <w:t>, or death</w:t>
            </w:r>
          </w:p>
        </w:tc>
        <w:tc>
          <w:tcPr>
            <w:tcW w:w="1726" w:type="pct"/>
          </w:tcPr>
          <w:p w14:paraId="65D853D5" w14:textId="77777777" w:rsidR="003D0318" w:rsidRPr="003D0318" w:rsidRDefault="003D0318" w:rsidP="003D0318">
            <w:pPr>
              <w:ind w:left="0"/>
              <w:rPr>
                <w:sz w:val="19"/>
                <w:szCs w:val="19"/>
              </w:rPr>
            </w:pPr>
            <w:bookmarkStart w:id="43" w:name="_Hlk81308586"/>
            <w:r w:rsidRPr="003D0318">
              <w:rPr>
                <w:sz w:val="19"/>
                <w:szCs w:val="19"/>
              </w:rPr>
              <w:t xml:space="preserve">Interval from first response by C7D1 to progression in any organ, death, or new systemic therapies for </w:t>
            </w:r>
            <w:proofErr w:type="spellStart"/>
            <w:r w:rsidRPr="003D0318">
              <w:rPr>
                <w:sz w:val="19"/>
                <w:szCs w:val="19"/>
              </w:rPr>
              <w:t>cGVHD</w:t>
            </w:r>
            <w:bookmarkEnd w:id="43"/>
            <w:proofErr w:type="spellEnd"/>
          </w:p>
        </w:tc>
      </w:tr>
      <w:tr w:rsidR="003D0318" w:rsidRPr="003D0318" w14:paraId="2EC344B6" w14:textId="77777777" w:rsidTr="003D0318">
        <w:tc>
          <w:tcPr>
            <w:tcW w:w="1354" w:type="pct"/>
          </w:tcPr>
          <w:p w14:paraId="3E798FAC" w14:textId="77777777" w:rsidR="003D0318" w:rsidRPr="003D0318" w:rsidRDefault="003D0318" w:rsidP="003D0318">
            <w:pPr>
              <w:ind w:left="0"/>
              <w:rPr>
                <w:sz w:val="19"/>
                <w:szCs w:val="19"/>
              </w:rPr>
            </w:pPr>
            <w:r w:rsidRPr="003D0318">
              <w:rPr>
                <w:sz w:val="19"/>
                <w:szCs w:val="19"/>
              </w:rPr>
              <w:t>Definition – Alternate measure of durability</w:t>
            </w:r>
          </w:p>
        </w:tc>
        <w:tc>
          <w:tcPr>
            <w:tcW w:w="1920" w:type="pct"/>
          </w:tcPr>
          <w:p w14:paraId="58898EC0" w14:textId="77777777" w:rsidR="003D0318" w:rsidRPr="003D0318" w:rsidRDefault="003D0318" w:rsidP="003D0318">
            <w:pPr>
              <w:ind w:left="0"/>
              <w:rPr>
                <w:sz w:val="19"/>
                <w:szCs w:val="19"/>
              </w:rPr>
            </w:pPr>
            <w:r w:rsidRPr="003D0318">
              <w:rPr>
                <w:sz w:val="19"/>
                <w:szCs w:val="19"/>
              </w:rPr>
              <w:t xml:space="preserve">Time from first documentation of response to the time of initiation of new systemic </w:t>
            </w:r>
            <w:proofErr w:type="spellStart"/>
            <w:r w:rsidRPr="003D0318">
              <w:rPr>
                <w:sz w:val="19"/>
                <w:szCs w:val="19"/>
              </w:rPr>
              <w:t>cGVHD</w:t>
            </w:r>
            <w:proofErr w:type="spellEnd"/>
            <w:r w:rsidRPr="003D0318">
              <w:rPr>
                <w:sz w:val="19"/>
                <w:szCs w:val="19"/>
              </w:rPr>
              <w:t xml:space="preserve"> therapy or death</w:t>
            </w:r>
          </w:p>
        </w:tc>
        <w:tc>
          <w:tcPr>
            <w:tcW w:w="1726" w:type="pct"/>
          </w:tcPr>
          <w:p w14:paraId="303650B7" w14:textId="77777777" w:rsidR="003D0318" w:rsidRPr="003D0318" w:rsidRDefault="003D0318" w:rsidP="003D0318">
            <w:pPr>
              <w:ind w:left="0"/>
              <w:rPr>
                <w:sz w:val="19"/>
                <w:szCs w:val="19"/>
              </w:rPr>
            </w:pPr>
            <w:bookmarkStart w:id="44" w:name="_Hlk81399250"/>
            <w:r w:rsidRPr="003D0318">
              <w:rPr>
                <w:sz w:val="19"/>
                <w:szCs w:val="19"/>
              </w:rPr>
              <w:t xml:space="preserve">Interval from first response by C7D1 to death or new systemic therapies for </w:t>
            </w:r>
            <w:proofErr w:type="spellStart"/>
            <w:r w:rsidRPr="003D0318">
              <w:rPr>
                <w:sz w:val="19"/>
                <w:szCs w:val="19"/>
              </w:rPr>
              <w:t>cGVHD</w:t>
            </w:r>
            <w:bookmarkEnd w:id="44"/>
            <w:proofErr w:type="spellEnd"/>
          </w:p>
        </w:tc>
      </w:tr>
      <w:tr w:rsidR="003D0318" w:rsidRPr="003D0318" w14:paraId="5B38B313" w14:textId="77777777" w:rsidTr="003D0318">
        <w:trPr>
          <w:trHeight w:val="2501"/>
        </w:trPr>
        <w:tc>
          <w:tcPr>
            <w:tcW w:w="1354" w:type="pct"/>
          </w:tcPr>
          <w:p w14:paraId="142FD7DB" w14:textId="77777777" w:rsidR="003D0318" w:rsidRPr="003D0318" w:rsidRDefault="003D0318" w:rsidP="003D0318">
            <w:pPr>
              <w:ind w:left="0"/>
              <w:rPr>
                <w:sz w:val="19"/>
                <w:szCs w:val="19"/>
              </w:rPr>
            </w:pPr>
            <w:r w:rsidRPr="003D0318">
              <w:rPr>
                <w:sz w:val="19"/>
                <w:szCs w:val="19"/>
              </w:rPr>
              <w:t>Definition – PRO response (using LSS)</w:t>
            </w:r>
          </w:p>
        </w:tc>
        <w:tc>
          <w:tcPr>
            <w:tcW w:w="1920" w:type="pct"/>
          </w:tcPr>
          <w:p w14:paraId="0A78A8F4" w14:textId="77777777" w:rsidR="003D0318" w:rsidRPr="003D0318" w:rsidRDefault="003D0318" w:rsidP="003D0318">
            <w:pPr>
              <w:ind w:left="0"/>
              <w:rPr>
                <w:sz w:val="19"/>
                <w:szCs w:val="19"/>
              </w:rPr>
            </w:pPr>
            <w:r w:rsidRPr="003D0318">
              <w:rPr>
                <w:sz w:val="19"/>
                <w:szCs w:val="19"/>
              </w:rPr>
              <w:t>Summary score and domain scores by visit</w:t>
            </w:r>
          </w:p>
          <w:p w14:paraId="51F65B8D" w14:textId="74E823E8" w:rsidR="003D0318" w:rsidRPr="003D0318" w:rsidRDefault="003D0318" w:rsidP="003D0318">
            <w:pPr>
              <w:ind w:left="0"/>
              <w:rPr>
                <w:sz w:val="19"/>
                <w:szCs w:val="19"/>
              </w:rPr>
            </w:pPr>
            <w:r w:rsidRPr="003D0318">
              <w:rPr>
                <w:sz w:val="19"/>
                <w:szCs w:val="19"/>
              </w:rPr>
              <w:t xml:space="preserve">Change </w:t>
            </w:r>
            <w:r w:rsidR="008926B7">
              <w:rPr>
                <w:sz w:val="19"/>
                <w:szCs w:val="19"/>
              </w:rPr>
              <w:t>from Baseline</w:t>
            </w:r>
            <w:r w:rsidRPr="003D0318">
              <w:rPr>
                <w:sz w:val="19"/>
                <w:szCs w:val="19"/>
              </w:rPr>
              <w:t xml:space="preserve"> by visit</w:t>
            </w:r>
          </w:p>
          <w:p w14:paraId="732311ED" w14:textId="5C27B04E" w:rsidR="003D0318" w:rsidRPr="003D0318" w:rsidRDefault="003D0318" w:rsidP="003D0318">
            <w:pPr>
              <w:ind w:left="0"/>
              <w:rPr>
                <w:sz w:val="19"/>
                <w:szCs w:val="19"/>
              </w:rPr>
            </w:pPr>
            <w:r w:rsidRPr="003D0318">
              <w:rPr>
                <w:sz w:val="19"/>
                <w:szCs w:val="19"/>
              </w:rPr>
              <w:t xml:space="preserve">Number and percent of subjects with a ≥7-point reduction </w:t>
            </w:r>
            <w:r w:rsidR="008926B7">
              <w:rPr>
                <w:sz w:val="19"/>
                <w:szCs w:val="19"/>
              </w:rPr>
              <w:t>from Baseline</w:t>
            </w:r>
          </w:p>
          <w:p w14:paraId="2373ABE8" w14:textId="13C8D186" w:rsidR="003D0318" w:rsidRPr="003D0318" w:rsidRDefault="003D0318" w:rsidP="003D0318">
            <w:pPr>
              <w:ind w:left="0"/>
              <w:rPr>
                <w:sz w:val="19"/>
                <w:szCs w:val="19"/>
              </w:rPr>
            </w:pPr>
            <w:r w:rsidRPr="003D0318">
              <w:rPr>
                <w:sz w:val="19"/>
                <w:szCs w:val="19"/>
              </w:rPr>
              <w:t xml:space="preserve">Number and percent of subjects with a ≥7-point reduction </w:t>
            </w:r>
            <w:r w:rsidR="008926B7">
              <w:rPr>
                <w:sz w:val="19"/>
                <w:szCs w:val="19"/>
              </w:rPr>
              <w:t>from Baseline</w:t>
            </w:r>
            <w:r w:rsidRPr="003D0318">
              <w:rPr>
                <w:sz w:val="19"/>
                <w:szCs w:val="19"/>
              </w:rPr>
              <w:t xml:space="preserve"> on 2 consecutive assessments</w:t>
            </w:r>
          </w:p>
        </w:tc>
        <w:tc>
          <w:tcPr>
            <w:tcW w:w="1726" w:type="pct"/>
          </w:tcPr>
          <w:p w14:paraId="2796B208" w14:textId="7A8F1BF7" w:rsidR="003D0318" w:rsidRPr="003D0318" w:rsidRDefault="003D0318" w:rsidP="003D0318">
            <w:pPr>
              <w:ind w:left="0"/>
              <w:rPr>
                <w:sz w:val="19"/>
                <w:szCs w:val="19"/>
              </w:rPr>
            </w:pPr>
            <w:r w:rsidRPr="003D0318">
              <w:rPr>
                <w:sz w:val="19"/>
                <w:szCs w:val="19"/>
              </w:rPr>
              <w:t>≥</w:t>
            </w:r>
            <w:r w:rsidR="00E91562">
              <w:rPr>
                <w:sz w:val="19"/>
                <w:szCs w:val="19"/>
              </w:rPr>
              <w:t xml:space="preserve"> </w:t>
            </w:r>
            <w:r w:rsidRPr="003D0318">
              <w:rPr>
                <w:sz w:val="19"/>
                <w:szCs w:val="19"/>
              </w:rPr>
              <w:t xml:space="preserve">7-point reduction </w:t>
            </w:r>
            <w:r w:rsidR="008926B7">
              <w:rPr>
                <w:sz w:val="19"/>
                <w:szCs w:val="19"/>
              </w:rPr>
              <w:t>from Baseline</w:t>
            </w:r>
            <w:r w:rsidRPr="003D0318">
              <w:rPr>
                <w:sz w:val="19"/>
                <w:szCs w:val="19"/>
              </w:rPr>
              <w:t xml:space="preserve"> by C7D1.</w:t>
            </w:r>
          </w:p>
        </w:tc>
      </w:tr>
    </w:tbl>
    <w:p w14:paraId="4B611298" w14:textId="77777777" w:rsidR="003D0318" w:rsidRDefault="003D0318" w:rsidP="00E4297E">
      <w:pPr>
        <w:pStyle w:val="Heading5"/>
      </w:pPr>
      <w:r>
        <w:t>Study KD025-208</w:t>
      </w:r>
    </w:p>
    <w:p w14:paraId="66132E21" w14:textId="157852EE" w:rsidR="003D0318" w:rsidRDefault="003D0318" w:rsidP="00AD138E">
      <w:r>
        <w:t xml:space="preserve">Study KD025-208 is an ongoing Phase </w:t>
      </w:r>
      <w:proofErr w:type="spellStart"/>
      <w:r w:rsidR="00AD138E">
        <w:t>II</w:t>
      </w:r>
      <w:r>
        <w:t>a</w:t>
      </w:r>
      <w:proofErr w:type="spellEnd"/>
      <w:r>
        <w:t>, open</w:t>
      </w:r>
      <w:r w:rsidR="00AD138E">
        <w:t xml:space="preserve"> </w:t>
      </w:r>
      <w:r>
        <w:t>label, dose</w:t>
      </w:r>
      <w:r w:rsidR="00AD138E">
        <w:t xml:space="preserve"> </w:t>
      </w:r>
      <w:r>
        <w:t xml:space="preserve">escalation study of </w:t>
      </w:r>
      <w:proofErr w:type="spellStart"/>
      <w:r>
        <w:t>belumosudil</w:t>
      </w:r>
      <w:proofErr w:type="spellEnd"/>
      <w:r>
        <w:t xml:space="preserve"> in subjects with </w:t>
      </w:r>
      <w:proofErr w:type="spellStart"/>
      <w:r>
        <w:t>cGVHD</w:t>
      </w:r>
      <w:proofErr w:type="spellEnd"/>
      <w:r>
        <w:t xml:space="preserve"> who have received </w:t>
      </w:r>
      <w:r w:rsidR="00EC48C0">
        <w:t>one</w:t>
      </w:r>
      <w:r>
        <w:t xml:space="preserve"> to 3 prior lines of systemic </w:t>
      </w:r>
      <w:proofErr w:type="spellStart"/>
      <w:r>
        <w:t>cGVHD</w:t>
      </w:r>
      <w:proofErr w:type="spellEnd"/>
      <w:r>
        <w:t xml:space="preserve"> therapy. The study was conducted at </w:t>
      </w:r>
      <w:r w:rsidR="00AD138E">
        <w:t>seven</w:t>
      </w:r>
      <w:r>
        <w:t xml:space="preserve"> sites in the USA and commenced in September 2016. Enrolment was completed in March 2018, with 54 subjects enrolled. As of </w:t>
      </w:r>
      <w:r w:rsidR="00EC48C0">
        <w:t xml:space="preserve">the </w:t>
      </w:r>
      <w:r w:rsidR="00AD138E">
        <w:t>data cut</w:t>
      </w:r>
      <w:r w:rsidR="00EC48C0">
        <w:t>-</w:t>
      </w:r>
      <w:r w:rsidR="00AD138E">
        <w:t xml:space="preserve">off </w:t>
      </w:r>
      <w:r>
        <w:t>date 19 August 2020, the median duration of follow</w:t>
      </w:r>
      <w:r w:rsidR="00AD138E">
        <w:t xml:space="preserve"> </w:t>
      </w:r>
      <w:r>
        <w:t xml:space="preserve">up was 41.3 months for the 200 mg </w:t>
      </w:r>
      <w:r w:rsidR="00AD138E">
        <w:t>once daily</w:t>
      </w:r>
      <w:r>
        <w:t xml:space="preserve"> cohort, 39.1 for the 200 mg </w:t>
      </w:r>
      <w:r w:rsidR="00AD138E">
        <w:t>twice daily</w:t>
      </w:r>
      <w:r>
        <w:t xml:space="preserve"> cohort, and 34.4 months overall.</w:t>
      </w:r>
    </w:p>
    <w:p w14:paraId="08DD8AD3" w14:textId="6B7C456A" w:rsidR="003D0318" w:rsidRDefault="003D0318" w:rsidP="00AD138E">
      <w:r>
        <w:t>Study KD025-208 was developed as an exploratory dose</w:t>
      </w:r>
      <w:r w:rsidR="00AD138E">
        <w:t xml:space="preserve"> </w:t>
      </w:r>
      <w:r>
        <w:t xml:space="preserve">finding study without a specific hypothesis to be tested. </w:t>
      </w:r>
      <w:proofErr w:type="spellStart"/>
      <w:r>
        <w:t>Belumosudil</w:t>
      </w:r>
      <w:proofErr w:type="spellEnd"/>
      <w:r>
        <w:t xml:space="preserve"> doses were selected based on preliminary data from Study </w:t>
      </w:r>
      <w:r w:rsidR="00EC48C0">
        <w:t>KD025-</w:t>
      </w:r>
      <w:r>
        <w:t xml:space="preserve">206 in patients with psoriasis. In that study </w:t>
      </w:r>
      <w:proofErr w:type="spellStart"/>
      <w:r>
        <w:t>belumosudil</w:t>
      </w:r>
      <w:proofErr w:type="spellEnd"/>
      <w:r>
        <w:t xml:space="preserve"> was considered tolerable at doses up to 400 mg daily. To assess the effect of split dosing </w:t>
      </w:r>
      <w:proofErr w:type="spellStart"/>
      <w:r>
        <w:t>belumosudil</w:t>
      </w:r>
      <w:proofErr w:type="spellEnd"/>
      <w:r>
        <w:t xml:space="preserve"> doses of</w:t>
      </w:r>
      <w:r w:rsidR="00AD138E">
        <w:t xml:space="preserve"> </w:t>
      </w:r>
      <w:r>
        <w:t xml:space="preserve">200 mg </w:t>
      </w:r>
      <w:r w:rsidR="00AD138E">
        <w:t>once daily</w:t>
      </w:r>
      <w:r>
        <w:t xml:space="preserve">, 200 mg </w:t>
      </w:r>
      <w:r w:rsidR="00AD138E">
        <w:t>twice daily</w:t>
      </w:r>
      <w:r>
        <w:t xml:space="preserve">, and 400 mg </w:t>
      </w:r>
      <w:r w:rsidR="00AD138E">
        <w:t>daily once</w:t>
      </w:r>
      <w:r>
        <w:t xml:space="preserve"> were chosen.</w:t>
      </w:r>
    </w:p>
    <w:p w14:paraId="3623642B" w14:textId="77777777" w:rsidR="003D0318" w:rsidRDefault="003D0318" w:rsidP="00E4297E">
      <w:pPr>
        <w:pStyle w:val="Heading6"/>
      </w:pPr>
      <w:r>
        <w:t>Study objectives</w:t>
      </w:r>
    </w:p>
    <w:p w14:paraId="06C6A336" w14:textId="77777777" w:rsidR="003D0318" w:rsidRDefault="003D0318" w:rsidP="00AD138E">
      <w:r>
        <w:t>The primary objectives were:</w:t>
      </w:r>
    </w:p>
    <w:p w14:paraId="0D6FFD13" w14:textId="06B4D0A5" w:rsidR="003D0318" w:rsidRDefault="003D0318" w:rsidP="00AD138E">
      <w:pPr>
        <w:pStyle w:val="ListBullet"/>
      </w:pPr>
      <w:r>
        <w:t xml:space="preserve">To evaluate the activity of </w:t>
      </w:r>
      <w:proofErr w:type="spellStart"/>
      <w:r>
        <w:t>belumosudil</w:t>
      </w:r>
      <w:proofErr w:type="spellEnd"/>
      <w:r>
        <w:t xml:space="preserve"> in subjects with active, steroid</w:t>
      </w:r>
      <w:r w:rsidR="00AD138E">
        <w:t xml:space="preserve"> </w:t>
      </w:r>
      <w:r>
        <w:t xml:space="preserve">dependent </w:t>
      </w:r>
      <w:proofErr w:type="spellStart"/>
      <w:r>
        <w:t>cGVHD</w:t>
      </w:r>
      <w:proofErr w:type="spellEnd"/>
      <w:r>
        <w:t xml:space="preserve"> in terms of PR and CR as defined by the 2014 NIH </w:t>
      </w:r>
      <w:r w:rsidR="00AD138E">
        <w:t>c</w:t>
      </w:r>
      <w:r>
        <w:t xml:space="preserve">onsensus </w:t>
      </w:r>
      <w:r w:rsidR="00AD138E">
        <w:t>d</w:t>
      </w:r>
      <w:r>
        <w:t xml:space="preserve">evelopment </w:t>
      </w:r>
      <w:r w:rsidR="00AD138E">
        <w:t>p</w:t>
      </w:r>
      <w:r>
        <w:t xml:space="preserve">roject on </w:t>
      </w:r>
      <w:r w:rsidR="00AD138E">
        <w:t>c</w:t>
      </w:r>
      <w:r>
        <w:t xml:space="preserve">linical </w:t>
      </w:r>
      <w:r w:rsidR="00AD138E">
        <w:t>t</w:t>
      </w:r>
      <w:r>
        <w:t>rials in cGVHD;</w:t>
      </w:r>
      <w:r w:rsidR="00AD138E">
        <w:fldChar w:fldCharType="begin"/>
      </w:r>
      <w:r w:rsidR="00AD138E">
        <w:instrText xml:space="preserve"> NOTEREF _Ref99362095 \f \h </w:instrText>
      </w:r>
      <w:r w:rsidR="00AD138E">
        <w:fldChar w:fldCharType="separate"/>
      </w:r>
      <w:r w:rsidR="00C85F74" w:rsidRPr="00C85F74">
        <w:rPr>
          <w:rStyle w:val="FootnoteReference"/>
        </w:rPr>
        <w:t>2</w:t>
      </w:r>
      <w:r w:rsidR="00AD138E">
        <w:fldChar w:fldCharType="end"/>
      </w:r>
      <w:r>
        <w:t xml:space="preserve"> and</w:t>
      </w:r>
    </w:p>
    <w:p w14:paraId="1C4C8D0F" w14:textId="72C148D4" w:rsidR="003D0318" w:rsidRDefault="003D0318" w:rsidP="00AD138E">
      <w:pPr>
        <w:pStyle w:val="ListBullet"/>
      </w:pPr>
      <w:r>
        <w:lastRenderedPageBreak/>
        <w:t xml:space="preserve">To evaluate the safety and tolerability of </w:t>
      </w:r>
      <w:proofErr w:type="spellStart"/>
      <w:r>
        <w:t>belumosudil</w:t>
      </w:r>
      <w:proofErr w:type="spellEnd"/>
      <w:r>
        <w:t xml:space="preserve"> in subjects with </w:t>
      </w:r>
      <w:proofErr w:type="spellStart"/>
      <w:r>
        <w:t>cGVHD</w:t>
      </w:r>
      <w:proofErr w:type="spellEnd"/>
      <w:r>
        <w:t>.</w:t>
      </w:r>
    </w:p>
    <w:p w14:paraId="3FCC330B" w14:textId="77777777" w:rsidR="003D0318" w:rsidRDefault="003D0318" w:rsidP="00E4297E">
      <w:pPr>
        <w:pStyle w:val="Heading6"/>
      </w:pPr>
      <w:r>
        <w:t>Methodology</w:t>
      </w:r>
    </w:p>
    <w:p w14:paraId="17CF087C" w14:textId="5016ECFF" w:rsidR="003D0318" w:rsidRDefault="003D0318" w:rsidP="003D0318">
      <w:proofErr w:type="spellStart"/>
      <w:r>
        <w:t>Belumosudil</w:t>
      </w:r>
      <w:proofErr w:type="spellEnd"/>
      <w:r>
        <w:t xml:space="preserve"> was supplied as 100 mg capsules or 200 mg tablets. The study was initiated using </w:t>
      </w:r>
      <w:proofErr w:type="spellStart"/>
      <w:r>
        <w:t>belumosudil</w:t>
      </w:r>
      <w:proofErr w:type="spellEnd"/>
      <w:r>
        <w:t xml:space="preserve"> capsules and later transitioned to </w:t>
      </w:r>
      <w:proofErr w:type="spellStart"/>
      <w:r>
        <w:t>belumosudil</w:t>
      </w:r>
      <w:proofErr w:type="spellEnd"/>
      <w:r>
        <w:t xml:space="preserve"> tablets (intended commercial formulation). </w:t>
      </w:r>
      <w:proofErr w:type="spellStart"/>
      <w:r>
        <w:t>Belumosudil</w:t>
      </w:r>
      <w:proofErr w:type="spellEnd"/>
      <w:r>
        <w:t xml:space="preserve"> was administered at doses of 200 mg </w:t>
      </w:r>
      <w:r w:rsidR="00AD138E">
        <w:t>once daily</w:t>
      </w:r>
      <w:r>
        <w:t xml:space="preserve"> (Cohort 1), 200 mg </w:t>
      </w:r>
      <w:r w:rsidR="00AD138E">
        <w:t>twice daily</w:t>
      </w:r>
      <w:r>
        <w:t xml:space="preserve"> (Cohort 2), and 400 mg </w:t>
      </w:r>
      <w:r w:rsidR="00AD138E">
        <w:t>once daily</w:t>
      </w:r>
      <w:r>
        <w:t xml:space="preserve"> (Cohort 3). Study drug was administered with food, in </w:t>
      </w:r>
      <w:proofErr w:type="gramStart"/>
      <w:r>
        <w:t>28</w:t>
      </w:r>
      <w:r w:rsidR="00AD138E">
        <w:t xml:space="preserve"> </w:t>
      </w:r>
      <w:r>
        <w:t>day</w:t>
      </w:r>
      <w:proofErr w:type="gramEnd"/>
      <w:r>
        <w:t xml:space="preserve"> cycles until disease progression or unacceptable toxicity occurred.</w:t>
      </w:r>
    </w:p>
    <w:p w14:paraId="3B93A09C" w14:textId="79BDC8C5" w:rsidR="00D97214" w:rsidRDefault="003D0318" w:rsidP="003D0318">
      <w:r>
        <w:t xml:space="preserve">The primary efficacy endpoint was </w:t>
      </w:r>
      <w:r w:rsidR="00EC48C0">
        <w:t>overall response rate (</w:t>
      </w:r>
      <w:r>
        <w:t>ORR</w:t>
      </w:r>
      <w:r w:rsidR="00EC48C0">
        <w:t>)</w:t>
      </w:r>
      <w:r>
        <w:t>, per the 2014 NIH response criteria.</w:t>
      </w:r>
      <w:r w:rsidR="00AD138E">
        <w:fldChar w:fldCharType="begin"/>
      </w:r>
      <w:r w:rsidR="00AD138E">
        <w:instrText xml:space="preserve"> NOTEREF _Ref99362095 \f \h </w:instrText>
      </w:r>
      <w:r w:rsidR="00AD138E">
        <w:fldChar w:fldCharType="separate"/>
      </w:r>
      <w:r w:rsidR="00C85F74" w:rsidRPr="00C85F74">
        <w:rPr>
          <w:rStyle w:val="FootnoteReference"/>
        </w:rPr>
        <w:t>2</w:t>
      </w:r>
      <w:r w:rsidR="00AD138E">
        <w:fldChar w:fldCharType="end"/>
      </w:r>
      <w:r>
        <w:t xml:space="preserve"> The overall response is assessed using the global scores from ten systems (Skin, Eyes, Mouth, Oesophagus, Upper GI, Lower GI, Liver, Lungs, Joints and Fascia and Global Severity Rating). The overall response at each assessment time point was categorised as CR, PR, or </w:t>
      </w:r>
      <w:r w:rsidR="00AD138E">
        <w:t>l</w:t>
      </w:r>
      <w:r>
        <w:t xml:space="preserve">ack of </w:t>
      </w:r>
      <w:r w:rsidR="00AD138E">
        <w:t>r</w:t>
      </w:r>
      <w:r>
        <w:t xml:space="preserve">esponse, where </w:t>
      </w:r>
      <w:r w:rsidR="00AD138E">
        <w:t>lack of response</w:t>
      </w:r>
      <w:r>
        <w:t xml:space="preserve"> includes the response status of unchanged, mixed, or progression as defined below.</w:t>
      </w:r>
    </w:p>
    <w:p w14:paraId="2D85C4BC" w14:textId="306F4A33" w:rsidR="00AD138E" w:rsidRPr="00AD138E" w:rsidRDefault="00AD138E" w:rsidP="00AD138E">
      <w:pPr>
        <w:pStyle w:val="TableTitle"/>
        <w:rPr>
          <w:sz w:val="19"/>
          <w:szCs w:val="18"/>
        </w:rPr>
      </w:pPr>
      <w:r w:rsidRPr="00AD138E">
        <w:t xml:space="preserve">Table </w:t>
      </w:r>
      <w:fldSimple w:instr=" SEQ Table \* ARABIC ">
        <w:r w:rsidR="00C85F74">
          <w:rPr>
            <w:noProof/>
          </w:rPr>
          <w:t>4</w:t>
        </w:r>
      </w:fldSimple>
      <w:r w:rsidRPr="00AD138E">
        <w:t>:</w:t>
      </w:r>
      <w:bookmarkStart w:id="45" w:name="_Hlk99443984"/>
      <w:r>
        <w:t xml:space="preserve">Chronic </w:t>
      </w:r>
      <w:r w:rsidR="00EC48C0">
        <w:t xml:space="preserve">graft versus host disease </w:t>
      </w:r>
      <w:r>
        <w:t>response definitions</w:t>
      </w:r>
    </w:p>
    <w:tbl>
      <w:tblPr>
        <w:tblStyle w:val="TableTGAblue"/>
        <w:tblW w:w="4840" w:type="pct"/>
        <w:tblLook w:val="04A0" w:firstRow="1" w:lastRow="0" w:firstColumn="1" w:lastColumn="0" w:noHBand="0" w:noVBand="1"/>
      </w:tblPr>
      <w:tblGrid>
        <w:gridCol w:w="3676"/>
        <w:gridCol w:w="4537"/>
      </w:tblGrid>
      <w:tr w:rsidR="00AD138E" w:rsidRPr="00AD138E" w14:paraId="7465B17F" w14:textId="77777777" w:rsidTr="00AD138E">
        <w:trPr>
          <w:cnfStyle w:val="100000000000" w:firstRow="1" w:lastRow="0" w:firstColumn="0" w:lastColumn="0" w:oddVBand="0" w:evenVBand="0" w:oddHBand="0" w:evenHBand="0" w:firstRowFirstColumn="0" w:firstRowLastColumn="0" w:lastRowFirstColumn="0" w:lastRowLastColumn="0"/>
          <w:trHeight w:val="421"/>
        </w:trPr>
        <w:tc>
          <w:tcPr>
            <w:tcW w:w="2238" w:type="pct"/>
          </w:tcPr>
          <w:p w14:paraId="7F4A3230" w14:textId="0875BD87" w:rsidR="00AD138E" w:rsidRPr="00AD138E" w:rsidRDefault="00AD138E" w:rsidP="00AD138E">
            <w:pPr>
              <w:spacing w:before="0" w:after="0"/>
              <w:rPr>
                <w:sz w:val="20"/>
                <w:szCs w:val="20"/>
              </w:rPr>
            </w:pPr>
            <w:r w:rsidRPr="00AD138E">
              <w:rPr>
                <w:sz w:val="20"/>
                <w:szCs w:val="20"/>
              </w:rPr>
              <w:t>Response</w:t>
            </w:r>
          </w:p>
        </w:tc>
        <w:tc>
          <w:tcPr>
            <w:tcW w:w="2762" w:type="pct"/>
          </w:tcPr>
          <w:p w14:paraId="5C744AC8" w14:textId="515527A5" w:rsidR="00AD138E" w:rsidRPr="00AD138E" w:rsidRDefault="00AD138E" w:rsidP="00AD138E">
            <w:pPr>
              <w:spacing w:before="0" w:after="0"/>
              <w:rPr>
                <w:sz w:val="20"/>
                <w:szCs w:val="20"/>
              </w:rPr>
            </w:pPr>
            <w:r w:rsidRPr="00AD138E">
              <w:rPr>
                <w:sz w:val="20"/>
                <w:szCs w:val="20"/>
              </w:rPr>
              <w:t>Definition</w:t>
            </w:r>
          </w:p>
        </w:tc>
      </w:tr>
      <w:tr w:rsidR="00AD138E" w:rsidRPr="00AD138E" w14:paraId="45F331C9" w14:textId="77777777" w:rsidTr="00AD138E">
        <w:trPr>
          <w:trHeight w:val="539"/>
        </w:trPr>
        <w:tc>
          <w:tcPr>
            <w:tcW w:w="2238" w:type="pct"/>
          </w:tcPr>
          <w:p w14:paraId="7C5742FA" w14:textId="4A4F315C" w:rsidR="00AD138E" w:rsidRPr="00AD138E" w:rsidRDefault="00AD138E" w:rsidP="00AD138E">
            <w:pPr>
              <w:spacing w:before="0" w:after="0"/>
              <w:rPr>
                <w:b/>
                <w:bCs/>
                <w:sz w:val="20"/>
                <w:szCs w:val="20"/>
              </w:rPr>
            </w:pPr>
            <w:r w:rsidRPr="00AD138E">
              <w:rPr>
                <w:sz w:val="20"/>
                <w:szCs w:val="20"/>
              </w:rPr>
              <w:t>Complete response</w:t>
            </w:r>
            <w:r w:rsidR="00EC48C0">
              <w:rPr>
                <w:sz w:val="20"/>
                <w:szCs w:val="20"/>
              </w:rPr>
              <w:t xml:space="preserve"> (CR)</w:t>
            </w:r>
          </w:p>
        </w:tc>
        <w:tc>
          <w:tcPr>
            <w:tcW w:w="2762" w:type="pct"/>
          </w:tcPr>
          <w:p w14:paraId="3AB17C1D" w14:textId="069BBEFC" w:rsidR="00AD138E" w:rsidRPr="00AD138E" w:rsidRDefault="00AD138E" w:rsidP="00AD138E">
            <w:pPr>
              <w:spacing w:before="0" w:after="0"/>
              <w:rPr>
                <w:b/>
                <w:bCs/>
                <w:sz w:val="20"/>
                <w:szCs w:val="20"/>
              </w:rPr>
            </w:pPr>
            <w:r w:rsidRPr="00AD138E">
              <w:rPr>
                <w:sz w:val="20"/>
                <w:szCs w:val="20"/>
              </w:rPr>
              <w:t>Resolution of all manifestations of c</w:t>
            </w:r>
            <w:r w:rsidR="00EC48C0">
              <w:rPr>
                <w:sz w:val="20"/>
                <w:szCs w:val="20"/>
              </w:rPr>
              <w:t>hronic graft versus host disease</w:t>
            </w:r>
            <w:r w:rsidRPr="00AD138E">
              <w:rPr>
                <w:sz w:val="20"/>
                <w:szCs w:val="20"/>
              </w:rPr>
              <w:t xml:space="preserve"> in each organ or site</w:t>
            </w:r>
          </w:p>
        </w:tc>
      </w:tr>
      <w:tr w:rsidR="00AD138E" w:rsidRPr="00AD138E" w14:paraId="7BB3D168" w14:textId="77777777" w:rsidTr="00AD138E">
        <w:trPr>
          <w:trHeight w:val="831"/>
        </w:trPr>
        <w:tc>
          <w:tcPr>
            <w:tcW w:w="2238" w:type="pct"/>
          </w:tcPr>
          <w:p w14:paraId="1DC9D047" w14:textId="70D57676" w:rsidR="00AD138E" w:rsidRPr="00AD138E" w:rsidRDefault="00AD138E" w:rsidP="00AD138E">
            <w:pPr>
              <w:spacing w:before="0" w:after="0"/>
              <w:rPr>
                <w:b/>
                <w:bCs/>
                <w:sz w:val="20"/>
                <w:szCs w:val="20"/>
              </w:rPr>
            </w:pPr>
            <w:r w:rsidRPr="00AD138E">
              <w:rPr>
                <w:sz w:val="20"/>
                <w:szCs w:val="20"/>
              </w:rPr>
              <w:t>Partial response</w:t>
            </w:r>
            <w:r w:rsidR="00EC48C0">
              <w:rPr>
                <w:sz w:val="20"/>
                <w:szCs w:val="20"/>
              </w:rPr>
              <w:t xml:space="preserve"> (PR)</w:t>
            </w:r>
          </w:p>
        </w:tc>
        <w:tc>
          <w:tcPr>
            <w:tcW w:w="2762" w:type="pct"/>
          </w:tcPr>
          <w:p w14:paraId="6247E89E" w14:textId="54785DCE" w:rsidR="00AD138E" w:rsidRPr="00AD138E" w:rsidRDefault="00AD138E" w:rsidP="00AD138E">
            <w:pPr>
              <w:spacing w:before="0" w:after="0"/>
              <w:rPr>
                <w:b/>
                <w:bCs/>
                <w:sz w:val="20"/>
                <w:szCs w:val="20"/>
              </w:rPr>
            </w:pPr>
            <w:r w:rsidRPr="00AD138E">
              <w:rPr>
                <w:sz w:val="20"/>
                <w:szCs w:val="20"/>
              </w:rPr>
              <w:t>Improvement in at least one organ or site without progression in any other organ or site</w:t>
            </w:r>
          </w:p>
        </w:tc>
      </w:tr>
      <w:tr w:rsidR="00AD138E" w:rsidRPr="00AD138E" w14:paraId="4586E58B" w14:textId="77777777" w:rsidTr="00AD138E">
        <w:trPr>
          <w:trHeight w:val="830"/>
        </w:trPr>
        <w:tc>
          <w:tcPr>
            <w:tcW w:w="2238" w:type="pct"/>
          </w:tcPr>
          <w:p w14:paraId="3C758515" w14:textId="10CA7C15" w:rsidR="00AD138E" w:rsidRPr="00AD138E" w:rsidRDefault="00AD138E" w:rsidP="00AD138E">
            <w:pPr>
              <w:spacing w:before="0" w:after="0"/>
              <w:rPr>
                <w:b/>
                <w:bCs/>
                <w:sz w:val="20"/>
                <w:szCs w:val="20"/>
              </w:rPr>
            </w:pPr>
            <w:r w:rsidRPr="00AD138E">
              <w:rPr>
                <w:sz w:val="20"/>
                <w:szCs w:val="20"/>
              </w:rPr>
              <w:t>Lack of response*, mixed response</w:t>
            </w:r>
          </w:p>
        </w:tc>
        <w:tc>
          <w:tcPr>
            <w:tcW w:w="2762" w:type="pct"/>
          </w:tcPr>
          <w:p w14:paraId="037F4BAD" w14:textId="1A4A906E" w:rsidR="00AD138E" w:rsidRPr="00AD138E" w:rsidRDefault="00AD138E" w:rsidP="00AD138E">
            <w:pPr>
              <w:spacing w:before="0" w:after="0"/>
              <w:rPr>
                <w:b/>
                <w:bCs/>
                <w:sz w:val="20"/>
                <w:szCs w:val="20"/>
              </w:rPr>
            </w:pPr>
            <w:r w:rsidRPr="00AD138E">
              <w:rPr>
                <w:sz w:val="20"/>
                <w:szCs w:val="20"/>
              </w:rPr>
              <w:t>Complete or partial response in at least one organ accompanied by progression in another organ*</w:t>
            </w:r>
          </w:p>
        </w:tc>
      </w:tr>
      <w:tr w:rsidR="00AD138E" w:rsidRPr="00AD138E" w14:paraId="176F710E" w14:textId="77777777" w:rsidTr="00AD138E">
        <w:trPr>
          <w:trHeight w:val="841"/>
        </w:trPr>
        <w:tc>
          <w:tcPr>
            <w:tcW w:w="2238" w:type="pct"/>
          </w:tcPr>
          <w:p w14:paraId="6320DA17" w14:textId="513ECF49" w:rsidR="00AD138E" w:rsidRPr="00AD138E" w:rsidRDefault="00AD138E" w:rsidP="00AD138E">
            <w:pPr>
              <w:spacing w:before="0" w:after="0"/>
              <w:rPr>
                <w:sz w:val="20"/>
                <w:szCs w:val="20"/>
              </w:rPr>
            </w:pPr>
            <w:r w:rsidRPr="00AD138E">
              <w:rPr>
                <w:sz w:val="20"/>
                <w:szCs w:val="20"/>
              </w:rPr>
              <w:t>Unchanged</w:t>
            </w:r>
          </w:p>
        </w:tc>
        <w:tc>
          <w:tcPr>
            <w:tcW w:w="2762" w:type="pct"/>
          </w:tcPr>
          <w:p w14:paraId="7E5B80F7" w14:textId="13CDF8B5" w:rsidR="00AD138E" w:rsidRPr="00AD138E" w:rsidRDefault="00AD138E" w:rsidP="00AD138E">
            <w:pPr>
              <w:spacing w:before="0" w:after="0"/>
              <w:rPr>
                <w:b/>
                <w:bCs/>
                <w:sz w:val="20"/>
                <w:szCs w:val="20"/>
              </w:rPr>
            </w:pPr>
            <w:r w:rsidRPr="00AD138E">
              <w:rPr>
                <w:sz w:val="20"/>
                <w:szCs w:val="20"/>
              </w:rPr>
              <w:t xml:space="preserve">Outcomes that do not meet the criteria for complete response, partial response, </w:t>
            </w:r>
            <w:proofErr w:type="gramStart"/>
            <w:r w:rsidRPr="00AD138E">
              <w:rPr>
                <w:sz w:val="20"/>
                <w:szCs w:val="20"/>
              </w:rPr>
              <w:t>progression</w:t>
            </w:r>
            <w:proofErr w:type="gramEnd"/>
            <w:r w:rsidRPr="00AD138E">
              <w:rPr>
                <w:sz w:val="20"/>
                <w:szCs w:val="20"/>
              </w:rPr>
              <w:t xml:space="preserve"> or mixed response</w:t>
            </w:r>
          </w:p>
        </w:tc>
      </w:tr>
      <w:tr w:rsidR="00AD138E" w:rsidRPr="00AD138E" w14:paraId="0B91FE11" w14:textId="77777777" w:rsidTr="00AD138E">
        <w:trPr>
          <w:trHeight w:val="825"/>
        </w:trPr>
        <w:tc>
          <w:tcPr>
            <w:tcW w:w="2238" w:type="pct"/>
          </w:tcPr>
          <w:p w14:paraId="2950DA2A" w14:textId="5A57FFDF" w:rsidR="00AD138E" w:rsidRPr="00AD138E" w:rsidRDefault="00AD138E" w:rsidP="00AD138E">
            <w:pPr>
              <w:spacing w:before="0" w:after="0"/>
              <w:rPr>
                <w:sz w:val="20"/>
                <w:szCs w:val="20"/>
              </w:rPr>
            </w:pPr>
            <w:r w:rsidRPr="00AD138E">
              <w:rPr>
                <w:sz w:val="20"/>
                <w:szCs w:val="20"/>
              </w:rPr>
              <w:t>Progression</w:t>
            </w:r>
          </w:p>
        </w:tc>
        <w:tc>
          <w:tcPr>
            <w:tcW w:w="2762" w:type="pct"/>
          </w:tcPr>
          <w:p w14:paraId="1DCE39F4" w14:textId="51DE7B7E" w:rsidR="00AD138E" w:rsidRPr="00AD138E" w:rsidRDefault="00AD138E" w:rsidP="00AD138E">
            <w:pPr>
              <w:spacing w:before="0" w:after="0"/>
              <w:rPr>
                <w:b/>
                <w:bCs/>
                <w:sz w:val="20"/>
                <w:szCs w:val="20"/>
              </w:rPr>
            </w:pPr>
            <w:r w:rsidRPr="00AD138E">
              <w:rPr>
                <w:sz w:val="20"/>
                <w:szCs w:val="20"/>
              </w:rPr>
              <w:t>Progression in at least one organ or site without a response in any other organ or site</w:t>
            </w:r>
          </w:p>
        </w:tc>
      </w:tr>
    </w:tbl>
    <w:p w14:paraId="775DBF47" w14:textId="77777777" w:rsidR="00AD138E" w:rsidRPr="00CF53A5" w:rsidRDefault="00AD138E" w:rsidP="00AD138E">
      <w:pPr>
        <w:pStyle w:val="TableDescription"/>
      </w:pPr>
      <w:r w:rsidRPr="00CF53A5">
        <w:t>* Considered progression for purposes of analysis</w:t>
      </w:r>
    </w:p>
    <w:bookmarkEnd w:id="45"/>
    <w:p w14:paraId="156BA954" w14:textId="1FFA85B7" w:rsidR="004B0883" w:rsidRDefault="004B0883" w:rsidP="004B0883">
      <w:r>
        <w:t xml:space="preserve">The secondary endpoints included: </w:t>
      </w:r>
      <w:r w:rsidR="00EC48C0">
        <w:t>duration of response (</w:t>
      </w:r>
      <w:r>
        <w:t>DOR</w:t>
      </w:r>
      <w:r w:rsidR="00EC48C0">
        <w:t>)</w:t>
      </w:r>
      <w:r>
        <w:t>; time to response (TTR); response by</w:t>
      </w:r>
      <w:r w:rsidR="006665D6">
        <w:t xml:space="preserve"> organ system</w:t>
      </w:r>
      <w:r>
        <w:t>; changes in symptom burden using the Lee Symptom Scale (LSS),</w:t>
      </w:r>
      <w:bookmarkStart w:id="46" w:name="_Ref99706364"/>
      <w:r w:rsidR="00E743B2" w:rsidRPr="00E743B2">
        <w:rPr>
          <w:rStyle w:val="FootnoteReference"/>
        </w:rPr>
        <w:t xml:space="preserve"> </w:t>
      </w:r>
      <w:bookmarkStart w:id="47" w:name="_Ref99974521"/>
      <w:r w:rsidR="00E743B2">
        <w:rPr>
          <w:rStyle w:val="FootnoteReference"/>
        </w:rPr>
        <w:footnoteReference w:id="8"/>
      </w:r>
      <w:bookmarkEnd w:id="46"/>
      <w:bookmarkEnd w:id="47"/>
      <w:r>
        <w:t xml:space="preserve"> changes in corticosteroid and </w:t>
      </w:r>
      <w:r w:rsidR="00EC48C0">
        <w:t>calcineurin inhibitor (</w:t>
      </w:r>
      <w:r>
        <w:t>CNI</w:t>
      </w:r>
      <w:r w:rsidR="00EC48C0">
        <w:t>)</w:t>
      </w:r>
      <w:r>
        <w:t xml:space="preserve"> dose; failure</w:t>
      </w:r>
      <w:r w:rsidR="00E743B2">
        <w:t xml:space="preserve"> </w:t>
      </w:r>
      <w:r>
        <w:t xml:space="preserve">free survival (FFS); </w:t>
      </w:r>
      <w:r w:rsidR="00EC48C0">
        <w:t>overall survival</w:t>
      </w:r>
      <w:r>
        <w:t>; patient</w:t>
      </w:r>
      <w:r w:rsidR="00414CD4">
        <w:t xml:space="preserve"> </w:t>
      </w:r>
      <w:r>
        <w:t xml:space="preserve">reported changes in symptom activity; changes in </w:t>
      </w:r>
      <w:proofErr w:type="spellStart"/>
      <w:r>
        <w:t>cGVHD</w:t>
      </w:r>
      <w:proofErr w:type="spellEnd"/>
      <w:r>
        <w:t xml:space="preserve"> severity using the clinician reported global activity assessment; and PK assessment of </w:t>
      </w:r>
      <w:proofErr w:type="spellStart"/>
      <w:r>
        <w:t>belumosudil</w:t>
      </w:r>
      <w:proofErr w:type="spellEnd"/>
      <w:r>
        <w:t>.</w:t>
      </w:r>
    </w:p>
    <w:p w14:paraId="5E4BAF97" w14:textId="2E230C75" w:rsidR="004B0883" w:rsidRDefault="004B0883" w:rsidP="00414CD4">
      <w:r>
        <w:t>Primary and secondary efficacy endpoints were assessed in the modified intent</w:t>
      </w:r>
      <w:r w:rsidR="00414CD4">
        <w:t xml:space="preserve"> </w:t>
      </w:r>
      <w:r>
        <w:t>to</w:t>
      </w:r>
      <w:r w:rsidR="00414CD4">
        <w:t xml:space="preserve"> </w:t>
      </w:r>
      <w:r>
        <w:t>treat (</w:t>
      </w:r>
      <w:proofErr w:type="spellStart"/>
      <w:r>
        <w:t>mITT</w:t>
      </w:r>
      <w:proofErr w:type="spellEnd"/>
      <w:r>
        <w:t xml:space="preserve">) population, which included all subjects who received at least </w:t>
      </w:r>
      <w:r w:rsidR="00414CD4">
        <w:t>one</w:t>
      </w:r>
      <w:r>
        <w:t xml:space="preserve"> dose of study drug. The responder population included subjects in the </w:t>
      </w:r>
      <w:proofErr w:type="spellStart"/>
      <w:r>
        <w:t>mITT</w:t>
      </w:r>
      <w:proofErr w:type="spellEnd"/>
      <w:r>
        <w:t xml:space="preserve"> population who achieved a response of PR or CR at any post-baseline response assessment.</w:t>
      </w:r>
    </w:p>
    <w:p w14:paraId="189C16EA" w14:textId="3A7C6CC8" w:rsidR="004B0883" w:rsidRDefault="004B0883" w:rsidP="00414CD4">
      <w:r>
        <w:t xml:space="preserve">The primary efficacy endpoint of ORR was defined as the proportion of subjects who achieve a PR or CR as their best overall response, as assessed by the </w:t>
      </w:r>
      <w:r w:rsidR="00414CD4">
        <w:t>i</w:t>
      </w:r>
      <w:r>
        <w:t xml:space="preserve">nvestigator. A </w:t>
      </w:r>
      <w:proofErr w:type="gramStart"/>
      <w:r w:rsidR="00414CD4">
        <w:t xml:space="preserve">two </w:t>
      </w:r>
      <w:r>
        <w:t>sided</w:t>
      </w:r>
      <w:proofErr w:type="gramEnd"/>
      <w:r>
        <w:t xml:space="preserve"> 95%</w:t>
      </w:r>
      <w:r w:rsidR="00E743B2">
        <w:t xml:space="preserve"> CI</w:t>
      </w:r>
      <w:r>
        <w:t xml:space="preserve"> is estimated using the Clopper-Pearson method. The secondary endpoints of DOR, FFS, TTNT, and </w:t>
      </w:r>
      <w:r w:rsidR="00EC48C0">
        <w:t xml:space="preserve">overall survival </w:t>
      </w:r>
      <w:r>
        <w:t>were estimated and summari</w:t>
      </w:r>
      <w:r w:rsidR="00414CD4">
        <w:t>s</w:t>
      </w:r>
      <w:r>
        <w:t xml:space="preserve">ed using the </w:t>
      </w:r>
      <w:r>
        <w:lastRenderedPageBreak/>
        <w:t>Kaplan</w:t>
      </w:r>
      <w:r w:rsidR="00EC48C0">
        <w:noBreakHyphen/>
      </w:r>
      <w:r>
        <w:t xml:space="preserve">Meier method. Median values were estimated from the </w:t>
      </w:r>
      <w:r w:rsidR="00163BA2">
        <w:t xml:space="preserve">fiftieth </w:t>
      </w:r>
      <w:r>
        <w:t>percentile of the corresponding Kaplan-Meier estimates.</w:t>
      </w:r>
    </w:p>
    <w:p w14:paraId="7C96DFD1" w14:textId="52660F9E" w:rsidR="00AD138E" w:rsidRDefault="004B0883" w:rsidP="00414CD4">
      <w:r>
        <w:t xml:space="preserve">Subgroup analyses for the endpoints of ORR and DOR were conducted for the following subgroups: number of prior line therapies; number of organs involved </w:t>
      </w:r>
      <w:r w:rsidR="008926B7">
        <w:t>at Baseline</w:t>
      </w:r>
      <w:r>
        <w:t xml:space="preserve">; baseline disease severity; concomitant medication with a PPI taken on </w:t>
      </w:r>
      <w:r w:rsidR="00414CD4">
        <w:t>Cycle 1</w:t>
      </w:r>
      <w:r w:rsidR="00163BA2">
        <w:t>,</w:t>
      </w:r>
      <w:r w:rsidR="00414CD4">
        <w:t xml:space="preserve"> Day</w:t>
      </w:r>
      <w:r w:rsidR="00163BA2">
        <w:t> </w:t>
      </w:r>
      <w:r w:rsidR="00414CD4">
        <w:t>1</w:t>
      </w:r>
      <w:r w:rsidR="00EC48C0">
        <w:t xml:space="preserve"> </w:t>
      </w:r>
      <w:r w:rsidR="00414CD4">
        <w:t>(</w:t>
      </w:r>
      <w:r>
        <w:t>C1D1</w:t>
      </w:r>
      <w:r w:rsidR="00414CD4">
        <w:t>)</w:t>
      </w:r>
      <w:r>
        <w:t xml:space="preserve"> (yes/no); and refractory to most recent line of therapy prior to enrolment (yes/no). In recognition of the importance of DOR this endpoint was presented according to </w:t>
      </w:r>
      <w:r w:rsidR="00414CD4">
        <w:t>four</w:t>
      </w:r>
      <w:r>
        <w:t xml:space="preserve"> methodologies:</w:t>
      </w:r>
    </w:p>
    <w:p w14:paraId="2537D14C" w14:textId="0DD4EC51" w:rsidR="00414CD4" w:rsidRDefault="00414CD4" w:rsidP="00414CD4">
      <w:pPr>
        <w:pStyle w:val="ListBullet"/>
      </w:pPr>
      <w:r>
        <w:t>Primary DOR: The time from first documentation of response to the time of first documentation of deterioration from best response (for example, CR to PR, or PR to lack of response).</w:t>
      </w:r>
    </w:p>
    <w:p w14:paraId="6965074E" w14:textId="1F457F92" w:rsidR="00414CD4" w:rsidRDefault="00414CD4" w:rsidP="00414CD4">
      <w:pPr>
        <w:pStyle w:val="ListBullet"/>
      </w:pPr>
      <w:r>
        <w:t>Secondary DOR: The time from first documentation of response to the time of first documentation of lack of response.</w:t>
      </w:r>
    </w:p>
    <w:p w14:paraId="63D62C1A" w14:textId="36A2CD20" w:rsidR="00414CD4" w:rsidRDefault="00414CD4" w:rsidP="00414CD4">
      <w:pPr>
        <w:pStyle w:val="ListBullet"/>
      </w:pPr>
      <w:r>
        <w:t xml:space="preserve">Tertiary DOR: The time from first documentation of response to the time of initiation of new systemic </w:t>
      </w:r>
      <w:proofErr w:type="spellStart"/>
      <w:r>
        <w:t>cGVHD</w:t>
      </w:r>
      <w:proofErr w:type="spellEnd"/>
      <w:r>
        <w:t xml:space="preserve"> therapy.</w:t>
      </w:r>
    </w:p>
    <w:p w14:paraId="2A66C973" w14:textId="17CD1CF1" w:rsidR="00414CD4" w:rsidRDefault="00414CD4" w:rsidP="00414CD4">
      <w:pPr>
        <w:pStyle w:val="ListBullet"/>
      </w:pPr>
      <w:r>
        <w:t>Quaternary DOR: The time from first documentation of response to the time of first documentation of lack of response (as the secondary definition), but with durations summed for multiple response/lack of response episodes.</w:t>
      </w:r>
    </w:p>
    <w:p w14:paraId="12B088F5" w14:textId="2C234D1B" w:rsidR="00414CD4" w:rsidRDefault="00414CD4" w:rsidP="00414CD4">
      <w:r>
        <w:t xml:space="preserve">These analyses were performed to provide a comprehensive analysis of durability of response to treatment with </w:t>
      </w:r>
      <w:proofErr w:type="spellStart"/>
      <w:r>
        <w:t>belumosudil</w:t>
      </w:r>
      <w:proofErr w:type="spellEnd"/>
      <w:r>
        <w:t>.</w:t>
      </w:r>
    </w:p>
    <w:p w14:paraId="66C5B9E6" w14:textId="77777777" w:rsidR="00414CD4" w:rsidRDefault="00414CD4" w:rsidP="00414CD4">
      <w:r>
        <w:t>The main inclusion criteria were:</w:t>
      </w:r>
    </w:p>
    <w:p w14:paraId="376A60C4" w14:textId="77777777" w:rsidR="00414CD4" w:rsidRDefault="00414CD4" w:rsidP="00414CD4">
      <w:pPr>
        <w:pStyle w:val="ListBullet"/>
      </w:pPr>
      <w:r>
        <w:t xml:space="preserve">adult male or female subjects who were at least 18 years of </w:t>
      </w:r>
      <w:proofErr w:type="gramStart"/>
      <w:r>
        <w:t>age;</w:t>
      </w:r>
      <w:proofErr w:type="gramEnd"/>
    </w:p>
    <w:p w14:paraId="393A945B" w14:textId="1B19ACCE" w:rsidR="00414CD4" w:rsidRDefault="00414CD4" w:rsidP="00414CD4">
      <w:pPr>
        <w:pStyle w:val="ListBullet"/>
      </w:pPr>
      <w:r>
        <w:t>who had an allogeneic bone marrow transplant or h</w:t>
      </w:r>
      <w:r w:rsidR="00163BA2">
        <w:t>a</w:t>
      </w:r>
      <w:r>
        <w:t xml:space="preserve">ematopoietic cell transplantation; were receiving glucocorticoid therapy and calcineurin therapy or glucocorticoid therapy alone for </w:t>
      </w:r>
      <w:proofErr w:type="spellStart"/>
      <w:r>
        <w:t>cGVHD</w:t>
      </w:r>
      <w:proofErr w:type="spellEnd"/>
      <w:r>
        <w:t xml:space="preserve"> at study </w:t>
      </w:r>
      <w:proofErr w:type="gramStart"/>
      <w:r>
        <w:t>entry;</w:t>
      </w:r>
      <w:proofErr w:type="gramEnd"/>
    </w:p>
    <w:p w14:paraId="3008BC94" w14:textId="77777777" w:rsidR="00414CD4" w:rsidRDefault="00414CD4" w:rsidP="00414CD4">
      <w:pPr>
        <w:pStyle w:val="ListBullet"/>
      </w:pPr>
      <w:r>
        <w:t xml:space="preserve">had persistent active </w:t>
      </w:r>
      <w:proofErr w:type="spellStart"/>
      <w:r>
        <w:t>cGVHD</w:t>
      </w:r>
      <w:proofErr w:type="spellEnd"/>
      <w:r>
        <w:t xml:space="preserve"> manifestations after at least two months of steroid </w:t>
      </w:r>
      <w:proofErr w:type="gramStart"/>
      <w:r>
        <w:t>therapy;</w:t>
      </w:r>
      <w:proofErr w:type="gramEnd"/>
    </w:p>
    <w:p w14:paraId="34CE3465" w14:textId="77777777" w:rsidR="00414CD4" w:rsidRDefault="00414CD4" w:rsidP="00414CD4">
      <w:pPr>
        <w:pStyle w:val="ListBullet"/>
      </w:pPr>
      <w:r>
        <w:t xml:space="preserve">had 1 to 3 prior lines of systemic treatment for </w:t>
      </w:r>
      <w:proofErr w:type="spellStart"/>
      <w:r>
        <w:t>cGVHD</w:t>
      </w:r>
      <w:proofErr w:type="spellEnd"/>
      <w:r>
        <w:t xml:space="preserve"> (extracorporeal photopheresis was not counted as prior systemic therapy</w:t>
      </w:r>
      <w:proofErr w:type="gramStart"/>
      <w:r>
        <w:t>);</w:t>
      </w:r>
      <w:proofErr w:type="gramEnd"/>
    </w:p>
    <w:p w14:paraId="0478C936" w14:textId="2F5882C2" w:rsidR="00414CD4" w:rsidRDefault="00414CD4" w:rsidP="00414CD4">
      <w:pPr>
        <w:pStyle w:val="ListBullet"/>
      </w:pPr>
      <w:r>
        <w:t xml:space="preserve">had a </w:t>
      </w:r>
      <w:proofErr w:type="spellStart"/>
      <w:r>
        <w:t>Karnofsky</w:t>
      </w:r>
      <w:proofErr w:type="spellEnd"/>
      <w:r>
        <w:t xml:space="preserve"> Performance Scale (KPS)</w:t>
      </w:r>
      <w:r w:rsidR="00E743B2">
        <w:t>;</w:t>
      </w:r>
      <w:r w:rsidR="00E743B2" w:rsidRPr="00E743B2">
        <w:rPr>
          <w:rStyle w:val="FootnoteReference"/>
        </w:rPr>
        <w:t xml:space="preserve"> </w:t>
      </w:r>
      <w:bookmarkStart w:id="48" w:name="_Ref99974085"/>
      <w:r w:rsidR="00E743B2">
        <w:rPr>
          <w:rStyle w:val="FootnoteReference"/>
        </w:rPr>
        <w:footnoteReference w:id="9"/>
      </w:r>
      <w:bookmarkEnd w:id="48"/>
      <w:r>
        <w:t xml:space="preserve"> score of &gt; 40 (consistent with functional activity of at least being unable to work; able to live at home and care for most personal needs; varying amount of assistance needed</w:t>
      </w:r>
      <w:proofErr w:type="gramStart"/>
      <w:r>
        <w:t>);</w:t>
      </w:r>
      <w:proofErr w:type="gramEnd"/>
    </w:p>
    <w:p w14:paraId="1982D39B" w14:textId="193795C1" w:rsidR="00414CD4" w:rsidRDefault="00414CD4" w:rsidP="00414CD4">
      <w:pPr>
        <w:pStyle w:val="ListBullet"/>
      </w:pPr>
      <w:r>
        <w:t>had adequate organ and bone marrow function; and had adequate safety laboratory values.</w:t>
      </w:r>
    </w:p>
    <w:p w14:paraId="4AFCA86A" w14:textId="77777777" w:rsidR="00414CD4" w:rsidRPr="00FA37ED" w:rsidRDefault="00414CD4" w:rsidP="00C85F74">
      <w:pPr>
        <w:pStyle w:val="Heading6"/>
      </w:pPr>
      <w:r w:rsidRPr="00FA37ED">
        <w:t>Results</w:t>
      </w:r>
    </w:p>
    <w:p w14:paraId="59D5D2CF" w14:textId="30720DDF" w:rsidR="00414CD4" w:rsidRDefault="00414CD4" w:rsidP="00414CD4">
      <w:r>
        <w:t xml:space="preserve">The results reported here are for the most recent efficacy update (19 August 2020). Overall, 64 subjects were </w:t>
      </w:r>
      <w:r w:rsidR="00E743B2">
        <w:t>screened,</w:t>
      </w:r>
      <w:r>
        <w:t xml:space="preserve"> and 54 subjects were included in the </w:t>
      </w:r>
      <w:proofErr w:type="spellStart"/>
      <w:r>
        <w:t>mITT</w:t>
      </w:r>
      <w:proofErr w:type="spellEnd"/>
      <w:r>
        <w:t xml:space="preserve"> population (all subjects who received at least one dose of study drug): 17 subjects in Cohort 1, 16</w:t>
      </w:r>
      <w:r w:rsidR="00163BA2">
        <w:t> </w:t>
      </w:r>
      <w:r>
        <w:t>subjects in Cohort 2, and 21 subjects in Cohort 3.</w:t>
      </w:r>
    </w:p>
    <w:p w14:paraId="7B05230A" w14:textId="61669D49" w:rsidR="00414CD4" w:rsidRDefault="00414CD4" w:rsidP="00414CD4">
      <w:r>
        <w:t>Among subjects in the 200 mg once daily and twice daily cohorts, the median age was 50</w:t>
      </w:r>
      <w:r w:rsidR="00163BA2">
        <w:t> </w:t>
      </w:r>
      <w:r>
        <w:t xml:space="preserve">years (range, 20 to 63) and 55 years (range, 30 to 75), respectively. Subjects in the </w:t>
      </w:r>
      <w:r>
        <w:lastRenderedPageBreak/>
        <w:t>200</w:t>
      </w:r>
      <w:r w:rsidR="00163BA2">
        <w:t> </w:t>
      </w:r>
      <w:r>
        <w:t>mg once daily cohort were predominantly male (13, 76.5%) and White (15, 88.2%). Over 50% of subjects in the 200 mg twice daily cohort were male (9, 56.3%) and most were White (14, 87.5%). In the 200 mg once daily cohort, most subjects had a KPS</w:t>
      </w:r>
      <w:r w:rsidR="00E743B2">
        <w:t>;</w:t>
      </w:r>
      <w:r w:rsidR="00E743B2">
        <w:fldChar w:fldCharType="begin"/>
      </w:r>
      <w:r w:rsidR="00E743B2">
        <w:instrText xml:space="preserve"> NOTEREF _Ref99974085 \f \h </w:instrText>
      </w:r>
      <w:r w:rsidR="00E743B2">
        <w:fldChar w:fldCharType="separate"/>
      </w:r>
      <w:r w:rsidR="00C85F74" w:rsidRPr="00C85F74">
        <w:rPr>
          <w:rStyle w:val="FootnoteReference"/>
        </w:rPr>
        <w:t>9</w:t>
      </w:r>
      <w:r w:rsidR="00E743B2">
        <w:fldChar w:fldCharType="end"/>
      </w:r>
      <w:r>
        <w:t xml:space="preserve"> of 80 (7 subjects, 41.2%), followed by 90 (6, 35.3%), while in the 200 mg twice daily cohort, subjects had a KPS of 80 or 90 (6 subjects each, 37.5%), followed by 70 (4 subjects, 25.0%).</w:t>
      </w:r>
    </w:p>
    <w:p w14:paraId="0F1E40A7" w14:textId="7F11E4AD" w:rsidR="00414CD4" w:rsidRDefault="00414CD4" w:rsidP="00414CD4">
      <w:r>
        <w:t xml:space="preserve">All subjects had undergone allogeneic HCT. Among subjects in the 200 mg once daily and twice daily cohorts, median time from most recent transplant to </w:t>
      </w:r>
      <w:proofErr w:type="spellStart"/>
      <w:r>
        <w:t>cGVHD</w:t>
      </w:r>
      <w:proofErr w:type="spellEnd"/>
      <w:r>
        <w:t xml:space="preserve"> diagnosis was 9.8 and 7.3 months, respectively, while median time from </w:t>
      </w:r>
      <w:proofErr w:type="spellStart"/>
      <w:r>
        <w:t>cGVHD</w:t>
      </w:r>
      <w:proofErr w:type="spellEnd"/>
      <w:r>
        <w:t xml:space="preserve"> diagnosis to study enrolment was 26.4 and 18 months, respectively. Median number of prior lines of systemic </w:t>
      </w:r>
      <w:proofErr w:type="spellStart"/>
      <w:r>
        <w:t>cGVHD</w:t>
      </w:r>
      <w:proofErr w:type="spellEnd"/>
      <w:r>
        <w:t xml:space="preserve"> therapy was 3 and 2, respectively, and 11 subjects (73.3%) and 9 subjects (69.2%), respectively were refractory to their prior line of therapy in the 200 mg once daily and twice daily cohorts. A line of therapy was defined as a regimen of systemic therapies indicated for the treatment of </w:t>
      </w:r>
      <w:proofErr w:type="spellStart"/>
      <w:r>
        <w:t>cGVHD</w:t>
      </w:r>
      <w:proofErr w:type="spellEnd"/>
      <w:r>
        <w:t xml:space="preserve"> (not intended as prophylaxis) with the same start date. A line of therapy may have included more than one drug if started at the same time. In general, when a new systemic therapy was added to the treatment that was not by itself effective, it was a new line. Organ specific therapies such as </w:t>
      </w:r>
      <w:r w:rsidRPr="00414CD4">
        <w:t xml:space="preserve">inhaled </w:t>
      </w:r>
      <w:r>
        <w:t>f</w:t>
      </w:r>
      <w:r w:rsidRPr="00414CD4">
        <w:t xml:space="preserve">luticasone, </w:t>
      </w:r>
      <w:r>
        <w:t>a</w:t>
      </w:r>
      <w:r w:rsidRPr="00414CD4">
        <w:t xml:space="preserve">zithromycin, and </w:t>
      </w:r>
      <w:r>
        <w:t>m</w:t>
      </w:r>
      <w:r w:rsidRPr="00414CD4">
        <w:t>ontelukast</w:t>
      </w:r>
      <w:r>
        <w:t>, e</w:t>
      </w:r>
      <w:r w:rsidRPr="00414CD4">
        <w:t>xtracorporeal photopheresis</w:t>
      </w:r>
      <w:r>
        <w:t xml:space="preserve">, and topical treatments were not considered </w:t>
      </w:r>
      <w:proofErr w:type="spellStart"/>
      <w:r>
        <w:t>cGVHD</w:t>
      </w:r>
      <w:proofErr w:type="spellEnd"/>
      <w:r>
        <w:t xml:space="preserve"> systemic therapies and therefore did not contribute to prior lines of systemic therapy.</w:t>
      </w:r>
    </w:p>
    <w:p w14:paraId="16A310A0" w14:textId="62B550D4" w:rsidR="00414CD4" w:rsidRDefault="00414CD4" w:rsidP="00414CD4">
      <w:r>
        <w:t>The median number of organs involved at Baseline in the 200 mg once daily and twice daily cohorts was 3 and 4, respectively; 8 subjects (47.1%) and 10 subjects (62.5%), respectively, had four or more organ systems involved at Baseline. Chronic GVHD severity was severe in 70.6% and 87.5% of subjects in the 200 mg</w:t>
      </w:r>
      <w:r w:rsidR="008926B7">
        <w:t xml:space="preserve"> </w:t>
      </w:r>
      <w:r>
        <w:t xml:space="preserve">and </w:t>
      </w:r>
      <w:r w:rsidR="006665D6">
        <w:t>twice daily</w:t>
      </w:r>
      <w:r>
        <w:t xml:space="preserve"> cohorts, respectively.</w:t>
      </w:r>
    </w:p>
    <w:p w14:paraId="08C18852" w14:textId="635661F2" w:rsidR="00414CD4" w:rsidRDefault="00414CD4" w:rsidP="00414CD4">
      <w:r>
        <w:t xml:space="preserve">The ORR calculated using both the </w:t>
      </w:r>
      <w:r w:rsidR="006665D6">
        <w:t>s</w:t>
      </w:r>
      <w:r>
        <w:t xml:space="preserve">ponsor’s definition (ORR during </w:t>
      </w:r>
      <w:proofErr w:type="gramStart"/>
      <w:r>
        <w:t>treatment )</w:t>
      </w:r>
      <w:proofErr w:type="gramEnd"/>
      <w:r>
        <w:t xml:space="preserve"> and </w:t>
      </w:r>
      <w:r w:rsidR="006665D6">
        <w:t>r</w:t>
      </w:r>
      <w:r>
        <w:t xml:space="preserve">eviewer’s definition (ORR during first 6 months of treatment) is shown in </w:t>
      </w:r>
      <w:r w:rsidR="003605DA" w:rsidRPr="003605DA">
        <w:fldChar w:fldCharType="begin"/>
      </w:r>
      <w:r w:rsidR="003605DA" w:rsidRPr="003605DA">
        <w:instrText xml:space="preserve"> REF _Ref99527414 \h </w:instrText>
      </w:r>
      <w:r w:rsidR="003605DA">
        <w:instrText xml:space="preserve"> \* MERGEFORMAT </w:instrText>
      </w:r>
      <w:r w:rsidR="003605DA" w:rsidRPr="003605DA">
        <w:fldChar w:fldCharType="separate"/>
      </w:r>
      <w:r w:rsidR="00C85F74" w:rsidRPr="004C705B">
        <w:t xml:space="preserve">Table </w:t>
      </w:r>
      <w:r w:rsidR="00C85F74">
        <w:t>5</w:t>
      </w:r>
      <w:r w:rsidR="003605DA" w:rsidRPr="003605DA">
        <w:fldChar w:fldCharType="end"/>
      </w:r>
      <w:r w:rsidRPr="003605DA">
        <w:t xml:space="preserve"> and </w:t>
      </w:r>
      <w:r w:rsidR="003605DA">
        <w:rPr>
          <w:highlight w:val="yellow"/>
        </w:rPr>
        <w:fldChar w:fldCharType="begin"/>
      </w:r>
      <w:r w:rsidR="003605DA">
        <w:rPr>
          <w:highlight w:val="yellow"/>
        </w:rPr>
        <w:instrText xml:space="preserve"> REF _Ref99527419 \h </w:instrText>
      </w:r>
      <w:r w:rsidR="003605DA">
        <w:rPr>
          <w:highlight w:val="yellow"/>
        </w:rPr>
      </w:r>
      <w:r w:rsidR="003605DA">
        <w:rPr>
          <w:highlight w:val="yellow"/>
        </w:rPr>
        <w:fldChar w:fldCharType="separate"/>
      </w:r>
      <w:r w:rsidR="00C85F74" w:rsidRPr="004C705B">
        <w:t xml:space="preserve">Table </w:t>
      </w:r>
      <w:r w:rsidR="00C85F74">
        <w:rPr>
          <w:noProof/>
        </w:rPr>
        <w:t>6</w:t>
      </w:r>
      <w:r w:rsidR="003605DA">
        <w:rPr>
          <w:highlight w:val="yellow"/>
        </w:rPr>
        <w:fldChar w:fldCharType="end"/>
      </w:r>
      <w:r>
        <w:t xml:space="preserve"> below</w:t>
      </w:r>
      <w:r w:rsidR="00E743B2">
        <w:t>.</w:t>
      </w:r>
    </w:p>
    <w:p w14:paraId="75E8897C" w14:textId="64B4D18F" w:rsidR="00414CD4" w:rsidRDefault="003B2AFC" w:rsidP="004C705B">
      <w:pPr>
        <w:pStyle w:val="TableTitle"/>
      </w:pPr>
      <w:bookmarkStart w:id="49" w:name="_Ref99527414"/>
      <w:r w:rsidRPr="004C705B">
        <w:t xml:space="preserve">Table </w:t>
      </w:r>
      <w:fldSimple w:instr=" SEQ Table \* ARABIC ">
        <w:r w:rsidR="00C85F74">
          <w:rPr>
            <w:noProof/>
          </w:rPr>
          <w:t>5</w:t>
        </w:r>
      </w:fldSimple>
      <w:bookmarkEnd w:id="49"/>
      <w:r>
        <w:t>:</w:t>
      </w:r>
      <w:r w:rsidRPr="003B2AFC">
        <w:t xml:space="preserve"> </w:t>
      </w:r>
      <w:r>
        <w:t>Study KD025-208</w:t>
      </w:r>
      <w:r w:rsidR="00771B79">
        <w:t>,</w:t>
      </w:r>
      <w:r>
        <w:t xml:space="preserve"> Overall response rate (modified intent to treat population)</w:t>
      </w:r>
    </w:p>
    <w:p w14:paraId="4645102F" w14:textId="09F4DEBE" w:rsidR="004C705B" w:rsidRDefault="004C705B" w:rsidP="00A13125">
      <w:r w:rsidRPr="004C705B">
        <w:rPr>
          <w:noProof/>
          <w:lang w:val="en-GB" w:eastAsia="en-GB"/>
        </w:rPr>
        <w:drawing>
          <wp:inline distT="0" distB="0" distL="0" distR="0" wp14:anchorId="78718402" wp14:editId="6CD936F7">
            <wp:extent cx="4685466" cy="2836115"/>
            <wp:effectExtent l="0" t="0" r="1270" b="2540"/>
            <wp:docPr id="3" name="Picture 3" descr="Table 5: Study KD025-208, Overall response rate (modified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5: Study KD025-208, Overall response rate (modified intent to treat population)"/>
                    <pic:cNvPicPr/>
                  </pic:nvPicPr>
                  <pic:blipFill rotWithShape="1">
                    <a:blip r:embed="rId16"/>
                    <a:srcRect r="876"/>
                    <a:stretch/>
                  </pic:blipFill>
                  <pic:spPr bwMode="auto">
                    <a:xfrm>
                      <a:off x="0" y="0"/>
                      <a:ext cx="4714436" cy="2853650"/>
                    </a:xfrm>
                    <a:prstGeom prst="rect">
                      <a:avLst/>
                    </a:prstGeom>
                    <a:ln>
                      <a:noFill/>
                    </a:ln>
                    <a:extLst>
                      <a:ext uri="{53640926-AAD7-44D8-BBD7-CCE9431645EC}">
                        <a14:shadowObscured xmlns:a14="http://schemas.microsoft.com/office/drawing/2010/main"/>
                      </a:ext>
                    </a:extLst>
                  </pic:spPr>
                </pic:pic>
              </a:graphicData>
            </a:graphic>
          </wp:inline>
        </w:drawing>
      </w:r>
    </w:p>
    <w:p w14:paraId="1211CCBC" w14:textId="15C3E4F8" w:rsidR="004C705B" w:rsidRDefault="00E743B2" w:rsidP="004C705B">
      <w:pPr>
        <w:pStyle w:val="TableDescription"/>
      </w:pPr>
      <w:r>
        <w:t>Abbreviations</w:t>
      </w:r>
      <w:r w:rsidR="004C705B">
        <w:t xml:space="preserve">: BID = twice daily; </w:t>
      </w:r>
      <w:proofErr w:type="spellStart"/>
      <w:r w:rsidR="004C705B">
        <w:t>cGVHD</w:t>
      </w:r>
      <w:proofErr w:type="spellEnd"/>
      <w:r w:rsidR="004C705B">
        <w:t xml:space="preserve"> = chronic graft versus host disease; CI = confidence interval; CR</w:t>
      </w:r>
      <w:r w:rsidR="00163BA2">
        <w:t> </w:t>
      </w:r>
      <w:r w:rsidR="004C705B">
        <w:t>= complete response; ECP = extracorporeal photopheresis; MITT = modified intent to treat; ORR</w:t>
      </w:r>
      <w:r w:rsidR="00163BA2">
        <w:t> </w:t>
      </w:r>
      <w:r w:rsidR="004C705B">
        <w:t>=</w:t>
      </w:r>
      <w:r w:rsidR="00163BA2">
        <w:t> </w:t>
      </w:r>
      <w:r w:rsidR="004C705B">
        <w:t>overall response rate; PR = partial response; QD = once daily.</w:t>
      </w:r>
    </w:p>
    <w:p w14:paraId="119D5E5B" w14:textId="01D386F7" w:rsidR="004C705B" w:rsidRDefault="004C705B" w:rsidP="004C705B">
      <w:pPr>
        <w:pStyle w:val="TableDescription"/>
      </w:pPr>
      <w:proofErr w:type="gramStart"/>
      <w:r>
        <w:t>Note :</w:t>
      </w:r>
      <w:proofErr w:type="gramEnd"/>
      <w:r>
        <w:t xml:space="preserve"> the data </w:t>
      </w:r>
      <w:proofErr w:type="spellStart"/>
      <w:r>
        <w:t>cutoff</w:t>
      </w:r>
      <w:proofErr w:type="spellEnd"/>
      <w:r>
        <w:t xml:space="preserve"> date was 19 August 2020</w:t>
      </w:r>
    </w:p>
    <w:p w14:paraId="2AED741E" w14:textId="25B4FFD5" w:rsidR="004C705B" w:rsidRDefault="003605DA" w:rsidP="004C705B">
      <w:pPr>
        <w:pStyle w:val="TableDescription"/>
      </w:pPr>
      <w:proofErr w:type="spellStart"/>
      <w:r>
        <w:lastRenderedPageBreak/>
        <w:t>a</w:t>
      </w:r>
      <w:proofErr w:type="spellEnd"/>
      <w:r>
        <w:t xml:space="preserve"> </w:t>
      </w:r>
      <w:proofErr w:type="gramStart"/>
      <w:r w:rsidR="004C705B">
        <w:t>The</w:t>
      </w:r>
      <w:proofErr w:type="gramEnd"/>
      <w:r w:rsidR="004C705B">
        <w:t xml:space="preserve"> 95% CI (two sided) were calculated using the Clopper Pearson exact method</w:t>
      </w:r>
    </w:p>
    <w:p w14:paraId="377621CA" w14:textId="59269EBB" w:rsidR="003B2AFC" w:rsidRDefault="003B2AFC" w:rsidP="004C705B">
      <w:pPr>
        <w:pStyle w:val="TableTitle"/>
      </w:pPr>
      <w:bookmarkStart w:id="50" w:name="_Ref99527419"/>
      <w:r w:rsidRPr="004C705B">
        <w:t xml:space="preserve">Table </w:t>
      </w:r>
      <w:fldSimple w:instr=" SEQ Table \* ARABIC ">
        <w:r w:rsidR="00C85F74">
          <w:rPr>
            <w:noProof/>
          </w:rPr>
          <w:t>6</w:t>
        </w:r>
      </w:fldSimple>
      <w:bookmarkEnd w:id="50"/>
      <w:r>
        <w:t>:</w:t>
      </w:r>
      <w:r w:rsidRPr="003B2AFC">
        <w:t xml:space="preserve"> </w:t>
      </w:r>
      <w:r>
        <w:t>Study</w:t>
      </w:r>
      <w:r w:rsidR="004C705B">
        <w:t xml:space="preserve"> </w:t>
      </w:r>
      <w:r>
        <w:t xml:space="preserve">KD025-208 </w:t>
      </w:r>
      <w:r w:rsidR="002619DF">
        <w:t xml:space="preserve">Clinical evaluator’s </w:t>
      </w:r>
      <w:r>
        <w:t xml:space="preserve">assessment of </w:t>
      </w:r>
      <w:r w:rsidR="004C705B">
        <w:t>overall response rate</w:t>
      </w:r>
      <w:r>
        <w:t xml:space="preserve"> during the first 6 months of treatment</w:t>
      </w:r>
    </w:p>
    <w:p w14:paraId="35E049EE" w14:textId="7B486CD7" w:rsidR="004C705B" w:rsidRDefault="003605DA" w:rsidP="00A13125">
      <w:r w:rsidRPr="002C7C2E">
        <w:rPr>
          <w:noProof/>
          <w:lang w:val="en-GB" w:eastAsia="en-GB"/>
        </w:rPr>
        <w:drawing>
          <wp:inline distT="0" distB="0" distL="0" distR="0" wp14:anchorId="0DE7F8EE" wp14:editId="3B03FB00">
            <wp:extent cx="4912835" cy="819150"/>
            <wp:effectExtent l="0" t="0" r="2540" b="0"/>
            <wp:docPr id="40" name="Picture 40" descr="Table 6: Study KD025-208, Reviewer’s assessment of overall response rate during the first 6 months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 6: Study KD025-208, Reviewer’s assessment of overall response rate during the first 6 months of treatment"/>
                    <pic:cNvPicPr/>
                  </pic:nvPicPr>
                  <pic:blipFill rotWithShape="1">
                    <a:blip r:embed="rId17"/>
                    <a:srcRect l="1322" b="39765"/>
                    <a:stretch/>
                  </pic:blipFill>
                  <pic:spPr bwMode="auto">
                    <a:xfrm>
                      <a:off x="0" y="0"/>
                      <a:ext cx="4988595" cy="831782"/>
                    </a:xfrm>
                    <a:prstGeom prst="rect">
                      <a:avLst/>
                    </a:prstGeom>
                    <a:ln>
                      <a:noFill/>
                    </a:ln>
                    <a:extLst>
                      <a:ext uri="{53640926-AAD7-44D8-BBD7-CCE9431645EC}">
                        <a14:shadowObscured xmlns:a14="http://schemas.microsoft.com/office/drawing/2010/main"/>
                      </a:ext>
                    </a:extLst>
                  </pic:spPr>
                </pic:pic>
              </a:graphicData>
            </a:graphic>
          </wp:inline>
        </w:drawing>
      </w:r>
    </w:p>
    <w:p w14:paraId="248461CD" w14:textId="1C377F5F" w:rsidR="003605DA" w:rsidRDefault="003605DA" w:rsidP="003605DA">
      <w:pPr>
        <w:pStyle w:val="TableDescription"/>
      </w:pPr>
      <w:r>
        <w:t>*All were PR</w:t>
      </w:r>
    </w:p>
    <w:p w14:paraId="181E3263" w14:textId="20777A61" w:rsidR="003605DA" w:rsidRDefault="003605DA" w:rsidP="003605DA">
      <w:pPr>
        <w:pStyle w:val="TableDescription"/>
      </w:pPr>
      <w:r>
        <w:rPr>
          <w:vertAlign w:val="superscript"/>
        </w:rPr>
        <w:t>1</w:t>
      </w:r>
      <w:r>
        <w:t xml:space="preserve"> 95% confidence interval, estimated using the Clopper-Pearson method</w:t>
      </w:r>
    </w:p>
    <w:p w14:paraId="5C5E48D0" w14:textId="005868CC" w:rsidR="003605DA" w:rsidRDefault="003605DA" w:rsidP="003605DA">
      <w:r>
        <w:t xml:space="preserve">Subgroup analyses did not show meaningful differences between groups in ORR by dose, age, severity of </w:t>
      </w:r>
      <w:proofErr w:type="spellStart"/>
      <w:r>
        <w:t>cGVHD</w:t>
      </w:r>
      <w:proofErr w:type="spellEnd"/>
      <w:r>
        <w:t xml:space="preserve"> at Baseline, duration of </w:t>
      </w:r>
      <w:proofErr w:type="spellStart"/>
      <w:r>
        <w:t>cGVHD</w:t>
      </w:r>
      <w:proofErr w:type="spellEnd"/>
      <w:r>
        <w:t>, number of organs involved, number of prior lines of therapy and intake of PPIs at C1D1 of treatment.</w:t>
      </w:r>
    </w:p>
    <w:p w14:paraId="281C4D2C" w14:textId="77260384" w:rsidR="003605DA" w:rsidRDefault="003605DA" w:rsidP="003605DA">
      <w:r>
        <w:t xml:space="preserve">Secondary endpoint results are shown </w:t>
      </w:r>
      <w:r w:rsidR="004B1782">
        <w:t xml:space="preserve">in </w:t>
      </w:r>
      <w:r w:rsidR="004B1782">
        <w:fldChar w:fldCharType="begin"/>
      </w:r>
      <w:r w:rsidR="004B1782">
        <w:instrText xml:space="preserve"> REF _Ref99527932 \h </w:instrText>
      </w:r>
      <w:r w:rsidR="004B1782">
        <w:fldChar w:fldCharType="separate"/>
      </w:r>
      <w:r w:rsidR="00C85F74" w:rsidRPr="004B1782">
        <w:t xml:space="preserve">Table </w:t>
      </w:r>
      <w:r w:rsidR="00C85F74">
        <w:rPr>
          <w:noProof/>
        </w:rPr>
        <w:t>7</w:t>
      </w:r>
      <w:r w:rsidR="004B1782">
        <w:fldChar w:fldCharType="end"/>
      </w:r>
      <w:r w:rsidR="004B1782">
        <w:t>.</w:t>
      </w:r>
    </w:p>
    <w:p w14:paraId="229EA199" w14:textId="388C8F32" w:rsidR="003605DA" w:rsidRDefault="004B1782" w:rsidP="004B1782">
      <w:pPr>
        <w:pStyle w:val="TableTitle"/>
      </w:pPr>
      <w:bookmarkStart w:id="51" w:name="_Ref99527932"/>
      <w:r w:rsidRPr="004B1782">
        <w:lastRenderedPageBreak/>
        <w:t xml:space="preserve">Table </w:t>
      </w:r>
      <w:fldSimple w:instr=" SEQ Table \* ARABIC ">
        <w:r w:rsidR="00C85F74">
          <w:rPr>
            <w:noProof/>
          </w:rPr>
          <w:t>7</w:t>
        </w:r>
      </w:fldSimple>
      <w:bookmarkEnd w:id="51"/>
      <w:r>
        <w:t>: Study KD025-208 Secondary endpoints analysis (modified intent to treat)</w:t>
      </w:r>
    </w:p>
    <w:p w14:paraId="2F95F72C" w14:textId="0D525A94" w:rsidR="004B1782" w:rsidRDefault="004B1782" w:rsidP="004B1782">
      <w:r w:rsidRPr="004B1782">
        <w:rPr>
          <w:noProof/>
          <w:lang w:val="en-GB" w:eastAsia="en-GB"/>
        </w:rPr>
        <w:drawing>
          <wp:inline distT="0" distB="0" distL="0" distR="0" wp14:anchorId="4517CAB6" wp14:editId="0C0A1F25">
            <wp:extent cx="4491316" cy="6261811"/>
            <wp:effectExtent l="0" t="0" r="5080" b="5715"/>
            <wp:docPr id="5" name="Picture 5" descr="Table 7: Study KD025-208, Secondary endpoints analysis (modified intent to 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7: Study KD025-208, Secondary endpoints analysis (modified intent to treat)"/>
                    <pic:cNvPicPr/>
                  </pic:nvPicPr>
                  <pic:blipFill rotWithShape="1">
                    <a:blip r:embed="rId18"/>
                    <a:srcRect b="8803"/>
                    <a:stretch/>
                  </pic:blipFill>
                  <pic:spPr bwMode="auto">
                    <a:xfrm>
                      <a:off x="0" y="0"/>
                      <a:ext cx="4502253" cy="6277060"/>
                    </a:xfrm>
                    <a:prstGeom prst="rect">
                      <a:avLst/>
                    </a:prstGeom>
                    <a:ln>
                      <a:noFill/>
                    </a:ln>
                    <a:extLst>
                      <a:ext uri="{53640926-AAD7-44D8-BBD7-CCE9431645EC}">
                        <a14:shadowObscured xmlns:a14="http://schemas.microsoft.com/office/drawing/2010/main"/>
                      </a:ext>
                    </a:extLst>
                  </pic:spPr>
                </pic:pic>
              </a:graphicData>
            </a:graphic>
          </wp:inline>
        </w:drawing>
      </w:r>
    </w:p>
    <w:p w14:paraId="2B69AA3F" w14:textId="5B3DB14E" w:rsidR="004B1782" w:rsidRDefault="004B1782" w:rsidP="004B1782">
      <w:pPr>
        <w:pStyle w:val="TableDescription"/>
      </w:pPr>
      <w:r>
        <w:t>Abbreviation</w:t>
      </w:r>
      <w:r w:rsidR="00EC48C0">
        <w:t>s</w:t>
      </w:r>
      <w:r>
        <w:t xml:space="preserve">: BID = twice daily; </w:t>
      </w:r>
      <w:proofErr w:type="spellStart"/>
      <w:r>
        <w:t>cGVHD</w:t>
      </w:r>
      <w:proofErr w:type="spellEnd"/>
      <w:r>
        <w:t xml:space="preserve"> = chronic graft versus host disease; CI = confidence interval; GI</w:t>
      </w:r>
      <w:r w:rsidR="00EC48C0">
        <w:t> </w:t>
      </w:r>
      <w:r>
        <w:t>= gastrointestinal; GSR = global severity rating; K-M = Kaplan Meier; max = maximum; min</w:t>
      </w:r>
      <w:r w:rsidR="00EC48C0">
        <w:t> </w:t>
      </w:r>
      <w:r>
        <w:t>=</w:t>
      </w:r>
      <w:r w:rsidR="00EC48C0">
        <w:t> </w:t>
      </w:r>
      <w:r>
        <w:t xml:space="preserve">minimum; NRA = not reached; OS = overall survival; 7-PtR = </w:t>
      </w:r>
      <w:proofErr w:type="gramStart"/>
      <w:r>
        <w:t>7 point</w:t>
      </w:r>
      <w:proofErr w:type="gramEnd"/>
      <w:r>
        <w:t xml:space="preserve"> reduction; QD = once daily.</w:t>
      </w:r>
    </w:p>
    <w:p w14:paraId="42BB135E" w14:textId="3560AA30" w:rsidR="004B1782" w:rsidRDefault="004B1782" w:rsidP="004B1782">
      <w:pPr>
        <w:pStyle w:val="TableDescription"/>
      </w:pPr>
      <w:r>
        <w:t xml:space="preserve">Note: The data </w:t>
      </w:r>
      <w:proofErr w:type="spellStart"/>
      <w:r>
        <w:t>cutoff</w:t>
      </w:r>
      <w:proofErr w:type="spellEnd"/>
      <w:r>
        <w:t xml:space="preserve"> date was 19 August 2020</w:t>
      </w:r>
    </w:p>
    <w:p w14:paraId="586DCC87" w14:textId="28CCAA15" w:rsidR="004B1782" w:rsidRDefault="004B1782" w:rsidP="004B1782">
      <w:pPr>
        <w:pStyle w:val="TableDescription"/>
      </w:pPr>
      <w:r>
        <w:t>a Response = CR or PR</w:t>
      </w:r>
    </w:p>
    <w:p w14:paraId="3C25C1C5" w14:textId="7FD59835" w:rsidR="004B1782" w:rsidRDefault="004B1782" w:rsidP="004B1782">
      <w:pPr>
        <w:pStyle w:val="TableDescription"/>
      </w:pPr>
      <w:r>
        <w:t xml:space="preserve">b </w:t>
      </w:r>
      <w:proofErr w:type="gramStart"/>
      <w:r>
        <w:t>The</w:t>
      </w:r>
      <w:proofErr w:type="gramEnd"/>
      <w:r>
        <w:t xml:space="preserve"> 7-PtR is a ≥ 7 point reduction</w:t>
      </w:r>
    </w:p>
    <w:p w14:paraId="67817377" w14:textId="5A278240" w:rsidR="003A304F" w:rsidRDefault="003A304F" w:rsidP="003A304F">
      <w:pPr>
        <w:rPr>
          <w:noProof/>
        </w:rPr>
      </w:pPr>
      <w:r>
        <w:t xml:space="preserve">The reviewers’ primary definition of response showed much shorter DOR as indicated in </w:t>
      </w:r>
      <w:r>
        <w:fldChar w:fldCharType="begin"/>
      </w:r>
      <w:r>
        <w:instrText xml:space="preserve"> REF _Ref99528525 \h </w:instrText>
      </w:r>
      <w:r>
        <w:fldChar w:fldCharType="separate"/>
      </w:r>
      <w:r w:rsidR="00C85F74" w:rsidRPr="003A304F">
        <w:t xml:space="preserve">Table </w:t>
      </w:r>
      <w:r w:rsidR="00C85F74">
        <w:rPr>
          <w:noProof/>
        </w:rPr>
        <w:t>8</w:t>
      </w:r>
      <w:r>
        <w:fldChar w:fldCharType="end"/>
      </w:r>
      <w:r>
        <w:t>.</w:t>
      </w:r>
    </w:p>
    <w:p w14:paraId="403D325F" w14:textId="7F52E681" w:rsidR="003A304F" w:rsidRDefault="003A304F" w:rsidP="003A304F">
      <w:pPr>
        <w:pStyle w:val="TableTitle"/>
      </w:pPr>
      <w:bookmarkStart w:id="52" w:name="_Ref99528525"/>
      <w:r w:rsidRPr="003A304F">
        <w:lastRenderedPageBreak/>
        <w:t xml:space="preserve">Table </w:t>
      </w:r>
      <w:fldSimple w:instr=" SEQ Table \* ARABIC ">
        <w:r w:rsidR="00C85F74">
          <w:rPr>
            <w:noProof/>
          </w:rPr>
          <w:t>8</w:t>
        </w:r>
      </w:fldSimple>
      <w:bookmarkEnd w:id="52"/>
      <w:r>
        <w:t xml:space="preserve">: Study KD025-208 </w:t>
      </w:r>
      <w:r w:rsidR="002619DF">
        <w:t xml:space="preserve">Clinical </w:t>
      </w:r>
      <w:r w:rsidR="00965557">
        <w:t>reviewer’s</w:t>
      </w:r>
      <w:r w:rsidR="002619DF">
        <w:t xml:space="preserve"> </w:t>
      </w:r>
      <w:r>
        <w:t>primary definition of primary duration of response</w:t>
      </w:r>
    </w:p>
    <w:p w14:paraId="54C2B8EE" w14:textId="65FEC6F2" w:rsidR="003A304F" w:rsidRDefault="003A304F" w:rsidP="003A304F">
      <w:r w:rsidRPr="001F7F81">
        <w:rPr>
          <w:noProof/>
          <w:lang w:val="en-GB" w:eastAsia="en-GB"/>
        </w:rPr>
        <w:drawing>
          <wp:inline distT="0" distB="0" distL="0" distR="0" wp14:anchorId="7C3AA712" wp14:editId="69712E3D">
            <wp:extent cx="5186909" cy="928918"/>
            <wp:effectExtent l="0" t="0" r="0" b="5080"/>
            <wp:docPr id="6" name="Picture 6" descr="Table 8: Study KD025-208, Reviewer’s primary definition of primary duration of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8: Study KD025-208, Reviewer’s primary definition of primary duration of response"/>
                    <pic:cNvPicPr/>
                  </pic:nvPicPr>
                  <pic:blipFill rotWithShape="1">
                    <a:blip r:embed="rId19"/>
                    <a:srcRect l="978" b="33498"/>
                    <a:stretch/>
                  </pic:blipFill>
                  <pic:spPr bwMode="auto">
                    <a:xfrm>
                      <a:off x="0" y="0"/>
                      <a:ext cx="5187804" cy="929078"/>
                    </a:xfrm>
                    <a:prstGeom prst="rect">
                      <a:avLst/>
                    </a:prstGeom>
                    <a:ln>
                      <a:noFill/>
                    </a:ln>
                    <a:extLst>
                      <a:ext uri="{53640926-AAD7-44D8-BBD7-CCE9431645EC}">
                        <a14:shadowObscured xmlns:a14="http://schemas.microsoft.com/office/drawing/2010/main"/>
                      </a:ext>
                    </a:extLst>
                  </pic:spPr>
                </pic:pic>
              </a:graphicData>
            </a:graphic>
          </wp:inline>
        </w:drawing>
      </w:r>
    </w:p>
    <w:p w14:paraId="7A233137" w14:textId="74EB08EF" w:rsidR="00EC48C0" w:rsidRDefault="00EC48C0" w:rsidP="00C85F74">
      <w:pPr>
        <w:pStyle w:val="TableDescription"/>
      </w:pPr>
      <w:r>
        <w:t>Abbreviations:</w:t>
      </w:r>
      <w:r w:rsidR="00965557">
        <w:t xml:space="preserve"> BID = twice daily; CI = confidence intervals; QD = once daily/</w:t>
      </w:r>
    </w:p>
    <w:p w14:paraId="6EF16D7C" w14:textId="336A7ADC" w:rsidR="003A304F" w:rsidRDefault="003A304F" w:rsidP="003A304F">
      <w:pPr>
        <w:pStyle w:val="TableDescription"/>
      </w:pPr>
      <w:r w:rsidRPr="003A304F">
        <w:rPr>
          <w:vertAlign w:val="superscript"/>
        </w:rPr>
        <w:t>1</w:t>
      </w:r>
      <w:r>
        <w:t xml:space="preserve"> Median as estimated per Kaplan-Meier methodology, confidence interval estimated using the Brookmeyer and Crowley method.</w:t>
      </w:r>
    </w:p>
    <w:p w14:paraId="4A79E83A" w14:textId="77777777" w:rsidR="003A304F" w:rsidRDefault="003A304F" w:rsidP="00E4297E">
      <w:pPr>
        <w:pStyle w:val="Heading5"/>
      </w:pPr>
      <w:r w:rsidRPr="002C3F16">
        <w:t>Study KD025-213 (</w:t>
      </w:r>
      <w:proofErr w:type="spellStart"/>
      <w:r w:rsidRPr="002C3F16">
        <w:t>ROCKstar</w:t>
      </w:r>
      <w:proofErr w:type="spellEnd"/>
      <w:r w:rsidRPr="002C3F16">
        <w:t xml:space="preserve"> study)</w:t>
      </w:r>
    </w:p>
    <w:p w14:paraId="41CED3CF" w14:textId="14511517" w:rsidR="003A304F" w:rsidRDefault="003A304F" w:rsidP="00551833">
      <w:r>
        <w:t xml:space="preserve">Study </w:t>
      </w:r>
      <w:r w:rsidR="00551833" w:rsidRPr="00551833">
        <w:t>KD025-213</w:t>
      </w:r>
      <w:r w:rsidR="00965557">
        <w:t xml:space="preserve"> (also known as the </w:t>
      </w:r>
      <w:proofErr w:type="spellStart"/>
      <w:r w:rsidR="00965557">
        <w:t>ROCKstar</w:t>
      </w:r>
      <w:proofErr w:type="spellEnd"/>
      <w:r w:rsidR="00965557">
        <w:t xml:space="preserve"> study)</w:t>
      </w:r>
      <w:r w:rsidR="00551833" w:rsidRPr="00551833">
        <w:t xml:space="preserve"> </w:t>
      </w:r>
      <w:r>
        <w:t xml:space="preserve">is an ongoing, Phase </w:t>
      </w:r>
      <w:r w:rsidR="00551833">
        <w:t>II</w:t>
      </w:r>
      <w:r>
        <w:t>, randomised, open</w:t>
      </w:r>
      <w:r w:rsidR="00551833">
        <w:t xml:space="preserve"> </w:t>
      </w:r>
      <w:r>
        <w:t xml:space="preserve">label study in subjects with active </w:t>
      </w:r>
      <w:proofErr w:type="spellStart"/>
      <w:r>
        <w:t>cGVHD</w:t>
      </w:r>
      <w:proofErr w:type="spellEnd"/>
      <w:r>
        <w:t xml:space="preserve"> who receive </w:t>
      </w:r>
      <w:proofErr w:type="spellStart"/>
      <w:r>
        <w:t>belumosudil</w:t>
      </w:r>
      <w:proofErr w:type="spellEnd"/>
      <w:r>
        <w:t xml:space="preserve"> after at least </w:t>
      </w:r>
      <w:r w:rsidR="00551833">
        <w:t>two</w:t>
      </w:r>
      <w:r>
        <w:t xml:space="preserve"> prior lines of systemic therapy. It is the pivotal study for the proposed indication. This study is being conducted at 33 sites in the USA and commenced in October 2018.</w:t>
      </w:r>
    </w:p>
    <w:p w14:paraId="36A084C4" w14:textId="77777777" w:rsidR="003A304F" w:rsidRPr="00B90A82" w:rsidRDefault="003A304F" w:rsidP="00E4297E">
      <w:pPr>
        <w:pStyle w:val="Heading6"/>
      </w:pPr>
      <w:r w:rsidRPr="00B90A82">
        <w:t>Study objectives</w:t>
      </w:r>
    </w:p>
    <w:p w14:paraId="47122181" w14:textId="7B6156BB" w:rsidR="003A304F" w:rsidRDefault="003A304F" w:rsidP="00551833">
      <w:r>
        <w:t xml:space="preserve">The primary objective was to evaluate the efficacy and safety of </w:t>
      </w:r>
      <w:proofErr w:type="spellStart"/>
      <w:r>
        <w:t>belumosudil</w:t>
      </w:r>
      <w:proofErr w:type="spellEnd"/>
      <w:r>
        <w:t xml:space="preserve">, at dose levels of 200 mg once daily and 200 mg twice daily, in subjects with </w:t>
      </w:r>
      <w:proofErr w:type="spellStart"/>
      <w:r>
        <w:t>cGVHD</w:t>
      </w:r>
      <w:proofErr w:type="spellEnd"/>
      <w:r>
        <w:t xml:space="preserve"> who had previously been treated with at least </w:t>
      </w:r>
      <w:r w:rsidR="00551833">
        <w:t>two</w:t>
      </w:r>
      <w:r>
        <w:t xml:space="preserve"> prior lines of systemic therapy.</w:t>
      </w:r>
    </w:p>
    <w:p w14:paraId="1D9C2496" w14:textId="68AC89A5" w:rsidR="003A304F" w:rsidRDefault="003A304F" w:rsidP="00551833">
      <w:r>
        <w:t xml:space="preserve">Secondary objectives included evaluation </w:t>
      </w:r>
      <w:proofErr w:type="gramStart"/>
      <w:r>
        <w:t>of:</w:t>
      </w:r>
      <w:proofErr w:type="gramEnd"/>
      <w:r w:rsidR="00551833">
        <w:t xml:space="preserve"> </w:t>
      </w:r>
      <w:r>
        <w:t xml:space="preserve">percentage of subjects with a best response of PR and of CR; DOR; TTR; response by organ system; changes in disease severity; changes in symptom burden, FFS; TTNT; </w:t>
      </w:r>
      <w:r w:rsidR="00965557">
        <w:t>overall survival</w:t>
      </w:r>
      <w:r>
        <w:t xml:space="preserve">; changes in corticosteroid use, change in CNI dose, changes in symptom activity by patient self-report and PK of </w:t>
      </w:r>
      <w:proofErr w:type="spellStart"/>
      <w:r>
        <w:t>belumosudil</w:t>
      </w:r>
      <w:proofErr w:type="spellEnd"/>
      <w:r>
        <w:t>.</w:t>
      </w:r>
    </w:p>
    <w:p w14:paraId="0A34565A" w14:textId="77777777" w:rsidR="003A304F" w:rsidRPr="00B90A82" w:rsidRDefault="003A304F" w:rsidP="00E4297E">
      <w:pPr>
        <w:pStyle w:val="Heading6"/>
      </w:pPr>
      <w:r w:rsidRPr="00B90A82">
        <w:t>Methodology</w:t>
      </w:r>
    </w:p>
    <w:p w14:paraId="14E17598" w14:textId="6DB84332" w:rsidR="003A304F" w:rsidRDefault="003A304F" w:rsidP="00551833">
      <w:r>
        <w:t xml:space="preserve">Subjects were randomised to receive 200 mg </w:t>
      </w:r>
      <w:r w:rsidR="00551833">
        <w:t>once daily</w:t>
      </w:r>
      <w:r>
        <w:t xml:space="preserve"> or 200 mg </w:t>
      </w:r>
      <w:r w:rsidR="00551833">
        <w:t>twice daily</w:t>
      </w:r>
      <w:r>
        <w:t xml:space="preserve"> of </w:t>
      </w:r>
      <w:proofErr w:type="spellStart"/>
      <w:r>
        <w:t>belumosudil</w:t>
      </w:r>
      <w:proofErr w:type="spellEnd"/>
      <w:r>
        <w:t xml:space="preserve">. Randomisation was stratified according to prior </w:t>
      </w:r>
      <w:proofErr w:type="spellStart"/>
      <w:r>
        <w:t>cGVHD</w:t>
      </w:r>
      <w:proofErr w:type="spellEnd"/>
      <w:r>
        <w:t xml:space="preserve"> treatment with ibrutinib (yes/no) and severe </w:t>
      </w:r>
      <w:proofErr w:type="spellStart"/>
      <w:r>
        <w:t>cGVHD</w:t>
      </w:r>
      <w:proofErr w:type="spellEnd"/>
      <w:r>
        <w:t xml:space="preserve"> (yes/no). </w:t>
      </w:r>
      <w:proofErr w:type="spellStart"/>
      <w:r>
        <w:t>Belumosudil</w:t>
      </w:r>
      <w:proofErr w:type="spellEnd"/>
      <w:r>
        <w:t xml:space="preserve"> doses were selected based on the safety and efficacy of </w:t>
      </w:r>
      <w:proofErr w:type="spellStart"/>
      <w:r>
        <w:t>belumosudil</w:t>
      </w:r>
      <w:proofErr w:type="spellEnd"/>
      <w:r>
        <w:t xml:space="preserve"> in Study KD025-208. Only the tablet formulation of </w:t>
      </w:r>
      <w:proofErr w:type="spellStart"/>
      <w:r>
        <w:t>belumosudil</w:t>
      </w:r>
      <w:proofErr w:type="spellEnd"/>
      <w:r>
        <w:t xml:space="preserve"> was supplied.</w:t>
      </w:r>
    </w:p>
    <w:p w14:paraId="16F82BA2" w14:textId="1AD09CEF" w:rsidR="003A304F" w:rsidRDefault="00551833" w:rsidP="00551833">
      <w:pPr>
        <w:pStyle w:val="FigureTitle"/>
      </w:pPr>
      <w:r w:rsidRPr="00551833">
        <w:t xml:space="preserve">Figure </w:t>
      </w:r>
      <w:fldSimple w:instr=" SEQ Figure \* ARABIC ">
        <w:r w:rsidR="00C85F74">
          <w:rPr>
            <w:noProof/>
          </w:rPr>
          <w:t>3</w:t>
        </w:r>
      </w:fldSimple>
      <w:r>
        <w:t xml:space="preserve">: </w:t>
      </w:r>
      <w:r w:rsidRPr="00551833">
        <w:t>Study KD025-213</w:t>
      </w:r>
      <w:r>
        <w:t xml:space="preserve"> Study s</w:t>
      </w:r>
      <w:r w:rsidRPr="00551833">
        <w:t>chema</w:t>
      </w:r>
    </w:p>
    <w:p w14:paraId="26E1D49D" w14:textId="3713D79A" w:rsidR="00551833" w:rsidRDefault="00551833" w:rsidP="00A13125">
      <w:r w:rsidRPr="00F444A0">
        <w:rPr>
          <w:noProof/>
          <w:lang w:val="en-GB" w:eastAsia="en-GB"/>
        </w:rPr>
        <w:drawing>
          <wp:inline distT="0" distB="0" distL="0" distR="0" wp14:anchorId="34459552" wp14:editId="74B36733">
            <wp:extent cx="5197321" cy="2128724"/>
            <wp:effectExtent l="0" t="0" r="3810" b="5080"/>
            <wp:docPr id="7" name="Picture 7" descr="Figure 3: Study KD025-213 Study schema&#10;Selection criterias includes: greater than 12 years old, has HCT, active cGVHD; 2 to 5 prior lines of systemic therapy for cGVHD and systemic therapy for cGVHD is indicated. Stratification is done via Prior ibrutinib (Y/N) and severe cGVHD (Y/N). A total of 126 patient is randomised into Arm A ( n = 63) and Arm b ( n = 63). Arm A receives 200 mg of Rholistiq once daily while Arm B receives 200 mg of Rholistiq twice daily.  Primary endpoint is overall respons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Study KD025-213 Study schema&#10;Selection criterias includes: greater than 12 years old, has HCT, active cGVHD; 2 to 5 prior lines of systemic therapy for cGVHD and systemic therapy for cGVHD is indicated. Stratification is done via Prior ibrutinib (Y/N) and severe cGVHD (Y/N). A total of 126 patient is randomised into Arm A ( n = 63) and Arm b ( n = 63). Arm A receives 200 mg of Rholistiq once daily while Arm B receives 200 mg of Rholistiq twice daily.  Primary endpoint is overall response rate."/>
                    <pic:cNvPicPr>
                      <a:picLocks noChangeAspect="1" noChangeArrowheads="1"/>
                    </pic:cNvPicPr>
                  </pic:nvPicPr>
                  <pic:blipFill rotWithShape="1">
                    <a:blip r:embed="rId20">
                      <a:extLst>
                        <a:ext uri="{28A0092B-C50C-407E-A947-70E740481C1C}">
                          <a14:useLocalDpi xmlns:a14="http://schemas.microsoft.com/office/drawing/2010/main" val="0"/>
                        </a:ext>
                      </a:extLst>
                    </a:blip>
                    <a:srcRect l="4877" r="5162" b="21801"/>
                    <a:stretch/>
                  </pic:blipFill>
                  <pic:spPr bwMode="auto">
                    <a:xfrm>
                      <a:off x="0" y="0"/>
                      <a:ext cx="5203323" cy="2131182"/>
                    </a:xfrm>
                    <a:prstGeom prst="rect">
                      <a:avLst/>
                    </a:prstGeom>
                    <a:noFill/>
                    <a:ln>
                      <a:noFill/>
                    </a:ln>
                    <a:extLst>
                      <a:ext uri="{53640926-AAD7-44D8-BBD7-CCE9431645EC}">
                        <a14:shadowObscured xmlns:a14="http://schemas.microsoft.com/office/drawing/2010/main"/>
                      </a:ext>
                    </a:extLst>
                  </pic:spPr>
                </pic:pic>
              </a:graphicData>
            </a:graphic>
          </wp:inline>
        </w:drawing>
      </w:r>
    </w:p>
    <w:p w14:paraId="0F42F6CE" w14:textId="165C9A33" w:rsidR="00551833" w:rsidRDefault="00551833" w:rsidP="0014033A">
      <w:pPr>
        <w:pStyle w:val="FigureDescription"/>
      </w:pPr>
      <w:proofErr w:type="spellStart"/>
      <w:r>
        <w:t>Abberviation</w:t>
      </w:r>
      <w:proofErr w:type="spellEnd"/>
      <w:r>
        <w:t xml:space="preserve">: BID = twice daily; </w:t>
      </w:r>
      <w:proofErr w:type="spellStart"/>
      <w:r>
        <w:t>cGVHD</w:t>
      </w:r>
      <w:proofErr w:type="spellEnd"/>
      <w:r>
        <w:t xml:space="preserve"> = chronic graft versus host disease; DOR = duration of response; FFS = failure-free survival; HCT = hematopoietic cell transplantation; IA = interim analysis; ORR = overall response rate; PA = primary analysis; </w:t>
      </w:r>
      <w:r w:rsidR="006107CE">
        <w:t>PK = pharmacokinetics; QD = once daily; R = randomisation; Y/N = yes/no.</w:t>
      </w:r>
    </w:p>
    <w:p w14:paraId="52D13461" w14:textId="54372C51" w:rsidR="006107CE" w:rsidRDefault="006107CE" w:rsidP="006107CE">
      <w:r>
        <w:lastRenderedPageBreak/>
        <w:t xml:space="preserve">The primary population for efficacy analyses was a </w:t>
      </w:r>
      <w:proofErr w:type="spellStart"/>
      <w:r>
        <w:t>mITT</w:t>
      </w:r>
      <w:proofErr w:type="spellEnd"/>
      <w:r>
        <w:t xml:space="preserve"> population defined as all randomised subjects who receive at least one dose of study medication. The ORR was defined as the proportion of subjects with a best response meeting the overall response criteria assessment of CR or PR at any post-baseline response assessment. The overall response determination was based on the </w:t>
      </w:r>
      <w:proofErr w:type="spellStart"/>
      <w:r>
        <w:t>cGVHD</w:t>
      </w:r>
      <w:proofErr w:type="spellEnd"/>
      <w:r>
        <w:t xml:space="preserve"> response assessment performed by Investigators. Where possible, the same assessor at the site should perform response assessments for a given subject.</w:t>
      </w:r>
    </w:p>
    <w:p w14:paraId="3ED3541D" w14:textId="609AE4E0" w:rsidR="006107CE" w:rsidRDefault="006107CE" w:rsidP="006107CE">
      <w:r>
        <w:t xml:space="preserve">The overall response was assessed using scores from </w:t>
      </w:r>
      <w:r w:rsidR="00C64ECC">
        <w:t>nine</w:t>
      </w:r>
      <w:r>
        <w:t xml:space="preserve"> individual organ systems (skin, eyes, mouth, oesophagus, upper gastrointestinal, lower </w:t>
      </w:r>
      <w:r w:rsidR="00C64ECC">
        <w:t>gastrointestinal</w:t>
      </w:r>
      <w:r>
        <w:t xml:space="preserve">, liver, lungs, and joints and fascia) and the </w:t>
      </w:r>
      <w:r w:rsidR="00C64ECC">
        <w:t>i</w:t>
      </w:r>
      <w:r>
        <w:t xml:space="preserve">nvestigator’s </w:t>
      </w:r>
      <w:r w:rsidR="00C64ECC">
        <w:t>g</w:t>
      </w:r>
      <w:r>
        <w:t xml:space="preserve">lobal </w:t>
      </w:r>
      <w:r w:rsidR="00C64ECC">
        <w:t>s</w:t>
      </w:r>
      <w:r>
        <w:t xml:space="preserve">everity </w:t>
      </w:r>
      <w:r w:rsidR="00C64ECC">
        <w:t>r</w:t>
      </w:r>
      <w:r>
        <w:t xml:space="preserve">ating (GSR). Response was assessed with respect to the baseline (C1D1) </w:t>
      </w:r>
      <w:proofErr w:type="spellStart"/>
      <w:r>
        <w:t>cGVHD</w:t>
      </w:r>
      <w:proofErr w:type="spellEnd"/>
      <w:r>
        <w:t xml:space="preserve"> assessment. The overall response at each assessment time point was categorised as CR, PR, or </w:t>
      </w:r>
      <w:r w:rsidR="00583213">
        <w:t>l</w:t>
      </w:r>
      <w:r>
        <w:t xml:space="preserve">ack of </w:t>
      </w:r>
      <w:r w:rsidR="00583213">
        <w:t>r</w:t>
      </w:r>
      <w:r>
        <w:t xml:space="preserve">esponse, where </w:t>
      </w:r>
      <w:r w:rsidR="00583213">
        <w:t>lack of response</w:t>
      </w:r>
      <w:r>
        <w:t xml:space="preserve"> included the response status of unchanged, mixed, or progression. Response was assessed on D</w:t>
      </w:r>
      <w:r w:rsidR="00583213">
        <w:t>ay 1</w:t>
      </w:r>
      <w:r>
        <w:t xml:space="preserve"> of C</w:t>
      </w:r>
      <w:r w:rsidR="00583213">
        <w:t>ycle 2</w:t>
      </w:r>
      <w:r>
        <w:t xml:space="preserve"> through </w:t>
      </w:r>
      <w:r w:rsidR="00583213">
        <w:t xml:space="preserve">to </w:t>
      </w:r>
      <w:r>
        <w:t>C</w:t>
      </w:r>
      <w:r w:rsidR="00583213">
        <w:t xml:space="preserve">ycle </w:t>
      </w:r>
      <w:r>
        <w:t>5, then on D</w:t>
      </w:r>
      <w:r w:rsidR="00583213">
        <w:t>ay 1</w:t>
      </w:r>
      <w:r>
        <w:t xml:space="preserve"> of every other cycle thereafter and at the </w:t>
      </w:r>
      <w:r w:rsidR="00583213">
        <w:t>e</w:t>
      </w:r>
      <w:r>
        <w:t xml:space="preserve">nd of </w:t>
      </w:r>
      <w:r w:rsidR="00583213">
        <w:t>t</w:t>
      </w:r>
      <w:r>
        <w:t xml:space="preserve">reatment visit. The definitions of overall response (CR, </w:t>
      </w:r>
      <w:proofErr w:type="gramStart"/>
      <w:r>
        <w:t>PR</w:t>
      </w:r>
      <w:proofErr w:type="gramEnd"/>
      <w:r>
        <w:t xml:space="preserve"> and lack of response) were the same as those that applied in </w:t>
      </w:r>
      <w:r w:rsidR="00583213" w:rsidRPr="00551833">
        <w:t>KD025-</w:t>
      </w:r>
      <w:r>
        <w:t>Study 208. If a treated subject was lost to follow</w:t>
      </w:r>
      <w:r w:rsidR="00583213">
        <w:t xml:space="preserve"> </w:t>
      </w:r>
      <w:r>
        <w:t>up without a response assessment, the subject was counted as a non-responder.</w:t>
      </w:r>
    </w:p>
    <w:p w14:paraId="4C4EC56F" w14:textId="54E08F93" w:rsidR="006107CE" w:rsidRDefault="006107CE" w:rsidP="006107CE">
      <w:r w:rsidRPr="001F7F81">
        <w:t xml:space="preserve">Duration of </w:t>
      </w:r>
      <w:r w:rsidR="00965557">
        <w:t>r</w:t>
      </w:r>
      <w:r w:rsidR="00965557" w:rsidRPr="001F7F81">
        <w:t xml:space="preserve">esponse </w:t>
      </w:r>
      <w:r w:rsidRPr="001F7F81">
        <w:t xml:space="preserve">was assessed using </w:t>
      </w:r>
      <w:r w:rsidR="00583213">
        <w:t>four</w:t>
      </w:r>
      <w:r w:rsidRPr="001F7F81">
        <w:t xml:space="preserve"> methods as in Study </w:t>
      </w:r>
      <w:r w:rsidR="00583213" w:rsidRPr="00551833">
        <w:t>KD025-</w:t>
      </w:r>
      <w:r w:rsidRPr="001F7F81">
        <w:t xml:space="preserve">208 and by the </w:t>
      </w:r>
      <w:r w:rsidR="00965557">
        <w:t xml:space="preserve">TGA </w:t>
      </w:r>
      <w:r w:rsidR="00583213">
        <w:t>r</w:t>
      </w:r>
      <w:r>
        <w:t>eviewer</w:t>
      </w:r>
      <w:r w:rsidRPr="001F7F81">
        <w:t xml:space="preserve"> using the definition:</w:t>
      </w:r>
      <w:r>
        <w:t xml:space="preserve"> </w:t>
      </w:r>
      <w:r w:rsidRPr="000A0B27">
        <w:t xml:space="preserve">the </w:t>
      </w:r>
      <w:r w:rsidR="00965557">
        <w:t>i</w:t>
      </w:r>
      <w:r w:rsidRPr="000A0B27">
        <w:t>nterval from first response by C</w:t>
      </w:r>
      <w:r w:rsidR="00583213">
        <w:t xml:space="preserve">ycle </w:t>
      </w:r>
      <w:r w:rsidRPr="000A0B27">
        <w:t>7</w:t>
      </w:r>
      <w:r w:rsidR="00583213">
        <w:t xml:space="preserve"> Day </w:t>
      </w:r>
      <w:r w:rsidRPr="000A0B27">
        <w:t xml:space="preserve">1 to progression in any organ, death, or new systemic therapies for </w:t>
      </w:r>
      <w:proofErr w:type="spellStart"/>
      <w:r w:rsidRPr="000A0B27">
        <w:t>cGVHD</w:t>
      </w:r>
      <w:proofErr w:type="spellEnd"/>
      <w:r>
        <w:t>.</w:t>
      </w:r>
    </w:p>
    <w:p w14:paraId="04F9188E" w14:textId="24918849" w:rsidR="006107CE" w:rsidRDefault="006107CE" w:rsidP="006107CE">
      <w:r>
        <w:t>Changes in the Lee Symptom Score Scale</w:t>
      </w:r>
      <w:r w:rsidR="00583213">
        <w:t>;</w:t>
      </w:r>
      <w:r w:rsidR="00E743B2">
        <w:fldChar w:fldCharType="begin"/>
      </w:r>
      <w:r w:rsidR="00E743B2">
        <w:instrText xml:space="preserve"> NOTEREF _Ref99974521 \f \h </w:instrText>
      </w:r>
      <w:r w:rsidR="00E743B2">
        <w:fldChar w:fldCharType="separate"/>
      </w:r>
      <w:r w:rsidR="00C85F74" w:rsidRPr="00C85F74">
        <w:rPr>
          <w:rStyle w:val="FootnoteReference"/>
        </w:rPr>
        <w:t>8</w:t>
      </w:r>
      <w:r w:rsidR="00E743B2">
        <w:fldChar w:fldCharType="end"/>
      </w:r>
      <w:r>
        <w:t xml:space="preserve"> were the main assessment of patient reported symptom activity and was a secondary endpoint following DOR. Lee Symptom Scale questionnaire consists 30 items of 7 domains: skin, </w:t>
      </w:r>
      <w:proofErr w:type="gramStart"/>
      <w:r>
        <w:t>eyes</w:t>
      </w:r>
      <w:proofErr w:type="gramEnd"/>
      <w:r>
        <w:t xml:space="preserve"> and mouth, breathing, eating and digestion, muscles and joints, energy, and mental and emotional. Each question is scored 0, 1, 2, 3 or 4. A domain score will be calculated for each domain by taking the mean of all items completed if more than 50% were answered and normalising to a 0 to 100 scale. A summary score will be calculated as average of all non-missing domain scores if more than 50% of them are non-missing. A higher score indicated more bothersome symptoms. </w:t>
      </w:r>
      <w:r w:rsidR="00965557">
        <w:t xml:space="preserve">Seven </w:t>
      </w:r>
      <w:r>
        <w:t xml:space="preserve">points difference on the summary score of </w:t>
      </w:r>
      <w:proofErr w:type="spellStart"/>
      <w:r>
        <w:t>cGVHD</w:t>
      </w:r>
      <w:proofErr w:type="spellEnd"/>
      <w:r>
        <w:t xml:space="preserve"> symptom scale was found to be clinically meaningful.</w:t>
      </w:r>
    </w:p>
    <w:p w14:paraId="632FC245" w14:textId="00E83E7D" w:rsidR="006107CE" w:rsidRDefault="006107CE" w:rsidP="006107CE">
      <w:r>
        <w:t xml:space="preserve">Failure </w:t>
      </w:r>
      <w:r w:rsidR="00965557">
        <w:t>f</w:t>
      </w:r>
      <w:r>
        <w:t xml:space="preserve">ree </w:t>
      </w:r>
      <w:r w:rsidR="00965557">
        <w:t>s</w:t>
      </w:r>
      <w:r>
        <w:t xml:space="preserve">urvival was defined as the absence of </w:t>
      </w:r>
      <w:proofErr w:type="spellStart"/>
      <w:r>
        <w:t>cGVHD</w:t>
      </w:r>
      <w:proofErr w:type="spellEnd"/>
      <w:r>
        <w:t xml:space="preserve"> treatment change, non</w:t>
      </w:r>
      <w:r w:rsidR="00AA329D">
        <w:t>-</w:t>
      </w:r>
      <w:r>
        <w:t>relapse mortality and recurrent malignancy.</w:t>
      </w:r>
    </w:p>
    <w:p w14:paraId="3A3CC43B" w14:textId="2CECAFC2" w:rsidR="006107CE" w:rsidRDefault="006107CE" w:rsidP="006107CE">
      <w:r w:rsidRPr="00A61079">
        <w:t>Sample size was based on the primary efficacy endpoint of ORR, with one planned interim analysis (0.0025</w:t>
      </w:r>
      <w:r w:rsidR="00AA329D">
        <w:t xml:space="preserve">, one </w:t>
      </w:r>
      <w:r>
        <w:t>sided alpha spending) and a true ORR of 55%. The Hochberg procedure was used for multiplicity adjustment for the primary endpoint. Secondary endpoints were as outlined in the secondary objectives for this study. Only descriptive statistics were provided for all secondary and exploratory endpoints, without multiplicity adjustment.</w:t>
      </w:r>
    </w:p>
    <w:p w14:paraId="4840EC3E" w14:textId="68B1EB98" w:rsidR="006107CE" w:rsidRDefault="006107CE" w:rsidP="006107CE">
      <w:r>
        <w:t>Point estimates, CI</w:t>
      </w:r>
      <w:r w:rsidR="00A61079">
        <w:t>s</w:t>
      </w:r>
      <w:r>
        <w:t xml:space="preserve"> (Clopper-Pearson </w:t>
      </w:r>
      <w:r w:rsidR="00965557">
        <w:t>exact</w:t>
      </w:r>
      <w:r>
        <w:t xml:space="preserve"> method), and unadjusted and Hochberg adjusted p-values corresponding to the null hypothesis of ORR ≤</w:t>
      </w:r>
      <w:r w:rsidR="00A61079">
        <w:t xml:space="preserve"> </w:t>
      </w:r>
      <w:r>
        <w:t>30% versus the alternative hypothesis of ORR &gt;</w:t>
      </w:r>
      <w:r w:rsidR="00A61079">
        <w:t xml:space="preserve"> </w:t>
      </w:r>
      <w:r>
        <w:t>30% by treatment arms are reported.</w:t>
      </w:r>
    </w:p>
    <w:p w14:paraId="7DB3D412" w14:textId="6E97E442" w:rsidR="006107CE" w:rsidRDefault="006107CE" w:rsidP="006107CE">
      <w:r>
        <w:t>The major inclusion criteria were:</w:t>
      </w:r>
    </w:p>
    <w:p w14:paraId="76DBB6AA" w14:textId="3B51ED6E" w:rsidR="006107CE" w:rsidRDefault="00A61079" w:rsidP="00A61079">
      <w:pPr>
        <w:pStyle w:val="ListBullet"/>
      </w:pPr>
      <w:r>
        <w:t>a</w:t>
      </w:r>
      <w:r w:rsidR="006107CE">
        <w:t xml:space="preserve">ge ≥ 12 </w:t>
      </w:r>
      <w:proofErr w:type="gramStart"/>
      <w:r w:rsidR="006107CE">
        <w:t>years</w:t>
      </w:r>
      <w:r>
        <w:t>;</w:t>
      </w:r>
      <w:proofErr w:type="gramEnd"/>
    </w:p>
    <w:p w14:paraId="65FB88F9" w14:textId="1336B50E" w:rsidR="006107CE" w:rsidRDefault="006107CE" w:rsidP="00A61079">
      <w:pPr>
        <w:pStyle w:val="ListBullet"/>
      </w:pPr>
      <w:r>
        <w:t xml:space="preserve">had undergone allogeneic hematopoietic cell </w:t>
      </w:r>
      <w:proofErr w:type="gramStart"/>
      <w:r>
        <w:t>transplantation;</w:t>
      </w:r>
      <w:proofErr w:type="gramEnd"/>
    </w:p>
    <w:p w14:paraId="7DC2A3FA" w14:textId="677F91AD" w:rsidR="006107CE" w:rsidRDefault="006107CE" w:rsidP="00A61079">
      <w:pPr>
        <w:pStyle w:val="ListBullet"/>
      </w:pPr>
      <w:r>
        <w:t xml:space="preserve">had previously received at least </w:t>
      </w:r>
      <w:r w:rsidR="00A61079">
        <w:t>two</w:t>
      </w:r>
      <w:r>
        <w:t xml:space="preserve"> prior lines of systemic therapy for </w:t>
      </w:r>
      <w:proofErr w:type="spellStart"/>
      <w:proofErr w:type="gramStart"/>
      <w:r>
        <w:t>cGVHD</w:t>
      </w:r>
      <w:proofErr w:type="spellEnd"/>
      <w:r>
        <w:t>;</w:t>
      </w:r>
      <w:proofErr w:type="gramEnd"/>
    </w:p>
    <w:p w14:paraId="2F19A0C3" w14:textId="3A2CB6D0" w:rsidR="006107CE" w:rsidRDefault="006107CE" w:rsidP="00A61079">
      <w:pPr>
        <w:pStyle w:val="ListBullet"/>
      </w:pPr>
      <w:r>
        <w:t xml:space="preserve">had received glucocorticoid therapy with a stable dose for at least </w:t>
      </w:r>
      <w:r w:rsidR="00A61079">
        <w:t>two</w:t>
      </w:r>
      <w:r>
        <w:t xml:space="preserve"> weeks prior to screening; and</w:t>
      </w:r>
    </w:p>
    <w:p w14:paraId="053924E5" w14:textId="1B539495" w:rsidR="006107CE" w:rsidRDefault="006107CE" w:rsidP="00A61079">
      <w:pPr>
        <w:pStyle w:val="ListBullet"/>
      </w:pPr>
      <w:r>
        <w:lastRenderedPageBreak/>
        <w:t xml:space="preserve">had persistent </w:t>
      </w:r>
      <w:proofErr w:type="spellStart"/>
      <w:r>
        <w:t>cGVHD</w:t>
      </w:r>
      <w:proofErr w:type="spellEnd"/>
      <w:r>
        <w:t xml:space="preserve"> manifestations and for whom systemic therapy for </w:t>
      </w:r>
      <w:proofErr w:type="spellStart"/>
      <w:r>
        <w:t>cGVHD</w:t>
      </w:r>
      <w:proofErr w:type="spellEnd"/>
      <w:r>
        <w:t xml:space="preserve"> was indicated.</w:t>
      </w:r>
    </w:p>
    <w:p w14:paraId="7C4926AD" w14:textId="259B2B21" w:rsidR="006107CE" w:rsidRDefault="006107CE" w:rsidP="006107CE">
      <w:r>
        <w:t xml:space="preserve">Concomitant treatment with GVHD prophylaxis and standard care systemic chronic GVHD therapies was permitted </w:t>
      </w:r>
      <w:proofErr w:type="gramStart"/>
      <w:r>
        <w:t>as long as</w:t>
      </w:r>
      <w:proofErr w:type="gramEnd"/>
      <w:r>
        <w:t xml:space="preserve"> the subject has been on a stable dose for at least </w:t>
      </w:r>
      <w:r w:rsidR="00A61079">
        <w:t>two</w:t>
      </w:r>
      <w:r>
        <w:t xml:space="preserve"> weeks prior to study. Initiation of new systemic </w:t>
      </w:r>
      <w:proofErr w:type="spellStart"/>
      <w:r w:rsidR="00965557">
        <w:t>c</w:t>
      </w:r>
      <w:r>
        <w:t>GVHD</w:t>
      </w:r>
      <w:proofErr w:type="spellEnd"/>
      <w:r>
        <w:t xml:space="preserve"> therapy while on study was not permitted. There were also exclusions based on laboratory criteria. Patients were excluded from the studies if: platelets were &lt; 50 × 10</w:t>
      </w:r>
      <w:r w:rsidRPr="00A61079">
        <w:rPr>
          <w:vertAlign w:val="superscript"/>
        </w:rPr>
        <w:t>9</w:t>
      </w:r>
      <w:r>
        <w:t>/L; absolute neutrophil count</w:t>
      </w:r>
      <w:r w:rsidR="00A61079">
        <w:t xml:space="preserve"> </w:t>
      </w:r>
      <w:r>
        <w:t>&lt;</w:t>
      </w:r>
      <w:r w:rsidR="00A61079">
        <w:t> </w:t>
      </w:r>
      <w:r>
        <w:t>1.5</w:t>
      </w:r>
      <w:r w:rsidR="00A61079">
        <w:t> </w:t>
      </w:r>
      <w:r>
        <w:t>×</w:t>
      </w:r>
      <w:r w:rsidR="00A61079">
        <w:t> </w:t>
      </w:r>
      <w:r>
        <w:t>10</w:t>
      </w:r>
      <w:r w:rsidRPr="00A61079">
        <w:rPr>
          <w:vertAlign w:val="superscript"/>
        </w:rPr>
        <w:t>9</w:t>
      </w:r>
      <w:r>
        <w:t xml:space="preserve">/L; </w:t>
      </w:r>
      <w:r w:rsidR="00A61079">
        <w:t>a</w:t>
      </w:r>
      <w:r w:rsidR="00A61079" w:rsidRPr="00A61079">
        <w:t xml:space="preserve">spartate transaminase </w:t>
      </w:r>
      <w:r w:rsidR="00A61079">
        <w:t>(</w:t>
      </w:r>
      <w:r>
        <w:t>AST</w:t>
      </w:r>
      <w:r w:rsidR="00A61079">
        <w:t>)</w:t>
      </w:r>
      <w:r>
        <w:t xml:space="preserve"> or </w:t>
      </w:r>
      <w:r w:rsidR="00A61079" w:rsidRPr="00A61079">
        <w:t xml:space="preserve">alanine aminotransferase </w:t>
      </w:r>
      <w:r w:rsidR="00A61079">
        <w:t>(</w:t>
      </w:r>
      <w:r>
        <w:t>ALT</w:t>
      </w:r>
      <w:r w:rsidR="00A61079">
        <w:t>)</w:t>
      </w:r>
      <w:r>
        <w:t xml:space="preserve"> &gt;</w:t>
      </w:r>
      <w:r w:rsidR="00F63C3B">
        <w:t> </w:t>
      </w:r>
      <w:r>
        <w:t>3</w:t>
      </w:r>
      <w:r w:rsidR="00F63C3B">
        <w:t> </w:t>
      </w:r>
      <w:r>
        <w:t>×</w:t>
      </w:r>
      <w:r w:rsidR="00F63C3B">
        <w:t> </w:t>
      </w:r>
      <w:r w:rsidR="00A61079">
        <w:t>upper limit of normal (</w:t>
      </w:r>
      <w:r>
        <w:t>ULN</w:t>
      </w:r>
      <w:r w:rsidR="00A61079">
        <w:t>)</w:t>
      </w:r>
      <w:r>
        <w:t>; total bilirubin &gt; 1.5 ×</w:t>
      </w:r>
      <w:r w:rsidR="00A61079">
        <w:t> </w:t>
      </w:r>
      <w:r>
        <w:t xml:space="preserve">ULN; </w:t>
      </w:r>
      <w:r w:rsidR="00965557">
        <w:t xml:space="preserve">correct QT interval (by Fridericia’s formula; </w:t>
      </w:r>
      <w:proofErr w:type="spellStart"/>
      <w:r>
        <w:t>QTcF</w:t>
      </w:r>
      <w:proofErr w:type="spellEnd"/>
      <w:r>
        <w:t xml:space="preserve">) &gt; 480 </w:t>
      </w:r>
      <w:proofErr w:type="spellStart"/>
      <w:r>
        <w:t>ms</w:t>
      </w:r>
      <w:proofErr w:type="spellEnd"/>
      <w:r>
        <w:t xml:space="preserve">; </w:t>
      </w:r>
      <w:r w:rsidR="00965557">
        <w:t>estimated glomerular filtration rate (</w:t>
      </w:r>
      <w:r>
        <w:t>eGFR</w:t>
      </w:r>
      <w:r w:rsidR="00965557">
        <w:t>)</w:t>
      </w:r>
      <w:r w:rsidR="00F63C3B">
        <w:t> </w:t>
      </w:r>
      <w:r>
        <w:t>&lt;</w:t>
      </w:r>
      <w:r w:rsidR="00F63C3B">
        <w:t> </w:t>
      </w:r>
      <w:r>
        <w:t>30</w:t>
      </w:r>
      <w:r w:rsidR="00F63C3B">
        <w:t> </w:t>
      </w:r>
      <w:r>
        <w:t>mL/min/1.73 m</w:t>
      </w:r>
      <w:r w:rsidRPr="00A61079">
        <w:rPr>
          <w:vertAlign w:val="superscript"/>
        </w:rPr>
        <w:t>2</w:t>
      </w:r>
      <w:r>
        <w:t>; or FEV1 ≤ 39%.</w:t>
      </w:r>
    </w:p>
    <w:p w14:paraId="1D5DB19D" w14:textId="77777777" w:rsidR="006107CE" w:rsidRPr="00B90A82" w:rsidRDefault="006107CE" w:rsidP="00E4297E">
      <w:pPr>
        <w:pStyle w:val="Heading6"/>
      </w:pPr>
      <w:r w:rsidRPr="00B90A82">
        <w:t>Results</w:t>
      </w:r>
    </w:p>
    <w:p w14:paraId="2E7383C4" w14:textId="50CE5763" w:rsidR="006107CE" w:rsidRPr="009169AD" w:rsidRDefault="006107CE" w:rsidP="00F63C3B">
      <w:r w:rsidRPr="009169AD">
        <w:t xml:space="preserve">Overall, 221 subjects were screened for the study and 132 subjects were included in the </w:t>
      </w:r>
      <w:proofErr w:type="spellStart"/>
      <w:r w:rsidRPr="009169AD">
        <w:t>mITT</w:t>
      </w:r>
      <w:proofErr w:type="spellEnd"/>
      <w:r w:rsidRPr="009169AD">
        <w:t xml:space="preserve"> population: 66 subjects each in the 200 mg </w:t>
      </w:r>
      <w:r w:rsidR="00F63C3B">
        <w:t>once daily</w:t>
      </w:r>
      <w:r w:rsidRPr="009169AD">
        <w:t xml:space="preserve"> and 200 mg </w:t>
      </w:r>
      <w:r w:rsidR="00F63C3B">
        <w:t>twice daily</w:t>
      </w:r>
      <w:r w:rsidRPr="009169AD">
        <w:t xml:space="preserve"> arms</w:t>
      </w:r>
      <w:r w:rsidR="002264E0">
        <w:t xml:space="preserve"> (</w:t>
      </w:r>
      <w:r w:rsidR="00E24E90">
        <w:t xml:space="preserve">see </w:t>
      </w:r>
      <w:r w:rsidR="002264E0">
        <w:fldChar w:fldCharType="begin"/>
      </w:r>
      <w:r w:rsidR="002264E0">
        <w:instrText xml:space="preserve"> REF _Ref99616475 \h </w:instrText>
      </w:r>
      <w:r w:rsidR="002264E0">
        <w:fldChar w:fldCharType="separate"/>
      </w:r>
      <w:r w:rsidR="00C85F74" w:rsidRPr="002264E0">
        <w:t xml:space="preserve">Table </w:t>
      </w:r>
      <w:r w:rsidR="00C85F74">
        <w:rPr>
          <w:noProof/>
        </w:rPr>
        <w:t>9</w:t>
      </w:r>
      <w:r w:rsidR="002264E0">
        <w:fldChar w:fldCharType="end"/>
      </w:r>
      <w:r w:rsidR="002264E0">
        <w:t>)</w:t>
      </w:r>
      <w:r w:rsidRPr="009169AD">
        <w:t>.</w:t>
      </w:r>
    </w:p>
    <w:p w14:paraId="2092C4BB" w14:textId="7B92E316" w:rsidR="006107CE" w:rsidRDefault="006107CE" w:rsidP="00F63C3B">
      <w:r w:rsidRPr="00B90A82">
        <w:t xml:space="preserve">As of </w:t>
      </w:r>
      <w:r w:rsidR="00E24E90">
        <w:t xml:space="preserve">the </w:t>
      </w:r>
      <w:r w:rsidR="00F63C3B">
        <w:t>data cut</w:t>
      </w:r>
      <w:r w:rsidR="00E24E90">
        <w:t>-</w:t>
      </w:r>
      <w:r w:rsidR="00F63C3B">
        <w:t>off</w:t>
      </w:r>
      <w:r>
        <w:t xml:space="preserve"> </w:t>
      </w:r>
      <w:r w:rsidR="00E24E90">
        <w:t xml:space="preserve">of </w:t>
      </w:r>
      <w:r>
        <w:t>19 August 2020</w:t>
      </w:r>
      <w:r w:rsidRPr="00B90A82">
        <w:t xml:space="preserve">, 23 subjects (34.8%) in the 200 mg </w:t>
      </w:r>
      <w:r w:rsidR="00F63C3B">
        <w:t>once daily</w:t>
      </w:r>
      <w:r w:rsidRPr="00B90A82">
        <w:t xml:space="preserve"> arm and 26 subjects (39.4%) in the 200 mg </w:t>
      </w:r>
      <w:r w:rsidR="00F63C3B">
        <w:t>twice daily</w:t>
      </w:r>
      <w:r w:rsidRPr="00B90A82">
        <w:t xml:space="preserve"> arm remained on treatment with </w:t>
      </w:r>
      <w:proofErr w:type="spellStart"/>
      <w:r w:rsidRPr="00B90A82">
        <w:t>belumosudil</w:t>
      </w:r>
      <w:proofErr w:type="spellEnd"/>
      <w:r w:rsidRPr="00B90A82">
        <w:t>. Of the 43 subjects (65.2%) in the</w:t>
      </w:r>
      <w:r>
        <w:t xml:space="preserve"> </w:t>
      </w:r>
      <w:r w:rsidRPr="00B90A82">
        <w:t xml:space="preserve">200 mg </w:t>
      </w:r>
      <w:r w:rsidR="00F63C3B">
        <w:t>once daily</w:t>
      </w:r>
      <w:r w:rsidRPr="00B90A82">
        <w:t xml:space="preserve"> arm who discontinued from treatment, 30 were still being followed for FFS and survival</w:t>
      </w:r>
      <w:r>
        <w:t>. M</w:t>
      </w:r>
      <w:r w:rsidRPr="00B90A82">
        <w:t>edian duration of follow</w:t>
      </w:r>
      <w:r w:rsidR="00F63C3B">
        <w:t xml:space="preserve"> </w:t>
      </w:r>
      <w:r w:rsidRPr="00B90A82">
        <w:t>up was 13.4 months (range, 0.6</w:t>
      </w:r>
      <w:r w:rsidR="00F63C3B">
        <w:t xml:space="preserve"> to </w:t>
      </w:r>
      <w:r w:rsidRPr="00B90A82">
        <w:t xml:space="preserve">21.9). Of the 40 subjects (60.9%) in the 200 mg </w:t>
      </w:r>
      <w:r w:rsidR="00F63C3B">
        <w:t>twice daily</w:t>
      </w:r>
      <w:r w:rsidRPr="00B90A82">
        <w:t xml:space="preserve"> arm who discontinued from treatment, 32 were still being followed for FFS and survival; median duration of follow</w:t>
      </w:r>
      <w:r w:rsidR="00F63C3B">
        <w:t xml:space="preserve"> </w:t>
      </w:r>
      <w:r w:rsidRPr="00B90A82">
        <w:t>up was 13.7 months (range, 0.9</w:t>
      </w:r>
      <w:r w:rsidR="00F63C3B">
        <w:t xml:space="preserve"> to</w:t>
      </w:r>
      <w:r w:rsidRPr="00B90A82">
        <w:t xml:space="preserve"> 21.3).</w:t>
      </w:r>
    </w:p>
    <w:p w14:paraId="3991FB32" w14:textId="0B9902B5" w:rsidR="006107CE" w:rsidRPr="00B90A82" w:rsidRDefault="006107CE" w:rsidP="00F63C3B">
      <w:r w:rsidRPr="00B90A82">
        <w:t>The most common reasons for treatment discontinuation were</w:t>
      </w:r>
      <w:r>
        <w:t>:</w:t>
      </w:r>
      <w:r w:rsidRPr="00B90A82">
        <w:t xml:space="preserve"> </w:t>
      </w:r>
      <w:proofErr w:type="spellStart"/>
      <w:r w:rsidRPr="00B90A82">
        <w:t>cGVHD</w:t>
      </w:r>
      <w:proofErr w:type="spellEnd"/>
      <w:r w:rsidRPr="00B90A82">
        <w:t xml:space="preserve"> disease progression (</w:t>
      </w:r>
      <w:r w:rsidR="00304165">
        <w:t>nine</w:t>
      </w:r>
      <w:r w:rsidRPr="00B90A82">
        <w:t xml:space="preserve"> subjects, 13.6% in the 200 mg </w:t>
      </w:r>
      <w:r w:rsidR="00F63C3B">
        <w:t>once daily</w:t>
      </w:r>
      <w:r w:rsidRPr="00B90A82">
        <w:t xml:space="preserve"> arm and 12 subjects, 18.2% in the</w:t>
      </w:r>
      <w:r w:rsidR="00F63C3B">
        <w:t xml:space="preserve"> </w:t>
      </w:r>
      <w:r w:rsidRPr="00B90A82">
        <w:t xml:space="preserve">200 mg </w:t>
      </w:r>
      <w:r w:rsidR="00F63C3B">
        <w:t>twice daily</w:t>
      </w:r>
      <w:r w:rsidRPr="00B90A82">
        <w:t xml:space="preserve"> arm)</w:t>
      </w:r>
      <w:r>
        <w:t>;</w:t>
      </w:r>
      <w:r w:rsidRPr="00B90A82">
        <w:t xml:space="preserve"> </w:t>
      </w:r>
      <w:r w:rsidR="00F63C3B">
        <w:t>a</w:t>
      </w:r>
      <w:r>
        <w:t xml:space="preserve">dverse </w:t>
      </w:r>
      <w:r w:rsidR="00F63C3B">
        <w:t>e</w:t>
      </w:r>
      <w:r>
        <w:t>vent</w:t>
      </w:r>
      <w:r w:rsidR="00F63C3B">
        <w:t xml:space="preserve"> (AE)</w:t>
      </w:r>
      <w:r>
        <w:t xml:space="preserve"> (</w:t>
      </w:r>
      <w:r w:rsidR="00304165">
        <w:t>eight</w:t>
      </w:r>
      <w:r w:rsidRPr="00B90A82">
        <w:t xml:space="preserve"> subjects each arm, 12.1%</w:t>
      </w:r>
      <w:r>
        <w:t>);</w:t>
      </w:r>
      <w:r w:rsidRPr="00B90A82">
        <w:t xml:space="preserve"> </w:t>
      </w:r>
      <w:r w:rsidR="00F63C3B">
        <w:t>w</w:t>
      </w:r>
      <w:r w:rsidRPr="00B90A82">
        <w:t>ithdrawal by subject (</w:t>
      </w:r>
      <w:r w:rsidR="00304165">
        <w:t>six</w:t>
      </w:r>
      <w:r w:rsidRPr="00B90A82">
        <w:t xml:space="preserve"> subjects, 9.1% in the 200 mg </w:t>
      </w:r>
      <w:r w:rsidR="002264E0">
        <w:t>once daily</w:t>
      </w:r>
      <w:r w:rsidRPr="00B90A82">
        <w:t xml:space="preserve"> arm and </w:t>
      </w:r>
      <w:r w:rsidR="00304165">
        <w:t>seven</w:t>
      </w:r>
      <w:r w:rsidRPr="00B90A82">
        <w:t xml:space="preserve"> subjects, 10.6% in the 200 mg </w:t>
      </w:r>
      <w:r w:rsidR="002264E0">
        <w:t>twice daily</w:t>
      </w:r>
      <w:r w:rsidRPr="00B90A82">
        <w:t xml:space="preserve"> arm)</w:t>
      </w:r>
      <w:r>
        <w:t>;</w:t>
      </w:r>
      <w:r w:rsidRPr="00B90A82">
        <w:t xml:space="preserve"> and physician decision (</w:t>
      </w:r>
      <w:r w:rsidR="00304165">
        <w:t>seven</w:t>
      </w:r>
      <w:r w:rsidRPr="00B90A82">
        <w:t xml:space="preserve"> subjects, 10.6% in the 200 mg</w:t>
      </w:r>
      <w:r w:rsidR="002264E0">
        <w:t xml:space="preserve"> once daily</w:t>
      </w:r>
      <w:r w:rsidRPr="00B90A82">
        <w:t xml:space="preserve"> arm and </w:t>
      </w:r>
      <w:r w:rsidR="00304165">
        <w:t>four</w:t>
      </w:r>
      <w:r w:rsidRPr="00B90A82">
        <w:t xml:space="preserve"> subjects, 6.1% in the 200 mg </w:t>
      </w:r>
      <w:r w:rsidR="002264E0">
        <w:t>twice</w:t>
      </w:r>
      <w:r w:rsidRPr="00B90A82">
        <w:t xml:space="preserve"> arm).</w:t>
      </w:r>
    </w:p>
    <w:p w14:paraId="799444E8" w14:textId="274CC39A" w:rsidR="006107CE" w:rsidRDefault="002264E0" w:rsidP="002264E0">
      <w:pPr>
        <w:pStyle w:val="TableTitle"/>
      </w:pPr>
      <w:bookmarkStart w:id="53" w:name="_Ref99616475"/>
      <w:r w:rsidRPr="002264E0">
        <w:lastRenderedPageBreak/>
        <w:t xml:space="preserve">Table </w:t>
      </w:r>
      <w:fldSimple w:instr=" SEQ Table \* ARABIC ">
        <w:r w:rsidR="00C85F74">
          <w:rPr>
            <w:noProof/>
          </w:rPr>
          <w:t>9</w:t>
        </w:r>
      </w:fldSimple>
      <w:bookmarkEnd w:id="53"/>
      <w:r w:rsidRPr="002264E0">
        <w:t>:</w:t>
      </w:r>
      <w:r>
        <w:t xml:space="preserve"> Study </w:t>
      </w:r>
      <w:r w:rsidRPr="002C3F16">
        <w:t>KD025-213</w:t>
      </w:r>
      <w:r w:rsidR="00771B79">
        <w:t>,</w:t>
      </w:r>
      <w:r w:rsidRPr="002C3F16">
        <w:t xml:space="preserve"> Demographic and disease characteristics </w:t>
      </w:r>
      <w:r>
        <w:t>(modified intent to treat</w:t>
      </w:r>
      <w:r w:rsidRPr="002C3F16">
        <w:t xml:space="preserve"> population</w:t>
      </w:r>
      <w:r>
        <w:t>)</w:t>
      </w:r>
    </w:p>
    <w:p w14:paraId="2D2C013D" w14:textId="156B6D32" w:rsidR="002264E0" w:rsidRDefault="002264E0" w:rsidP="002264E0">
      <w:r w:rsidRPr="00AD5975">
        <w:rPr>
          <w:noProof/>
          <w:lang w:val="en-GB" w:eastAsia="en-GB"/>
        </w:rPr>
        <w:drawing>
          <wp:inline distT="0" distB="0" distL="0" distR="0" wp14:anchorId="3145DFF9" wp14:editId="61E0A6EB">
            <wp:extent cx="5400040" cy="6466205"/>
            <wp:effectExtent l="0" t="0" r="0" b="0"/>
            <wp:docPr id="10" name="Picture 10" descr="Table 9: Study KD025-213, Demographic and disease characteristics (modified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9: Study KD025-213, Demographic and disease characteristics (modified intent to treat popul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6466205"/>
                    </a:xfrm>
                    <a:prstGeom prst="rect">
                      <a:avLst/>
                    </a:prstGeom>
                    <a:noFill/>
                    <a:ln>
                      <a:noFill/>
                    </a:ln>
                  </pic:spPr>
                </pic:pic>
              </a:graphicData>
            </a:graphic>
          </wp:inline>
        </w:drawing>
      </w:r>
    </w:p>
    <w:p w14:paraId="02177A80" w14:textId="77777777" w:rsidR="00E24E90" w:rsidRDefault="00E24E90" w:rsidP="00E24E90">
      <w:pPr>
        <w:pStyle w:val="TableDescription"/>
      </w:pPr>
      <w:r>
        <w:t xml:space="preserve">Abbreviations: BID = twice daily; </w:t>
      </w:r>
      <w:proofErr w:type="spellStart"/>
      <w:r>
        <w:t>cGVHD</w:t>
      </w:r>
      <w:proofErr w:type="spellEnd"/>
      <w:r>
        <w:t xml:space="preserve">= chronic graft versus host disease; CR = complete response; ECP = extracorporeal photopheresis; GI = gastrointestinal; GSR = global severity rating; max = maximum; min = minimum; </w:t>
      </w:r>
      <w:proofErr w:type="spellStart"/>
      <w:r>
        <w:t>mITT</w:t>
      </w:r>
      <w:proofErr w:type="spellEnd"/>
      <w:r>
        <w:t xml:space="preserve"> = modified intent to treat; MMF = mycophenolate mofetil NIH = National </w:t>
      </w:r>
      <w:proofErr w:type="spellStart"/>
      <w:r>
        <w:t>Insitutes</w:t>
      </w:r>
      <w:proofErr w:type="spellEnd"/>
      <w:r>
        <w:t xml:space="preserve"> of Health; PD = progressive disease; PR = partial response; QD = once daily; SD = stable disease; WHO = World Health Organization.</w:t>
      </w:r>
    </w:p>
    <w:p w14:paraId="59C33D1E" w14:textId="77777777" w:rsidR="00E24E90" w:rsidRDefault="00E24E90" w:rsidP="00E24E90">
      <w:pPr>
        <w:pStyle w:val="TableDescription"/>
      </w:pPr>
      <w:r>
        <w:t xml:space="preserve">Note = The data </w:t>
      </w:r>
      <w:proofErr w:type="spellStart"/>
      <w:r>
        <w:t>cutoff</w:t>
      </w:r>
      <w:proofErr w:type="spellEnd"/>
      <w:r>
        <w:t xml:space="preserve"> date was 19 February 2020.</w:t>
      </w:r>
    </w:p>
    <w:p w14:paraId="320C7FB8" w14:textId="77777777" w:rsidR="00E24E90" w:rsidRDefault="00E24E90" w:rsidP="00E24E90">
      <w:pPr>
        <w:pStyle w:val="TableDescription"/>
      </w:pPr>
      <w:r>
        <w:t xml:space="preserve">a Time from most recent transplant to </w:t>
      </w:r>
      <w:proofErr w:type="spellStart"/>
      <w:r>
        <w:t>cGVHD</w:t>
      </w:r>
      <w:proofErr w:type="spellEnd"/>
      <w:r>
        <w:t xml:space="preserve"> diagnosis (months) = (date of </w:t>
      </w:r>
      <w:proofErr w:type="spellStart"/>
      <w:r>
        <w:t>cGVHD</w:t>
      </w:r>
      <w:proofErr w:type="spellEnd"/>
      <w:r>
        <w:t xml:space="preserve"> diagnosis – date of most recent transplant + 1)/365.25*12</w:t>
      </w:r>
    </w:p>
    <w:p w14:paraId="248C7BD4" w14:textId="77777777" w:rsidR="00E24E90" w:rsidRDefault="00E24E90" w:rsidP="00E24E90">
      <w:pPr>
        <w:pStyle w:val="TableDescription"/>
      </w:pPr>
      <w:r>
        <w:t xml:space="preserve">b Includes prior therapy with </w:t>
      </w:r>
      <w:proofErr w:type="spellStart"/>
      <w:r>
        <w:t>ruxolitinib</w:t>
      </w:r>
      <w:proofErr w:type="spellEnd"/>
      <w:r>
        <w:t xml:space="preserve"> and </w:t>
      </w:r>
      <w:proofErr w:type="spellStart"/>
      <w:r>
        <w:t>ruxolitinib</w:t>
      </w:r>
      <w:proofErr w:type="spellEnd"/>
      <w:r>
        <w:t xml:space="preserve"> phosphate.</w:t>
      </w:r>
    </w:p>
    <w:p w14:paraId="3C774085" w14:textId="77777777" w:rsidR="00E24E90" w:rsidRDefault="00E24E90" w:rsidP="00E24E90">
      <w:pPr>
        <w:pStyle w:val="TableDescription"/>
      </w:pPr>
      <w:r>
        <w:t>c Formula for calculation of the percentages of subjects who were refractory: (PD+SD)/(PD+SD+CR+PR)</w:t>
      </w:r>
    </w:p>
    <w:p w14:paraId="5548D26E" w14:textId="697CC53C" w:rsidR="00E24E90" w:rsidRDefault="00E24E90" w:rsidP="00C85F74">
      <w:pPr>
        <w:pStyle w:val="TableDescription"/>
      </w:pPr>
      <w:r>
        <w:lastRenderedPageBreak/>
        <w:t xml:space="preserve">d Time from </w:t>
      </w:r>
      <w:proofErr w:type="spellStart"/>
      <w:r>
        <w:t>cGVHD</w:t>
      </w:r>
      <w:proofErr w:type="spellEnd"/>
      <w:r>
        <w:t xml:space="preserve"> diagnosis to enrolment (months) = (date of informed consent – date of </w:t>
      </w:r>
      <w:proofErr w:type="spellStart"/>
      <w:r>
        <w:t>cGVHD</w:t>
      </w:r>
      <w:proofErr w:type="spellEnd"/>
      <w:r>
        <w:t xml:space="preserve"> diagnosis + 1)/365.25*12. Subjects with missing or unknown status were excluded.</w:t>
      </w:r>
    </w:p>
    <w:p w14:paraId="7E082015" w14:textId="36A15D4C" w:rsidR="002264E0" w:rsidRDefault="002264E0" w:rsidP="002264E0">
      <w:pPr>
        <w:pStyle w:val="TableTitle"/>
      </w:pPr>
      <w:r>
        <w:t xml:space="preserve">Table </w:t>
      </w:r>
      <w:r w:rsidR="00771B79">
        <w:t>9</w:t>
      </w:r>
      <w:r w:rsidRPr="002264E0">
        <w:t>:</w:t>
      </w:r>
      <w:r>
        <w:t xml:space="preserve"> Study </w:t>
      </w:r>
      <w:r w:rsidRPr="002C3F16">
        <w:t>KD025-213</w:t>
      </w:r>
      <w:r w:rsidR="00771B79">
        <w:t>,</w:t>
      </w:r>
      <w:r w:rsidRPr="002C3F16">
        <w:t xml:space="preserve"> Demographic and disease characteristics </w:t>
      </w:r>
      <w:r>
        <w:t>(modified intent to treat</w:t>
      </w:r>
      <w:r w:rsidRPr="002C3F16">
        <w:t xml:space="preserve"> population</w:t>
      </w:r>
      <w:r>
        <w:t>), continued</w:t>
      </w:r>
    </w:p>
    <w:p w14:paraId="150CB6CE" w14:textId="7F01E7B2" w:rsidR="002264E0" w:rsidRDefault="002264E0" w:rsidP="002264E0">
      <w:r w:rsidRPr="00AD5975">
        <w:rPr>
          <w:noProof/>
          <w:lang w:val="en-GB" w:eastAsia="en-GB"/>
        </w:rPr>
        <w:drawing>
          <wp:inline distT="0" distB="0" distL="0" distR="0" wp14:anchorId="73473FA5" wp14:editId="1E9ED7AA">
            <wp:extent cx="5400040" cy="3307742"/>
            <wp:effectExtent l="0" t="0" r="0" b="6985"/>
            <wp:docPr id="11" name="Picture 11" descr="Table 9 continued: Study KD025-213, Demographic and disease characteristics (modified intent to treat popula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9 continued: Study KD025-213, Demographic and disease characteristics (modified intent to treat population), continued"/>
                    <pic:cNvPicPr>
                      <a:picLocks noChangeAspect="1" noChangeArrowheads="1"/>
                    </pic:cNvPicPr>
                  </pic:nvPicPr>
                  <pic:blipFill rotWithShape="1">
                    <a:blip r:embed="rId22">
                      <a:extLst>
                        <a:ext uri="{28A0092B-C50C-407E-A947-70E740481C1C}">
                          <a14:useLocalDpi xmlns:a14="http://schemas.microsoft.com/office/drawing/2010/main" val="0"/>
                        </a:ext>
                      </a:extLst>
                    </a:blip>
                    <a:srcRect b="45869"/>
                    <a:stretch/>
                  </pic:blipFill>
                  <pic:spPr bwMode="auto">
                    <a:xfrm>
                      <a:off x="0" y="0"/>
                      <a:ext cx="5400040" cy="3307742"/>
                    </a:xfrm>
                    <a:prstGeom prst="rect">
                      <a:avLst/>
                    </a:prstGeom>
                    <a:noFill/>
                    <a:ln>
                      <a:noFill/>
                    </a:ln>
                    <a:extLst>
                      <a:ext uri="{53640926-AAD7-44D8-BBD7-CCE9431645EC}">
                        <a14:shadowObscured xmlns:a14="http://schemas.microsoft.com/office/drawing/2010/main"/>
                      </a:ext>
                    </a:extLst>
                  </pic:spPr>
                </pic:pic>
              </a:graphicData>
            </a:graphic>
          </wp:inline>
        </w:drawing>
      </w:r>
    </w:p>
    <w:p w14:paraId="07228A88" w14:textId="57D94C56" w:rsidR="00A63E8A" w:rsidRDefault="00A63E8A" w:rsidP="00A63E8A">
      <w:pPr>
        <w:pStyle w:val="TableDescription"/>
      </w:pPr>
      <w:r>
        <w:t xml:space="preserve">Abbreviations: BID = twice daily; </w:t>
      </w:r>
      <w:proofErr w:type="spellStart"/>
      <w:r>
        <w:t>cGVHD</w:t>
      </w:r>
      <w:proofErr w:type="spellEnd"/>
      <w:r>
        <w:t xml:space="preserve">= chronic graft versus host disease; CR = complete response; ECP = extracorporeal photopheresis; GI = gastrointestinal; GSR = global severity rating; max = maximum; min = minimum; </w:t>
      </w:r>
      <w:proofErr w:type="spellStart"/>
      <w:r>
        <w:t>mITT</w:t>
      </w:r>
      <w:proofErr w:type="spellEnd"/>
      <w:r>
        <w:t xml:space="preserve"> = modified intent to treat; MMF = mycophenolate mofetil NIH = National </w:t>
      </w:r>
      <w:proofErr w:type="spellStart"/>
      <w:r>
        <w:t>Insitutes</w:t>
      </w:r>
      <w:proofErr w:type="spellEnd"/>
      <w:r>
        <w:t xml:space="preserve"> of Health; PD = progressive disease; PR = partial response; QD = once daily; SD = stable disease; WHO = World Health Organization.</w:t>
      </w:r>
    </w:p>
    <w:p w14:paraId="46525EED" w14:textId="37797417" w:rsidR="00A63E8A" w:rsidRDefault="00A63E8A" w:rsidP="00A63E8A">
      <w:pPr>
        <w:pStyle w:val="TableDescription"/>
      </w:pPr>
      <w:r>
        <w:t xml:space="preserve">Note = The data </w:t>
      </w:r>
      <w:proofErr w:type="spellStart"/>
      <w:r>
        <w:t>cutoff</w:t>
      </w:r>
      <w:proofErr w:type="spellEnd"/>
      <w:r>
        <w:t xml:space="preserve"> date was 19 February 2020.</w:t>
      </w:r>
    </w:p>
    <w:p w14:paraId="38A18BD3" w14:textId="471F9832" w:rsidR="00A63E8A" w:rsidRDefault="00A63E8A" w:rsidP="00A63E8A">
      <w:pPr>
        <w:pStyle w:val="TableDescription"/>
      </w:pPr>
      <w:r>
        <w:t>e Severe was defined as at least 1 organ with a National Institutes of Health Activity Assessment score of 3 or a lung score of *2 at Baseline.</w:t>
      </w:r>
    </w:p>
    <w:p w14:paraId="221EA2E3" w14:textId="150C029E" w:rsidR="00A63E8A" w:rsidRDefault="00A63E8A" w:rsidP="00A63E8A">
      <w:pPr>
        <w:pStyle w:val="TableDescription"/>
      </w:pPr>
      <w:r>
        <w:t>f Medications were coded using WHO Drug Dictionary, version March 207, B2 Format.</w:t>
      </w:r>
    </w:p>
    <w:p w14:paraId="08CD1E2D" w14:textId="24909F30" w:rsidR="00A63E8A" w:rsidRDefault="00A63E8A" w:rsidP="00A63E8A">
      <w:pPr>
        <w:pStyle w:val="TableDescription"/>
      </w:pPr>
      <w:r>
        <w:t>g A subject with multiple medications within a medication type or preferred term was counted only once for that medication type or preferred term.</w:t>
      </w:r>
    </w:p>
    <w:p w14:paraId="5B37C3EF" w14:textId="61AB2C1C" w:rsidR="00A63E8A" w:rsidRDefault="00A63E8A" w:rsidP="00A63E8A">
      <w:pPr>
        <w:pStyle w:val="TableDescription"/>
      </w:pPr>
      <w:r>
        <w:t>h ECP was coded as ‘photopher</w:t>
      </w:r>
      <w:r w:rsidR="00F224D7">
        <w:t>esis’</w:t>
      </w:r>
    </w:p>
    <w:p w14:paraId="7AA40153" w14:textId="04477AC5" w:rsidR="00F224D7" w:rsidRDefault="00F224D7" w:rsidP="00F224D7">
      <w:pPr>
        <w:pStyle w:val="TableTitle"/>
      </w:pPr>
      <w:r w:rsidRPr="00F224D7">
        <w:t xml:space="preserve">Table </w:t>
      </w:r>
      <w:fldSimple w:instr=" SEQ Table \* ARABIC ">
        <w:r w:rsidR="00C85F74">
          <w:rPr>
            <w:noProof/>
          </w:rPr>
          <w:t>10</w:t>
        </w:r>
      </w:fldSimple>
      <w:r w:rsidRPr="00F224D7">
        <w:t>:</w:t>
      </w:r>
      <w:r>
        <w:t xml:space="preserve"> Study </w:t>
      </w:r>
      <w:r w:rsidRPr="002C3F16">
        <w:t>KD025-213</w:t>
      </w:r>
      <w:r w:rsidR="00771B79">
        <w:t>,</w:t>
      </w:r>
      <w:r w:rsidRPr="002C3F16">
        <w:t xml:space="preserve"> </w:t>
      </w:r>
      <w:r w:rsidRPr="009169AD">
        <w:t>Concomitant therapies (≥</w:t>
      </w:r>
      <w:r>
        <w:t xml:space="preserve"> </w:t>
      </w:r>
      <w:r w:rsidRPr="009169AD">
        <w:t xml:space="preserve">5% subjects) </w:t>
      </w:r>
      <w:r>
        <w:t>(modified intent to treat population)</w:t>
      </w:r>
    </w:p>
    <w:p w14:paraId="7EC8127F" w14:textId="0F93D61F" w:rsidR="00F224D7" w:rsidRDefault="00F224D7" w:rsidP="00F224D7">
      <w:r w:rsidRPr="00F3583D">
        <w:rPr>
          <w:noProof/>
          <w:lang w:val="en-GB" w:eastAsia="en-GB"/>
        </w:rPr>
        <w:drawing>
          <wp:inline distT="0" distB="0" distL="0" distR="0" wp14:anchorId="065F4109" wp14:editId="3DE721A0">
            <wp:extent cx="4893868" cy="1088472"/>
            <wp:effectExtent l="0" t="0" r="2540" b="0"/>
            <wp:docPr id="12" name="Picture 12" descr="Table 10: Study KD025-213, Concomitant therapies (≥ 5% subjects) (modified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10: Study KD025-213, Concomitant therapies (≥ 5% subjects) (modified intent to treat population)"/>
                    <pic:cNvPicPr>
                      <a:picLocks noChangeAspect="1" noChangeArrowheads="1"/>
                    </pic:cNvPicPr>
                  </pic:nvPicPr>
                  <pic:blipFill rotWithShape="1">
                    <a:blip r:embed="rId23">
                      <a:extLst>
                        <a:ext uri="{28A0092B-C50C-407E-A947-70E740481C1C}">
                          <a14:useLocalDpi xmlns:a14="http://schemas.microsoft.com/office/drawing/2010/main" val="0"/>
                        </a:ext>
                      </a:extLst>
                    </a:blip>
                    <a:srcRect l="2265" r="998" b="50212"/>
                    <a:stretch/>
                  </pic:blipFill>
                  <pic:spPr bwMode="auto">
                    <a:xfrm>
                      <a:off x="0" y="0"/>
                      <a:ext cx="4907146" cy="1091425"/>
                    </a:xfrm>
                    <a:prstGeom prst="rect">
                      <a:avLst/>
                    </a:prstGeom>
                    <a:noFill/>
                    <a:ln>
                      <a:noFill/>
                    </a:ln>
                    <a:extLst>
                      <a:ext uri="{53640926-AAD7-44D8-BBD7-CCE9431645EC}">
                        <a14:shadowObscured xmlns:a14="http://schemas.microsoft.com/office/drawing/2010/main"/>
                      </a:ext>
                    </a:extLst>
                  </pic:spPr>
                </pic:pic>
              </a:graphicData>
            </a:graphic>
          </wp:inline>
        </w:drawing>
      </w:r>
    </w:p>
    <w:p w14:paraId="358A29FF" w14:textId="1718E5A1" w:rsidR="00124652" w:rsidRDefault="00124652" w:rsidP="00124652">
      <w:pPr>
        <w:pStyle w:val="TableDescription"/>
      </w:pPr>
      <w:r>
        <w:t>a ECP was coded as ‘photopheresis’</w:t>
      </w:r>
    </w:p>
    <w:p w14:paraId="312E124D" w14:textId="62C32710" w:rsidR="00124652" w:rsidRDefault="00124652" w:rsidP="00124652">
      <w:pPr>
        <w:pStyle w:val="TableDescription"/>
      </w:pPr>
      <w:r>
        <w:t>Medications were coded using WHO Drug Dictionary, version March 2012, B 2 format</w:t>
      </w:r>
    </w:p>
    <w:p w14:paraId="73BE7A9C" w14:textId="50BC0C44" w:rsidR="00124652" w:rsidRDefault="00124652" w:rsidP="00124652">
      <w:pPr>
        <w:pStyle w:val="TableDescription"/>
      </w:pPr>
      <w:r>
        <w:t>A subject with multiple medications within a medication type or preferred term was counted only once for that medication type or preferred term.</w:t>
      </w:r>
    </w:p>
    <w:p w14:paraId="592F7D9E" w14:textId="0BE1B174" w:rsidR="00124652" w:rsidRDefault="00124652" w:rsidP="00124652">
      <w:pPr>
        <w:pStyle w:val="TableDescription"/>
      </w:pPr>
      <w:r>
        <w:t xml:space="preserve">The table is sorted in descending order of frequency in the overall column by medication type and by preferred term within each </w:t>
      </w:r>
      <w:r w:rsidR="00E24E90">
        <w:t xml:space="preserve">Anatomical Therapeutical Chemical (ATC) </w:t>
      </w:r>
      <w:r>
        <w:t>class.</w:t>
      </w:r>
    </w:p>
    <w:p w14:paraId="5C2C4A3B" w14:textId="14375B4A" w:rsidR="00124652" w:rsidRDefault="00124652" w:rsidP="00124652">
      <w:pPr>
        <w:pStyle w:val="TableDescription"/>
      </w:pPr>
      <w:r>
        <w:lastRenderedPageBreak/>
        <w:t xml:space="preserve">The results presented are based on the data </w:t>
      </w:r>
      <w:proofErr w:type="spellStart"/>
      <w:r>
        <w:t>cutoff</w:t>
      </w:r>
      <w:proofErr w:type="spellEnd"/>
      <w:r>
        <w:t xml:space="preserve"> date of 19 February 2020</w:t>
      </w:r>
    </w:p>
    <w:p w14:paraId="2AB5F10A" w14:textId="6004483E" w:rsidR="00124652" w:rsidRDefault="00124652" w:rsidP="00124652">
      <w:pPr>
        <w:pStyle w:val="TableDescription"/>
      </w:pPr>
      <w:r>
        <w:t xml:space="preserve">Abbreviation: ATC = Anatomical Therapeutic Chemical; BID = twice daily; </w:t>
      </w:r>
      <w:proofErr w:type="spellStart"/>
      <w:r>
        <w:t>cGVHD</w:t>
      </w:r>
      <w:proofErr w:type="spellEnd"/>
      <w:r>
        <w:t xml:space="preserve"> = chronic graft versus host disease; ECP = extracorporeal photopheresis; </w:t>
      </w:r>
      <w:proofErr w:type="spellStart"/>
      <w:r>
        <w:t>mITT</w:t>
      </w:r>
      <w:proofErr w:type="spellEnd"/>
      <w:r>
        <w:t xml:space="preserve"> = modified intent to treat; MMF = mycophenolate mofetil; QD = once daily; WHO = World Health Organization.</w:t>
      </w:r>
    </w:p>
    <w:p w14:paraId="1F546098" w14:textId="2A58FDE7" w:rsidR="00124652" w:rsidRDefault="00124652" w:rsidP="00124652">
      <w:r w:rsidRPr="00124652">
        <w:t xml:space="preserve">In the </w:t>
      </w:r>
      <w:r>
        <w:t>s</w:t>
      </w:r>
      <w:r w:rsidRPr="00124652">
        <w:t>ponsor’s primary analysis (</w:t>
      </w:r>
      <w:r>
        <w:t>February</w:t>
      </w:r>
      <w:r w:rsidRPr="00124652">
        <w:t xml:space="preserve"> 2020), the ORR in the 200 mg </w:t>
      </w:r>
      <w:r w:rsidR="00D45732">
        <w:t>once daily</w:t>
      </w:r>
      <w:r w:rsidRPr="00124652">
        <w:t xml:space="preserve"> and 200 mg </w:t>
      </w:r>
      <w:r w:rsidR="00D45732">
        <w:t>twice daily</w:t>
      </w:r>
      <w:r w:rsidRPr="00124652">
        <w:t xml:space="preserve"> groups was 72.7% and 74.2% of each cohort respectively. CR in the 200 mg </w:t>
      </w:r>
      <w:r w:rsidR="00D45732">
        <w:t>once daily</w:t>
      </w:r>
      <w:r w:rsidRPr="00124652">
        <w:t xml:space="preserve"> and 200 mg </w:t>
      </w:r>
      <w:r w:rsidR="00D45732">
        <w:t>twice daily</w:t>
      </w:r>
      <w:r w:rsidRPr="00124652">
        <w:t xml:space="preserve"> groups was achieved in 4.5% and 1.5% of each cohort respectively. Disease was unchanged in 21.2% and 15.2% of the 200 mg </w:t>
      </w:r>
      <w:r w:rsidR="00D45732">
        <w:t>once daily</w:t>
      </w:r>
      <w:r w:rsidRPr="00124652">
        <w:t xml:space="preserve"> and 200 mg </w:t>
      </w:r>
      <w:r w:rsidR="00D45732">
        <w:t>twice daily</w:t>
      </w:r>
      <w:r w:rsidRPr="00124652">
        <w:t xml:space="preserve"> groups respectively and disease progression occurred in 1.5% (n</w:t>
      </w:r>
      <w:r w:rsidR="00001419">
        <w:t> </w:t>
      </w:r>
      <w:r w:rsidRPr="00124652">
        <w:t>=</w:t>
      </w:r>
      <w:r w:rsidR="00001419">
        <w:t> </w:t>
      </w:r>
      <w:r w:rsidRPr="00124652">
        <w:t>1) and 3% (n</w:t>
      </w:r>
      <w:r w:rsidR="00001419">
        <w:t> </w:t>
      </w:r>
      <w:r w:rsidRPr="00124652">
        <w:t>=</w:t>
      </w:r>
      <w:r w:rsidR="00001419">
        <w:t> </w:t>
      </w:r>
      <w:r w:rsidRPr="00124652">
        <w:t xml:space="preserve">2) of the 200 mg </w:t>
      </w:r>
      <w:r w:rsidR="00001419">
        <w:t>once daily</w:t>
      </w:r>
      <w:r w:rsidRPr="00124652">
        <w:t xml:space="preserve"> and 200 mg </w:t>
      </w:r>
      <w:r w:rsidR="00001419">
        <w:t>twice daily</w:t>
      </w:r>
      <w:r w:rsidRPr="00124652">
        <w:t xml:space="preserve"> groups respectively. In this follow</w:t>
      </w:r>
      <w:r w:rsidR="00001419">
        <w:t xml:space="preserve"> </w:t>
      </w:r>
      <w:r w:rsidRPr="00124652">
        <w:t xml:space="preserve">up analysis (19 August 2021) ORR calculated by response at any time during treatment is shown </w:t>
      </w:r>
      <w:r w:rsidR="00CB2203">
        <w:t xml:space="preserve">in </w:t>
      </w:r>
      <w:r w:rsidR="00CB2203">
        <w:fldChar w:fldCharType="begin"/>
      </w:r>
      <w:r w:rsidR="00CB2203">
        <w:instrText xml:space="preserve"> REF _Ref99622691 \h </w:instrText>
      </w:r>
      <w:r w:rsidR="00CB2203">
        <w:fldChar w:fldCharType="separate"/>
      </w:r>
      <w:r w:rsidR="00C85F74" w:rsidRPr="00001419">
        <w:t xml:space="preserve">Table </w:t>
      </w:r>
      <w:r w:rsidR="00C85F74">
        <w:rPr>
          <w:noProof/>
        </w:rPr>
        <w:t>11</w:t>
      </w:r>
      <w:r w:rsidR="00CB2203">
        <w:fldChar w:fldCharType="end"/>
      </w:r>
      <w:r w:rsidR="00CB2203">
        <w:t>.</w:t>
      </w:r>
    </w:p>
    <w:p w14:paraId="19DADA3D" w14:textId="093AA4C6" w:rsidR="00001419" w:rsidRDefault="00001419" w:rsidP="00001419">
      <w:pPr>
        <w:pStyle w:val="TableTitle"/>
      </w:pPr>
      <w:bookmarkStart w:id="54" w:name="_Ref99622691"/>
      <w:r w:rsidRPr="00001419">
        <w:t xml:space="preserve">Table </w:t>
      </w:r>
      <w:fldSimple w:instr=" SEQ Table \* ARABIC ">
        <w:r w:rsidR="00C85F74">
          <w:rPr>
            <w:noProof/>
          </w:rPr>
          <w:t>11</w:t>
        </w:r>
      </w:fldSimple>
      <w:bookmarkEnd w:id="54"/>
      <w:r>
        <w:t xml:space="preserve">: Study </w:t>
      </w:r>
      <w:r w:rsidRPr="002C3F16">
        <w:t>KD025-213</w:t>
      </w:r>
      <w:r w:rsidR="00771B79">
        <w:t>,</w:t>
      </w:r>
      <w:r w:rsidRPr="00001419">
        <w:t xml:space="preserve"> Overall </w:t>
      </w:r>
      <w:r>
        <w:t>r</w:t>
      </w:r>
      <w:r w:rsidRPr="00001419">
        <w:t xml:space="preserve">esponse </w:t>
      </w:r>
      <w:r>
        <w:t>r</w:t>
      </w:r>
      <w:r w:rsidRPr="00001419">
        <w:t xml:space="preserve">ate </w:t>
      </w:r>
      <w:r>
        <w:t>f</w:t>
      </w:r>
      <w:r w:rsidRPr="00001419">
        <w:t>ollow</w:t>
      </w:r>
      <w:r>
        <w:t xml:space="preserve"> </w:t>
      </w:r>
      <w:r w:rsidRPr="00001419">
        <w:t xml:space="preserve">up </w:t>
      </w:r>
      <w:r>
        <w:t>a</w:t>
      </w:r>
      <w:r w:rsidRPr="00001419">
        <w:t xml:space="preserve">nalysis </w:t>
      </w:r>
      <w:r>
        <w:t>(</w:t>
      </w:r>
      <w:r w:rsidRPr="00001419">
        <w:t>m</w:t>
      </w:r>
      <w:r>
        <w:t>odified intent to treat</w:t>
      </w:r>
      <w:r w:rsidRPr="00001419">
        <w:t xml:space="preserve"> </w:t>
      </w:r>
      <w:r>
        <w:t>p</w:t>
      </w:r>
      <w:r w:rsidRPr="00001419">
        <w:t>opulation</w:t>
      </w:r>
      <w:r>
        <w:t>)</w:t>
      </w:r>
    </w:p>
    <w:p w14:paraId="2F710B57" w14:textId="4804762C" w:rsidR="00001419" w:rsidRDefault="00001419" w:rsidP="00001419">
      <w:r w:rsidRPr="00217060">
        <w:rPr>
          <w:noProof/>
          <w:lang w:val="en-GB" w:eastAsia="en-GB"/>
        </w:rPr>
        <w:drawing>
          <wp:inline distT="0" distB="0" distL="0" distR="0" wp14:anchorId="3340964C" wp14:editId="6A694775">
            <wp:extent cx="4309059" cy="2179320"/>
            <wp:effectExtent l="0" t="0" r="0" b="0"/>
            <wp:docPr id="36" name="Picture 36" descr="Table 11: Study KD025-213, Overall response rate follow up analysis (modified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 11: Study KD025-213, Overall response rate follow up analysis (modified intent to treat population)"/>
                    <pic:cNvPicPr/>
                  </pic:nvPicPr>
                  <pic:blipFill rotWithShape="1">
                    <a:blip r:embed="rId24"/>
                    <a:srcRect l="1340" b="16065"/>
                    <a:stretch/>
                  </pic:blipFill>
                  <pic:spPr bwMode="auto">
                    <a:xfrm>
                      <a:off x="0" y="0"/>
                      <a:ext cx="4310485" cy="2180041"/>
                    </a:xfrm>
                    <a:prstGeom prst="rect">
                      <a:avLst/>
                    </a:prstGeom>
                    <a:ln>
                      <a:noFill/>
                    </a:ln>
                    <a:extLst>
                      <a:ext uri="{53640926-AAD7-44D8-BBD7-CCE9431645EC}">
                        <a14:shadowObscured xmlns:a14="http://schemas.microsoft.com/office/drawing/2010/main"/>
                      </a:ext>
                    </a:extLst>
                  </pic:spPr>
                </pic:pic>
              </a:graphicData>
            </a:graphic>
          </wp:inline>
        </w:drawing>
      </w:r>
    </w:p>
    <w:p w14:paraId="6E365D3C" w14:textId="57E971C0" w:rsidR="00001419" w:rsidRDefault="00001419" w:rsidP="006D3878">
      <w:pPr>
        <w:pStyle w:val="TableDescription"/>
      </w:pPr>
      <w:r>
        <w:t xml:space="preserve">Abbreviations: BID = twice daily; CI = confidence interval; CR = complete response; </w:t>
      </w:r>
      <w:proofErr w:type="spellStart"/>
      <w:r>
        <w:t>mITT</w:t>
      </w:r>
      <w:proofErr w:type="spellEnd"/>
      <w:r>
        <w:t xml:space="preserve"> = modified intent to treat</w:t>
      </w:r>
      <w:r w:rsidR="006D3878">
        <w:t>; ORR = overall response rate; PR = partial response; QD = once daily.</w:t>
      </w:r>
    </w:p>
    <w:p w14:paraId="31BDAF96" w14:textId="67E2651E" w:rsidR="006D3878" w:rsidRDefault="006D3878" w:rsidP="006D3878">
      <w:pPr>
        <w:pStyle w:val="TableDescription"/>
      </w:pPr>
      <w:r>
        <w:t xml:space="preserve">Note: two-sided, exact CI was calculated using the Clopper Pearson method. The data </w:t>
      </w:r>
      <w:proofErr w:type="spellStart"/>
      <w:r>
        <w:t>cutoff</w:t>
      </w:r>
      <w:proofErr w:type="spellEnd"/>
      <w:r>
        <w:t xml:space="preserve"> date was 19 August 2020.</w:t>
      </w:r>
    </w:p>
    <w:p w14:paraId="0C1BADB2" w14:textId="58EE6589" w:rsidR="006D3878" w:rsidRDefault="006D3878" w:rsidP="006D3878">
      <w:r w:rsidRPr="008672B9">
        <w:t xml:space="preserve">Subgroup analyses were performed for ORR. These were exploratory, results are summarised </w:t>
      </w:r>
      <w:r w:rsidR="00CB2203">
        <w:t xml:space="preserve">in </w:t>
      </w:r>
      <w:r w:rsidR="00CB2203">
        <w:fldChar w:fldCharType="begin"/>
      </w:r>
      <w:r w:rsidR="00CB2203">
        <w:instrText xml:space="preserve"> REF _Ref99622779 \h </w:instrText>
      </w:r>
      <w:r w:rsidR="00CB2203">
        <w:fldChar w:fldCharType="separate"/>
      </w:r>
      <w:r w:rsidR="00C85F74" w:rsidRPr="00CB2203">
        <w:t xml:space="preserve">Figure </w:t>
      </w:r>
      <w:r w:rsidR="00C85F74">
        <w:rPr>
          <w:noProof/>
        </w:rPr>
        <w:t>4</w:t>
      </w:r>
      <w:r w:rsidR="00CB2203">
        <w:fldChar w:fldCharType="end"/>
      </w:r>
      <w:r w:rsidR="00CB2203">
        <w:t>.</w:t>
      </w:r>
    </w:p>
    <w:p w14:paraId="734E0D42" w14:textId="552201EE" w:rsidR="006D3878" w:rsidRDefault="00CB2203" w:rsidP="00CB2203">
      <w:pPr>
        <w:pStyle w:val="FigureTitle"/>
      </w:pPr>
      <w:bookmarkStart w:id="55" w:name="_Ref99622779"/>
      <w:r w:rsidRPr="00CB2203">
        <w:lastRenderedPageBreak/>
        <w:t xml:space="preserve">Figure </w:t>
      </w:r>
      <w:fldSimple w:instr=" SEQ Figure \* ARABIC ">
        <w:r w:rsidR="00C85F74">
          <w:rPr>
            <w:noProof/>
          </w:rPr>
          <w:t>4</w:t>
        </w:r>
      </w:fldSimple>
      <w:bookmarkEnd w:id="55"/>
      <w:r>
        <w:t xml:space="preserve">: Study </w:t>
      </w:r>
      <w:r w:rsidRPr="002C3F16">
        <w:t>KD025-213</w:t>
      </w:r>
      <w:r w:rsidR="00771B79">
        <w:t>,</w:t>
      </w:r>
      <w:r w:rsidRPr="00001419">
        <w:t xml:space="preserve"> </w:t>
      </w:r>
      <w:r w:rsidRPr="008672B9">
        <w:t xml:space="preserve">Forest </w:t>
      </w:r>
      <w:r>
        <w:t>p</w:t>
      </w:r>
      <w:r w:rsidRPr="008672B9">
        <w:t xml:space="preserve">lot of </w:t>
      </w:r>
      <w:r>
        <w:t>o</w:t>
      </w:r>
      <w:r w:rsidRPr="008672B9">
        <w:t xml:space="preserve">verall </w:t>
      </w:r>
      <w:r>
        <w:t>r</w:t>
      </w:r>
      <w:r w:rsidRPr="008672B9">
        <w:t xml:space="preserve">esponse </w:t>
      </w:r>
      <w:r>
        <w:t>r</w:t>
      </w:r>
      <w:r w:rsidRPr="008672B9">
        <w:t xml:space="preserve">ate by </w:t>
      </w:r>
      <w:r>
        <w:t>s</w:t>
      </w:r>
      <w:r w:rsidRPr="008672B9">
        <w:t>ubgroup</w:t>
      </w:r>
      <w:r>
        <w:t xml:space="preserve"> (a</w:t>
      </w:r>
      <w:r w:rsidRPr="008672B9">
        <w:t xml:space="preserve">ll </w:t>
      </w:r>
      <w:r>
        <w:t>s</w:t>
      </w:r>
      <w:r w:rsidRPr="008672B9">
        <w:t>ubjects, m</w:t>
      </w:r>
      <w:r>
        <w:t>odified intent to treat p</w:t>
      </w:r>
      <w:r w:rsidRPr="008672B9">
        <w:t>opulation</w:t>
      </w:r>
      <w:r>
        <w:t>)</w:t>
      </w:r>
    </w:p>
    <w:p w14:paraId="0C3BA19A" w14:textId="7D050A31" w:rsidR="00CB2203" w:rsidRDefault="00CB2203" w:rsidP="00A13125">
      <w:r w:rsidRPr="008672B9">
        <w:rPr>
          <w:noProof/>
          <w:lang w:val="en-GB" w:eastAsia="en-GB"/>
        </w:rPr>
        <w:drawing>
          <wp:inline distT="0" distB="0" distL="0" distR="0" wp14:anchorId="7B470339" wp14:editId="29CD2CCD">
            <wp:extent cx="4323283" cy="3705416"/>
            <wp:effectExtent l="0" t="0" r="1270" b="9525"/>
            <wp:docPr id="37" name="Picture 37" descr="Figure 4: Study KD025-213, Forest plot of overall response rate by subgroup (all subjects, modified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4: Study KD025-213, Forest plot of overall response rate by subgroup (all subjects, modified intent to treat population)"/>
                    <pic:cNvPicPr/>
                  </pic:nvPicPr>
                  <pic:blipFill rotWithShape="1">
                    <a:blip r:embed="rId25"/>
                    <a:srcRect l="5543" t="1791" r="13064" b="21203"/>
                    <a:stretch/>
                  </pic:blipFill>
                  <pic:spPr bwMode="auto">
                    <a:xfrm>
                      <a:off x="0" y="0"/>
                      <a:ext cx="4336681" cy="3716900"/>
                    </a:xfrm>
                    <a:prstGeom prst="rect">
                      <a:avLst/>
                    </a:prstGeom>
                    <a:ln>
                      <a:noFill/>
                    </a:ln>
                    <a:extLst>
                      <a:ext uri="{53640926-AAD7-44D8-BBD7-CCE9431645EC}">
                        <a14:shadowObscured xmlns:a14="http://schemas.microsoft.com/office/drawing/2010/main"/>
                      </a:ext>
                    </a:extLst>
                  </pic:spPr>
                </pic:pic>
              </a:graphicData>
            </a:graphic>
          </wp:inline>
        </w:drawing>
      </w:r>
    </w:p>
    <w:p w14:paraId="4564F834" w14:textId="23436CF5" w:rsidR="00CB2203" w:rsidRDefault="00CB2203" w:rsidP="0014033A">
      <w:pPr>
        <w:pStyle w:val="FigureDescription"/>
      </w:pPr>
      <w:r>
        <w:t>Abbreviation: BID = twice daily</w:t>
      </w:r>
      <w:r w:rsidR="00E57E27">
        <w:t xml:space="preserve">; C1D1 = Cycle 1 Day 1; CI = confidence interval; </w:t>
      </w:r>
      <w:proofErr w:type="spellStart"/>
      <w:r w:rsidR="00E57E27">
        <w:t>mITT</w:t>
      </w:r>
      <w:proofErr w:type="spellEnd"/>
      <w:r w:rsidR="00E57E27">
        <w:t xml:space="preserve"> = modified intent to treat; ORR = overall response rate; PPI = proton pump inhibitor; QD = once daily.</w:t>
      </w:r>
    </w:p>
    <w:p w14:paraId="6CB7B756" w14:textId="02CF26C4" w:rsidR="00E57E27" w:rsidRDefault="00E57E27" w:rsidP="0014033A">
      <w:pPr>
        <w:pStyle w:val="FigureDescription"/>
      </w:pPr>
      <w:r>
        <w:t xml:space="preserve">Notes: CIs were calculated using the Clopper-Pearson interval (exact) method. The vertical bar references 30% which was considered clinically meaningful in unmet need population. The ‘*’ indicates stratification factors. Response assessment performed on or after initiation of new systemic therapy for </w:t>
      </w:r>
      <w:proofErr w:type="spellStart"/>
      <w:r>
        <w:t>cGVHD</w:t>
      </w:r>
      <w:proofErr w:type="spellEnd"/>
      <w:r>
        <w:t xml:space="preserve"> are excluded from the analysis. The data </w:t>
      </w:r>
      <w:proofErr w:type="spellStart"/>
      <w:r>
        <w:t>cutoff</w:t>
      </w:r>
      <w:proofErr w:type="spellEnd"/>
      <w:r>
        <w:t xml:space="preserve"> date was 19 August 2020.</w:t>
      </w:r>
    </w:p>
    <w:p w14:paraId="600ED24A" w14:textId="1CEB5925" w:rsidR="00E57E27" w:rsidRDefault="00E57E27" w:rsidP="00E57E27">
      <w:r>
        <w:t xml:space="preserve">Secondary endpoints are shown in </w:t>
      </w:r>
      <w:r>
        <w:fldChar w:fldCharType="begin"/>
      </w:r>
      <w:r>
        <w:instrText xml:space="preserve"> REF _Ref99623112 \h </w:instrText>
      </w:r>
      <w:r>
        <w:fldChar w:fldCharType="separate"/>
      </w:r>
      <w:r w:rsidR="00C85F74" w:rsidRPr="00E57E27">
        <w:t xml:space="preserve">Table </w:t>
      </w:r>
      <w:r w:rsidR="00C85F74">
        <w:rPr>
          <w:noProof/>
        </w:rPr>
        <w:t>12</w:t>
      </w:r>
      <w:r>
        <w:fldChar w:fldCharType="end"/>
      </w:r>
      <w:r>
        <w:t>.</w:t>
      </w:r>
    </w:p>
    <w:p w14:paraId="4CC915D3" w14:textId="581627B0" w:rsidR="00E57E27" w:rsidRDefault="00E57E27" w:rsidP="00E57E27">
      <w:pPr>
        <w:pStyle w:val="TableTitle"/>
      </w:pPr>
      <w:bookmarkStart w:id="56" w:name="_Ref99623112"/>
      <w:r w:rsidRPr="00E57E27">
        <w:lastRenderedPageBreak/>
        <w:t xml:space="preserve">Table </w:t>
      </w:r>
      <w:fldSimple w:instr=" SEQ Table \* ARABIC ">
        <w:r w:rsidR="00C85F74">
          <w:rPr>
            <w:noProof/>
          </w:rPr>
          <w:t>12</w:t>
        </w:r>
      </w:fldSimple>
      <w:bookmarkEnd w:id="56"/>
      <w:r>
        <w:t xml:space="preserve">: Study </w:t>
      </w:r>
      <w:r w:rsidRPr="002C3F16">
        <w:t>KD025-213</w:t>
      </w:r>
      <w:r w:rsidR="00771B79">
        <w:t>,</w:t>
      </w:r>
      <w:r>
        <w:t xml:space="preserve"> Secondary endpoints efficacy update (19 August 2020)</w:t>
      </w:r>
    </w:p>
    <w:p w14:paraId="44D478D2" w14:textId="58E5CB73" w:rsidR="00E57E27" w:rsidRDefault="00E57E27" w:rsidP="00E57E27">
      <w:r w:rsidRPr="008672B9">
        <w:rPr>
          <w:noProof/>
          <w:lang w:val="en-GB" w:eastAsia="en-GB"/>
        </w:rPr>
        <w:drawing>
          <wp:inline distT="0" distB="0" distL="0" distR="0" wp14:anchorId="532A32CA" wp14:editId="12DF2EDC">
            <wp:extent cx="4388076" cy="4216617"/>
            <wp:effectExtent l="0" t="0" r="0" b="0"/>
            <wp:docPr id="38" name="Picture 38" descr="Table 12: Study KD025-213, Secondary endpoints efficacy update (19 Augus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 12: Study KD025-213, Secondary endpoints efficacy update (19 August 2020)"/>
                    <pic:cNvPicPr/>
                  </pic:nvPicPr>
                  <pic:blipFill>
                    <a:blip r:embed="rId26"/>
                    <a:stretch>
                      <a:fillRect/>
                    </a:stretch>
                  </pic:blipFill>
                  <pic:spPr>
                    <a:xfrm>
                      <a:off x="0" y="0"/>
                      <a:ext cx="4388076" cy="4216617"/>
                    </a:xfrm>
                    <a:prstGeom prst="rect">
                      <a:avLst/>
                    </a:prstGeom>
                  </pic:spPr>
                </pic:pic>
              </a:graphicData>
            </a:graphic>
          </wp:inline>
        </w:drawing>
      </w:r>
      <w:r w:rsidRPr="0026353D">
        <w:rPr>
          <w:noProof/>
          <w:lang w:val="en-GB" w:eastAsia="en-GB"/>
        </w:rPr>
        <w:drawing>
          <wp:inline distT="0" distB="0" distL="0" distR="0" wp14:anchorId="29139939" wp14:editId="4CC9A62D">
            <wp:extent cx="4442460" cy="1660505"/>
            <wp:effectExtent l="0" t="0" r="0" b="0"/>
            <wp:docPr id="39" name="Picture 39" descr="Table 12 continued: Study KD025-213, Secondary endpoints efficacy update (19 Augus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 12 continued: Study KD025-213, Secondary endpoints efficacy update (19 August 2020)"/>
                    <pic:cNvPicPr/>
                  </pic:nvPicPr>
                  <pic:blipFill rotWithShape="1">
                    <a:blip r:embed="rId27"/>
                    <a:srcRect t="12061" b="32031"/>
                    <a:stretch/>
                  </pic:blipFill>
                  <pic:spPr bwMode="auto">
                    <a:xfrm>
                      <a:off x="0" y="0"/>
                      <a:ext cx="4445228" cy="1661540"/>
                    </a:xfrm>
                    <a:prstGeom prst="rect">
                      <a:avLst/>
                    </a:prstGeom>
                    <a:ln>
                      <a:noFill/>
                    </a:ln>
                    <a:extLst>
                      <a:ext uri="{53640926-AAD7-44D8-BBD7-CCE9431645EC}">
                        <a14:shadowObscured xmlns:a14="http://schemas.microsoft.com/office/drawing/2010/main"/>
                      </a:ext>
                    </a:extLst>
                  </pic:spPr>
                </pic:pic>
              </a:graphicData>
            </a:graphic>
          </wp:inline>
        </w:drawing>
      </w:r>
    </w:p>
    <w:p w14:paraId="02BAE149" w14:textId="6793BC4F" w:rsidR="00E57E27" w:rsidRDefault="00043D17" w:rsidP="00E57E27">
      <w:pPr>
        <w:pStyle w:val="TableDescription"/>
      </w:pPr>
      <w:r>
        <w:t xml:space="preserve">Abbreviations: 4.7-PtR = </w:t>
      </w:r>
      <w:proofErr w:type="gramStart"/>
      <w:r>
        <w:t>4.7 point</w:t>
      </w:r>
      <w:proofErr w:type="gramEnd"/>
      <w:r>
        <w:t xml:space="preserve"> reduction; 7-PtR =7 point reduction; BID = twice daily; </w:t>
      </w:r>
      <w:proofErr w:type="spellStart"/>
      <w:r>
        <w:t>cGVHD</w:t>
      </w:r>
      <w:proofErr w:type="spellEnd"/>
      <w:r>
        <w:t xml:space="preserve"> = chronic graft versus host disease; CI = confidence interval; GI = gastrointestinal; GSR = global severity rating; max = maximum; min = minimum; NR = not reached; OS = overall survival; PROMIS = patient reported outcomes measurement information system; QD = once daily.</w:t>
      </w:r>
    </w:p>
    <w:p w14:paraId="29AC09F4" w14:textId="6F873DB0" w:rsidR="00043D17" w:rsidRDefault="00043D17" w:rsidP="00E57E27">
      <w:pPr>
        <w:pStyle w:val="TableDescription"/>
      </w:pPr>
      <w:r>
        <w:t xml:space="preserve">Note: The data </w:t>
      </w:r>
      <w:proofErr w:type="spellStart"/>
      <w:r>
        <w:t>cutoff</w:t>
      </w:r>
      <w:proofErr w:type="spellEnd"/>
      <w:r>
        <w:t xml:space="preserve"> date was 19 August 2020</w:t>
      </w:r>
    </w:p>
    <w:p w14:paraId="3256713D" w14:textId="1E7E90A5" w:rsidR="00043D17" w:rsidRDefault="00043D17" w:rsidP="00E57E27">
      <w:pPr>
        <w:pStyle w:val="TableDescription"/>
      </w:pPr>
      <w:r>
        <w:t>a Response = CR or PR</w:t>
      </w:r>
    </w:p>
    <w:p w14:paraId="787FD2FE" w14:textId="6A4601E3" w:rsidR="00043D17" w:rsidRDefault="00043D17" w:rsidP="00E57E27">
      <w:pPr>
        <w:pStyle w:val="TableDescription"/>
      </w:pPr>
      <w:r>
        <w:t xml:space="preserve">b </w:t>
      </w:r>
      <w:proofErr w:type="gramStart"/>
      <w:r>
        <w:t>The</w:t>
      </w:r>
      <w:proofErr w:type="gramEnd"/>
      <w:r>
        <w:t xml:space="preserve"> 7-PtR</w:t>
      </w:r>
      <w:r w:rsidR="00FA05FD">
        <w:t>is a ≥ 7 point reduction</w:t>
      </w:r>
    </w:p>
    <w:p w14:paraId="1AC33F0E" w14:textId="3E3AB6F1" w:rsidR="00FA05FD" w:rsidRDefault="00FA05FD" w:rsidP="00E57E27">
      <w:pPr>
        <w:pStyle w:val="TableDescription"/>
      </w:pPr>
      <w:r>
        <w:t xml:space="preserve">c Change from Baseline in PROMIS Global Health </w:t>
      </w:r>
      <w:proofErr w:type="spellStart"/>
      <w:r>
        <w:t>subscore</w:t>
      </w:r>
      <w:proofErr w:type="spellEnd"/>
      <w:r>
        <w:t xml:space="preserve"> was an exploratory efficacy endpoint.</w:t>
      </w:r>
    </w:p>
    <w:p w14:paraId="6D8908CD" w14:textId="55D6AC8A" w:rsidR="00FA05FD" w:rsidRDefault="00FA05FD" w:rsidP="00FA05FD">
      <w:r w:rsidRPr="00C85F74">
        <w:rPr>
          <w:i/>
        </w:rPr>
        <w:t>Post hoc</w:t>
      </w:r>
      <w:r w:rsidRPr="00FA05FD">
        <w:t xml:space="preserve"> analyses were performed using the</w:t>
      </w:r>
      <w:r w:rsidR="00304165">
        <w:t xml:space="preserve"> </w:t>
      </w:r>
      <w:r>
        <w:t>KARA</w:t>
      </w:r>
      <w:r w:rsidRPr="00FA05FD">
        <w:t xml:space="preserve">. When these results were compared with the </w:t>
      </w:r>
      <w:r>
        <w:t>i</w:t>
      </w:r>
      <w:r w:rsidRPr="00FA05FD">
        <w:t xml:space="preserve">nvestigator assessments of ORR the results were similar. Subgroup analyses showed that less severity of disease, shorter duration of </w:t>
      </w:r>
      <w:proofErr w:type="spellStart"/>
      <w:r w:rsidRPr="00FA05FD">
        <w:t>cGVHD</w:t>
      </w:r>
      <w:proofErr w:type="spellEnd"/>
      <w:r w:rsidRPr="00FA05FD">
        <w:t xml:space="preserve">, fewer prior lines of therapy, and fewer organs involved at </w:t>
      </w:r>
      <w:r>
        <w:t>B</w:t>
      </w:r>
      <w:r w:rsidRPr="00FA05FD">
        <w:t xml:space="preserve">aseline were all associated with higher CR results and a small increase in ORR. The largest difference in ORRs was for duration of </w:t>
      </w:r>
      <w:proofErr w:type="spellStart"/>
      <w:r w:rsidRPr="00FA05FD">
        <w:t>cGVHD</w:t>
      </w:r>
      <w:proofErr w:type="spellEnd"/>
      <w:r w:rsidRPr="00FA05FD">
        <w:t xml:space="preserve">. The </w:t>
      </w:r>
      <w:r w:rsidR="00E24E90">
        <w:t>fiftieth</w:t>
      </w:r>
      <w:r w:rsidR="00E24E90" w:rsidRPr="00FA05FD">
        <w:t xml:space="preserve"> </w:t>
      </w:r>
      <w:r w:rsidRPr="00FA05FD">
        <w:t xml:space="preserve">percentile of patients in the shortest duration of </w:t>
      </w:r>
      <w:proofErr w:type="spellStart"/>
      <w:r w:rsidRPr="00FA05FD">
        <w:t>cGVHD</w:t>
      </w:r>
      <w:proofErr w:type="spellEnd"/>
      <w:r w:rsidRPr="00FA05FD">
        <w:t xml:space="preserve"> at </w:t>
      </w:r>
      <w:r w:rsidR="00304165">
        <w:t>B</w:t>
      </w:r>
      <w:r w:rsidRPr="00FA05FD">
        <w:t xml:space="preserve">aseline had an </w:t>
      </w:r>
      <w:r w:rsidRPr="00FA05FD">
        <w:lastRenderedPageBreak/>
        <w:t xml:space="preserve">ORR of 80.3% whereas the </w:t>
      </w:r>
      <w:r w:rsidR="00E24E90">
        <w:t>fiftieth</w:t>
      </w:r>
      <w:r w:rsidR="00E24E90" w:rsidRPr="00FA05FD">
        <w:t xml:space="preserve"> </w:t>
      </w:r>
      <w:r w:rsidRPr="00FA05FD">
        <w:t xml:space="preserve">percentile of patients with the longest duration of </w:t>
      </w:r>
      <w:proofErr w:type="spellStart"/>
      <w:r w:rsidRPr="00FA05FD">
        <w:t>cGVHD</w:t>
      </w:r>
      <w:proofErr w:type="spellEnd"/>
      <w:r w:rsidRPr="00FA05FD">
        <w:t xml:space="preserve"> at </w:t>
      </w:r>
      <w:r>
        <w:t>B</w:t>
      </w:r>
      <w:r w:rsidRPr="00FA05FD">
        <w:t>aseline had an ORR of 68.2%.</w:t>
      </w:r>
    </w:p>
    <w:p w14:paraId="6665B91E" w14:textId="4229139D" w:rsidR="00FA05FD" w:rsidRDefault="00FA05FD" w:rsidP="00FA05FD">
      <w:pPr>
        <w:pStyle w:val="TableTitle"/>
      </w:pPr>
      <w:r w:rsidRPr="00FA05FD">
        <w:t xml:space="preserve">Table </w:t>
      </w:r>
      <w:fldSimple w:instr=" SEQ Table \* ARABIC ">
        <w:r w:rsidR="00C85F74">
          <w:rPr>
            <w:noProof/>
          </w:rPr>
          <w:t>13</w:t>
        </w:r>
      </w:fldSimple>
      <w:r>
        <w:t xml:space="preserve">: </w:t>
      </w:r>
      <w:r w:rsidR="00771B79">
        <w:t xml:space="preserve">Study </w:t>
      </w:r>
      <w:r w:rsidR="00771B79" w:rsidRPr="002C3F16">
        <w:t>KD025-213</w:t>
      </w:r>
      <w:r w:rsidR="00771B79">
        <w:t xml:space="preserve">, </w:t>
      </w:r>
      <w:r w:rsidRPr="00FA05FD">
        <w:t xml:space="preserve">Descriptive Kaplan-Meier and landmark statistics for duration of response (secondary) </w:t>
      </w:r>
      <w:r w:rsidR="00E24E90">
        <w:t xml:space="preserve">by </w:t>
      </w:r>
      <w:proofErr w:type="spellStart"/>
      <w:r w:rsidR="00E24E90">
        <w:t>Kadmon</w:t>
      </w:r>
      <w:proofErr w:type="spellEnd"/>
      <w:r w:rsidR="00E24E90">
        <w:t xml:space="preserve"> Algorithmic Response Assessment (</w:t>
      </w:r>
      <w:r w:rsidRPr="00FA05FD">
        <w:t>KARA</w:t>
      </w:r>
      <w:r w:rsidR="00E24E90">
        <w:t>)</w:t>
      </w:r>
      <w:r w:rsidRPr="00FA05FD">
        <w:t xml:space="preserve"> (responder population)</w:t>
      </w:r>
    </w:p>
    <w:p w14:paraId="1E77FA1F" w14:textId="41732F39" w:rsidR="00FA05FD" w:rsidRDefault="00FA05FD" w:rsidP="00FA05FD">
      <w:r w:rsidRPr="00F15129">
        <w:rPr>
          <w:noProof/>
          <w:lang w:val="en-GB" w:eastAsia="en-GB"/>
        </w:rPr>
        <w:drawing>
          <wp:inline distT="0" distB="0" distL="0" distR="0" wp14:anchorId="5596DE45" wp14:editId="4F720D20">
            <wp:extent cx="5049672" cy="1754213"/>
            <wp:effectExtent l="0" t="0" r="0" b="0"/>
            <wp:docPr id="17" name="Picture 17" descr="Table 13: Study KD025-213, Descriptive Kaplan-Meier and landmark statistics for duration of response (secondary) KARA (responde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13: Study KD025-213, Descriptive Kaplan-Meier and landmark statistics for duration of response (secondary) KARA (responder population)"/>
                    <pic:cNvPicPr/>
                  </pic:nvPicPr>
                  <pic:blipFill rotWithShape="1">
                    <a:blip r:embed="rId28"/>
                    <a:srcRect l="1643" r="2688" b="39467"/>
                    <a:stretch/>
                  </pic:blipFill>
                  <pic:spPr bwMode="auto">
                    <a:xfrm>
                      <a:off x="0" y="0"/>
                      <a:ext cx="5066550" cy="1760076"/>
                    </a:xfrm>
                    <a:prstGeom prst="rect">
                      <a:avLst/>
                    </a:prstGeom>
                    <a:ln>
                      <a:noFill/>
                    </a:ln>
                    <a:extLst>
                      <a:ext uri="{53640926-AAD7-44D8-BBD7-CCE9431645EC}">
                        <a14:shadowObscured xmlns:a14="http://schemas.microsoft.com/office/drawing/2010/main"/>
                      </a:ext>
                    </a:extLst>
                  </pic:spPr>
                </pic:pic>
              </a:graphicData>
            </a:graphic>
          </wp:inline>
        </w:drawing>
      </w:r>
    </w:p>
    <w:p w14:paraId="7AE77B5D" w14:textId="541CB93A" w:rsidR="00FA05FD" w:rsidRPr="00FA05FD" w:rsidRDefault="00FA05FD" w:rsidP="00FA05FD">
      <w:pPr>
        <w:pStyle w:val="TableDescription"/>
      </w:pPr>
      <w:r w:rsidRPr="00FA05FD">
        <w:t>Note:</w:t>
      </w:r>
    </w:p>
    <w:p w14:paraId="5031023C" w14:textId="032F8FEB" w:rsidR="00FA05FD" w:rsidRPr="00FA05FD" w:rsidRDefault="00FA05FD" w:rsidP="00FA05FD">
      <w:pPr>
        <w:pStyle w:val="TableDescription"/>
      </w:pPr>
      <w:r w:rsidRPr="00FA05FD">
        <w:t>- This responder population is defined based on response status of KARA</w:t>
      </w:r>
    </w:p>
    <w:p w14:paraId="6E816DEF" w14:textId="2255C9F2" w:rsidR="00FA05FD" w:rsidRPr="00FA05FD" w:rsidRDefault="00FA05FD" w:rsidP="00FA05FD">
      <w:pPr>
        <w:pStyle w:val="TableDescription"/>
      </w:pPr>
      <w:r w:rsidRPr="00FA05FD">
        <w:t>- The percentage are calculated based on the number of responder population</w:t>
      </w:r>
    </w:p>
    <w:p w14:paraId="6D9B1AB1" w14:textId="1B8BAA53" w:rsidR="00FA05FD" w:rsidRPr="00FA05FD" w:rsidRDefault="00FA05FD" w:rsidP="00FA05FD">
      <w:pPr>
        <w:pStyle w:val="TableDescription"/>
      </w:pPr>
      <w:r w:rsidRPr="00FA05FD">
        <w:t xml:space="preserve">- CI = confidence </w:t>
      </w:r>
      <w:proofErr w:type="spellStart"/>
      <w:r w:rsidRPr="00FA05FD">
        <w:t>intervatl</w:t>
      </w:r>
      <w:proofErr w:type="spellEnd"/>
      <w:r w:rsidRPr="00FA05FD">
        <w:t>, CI is calculated using Kaplan-Meier method</w:t>
      </w:r>
    </w:p>
    <w:p w14:paraId="48DCAD18" w14:textId="34272544" w:rsidR="00FA05FD" w:rsidRPr="00FA05FD" w:rsidRDefault="00FA05FD" w:rsidP="00FA05FD">
      <w:pPr>
        <w:pStyle w:val="TableDescription"/>
      </w:pPr>
      <w:r w:rsidRPr="00FA05FD">
        <w:t xml:space="preserve">- KARA = </w:t>
      </w:r>
      <w:proofErr w:type="spellStart"/>
      <w:r w:rsidRPr="00FA05FD">
        <w:t>Kadmon</w:t>
      </w:r>
      <w:proofErr w:type="spellEnd"/>
      <w:r w:rsidRPr="00FA05FD">
        <w:t xml:space="preserve"> algorithmic response assessments.</w:t>
      </w:r>
    </w:p>
    <w:p w14:paraId="5CCD6A88" w14:textId="54410A8B" w:rsidR="00FA05FD" w:rsidRPr="00FA05FD" w:rsidRDefault="00FA05FD" w:rsidP="00FA05FD">
      <w:pPr>
        <w:pStyle w:val="TableDescription"/>
      </w:pPr>
      <w:r w:rsidRPr="00FA05FD">
        <w:t>- * = Number and percentage are based on using landmark analysis without adjustment for censoring</w:t>
      </w:r>
    </w:p>
    <w:p w14:paraId="5E3E543B" w14:textId="20283908" w:rsidR="00FA05FD" w:rsidRPr="00FA05FD" w:rsidRDefault="00FA05FD" w:rsidP="00FA05FD">
      <w:pPr>
        <w:pStyle w:val="TableDescription"/>
      </w:pPr>
      <w:r w:rsidRPr="00FA05FD">
        <w:t xml:space="preserve">- New systemic </w:t>
      </w:r>
      <w:proofErr w:type="spellStart"/>
      <w:r w:rsidRPr="00FA05FD">
        <w:t>cGVHD</w:t>
      </w:r>
      <w:proofErr w:type="spellEnd"/>
      <w:r w:rsidRPr="00FA05FD">
        <w:t xml:space="preserve"> treatment and death are considered loss of response if occurring within two cycles (56 days) after last assessment.</w:t>
      </w:r>
    </w:p>
    <w:p w14:paraId="4220A6FF" w14:textId="24B39A9E" w:rsidR="00FA05FD" w:rsidRDefault="00FA05FD" w:rsidP="00FA05FD">
      <w:pPr>
        <w:pStyle w:val="TableDescription"/>
      </w:pPr>
      <w:r w:rsidRPr="00FA05FD">
        <w:t>- Others include treatment discontinued.</w:t>
      </w:r>
    </w:p>
    <w:p w14:paraId="30968DF9" w14:textId="27A60925" w:rsidR="00FA05FD" w:rsidRPr="009169AD" w:rsidRDefault="00E24E90" w:rsidP="00E4297E">
      <w:pPr>
        <w:pStyle w:val="Heading6"/>
      </w:pPr>
      <w:r>
        <w:t>Clinical r</w:t>
      </w:r>
      <w:r w:rsidR="00FA05FD">
        <w:t>eviewer</w:t>
      </w:r>
      <w:r w:rsidR="00FA05FD" w:rsidRPr="009169AD">
        <w:t xml:space="preserve"> analysis </w:t>
      </w:r>
      <w:r w:rsidR="00FA05FD">
        <w:t xml:space="preserve">of </w:t>
      </w:r>
      <w:r w:rsidR="00771B79" w:rsidRPr="00771B79">
        <w:t xml:space="preserve">Study KD025-213 </w:t>
      </w:r>
      <w:r w:rsidR="00771B79">
        <w:t xml:space="preserve">overall response rate and duration of response </w:t>
      </w:r>
    </w:p>
    <w:p w14:paraId="1AD14B2C" w14:textId="4A9A1C18" w:rsidR="00FA05FD" w:rsidRDefault="00FA05FD" w:rsidP="00771B79">
      <w:r>
        <w:t xml:space="preserve">The clinical </w:t>
      </w:r>
      <w:r w:rsidR="00771B79">
        <w:t>r</w:t>
      </w:r>
      <w:r>
        <w:t xml:space="preserve">eviewers applied alternative definitions for the primary endpoint, the primary analysis set, method of adjudication, definition of ORR, DOR and of alternate measures of durability. These are tabulated and compared with those of the </w:t>
      </w:r>
      <w:r w:rsidR="00771B79">
        <w:t>s</w:t>
      </w:r>
      <w:r>
        <w:t>ponsor in</w:t>
      </w:r>
      <w:r w:rsidR="00771B79">
        <w:t xml:space="preserve"> </w:t>
      </w:r>
      <w:r w:rsidR="00771B79">
        <w:fldChar w:fldCharType="begin"/>
      </w:r>
      <w:r w:rsidR="00771B79">
        <w:instrText xml:space="preserve"> REF _Ref99443502 \h </w:instrText>
      </w:r>
      <w:r w:rsidR="00771B79">
        <w:fldChar w:fldCharType="separate"/>
      </w:r>
      <w:r w:rsidR="00C85F74" w:rsidRPr="003D0318">
        <w:t xml:space="preserve">Table </w:t>
      </w:r>
      <w:r w:rsidR="00C85F74">
        <w:rPr>
          <w:noProof/>
        </w:rPr>
        <w:t>3</w:t>
      </w:r>
      <w:r w:rsidR="00771B79">
        <w:fldChar w:fldCharType="end"/>
      </w:r>
      <w:r>
        <w:t xml:space="preserve">. The major differences were in the assessment of ORR and DOR as discussed in the introduction to efficacy. The </w:t>
      </w:r>
      <w:r w:rsidR="00771B79">
        <w:t>r</w:t>
      </w:r>
      <w:r>
        <w:t xml:space="preserve">eviewers considered that one patient did not have active </w:t>
      </w:r>
      <w:proofErr w:type="spellStart"/>
      <w:r>
        <w:t>cGVHD</w:t>
      </w:r>
      <w:proofErr w:type="spellEnd"/>
      <w:r>
        <w:t xml:space="preserve"> at </w:t>
      </w:r>
      <w:r w:rsidR="00771B79">
        <w:t>B</w:t>
      </w:r>
      <w:r>
        <w:t xml:space="preserve">aseline and excluded that patient from its analyses. The definition of ORR was the same as in the study report except that response was required within the first </w:t>
      </w:r>
      <w:r w:rsidR="00771B79">
        <w:t>six</w:t>
      </w:r>
      <w:r>
        <w:t xml:space="preserve"> months of treatment.</w:t>
      </w:r>
    </w:p>
    <w:p w14:paraId="193F5D84" w14:textId="05D3D890" w:rsidR="00FA05FD" w:rsidRDefault="00771B79" w:rsidP="00EE3825">
      <w:pPr>
        <w:pStyle w:val="TableTitle"/>
      </w:pPr>
      <w:r w:rsidRPr="00EE3825">
        <w:t xml:space="preserve">Table </w:t>
      </w:r>
      <w:fldSimple w:instr=" SEQ Table \* ARABIC ">
        <w:r w:rsidR="00C85F74">
          <w:rPr>
            <w:noProof/>
          </w:rPr>
          <w:t>14</w:t>
        </w:r>
      </w:fldSimple>
      <w:r>
        <w:t xml:space="preserve">: </w:t>
      </w:r>
      <w:r w:rsidRPr="00771B79">
        <w:t>Study KD025-213</w:t>
      </w:r>
      <w:r>
        <w:t>, Overall response rate</w:t>
      </w:r>
      <w:r w:rsidRPr="00771B79">
        <w:t xml:space="preserve"> by Cycle </w:t>
      </w:r>
      <w:r w:rsidR="00EE3825">
        <w:t>7</w:t>
      </w:r>
      <w:r w:rsidRPr="00771B79">
        <w:t xml:space="preserve"> Day 1 per Clinical Reviewer’s adjudication by dose group</w:t>
      </w:r>
    </w:p>
    <w:tbl>
      <w:tblPr>
        <w:tblStyle w:val="TableGrid"/>
        <w:tblW w:w="0" w:type="auto"/>
        <w:tblLook w:val="04A0" w:firstRow="1" w:lastRow="0" w:firstColumn="1" w:lastColumn="0" w:noHBand="0" w:noVBand="1"/>
      </w:tblPr>
      <w:tblGrid>
        <w:gridCol w:w="1809"/>
        <w:gridCol w:w="2268"/>
        <w:gridCol w:w="2410"/>
      </w:tblGrid>
      <w:tr w:rsidR="00EE3825" w14:paraId="14443DB7" w14:textId="77777777" w:rsidTr="0028062C">
        <w:tc>
          <w:tcPr>
            <w:tcW w:w="1809" w:type="dxa"/>
          </w:tcPr>
          <w:p w14:paraId="2AEB77C2" w14:textId="77777777" w:rsidR="00EE3825" w:rsidRDefault="00EE3825" w:rsidP="0028062C">
            <w:r>
              <w:t>Response</w:t>
            </w:r>
          </w:p>
        </w:tc>
        <w:tc>
          <w:tcPr>
            <w:tcW w:w="2268" w:type="dxa"/>
          </w:tcPr>
          <w:p w14:paraId="265E1915" w14:textId="2A529770" w:rsidR="00EE3825" w:rsidRDefault="00EE3825" w:rsidP="0028062C">
            <w:r>
              <w:t>200 mg once daily</w:t>
            </w:r>
          </w:p>
          <w:p w14:paraId="02F4F8AC" w14:textId="119E4D21" w:rsidR="00EE3825" w:rsidRDefault="00EE3825" w:rsidP="0028062C">
            <w:r>
              <w:t>N = 65</w:t>
            </w:r>
          </w:p>
        </w:tc>
        <w:tc>
          <w:tcPr>
            <w:tcW w:w="2410" w:type="dxa"/>
          </w:tcPr>
          <w:p w14:paraId="0AF4A140" w14:textId="5C0EBC33" w:rsidR="00EE3825" w:rsidRDefault="00EE3825" w:rsidP="0028062C">
            <w:r>
              <w:t>200 mg twice daily</w:t>
            </w:r>
          </w:p>
          <w:p w14:paraId="65DAC1A8" w14:textId="3599535F" w:rsidR="00EE3825" w:rsidRDefault="00EE3825" w:rsidP="0028062C">
            <w:r>
              <w:t>N = 66</w:t>
            </w:r>
          </w:p>
        </w:tc>
      </w:tr>
      <w:tr w:rsidR="00EE3825" w14:paraId="0675D611" w14:textId="77777777" w:rsidTr="0028062C">
        <w:tc>
          <w:tcPr>
            <w:tcW w:w="1809" w:type="dxa"/>
          </w:tcPr>
          <w:p w14:paraId="19004B0F" w14:textId="3BCB7277" w:rsidR="00EE3825" w:rsidRPr="00011231" w:rsidRDefault="00EE3825" w:rsidP="0028062C">
            <w:pPr>
              <w:rPr>
                <w:vertAlign w:val="superscript"/>
              </w:rPr>
            </w:pPr>
            <w:r>
              <w:t>ORR</w:t>
            </w:r>
          </w:p>
        </w:tc>
        <w:tc>
          <w:tcPr>
            <w:tcW w:w="2268" w:type="dxa"/>
          </w:tcPr>
          <w:p w14:paraId="3B4C2D0E" w14:textId="77777777" w:rsidR="00EE3825" w:rsidRDefault="00EE3825" w:rsidP="0028062C">
            <w:r>
              <w:t>49/65, 75% (63,85)</w:t>
            </w:r>
          </w:p>
        </w:tc>
        <w:tc>
          <w:tcPr>
            <w:tcW w:w="2410" w:type="dxa"/>
          </w:tcPr>
          <w:p w14:paraId="74694B2C" w14:textId="77777777" w:rsidR="00EE3825" w:rsidRDefault="00EE3825" w:rsidP="0028062C">
            <w:r>
              <w:t>46/66, 70% (57,80)</w:t>
            </w:r>
          </w:p>
        </w:tc>
      </w:tr>
      <w:tr w:rsidR="00EE3825" w14:paraId="6AB66E2A" w14:textId="77777777" w:rsidTr="0028062C">
        <w:tc>
          <w:tcPr>
            <w:tcW w:w="1809" w:type="dxa"/>
          </w:tcPr>
          <w:p w14:paraId="71A2000C" w14:textId="77777777" w:rsidR="00EE3825" w:rsidRDefault="00EE3825" w:rsidP="0028062C">
            <w:r>
              <w:t>CR</w:t>
            </w:r>
          </w:p>
        </w:tc>
        <w:tc>
          <w:tcPr>
            <w:tcW w:w="2268" w:type="dxa"/>
          </w:tcPr>
          <w:p w14:paraId="6EE8BD33" w14:textId="77777777" w:rsidR="00EE3825" w:rsidRDefault="00EE3825" w:rsidP="0028062C">
            <w:r>
              <w:t>4/65, 6% (2,15)</w:t>
            </w:r>
          </w:p>
        </w:tc>
        <w:tc>
          <w:tcPr>
            <w:tcW w:w="2410" w:type="dxa"/>
          </w:tcPr>
          <w:p w14:paraId="71AF3CA5" w14:textId="77777777" w:rsidR="00EE3825" w:rsidRDefault="00EE3825" w:rsidP="0028062C">
            <w:r>
              <w:t>1/66, 2% (0,8)</w:t>
            </w:r>
          </w:p>
        </w:tc>
      </w:tr>
      <w:tr w:rsidR="00EE3825" w14:paraId="38B58FC5" w14:textId="77777777" w:rsidTr="0028062C">
        <w:tc>
          <w:tcPr>
            <w:tcW w:w="1809" w:type="dxa"/>
          </w:tcPr>
          <w:p w14:paraId="73AD3492" w14:textId="77777777" w:rsidR="00EE3825" w:rsidRDefault="00EE3825" w:rsidP="0028062C">
            <w:r>
              <w:t>PR</w:t>
            </w:r>
          </w:p>
        </w:tc>
        <w:tc>
          <w:tcPr>
            <w:tcW w:w="2268" w:type="dxa"/>
          </w:tcPr>
          <w:p w14:paraId="56C6B3C8" w14:textId="77777777" w:rsidR="00EE3825" w:rsidRDefault="00EE3825" w:rsidP="0028062C">
            <w:r>
              <w:t>45/65, 69% (57, 80)</w:t>
            </w:r>
          </w:p>
        </w:tc>
        <w:tc>
          <w:tcPr>
            <w:tcW w:w="2410" w:type="dxa"/>
          </w:tcPr>
          <w:p w14:paraId="1FEBEB7B" w14:textId="77777777" w:rsidR="00EE3825" w:rsidRDefault="00EE3825" w:rsidP="0028062C">
            <w:r>
              <w:t xml:space="preserve">45/66, 68% (56, 79) </w:t>
            </w:r>
          </w:p>
        </w:tc>
      </w:tr>
    </w:tbl>
    <w:p w14:paraId="682B4EFE" w14:textId="41B46406" w:rsidR="00EE3825" w:rsidRDefault="00EE3825" w:rsidP="00EE3825">
      <w:pPr>
        <w:pStyle w:val="TableDescription"/>
      </w:pPr>
      <w:r>
        <w:t>Abbreviation: ORR = overall response rate; CR = complete response; PR = partial response</w:t>
      </w:r>
    </w:p>
    <w:p w14:paraId="2C394520" w14:textId="5D8EC5B0" w:rsidR="00EE3825" w:rsidRPr="004E0CBD" w:rsidRDefault="00EE3825" w:rsidP="00EE3825">
      <w:r>
        <w:t>The clinical reviewer’s primary definition of DOR was the i</w:t>
      </w:r>
      <w:r w:rsidRPr="006D302B">
        <w:t xml:space="preserve">nterval from first response by C7D1 to progression in any organ, death, or new systemic therapies for </w:t>
      </w:r>
      <w:proofErr w:type="spellStart"/>
      <w:r w:rsidRPr="006D302B">
        <w:t>cGVHD</w:t>
      </w:r>
      <w:proofErr w:type="spellEnd"/>
      <w:r w:rsidRPr="006D302B">
        <w:t xml:space="preserve"> </w:t>
      </w:r>
      <w:proofErr w:type="gramStart"/>
      <w:r>
        <w:t>For</w:t>
      </w:r>
      <w:proofErr w:type="gramEnd"/>
      <w:r>
        <w:t xml:space="preserve"> </w:t>
      </w:r>
      <w:r>
        <w:lastRenderedPageBreak/>
        <w:t>responses that began through C7D1, the median time to first response in the responders was 1.8 months (95% CI: 1, 1.9). Median duration of response is 1.9 (95% CI: 1.2, 2.9) months in 200 mg once daily group.</w:t>
      </w:r>
    </w:p>
    <w:p w14:paraId="7CE91D2E" w14:textId="1A5BD786" w:rsidR="00EE3825" w:rsidRDefault="00EE3825" w:rsidP="00EE3825">
      <w:pPr>
        <w:pStyle w:val="TableTitle"/>
      </w:pPr>
      <w:r w:rsidRPr="00EE3825">
        <w:t xml:space="preserve">Table </w:t>
      </w:r>
      <w:fldSimple w:instr=" SEQ Table \* ARABIC ">
        <w:r w:rsidR="00C85F74">
          <w:rPr>
            <w:noProof/>
          </w:rPr>
          <w:t>15</w:t>
        </w:r>
      </w:fldSimple>
      <w:r>
        <w:t xml:space="preserve">: </w:t>
      </w:r>
      <w:r w:rsidRPr="00771B79">
        <w:t>Study KD025-213</w:t>
      </w:r>
      <w:r>
        <w:t xml:space="preserve">, </w:t>
      </w:r>
      <w:r w:rsidRPr="00F15129">
        <w:t xml:space="preserve">Duration of </w:t>
      </w:r>
      <w:r>
        <w:t>r</w:t>
      </w:r>
      <w:r w:rsidRPr="00F15129">
        <w:t xml:space="preserve">esponse </w:t>
      </w:r>
      <w:r>
        <w:t xml:space="preserve">(primary definition) </w:t>
      </w:r>
      <w:r w:rsidRPr="00F15129">
        <w:t xml:space="preserve">per </w:t>
      </w:r>
      <w:r w:rsidR="00E24E90">
        <w:t xml:space="preserve">clinical </w:t>
      </w:r>
      <w:r>
        <w:t>reviewer</w:t>
      </w:r>
      <w:r w:rsidRPr="00F15129">
        <w:t xml:space="preserve"> </w:t>
      </w:r>
      <w:r>
        <w:t>a</w:t>
      </w:r>
      <w:r w:rsidRPr="00F15129">
        <w:t>djudication</w:t>
      </w:r>
    </w:p>
    <w:tbl>
      <w:tblPr>
        <w:tblStyle w:val="TableTGAblue"/>
        <w:tblW w:w="0" w:type="auto"/>
        <w:tblLook w:val="04A0" w:firstRow="1" w:lastRow="0" w:firstColumn="1" w:lastColumn="0" w:noHBand="0" w:noVBand="1"/>
      </w:tblPr>
      <w:tblGrid>
        <w:gridCol w:w="2260"/>
        <w:gridCol w:w="1445"/>
        <w:gridCol w:w="1807"/>
      </w:tblGrid>
      <w:tr w:rsidR="00EE3825" w14:paraId="0CB2D652" w14:textId="77777777" w:rsidTr="00593540">
        <w:trPr>
          <w:cnfStyle w:val="100000000000" w:firstRow="1" w:lastRow="0" w:firstColumn="0" w:lastColumn="0" w:oddVBand="0" w:evenVBand="0" w:oddHBand="0" w:evenHBand="0" w:firstRowFirstColumn="0" w:firstRowLastColumn="0" w:lastRowFirstColumn="0" w:lastRowLastColumn="0"/>
          <w:trHeight w:val="349"/>
        </w:trPr>
        <w:tc>
          <w:tcPr>
            <w:tcW w:w="2260" w:type="dxa"/>
            <w:vMerge w:val="restart"/>
          </w:tcPr>
          <w:p w14:paraId="3B68D8DF" w14:textId="77777777" w:rsidR="00EE3825" w:rsidRPr="000A0B27" w:rsidRDefault="00EE3825" w:rsidP="0028062C">
            <w:pPr>
              <w:rPr>
                <w:sz w:val="20"/>
                <w:szCs w:val="20"/>
              </w:rPr>
            </w:pPr>
          </w:p>
        </w:tc>
        <w:tc>
          <w:tcPr>
            <w:tcW w:w="3252" w:type="dxa"/>
            <w:gridSpan w:val="2"/>
          </w:tcPr>
          <w:p w14:paraId="4054B50F" w14:textId="77777777" w:rsidR="00EE3825" w:rsidRPr="000A0B27" w:rsidRDefault="00EE3825" w:rsidP="0028062C">
            <w:pPr>
              <w:rPr>
                <w:sz w:val="20"/>
                <w:szCs w:val="20"/>
              </w:rPr>
            </w:pPr>
            <w:proofErr w:type="spellStart"/>
            <w:r w:rsidRPr="000A0B27">
              <w:rPr>
                <w:sz w:val="20"/>
                <w:szCs w:val="20"/>
              </w:rPr>
              <w:t>Belumosudil</w:t>
            </w:r>
            <w:proofErr w:type="spellEnd"/>
          </w:p>
        </w:tc>
      </w:tr>
      <w:tr w:rsidR="00EE3825" w14:paraId="1FCCB15D" w14:textId="77777777" w:rsidTr="00593540">
        <w:trPr>
          <w:trHeight w:val="711"/>
        </w:trPr>
        <w:tc>
          <w:tcPr>
            <w:tcW w:w="2260" w:type="dxa"/>
            <w:vMerge/>
          </w:tcPr>
          <w:p w14:paraId="43D4C169" w14:textId="77777777" w:rsidR="00EE3825" w:rsidRPr="000A0B27" w:rsidRDefault="00EE3825" w:rsidP="0028062C">
            <w:pPr>
              <w:rPr>
                <w:sz w:val="20"/>
                <w:szCs w:val="20"/>
              </w:rPr>
            </w:pPr>
          </w:p>
        </w:tc>
        <w:tc>
          <w:tcPr>
            <w:tcW w:w="1445" w:type="dxa"/>
          </w:tcPr>
          <w:p w14:paraId="540CA6C5" w14:textId="21DFE485" w:rsidR="00EE3825" w:rsidRPr="000A0B27" w:rsidRDefault="00EE3825" w:rsidP="0028062C">
            <w:pPr>
              <w:rPr>
                <w:sz w:val="20"/>
                <w:szCs w:val="20"/>
              </w:rPr>
            </w:pPr>
            <w:r w:rsidRPr="000A0B27">
              <w:rPr>
                <w:sz w:val="20"/>
                <w:szCs w:val="20"/>
              </w:rPr>
              <w:t xml:space="preserve">200 mg </w:t>
            </w:r>
            <w:r>
              <w:rPr>
                <w:sz w:val="20"/>
                <w:szCs w:val="20"/>
              </w:rPr>
              <w:t>once daily</w:t>
            </w:r>
          </w:p>
          <w:p w14:paraId="0466B44E" w14:textId="631BF66E" w:rsidR="00EE3825" w:rsidRPr="000A0B27" w:rsidRDefault="00EE3825" w:rsidP="0028062C">
            <w:pPr>
              <w:rPr>
                <w:sz w:val="20"/>
                <w:szCs w:val="20"/>
              </w:rPr>
            </w:pPr>
            <w:r w:rsidRPr="000A0B27">
              <w:rPr>
                <w:sz w:val="20"/>
                <w:szCs w:val="20"/>
              </w:rPr>
              <w:t>N</w:t>
            </w:r>
            <w:r>
              <w:rPr>
                <w:sz w:val="20"/>
                <w:szCs w:val="20"/>
              </w:rPr>
              <w:t xml:space="preserve"> </w:t>
            </w:r>
            <w:r w:rsidRPr="000A0B27">
              <w:rPr>
                <w:sz w:val="20"/>
                <w:szCs w:val="20"/>
              </w:rPr>
              <w:t>=</w:t>
            </w:r>
            <w:r>
              <w:rPr>
                <w:sz w:val="20"/>
                <w:szCs w:val="20"/>
              </w:rPr>
              <w:t xml:space="preserve"> </w:t>
            </w:r>
            <w:r w:rsidRPr="000A0B27">
              <w:rPr>
                <w:sz w:val="20"/>
                <w:szCs w:val="20"/>
              </w:rPr>
              <w:t>49</w:t>
            </w:r>
          </w:p>
        </w:tc>
        <w:tc>
          <w:tcPr>
            <w:tcW w:w="1807" w:type="dxa"/>
          </w:tcPr>
          <w:p w14:paraId="731FB48D" w14:textId="6C4388A5" w:rsidR="00EE3825" w:rsidRPr="000A0B27" w:rsidRDefault="00EE3825" w:rsidP="0028062C">
            <w:pPr>
              <w:rPr>
                <w:sz w:val="20"/>
                <w:szCs w:val="20"/>
              </w:rPr>
            </w:pPr>
            <w:r w:rsidRPr="000A0B27">
              <w:rPr>
                <w:sz w:val="20"/>
                <w:szCs w:val="20"/>
              </w:rPr>
              <w:t xml:space="preserve">200 mg </w:t>
            </w:r>
            <w:r>
              <w:rPr>
                <w:sz w:val="20"/>
                <w:szCs w:val="20"/>
              </w:rPr>
              <w:t>twice daily</w:t>
            </w:r>
          </w:p>
          <w:p w14:paraId="225E8979" w14:textId="5068011B" w:rsidR="00EE3825" w:rsidRPr="000A0B27" w:rsidRDefault="00EE3825" w:rsidP="0028062C">
            <w:pPr>
              <w:rPr>
                <w:sz w:val="20"/>
                <w:szCs w:val="20"/>
              </w:rPr>
            </w:pPr>
            <w:r w:rsidRPr="000A0B27">
              <w:rPr>
                <w:sz w:val="20"/>
                <w:szCs w:val="20"/>
              </w:rPr>
              <w:t>N</w:t>
            </w:r>
            <w:r>
              <w:rPr>
                <w:sz w:val="20"/>
                <w:szCs w:val="20"/>
              </w:rPr>
              <w:t xml:space="preserve"> </w:t>
            </w:r>
            <w:r w:rsidRPr="000A0B27">
              <w:rPr>
                <w:sz w:val="20"/>
                <w:szCs w:val="20"/>
              </w:rPr>
              <w:t>=</w:t>
            </w:r>
            <w:r>
              <w:rPr>
                <w:sz w:val="20"/>
                <w:szCs w:val="20"/>
              </w:rPr>
              <w:t xml:space="preserve"> </w:t>
            </w:r>
            <w:r w:rsidRPr="000A0B27">
              <w:rPr>
                <w:sz w:val="20"/>
                <w:szCs w:val="20"/>
              </w:rPr>
              <w:t>46</w:t>
            </w:r>
          </w:p>
        </w:tc>
      </w:tr>
      <w:tr w:rsidR="00EE3825" w14:paraId="42227B3B" w14:textId="77777777" w:rsidTr="00593540">
        <w:trPr>
          <w:trHeight w:val="341"/>
        </w:trPr>
        <w:tc>
          <w:tcPr>
            <w:tcW w:w="2260" w:type="dxa"/>
          </w:tcPr>
          <w:p w14:paraId="0ABCFE6D" w14:textId="77777777" w:rsidR="00EE3825" w:rsidRPr="000A0B27" w:rsidRDefault="00EE3825" w:rsidP="0028062C">
            <w:pPr>
              <w:rPr>
                <w:sz w:val="20"/>
                <w:szCs w:val="20"/>
              </w:rPr>
            </w:pPr>
            <w:r w:rsidRPr="000A0B27">
              <w:rPr>
                <w:sz w:val="20"/>
                <w:szCs w:val="20"/>
              </w:rPr>
              <w:t>Events, n (%)</w:t>
            </w:r>
          </w:p>
        </w:tc>
        <w:tc>
          <w:tcPr>
            <w:tcW w:w="1445" w:type="dxa"/>
          </w:tcPr>
          <w:p w14:paraId="0F795393" w14:textId="77777777" w:rsidR="00EE3825" w:rsidRPr="000A0B27" w:rsidRDefault="00EE3825" w:rsidP="0028062C">
            <w:pPr>
              <w:rPr>
                <w:sz w:val="20"/>
                <w:szCs w:val="20"/>
              </w:rPr>
            </w:pPr>
            <w:r w:rsidRPr="000A0B27">
              <w:rPr>
                <w:sz w:val="20"/>
                <w:szCs w:val="20"/>
              </w:rPr>
              <w:t>41 (84%)</w:t>
            </w:r>
          </w:p>
        </w:tc>
        <w:tc>
          <w:tcPr>
            <w:tcW w:w="1807" w:type="dxa"/>
          </w:tcPr>
          <w:p w14:paraId="3C87D5D1" w14:textId="77777777" w:rsidR="00EE3825" w:rsidRPr="000A0B27" w:rsidRDefault="00EE3825" w:rsidP="0028062C">
            <w:pPr>
              <w:rPr>
                <w:sz w:val="20"/>
                <w:szCs w:val="20"/>
              </w:rPr>
            </w:pPr>
            <w:r w:rsidRPr="000A0B27">
              <w:rPr>
                <w:sz w:val="20"/>
                <w:szCs w:val="20"/>
              </w:rPr>
              <w:t>35 (76%)</w:t>
            </w:r>
          </w:p>
        </w:tc>
      </w:tr>
      <w:tr w:rsidR="00EE3825" w14:paraId="50A73A5E" w14:textId="77777777" w:rsidTr="00593540">
        <w:trPr>
          <w:trHeight w:val="334"/>
        </w:trPr>
        <w:tc>
          <w:tcPr>
            <w:tcW w:w="2260" w:type="dxa"/>
          </w:tcPr>
          <w:p w14:paraId="3FDE6B23" w14:textId="40FF5C46" w:rsidR="00EE3825" w:rsidRPr="000A0B27" w:rsidRDefault="00EE3825" w:rsidP="0028062C">
            <w:pPr>
              <w:rPr>
                <w:sz w:val="20"/>
                <w:szCs w:val="20"/>
                <w:vertAlign w:val="superscript"/>
              </w:rPr>
            </w:pPr>
            <w:r w:rsidRPr="000A0B27">
              <w:rPr>
                <w:sz w:val="20"/>
                <w:szCs w:val="20"/>
              </w:rPr>
              <w:t>Median, months (95%CI)</w:t>
            </w:r>
          </w:p>
        </w:tc>
        <w:tc>
          <w:tcPr>
            <w:tcW w:w="1445" w:type="dxa"/>
          </w:tcPr>
          <w:p w14:paraId="52C0FC59" w14:textId="77777777" w:rsidR="00EE3825" w:rsidRPr="000A0B27" w:rsidRDefault="00EE3825" w:rsidP="0028062C">
            <w:pPr>
              <w:rPr>
                <w:sz w:val="20"/>
                <w:szCs w:val="20"/>
              </w:rPr>
            </w:pPr>
            <w:r w:rsidRPr="000A0B27">
              <w:rPr>
                <w:sz w:val="20"/>
                <w:szCs w:val="20"/>
              </w:rPr>
              <w:t>1.9 (1.2, 2.9)</w:t>
            </w:r>
          </w:p>
        </w:tc>
        <w:tc>
          <w:tcPr>
            <w:tcW w:w="1807" w:type="dxa"/>
          </w:tcPr>
          <w:p w14:paraId="509DCBFB" w14:textId="77777777" w:rsidR="00EE3825" w:rsidRPr="000A0B27" w:rsidRDefault="00EE3825" w:rsidP="0028062C">
            <w:pPr>
              <w:rPr>
                <w:sz w:val="20"/>
                <w:szCs w:val="20"/>
              </w:rPr>
            </w:pPr>
            <w:r w:rsidRPr="000A0B27">
              <w:rPr>
                <w:sz w:val="20"/>
                <w:szCs w:val="20"/>
              </w:rPr>
              <w:t>1.8 (1.0, 4.6)</w:t>
            </w:r>
          </w:p>
        </w:tc>
      </w:tr>
    </w:tbl>
    <w:p w14:paraId="37C74B1B" w14:textId="1953A967" w:rsidR="00EE3825" w:rsidRDefault="00EE3825" w:rsidP="00EE3825">
      <w:pPr>
        <w:pStyle w:val="TableDescription"/>
      </w:pPr>
      <w:r>
        <w:t>Abbreviation: CI = confidence interval</w:t>
      </w:r>
    </w:p>
    <w:p w14:paraId="39969143" w14:textId="0191E7AC" w:rsidR="00EE3825" w:rsidRDefault="00EE3825" w:rsidP="00EE3825">
      <w:r>
        <w:t xml:space="preserve">For responses that began through C7D1, DOR assessed as time from response to new systemic therapy or death, whichever occurs first showed median DOR is non-estimable in the 200 mg once daily group. Durability of response was longer than six months in 79% (95% CI: 64%, 88%) and longer than 12 months in 62% (95% CI: 46%, 74%) of patients in the 200 mg once daily group. The Kaplan Meier plot of durability of response by the alternate definition is shown in </w:t>
      </w:r>
      <w:r>
        <w:fldChar w:fldCharType="begin"/>
      </w:r>
      <w:r>
        <w:instrText xml:space="preserve"> REF _Ref99706098 \h </w:instrText>
      </w:r>
      <w:r>
        <w:fldChar w:fldCharType="separate"/>
      </w:r>
      <w:r w:rsidR="00C85F74" w:rsidRPr="00EE3825">
        <w:t xml:space="preserve">Figure </w:t>
      </w:r>
      <w:r w:rsidR="00C85F74">
        <w:rPr>
          <w:noProof/>
        </w:rPr>
        <w:t>5</w:t>
      </w:r>
      <w:r>
        <w:fldChar w:fldCharType="end"/>
      </w:r>
      <w:r>
        <w:t>.</w:t>
      </w:r>
    </w:p>
    <w:p w14:paraId="560948BA" w14:textId="2B4D7A0E" w:rsidR="00EE3825" w:rsidRDefault="00EE3825" w:rsidP="00EE3825">
      <w:pPr>
        <w:pStyle w:val="FigureTitle"/>
      </w:pPr>
      <w:bookmarkStart w:id="57" w:name="_Ref99706098"/>
      <w:r w:rsidRPr="00EE3825">
        <w:t xml:space="preserve">Figure </w:t>
      </w:r>
      <w:fldSimple w:instr=" SEQ Figure \* ARABIC ">
        <w:r w:rsidR="00C85F74">
          <w:rPr>
            <w:noProof/>
          </w:rPr>
          <w:t>5</w:t>
        </w:r>
      </w:fldSimple>
      <w:bookmarkEnd w:id="57"/>
      <w:r>
        <w:t>:</w:t>
      </w:r>
      <w:r w:rsidRPr="00EE3825">
        <w:t xml:space="preserve"> </w:t>
      </w:r>
      <w:r>
        <w:t xml:space="preserve">Durability of </w:t>
      </w:r>
      <w:r w:rsidR="00E24E90">
        <w:t>r</w:t>
      </w:r>
      <w:r>
        <w:t>esponse (</w:t>
      </w:r>
      <w:r w:rsidR="00E24E90">
        <w:t xml:space="preserve">clinical </w:t>
      </w:r>
      <w:r>
        <w:t>review</w:t>
      </w:r>
      <w:r w:rsidR="00E24E90">
        <w:t>er</w:t>
      </w:r>
      <w:r>
        <w:t>’s adjudication, alternate definition of duration of response)</w:t>
      </w:r>
    </w:p>
    <w:p w14:paraId="142B8875" w14:textId="3D73303A" w:rsidR="00EE3825" w:rsidRDefault="00EE3825" w:rsidP="00EE3825">
      <w:r w:rsidRPr="00CA12CD">
        <w:rPr>
          <w:noProof/>
          <w:lang w:val="en-GB" w:eastAsia="en-GB"/>
        </w:rPr>
        <w:drawing>
          <wp:inline distT="0" distB="0" distL="0" distR="0" wp14:anchorId="66C74059" wp14:editId="5B221FFE">
            <wp:extent cx="3438144" cy="3443410"/>
            <wp:effectExtent l="0" t="0" r="0" b="5080"/>
            <wp:docPr id="8" name="Picture 8" descr="Figure 5: Durability of Response (review’s adjudication, alternate definition of duration of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5: Durability of Response (review’s adjudication, alternate definition of duration of response)"/>
                    <pic:cNvPicPr/>
                  </pic:nvPicPr>
                  <pic:blipFill rotWithShape="1">
                    <a:blip r:embed="rId29"/>
                    <a:srcRect l="9191" t="1334" r="6514" b="3425"/>
                    <a:stretch/>
                  </pic:blipFill>
                  <pic:spPr bwMode="auto">
                    <a:xfrm>
                      <a:off x="0" y="0"/>
                      <a:ext cx="3454848" cy="3460139"/>
                    </a:xfrm>
                    <a:prstGeom prst="rect">
                      <a:avLst/>
                    </a:prstGeom>
                    <a:ln>
                      <a:noFill/>
                    </a:ln>
                    <a:extLst>
                      <a:ext uri="{53640926-AAD7-44D8-BBD7-CCE9431645EC}">
                        <a14:shadowObscured xmlns:a14="http://schemas.microsoft.com/office/drawing/2010/main"/>
                      </a:ext>
                    </a:extLst>
                  </pic:spPr>
                </pic:pic>
              </a:graphicData>
            </a:graphic>
          </wp:inline>
        </w:drawing>
      </w:r>
    </w:p>
    <w:p w14:paraId="706B661A" w14:textId="6889FA64" w:rsidR="00EE3825" w:rsidRDefault="00EE3825" w:rsidP="00EE3825">
      <w:r>
        <w:t>The DOR (</w:t>
      </w:r>
      <w:r w:rsidR="00E24E90">
        <w:t xml:space="preserve">clinical </w:t>
      </w:r>
      <w:r>
        <w:t xml:space="preserve">reviewer primary definition) and the median TTR for responders in the combined Phase II analysis group that is Studies 208 and 213 was 7.9 weeks (range, 3.7 to 40.6) among subjects in the 200 mg once daily group. By 10 weeks, 50 subjects (84.7%) in the 200 mg once daily group had achieved a response. The median time to new therapy for patients in the </w:t>
      </w:r>
      <w:proofErr w:type="spellStart"/>
      <w:r>
        <w:t>mITT</w:t>
      </w:r>
      <w:proofErr w:type="spellEnd"/>
      <w:r>
        <w:t>-</w:t>
      </w:r>
      <w:r w:rsidR="00304165">
        <w:t>Phase II analysis group</w:t>
      </w:r>
      <w:r>
        <w:t xml:space="preserve"> population in the 200 mg once daily group </w:t>
      </w:r>
      <w:r>
        <w:lastRenderedPageBreak/>
        <w:t xml:space="preserve">was not reached (95% CI: 15.18, not reached). Among patients in the 200 mg once daily group, 22 subjects (26.5%) received a new systemic therapy for </w:t>
      </w:r>
      <w:proofErr w:type="spellStart"/>
      <w:r>
        <w:t>cGVHD</w:t>
      </w:r>
      <w:proofErr w:type="spellEnd"/>
      <w:r>
        <w:t>.</w:t>
      </w:r>
    </w:p>
    <w:p w14:paraId="6338F49F" w14:textId="621DC371" w:rsidR="00EE3825" w:rsidRDefault="00EE3825" w:rsidP="00EE3825">
      <w:r>
        <w:t xml:space="preserve">At Baseline, over 20% of subjects had received prior treatment with </w:t>
      </w:r>
      <w:proofErr w:type="spellStart"/>
      <w:r>
        <w:t>ruxolitinib</w:t>
      </w:r>
      <w:proofErr w:type="spellEnd"/>
      <w:r>
        <w:t xml:space="preserve">, while more than 25% had received prior treatment with ibrutinib. The reviewers noted that investigators elected to continue subjects even those who had not received </w:t>
      </w:r>
      <w:proofErr w:type="spellStart"/>
      <w:r>
        <w:t>ruxolitinib</w:t>
      </w:r>
      <w:proofErr w:type="spellEnd"/>
      <w:r>
        <w:t xml:space="preserve"> or ibrutinib, on </w:t>
      </w:r>
      <w:proofErr w:type="spellStart"/>
      <w:r>
        <w:t>belumosudil</w:t>
      </w:r>
      <w:proofErr w:type="spellEnd"/>
      <w:r>
        <w:t xml:space="preserve">, suggesting that investigators saw some clinical benefit in continued </w:t>
      </w:r>
      <w:proofErr w:type="spellStart"/>
      <w:r>
        <w:t>belumosudil</w:t>
      </w:r>
      <w:proofErr w:type="spellEnd"/>
      <w:r>
        <w:t xml:space="preserve"> dosing despite other available options.</w:t>
      </w:r>
    </w:p>
    <w:p w14:paraId="1B0D574C" w14:textId="63DCD345" w:rsidR="00EE3825" w:rsidRDefault="00EE3825" w:rsidP="00EE3825">
      <w:r>
        <w:t>The reviewers also performed an analysis of ORR by subgroup however there was insufficient information on patients in each treatment group to determine if subgroup outcomes differ.</w:t>
      </w:r>
    </w:p>
    <w:p w14:paraId="69DAC8C9" w14:textId="77C85F3B" w:rsidR="00EE3825" w:rsidRDefault="00EE3825" w:rsidP="00EE3825">
      <w:r>
        <w:t>The Lee Symptom Scale assessment;</w:t>
      </w:r>
      <w:r>
        <w:fldChar w:fldCharType="begin"/>
      </w:r>
      <w:r>
        <w:instrText xml:space="preserve"> NOTEREF _Ref99706364 \f \h </w:instrText>
      </w:r>
      <w:r>
        <w:fldChar w:fldCharType="separate"/>
      </w:r>
      <w:r w:rsidR="00C85F74" w:rsidRPr="00C85F74">
        <w:rPr>
          <w:rStyle w:val="FootnoteReference"/>
        </w:rPr>
        <w:t>8</w:t>
      </w:r>
      <w:r>
        <w:fldChar w:fldCharType="end"/>
      </w:r>
      <w:r>
        <w:t xml:space="preserve"> was considered exploratory. At least a </w:t>
      </w:r>
      <w:proofErr w:type="gramStart"/>
      <w:r>
        <w:t>7 point</w:t>
      </w:r>
      <w:proofErr w:type="gramEnd"/>
      <w:r>
        <w:t xml:space="preserve"> decrease in the Lee Symptom Scale summary score through C7D1 was reported by 52% (95% CI: 40, 65) of the patients in the 200 mg once daily group.</w:t>
      </w:r>
    </w:p>
    <w:p w14:paraId="070E08DA" w14:textId="1B867E91" w:rsidR="00EE3825" w:rsidRDefault="00EE3825" w:rsidP="00EE3825">
      <w:r>
        <w:t>Secondary and exploratory endpoint analyses supported the primary analysis. Corticosteroid dose reductions and discontinuations were demonstrated among both responders and non-responders.</w:t>
      </w:r>
    </w:p>
    <w:p w14:paraId="7F700C57" w14:textId="77777777" w:rsidR="00E4297E" w:rsidRDefault="00E4297E" w:rsidP="00E4297E">
      <w:pPr>
        <w:pStyle w:val="Heading4"/>
      </w:pPr>
      <w:r>
        <w:t>Safety</w:t>
      </w:r>
    </w:p>
    <w:p w14:paraId="08966C2E" w14:textId="77CFF335" w:rsidR="00E4297E" w:rsidRDefault="00E4297E" w:rsidP="00E4297E">
      <w:r>
        <w:t>The following analyses are based on data cumulative through the safety update report submitted 25 November 2020 and revised integrated summary of safety datasets submitted through 5 March 2021.</w:t>
      </w:r>
    </w:p>
    <w:p w14:paraId="0DC0DCE2" w14:textId="622F5938" w:rsidR="00E4297E" w:rsidRPr="001672D2" w:rsidRDefault="00E4297E" w:rsidP="00E4297E">
      <w:r>
        <w:t xml:space="preserve">The overall clinical development program for </w:t>
      </w:r>
      <w:proofErr w:type="spellStart"/>
      <w:r>
        <w:t>belumosudil</w:t>
      </w:r>
      <w:proofErr w:type="spellEnd"/>
      <w:r>
        <w:t xml:space="preserve"> includes 15 Phase I and II studies in healthy volunteers and adults in three indications: </w:t>
      </w:r>
      <w:proofErr w:type="spellStart"/>
      <w:r>
        <w:t>cGVHD</w:t>
      </w:r>
      <w:proofErr w:type="spellEnd"/>
      <w:r>
        <w:t xml:space="preserve">, idiopathic pulmonary fibrosis (IPF), and psoriasis. Eight Phase I trials that have been conducted with </w:t>
      </w:r>
      <w:proofErr w:type="spellStart"/>
      <w:r>
        <w:t>belumosudil</w:t>
      </w:r>
      <w:proofErr w:type="spellEnd"/>
      <w:r>
        <w:t xml:space="preserve"> in normal healthy subjects (Studies 2119-09-01, KD025-101, KD025-102, KD025-103, KD025-105, KD025-106, KD025-107, and KD025-108) to support dose-finding, safety, pharmacokinetics, and pharmacodynamics; one Phase I study conducted in subjects with hepatic impairment is ongoing (Study KD025-109). The Phase II studies (Studies KD025-208 and KD025-213) include patients with </w:t>
      </w:r>
      <w:proofErr w:type="spellStart"/>
      <w:r>
        <w:t>cGVHD</w:t>
      </w:r>
      <w:proofErr w:type="spellEnd"/>
      <w:r>
        <w:t xml:space="preserve">. Phase II studies in other indications include: Study KD025-207 in subjects with IPF, and Studies KD025-205, KD025-206, and KD025-211 in subjects with psoriasis. All 15 </w:t>
      </w:r>
      <w:proofErr w:type="spellStart"/>
      <w:r>
        <w:t>belumosudil</w:t>
      </w:r>
      <w:proofErr w:type="spellEnd"/>
      <w:r>
        <w:t xml:space="preserve"> clinical studies were conducted in accordance with Good Clinical Practices and under International Conference on Harmonisation guidelines.</w:t>
      </w:r>
    </w:p>
    <w:p w14:paraId="3AE6781C" w14:textId="03DF1841" w:rsidR="00E4297E" w:rsidRDefault="00E4297E" w:rsidP="00E4297E">
      <w:r>
        <w:t>Based on the mechanism of action and secondary pharmacology studies the following safety issues were anticipated:</w:t>
      </w:r>
    </w:p>
    <w:p w14:paraId="369A91E1" w14:textId="3E94C916" w:rsidR="00E4297E" w:rsidRDefault="00E4297E" w:rsidP="00E4297E">
      <w:pPr>
        <w:pStyle w:val="ListBullet"/>
      </w:pPr>
      <w:r>
        <w:t>The mechanism of action involves fibrotic pathways and Th17 cells, so impaired wound healing and infections were anticipated.</w:t>
      </w:r>
    </w:p>
    <w:p w14:paraId="62DB380F" w14:textId="44F33F41" w:rsidR="00E4297E" w:rsidRDefault="00E4297E" w:rsidP="00E4297E">
      <w:pPr>
        <w:pStyle w:val="ListBullet"/>
      </w:pPr>
      <w:r>
        <w:t xml:space="preserve">In secondary pharmacology studies, </w:t>
      </w:r>
      <w:proofErr w:type="spellStart"/>
      <w:r>
        <w:t>belumosudil</w:t>
      </w:r>
      <w:proofErr w:type="spellEnd"/>
      <w:r>
        <w:t xml:space="preserve"> also inhibited the mTOR pathway. Therefore, specific safety analyses have been performed for subjects who received mTOR inhibitors as concomitant systemic </w:t>
      </w:r>
      <w:proofErr w:type="spellStart"/>
      <w:r>
        <w:t>cGVHD</w:t>
      </w:r>
      <w:proofErr w:type="spellEnd"/>
      <w:r>
        <w:t xml:space="preserve"> therapies.</w:t>
      </w:r>
    </w:p>
    <w:p w14:paraId="0F0270B1" w14:textId="03C8E26E" w:rsidR="00E4297E" w:rsidRDefault="00E4297E" w:rsidP="00E4297E">
      <w:pPr>
        <w:pStyle w:val="ListBullet"/>
      </w:pPr>
      <w:proofErr w:type="spellStart"/>
      <w:r>
        <w:t>Belumosudil</w:t>
      </w:r>
      <w:proofErr w:type="spellEnd"/>
      <w:r>
        <w:t xml:space="preserve"> also inhibited UGT1A1 at concentrations that could be achieved clinically, so transient isolated hyperbilirubinemia was also anticipated.</w:t>
      </w:r>
    </w:p>
    <w:p w14:paraId="6BA9F696" w14:textId="77777777" w:rsidR="00E4297E" w:rsidRPr="00DB2F27" w:rsidRDefault="00E4297E" w:rsidP="00E4297E">
      <w:r>
        <w:t>There were no clinical holds for safety during the development program. The main emerging toxicity during clinical development was elevations of liver transaminases.</w:t>
      </w:r>
    </w:p>
    <w:p w14:paraId="7265D2D9" w14:textId="14DE0AD6" w:rsidR="00E4297E" w:rsidRDefault="00E4297E" w:rsidP="00E4297E">
      <w:r>
        <w:t xml:space="preserve">In the </w:t>
      </w:r>
      <w:proofErr w:type="spellStart"/>
      <w:r>
        <w:t>cGVHD</w:t>
      </w:r>
      <w:proofErr w:type="spellEnd"/>
      <w:r>
        <w:t xml:space="preserve"> program 186 patients were exposed to </w:t>
      </w:r>
      <w:proofErr w:type="spellStart"/>
      <w:r>
        <w:t>belumosudil</w:t>
      </w:r>
      <w:proofErr w:type="spellEnd"/>
      <w:r>
        <w:t xml:space="preserve"> with a median duration of exposure of 0.4 months (range 0.4 to 44.7). There were 83 patients given the proposed 200 mg once daily dose and median duration of exposure for these patients was 9.2</w:t>
      </w:r>
      <w:r w:rsidR="00E24E90">
        <w:t> </w:t>
      </w:r>
      <w:r>
        <w:t xml:space="preserve">months (range 0.5 to 44.7), with 34 patients having received ≥ 12 months of treatment. </w:t>
      </w:r>
      <w:r>
        <w:lastRenderedPageBreak/>
        <w:t xml:space="preserve">A further 231 patients have received </w:t>
      </w:r>
      <w:proofErr w:type="spellStart"/>
      <w:r>
        <w:t>belumosudil</w:t>
      </w:r>
      <w:proofErr w:type="spellEnd"/>
      <w:r>
        <w:t xml:space="preserve"> in studies for other indications (</w:t>
      </w:r>
      <w:r w:rsidR="006234CB">
        <w:t>IPF</w:t>
      </w:r>
      <w:r>
        <w:t xml:space="preserve"> and psoriasis).</w:t>
      </w:r>
    </w:p>
    <w:p w14:paraId="4756C080" w14:textId="47D4EFB2" w:rsidR="00E4297E" w:rsidRDefault="00E4297E" w:rsidP="00E4297E">
      <w:r w:rsidRPr="00C5001D">
        <w:t xml:space="preserve">Adding to this number, from clinical trials with </w:t>
      </w:r>
      <w:proofErr w:type="spellStart"/>
      <w:r w:rsidRPr="00C5001D">
        <w:t>belumosudil</w:t>
      </w:r>
      <w:proofErr w:type="spellEnd"/>
      <w:r w:rsidRPr="00C5001D">
        <w:t xml:space="preserve"> in other diseases 34 additional patients have been treated for </w:t>
      </w:r>
      <w:r>
        <w:t>one</w:t>
      </w:r>
      <w:r w:rsidRPr="00C5001D">
        <w:t xml:space="preserve"> year or longer (33 patients with IPF at 400</w:t>
      </w:r>
      <w:r w:rsidR="006234CB">
        <w:t> </w:t>
      </w:r>
      <w:r w:rsidRPr="00C5001D">
        <w:t xml:space="preserve">mg </w:t>
      </w:r>
      <w:r>
        <w:t>once daily</w:t>
      </w:r>
      <w:r w:rsidRPr="00C5001D">
        <w:t xml:space="preserve">, and 1 patient with psoriasis) bringing the total number of patients across the </w:t>
      </w:r>
      <w:proofErr w:type="spellStart"/>
      <w:r w:rsidRPr="00C5001D">
        <w:t>belumosudil</w:t>
      </w:r>
      <w:proofErr w:type="spellEnd"/>
      <w:r w:rsidRPr="00C5001D">
        <w:t xml:space="preserve"> safety population treated for ≥</w:t>
      </w:r>
      <w:r>
        <w:t xml:space="preserve"> </w:t>
      </w:r>
      <w:r w:rsidRPr="00C5001D">
        <w:t>12 months, at or above the to</w:t>
      </w:r>
      <w:r>
        <w:t xml:space="preserve"> </w:t>
      </w:r>
      <w:r w:rsidRPr="00C5001D">
        <w:t>be</w:t>
      </w:r>
      <w:r>
        <w:t xml:space="preserve"> </w:t>
      </w:r>
      <w:r w:rsidRPr="00C5001D">
        <w:t>marketed dose, to 115</w:t>
      </w:r>
      <w:r>
        <w:t xml:space="preserve"> patients</w:t>
      </w:r>
      <w:r w:rsidRPr="00C5001D">
        <w:t>.</w:t>
      </w:r>
    </w:p>
    <w:p w14:paraId="6623B71A" w14:textId="72422BA6" w:rsidR="00E4297E" w:rsidRPr="000D748A" w:rsidRDefault="00E4297E" w:rsidP="00E4297E">
      <w:r>
        <w:t xml:space="preserve">In the 83 patients who received the proposed </w:t>
      </w:r>
      <w:proofErr w:type="spellStart"/>
      <w:r>
        <w:t>belumosudil</w:t>
      </w:r>
      <w:proofErr w:type="spellEnd"/>
      <w:r>
        <w:t xml:space="preserve"> dose of 200 mg once daily dose interruptions occurred in 24 (28.9%) patients with the most frequent association being infection. Three patients in the proposed dose group had dose reductions. The adverse events which resulted in permanent discontinuation of </w:t>
      </w:r>
      <w:proofErr w:type="spellStart"/>
      <w:r>
        <w:t>belumosudil</w:t>
      </w:r>
      <w:proofErr w:type="spellEnd"/>
      <w:r>
        <w:t xml:space="preserve"> in &gt; 3% of patients included nausea (4%). The adverse events leading to dose interruption in ≥ 2% were infections (11%), diarrhea (4%), and asthenia, dyspnoea, haemorrhage, hypotension, liver function test abnormal, nausea, pyrexia, oedema, and renal failure with (2% each).</w:t>
      </w:r>
    </w:p>
    <w:p w14:paraId="03346107" w14:textId="25527575" w:rsidR="00E4297E" w:rsidRDefault="00E4297E" w:rsidP="00E4297E">
      <w:r>
        <w:t>In the planned safety population, there were total of 46 AEs that resulted in deaths of 26</w:t>
      </w:r>
      <w:r w:rsidR="00E24E90">
        <w:t> </w:t>
      </w:r>
      <w:r>
        <w:t xml:space="preserve">subjects: including 43 AEs that resulted in death of 23 subjects within 30 days from the last dose of </w:t>
      </w:r>
      <w:proofErr w:type="spellStart"/>
      <w:r>
        <w:t>belumosudil</w:t>
      </w:r>
      <w:proofErr w:type="spellEnd"/>
      <w:r>
        <w:t xml:space="preserve">. Four of these deaths were considered by the FDA as possibly related to study drug: </w:t>
      </w:r>
      <w:r w:rsidR="00D83024">
        <w:t>three</w:t>
      </w:r>
      <w:r>
        <w:t xml:space="preserve"> were sudden unexplained deaths and </w:t>
      </w:r>
      <w:r w:rsidR="00D83024">
        <w:t>one</w:t>
      </w:r>
      <w:r>
        <w:t xml:space="preserve"> was gastrointestinal toxicity and multiorgan failure. One of these deaths occurred in the </w:t>
      </w:r>
      <w:proofErr w:type="spellStart"/>
      <w:r>
        <w:t>belumosudil</w:t>
      </w:r>
      <w:proofErr w:type="spellEnd"/>
      <w:r>
        <w:t xml:space="preserve"> 200 mg </w:t>
      </w:r>
      <w:r w:rsidR="00D83024">
        <w:t>once daily</w:t>
      </w:r>
      <w:r>
        <w:t xml:space="preserve"> dose group with </w:t>
      </w:r>
      <w:proofErr w:type="spellStart"/>
      <w:r>
        <w:t>cGVHD</w:t>
      </w:r>
      <w:proofErr w:type="spellEnd"/>
      <w:r>
        <w:t>.</w:t>
      </w:r>
    </w:p>
    <w:p w14:paraId="11B24790" w14:textId="0634C521" w:rsidR="00E4297E" w:rsidRDefault="00E4297E" w:rsidP="00EE3825">
      <w:r>
        <w:t xml:space="preserve">In that 200 mg </w:t>
      </w:r>
      <w:r w:rsidR="00D83024">
        <w:t>once daily</w:t>
      </w:r>
      <w:r>
        <w:t xml:space="preserve"> </w:t>
      </w:r>
      <w:proofErr w:type="spellStart"/>
      <w:r>
        <w:t>cGVHD</w:t>
      </w:r>
      <w:proofErr w:type="spellEnd"/>
      <w:r>
        <w:t xml:space="preserve"> dose group the most frequent </w:t>
      </w:r>
      <w:r w:rsidR="00D83024">
        <w:t>t</w:t>
      </w:r>
      <w:r w:rsidR="00D83024" w:rsidRPr="00D83024">
        <w:t>reatment emergent adverse events</w:t>
      </w:r>
      <w:r w:rsidR="00D83024">
        <w:t xml:space="preserve"> (</w:t>
      </w:r>
      <w:r>
        <w:t>TEAE</w:t>
      </w:r>
      <w:r w:rsidR="00D83024">
        <w:t>)</w:t>
      </w:r>
      <w:r>
        <w:t xml:space="preserve"> included infection, asthenia, nausea, </w:t>
      </w:r>
      <w:r w:rsidR="00E24E90">
        <w:t>diarrhoea</w:t>
      </w:r>
      <w:r>
        <w:t xml:space="preserve">, dyspnoea, cough, oedema, liver function test abnormal, haemorrhage, abdominal pain, musculoskeletal </w:t>
      </w:r>
      <w:proofErr w:type="gramStart"/>
      <w:r>
        <w:t>pain</w:t>
      </w:r>
      <w:proofErr w:type="gramEnd"/>
      <w:r>
        <w:t xml:space="preserve"> and headache. Common TEAEs are shown </w:t>
      </w:r>
      <w:r w:rsidR="00D83024">
        <w:t xml:space="preserve">in </w:t>
      </w:r>
      <w:r w:rsidR="00D83024">
        <w:fldChar w:fldCharType="begin"/>
      </w:r>
      <w:r w:rsidR="00D83024">
        <w:instrText xml:space="preserve"> REF _Ref99707303 \h </w:instrText>
      </w:r>
      <w:r w:rsidR="00D83024">
        <w:fldChar w:fldCharType="separate"/>
      </w:r>
      <w:r w:rsidR="00C85F74" w:rsidRPr="00D83024">
        <w:t xml:space="preserve">Table </w:t>
      </w:r>
      <w:r w:rsidR="00C85F74">
        <w:rPr>
          <w:noProof/>
        </w:rPr>
        <w:t>16</w:t>
      </w:r>
      <w:r w:rsidR="00D83024">
        <w:fldChar w:fldCharType="end"/>
      </w:r>
      <w:r w:rsidR="00C35FF0">
        <w:t>.</w:t>
      </w:r>
    </w:p>
    <w:p w14:paraId="65092182" w14:textId="24360A2B" w:rsidR="00D83024" w:rsidRDefault="00D83024" w:rsidP="00D83024">
      <w:pPr>
        <w:pStyle w:val="TableTitle"/>
      </w:pPr>
      <w:bookmarkStart w:id="58" w:name="_Ref99707303"/>
      <w:r w:rsidRPr="00D83024">
        <w:lastRenderedPageBreak/>
        <w:t xml:space="preserve">Table </w:t>
      </w:r>
      <w:fldSimple w:instr=" SEQ Table \* ARABIC ">
        <w:r w:rsidR="00C85F74">
          <w:rPr>
            <w:noProof/>
          </w:rPr>
          <w:t>16</w:t>
        </w:r>
      </w:fldSimple>
      <w:bookmarkEnd w:id="58"/>
      <w:r>
        <w:t>: Non-laboratory t</w:t>
      </w:r>
      <w:r w:rsidRPr="00D83024">
        <w:t>reatment emergent adverse event</w:t>
      </w:r>
      <w:r>
        <w:t xml:space="preserve"> in greater than 10% patients with chronic graft versus host disease treated with </w:t>
      </w:r>
      <w:proofErr w:type="spellStart"/>
      <w:r>
        <w:t>belumosudil</w:t>
      </w:r>
      <w:proofErr w:type="spellEnd"/>
      <w:r>
        <w:t xml:space="preserve"> 200 mg once daily</w:t>
      </w:r>
    </w:p>
    <w:p w14:paraId="6F189076" w14:textId="4FBE3B53" w:rsidR="00D83024" w:rsidRDefault="00D83024" w:rsidP="00D83024">
      <w:r w:rsidRPr="00D5790D">
        <w:rPr>
          <w:noProof/>
          <w:lang w:val="en-GB" w:eastAsia="en-GB"/>
        </w:rPr>
        <w:drawing>
          <wp:inline distT="0" distB="0" distL="0" distR="0" wp14:anchorId="605CA934" wp14:editId="79D8A953">
            <wp:extent cx="4586479" cy="4308653"/>
            <wp:effectExtent l="0" t="0" r="5080" b="0"/>
            <wp:docPr id="26" name="Picture 26" descr="Table 16: Non-laboratory treatment emergent adverse event in greater than 10% patients with chronic graft versus host disease treated with belumosudil 200 mg once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16: Non-laboratory treatment emergent adverse event in greater than 10% patients with chronic graft versus host disease treated with belumosudil 200 mg once daily"/>
                    <pic:cNvPicPr/>
                  </pic:nvPicPr>
                  <pic:blipFill rotWithShape="1">
                    <a:blip r:embed="rId30"/>
                    <a:srcRect l="1548" r="1357" b="3536"/>
                    <a:stretch/>
                  </pic:blipFill>
                  <pic:spPr bwMode="auto">
                    <a:xfrm>
                      <a:off x="0" y="0"/>
                      <a:ext cx="4587165" cy="4309297"/>
                    </a:xfrm>
                    <a:prstGeom prst="rect">
                      <a:avLst/>
                    </a:prstGeom>
                    <a:ln>
                      <a:noFill/>
                    </a:ln>
                    <a:extLst>
                      <a:ext uri="{53640926-AAD7-44D8-BBD7-CCE9431645EC}">
                        <a14:shadowObscured xmlns:a14="http://schemas.microsoft.com/office/drawing/2010/main"/>
                      </a:ext>
                    </a:extLst>
                  </pic:spPr>
                </pic:pic>
              </a:graphicData>
            </a:graphic>
          </wp:inline>
        </w:drawing>
      </w:r>
    </w:p>
    <w:p w14:paraId="4452235D" w14:textId="638D9429" w:rsidR="00C35FF0" w:rsidRDefault="00C35FF0" w:rsidP="00C35FF0">
      <w:r>
        <w:t xml:space="preserve">Laboratory abnormalities are summarised in </w:t>
      </w:r>
      <w:r>
        <w:fldChar w:fldCharType="begin"/>
      </w:r>
      <w:r>
        <w:instrText xml:space="preserve"> REF _Ref99708613 \h </w:instrText>
      </w:r>
      <w:r>
        <w:fldChar w:fldCharType="separate"/>
      </w:r>
      <w:r w:rsidR="00C85F74" w:rsidRPr="00C35FF0">
        <w:t xml:space="preserve">Table </w:t>
      </w:r>
      <w:r w:rsidR="00C85F74">
        <w:rPr>
          <w:noProof/>
        </w:rPr>
        <w:t>17</w:t>
      </w:r>
      <w:r>
        <w:fldChar w:fldCharType="end"/>
      </w:r>
      <w:r>
        <w:t>.</w:t>
      </w:r>
    </w:p>
    <w:p w14:paraId="4FF6CEB8" w14:textId="7ADACA72" w:rsidR="00C35FF0" w:rsidRDefault="00C35FF0" w:rsidP="00C35FF0">
      <w:pPr>
        <w:pStyle w:val="TableTitle"/>
      </w:pPr>
      <w:bookmarkStart w:id="59" w:name="_Ref99708613"/>
      <w:r w:rsidRPr="00C35FF0">
        <w:t xml:space="preserve">Table </w:t>
      </w:r>
      <w:fldSimple w:instr=" SEQ Table \* ARABIC ">
        <w:r w:rsidR="00C85F74">
          <w:rPr>
            <w:noProof/>
          </w:rPr>
          <w:t>17</w:t>
        </w:r>
      </w:fldSimple>
      <w:bookmarkEnd w:id="59"/>
      <w:r>
        <w:t xml:space="preserve">: </w:t>
      </w:r>
      <w:r w:rsidRPr="00E4130D">
        <w:t xml:space="preserve">Selected </w:t>
      </w:r>
      <w:r>
        <w:t>l</w:t>
      </w:r>
      <w:r w:rsidRPr="00E4130D">
        <w:t xml:space="preserve">aboratory </w:t>
      </w:r>
      <w:r>
        <w:t>a</w:t>
      </w:r>
      <w:r w:rsidRPr="00E4130D">
        <w:t xml:space="preserve">bnormalities in </w:t>
      </w:r>
      <w:r>
        <w:t>p</w:t>
      </w:r>
      <w:r w:rsidRPr="00E4130D">
        <w:t xml:space="preserve">atients with </w:t>
      </w:r>
      <w:r>
        <w:t>chronic graft versus host disease</w:t>
      </w:r>
      <w:r w:rsidRPr="00E4130D">
        <w:t xml:space="preserve"> </w:t>
      </w:r>
      <w:r>
        <w:t>t</w:t>
      </w:r>
      <w:r w:rsidRPr="00E4130D">
        <w:t>reated with</w:t>
      </w:r>
      <w:r>
        <w:t xml:space="preserve"> </w:t>
      </w:r>
      <w:proofErr w:type="spellStart"/>
      <w:r>
        <w:t>belumosudil</w:t>
      </w:r>
      <w:proofErr w:type="spellEnd"/>
    </w:p>
    <w:p w14:paraId="0E810822" w14:textId="519CB3D9" w:rsidR="00C35FF0" w:rsidRDefault="00C35FF0" w:rsidP="00C35FF0">
      <w:r w:rsidRPr="008E312C">
        <w:rPr>
          <w:noProof/>
          <w:lang w:val="en-GB" w:eastAsia="en-GB"/>
        </w:rPr>
        <w:drawing>
          <wp:inline distT="0" distB="0" distL="0" distR="0" wp14:anchorId="787093FE" wp14:editId="48108EE0">
            <wp:extent cx="4585970" cy="2684145"/>
            <wp:effectExtent l="0" t="0" r="5080" b="1905"/>
            <wp:docPr id="27" name="Picture 27" descr="Table 17: Selected laboratory abnormalities in patients with chronic graft versus host disease treated with belumosu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17: Selected laboratory abnormalities in patients with chronic graft versus host disease treated with belumosudil"/>
                    <pic:cNvPicPr/>
                  </pic:nvPicPr>
                  <pic:blipFill rotWithShape="1">
                    <a:blip r:embed="rId31"/>
                    <a:srcRect r="709" b="6048"/>
                    <a:stretch/>
                  </pic:blipFill>
                  <pic:spPr bwMode="auto">
                    <a:xfrm>
                      <a:off x="0" y="0"/>
                      <a:ext cx="4586915" cy="2684698"/>
                    </a:xfrm>
                    <a:prstGeom prst="rect">
                      <a:avLst/>
                    </a:prstGeom>
                    <a:ln>
                      <a:noFill/>
                    </a:ln>
                    <a:extLst>
                      <a:ext uri="{53640926-AAD7-44D8-BBD7-CCE9431645EC}">
                        <a14:shadowObscured xmlns:a14="http://schemas.microsoft.com/office/drawing/2010/main"/>
                      </a:ext>
                    </a:extLst>
                  </pic:spPr>
                </pic:pic>
              </a:graphicData>
            </a:graphic>
          </wp:inline>
        </w:drawing>
      </w:r>
    </w:p>
    <w:p w14:paraId="4CC96182" w14:textId="33D80014" w:rsidR="00C35FF0" w:rsidRDefault="00C35FF0" w:rsidP="00C35FF0">
      <w:pPr>
        <w:pStyle w:val="TableTitle"/>
      </w:pPr>
      <w:r w:rsidRPr="00C35FF0">
        <w:lastRenderedPageBreak/>
        <w:t xml:space="preserve">Table </w:t>
      </w:r>
      <w:fldSimple w:instr=" SEQ Table \* ARABIC ">
        <w:r w:rsidR="00C85F74">
          <w:rPr>
            <w:noProof/>
          </w:rPr>
          <w:t>18</w:t>
        </w:r>
      </w:fldSimple>
      <w:r>
        <w:t xml:space="preserve">: </w:t>
      </w:r>
      <w:r w:rsidRPr="00052B97">
        <w:t xml:space="preserve">Adverse </w:t>
      </w:r>
      <w:r>
        <w:t>e</w:t>
      </w:r>
      <w:r w:rsidRPr="00052B97">
        <w:t xml:space="preserve">vents of </w:t>
      </w:r>
      <w:r>
        <w:t>s</w:t>
      </w:r>
      <w:r w:rsidRPr="00052B97">
        <w:t xml:space="preserve">pecial </w:t>
      </w:r>
      <w:r>
        <w:t>i</w:t>
      </w:r>
      <w:r w:rsidRPr="00052B97">
        <w:t>nterest</w:t>
      </w:r>
      <w:r>
        <w:t>, chronic graft versus host diseases s</w:t>
      </w:r>
      <w:r w:rsidRPr="00052B97">
        <w:t xml:space="preserve">afety </w:t>
      </w:r>
      <w:r>
        <w:t>p</w:t>
      </w:r>
      <w:r w:rsidRPr="00052B97">
        <w:t>opulation</w:t>
      </w:r>
    </w:p>
    <w:p w14:paraId="73C37E86" w14:textId="7D8CB329" w:rsidR="00C35FF0" w:rsidRDefault="00C35FF0" w:rsidP="00C35FF0">
      <w:r w:rsidRPr="00052B97">
        <w:rPr>
          <w:noProof/>
          <w:lang w:val="en-GB" w:eastAsia="en-GB"/>
        </w:rPr>
        <w:drawing>
          <wp:inline distT="0" distB="0" distL="0" distR="0" wp14:anchorId="3BAD9685" wp14:editId="5C266CD4">
            <wp:extent cx="4929364" cy="3986530"/>
            <wp:effectExtent l="0" t="0" r="5080" b="0"/>
            <wp:docPr id="24" name="Picture 24" descr="Table 18: Adverse events of special interest, chronic graft versus host diseas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18: Adverse events of special interest, chronic graft versus host diseases safety population"/>
                    <pic:cNvPicPr/>
                  </pic:nvPicPr>
                  <pic:blipFill rotWithShape="1">
                    <a:blip r:embed="rId32"/>
                    <a:srcRect l="1606" b="18250"/>
                    <a:stretch/>
                  </pic:blipFill>
                  <pic:spPr bwMode="auto">
                    <a:xfrm>
                      <a:off x="0" y="0"/>
                      <a:ext cx="4929714" cy="3986813"/>
                    </a:xfrm>
                    <a:prstGeom prst="rect">
                      <a:avLst/>
                    </a:prstGeom>
                    <a:ln>
                      <a:noFill/>
                    </a:ln>
                    <a:extLst>
                      <a:ext uri="{53640926-AAD7-44D8-BBD7-CCE9431645EC}">
                        <a14:shadowObscured xmlns:a14="http://schemas.microsoft.com/office/drawing/2010/main"/>
                      </a:ext>
                    </a:extLst>
                  </pic:spPr>
                </pic:pic>
              </a:graphicData>
            </a:graphic>
          </wp:inline>
        </w:drawing>
      </w:r>
    </w:p>
    <w:p w14:paraId="19C2305F" w14:textId="39FED4CF" w:rsidR="004B5B1C" w:rsidRDefault="004B5B1C" w:rsidP="00EB2466">
      <w:pPr>
        <w:pStyle w:val="TableDescription"/>
      </w:pPr>
      <w:r>
        <w:t>Abbreviations: QD = once daily; BID = twice daily; AESI = adverse events of special interest; CAR</w:t>
      </w:r>
      <w:r w:rsidR="00EB2466">
        <w:t xml:space="preserve"> </w:t>
      </w:r>
      <w:r>
        <w:t>ARR = cardiac arrhythmias; CAR</w:t>
      </w:r>
      <w:r w:rsidR="00EB2466">
        <w:t xml:space="preserve"> </w:t>
      </w:r>
      <w:r>
        <w:t>QT = cardiac torsade de pointes/QT prolongation; G</w:t>
      </w:r>
      <w:r w:rsidR="00EB2466">
        <w:t xml:space="preserve"> </w:t>
      </w:r>
      <w:r>
        <w:t>ANAPH = general anaphylactic reaction; G</w:t>
      </w:r>
      <w:r w:rsidR="00EB2466">
        <w:t xml:space="preserve"> </w:t>
      </w:r>
      <w:r>
        <w:t xml:space="preserve">HYPER= </w:t>
      </w:r>
      <w:r w:rsidR="00EB2466">
        <w:t>general hypersensitivity; G HYPOT = general hypotension; HEM CYT = h</w:t>
      </w:r>
      <w:r w:rsidR="00E24E90">
        <w:t>a</w:t>
      </w:r>
      <w:r w:rsidR="00EB2466">
        <w:t>ematopoietic cytopenia; HEM NEU = h</w:t>
      </w:r>
      <w:r w:rsidR="00E24E90">
        <w:t>a</w:t>
      </w:r>
      <w:r w:rsidR="00EB2466">
        <w:t>ematological neutropenia; HEM THR = h</w:t>
      </w:r>
      <w:r w:rsidR="00E24E90">
        <w:t>a</w:t>
      </w:r>
      <w:r w:rsidR="00EB2466">
        <w:t xml:space="preserve">ematological thrombocytopenia; HEP </w:t>
      </w:r>
      <w:proofErr w:type="spellStart"/>
      <w:r w:rsidR="00EB2466">
        <w:t>HEP</w:t>
      </w:r>
      <w:proofErr w:type="spellEnd"/>
      <w:r w:rsidR="00EB2466">
        <w:t xml:space="preserve"> = hepatic drug related disorder; INF BAC = infection bacterial infectious disorder; INF FUN = infection fungal </w:t>
      </w:r>
      <w:proofErr w:type="spellStart"/>
      <w:r w:rsidR="00EB2466">
        <w:t>infectious</w:t>
      </w:r>
      <w:proofErr w:type="spellEnd"/>
      <w:r w:rsidR="00EB2466">
        <w:t xml:space="preserve"> disorder; INF PAT = infection infections pathogen unspecified; INF PNE = infection infective pneumonia; INF VIR = infection viral infectious disorder; NEO MAL = </w:t>
      </w:r>
      <w:proofErr w:type="spellStart"/>
      <w:r w:rsidR="00EB2466">
        <w:t>neoplasma</w:t>
      </w:r>
      <w:proofErr w:type="spellEnd"/>
      <w:r w:rsidR="00EB2466">
        <w:t xml:space="preserve"> malignant or unspecific tumours; NEO </w:t>
      </w:r>
      <w:proofErr w:type="spellStart"/>
      <w:r w:rsidR="00EB2466">
        <w:t>NEO</w:t>
      </w:r>
      <w:proofErr w:type="spellEnd"/>
      <w:r w:rsidR="00EB2466">
        <w:t xml:space="preserve"> = neoplasms benign, malignant and unspecified.</w:t>
      </w:r>
    </w:p>
    <w:p w14:paraId="1631C2E4" w14:textId="17388639" w:rsidR="00EB2466" w:rsidRDefault="00EB2466" w:rsidP="00EB2466">
      <w:r w:rsidRPr="00EB2466">
        <w:t>There were no Grade 3</w:t>
      </w:r>
      <w:r w:rsidR="00FC0206">
        <w:t xml:space="preserve"> or </w:t>
      </w:r>
      <w:r w:rsidRPr="00EB2466">
        <w:t xml:space="preserve">4 bilirubin elevations and no Hy's </w:t>
      </w:r>
      <w:proofErr w:type="gramStart"/>
      <w:r w:rsidRPr="00EB2466">
        <w:t>Law</w:t>
      </w:r>
      <w:r w:rsidR="006234CB">
        <w:t>;</w:t>
      </w:r>
      <w:proofErr w:type="gramEnd"/>
      <w:r w:rsidR="006234CB">
        <w:rPr>
          <w:rStyle w:val="FootnoteReference"/>
        </w:rPr>
        <w:footnoteReference w:id="10"/>
      </w:r>
      <w:r w:rsidRPr="00EB2466">
        <w:t xml:space="preserve"> cases.</w:t>
      </w:r>
    </w:p>
    <w:p w14:paraId="32A49756" w14:textId="12CF3B7E" w:rsidR="00EB2466" w:rsidRDefault="00EB2466" w:rsidP="00EB2466">
      <w:pPr>
        <w:pStyle w:val="TableTitle"/>
      </w:pPr>
      <w:r w:rsidRPr="00EB2466">
        <w:lastRenderedPageBreak/>
        <w:t xml:space="preserve">Table </w:t>
      </w:r>
      <w:fldSimple w:instr=" SEQ Table \* ARABIC ">
        <w:r w:rsidR="00C85F74">
          <w:rPr>
            <w:noProof/>
          </w:rPr>
          <w:t>19</w:t>
        </w:r>
      </w:fldSimple>
      <w:r>
        <w:t xml:space="preserve">: Chronic graft versus host disease safety population, </w:t>
      </w:r>
      <w:r w:rsidR="00FC0206">
        <w:t>P</w:t>
      </w:r>
      <w:r>
        <w:t xml:space="preserve">referred </w:t>
      </w:r>
      <w:r w:rsidR="00FC0206">
        <w:t>T</w:t>
      </w:r>
      <w:r>
        <w:t>erms for hepatic events</w:t>
      </w:r>
    </w:p>
    <w:p w14:paraId="6B1E015E" w14:textId="65C0A2B1" w:rsidR="00EB2466" w:rsidRDefault="00EB2466" w:rsidP="00EB2466">
      <w:r w:rsidRPr="00052B97">
        <w:rPr>
          <w:noProof/>
          <w:lang w:val="en-GB" w:eastAsia="en-GB"/>
        </w:rPr>
        <w:drawing>
          <wp:inline distT="0" distB="0" distL="0" distR="0" wp14:anchorId="68B2B53F" wp14:editId="7159CEB7">
            <wp:extent cx="4533900" cy="2260397"/>
            <wp:effectExtent l="0" t="0" r="0" b="6985"/>
            <wp:docPr id="25" name="Picture 25" descr="Table 19: Chronic graft versus host disease safety population, preferred terms for hepatic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19: Chronic graft versus host disease safety population, preferred terms for hepatic events"/>
                    <pic:cNvPicPr/>
                  </pic:nvPicPr>
                  <pic:blipFill rotWithShape="1">
                    <a:blip r:embed="rId33"/>
                    <a:srcRect b="18450"/>
                    <a:stretch/>
                  </pic:blipFill>
                  <pic:spPr bwMode="auto">
                    <a:xfrm>
                      <a:off x="0" y="0"/>
                      <a:ext cx="4533933" cy="2260413"/>
                    </a:xfrm>
                    <a:prstGeom prst="rect">
                      <a:avLst/>
                    </a:prstGeom>
                    <a:ln>
                      <a:noFill/>
                    </a:ln>
                    <a:extLst>
                      <a:ext uri="{53640926-AAD7-44D8-BBD7-CCE9431645EC}">
                        <a14:shadowObscured xmlns:a14="http://schemas.microsoft.com/office/drawing/2010/main"/>
                      </a:ext>
                    </a:extLst>
                  </pic:spPr>
                </pic:pic>
              </a:graphicData>
            </a:graphic>
          </wp:inline>
        </w:drawing>
      </w:r>
    </w:p>
    <w:p w14:paraId="2A2E5F15" w14:textId="27CDA48A" w:rsidR="00EB2466" w:rsidRDefault="00EB2466" w:rsidP="001D325E">
      <w:pPr>
        <w:pStyle w:val="TableDescription"/>
      </w:pPr>
      <w:r>
        <w:t xml:space="preserve">Abbreviations: QD = once daily, BID = twice daily; HLGT = high level group term; TEAE = treatment emergent adverse events; ALT = alanine aminotransferase; AST = </w:t>
      </w:r>
      <w:proofErr w:type="spellStart"/>
      <w:r>
        <w:t>asparate</w:t>
      </w:r>
      <w:proofErr w:type="spellEnd"/>
      <w:r>
        <w:t xml:space="preserve"> aminotransferase; GGT</w:t>
      </w:r>
      <w:r w:rsidR="00FC0206">
        <w:t> </w:t>
      </w:r>
      <w:r>
        <w:t>=</w:t>
      </w:r>
      <w:r w:rsidR="00FC0206">
        <w:t> </w:t>
      </w:r>
      <w:r>
        <w:t>gamma-glu</w:t>
      </w:r>
      <w:r w:rsidR="001D325E">
        <w:t>tamyl transferase</w:t>
      </w:r>
      <w:r w:rsidR="00FC0206">
        <w:t>.</w:t>
      </w:r>
    </w:p>
    <w:p w14:paraId="70D691D2" w14:textId="77777777" w:rsidR="008E7846" w:rsidRDefault="00386150" w:rsidP="007B6132">
      <w:pPr>
        <w:pStyle w:val="Heading3"/>
        <w:rPr>
          <w:lang w:eastAsia="en-AU"/>
        </w:rPr>
      </w:pPr>
      <w:bookmarkStart w:id="60" w:name="_Toc102638227"/>
      <w:r>
        <w:rPr>
          <w:lang w:eastAsia="en-AU"/>
        </w:rPr>
        <w:t>Risk m</w:t>
      </w:r>
      <w:r w:rsidR="008E7846">
        <w:rPr>
          <w:lang w:eastAsia="en-AU"/>
        </w:rPr>
        <w:t xml:space="preserve">anagement </w:t>
      </w:r>
      <w:r>
        <w:rPr>
          <w:lang w:eastAsia="en-AU"/>
        </w:rPr>
        <w:t>p</w:t>
      </w:r>
      <w:r w:rsidR="008E7846">
        <w:rPr>
          <w:lang w:eastAsia="en-AU"/>
        </w:rPr>
        <w:t>lan</w:t>
      </w:r>
      <w:bookmarkEnd w:id="39"/>
      <w:bookmarkEnd w:id="60"/>
    </w:p>
    <w:p w14:paraId="09BA98E1" w14:textId="0997F524" w:rsidR="00AA6BBD" w:rsidRDefault="00AA6BBD" w:rsidP="00AA6BBD">
      <w:proofErr w:type="spellStart"/>
      <w:r>
        <w:t>Rholistiq</w:t>
      </w:r>
      <w:proofErr w:type="spellEnd"/>
      <w:r>
        <w:t xml:space="preserve"> received TGA orphan designation on 2 September 2020.</w:t>
      </w:r>
    </w:p>
    <w:p w14:paraId="5687AF80" w14:textId="3AD68E8F" w:rsidR="00AA6BBD" w:rsidRDefault="00AA6BBD" w:rsidP="00AA6BBD">
      <w:r>
        <w:t>The sponsor submitted US-risk management plan (RMP) version 1.0 (25 September 2020; data lock point (DLP) 19 February 2020) and Australian specific annex (ASA) version 1.0 (22 October 2020) in support of this application.</w:t>
      </w:r>
    </w:p>
    <w:p w14:paraId="2E64B172" w14:textId="291706A0" w:rsidR="00AA6BBD" w:rsidRDefault="00AA6BBD" w:rsidP="00AA6BBD">
      <w:r>
        <w:t xml:space="preserve">In response to the TGA rolling questions sent 5 January 2021, the sponsor has submitted ASA version 1.1 (dated 5 January 2021). The sponsor has also provided TGA with the </w:t>
      </w:r>
      <w:r w:rsidR="006234CB">
        <w:t>European Union (</w:t>
      </w:r>
      <w:r>
        <w:t>EU</w:t>
      </w:r>
      <w:r w:rsidR="006234CB">
        <w:t>)</w:t>
      </w:r>
      <w:r>
        <w:t>-RMP version 1.0 (dated 13 November 2020; DLP 19 February 2020) which was submitted to the UK</w:t>
      </w:r>
      <w:r w:rsidR="006234CB">
        <w:t xml:space="preserve"> </w:t>
      </w:r>
      <w:r w:rsidR="006234CB" w:rsidRPr="006234CB">
        <w:t>Medicines and Healthcare products Regulatory Agency</w:t>
      </w:r>
      <w:r>
        <w:t xml:space="preserve"> on 26 November 2020. In response to the TGA rolling questions sent 6 May 2021, the sponsor has submitted ASA version 1.2 (dated 20 May 2021) in support of the application. In its response to TGA questions, the sponsor has submitted ASA version 1.3 (dated 13 September 2021) in support of the application.</w:t>
      </w:r>
    </w:p>
    <w:p w14:paraId="3E20EBAD" w14:textId="3CE7550E" w:rsidR="00AA6BBD" w:rsidRDefault="00AA6BBD" w:rsidP="00AA6BBD">
      <w:r>
        <w:t>In response to TGA rolling question sent 3 February 2021, the sponsor has submitted a revised Consumer Medicines Information (CMI) which has been amended appropriately.</w:t>
      </w:r>
    </w:p>
    <w:p w14:paraId="3FED7A86" w14:textId="625CB56A" w:rsidR="007D53B6" w:rsidRDefault="007D53B6" w:rsidP="007D53B6">
      <w:r>
        <w:t xml:space="preserve">The summary of safety concerns and their associated risk monitoring and mitigation strategies are summarised in </w:t>
      </w:r>
      <w:r w:rsidR="00AA6BBD">
        <w:fldChar w:fldCharType="begin"/>
      </w:r>
      <w:r w:rsidR="00AA6BBD">
        <w:instrText xml:space="preserve"> REF _Ref99716852 \h </w:instrText>
      </w:r>
      <w:r w:rsidR="00AA6BBD">
        <w:fldChar w:fldCharType="separate"/>
      </w:r>
      <w:r w:rsidR="00C85F74" w:rsidRPr="00AA6BBD">
        <w:t xml:space="preserve">Table </w:t>
      </w:r>
      <w:r w:rsidR="00C85F74">
        <w:rPr>
          <w:noProof/>
        </w:rPr>
        <w:t>20</w:t>
      </w:r>
      <w:r w:rsidR="00AA6BBD">
        <w:fldChar w:fldCharType="end"/>
      </w:r>
      <w:r>
        <w:t>.</w:t>
      </w:r>
      <w:r>
        <w:rPr>
          <w:rStyle w:val="FootnoteReference"/>
        </w:rPr>
        <w:footnoteReference w:id="11"/>
      </w:r>
    </w:p>
    <w:p w14:paraId="173DFAC4" w14:textId="1EEBF06E" w:rsidR="00AA6BBD" w:rsidRDefault="00AA6BBD" w:rsidP="00AA6BBD">
      <w:pPr>
        <w:pStyle w:val="TableTitle"/>
      </w:pPr>
      <w:bookmarkStart w:id="61" w:name="_Ref99716852"/>
      <w:r w:rsidRPr="00AA6BBD">
        <w:lastRenderedPageBreak/>
        <w:t xml:space="preserve">Table </w:t>
      </w:r>
      <w:fldSimple w:instr=" SEQ Table \* ARABIC ">
        <w:r w:rsidR="00C85F74">
          <w:rPr>
            <w:noProof/>
          </w:rPr>
          <w:t>20</w:t>
        </w:r>
      </w:fldSimple>
      <w:bookmarkEnd w:id="61"/>
      <w:r>
        <w:t>: S</w:t>
      </w:r>
      <w:r w:rsidRPr="009B7EF5">
        <w:t>ummary of safety concerns and their associated risk monitoring and mitigation strategies</w:t>
      </w:r>
    </w:p>
    <w:tbl>
      <w:tblPr>
        <w:tblStyle w:val="TableTGAblue"/>
        <w:tblW w:w="5000" w:type="pct"/>
        <w:tblLook w:val="04A0" w:firstRow="1" w:lastRow="0" w:firstColumn="1" w:lastColumn="0" w:noHBand="0" w:noVBand="1"/>
      </w:tblPr>
      <w:tblGrid>
        <w:gridCol w:w="1612"/>
        <w:gridCol w:w="2046"/>
        <w:gridCol w:w="1271"/>
        <w:gridCol w:w="1261"/>
        <w:gridCol w:w="1042"/>
        <w:gridCol w:w="1262"/>
      </w:tblGrid>
      <w:tr w:rsidR="00AA6BBD" w:rsidRPr="00EB4284" w14:paraId="103C55DB" w14:textId="77777777" w:rsidTr="00AA6BBD">
        <w:trPr>
          <w:cnfStyle w:val="100000000000" w:firstRow="1" w:lastRow="0" w:firstColumn="0" w:lastColumn="0" w:oddVBand="0" w:evenVBand="0" w:oddHBand="0" w:evenHBand="0" w:firstRowFirstColumn="0" w:firstRowLastColumn="0" w:lastRowFirstColumn="0" w:lastRowLastColumn="0"/>
          <w:trHeight w:val="131"/>
        </w:trPr>
        <w:tc>
          <w:tcPr>
            <w:tcW w:w="2154" w:type="pct"/>
            <w:gridSpan w:val="2"/>
            <w:vMerge w:val="restart"/>
            <w:tcBorders>
              <w:top w:val="single" w:sz="4" w:space="0" w:color="auto"/>
              <w:left w:val="single" w:sz="4" w:space="0" w:color="auto"/>
              <w:bottom w:val="single" w:sz="4" w:space="0" w:color="auto"/>
              <w:right w:val="single" w:sz="4" w:space="0" w:color="auto"/>
            </w:tcBorders>
          </w:tcPr>
          <w:p w14:paraId="612E6139" w14:textId="77777777" w:rsidR="00AA6BBD" w:rsidRPr="00EB4284" w:rsidRDefault="00AA6BBD" w:rsidP="0028062C">
            <w:pPr>
              <w:pStyle w:val="Tabletext"/>
              <w:rPr>
                <w:b w:val="0"/>
              </w:rPr>
            </w:pPr>
            <w:r w:rsidRPr="00EB4284">
              <w:t>Summary of safety concerns</w:t>
            </w:r>
          </w:p>
        </w:tc>
        <w:tc>
          <w:tcPr>
            <w:tcW w:w="1490" w:type="pct"/>
            <w:gridSpan w:val="2"/>
            <w:tcBorders>
              <w:top w:val="single" w:sz="4" w:space="0" w:color="auto"/>
              <w:left w:val="single" w:sz="4" w:space="0" w:color="auto"/>
              <w:bottom w:val="single" w:sz="4" w:space="0" w:color="auto"/>
              <w:right w:val="single" w:sz="4" w:space="0" w:color="auto"/>
            </w:tcBorders>
          </w:tcPr>
          <w:p w14:paraId="4B54B1F4" w14:textId="77777777" w:rsidR="00AA6BBD" w:rsidRPr="00EB4284" w:rsidRDefault="00AA6BBD" w:rsidP="0028062C">
            <w:pPr>
              <w:pStyle w:val="Tabletext"/>
              <w:rPr>
                <w:b w:val="0"/>
                <w:sz w:val="18"/>
              </w:rPr>
            </w:pPr>
            <w:r w:rsidRPr="00EB4284">
              <w:rPr>
                <w:sz w:val="18"/>
              </w:rPr>
              <w:t>Pharmacovigilance</w:t>
            </w:r>
          </w:p>
        </w:tc>
        <w:tc>
          <w:tcPr>
            <w:tcW w:w="1356" w:type="pct"/>
            <w:gridSpan w:val="2"/>
            <w:tcBorders>
              <w:top w:val="single" w:sz="4" w:space="0" w:color="auto"/>
              <w:left w:val="single" w:sz="4" w:space="0" w:color="auto"/>
              <w:bottom w:val="single" w:sz="4" w:space="0" w:color="auto"/>
              <w:right w:val="single" w:sz="4" w:space="0" w:color="auto"/>
            </w:tcBorders>
          </w:tcPr>
          <w:p w14:paraId="0B3BCD36" w14:textId="77777777" w:rsidR="00AA6BBD" w:rsidRPr="00EB4284" w:rsidRDefault="00AA6BBD" w:rsidP="0028062C">
            <w:pPr>
              <w:pStyle w:val="Tabletext"/>
              <w:rPr>
                <w:b w:val="0"/>
                <w:sz w:val="18"/>
              </w:rPr>
            </w:pPr>
            <w:r w:rsidRPr="00EB4284">
              <w:rPr>
                <w:sz w:val="18"/>
              </w:rPr>
              <w:t>Risk Minimisation</w:t>
            </w:r>
          </w:p>
        </w:tc>
      </w:tr>
      <w:tr w:rsidR="00AA6BBD" w:rsidRPr="00EB4284" w14:paraId="20961D7E" w14:textId="77777777" w:rsidTr="00AA6BBD">
        <w:trPr>
          <w:trHeight w:val="150"/>
        </w:trPr>
        <w:tc>
          <w:tcPr>
            <w:tcW w:w="2154" w:type="pct"/>
            <w:gridSpan w:val="2"/>
            <w:vMerge/>
            <w:tcBorders>
              <w:top w:val="single" w:sz="4" w:space="0" w:color="auto"/>
              <w:left w:val="single" w:sz="4" w:space="0" w:color="auto"/>
              <w:bottom w:val="single" w:sz="4" w:space="0" w:color="auto"/>
              <w:right w:val="single" w:sz="4" w:space="0" w:color="auto"/>
            </w:tcBorders>
          </w:tcPr>
          <w:p w14:paraId="75B65FBD" w14:textId="77777777" w:rsidR="00AA6BBD" w:rsidRPr="00EB4284" w:rsidRDefault="00AA6BBD" w:rsidP="0028062C">
            <w:pPr>
              <w:pStyle w:val="Tabletext"/>
              <w:rPr>
                <w:b/>
              </w:rPr>
            </w:pPr>
          </w:p>
        </w:tc>
        <w:tc>
          <w:tcPr>
            <w:tcW w:w="748" w:type="pct"/>
            <w:tcBorders>
              <w:top w:val="single" w:sz="4" w:space="0" w:color="auto"/>
              <w:left w:val="single" w:sz="4" w:space="0" w:color="auto"/>
              <w:bottom w:val="single" w:sz="4" w:space="0" w:color="auto"/>
              <w:right w:val="single" w:sz="4" w:space="0" w:color="auto"/>
            </w:tcBorders>
            <w:shd w:val="clear" w:color="auto" w:fill="006DA7"/>
          </w:tcPr>
          <w:p w14:paraId="7083C3CD" w14:textId="77777777" w:rsidR="00AA6BBD" w:rsidRPr="00AA6BBD" w:rsidRDefault="00AA6BBD" w:rsidP="00AA6BBD">
            <w:pPr>
              <w:pStyle w:val="Tabletext"/>
              <w:ind w:left="0"/>
              <w:rPr>
                <w:b/>
                <w:bCs/>
                <w:color w:val="FFFFFF" w:themeColor="background1"/>
                <w:sz w:val="18"/>
              </w:rPr>
            </w:pPr>
            <w:r w:rsidRPr="00AA6BBD">
              <w:rPr>
                <w:b/>
                <w:bCs/>
                <w:color w:val="FFFFFF" w:themeColor="background1"/>
                <w:sz w:val="18"/>
              </w:rPr>
              <w:t>Routine</w:t>
            </w:r>
          </w:p>
        </w:tc>
        <w:tc>
          <w:tcPr>
            <w:tcW w:w="742" w:type="pct"/>
            <w:tcBorders>
              <w:top w:val="single" w:sz="4" w:space="0" w:color="auto"/>
              <w:left w:val="single" w:sz="4" w:space="0" w:color="auto"/>
              <w:bottom w:val="single" w:sz="4" w:space="0" w:color="auto"/>
              <w:right w:val="single" w:sz="4" w:space="0" w:color="auto"/>
            </w:tcBorders>
            <w:shd w:val="clear" w:color="auto" w:fill="006DA7"/>
          </w:tcPr>
          <w:p w14:paraId="09FB9047" w14:textId="77777777" w:rsidR="00AA6BBD" w:rsidRPr="00AA6BBD" w:rsidRDefault="00AA6BBD" w:rsidP="00AA6BBD">
            <w:pPr>
              <w:pStyle w:val="Tabletext"/>
              <w:ind w:left="0"/>
              <w:rPr>
                <w:b/>
                <w:bCs/>
                <w:color w:val="FFFFFF" w:themeColor="background1"/>
                <w:sz w:val="18"/>
              </w:rPr>
            </w:pPr>
            <w:r w:rsidRPr="00AA6BBD">
              <w:rPr>
                <w:b/>
                <w:bCs/>
                <w:color w:val="FFFFFF" w:themeColor="background1"/>
                <w:sz w:val="18"/>
              </w:rPr>
              <w:t>Additional</w:t>
            </w:r>
          </w:p>
        </w:tc>
        <w:tc>
          <w:tcPr>
            <w:tcW w:w="613" w:type="pct"/>
            <w:tcBorders>
              <w:top w:val="single" w:sz="4" w:space="0" w:color="auto"/>
              <w:left w:val="single" w:sz="4" w:space="0" w:color="auto"/>
              <w:bottom w:val="single" w:sz="4" w:space="0" w:color="auto"/>
              <w:right w:val="single" w:sz="4" w:space="0" w:color="auto"/>
            </w:tcBorders>
            <w:shd w:val="clear" w:color="auto" w:fill="006DA7"/>
          </w:tcPr>
          <w:p w14:paraId="12DAB090" w14:textId="77777777" w:rsidR="00AA6BBD" w:rsidRPr="00AA6BBD" w:rsidRDefault="00AA6BBD" w:rsidP="00AA6BBD">
            <w:pPr>
              <w:pStyle w:val="Tabletext"/>
              <w:ind w:left="0"/>
              <w:rPr>
                <w:b/>
                <w:bCs/>
                <w:color w:val="FFFFFF" w:themeColor="background1"/>
                <w:sz w:val="18"/>
              </w:rPr>
            </w:pPr>
            <w:r w:rsidRPr="00AA6BBD">
              <w:rPr>
                <w:b/>
                <w:bCs/>
                <w:color w:val="FFFFFF" w:themeColor="background1"/>
                <w:sz w:val="18"/>
              </w:rPr>
              <w:t>Routine</w:t>
            </w:r>
          </w:p>
        </w:tc>
        <w:tc>
          <w:tcPr>
            <w:tcW w:w="742" w:type="pct"/>
            <w:tcBorders>
              <w:top w:val="single" w:sz="4" w:space="0" w:color="auto"/>
              <w:left w:val="single" w:sz="4" w:space="0" w:color="auto"/>
              <w:bottom w:val="single" w:sz="4" w:space="0" w:color="auto"/>
              <w:right w:val="single" w:sz="4" w:space="0" w:color="auto"/>
            </w:tcBorders>
            <w:shd w:val="clear" w:color="auto" w:fill="006DA7"/>
          </w:tcPr>
          <w:p w14:paraId="6AB443B3" w14:textId="77777777" w:rsidR="00AA6BBD" w:rsidRPr="00AA6BBD" w:rsidRDefault="00AA6BBD" w:rsidP="00AA6BBD">
            <w:pPr>
              <w:pStyle w:val="Tabletext"/>
              <w:ind w:left="0"/>
              <w:rPr>
                <w:b/>
                <w:bCs/>
                <w:color w:val="FFFFFF" w:themeColor="background1"/>
                <w:sz w:val="18"/>
              </w:rPr>
            </w:pPr>
            <w:r w:rsidRPr="00AA6BBD">
              <w:rPr>
                <w:b/>
                <w:bCs/>
                <w:color w:val="FFFFFF" w:themeColor="background1"/>
                <w:sz w:val="18"/>
              </w:rPr>
              <w:t>Additional</w:t>
            </w:r>
          </w:p>
        </w:tc>
      </w:tr>
      <w:tr w:rsidR="00AA6BBD" w:rsidRPr="00EB4284" w14:paraId="15610452" w14:textId="77777777" w:rsidTr="00AA6BBD">
        <w:trPr>
          <w:trHeight w:val="137"/>
        </w:trPr>
        <w:tc>
          <w:tcPr>
            <w:tcW w:w="949" w:type="pct"/>
            <w:tcBorders>
              <w:top w:val="single" w:sz="4" w:space="0" w:color="auto"/>
            </w:tcBorders>
          </w:tcPr>
          <w:p w14:paraId="39F64117" w14:textId="77777777" w:rsidR="00AA6BBD" w:rsidRPr="00EB4284" w:rsidRDefault="00AA6BBD" w:rsidP="0028062C">
            <w:pPr>
              <w:pStyle w:val="Tabletext"/>
              <w:rPr>
                <w:b/>
              </w:rPr>
            </w:pPr>
            <w:r w:rsidRPr="00EB4284">
              <w:rPr>
                <w:b/>
              </w:rPr>
              <w:t>Important identified risks</w:t>
            </w:r>
          </w:p>
        </w:tc>
        <w:tc>
          <w:tcPr>
            <w:tcW w:w="1205" w:type="pct"/>
            <w:tcBorders>
              <w:top w:val="single" w:sz="4" w:space="0" w:color="auto"/>
            </w:tcBorders>
          </w:tcPr>
          <w:p w14:paraId="372BF2C9" w14:textId="77777777" w:rsidR="00AA6BBD" w:rsidRPr="00EB4284" w:rsidRDefault="00AA6BBD" w:rsidP="0028062C">
            <w:pPr>
              <w:pStyle w:val="Tabletext"/>
            </w:pPr>
            <w:r w:rsidRPr="00EB4284">
              <w:t>None</w:t>
            </w:r>
          </w:p>
        </w:tc>
        <w:tc>
          <w:tcPr>
            <w:tcW w:w="748" w:type="pct"/>
            <w:tcBorders>
              <w:top w:val="single" w:sz="4" w:space="0" w:color="auto"/>
            </w:tcBorders>
          </w:tcPr>
          <w:p w14:paraId="2C0DE449" w14:textId="77777777" w:rsidR="00AA6BBD" w:rsidRPr="00EB4284" w:rsidRDefault="00AA6BBD" w:rsidP="0028062C">
            <w:pPr>
              <w:pStyle w:val="Tabletext"/>
              <w:jc w:val="center"/>
            </w:pPr>
            <w:r w:rsidRPr="00EB4284">
              <w:t>–</w:t>
            </w:r>
          </w:p>
        </w:tc>
        <w:tc>
          <w:tcPr>
            <w:tcW w:w="742" w:type="pct"/>
            <w:tcBorders>
              <w:top w:val="single" w:sz="4" w:space="0" w:color="auto"/>
            </w:tcBorders>
          </w:tcPr>
          <w:p w14:paraId="2BFB8123" w14:textId="77777777" w:rsidR="00AA6BBD" w:rsidRPr="00EB4284" w:rsidRDefault="00AA6BBD" w:rsidP="0028062C">
            <w:pPr>
              <w:pStyle w:val="Tabletext"/>
              <w:jc w:val="center"/>
            </w:pPr>
            <w:r w:rsidRPr="00EB4284">
              <w:t>–</w:t>
            </w:r>
          </w:p>
        </w:tc>
        <w:tc>
          <w:tcPr>
            <w:tcW w:w="613" w:type="pct"/>
            <w:tcBorders>
              <w:top w:val="single" w:sz="4" w:space="0" w:color="auto"/>
            </w:tcBorders>
          </w:tcPr>
          <w:p w14:paraId="6A95F387" w14:textId="77777777" w:rsidR="00AA6BBD" w:rsidRPr="00EB4284" w:rsidRDefault="00AA6BBD" w:rsidP="0028062C">
            <w:pPr>
              <w:pStyle w:val="Tabletext"/>
              <w:jc w:val="center"/>
            </w:pPr>
            <w:r w:rsidRPr="00EB4284">
              <w:t>–</w:t>
            </w:r>
          </w:p>
        </w:tc>
        <w:tc>
          <w:tcPr>
            <w:tcW w:w="742" w:type="pct"/>
            <w:tcBorders>
              <w:top w:val="single" w:sz="4" w:space="0" w:color="auto"/>
            </w:tcBorders>
          </w:tcPr>
          <w:p w14:paraId="15AC7DC1" w14:textId="77777777" w:rsidR="00AA6BBD" w:rsidRPr="00EB4284" w:rsidRDefault="00AA6BBD" w:rsidP="0028062C">
            <w:pPr>
              <w:pStyle w:val="Tabletext"/>
              <w:jc w:val="center"/>
            </w:pPr>
            <w:r w:rsidRPr="00EB4284">
              <w:t>–</w:t>
            </w:r>
          </w:p>
        </w:tc>
      </w:tr>
      <w:tr w:rsidR="00AA6BBD" w:rsidRPr="00EB4284" w14:paraId="2D1BCE1C" w14:textId="77777777" w:rsidTr="00AA6BBD">
        <w:trPr>
          <w:trHeight w:val="159"/>
        </w:trPr>
        <w:tc>
          <w:tcPr>
            <w:tcW w:w="949" w:type="pct"/>
            <w:vMerge w:val="restart"/>
          </w:tcPr>
          <w:p w14:paraId="45EF81E6" w14:textId="77777777" w:rsidR="00AA6BBD" w:rsidRPr="00EB4284" w:rsidRDefault="00AA6BBD" w:rsidP="0028062C">
            <w:pPr>
              <w:pStyle w:val="Tabletext"/>
              <w:rPr>
                <w:b/>
              </w:rPr>
            </w:pPr>
            <w:r w:rsidRPr="00EB4284">
              <w:rPr>
                <w:b/>
              </w:rPr>
              <w:t>Important potential risks</w:t>
            </w:r>
          </w:p>
        </w:tc>
        <w:tc>
          <w:tcPr>
            <w:tcW w:w="1205" w:type="pct"/>
          </w:tcPr>
          <w:p w14:paraId="105732AB" w14:textId="77777777" w:rsidR="00AA6BBD" w:rsidRPr="00EB4284" w:rsidRDefault="00AA6BBD" w:rsidP="0028062C">
            <w:pPr>
              <w:pStyle w:val="Tabletext"/>
            </w:pPr>
            <w:r w:rsidRPr="00EB4284">
              <w:t>Drug-induced liver injury</w:t>
            </w:r>
          </w:p>
        </w:tc>
        <w:tc>
          <w:tcPr>
            <w:tcW w:w="748" w:type="pct"/>
          </w:tcPr>
          <w:p w14:paraId="7C3F82FD" w14:textId="77777777" w:rsidR="00AA6BBD" w:rsidRPr="00EB4284" w:rsidRDefault="00AA6BBD" w:rsidP="0028062C">
            <w:pPr>
              <w:pStyle w:val="Tabletext"/>
              <w:jc w:val="center"/>
            </w:pPr>
            <w:r w:rsidRPr="00EB4284">
              <w:sym w:font="Wingdings" w:char="F0FC"/>
            </w:r>
            <w:r w:rsidRPr="00EB4284">
              <w:rPr>
                <w:rFonts w:asciiTheme="majorHAnsi" w:hAnsiTheme="majorHAnsi"/>
                <w:szCs w:val="20"/>
              </w:rPr>
              <w:t>§,</w:t>
            </w:r>
          </w:p>
        </w:tc>
        <w:tc>
          <w:tcPr>
            <w:tcW w:w="742" w:type="pct"/>
          </w:tcPr>
          <w:p w14:paraId="2B911EF2" w14:textId="77777777" w:rsidR="00AA6BBD" w:rsidRPr="00EB4284" w:rsidRDefault="00AA6BBD" w:rsidP="0028062C">
            <w:pPr>
              <w:pStyle w:val="Tabletext"/>
              <w:jc w:val="center"/>
            </w:pPr>
            <w:r w:rsidRPr="00EB4284">
              <w:sym w:font="Wingdings" w:char="F0FC"/>
            </w:r>
            <w:r w:rsidRPr="00EB4284">
              <w:t>**</w:t>
            </w:r>
            <w:r w:rsidRPr="00EB4284">
              <w:rPr>
                <w:rFonts w:asciiTheme="majorHAnsi" w:hAnsiTheme="majorHAnsi"/>
                <w:szCs w:val="20"/>
              </w:rPr>
              <w:t>††</w:t>
            </w:r>
          </w:p>
        </w:tc>
        <w:tc>
          <w:tcPr>
            <w:tcW w:w="613" w:type="pct"/>
          </w:tcPr>
          <w:p w14:paraId="795CE747" w14:textId="77777777" w:rsidR="00AA6BBD" w:rsidRPr="00EB4284" w:rsidRDefault="00AA6BBD" w:rsidP="0028062C">
            <w:pPr>
              <w:pStyle w:val="Tabletext"/>
              <w:jc w:val="center"/>
            </w:pPr>
            <w:r w:rsidRPr="00EB4284">
              <w:sym w:font="Wingdings" w:char="F0FC"/>
            </w:r>
          </w:p>
        </w:tc>
        <w:tc>
          <w:tcPr>
            <w:tcW w:w="742" w:type="pct"/>
          </w:tcPr>
          <w:p w14:paraId="7C2185ED" w14:textId="77777777" w:rsidR="00AA6BBD" w:rsidRPr="00EB4284" w:rsidRDefault="00AA6BBD" w:rsidP="0028062C">
            <w:pPr>
              <w:pStyle w:val="Tabletext"/>
              <w:jc w:val="center"/>
            </w:pPr>
            <w:r w:rsidRPr="00EB4284">
              <w:t>–</w:t>
            </w:r>
          </w:p>
        </w:tc>
      </w:tr>
      <w:tr w:rsidR="00AA6BBD" w:rsidRPr="00EB4284" w14:paraId="74BF5768" w14:textId="77777777" w:rsidTr="00AA6BBD">
        <w:trPr>
          <w:trHeight w:val="122"/>
        </w:trPr>
        <w:tc>
          <w:tcPr>
            <w:tcW w:w="949" w:type="pct"/>
            <w:vMerge/>
          </w:tcPr>
          <w:p w14:paraId="1EBEC923" w14:textId="77777777" w:rsidR="00AA6BBD" w:rsidRPr="00EB4284" w:rsidRDefault="00AA6BBD" w:rsidP="0028062C">
            <w:pPr>
              <w:pStyle w:val="Tabletext"/>
              <w:rPr>
                <w:b/>
              </w:rPr>
            </w:pPr>
          </w:p>
        </w:tc>
        <w:tc>
          <w:tcPr>
            <w:tcW w:w="1205" w:type="pct"/>
          </w:tcPr>
          <w:p w14:paraId="183709B3" w14:textId="77777777" w:rsidR="00AA6BBD" w:rsidRPr="00EB4284" w:rsidRDefault="00AA6BBD" w:rsidP="0028062C">
            <w:pPr>
              <w:pStyle w:val="Tabletext"/>
            </w:pPr>
            <w:r w:rsidRPr="00EB4284">
              <w:t>Infections</w:t>
            </w:r>
          </w:p>
        </w:tc>
        <w:tc>
          <w:tcPr>
            <w:tcW w:w="748" w:type="pct"/>
          </w:tcPr>
          <w:p w14:paraId="127BE488" w14:textId="77777777" w:rsidR="00AA6BBD" w:rsidRPr="00EB4284" w:rsidRDefault="00AA6BBD" w:rsidP="0028062C">
            <w:pPr>
              <w:pStyle w:val="Tabletext"/>
              <w:jc w:val="center"/>
            </w:pPr>
            <w:r w:rsidRPr="00EB4284">
              <w:sym w:font="Wingdings" w:char="F0FC"/>
            </w:r>
          </w:p>
        </w:tc>
        <w:tc>
          <w:tcPr>
            <w:tcW w:w="742" w:type="pct"/>
          </w:tcPr>
          <w:p w14:paraId="35FAFA57" w14:textId="77777777" w:rsidR="00AA6BBD" w:rsidRPr="00EB4284" w:rsidRDefault="00AA6BBD" w:rsidP="0028062C">
            <w:pPr>
              <w:pStyle w:val="Tabletext"/>
              <w:jc w:val="center"/>
            </w:pPr>
            <w:r w:rsidRPr="00EB4284">
              <w:sym w:font="Wingdings" w:char="F0FC"/>
            </w:r>
            <w:r w:rsidRPr="00EB4284">
              <w:t>**</w:t>
            </w:r>
            <w:r w:rsidRPr="00EB4284">
              <w:rPr>
                <w:rFonts w:asciiTheme="majorHAnsi" w:hAnsiTheme="majorHAnsi"/>
                <w:szCs w:val="20"/>
              </w:rPr>
              <w:t>††,</w:t>
            </w:r>
          </w:p>
        </w:tc>
        <w:tc>
          <w:tcPr>
            <w:tcW w:w="613" w:type="pct"/>
          </w:tcPr>
          <w:p w14:paraId="7862B9A3" w14:textId="77777777" w:rsidR="00AA6BBD" w:rsidRPr="00EB4284" w:rsidRDefault="00AA6BBD" w:rsidP="0028062C">
            <w:pPr>
              <w:pStyle w:val="Tabletext"/>
              <w:jc w:val="center"/>
            </w:pPr>
            <w:r w:rsidRPr="00EB4284">
              <w:sym w:font="Wingdings" w:char="F0FC"/>
            </w:r>
          </w:p>
        </w:tc>
        <w:tc>
          <w:tcPr>
            <w:tcW w:w="742" w:type="pct"/>
          </w:tcPr>
          <w:p w14:paraId="7E78A0D7" w14:textId="77777777" w:rsidR="00AA6BBD" w:rsidRPr="00EB4284" w:rsidRDefault="00AA6BBD" w:rsidP="0028062C">
            <w:pPr>
              <w:pStyle w:val="Tabletext"/>
              <w:jc w:val="center"/>
            </w:pPr>
            <w:r w:rsidRPr="00EB4284">
              <w:t>–</w:t>
            </w:r>
          </w:p>
        </w:tc>
      </w:tr>
      <w:tr w:rsidR="00AA6BBD" w:rsidRPr="00EB4284" w14:paraId="0DC28C3E" w14:textId="77777777" w:rsidTr="00AA6BBD">
        <w:trPr>
          <w:trHeight w:val="122"/>
        </w:trPr>
        <w:tc>
          <w:tcPr>
            <w:tcW w:w="949" w:type="pct"/>
            <w:vMerge/>
          </w:tcPr>
          <w:p w14:paraId="6B8921FF" w14:textId="77777777" w:rsidR="00AA6BBD" w:rsidRPr="00EB4284" w:rsidRDefault="00AA6BBD" w:rsidP="0028062C">
            <w:pPr>
              <w:pStyle w:val="Tabletext"/>
              <w:rPr>
                <w:b/>
              </w:rPr>
            </w:pPr>
          </w:p>
        </w:tc>
        <w:tc>
          <w:tcPr>
            <w:tcW w:w="1205" w:type="pct"/>
          </w:tcPr>
          <w:p w14:paraId="06EA1F2A" w14:textId="77777777" w:rsidR="00AA6BBD" w:rsidRPr="00EB4284" w:rsidRDefault="00AA6BBD" w:rsidP="0028062C">
            <w:pPr>
              <w:pStyle w:val="Tabletext"/>
            </w:pPr>
            <w:r w:rsidRPr="00EB4284">
              <w:t>Malignancy (secondary neoplasm and relapse of underlying malignancy)</w:t>
            </w:r>
          </w:p>
        </w:tc>
        <w:tc>
          <w:tcPr>
            <w:tcW w:w="748" w:type="pct"/>
          </w:tcPr>
          <w:p w14:paraId="5EBA348B" w14:textId="77777777" w:rsidR="00AA6BBD" w:rsidRPr="00EB4284" w:rsidRDefault="00AA6BBD" w:rsidP="0028062C">
            <w:pPr>
              <w:pStyle w:val="Tabletext"/>
              <w:jc w:val="center"/>
            </w:pPr>
            <w:r w:rsidRPr="00EB4284">
              <w:sym w:font="Wingdings" w:char="F0FC"/>
            </w:r>
            <w:r w:rsidRPr="00EB4284">
              <w:rPr>
                <w:rFonts w:asciiTheme="majorHAnsi" w:hAnsiTheme="majorHAnsi"/>
                <w:szCs w:val="20"/>
              </w:rPr>
              <w:t>§,</w:t>
            </w:r>
          </w:p>
        </w:tc>
        <w:tc>
          <w:tcPr>
            <w:tcW w:w="742" w:type="pct"/>
          </w:tcPr>
          <w:p w14:paraId="287EB1BB" w14:textId="77777777" w:rsidR="00AA6BBD" w:rsidRPr="00EB4284" w:rsidRDefault="00AA6BBD" w:rsidP="0028062C">
            <w:pPr>
              <w:pStyle w:val="Tabletext"/>
              <w:jc w:val="center"/>
            </w:pPr>
            <w:r w:rsidRPr="00EB4284">
              <w:sym w:font="Wingdings" w:char="F0FC"/>
            </w:r>
            <w:r w:rsidRPr="00EB4284">
              <w:t>**</w:t>
            </w:r>
            <w:r w:rsidRPr="00EB4284">
              <w:rPr>
                <w:rFonts w:asciiTheme="majorHAnsi" w:hAnsiTheme="majorHAnsi"/>
                <w:szCs w:val="20"/>
              </w:rPr>
              <w:t>††</w:t>
            </w:r>
          </w:p>
        </w:tc>
        <w:tc>
          <w:tcPr>
            <w:tcW w:w="613" w:type="pct"/>
          </w:tcPr>
          <w:p w14:paraId="1F7528BB" w14:textId="77777777" w:rsidR="00AA6BBD" w:rsidRPr="00EB4284" w:rsidRDefault="00AA6BBD" w:rsidP="0028062C">
            <w:pPr>
              <w:pStyle w:val="Tabletext"/>
              <w:jc w:val="center"/>
            </w:pPr>
            <w:r w:rsidRPr="00EB4284">
              <w:sym w:font="Wingdings" w:char="F0FC"/>
            </w:r>
          </w:p>
        </w:tc>
        <w:tc>
          <w:tcPr>
            <w:tcW w:w="742" w:type="pct"/>
          </w:tcPr>
          <w:p w14:paraId="6CA84095" w14:textId="77777777" w:rsidR="00AA6BBD" w:rsidRPr="00EB4284" w:rsidRDefault="00AA6BBD" w:rsidP="0028062C">
            <w:pPr>
              <w:pStyle w:val="Tabletext"/>
              <w:jc w:val="center"/>
            </w:pPr>
            <w:r w:rsidRPr="00EB4284">
              <w:t>–</w:t>
            </w:r>
          </w:p>
        </w:tc>
      </w:tr>
      <w:tr w:rsidR="00AA6BBD" w:rsidRPr="00EB4284" w14:paraId="2BE60E94" w14:textId="77777777" w:rsidTr="00AA6BBD">
        <w:trPr>
          <w:trHeight w:val="112"/>
        </w:trPr>
        <w:tc>
          <w:tcPr>
            <w:tcW w:w="949" w:type="pct"/>
            <w:vMerge/>
          </w:tcPr>
          <w:p w14:paraId="7B8AE097" w14:textId="77777777" w:rsidR="00AA6BBD" w:rsidRPr="00EB4284" w:rsidRDefault="00AA6BBD" w:rsidP="0028062C">
            <w:pPr>
              <w:pStyle w:val="Tabletext"/>
              <w:rPr>
                <w:b/>
              </w:rPr>
            </w:pPr>
          </w:p>
        </w:tc>
        <w:tc>
          <w:tcPr>
            <w:tcW w:w="1205" w:type="pct"/>
          </w:tcPr>
          <w:p w14:paraId="19D6F84B" w14:textId="77777777" w:rsidR="00AA6BBD" w:rsidRPr="00EB4284" w:rsidRDefault="00AA6BBD" w:rsidP="0028062C">
            <w:pPr>
              <w:pStyle w:val="Tabletext"/>
            </w:pPr>
            <w:r w:rsidRPr="00EB4284">
              <w:t>Embryofetal toxicity and teratogenicity</w:t>
            </w:r>
          </w:p>
        </w:tc>
        <w:tc>
          <w:tcPr>
            <w:tcW w:w="748" w:type="pct"/>
          </w:tcPr>
          <w:p w14:paraId="67001D66" w14:textId="77777777" w:rsidR="00AA6BBD" w:rsidRPr="00EB4284" w:rsidRDefault="00AA6BBD" w:rsidP="0028062C">
            <w:pPr>
              <w:pStyle w:val="Tabletext"/>
              <w:jc w:val="center"/>
            </w:pPr>
            <w:r w:rsidRPr="00EB4284">
              <w:sym w:font="Wingdings" w:char="F0FC"/>
            </w:r>
            <w:r w:rsidRPr="00EB4284">
              <w:rPr>
                <w:rFonts w:asciiTheme="majorHAnsi" w:hAnsiTheme="majorHAnsi"/>
                <w:szCs w:val="20"/>
              </w:rPr>
              <w:t>§</w:t>
            </w:r>
          </w:p>
        </w:tc>
        <w:tc>
          <w:tcPr>
            <w:tcW w:w="742" w:type="pct"/>
          </w:tcPr>
          <w:p w14:paraId="0A74CF30" w14:textId="77777777" w:rsidR="00AA6BBD" w:rsidRPr="00EB4284" w:rsidRDefault="00AA6BBD" w:rsidP="0028062C">
            <w:pPr>
              <w:pStyle w:val="Tabletext"/>
              <w:jc w:val="center"/>
            </w:pPr>
            <w:r w:rsidRPr="00EB4284">
              <w:t>–</w:t>
            </w:r>
          </w:p>
        </w:tc>
        <w:tc>
          <w:tcPr>
            <w:tcW w:w="613" w:type="pct"/>
          </w:tcPr>
          <w:p w14:paraId="3E3D24F4" w14:textId="77777777" w:rsidR="00AA6BBD" w:rsidRPr="00EB4284" w:rsidRDefault="00AA6BBD" w:rsidP="0028062C">
            <w:pPr>
              <w:pStyle w:val="Tabletext"/>
              <w:jc w:val="center"/>
            </w:pPr>
            <w:r w:rsidRPr="00EB4284">
              <w:sym w:font="Wingdings" w:char="F0FC"/>
            </w:r>
          </w:p>
        </w:tc>
        <w:tc>
          <w:tcPr>
            <w:tcW w:w="742" w:type="pct"/>
          </w:tcPr>
          <w:p w14:paraId="4ABF672D" w14:textId="77777777" w:rsidR="00AA6BBD" w:rsidRPr="00EB4284" w:rsidRDefault="00AA6BBD" w:rsidP="0028062C">
            <w:pPr>
              <w:pStyle w:val="Tabletext"/>
              <w:jc w:val="center"/>
            </w:pPr>
            <w:r w:rsidRPr="00EB4284">
              <w:t>–</w:t>
            </w:r>
          </w:p>
        </w:tc>
      </w:tr>
      <w:tr w:rsidR="00AA6BBD" w:rsidRPr="00EB4284" w14:paraId="5BC88AA9" w14:textId="77777777" w:rsidTr="00AA6BBD">
        <w:trPr>
          <w:trHeight w:val="178"/>
        </w:trPr>
        <w:tc>
          <w:tcPr>
            <w:tcW w:w="949" w:type="pct"/>
            <w:vMerge w:val="restart"/>
          </w:tcPr>
          <w:p w14:paraId="33CA0674" w14:textId="77777777" w:rsidR="00AA6BBD" w:rsidRPr="00EB4284" w:rsidRDefault="00AA6BBD" w:rsidP="0028062C">
            <w:pPr>
              <w:pStyle w:val="Tabletext"/>
              <w:rPr>
                <w:b/>
              </w:rPr>
            </w:pPr>
            <w:r w:rsidRPr="00EB4284">
              <w:rPr>
                <w:b/>
              </w:rPr>
              <w:t>Missing information</w:t>
            </w:r>
          </w:p>
        </w:tc>
        <w:tc>
          <w:tcPr>
            <w:tcW w:w="1205" w:type="pct"/>
          </w:tcPr>
          <w:p w14:paraId="68665CF1" w14:textId="77777777" w:rsidR="00AA6BBD" w:rsidRPr="00EB4284" w:rsidRDefault="00AA6BBD" w:rsidP="0028062C">
            <w:pPr>
              <w:pStyle w:val="Tabletext"/>
            </w:pPr>
            <w:r w:rsidRPr="00EB4284">
              <w:t>Use in patients with severe hepatic impairment</w:t>
            </w:r>
          </w:p>
          <w:p w14:paraId="3A086A5C" w14:textId="77777777" w:rsidR="00AA6BBD" w:rsidRPr="00EB4284" w:rsidRDefault="00AA6BBD" w:rsidP="0028062C">
            <w:pPr>
              <w:pStyle w:val="Tabletext"/>
            </w:pPr>
          </w:p>
        </w:tc>
        <w:tc>
          <w:tcPr>
            <w:tcW w:w="748" w:type="pct"/>
          </w:tcPr>
          <w:p w14:paraId="6FE518F8" w14:textId="77777777" w:rsidR="00AA6BBD" w:rsidRPr="00EB4284" w:rsidRDefault="00AA6BBD" w:rsidP="0028062C">
            <w:pPr>
              <w:pStyle w:val="Tabletext"/>
              <w:jc w:val="center"/>
            </w:pPr>
            <w:r w:rsidRPr="00EB4284">
              <w:sym w:font="Wingdings" w:char="F0FC"/>
            </w:r>
          </w:p>
        </w:tc>
        <w:tc>
          <w:tcPr>
            <w:tcW w:w="742" w:type="pct"/>
          </w:tcPr>
          <w:p w14:paraId="42FBE239" w14:textId="77777777" w:rsidR="00AA6BBD" w:rsidRPr="00EB4284" w:rsidRDefault="00AA6BBD" w:rsidP="0028062C">
            <w:pPr>
              <w:pStyle w:val="Tabletext"/>
              <w:jc w:val="center"/>
            </w:pPr>
            <w:r w:rsidRPr="00EB4284">
              <w:sym w:font="Wingdings" w:char="F0FC"/>
            </w:r>
            <w:r w:rsidRPr="00EB4284">
              <w:t>*</w:t>
            </w:r>
          </w:p>
        </w:tc>
        <w:tc>
          <w:tcPr>
            <w:tcW w:w="613" w:type="pct"/>
          </w:tcPr>
          <w:p w14:paraId="54226F8F" w14:textId="77777777" w:rsidR="00AA6BBD" w:rsidRPr="00EB4284" w:rsidRDefault="00AA6BBD" w:rsidP="0028062C">
            <w:pPr>
              <w:pStyle w:val="Tabletext"/>
              <w:jc w:val="center"/>
            </w:pPr>
            <w:r w:rsidRPr="00EB4284">
              <w:sym w:font="Wingdings" w:char="F0FC"/>
            </w:r>
          </w:p>
        </w:tc>
        <w:tc>
          <w:tcPr>
            <w:tcW w:w="742" w:type="pct"/>
          </w:tcPr>
          <w:p w14:paraId="481EAC65" w14:textId="77777777" w:rsidR="00AA6BBD" w:rsidRPr="00EB4284" w:rsidRDefault="00AA6BBD" w:rsidP="0028062C">
            <w:pPr>
              <w:pStyle w:val="Tabletext"/>
              <w:jc w:val="center"/>
            </w:pPr>
            <w:r w:rsidRPr="00EB4284">
              <w:t>–</w:t>
            </w:r>
          </w:p>
        </w:tc>
      </w:tr>
      <w:tr w:rsidR="00AA6BBD" w:rsidRPr="00EB4284" w14:paraId="3F658007" w14:textId="77777777" w:rsidTr="00AA6BBD">
        <w:trPr>
          <w:trHeight w:val="140"/>
        </w:trPr>
        <w:tc>
          <w:tcPr>
            <w:tcW w:w="949" w:type="pct"/>
            <w:vMerge/>
          </w:tcPr>
          <w:p w14:paraId="377C6BC8" w14:textId="77777777" w:rsidR="00AA6BBD" w:rsidRPr="00EB4284" w:rsidRDefault="00AA6BBD" w:rsidP="0028062C">
            <w:pPr>
              <w:pStyle w:val="Tabletext"/>
            </w:pPr>
          </w:p>
        </w:tc>
        <w:tc>
          <w:tcPr>
            <w:tcW w:w="1205" w:type="pct"/>
          </w:tcPr>
          <w:p w14:paraId="3B3FB132" w14:textId="77777777" w:rsidR="00AA6BBD" w:rsidRPr="00EB4284" w:rsidRDefault="00AA6BBD" w:rsidP="0028062C">
            <w:pPr>
              <w:pStyle w:val="Tabletext"/>
            </w:pPr>
            <w:r w:rsidRPr="00EB4284">
              <w:t>Effects on QTc interval at high exposure multiples of the clinical exposure</w:t>
            </w:r>
          </w:p>
        </w:tc>
        <w:tc>
          <w:tcPr>
            <w:tcW w:w="748" w:type="pct"/>
          </w:tcPr>
          <w:p w14:paraId="157DA754" w14:textId="77777777" w:rsidR="00AA6BBD" w:rsidRPr="00EB4284" w:rsidRDefault="00AA6BBD" w:rsidP="0028062C">
            <w:pPr>
              <w:pStyle w:val="Tabletext"/>
              <w:jc w:val="center"/>
            </w:pPr>
            <w:r w:rsidRPr="00EB4284">
              <w:sym w:font="Wingdings" w:char="F0FC"/>
            </w:r>
          </w:p>
        </w:tc>
        <w:tc>
          <w:tcPr>
            <w:tcW w:w="742" w:type="pct"/>
          </w:tcPr>
          <w:p w14:paraId="10890507" w14:textId="77777777" w:rsidR="00AA6BBD" w:rsidRPr="00EB4284" w:rsidRDefault="00AA6BBD" w:rsidP="0028062C">
            <w:pPr>
              <w:pStyle w:val="Tabletext"/>
              <w:jc w:val="center"/>
            </w:pPr>
            <w:r w:rsidRPr="00EB4284">
              <w:sym w:font="Wingdings" w:char="F0FC"/>
            </w:r>
            <w:r w:rsidRPr="00EB4284">
              <w:rPr>
                <w:rFonts w:asciiTheme="majorHAnsi" w:hAnsiTheme="majorHAnsi"/>
                <w:szCs w:val="20"/>
              </w:rPr>
              <w:t>†</w:t>
            </w:r>
          </w:p>
        </w:tc>
        <w:tc>
          <w:tcPr>
            <w:tcW w:w="613" w:type="pct"/>
          </w:tcPr>
          <w:p w14:paraId="7392AA44" w14:textId="77777777" w:rsidR="00AA6BBD" w:rsidRPr="00EB4284" w:rsidRDefault="00AA6BBD" w:rsidP="0028062C">
            <w:pPr>
              <w:pStyle w:val="Tabletext"/>
              <w:jc w:val="center"/>
            </w:pPr>
            <w:r w:rsidRPr="00EB4284">
              <w:sym w:font="Wingdings" w:char="F0FC"/>
            </w:r>
          </w:p>
        </w:tc>
        <w:tc>
          <w:tcPr>
            <w:tcW w:w="742" w:type="pct"/>
          </w:tcPr>
          <w:p w14:paraId="5C9AF2E7" w14:textId="77777777" w:rsidR="00AA6BBD" w:rsidRPr="00EB4284" w:rsidRDefault="00AA6BBD" w:rsidP="0028062C">
            <w:pPr>
              <w:pStyle w:val="Tabletext"/>
              <w:jc w:val="center"/>
            </w:pPr>
            <w:r w:rsidRPr="00EB4284">
              <w:t>–</w:t>
            </w:r>
          </w:p>
        </w:tc>
      </w:tr>
      <w:tr w:rsidR="00AA6BBD" w:rsidRPr="00EB4284" w14:paraId="3E2EB512" w14:textId="77777777" w:rsidTr="00AA6BBD">
        <w:trPr>
          <w:trHeight w:val="140"/>
        </w:trPr>
        <w:tc>
          <w:tcPr>
            <w:tcW w:w="949" w:type="pct"/>
            <w:vMerge/>
          </w:tcPr>
          <w:p w14:paraId="33ED6CE7" w14:textId="77777777" w:rsidR="00AA6BBD" w:rsidRPr="00EB4284" w:rsidRDefault="00AA6BBD" w:rsidP="0028062C">
            <w:pPr>
              <w:pStyle w:val="Tabletext"/>
            </w:pPr>
          </w:p>
        </w:tc>
        <w:tc>
          <w:tcPr>
            <w:tcW w:w="1205" w:type="pct"/>
          </w:tcPr>
          <w:p w14:paraId="3677A406" w14:textId="77777777" w:rsidR="00AA6BBD" w:rsidRPr="00EB4284" w:rsidRDefault="00AA6BBD" w:rsidP="0028062C">
            <w:pPr>
              <w:pStyle w:val="Tabletext"/>
            </w:pPr>
            <w:r w:rsidRPr="00EB4284">
              <w:t>Long term safety</w:t>
            </w:r>
          </w:p>
        </w:tc>
        <w:tc>
          <w:tcPr>
            <w:tcW w:w="748" w:type="pct"/>
          </w:tcPr>
          <w:p w14:paraId="26DC464F" w14:textId="77777777" w:rsidR="00AA6BBD" w:rsidRPr="00EB4284" w:rsidRDefault="00AA6BBD" w:rsidP="0028062C">
            <w:pPr>
              <w:pStyle w:val="Tabletext"/>
              <w:jc w:val="center"/>
            </w:pPr>
            <w:r w:rsidRPr="00EB4284">
              <w:sym w:font="Wingdings" w:char="F0FC"/>
            </w:r>
          </w:p>
        </w:tc>
        <w:tc>
          <w:tcPr>
            <w:tcW w:w="742" w:type="pct"/>
          </w:tcPr>
          <w:p w14:paraId="6B820D27" w14:textId="77777777" w:rsidR="00AA6BBD" w:rsidRPr="00EB4284" w:rsidRDefault="00AA6BBD" w:rsidP="0028062C">
            <w:pPr>
              <w:pStyle w:val="Tabletext"/>
              <w:jc w:val="center"/>
            </w:pPr>
            <w:r w:rsidRPr="00EB4284">
              <w:sym w:font="Wingdings" w:char="F0FC"/>
            </w:r>
            <w:r w:rsidRPr="00EB4284">
              <w:rPr>
                <w:rFonts w:asciiTheme="majorHAnsi" w:hAnsiTheme="majorHAnsi"/>
                <w:szCs w:val="20"/>
              </w:rPr>
              <w:t>††</w:t>
            </w:r>
          </w:p>
        </w:tc>
        <w:tc>
          <w:tcPr>
            <w:tcW w:w="613" w:type="pct"/>
          </w:tcPr>
          <w:p w14:paraId="773F83CE" w14:textId="77777777" w:rsidR="00AA6BBD" w:rsidRPr="00EB4284" w:rsidRDefault="00AA6BBD" w:rsidP="0028062C">
            <w:pPr>
              <w:pStyle w:val="Tabletext"/>
              <w:jc w:val="center"/>
            </w:pPr>
            <w:r w:rsidRPr="00EB4284">
              <w:t>–</w:t>
            </w:r>
          </w:p>
        </w:tc>
        <w:tc>
          <w:tcPr>
            <w:tcW w:w="742" w:type="pct"/>
          </w:tcPr>
          <w:p w14:paraId="5AB072BD" w14:textId="77777777" w:rsidR="00AA6BBD" w:rsidRPr="00EB4284" w:rsidRDefault="00AA6BBD" w:rsidP="0028062C">
            <w:pPr>
              <w:pStyle w:val="Tabletext"/>
              <w:jc w:val="center"/>
            </w:pPr>
            <w:r w:rsidRPr="00EB4284">
              <w:t>–</w:t>
            </w:r>
          </w:p>
        </w:tc>
      </w:tr>
    </w:tbl>
    <w:p w14:paraId="0C6880A7" w14:textId="77777777" w:rsidR="00AA6BBD" w:rsidRPr="00EB4284" w:rsidRDefault="00AA6BBD" w:rsidP="00AA6BBD">
      <w:pPr>
        <w:pStyle w:val="TableDescription"/>
      </w:pPr>
      <w:r w:rsidRPr="00EB4284">
        <w:t>* Study KD025-109</w:t>
      </w:r>
    </w:p>
    <w:p w14:paraId="201C3F8A" w14:textId="77777777" w:rsidR="00AA6BBD" w:rsidRPr="00AA6BBD" w:rsidRDefault="00AA6BBD" w:rsidP="00AA6BBD">
      <w:pPr>
        <w:pStyle w:val="TableDescription"/>
      </w:pPr>
      <w:r w:rsidRPr="00AA6BBD">
        <w:t>† Study KD025-110</w:t>
      </w:r>
    </w:p>
    <w:p w14:paraId="76BE65CC" w14:textId="77777777" w:rsidR="00AA6BBD" w:rsidRPr="00AA6BBD" w:rsidRDefault="00AA6BBD" w:rsidP="00AA6BBD">
      <w:pPr>
        <w:pStyle w:val="TableDescription"/>
      </w:pPr>
      <w:r w:rsidRPr="00AA6BBD">
        <w:t>†† Study KD025-217</w:t>
      </w:r>
    </w:p>
    <w:p w14:paraId="1A1CD500" w14:textId="77777777" w:rsidR="00AA6BBD" w:rsidRPr="00AA6BBD" w:rsidRDefault="00AA6BBD" w:rsidP="00AA6BBD">
      <w:pPr>
        <w:pStyle w:val="TableDescription"/>
      </w:pPr>
      <w:r w:rsidRPr="00AA6BBD">
        <w:t>§ Follow up questionnaires</w:t>
      </w:r>
    </w:p>
    <w:p w14:paraId="6493B44F" w14:textId="753FABFD" w:rsidR="00AA6BBD" w:rsidRDefault="00AA6BBD" w:rsidP="00AA6BBD">
      <w:r>
        <w:t xml:space="preserve">‘Long term safety’ has been added as missing information. The summary of safety concerns is acceptable. </w:t>
      </w:r>
    </w:p>
    <w:p w14:paraId="117934B0" w14:textId="12ACE0DD" w:rsidR="00AA6BBD" w:rsidRDefault="00AA6BBD" w:rsidP="00AA6BBD">
      <w:r>
        <w:t xml:space="preserve">Routine pharmacovigilance activities have been proposed for the all the identified safety concerns. Additional pharmacovigilance activities are proposed only for the two missing information concerns. This is acceptable and the two pharmacokinetic studies which are underway will provide further clarity regarding the missing information. However, the FDA has recommended ten post marketing requirements based on the data available to date. The trials as agreed with the FDA have been included in the ASA as additional pharmacovigilance and cross referenced to the summary of safety concerns. The sponsor </w:t>
      </w:r>
      <w:r>
        <w:lastRenderedPageBreak/>
        <w:t>has also added targeted follow-up questionnaires as routine pharmacovigilance in the ASA for the following safety concerns: Drug-induced liver damage; Malignancy; Embryonic and foetal toxicity and teratogenicity.</w:t>
      </w:r>
    </w:p>
    <w:p w14:paraId="56A6F8E0" w14:textId="77C4CC36" w:rsidR="00AA6BBD" w:rsidRDefault="00AA6BBD" w:rsidP="00AA6BBD">
      <w:r>
        <w:t>Only routine risk minimisation activities have been proposed. The CMI and P</w:t>
      </w:r>
      <w:r w:rsidR="006234CB">
        <w:t xml:space="preserve">roduction </w:t>
      </w:r>
      <w:r>
        <w:t>I</w:t>
      </w:r>
      <w:r w:rsidR="006234CB">
        <w:t>nformation (PI)</w:t>
      </w:r>
      <w:r>
        <w:t xml:space="preserve"> provide adequate information with regards to prevention of pregnancy that additional risk minimisation activities are not required.</w:t>
      </w:r>
    </w:p>
    <w:p w14:paraId="5F4EAB3D" w14:textId="77777777" w:rsidR="00AA6BBD" w:rsidRDefault="00AA6BBD" w:rsidP="00AA6BBD">
      <w:r>
        <w:t>The sponsor has committed to the following:</w:t>
      </w:r>
    </w:p>
    <w:p w14:paraId="680C2A69" w14:textId="68363E62" w:rsidR="00AA6BBD" w:rsidRDefault="00AA6BBD" w:rsidP="00AA6BBD">
      <w:pPr>
        <w:pStyle w:val="ListBullet"/>
      </w:pPr>
      <w:r>
        <w:t>A revised RMP if any additional safety concerns are identified by the clinical/nonclinical evaluators.</w:t>
      </w:r>
    </w:p>
    <w:p w14:paraId="35C3E386" w14:textId="2B2D2F96" w:rsidR="00AA6BBD" w:rsidRDefault="00AA6BBD" w:rsidP="00AA6BBD">
      <w:pPr>
        <w:pStyle w:val="ListBullet"/>
      </w:pPr>
      <w:r>
        <w:t>Advising the TGA of the reporting frequency and schedule for PSUR submissions when available.</w:t>
      </w:r>
    </w:p>
    <w:p w14:paraId="36FC5C4E" w14:textId="05FED74D" w:rsidR="00AA6BBD" w:rsidRDefault="00AA6BBD" w:rsidP="00AA6BBD">
      <w:pPr>
        <w:pStyle w:val="ListBullet"/>
      </w:pPr>
      <w:r>
        <w:t>Submitting the completed study outcomes to the TGA for review once available.</w:t>
      </w:r>
    </w:p>
    <w:p w14:paraId="0A6DE0E6" w14:textId="4D0B99A0" w:rsidR="00AA6BBD" w:rsidRDefault="00AA6BBD" w:rsidP="00AA6BBD">
      <w:pPr>
        <w:pStyle w:val="ListBullet"/>
      </w:pPr>
      <w:r>
        <w:t>Implementation of targeted follow up questionnaires for drug-induced liver damage, malignancy and embryonic and foetal toxicity and teratogenicity (pregnancy). The questionnaires will be the same as those to be implemented in Switzerland and will be added to the next version of the EU-RMP and submitted to the TGA.</w:t>
      </w:r>
    </w:p>
    <w:p w14:paraId="1F497688" w14:textId="51115F39" w:rsidR="00AA6BBD" w:rsidRDefault="00AA6BBD" w:rsidP="00AA6BBD">
      <w:r>
        <w:t>There are no outstanding issues.</w:t>
      </w:r>
    </w:p>
    <w:p w14:paraId="3B2EECDF" w14:textId="154F9134" w:rsidR="00AA6BBD" w:rsidRDefault="00AA6BBD" w:rsidP="00AA6BBD">
      <w:pPr>
        <w:pStyle w:val="Heading4"/>
      </w:pPr>
      <w:bookmarkStart w:id="62" w:name="_Toc95902814"/>
      <w:r>
        <w:t>Proposed w</w:t>
      </w:r>
      <w:r w:rsidRPr="004B2201">
        <w:t>ording for conditions of registration.</w:t>
      </w:r>
      <w:bookmarkEnd w:id="62"/>
    </w:p>
    <w:p w14:paraId="12420221" w14:textId="0BC77DF4" w:rsidR="00AA6BBD" w:rsidRPr="005023E9" w:rsidRDefault="00AA6BBD" w:rsidP="00AA6BBD">
      <w:r w:rsidRPr="005023E9">
        <w:t>Any changes</w:t>
      </w:r>
      <w:r>
        <w:t xml:space="preserve"> </w:t>
      </w:r>
      <w:r w:rsidRPr="005023E9">
        <w:t xml:space="preserve">to which the sponsor has agreed should be included in a revised RMP and ASA. However, irrespective of </w:t>
      </w:r>
      <w:proofErr w:type="gramStart"/>
      <w:r w:rsidRPr="005023E9">
        <w:t>whether or not</w:t>
      </w:r>
      <w:proofErr w:type="gramEnd"/>
      <w:r w:rsidRPr="005023E9">
        <w:t xml:space="preserve"> they are included in the currently available version of the RMP document, the agreed changes become part of the risk management system. </w:t>
      </w:r>
    </w:p>
    <w:p w14:paraId="09585AAC" w14:textId="6CFACCA5" w:rsidR="00AA6BBD" w:rsidRPr="005023E9" w:rsidRDefault="00AA6BBD" w:rsidP="00AA6BBD">
      <w:r w:rsidRPr="005023E9">
        <w:t>The suggested wording is:</w:t>
      </w:r>
    </w:p>
    <w:p w14:paraId="1D9B322E" w14:textId="2FC1D2A1" w:rsidR="00AA6BBD" w:rsidRPr="00AA6BBD" w:rsidRDefault="00AA6BBD" w:rsidP="00D8694A">
      <w:pPr>
        <w:rPr>
          <w:i/>
          <w:iCs/>
        </w:rPr>
      </w:pPr>
      <w:r w:rsidRPr="00AA6BBD">
        <w:rPr>
          <w:i/>
          <w:iCs/>
        </w:rPr>
        <w:t>The</w:t>
      </w:r>
      <w:r>
        <w:rPr>
          <w:i/>
          <w:iCs/>
        </w:rPr>
        <w:t xml:space="preserve"> </w:t>
      </w:r>
      <w:proofErr w:type="spellStart"/>
      <w:r>
        <w:rPr>
          <w:i/>
          <w:iCs/>
        </w:rPr>
        <w:t>Rho</w:t>
      </w:r>
      <w:r w:rsidR="00D8694A">
        <w:rPr>
          <w:i/>
          <w:iCs/>
        </w:rPr>
        <w:t>listiq</w:t>
      </w:r>
      <w:proofErr w:type="spellEnd"/>
      <w:r w:rsidR="00D8694A">
        <w:rPr>
          <w:i/>
          <w:iCs/>
        </w:rPr>
        <w:t xml:space="preserve"> </w:t>
      </w:r>
      <w:r w:rsidRPr="00AA6BBD">
        <w:rPr>
          <w:i/>
          <w:iCs/>
        </w:rPr>
        <w:t>EU-Risk Management Plan version 1.0 (dated 13 November 2020; DLP 19 February 2020) with Australian Specific Annex (version 1.3, dated 13 September 2021), included with submission PM-2020-05433-1-6, and any subsequent revisions, as agreed with the TGA will be implemented in Australia.</w:t>
      </w:r>
    </w:p>
    <w:p w14:paraId="65E0E34E" w14:textId="77777777" w:rsidR="00AA6BBD" w:rsidRPr="00A54529" w:rsidRDefault="00AA6BBD" w:rsidP="00D8694A">
      <w:r w:rsidRPr="00A54529">
        <w:t>The following wording is recommended for the PSUR requirement:</w:t>
      </w:r>
    </w:p>
    <w:p w14:paraId="7F7D03F2" w14:textId="77777777" w:rsidR="00AA6BBD" w:rsidRPr="00D8694A" w:rsidRDefault="00AA6BBD" w:rsidP="00D8694A">
      <w:pPr>
        <w:rPr>
          <w:i/>
          <w:iCs/>
          <w:u w:val="single"/>
        </w:rPr>
      </w:pPr>
      <w:r w:rsidRPr="00D8694A">
        <w:rPr>
          <w:i/>
          <w:iCs/>
        </w:rPr>
        <w:t xml:space="preserve">An obligatory component of risk management plans is routine pharmacovigilance. Routine pharmacovigilance includes the submission of periodic safety update reports (PSURs). </w:t>
      </w:r>
    </w:p>
    <w:p w14:paraId="7A0D483B" w14:textId="77777777" w:rsidR="00AA6BBD" w:rsidRPr="00D8694A" w:rsidRDefault="00AA6BBD" w:rsidP="00D8694A">
      <w:pPr>
        <w:rPr>
          <w:i/>
          <w:iCs/>
        </w:rPr>
      </w:pPr>
      <w:r w:rsidRPr="00D8694A">
        <w:rPr>
          <w:i/>
          <w:iCs/>
        </w:rPr>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w:t>
      </w:r>
      <w:proofErr w:type="gramStart"/>
      <w:r w:rsidRPr="00D8694A">
        <w:rPr>
          <w:i/>
          <w:iCs/>
        </w:rPr>
        <w:t>six monthly</w:t>
      </w:r>
      <w:proofErr w:type="gramEnd"/>
      <w:r w:rsidRPr="00D8694A">
        <w:rPr>
          <w:i/>
          <w:iCs/>
        </w:rPr>
        <w:t xml:space="preserve"> reports may be submitted separately as they become available.</w:t>
      </w:r>
    </w:p>
    <w:p w14:paraId="6A99003C" w14:textId="36F95D6D" w:rsidR="00AA6BBD" w:rsidRPr="00D8694A" w:rsidRDefault="00AA6BBD" w:rsidP="00D8694A">
      <w:pPr>
        <w:rPr>
          <w:i/>
          <w:iCs/>
        </w:rPr>
      </w:pPr>
      <w:r w:rsidRPr="00D8694A">
        <w:rPr>
          <w:i/>
          <w:iCs/>
        </w:rPr>
        <w:t>If the product is approved in the EU during the three years period, reports can be</w:t>
      </w:r>
      <w:r w:rsidR="00D8694A">
        <w:rPr>
          <w:i/>
          <w:iCs/>
        </w:rPr>
        <w:t xml:space="preserve"> </w:t>
      </w:r>
      <w:r w:rsidRPr="00D8694A">
        <w:rPr>
          <w:i/>
          <w:iCs/>
        </w:rPr>
        <w:t>provided in line with the published list of EU reference dates no less frequently than annually from the date of the first submitted report until the period covered by such reports is not less than three years from the date of this approval letter.</w:t>
      </w:r>
    </w:p>
    <w:p w14:paraId="0AAAE0EE" w14:textId="77777777" w:rsidR="00AA6BBD" w:rsidRPr="00A54529" w:rsidRDefault="00AA6BBD" w:rsidP="00D8694A">
      <w:r w:rsidRPr="00D8694A">
        <w:rPr>
          <w:i/>
          <w:iCs/>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5883C9D9" w14:textId="0BC7C5FB" w:rsidR="00AA6BBD" w:rsidRPr="00A54529" w:rsidRDefault="00AA6BBD" w:rsidP="00D8694A">
      <w:r w:rsidRPr="00A54529">
        <w:lastRenderedPageBreak/>
        <w:t xml:space="preserve">As </w:t>
      </w:r>
      <w:proofErr w:type="spellStart"/>
      <w:r w:rsidR="00D8694A">
        <w:t>Rholistiq</w:t>
      </w:r>
      <w:proofErr w:type="spellEnd"/>
      <w:r w:rsidRPr="00A54529">
        <w:rPr>
          <w:smallCaps/>
        </w:rPr>
        <w:t xml:space="preserve"> </w:t>
      </w:r>
      <w:r w:rsidRPr="00A54529">
        <w:t>is a new chemical entity it should be included in the Black Triangle Scheme as a condition of registration. The following wording is recommended for the condition of registration:</w:t>
      </w:r>
    </w:p>
    <w:p w14:paraId="12DDD5FE" w14:textId="21FCB8C6" w:rsidR="008E7846" w:rsidRPr="00D8694A" w:rsidRDefault="00D8694A" w:rsidP="00D8694A">
      <w:pPr>
        <w:rPr>
          <w:i/>
          <w:iCs/>
        </w:rPr>
      </w:pPr>
      <w:proofErr w:type="spellStart"/>
      <w:r w:rsidRPr="00D8694A">
        <w:rPr>
          <w:i/>
          <w:iCs/>
        </w:rPr>
        <w:t>Rholistiq</w:t>
      </w:r>
      <w:proofErr w:type="spellEnd"/>
      <w:r w:rsidR="00AA6BBD" w:rsidRPr="00D8694A">
        <w:rPr>
          <w:i/>
          <w:iCs/>
        </w:rPr>
        <w:t xml:space="preserve"> (</w:t>
      </w:r>
      <w:proofErr w:type="spellStart"/>
      <w:r w:rsidR="00AA6BBD" w:rsidRPr="00D8694A">
        <w:rPr>
          <w:i/>
          <w:iCs/>
        </w:rPr>
        <w:t>belumosudil</w:t>
      </w:r>
      <w:proofErr w:type="spellEnd"/>
      <w:r w:rsidR="00AA6BBD" w:rsidRPr="00D8694A">
        <w:rPr>
          <w:i/>
          <w:iCs/>
        </w:rPr>
        <w:t xml:space="preserve">) is to be included in the Black Triangle Scheme. The PI and CMI for </w:t>
      </w:r>
      <w:proofErr w:type="spellStart"/>
      <w:r w:rsidRPr="00D8694A">
        <w:rPr>
          <w:i/>
          <w:iCs/>
        </w:rPr>
        <w:t>Rholistiq</w:t>
      </w:r>
      <w:proofErr w:type="spellEnd"/>
      <w:r w:rsidR="00AA6BBD" w:rsidRPr="00D8694A">
        <w:rPr>
          <w:i/>
          <w:iCs/>
        </w:rPr>
        <w:t xml:space="preserve"> must include the black triangle symbol and mandatory accompanying text for five years, which starts from the date that the sponsor notifies the TGA of supply of the product.</w:t>
      </w:r>
    </w:p>
    <w:p w14:paraId="6367359B" w14:textId="77777777" w:rsidR="008E7846" w:rsidRDefault="00AA0ED0" w:rsidP="008E7846">
      <w:pPr>
        <w:pStyle w:val="Heading3"/>
      </w:pPr>
      <w:bookmarkStart w:id="63" w:name="_Toc247691531"/>
      <w:bookmarkStart w:id="64" w:name="_Toc314842515"/>
      <w:bookmarkStart w:id="65" w:name="_Toc102638228"/>
      <w:bookmarkStart w:id="66" w:name="_Toc196046505"/>
      <w:bookmarkStart w:id="67" w:name="_Toc196046949"/>
      <w:r>
        <w:t>Risk-benefit a</w:t>
      </w:r>
      <w:r w:rsidR="008E7846">
        <w:t>nalysis</w:t>
      </w:r>
      <w:bookmarkEnd w:id="63"/>
      <w:bookmarkEnd w:id="64"/>
      <w:bookmarkEnd w:id="65"/>
    </w:p>
    <w:p w14:paraId="09806E54" w14:textId="77777777" w:rsidR="00D23139" w:rsidRDefault="007D53B6" w:rsidP="00D23139">
      <w:pPr>
        <w:pStyle w:val="Heading4"/>
      </w:pPr>
      <w:r>
        <w:t>Delegate’s considerations</w:t>
      </w:r>
    </w:p>
    <w:p w14:paraId="5EB28483" w14:textId="77777777" w:rsidR="00FC0206" w:rsidRDefault="008C1D85" w:rsidP="00C85F74">
      <w:pPr>
        <w:pStyle w:val="Heading5"/>
      </w:pPr>
      <w:r>
        <w:t>Pharmacology</w:t>
      </w:r>
    </w:p>
    <w:p w14:paraId="4CFFFDF0" w14:textId="5A92E391" w:rsidR="008C1D85" w:rsidRDefault="008C1D85" w:rsidP="008C1D85">
      <w:r>
        <w:t xml:space="preserve">No dose response to </w:t>
      </w:r>
      <w:proofErr w:type="spellStart"/>
      <w:r>
        <w:t>belumosudil</w:t>
      </w:r>
      <w:proofErr w:type="spellEnd"/>
      <w:r>
        <w:t xml:space="preserve"> has been demonstrated, with a flat dose response in in both clinical trials and in the exposure-response </w:t>
      </w:r>
      <w:r w:rsidR="006234CB">
        <w:t>pharmacodynamic</w:t>
      </w:r>
      <w:r>
        <w:t xml:space="preserve">/PK analysis. It is therefore not clear whether dose adjustments will result in changes in efficacy. Age and body size were not demonstrated to affect efficacy or safety and no dose adjustments have been proposed based on these parameters. The efficacy and safety studies enrolled only adults however the sponsor proposed that </w:t>
      </w:r>
      <w:proofErr w:type="spellStart"/>
      <w:r>
        <w:t>belumosudil</w:t>
      </w:r>
      <w:proofErr w:type="spellEnd"/>
      <w:r>
        <w:t xml:space="preserve"> be indicated in patients 12 years and older. This is acceptable, given the flat relationship between body weight, efficacy, and safety. The weight range included in the </w:t>
      </w:r>
      <w:proofErr w:type="spellStart"/>
      <w:r>
        <w:t>popPK</w:t>
      </w:r>
      <w:proofErr w:type="spellEnd"/>
      <w:r>
        <w:t xml:space="preserve"> analysis was 38.6 to 143 kg, and no body weight effect was identified on the clearance of </w:t>
      </w:r>
      <w:proofErr w:type="spellStart"/>
      <w:r>
        <w:t>belumosudil</w:t>
      </w:r>
      <w:proofErr w:type="spellEnd"/>
      <w:r>
        <w:t xml:space="preserve">. </w:t>
      </w:r>
    </w:p>
    <w:p w14:paraId="13BDAB58" w14:textId="50310705" w:rsidR="008C1D85" w:rsidRDefault="008C1D85" w:rsidP="008C1D85">
      <w:r>
        <w:t xml:space="preserve">There are significant changes in the PK of </w:t>
      </w:r>
      <w:proofErr w:type="spellStart"/>
      <w:r>
        <w:t>belumosudil</w:t>
      </w:r>
      <w:proofErr w:type="spellEnd"/>
      <w:r>
        <w:t xml:space="preserve"> in response to strong </w:t>
      </w:r>
      <w:r>
        <w:tab/>
        <w:t xml:space="preserve">CYP3A4 induction (rifampicin), which reduced </w:t>
      </w:r>
      <w:proofErr w:type="spellStart"/>
      <w:r>
        <w:t>belumosudil</w:t>
      </w:r>
      <w:proofErr w:type="spellEnd"/>
      <w:r>
        <w:t xml:space="preserve"> exposure by 72% and PPIs similarly reduced </w:t>
      </w:r>
      <w:proofErr w:type="spellStart"/>
      <w:r>
        <w:t>belumosudil</w:t>
      </w:r>
      <w:proofErr w:type="spellEnd"/>
      <w:r>
        <w:t xml:space="preserve"> exposure by up to 80%, depending on the strength of the PPI. Dose increases to 200 mg twice daily are recommended in the US P</w:t>
      </w:r>
      <w:r w:rsidR="00FC0206">
        <w:t>rescribing Information</w:t>
      </w:r>
      <w:r>
        <w:t xml:space="preserve"> but had not been proposed by the </w:t>
      </w:r>
      <w:r w:rsidR="000D3A7E">
        <w:t>s</w:t>
      </w:r>
      <w:r>
        <w:t>ponsor for either the strong CYP3A inducers and for co</w:t>
      </w:r>
      <w:r w:rsidR="00FC0206">
        <w:t>-</w:t>
      </w:r>
      <w:r>
        <w:t>administration with proton pump inhibitors.</w:t>
      </w:r>
    </w:p>
    <w:p w14:paraId="6E63098F" w14:textId="55C7BAA5" w:rsidR="008C1D85" w:rsidRDefault="008C1D85" w:rsidP="008C1D85">
      <w:r>
        <w:t xml:space="preserve">No dose modifications have been proposed for patients with mild to moderate hepatic or renal impairment. </w:t>
      </w:r>
      <w:proofErr w:type="spellStart"/>
      <w:r>
        <w:t>Belumosudil</w:t>
      </w:r>
      <w:proofErr w:type="spellEnd"/>
      <w:r>
        <w:t xml:space="preserve"> has not been studied in patients with severe renal or hepatic impairment.</w:t>
      </w:r>
    </w:p>
    <w:p w14:paraId="3564F41C" w14:textId="77777777" w:rsidR="00FC0206" w:rsidRDefault="008C1D85" w:rsidP="00C85F74">
      <w:pPr>
        <w:pStyle w:val="Heading5"/>
      </w:pPr>
      <w:r>
        <w:t>Efficacy</w:t>
      </w:r>
    </w:p>
    <w:p w14:paraId="6872B4CC" w14:textId="03E72063" w:rsidR="008C1D85" w:rsidRDefault="008C1D85" w:rsidP="008C1D85">
      <w:r>
        <w:t xml:space="preserve">There were </w:t>
      </w:r>
      <w:r w:rsidR="00252EEF">
        <w:t>two</w:t>
      </w:r>
      <w:r>
        <w:t xml:space="preserve"> studies which investigated efficacy and safety of </w:t>
      </w:r>
      <w:proofErr w:type="spellStart"/>
      <w:r>
        <w:t>belumosudil</w:t>
      </w:r>
      <w:proofErr w:type="spellEnd"/>
      <w:r>
        <w:t xml:space="preserve"> in </w:t>
      </w:r>
      <w:proofErr w:type="spellStart"/>
      <w:r>
        <w:t>cGVHD</w:t>
      </w:r>
      <w:proofErr w:type="spellEnd"/>
      <w:r>
        <w:t xml:space="preserve">. These were both small, uncontrolled </w:t>
      </w:r>
      <w:r w:rsidR="000D3A7E">
        <w:t>P</w:t>
      </w:r>
      <w:r>
        <w:t xml:space="preserve">hase </w:t>
      </w:r>
      <w:r w:rsidR="000D3A7E">
        <w:t>II</w:t>
      </w:r>
      <w:r>
        <w:t xml:space="preserve"> studies with a relatively short duration of assessment to date. The primary analysis was by </w:t>
      </w:r>
      <w:r w:rsidR="000D3A7E">
        <w:t>i</w:t>
      </w:r>
      <w:r>
        <w:t>nvestigator. This is of particular concern given these were uncontrolled studies, disease symptoms are multi</w:t>
      </w:r>
      <w:r w:rsidR="000D3A7E">
        <w:noBreakHyphen/>
      </w:r>
      <w:r>
        <w:t xml:space="preserve">system, highly variable and fluctuate over time. Additionally, the response could occur at any time during the study. The </w:t>
      </w:r>
      <w:r w:rsidR="000D3A7E">
        <w:t>r</w:t>
      </w:r>
      <w:r>
        <w:t>eviewers chose alternative efficacy endpoints and performed an adjudication of cases.</w:t>
      </w:r>
    </w:p>
    <w:p w14:paraId="138EEE13" w14:textId="7755F523" w:rsidR="008C1D85" w:rsidRDefault="008C1D85" w:rsidP="008C1D85">
      <w:r>
        <w:t xml:space="preserve">The demographics and baseline disease characteristics in the study population were representative of the patients with </w:t>
      </w:r>
      <w:proofErr w:type="spellStart"/>
      <w:r>
        <w:t>cGVHD</w:t>
      </w:r>
      <w:proofErr w:type="spellEnd"/>
      <w:r>
        <w:t xml:space="preserve"> that has not adequately responded to current treatment however there were no subjects in the pivotal study who had failed only one line of therapy. The median was </w:t>
      </w:r>
      <w:r w:rsidR="000D3A7E">
        <w:t>six</w:t>
      </w:r>
      <w:r>
        <w:t xml:space="preserve"> lines of prior therapy. It is not known whether </w:t>
      </w:r>
      <w:proofErr w:type="spellStart"/>
      <w:r>
        <w:t>belumosudil</w:t>
      </w:r>
      <w:proofErr w:type="spellEnd"/>
      <w:r>
        <w:t xml:space="preserve"> would be </w:t>
      </w:r>
      <w:proofErr w:type="gramStart"/>
      <w:r>
        <w:t>more or less efficacious</w:t>
      </w:r>
      <w:proofErr w:type="gramEnd"/>
      <w:r>
        <w:t xml:space="preserve"> if given earlier in the course of </w:t>
      </w:r>
      <w:proofErr w:type="spellStart"/>
      <w:r>
        <w:t>cGVHD</w:t>
      </w:r>
      <w:proofErr w:type="spellEnd"/>
      <w:r>
        <w:t xml:space="preserve"> or if given to patients with less severe disease or less experience with other lines of therapy. Given the population in which efficacy and safety have been examined </w:t>
      </w:r>
      <w:r w:rsidR="000D3A7E">
        <w:t>the Delegate</w:t>
      </w:r>
      <w:r>
        <w:t xml:space="preserve"> consider</w:t>
      </w:r>
      <w:r w:rsidR="000D3A7E">
        <w:t>s</w:t>
      </w:r>
      <w:r>
        <w:t xml:space="preserve"> that the indication should be limited to patients who’ve experienced failure of at least </w:t>
      </w:r>
      <w:r w:rsidR="000D3A7E">
        <w:t>two</w:t>
      </w:r>
      <w:r>
        <w:t xml:space="preserve"> prior lines of therapy.</w:t>
      </w:r>
    </w:p>
    <w:p w14:paraId="6D4FFAF5" w14:textId="707A9D81" w:rsidR="008C1D85" w:rsidRDefault="008C1D85" w:rsidP="008C1D85">
      <w:r>
        <w:t xml:space="preserve">The </w:t>
      </w:r>
      <w:r w:rsidR="000D3A7E">
        <w:t>s</w:t>
      </w:r>
      <w:r>
        <w:t>ponsor assessed the ORR in accordance with the 2014 NIH criteria</w:t>
      </w:r>
      <w:r w:rsidR="000D3A7E">
        <w:t>;</w:t>
      </w:r>
      <w:r w:rsidR="000D3A7E">
        <w:fldChar w:fldCharType="begin"/>
      </w:r>
      <w:r w:rsidR="000D3A7E">
        <w:instrText xml:space="preserve"> NOTEREF _Ref99362095 \f \h </w:instrText>
      </w:r>
      <w:r w:rsidR="000D3A7E">
        <w:fldChar w:fldCharType="separate"/>
      </w:r>
      <w:r w:rsidR="00C85F74" w:rsidRPr="00C85F74">
        <w:rPr>
          <w:rStyle w:val="FootnoteReference"/>
        </w:rPr>
        <w:t>2</w:t>
      </w:r>
      <w:r w:rsidR="000D3A7E">
        <w:fldChar w:fldCharType="end"/>
      </w:r>
      <w:r>
        <w:t xml:space="preserve"> but there were differences in the ORR definition between the sponsor and the </w:t>
      </w:r>
      <w:r w:rsidR="000D3A7E">
        <w:t>r</w:t>
      </w:r>
      <w:r>
        <w:t xml:space="preserve">eviewers in the ORR definition in both the dose finding study and the pivotal study. These are described in </w:t>
      </w:r>
      <w:r w:rsidR="000D3A7E">
        <w:lastRenderedPageBreak/>
        <w:fldChar w:fldCharType="begin"/>
      </w:r>
      <w:r w:rsidR="000D3A7E">
        <w:instrText xml:space="preserve"> REF _Ref99443502 \h </w:instrText>
      </w:r>
      <w:r w:rsidR="000D3A7E">
        <w:fldChar w:fldCharType="separate"/>
      </w:r>
      <w:r w:rsidR="00C85F74" w:rsidRPr="003D0318">
        <w:t xml:space="preserve">Table </w:t>
      </w:r>
      <w:r w:rsidR="00C85F74">
        <w:rPr>
          <w:noProof/>
        </w:rPr>
        <w:t>3</w:t>
      </w:r>
      <w:r w:rsidR="000D3A7E">
        <w:fldChar w:fldCharType="end"/>
      </w:r>
      <w:r>
        <w:t xml:space="preserve">. There was little difference between the </w:t>
      </w:r>
      <w:r w:rsidR="000D3A7E">
        <w:t>s</w:t>
      </w:r>
      <w:r>
        <w:t xml:space="preserve">ponsor and </w:t>
      </w:r>
      <w:r w:rsidR="000D3A7E">
        <w:t>r</w:t>
      </w:r>
      <w:r>
        <w:t xml:space="preserve">eviewers in reported ORR. In the pivotal study, for patients given the proposed dose regimen of </w:t>
      </w:r>
      <w:proofErr w:type="spellStart"/>
      <w:r>
        <w:t>belumosudil</w:t>
      </w:r>
      <w:proofErr w:type="spellEnd"/>
      <w:r>
        <w:t xml:space="preserve">, the ORR was 75% with a CR in 6% of patients as assessed by the </w:t>
      </w:r>
      <w:r w:rsidR="000D3A7E">
        <w:t>r</w:t>
      </w:r>
      <w:r>
        <w:t>eviewer compared with an ORR of 72.7% and CR in 4.5% with the sponsor’s analysis.</w:t>
      </w:r>
    </w:p>
    <w:p w14:paraId="305B81B7" w14:textId="121F8A8D" w:rsidR="008C1D85" w:rsidRDefault="008C1D85" w:rsidP="008C1D85">
      <w:r>
        <w:t xml:space="preserve">There were differences in time to onset of response between the </w:t>
      </w:r>
      <w:r w:rsidR="000D3A7E">
        <w:t>r</w:t>
      </w:r>
      <w:r>
        <w:t xml:space="preserve">eviewers and </w:t>
      </w:r>
      <w:r w:rsidR="000D3A7E">
        <w:t>s</w:t>
      </w:r>
      <w:r>
        <w:t xml:space="preserve">ponsor analyses but in both analyses over 90% of patients who were going to respond had responded within the first </w:t>
      </w:r>
      <w:r w:rsidR="000D3A7E">
        <w:t>six</w:t>
      </w:r>
      <w:r>
        <w:t xml:space="preserve"> months of treatment </w:t>
      </w:r>
      <w:r w:rsidR="000D3A7E">
        <w:t>that is</w:t>
      </w:r>
      <w:r>
        <w:t xml:space="preserve"> by C7D1. Given the safety concerns with use of </w:t>
      </w:r>
      <w:proofErr w:type="spellStart"/>
      <w:r>
        <w:t>belumosudil</w:t>
      </w:r>
      <w:proofErr w:type="spellEnd"/>
      <w:r>
        <w:t xml:space="preserve"> it should not be continued in patients who haven’t responded within the first </w:t>
      </w:r>
      <w:r w:rsidR="000D3A7E">
        <w:t>six</w:t>
      </w:r>
      <w:r>
        <w:t xml:space="preserve"> months of treatment. Given that limitation</w:t>
      </w:r>
      <w:r w:rsidR="00FC0206">
        <w:t>,</w:t>
      </w:r>
      <w:r>
        <w:t xml:space="preserve"> it is not clear how the ORR would be best described in the PI. At this tim</w:t>
      </w:r>
      <w:r w:rsidR="000D3A7E">
        <w:t>e, the Delegate’s</w:t>
      </w:r>
      <w:r>
        <w:t xml:space="preserve"> preference is for the ORR in subjects who responded within the first </w:t>
      </w:r>
      <w:r w:rsidR="000D3A7E">
        <w:t>six</w:t>
      </w:r>
      <w:r>
        <w:t xml:space="preserve"> months of treatment.</w:t>
      </w:r>
    </w:p>
    <w:p w14:paraId="418C14EF" w14:textId="0DF80EBC" w:rsidR="008C1D85" w:rsidRDefault="008C1D85" w:rsidP="008C1D85">
      <w:r>
        <w:t xml:space="preserve">The </w:t>
      </w:r>
      <w:r w:rsidR="00FC0206">
        <w:t xml:space="preserve">clinical </w:t>
      </w:r>
      <w:r w:rsidR="000D3A7E">
        <w:t>r</w:t>
      </w:r>
      <w:r>
        <w:t xml:space="preserve">eviewers’ primary definition of DOR is quite restrictive in that any deterioration in any organ is included as a loss of response, though the subject concerned may have experienced ongoing improvement in multiple other organs at the same time. The extremely short median DOR of 1.9 months which was calculated using that definition is, in my opinion, not sufficiently indicative of the clinical significance of a response and could potentially misrepresent the duration of clinical improvement. For this reason, </w:t>
      </w:r>
      <w:proofErr w:type="gramStart"/>
      <w:r>
        <w:t>at this time</w:t>
      </w:r>
      <w:proofErr w:type="gramEnd"/>
      <w:r>
        <w:t>,</w:t>
      </w:r>
      <w:r w:rsidR="000D3A7E">
        <w:t xml:space="preserve"> the Delegate’s</w:t>
      </w:r>
      <w:r>
        <w:t xml:space="preserve"> preference is to highlight the </w:t>
      </w:r>
      <w:r w:rsidR="000D3A7E">
        <w:t>r</w:t>
      </w:r>
      <w:r>
        <w:t xml:space="preserve">eviewer’s alternate definition of DOR </w:t>
      </w:r>
      <w:r w:rsidR="000D3A7E">
        <w:t>that is</w:t>
      </w:r>
      <w:r>
        <w:t xml:space="preserve"> </w:t>
      </w:r>
      <w:r w:rsidR="000D3A7E">
        <w:t>i</w:t>
      </w:r>
      <w:r>
        <w:t xml:space="preserve">nterval from first response by C7D1 to death or new systemic therapies from </w:t>
      </w:r>
      <w:proofErr w:type="spellStart"/>
      <w:r>
        <w:t>cGVHD</w:t>
      </w:r>
      <w:proofErr w:type="spellEnd"/>
      <w:r>
        <w:t>. For the</w:t>
      </w:r>
      <w:r w:rsidR="000D3A7E">
        <w:t xml:space="preserve"> </w:t>
      </w:r>
      <w:r>
        <w:t xml:space="preserve">200 mg </w:t>
      </w:r>
      <w:r w:rsidR="000D3A7E">
        <w:t>once daily</w:t>
      </w:r>
      <w:r>
        <w:t xml:space="preserve"> group in Study</w:t>
      </w:r>
      <w:r w:rsidR="000D3A7E">
        <w:t xml:space="preserve"> KD025-</w:t>
      </w:r>
      <w:r>
        <w:t xml:space="preserve">213 the </w:t>
      </w:r>
      <w:r w:rsidR="000D3A7E">
        <w:t>r</w:t>
      </w:r>
      <w:r>
        <w:t xml:space="preserve">eviewer’s median DOR according to the alternative DOR definition was could not be calculated. Durability of response was longer than six months in 79% (95% CI: 64%, 88%) and longer than 12 months in 62% (95% CI:46%, 74%) of patients in the 200 mg </w:t>
      </w:r>
      <w:r w:rsidR="000D3A7E">
        <w:t>once daily</w:t>
      </w:r>
      <w:r>
        <w:t xml:space="preserve"> group. was 1.9 months (about 8 weeks) and the sponsor’s median DOR was 21.1 weeks.</w:t>
      </w:r>
    </w:p>
    <w:p w14:paraId="360BEB4B" w14:textId="24212041" w:rsidR="008C1D85" w:rsidRDefault="008C1D85" w:rsidP="008C1D85">
      <w:r>
        <w:t xml:space="preserve">The definition of response applied by the </w:t>
      </w:r>
      <w:r w:rsidR="000D3A7E">
        <w:t>r</w:t>
      </w:r>
      <w:r>
        <w:t xml:space="preserve">eviewers restricted response to within the first </w:t>
      </w:r>
      <w:r w:rsidR="000D3A7E">
        <w:t>six</w:t>
      </w:r>
      <w:r>
        <w:t xml:space="preserve"> months of treatment. This difference does not allow for mixing and matching of </w:t>
      </w:r>
      <w:r w:rsidR="000D3A7E">
        <w:t>s</w:t>
      </w:r>
      <w:r>
        <w:t xml:space="preserve">ponsor and </w:t>
      </w:r>
      <w:r w:rsidR="000D3A7E">
        <w:t>r</w:t>
      </w:r>
      <w:r>
        <w:t xml:space="preserve">eviewer results. This is particularly so for assessment of DOR since to compare DOR the criteria to assess initial response must be the same. The selection of </w:t>
      </w:r>
      <w:r w:rsidR="000D3A7E">
        <w:t>t</w:t>
      </w:r>
      <w:r>
        <w:t xml:space="preserve">ime to </w:t>
      </w:r>
      <w:r w:rsidR="000D3A7E">
        <w:t>i</w:t>
      </w:r>
      <w:r>
        <w:t xml:space="preserve">nterval from first response by C7D1 to death or new systemic therapies for </w:t>
      </w:r>
      <w:proofErr w:type="spellStart"/>
      <w:r>
        <w:t>cGVHD</w:t>
      </w:r>
      <w:proofErr w:type="spellEnd"/>
      <w:r>
        <w:t xml:space="preserve"> is an indirect method for assessing DOR but is the most appropriate available from the pivotal study. That definition is </w:t>
      </w:r>
      <w:proofErr w:type="gramStart"/>
      <w:r>
        <w:t>similar to</w:t>
      </w:r>
      <w:proofErr w:type="gramEnd"/>
      <w:r>
        <w:t xml:space="preserve"> the </w:t>
      </w:r>
      <w:r w:rsidR="000D3A7E">
        <w:t>s</w:t>
      </w:r>
      <w:r>
        <w:t>ponsor’s FFS method of assessment.</w:t>
      </w:r>
    </w:p>
    <w:p w14:paraId="024E6741" w14:textId="385329B0" w:rsidR="008C1D85" w:rsidRDefault="008C1D85" w:rsidP="008C1D85">
      <w:r>
        <w:t xml:space="preserve">While there is no approved treatment for </w:t>
      </w:r>
      <w:proofErr w:type="spellStart"/>
      <w:r>
        <w:t>cGVHD</w:t>
      </w:r>
      <w:proofErr w:type="spellEnd"/>
      <w:r>
        <w:t xml:space="preserve"> in Australia, ibrutinib is approved in other jurisdictions</w:t>
      </w:r>
      <w:r w:rsidR="000D3A7E">
        <w:t>.</w:t>
      </w:r>
      <w:r>
        <w:t xml:space="preserve"> The study supporting the </w:t>
      </w:r>
      <w:proofErr w:type="spellStart"/>
      <w:r>
        <w:t>cGVHD</w:t>
      </w:r>
      <w:proofErr w:type="spellEnd"/>
      <w:r>
        <w:t xml:space="preserve"> indication for ibrutinib is described in the US P</w:t>
      </w:r>
      <w:r w:rsidR="00FC0206">
        <w:t>rescribing Information</w:t>
      </w:r>
      <w:r>
        <w:t xml:space="preserve"> for ibrutinib. This was an open, single</w:t>
      </w:r>
      <w:r w:rsidR="000D3A7E">
        <w:t xml:space="preserve"> </w:t>
      </w:r>
      <w:r>
        <w:t>arm study of 42</w:t>
      </w:r>
      <w:r w:rsidR="00FC0206">
        <w:t> </w:t>
      </w:r>
      <w:r>
        <w:t xml:space="preserve">patients. Patients in that study had a median of </w:t>
      </w:r>
      <w:r w:rsidR="000D3A7E">
        <w:t>two</w:t>
      </w:r>
      <w:r>
        <w:t xml:space="preserve"> prior lines of therapy, ORR was assessed according to NIH 2014 criteria</w:t>
      </w:r>
      <w:r w:rsidR="000D3A7E">
        <w:t>;</w:t>
      </w:r>
      <w:r w:rsidR="000D3A7E">
        <w:fldChar w:fldCharType="begin"/>
      </w:r>
      <w:r w:rsidR="000D3A7E">
        <w:instrText xml:space="preserve"> NOTEREF _Ref99362095 \f \h </w:instrText>
      </w:r>
      <w:r w:rsidR="000D3A7E">
        <w:fldChar w:fldCharType="separate"/>
      </w:r>
      <w:r w:rsidR="00C85F74" w:rsidRPr="00C85F74">
        <w:rPr>
          <w:rStyle w:val="FootnoteReference"/>
        </w:rPr>
        <w:t>2</w:t>
      </w:r>
      <w:r w:rsidR="000D3A7E">
        <w:fldChar w:fldCharType="end"/>
      </w:r>
      <w:r>
        <w:t xml:space="preserve"> and was 28</w:t>
      </w:r>
      <w:r w:rsidR="000D3A7E">
        <w:t xml:space="preserve"> out of </w:t>
      </w:r>
      <w:r>
        <w:t>42 (67%). Response was maintained for at least 20 weeks in 20</w:t>
      </w:r>
      <w:r w:rsidR="000D3A7E">
        <w:t xml:space="preserve"> out of </w:t>
      </w:r>
      <w:r>
        <w:t xml:space="preserve">28 (71%) patients who initially responded. While it is not possible to make conclusions regarding a comparison of ORR and DOR between ibrutinib and </w:t>
      </w:r>
      <w:proofErr w:type="spellStart"/>
      <w:r>
        <w:t>belumosudil</w:t>
      </w:r>
      <w:proofErr w:type="spellEnd"/>
      <w:r>
        <w:t>, it is reassuring that vast differences in these measures across these studies are not apparent.</w:t>
      </w:r>
    </w:p>
    <w:p w14:paraId="14DBD546" w14:textId="7B4F8801" w:rsidR="008C1D85" w:rsidRDefault="008C1D85" w:rsidP="008C1D85">
      <w:r>
        <w:t xml:space="preserve">Further reassurance of the extent and durability of response is provided by comparing the </w:t>
      </w:r>
      <w:r w:rsidR="000D3A7E">
        <w:t>s</w:t>
      </w:r>
      <w:r>
        <w:t xml:space="preserve">ponsor’s and </w:t>
      </w:r>
      <w:r w:rsidR="000D3A7E">
        <w:t>r</w:t>
      </w:r>
      <w:r>
        <w:t xml:space="preserve">eviewers’ assessments of the proportion of subjects in Study </w:t>
      </w:r>
      <w:r w:rsidR="000D3A7E">
        <w:t>KD025-</w:t>
      </w:r>
      <w:r>
        <w:t xml:space="preserve">213 who did not receive a new treatment for </w:t>
      </w:r>
      <w:proofErr w:type="spellStart"/>
      <w:r>
        <w:t>cGVHD</w:t>
      </w:r>
      <w:proofErr w:type="spellEnd"/>
      <w:r>
        <w:t xml:space="preserve"> after commencing </w:t>
      </w:r>
      <w:proofErr w:type="spellStart"/>
      <w:r>
        <w:t>belumosudil</w:t>
      </w:r>
      <w:proofErr w:type="spellEnd"/>
      <w:r>
        <w:t xml:space="preserve">. The FFS rate at </w:t>
      </w:r>
      <w:r w:rsidR="000D3A7E">
        <w:t>six</w:t>
      </w:r>
      <w:r>
        <w:t xml:space="preserve"> months was 79% according to the </w:t>
      </w:r>
      <w:r w:rsidR="000D3A7E">
        <w:t>r</w:t>
      </w:r>
      <w:r>
        <w:t xml:space="preserve">eviewers and 74% according to the </w:t>
      </w:r>
      <w:r w:rsidR="000D3A7E">
        <w:t>s</w:t>
      </w:r>
      <w:r>
        <w:t>ponsor.</w:t>
      </w:r>
    </w:p>
    <w:p w14:paraId="50919BCC" w14:textId="2C76EE4E" w:rsidR="008C1D85" w:rsidRDefault="008C1D85" w:rsidP="008C1D85">
      <w:r>
        <w:t>Stabilisation of disease progression was included as part of the assessment of patients who did not have an overall response of PR or CR. Duration of lack of progression was not assessed.</w:t>
      </w:r>
    </w:p>
    <w:p w14:paraId="7D12C8E2" w14:textId="5D0438E3" w:rsidR="008C1D85" w:rsidRDefault="008C1D85" w:rsidP="008C1D85">
      <w:r>
        <w:t xml:space="preserve">A </w:t>
      </w:r>
      <w:r w:rsidRPr="00C85F74">
        <w:rPr>
          <w:i/>
        </w:rPr>
        <w:t>post hoc</w:t>
      </w:r>
      <w:r>
        <w:t xml:space="preserve"> reassessment of efficacy using KARA was performed as an exploratory analysis and is results were consistent with the primary analyses of ORR.</w:t>
      </w:r>
    </w:p>
    <w:p w14:paraId="7B528121" w14:textId="77777777" w:rsidR="00FC0206" w:rsidRDefault="008C1D85" w:rsidP="00C85F74">
      <w:pPr>
        <w:pStyle w:val="Heading5"/>
      </w:pPr>
      <w:r>
        <w:lastRenderedPageBreak/>
        <w:t>Safety</w:t>
      </w:r>
    </w:p>
    <w:p w14:paraId="54B175E5" w14:textId="58CE5753" w:rsidR="008C1D85" w:rsidRDefault="008C1D85" w:rsidP="008C1D85">
      <w:r>
        <w:t>The major safety issues apparent to date are those that would be anticipated in an immunosuppressive agent given to a highly medicated and already immune suppressed population. Surveillance of patients for adverse effects will be necessary.</w:t>
      </w:r>
    </w:p>
    <w:p w14:paraId="5F6939D9" w14:textId="28ED65E7" w:rsidR="008C1D85" w:rsidRDefault="008C1D85" w:rsidP="008C1D85">
      <w:r>
        <w:t xml:space="preserve">Neither the safety nor efficacy profile are fully established. Safety and pharmacokinetics, particularly </w:t>
      </w:r>
      <w:r w:rsidR="000D3A7E">
        <w:t>d</w:t>
      </w:r>
      <w:r>
        <w:t>rug-</w:t>
      </w:r>
      <w:r w:rsidR="000D3A7E">
        <w:t>d</w:t>
      </w:r>
      <w:r>
        <w:t xml:space="preserve">rug </w:t>
      </w:r>
      <w:r w:rsidR="000D3A7E">
        <w:t>i</w:t>
      </w:r>
      <w:r>
        <w:t>nteractions are to be further elucidated as post-market requirements.</w:t>
      </w:r>
    </w:p>
    <w:p w14:paraId="6E744AC7" w14:textId="04892B25" w:rsidR="000D3A7E" w:rsidRDefault="000D3A7E" w:rsidP="0028062C">
      <w:pPr>
        <w:pStyle w:val="Heading4"/>
      </w:pPr>
      <w:r>
        <w:t>Proposed indication by the Delegate</w:t>
      </w:r>
    </w:p>
    <w:p w14:paraId="7E65A249" w14:textId="77777777" w:rsidR="000D3A7E" w:rsidRPr="0028062C" w:rsidRDefault="000D3A7E" w:rsidP="0028062C">
      <w:pPr>
        <w:ind w:left="720"/>
        <w:rPr>
          <w:i/>
          <w:iCs/>
        </w:rPr>
      </w:pPr>
      <w:r w:rsidRPr="0028062C">
        <w:rPr>
          <w:i/>
          <w:iCs/>
        </w:rPr>
        <w:t>Treatment of patients 12 years and older with chronic graft-versus-host disease (</w:t>
      </w:r>
      <w:proofErr w:type="spellStart"/>
      <w:r w:rsidRPr="0028062C">
        <w:rPr>
          <w:i/>
          <w:iCs/>
        </w:rPr>
        <w:t>cGVHD</w:t>
      </w:r>
      <w:proofErr w:type="spellEnd"/>
      <w:r w:rsidRPr="0028062C">
        <w:rPr>
          <w:i/>
          <w:iCs/>
        </w:rPr>
        <w:t>) after failure of at least two prior lines of systemic therapy.</w:t>
      </w:r>
    </w:p>
    <w:p w14:paraId="1C0FBD3D" w14:textId="0BE69570" w:rsidR="000D3A7E" w:rsidRDefault="0028062C" w:rsidP="000D3A7E">
      <w:pPr>
        <w:pStyle w:val="Heading4"/>
      </w:pPr>
      <w:r>
        <w:t>Proposed c</w:t>
      </w:r>
      <w:r w:rsidR="000D3A7E">
        <w:t>onditions of registration</w:t>
      </w:r>
    </w:p>
    <w:p w14:paraId="22DB843C" w14:textId="77777777" w:rsidR="000D3A7E" w:rsidRDefault="000D3A7E" w:rsidP="000D3A7E">
      <w:r>
        <w:t>In addition to the conditions of approval recommended by the chemistry and RMP evaluators the following conditions of registration are proposed:</w:t>
      </w:r>
    </w:p>
    <w:p w14:paraId="5A6CB8AE" w14:textId="50098780" w:rsidR="000D3A7E" w:rsidRDefault="000D3A7E" w:rsidP="0028062C">
      <w:pPr>
        <w:pStyle w:val="Numberbullet0"/>
      </w:pPr>
      <w:r>
        <w:t xml:space="preserve">Conduct a pharmacokinetics trial to compare the relative bioavailability of </w:t>
      </w:r>
      <w:proofErr w:type="spellStart"/>
      <w:r>
        <w:t>belumosudil</w:t>
      </w:r>
      <w:proofErr w:type="spellEnd"/>
      <w:r>
        <w:t xml:space="preserve"> paediatric formulation to </w:t>
      </w:r>
      <w:proofErr w:type="spellStart"/>
      <w:r>
        <w:t>belumosudil</w:t>
      </w:r>
      <w:proofErr w:type="spellEnd"/>
      <w:r>
        <w:t xml:space="preserve"> tablets and develop an age-appropriate paediatric formulation of </w:t>
      </w:r>
      <w:proofErr w:type="spellStart"/>
      <w:r>
        <w:t>belumosudil</w:t>
      </w:r>
      <w:proofErr w:type="spellEnd"/>
      <w:r>
        <w:t xml:space="preserve">. </w:t>
      </w:r>
    </w:p>
    <w:p w14:paraId="17F5BE9C" w14:textId="05BB6672" w:rsidR="000D3A7E" w:rsidRDefault="000D3A7E" w:rsidP="00962FDE">
      <w:pPr>
        <w:pStyle w:val="Numberbullet0"/>
      </w:pPr>
      <w:r>
        <w:t xml:space="preserve">Conduct a clinical trial to determine the appropriate dose of </w:t>
      </w:r>
      <w:proofErr w:type="spellStart"/>
      <w:r>
        <w:t>belumosudil</w:t>
      </w:r>
      <w:proofErr w:type="spellEnd"/>
      <w:r>
        <w:t xml:space="preserve"> and to assess the safety, efficacy, and pharmacokinetics of </w:t>
      </w:r>
      <w:proofErr w:type="spellStart"/>
      <w:r>
        <w:t>belumosudil</w:t>
      </w:r>
      <w:proofErr w:type="spellEnd"/>
      <w:r>
        <w:t xml:space="preserve"> in paediatric patients with chronic graft-versus-host disease. Include at least 20 adolescents </w:t>
      </w:r>
      <w:r w:rsidR="00FC0206">
        <w:t xml:space="preserve">aged </w:t>
      </w:r>
      <w:r>
        <w:t>12 to &lt;</w:t>
      </w:r>
      <w:r w:rsidR="00FC0206">
        <w:t> </w:t>
      </w:r>
      <w:r>
        <w:t>17</w:t>
      </w:r>
      <w:r w:rsidR="00FC0206">
        <w:t> </w:t>
      </w:r>
      <w:r>
        <w:t xml:space="preserve">years old, 4 children </w:t>
      </w:r>
      <w:r w:rsidR="00FC0206">
        <w:t xml:space="preserve">aged </w:t>
      </w:r>
      <w:r>
        <w:t xml:space="preserve">2 to &lt; 12 years old, and 2 infants </w:t>
      </w:r>
      <w:r w:rsidR="00FC0206">
        <w:t xml:space="preserve">aged </w:t>
      </w:r>
      <w:r>
        <w:t>≥ 3 months to &lt;</w:t>
      </w:r>
      <w:r w:rsidR="00FC0206">
        <w:t> </w:t>
      </w:r>
      <w:r>
        <w:t>2 years old.</w:t>
      </w:r>
    </w:p>
    <w:p w14:paraId="499E2084" w14:textId="504683E5" w:rsidR="000D3A7E" w:rsidRDefault="000D3A7E" w:rsidP="0028062C">
      <w:pPr>
        <w:pStyle w:val="Numberbullet0"/>
      </w:pPr>
      <w:r>
        <w:t xml:space="preserve">Conduct an integrated safety analysis using data obtained from clinical trials to further characterise the safety of long-term treatment with </w:t>
      </w:r>
      <w:proofErr w:type="spellStart"/>
      <w:r>
        <w:t>belumosudil</w:t>
      </w:r>
      <w:proofErr w:type="spellEnd"/>
      <w:r>
        <w:t xml:space="preserve"> and determine the rate of infections, </w:t>
      </w:r>
      <w:proofErr w:type="gramStart"/>
      <w:r>
        <w:t>hypertension</w:t>
      </w:r>
      <w:proofErr w:type="gramEnd"/>
      <w:r>
        <w:t xml:space="preserve"> and other adverse events. The integrated safety analysis should include all adverse events, major safety events, dose-reductions, dose interruptions, withdrawals, and efficacy when all patients have completed at least three years of treatment with </w:t>
      </w:r>
      <w:proofErr w:type="spellStart"/>
      <w:r>
        <w:t>belumosudil</w:t>
      </w:r>
      <w:proofErr w:type="spellEnd"/>
      <w:r>
        <w:t xml:space="preserve"> or withdrew earlier.</w:t>
      </w:r>
    </w:p>
    <w:p w14:paraId="52524A7C" w14:textId="34169850" w:rsidR="000D3A7E" w:rsidRDefault="000D3A7E" w:rsidP="0028062C">
      <w:pPr>
        <w:pStyle w:val="Numberbullet0"/>
      </w:pPr>
      <w:r>
        <w:t xml:space="preserve">Conduct a clinical pharmacokinetic trial evaluating the effect of repeat doses of </w:t>
      </w:r>
      <w:proofErr w:type="spellStart"/>
      <w:r>
        <w:t>belumosudil</w:t>
      </w:r>
      <w:proofErr w:type="spellEnd"/>
      <w:r>
        <w:t xml:space="preserve"> on the single-dose pharmacokinetics of a UGT1A1 substrate to assess the potential for excessive drug toxicity. </w:t>
      </w:r>
    </w:p>
    <w:p w14:paraId="3A004B6B" w14:textId="31BB1A5F" w:rsidR="000D3A7E" w:rsidRDefault="000D3A7E" w:rsidP="0028062C">
      <w:pPr>
        <w:pStyle w:val="Numberbullet0"/>
      </w:pPr>
      <w:r>
        <w:t xml:space="preserve">Conduct a clinical pharmacokinetic trial evaluating the effect of repeat doses of </w:t>
      </w:r>
      <w:proofErr w:type="spellStart"/>
      <w:r>
        <w:t>belumosudil</w:t>
      </w:r>
      <w:proofErr w:type="spellEnd"/>
      <w:r>
        <w:t xml:space="preserve"> on the single-dose pharmacokinetics of sensitive substrates (P-</w:t>
      </w:r>
      <w:proofErr w:type="spellStart"/>
      <w:r>
        <w:t>gp</w:t>
      </w:r>
      <w:proofErr w:type="spellEnd"/>
      <w:r>
        <w:t xml:space="preserve">, BCRP and OATP1B1) to assess the potential for excessive drug toxicity. </w:t>
      </w:r>
    </w:p>
    <w:p w14:paraId="385A0F94" w14:textId="16157C30" w:rsidR="000D3A7E" w:rsidRDefault="000D3A7E" w:rsidP="0028062C">
      <w:pPr>
        <w:pStyle w:val="Numberbullet0"/>
      </w:pPr>
      <w:r>
        <w:t xml:space="preserve">Conduct a clinical pharmacokinetic trial to determine a safe and appropriate dose of </w:t>
      </w:r>
      <w:proofErr w:type="spellStart"/>
      <w:r>
        <w:t>belumosudil</w:t>
      </w:r>
      <w:proofErr w:type="spellEnd"/>
      <w:r>
        <w:t xml:space="preserve"> in subjects with mild, moderate, and severe hepatic impairment. The final report should include assessment of subjects with mild, </w:t>
      </w:r>
      <w:proofErr w:type="gramStart"/>
      <w:r>
        <w:t>moderate</w:t>
      </w:r>
      <w:proofErr w:type="gramEnd"/>
      <w:r>
        <w:t xml:space="preserve"> and severe hepatic impairment. </w:t>
      </w:r>
    </w:p>
    <w:p w14:paraId="72147415" w14:textId="44C78A49" w:rsidR="000D3A7E" w:rsidRDefault="000D3A7E" w:rsidP="0028062C">
      <w:pPr>
        <w:pStyle w:val="Numberbullet0"/>
      </w:pPr>
      <w:r>
        <w:t xml:space="preserve">Conduct a thorough QT/QTc trial to evaluate the effect of repeat doses of </w:t>
      </w:r>
      <w:proofErr w:type="spellStart"/>
      <w:r>
        <w:t>belumosudil</w:t>
      </w:r>
      <w:proofErr w:type="spellEnd"/>
      <w:r>
        <w:t xml:space="preserve"> on the QT/QTc interval to address the potential for excessive drug toxicity. </w:t>
      </w:r>
    </w:p>
    <w:p w14:paraId="15B6493C" w14:textId="075EFA6F" w:rsidR="000D3A7E" w:rsidRDefault="000D3A7E" w:rsidP="0028062C">
      <w:pPr>
        <w:pStyle w:val="Numberbullet0"/>
      </w:pPr>
      <w:r>
        <w:t xml:space="preserve">Conduct a rodent carcinogenicity study in mice to evaluate the potential for carcinogenicity. </w:t>
      </w:r>
    </w:p>
    <w:p w14:paraId="0D24432A" w14:textId="5C9A1B59" w:rsidR="000D3A7E" w:rsidRDefault="000D3A7E" w:rsidP="0028062C">
      <w:pPr>
        <w:pStyle w:val="Numberbullet0"/>
      </w:pPr>
      <w:r>
        <w:t xml:space="preserve">Conduct a rodent carcinogenicity study in rats to evaluate the potential for carcinogenicity. </w:t>
      </w:r>
    </w:p>
    <w:p w14:paraId="366B0D69" w14:textId="372B41AC" w:rsidR="000D3A7E" w:rsidRPr="008C1D85" w:rsidRDefault="000D3A7E" w:rsidP="0028062C">
      <w:pPr>
        <w:pStyle w:val="Numberbullet0"/>
      </w:pPr>
      <w:r>
        <w:t xml:space="preserve">Conduct an </w:t>
      </w:r>
      <w:r w:rsidRPr="00ED22AF">
        <w:rPr>
          <w:i/>
          <w:iCs/>
        </w:rPr>
        <w:t>in vitro</w:t>
      </w:r>
      <w:r>
        <w:t xml:space="preserve"> mechanism-based inhibition study (such as the two-step dilution method) estimating the inactivation parameters (</w:t>
      </w:r>
      <w:proofErr w:type="spellStart"/>
      <w:r>
        <w:t>kinact</w:t>
      </w:r>
      <w:proofErr w:type="spellEnd"/>
      <w:r>
        <w:t xml:space="preserve"> and KI) of CYP1A2, CYP2C19 </w:t>
      </w:r>
      <w:r>
        <w:lastRenderedPageBreak/>
        <w:t xml:space="preserve">and CYP2D6 enzymes and measuring nonspecific binding of </w:t>
      </w:r>
      <w:proofErr w:type="spellStart"/>
      <w:r>
        <w:t>belumosudil</w:t>
      </w:r>
      <w:proofErr w:type="spellEnd"/>
      <w:r>
        <w:t xml:space="preserve"> to assess the potential of drug interaction with </w:t>
      </w:r>
      <w:proofErr w:type="spellStart"/>
      <w:r>
        <w:t>belumosudil</w:t>
      </w:r>
      <w:proofErr w:type="spellEnd"/>
      <w:r>
        <w:t xml:space="preserve"> on these enzymes.</w:t>
      </w:r>
    </w:p>
    <w:p w14:paraId="0C3970FA" w14:textId="77777777" w:rsidR="00D23139" w:rsidRDefault="00D23139" w:rsidP="00D23139">
      <w:pPr>
        <w:pStyle w:val="Heading4"/>
      </w:pPr>
      <w:r w:rsidRPr="00D23139">
        <w:t>Proposed action</w:t>
      </w:r>
    </w:p>
    <w:p w14:paraId="406E5511" w14:textId="109021BD" w:rsidR="00B32057" w:rsidRDefault="00B32057" w:rsidP="00B32057">
      <w:r>
        <w:t>The Delegate propose</w:t>
      </w:r>
      <w:r w:rsidR="00FC0206">
        <w:t>s</w:t>
      </w:r>
      <w:r>
        <w:t xml:space="preserve"> to approve </w:t>
      </w:r>
      <w:proofErr w:type="spellStart"/>
      <w:r>
        <w:t>Rholistiq</w:t>
      </w:r>
      <w:proofErr w:type="spellEnd"/>
      <w:r>
        <w:t xml:space="preserve"> (</w:t>
      </w:r>
      <w:proofErr w:type="spellStart"/>
      <w:r>
        <w:t>belumosudil</w:t>
      </w:r>
      <w:proofErr w:type="spellEnd"/>
      <w:r>
        <w:t xml:space="preserve"> as mesylate) for:</w:t>
      </w:r>
    </w:p>
    <w:p w14:paraId="74A278F3" w14:textId="2C6DD5AF" w:rsidR="00B32057" w:rsidRDefault="00B32057" w:rsidP="00B32057">
      <w:pPr>
        <w:ind w:left="720"/>
      </w:pPr>
      <w:r>
        <w:rPr>
          <w:i/>
          <w:iCs/>
        </w:rPr>
        <w:t>T</w:t>
      </w:r>
      <w:r w:rsidRPr="00B32057">
        <w:rPr>
          <w:i/>
          <w:iCs/>
        </w:rPr>
        <w:t>reatment of patients 12 years and older with chronic graft-versus-host disease (</w:t>
      </w:r>
      <w:proofErr w:type="spellStart"/>
      <w:r w:rsidRPr="00B32057">
        <w:rPr>
          <w:i/>
          <w:iCs/>
        </w:rPr>
        <w:t>cGVHD</w:t>
      </w:r>
      <w:proofErr w:type="spellEnd"/>
      <w:r w:rsidRPr="00B32057">
        <w:rPr>
          <w:i/>
          <w:iCs/>
        </w:rPr>
        <w:t>) after failure of at least two prior lines of systemic therapy</w:t>
      </w:r>
      <w:r>
        <w:t>.</w:t>
      </w:r>
    </w:p>
    <w:p w14:paraId="12AFD97A" w14:textId="5A2A61FA" w:rsidR="00456765" w:rsidRPr="00456765" w:rsidRDefault="00B32057" w:rsidP="00B32057">
      <w:r>
        <w:t>Approval is subject to successful negotiation of the PI and other conditions of registration, including the RMP.</w:t>
      </w:r>
    </w:p>
    <w:p w14:paraId="35FAFBD5"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12"/>
      </w:r>
    </w:p>
    <w:p w14:paraId="789BDD23" w14:textId="77777777" w:rsidR="00744121" w:rsidRDefault="00744121" w:rsidP="00744121">
      <w:pPr>
        <w:rPr>
          <w:bCs/>
        </w:rPr>
      </w:pPr>
      <w:bookmarkStart w:id="68" w:name="_Toc247691532"/>
      <w:bookmarkStart w:id="69" w:name="_Toc314842516"/>
      <w:bookmarkEnd w:id="30"/>
      <w:bookmarkEnd w:id="66"/>
      <w:bookmarkEnd w:id="67"/>
      <w:r w:rsidRPr="00456765">
        <w:rPr>
          <w:bCs/>
        </w:rPr>
        <w:t>The Advisory Committee on Medicines (ACM), having considered the evaluations and the Delegate’s overview, as well as the sponsor’s response to these documents, advised the following</w:t>
      </w:r>
      <w:r>
        <w:rPr>
          <w:bCs/>
        </w:rPr>
        <w:t>.</w:t>
      </w:r>
    </w:p>
    <w:p w14:paraId="2530142A" w14:textId="30A2F10E" w:rsidR="00B32057" w:rsidRDefault="00744121" w:rsidP="00B32057">
      <w:pPr>
        <w:pStyle w:val="Heading5"/>
      </w:pPr>
      <w:r>
        <w:t>Specific advice to the Delegate</w:t>
      </w:r>
    </w:p>
    <w:p w14:paraId="40824D86" w14:textId="0034110F" w:rsidR="00B32057" w:rsidRPr="00B32057" w:rsidRDefault="00B32057" w:rsidP="00B32057">
      <w:pPr>
        <w:pStyle w:val="Numberbullet0"/>
        <w:numPr>
          <w:ilvl w:val="0"/>
          <w:numId w:val="35"/>
        </w:numPr>
        <w:rPr>
          <w:b/>
          <w:bCs/>
          <w:i/>
          <w:iCs/>
        </w:rPr>
      </w:pPr>
      <w:r w:rsidRPr="00B32057">
        <w:rPr>
          <w:b/>
          <w:bCs/>
          <w:i/>
          <w:iCs/>
        </w:rPr>
        <w:t xml:space="preserve">Does the Committee have concerns regarding the inclusion of children aged from 12 years in the indication for </w:t>
      </w:r>
      <w:proofErr w:type="spellStart"/>
      <w:r w:rsidRPr="00B32057">
        <w:rPr>
          <w:b/>
          <w:bCs/>
          <w:i/>
          <w:iCs/>
        </w:rPr>
        <w:t>Rholistiq</w:t>
      </w:r>
      <w:proofErr w:type="spellEnd"/>
      <w:r w:rsidRPr="00B32057">
        <w:rPr>
          <w:b/>
          <w:bCs/>
          <w:i/>
          <w:iCs/>
        </w:rPr>
        <w:t>?</w:t>
      </w:r>
    </w:p>
    <w:p w14:paraId="61E4E558" w14:textId="687F2D56" w:rsidR="00B32057" w:rsidRDefault="00B32057" w:rsidP="00B32057">
      <w:r>
        <w:t xml:space="preserve">The ACM noted the similar pathophysiology of </w:t>
      </w:r>
      <w:proofErr w:type="spellStart"/>
      <w:r>
        <w:t>cGVHD</w:t>
      </w:r>
      <w:proofErr w:type="spellEnd"/>
      <w:r>
        <w:t xml:space="preserve"> in adolescents and adults, and the lack of known drug safety issues specific to adolescents with </w:t>
      </w:r>
      <w:proofErr w:type="spellStart"/>
      <w:r>
        <w:t>belumosudil</w:t>
      </w:r>
      <w:proofErr w:type="spellEnd"/>
      <w:r>
        <w:t xml:space="preserve"> (such as an impact on growth plates).</w:t>
      </w:r>
    </w:p>
    <w:p w14:paraId="253F4EBE" w14:textId="71FB219E" w:rsidR="00B32057" w:rsidRDefault="00B32057" w:rsidP="00B32057">
      <w:r>
        <w:t xml:space="preserve">While the ACM noted that the youngest participants included in the trials were 21 years of age, they were of the view that it is not unreasonable to extrapolate from adults to adolescents ≥ 12 years. The ACM emphasised that </w:t>
      </w:r>
      <w:proofErr w:type="spellStart"/>
      <w:r>
        <w:t>cGVHD</w:t>
      </w:r>
      <w:proofErr w:type="spellEnd"/>
      <w:r>
        <w:t xml:space="preserve"> can be a life-threatening condition and often has a significant impact on quality of life.</w:t>
      </w:r>
    </w:p>
    <w:p w14:paraId="08BC8679" w14:textId="77777777" w:rsidR="00B32057" w:rsidRDefault="00B32057" w:rsidP="00B32057">
      <w:r>
        <w:t xml:space="preserve">Overall, the ACM were of the view that the inclusion of children aged from 12 years and above was appropriate. </w:t>
      </w:r>
    </w:p>
    <w:p w14:paraId="10436F95" w14:textId="661649B2" w:rsidR="00B32057" w:rsidRPr="00B32057" w:rsidRDefault="00B32057" w:rsidP="00B32057">
      <w:pPr>
        <w:pStyle w:val="Numberbullet0"/>
        <w:rPr>
          <w:b/>
          <w:bCs/>
          <w:i/>
          <w:iCs/>
        </w:rPr>
      </w:pPr>
      <w:r w:rsidRPr="00B32057">
        <w:rPr>
          <w:b/>
          <w:bCs/>
          <w:i/>
          <w:iCs/>
        </w:rPr>
        <w:t xml:space="preserve">Does the Committee consider it appropriate that the </w:t>
      </w:r>
      <w:r>
        <w:rPr>
          <w:b/>
          <w:bCs/>
          <w:i/>
          <w:iCs/>
        </w:rPr>
        <w:t>r</w:t>
      </w:r>
      <w:r w:rsidRPr="00B32057">
        <w:rPr>
          <w:b/>
          <w:bCs/>
          <w:i/>
          <w:iCs/>
        </w:rPr>
        <w:t xml:space="preserve">eviewers’ assessment of the efficacy criteria </w:t>
      </w:r>
      <w:r>
        <w:rPr>
          <w:b/>
          <w:bCs/>
          <w:i/>
          <w:iCs/>
        </w:rPr>
        <w:t>o</w:t>
      </w:r>
      <w:r w:rsidRPr="00B32057">
        <w:rPr>
          <w:b/>
          <w:bCs/>
          <w:i/>
          <w:iCs/>
        </w:rPr>
        <w:t xml:space="preserve">verall </w:t>
      </w:r>
      <w:r>
        <w:rPr>
          <w:b/>
          <w:bCs/>
          <w:i/>
          <w:iCs/>
        </w:rPr>
        <w:t>r</w:t>
      </w:r>
      <w:r w:rsidRPr="00B32057">
        <w:rPr>
          <w:b/>
          <w:bCs/>
          <w:i/>
          <w:iCs/>
        </w:rPr>
        <w:t xml:space="preserve">esponse </w:t>
      </w:r>
      <w:r>
        <w:rPr>
          <w:b/>
          <w:bCs/>
          <w:i/>
          <w:iCs/>
        </w:rPr>
        <w:t>r</w:t>
      </w:r>
      <w:r w:rsidRPr="00B32057">
        <w:rPr>
          <w:b/>
          <w:bCs/>
          <w:i/>
          <w:iCs/>
        </w:rPr>
        <w:t xml:space="preserve">ate (ORR) and the alternative definition of </w:t>
      </w:r>
      <w:r>
        <w:rPr>
          <w:b/>
          <w:bCs/>
          <w:i/>
          <w:iCs/>
        </w:rPr>
        <w:t>d</w:t>
      </w:r>
      <w:r w:rsidRPr="00B32057">
        <w:rPr>
          <w:b/>
          <w:bCs/>
          <w:i/>
          <w:iCs/>
        </w:rPr>
        <w:t xml:space="preserve">uration of </w:t>
      </w:r>
      <w:r>
        <w:rPr>
          <w:b/>
          <w:bCs/>
          <w:i/>
          <w:iCs/>
        </w:rPr>
        <w:t>r</w:t>
      </w:r>
      <w:r w:rsidRPr="00B32057">
        <w:rPr>
          <w:b/>
          <w:bCs/>
          <w:i/>
          <w:iCs/>
        </w:rPr>
        <w:t xml:space="preserve">esponse (DOR) be presented as the primary measures of efficacy in the description of the pivotal trial for </w:t>
      </w:r>
      <w:proofErr w:type="spellStart"/>
      <w:r w:rsidRPr="00B32057">
        <w:rPr>
          <w:b/>
          <w:bCs/>
          <w:i/>
          <w:iCs/>
        </w:rPr>
        <w:t>cGVHD</w:t>
      </w:r>
      <w:proofErr w:type="spellEnd"/>
      <w:r w:rsidRPr="00B32057">
        <w:rPr>
          <w:b/>
          <w:bCs/>
          <w:i/>
          <w:iCs/>
        </w:rPr>
        <w:t xml:space="preserve"> in the PI in preference to those of the </w:t>
      </w:r>
      <w:r>
        <w:rPr>
          <w:b/>
          <w:bCs/>
          <w:i/>
          <w:iCs/>
        </w:rPr>
        <w:t>s</w:t>
      </w:r>
      <w:r w:rsidRPr="00B32057">
        <w:rPr>
          <w:b/>
          <w:bCs/>
          <w:i/>
          <w:iCs/>
        </w:rPr>
        <w:t>ponsor?</w:t>
      </w:r>
    </w:p>
    <w:p w14:paraId="061C62DA" w14:textId="195BBC3F" w:rsidR="00B32057" w:rsidRDefault="00B32057" w:rsidP="00B32057">
      <w:r>
        <w:t xml:space="preserve">The ACM highlighted the complex nature of </w:t>
      </w:r>
      <w:proofErr w:type="spellStart"/>
      <w:r>
        <w:t>cGVHD</w:t>
      </w:r>
      <w:proofErr w:type="spellEnd"/>
      <w:r>
        <w:t xml:space="preserve"> and associated difficulties assessing response. The ACM advised that both ORR and DOR are equally important measures of efficacy within </w:t>
      </w:r>
      <w:proofErr w:type="spellStart"/>
      <w:r>
        <w:t>cGVHD</w:t>
      </w:r>
      <w:proofErr w:type="spellEnd"/>
      <w:r>
        <w:t xml:space="preserve"> and supported both being included as primary measures of efficacy within the PI.</w:t>
      </w:r>
    </w:p>
    <w:p w14:paraId="0A08EFC2" w14:textId="6E74FEB1" w:rsidR="00B32057" w:rsidRDefault="00B32057" w:rsidP="00B32057">
      <w:r>
        <w:t xml:space="preserve">The ACM discussed both the sponsor’s and reviewer’s assessment of ORR and DOR and noted that both reflect the clinically meaningful benefit achieved with </w:t>
      </w:r>
      <w:proofErr w:type="spellStart"/>
      <w:r>
        <w:t>belumosudil</w:t>
      </w:r>
      <w:proofErr w:type="spellEnd"/>
      <w:r>
        <w:t xml:space="preserve"> 200 mg daily. The ACM were supportive of utilising the Reviewer’s assessment of the efficacy criteria ORR and the alternative definition of DOR within the PI.</w:t>
      </w:r>
    </w:p>
    <w:p w14:paraId="780F8EEE" w14:textId="3FC2087C" w:rsidR="00B32057" w:rsidRPr="00B32057" w:rsidRDefault="00B32057" w:rsidP="00B32057">
      <w:pPr>
        <w:pStyle w:val="Numberbullet0"/>
        <w:rPr>
          <w:b/>
          <w:bCs/>
          <w:i/>
          <w:iCs/>
        </w:rPr>
      </w:pPr>
      <w:r w:rsidRPr="00B32057">
        <w:rPr>
          <w:b/>
          <w:bCs/>
          <w:i/>
          <w:iCs/>
        </w:rPr>
        <w:t>Does the Committee have concerns with the approach taken by the reviewers?</w:t>
      </w:r>
    </w:p>
    <w:p w14:paraId="07EB2ED6" w14:textId="0155D180" w:rsidR="00B32057" w:rsidRDefault="00B32057" w:rsidP="00B32057">
      <w:r>
        <w:t xml:space="preserve">The ACM noted the </w:t>
      </w:r>
      <w:r w:rsidR="00FC0206">
        <w:t>r</w:t>
      </w:r>
      <w:r>
        <w:t xml:space="preserve">eviewer’s definition of DOR was the ‘Interval from first response by Cycle 7 Day 1 (C7D1) to progression in any organ, death, or new systemic therapies for </w:t>
      </w:r>
      <w:proofErr w:type="spellStart"/>
      <w:r>
        <w:lastRenderedPageBreak/>
        <w:t>cGVHD</w:t>
      </w:r>
      <w:proofErr w:type="spellEnd"/>
      <w:r>
        <w:t xml:space="preserve">’, with the ORR being calculated using the definition of 2014 NIH consensus criteria based on organ response criteria and requiring a response within 6 months. The ACM considered this approach to be prudent and conservative, but again highlighted the challenges assessing responses to </w:t>
      </w:r>
      <w:proofErr w:type="spellStart"/>
      <w:r>
        <w:t>cGVHD</w:t>
      </w:r>
      <w:proofErr w:type="spellEnd"/>
      <w:r>
        <w:t xml:space="preserve"> treatment.</w:t>
      </w:r>
    </w:p>
    <w:p w14:paraId="47AA423E" w14:textId="68276D26" w:rsidR="00B32057" w:rsidRPr="00B32057" w:rsidRDefault="00B32057" w:rsidP="00B32057">
      <w:pPr>
        <w:pStyle w:val="Numberbullet0"/>
        <w:rPr>
          <w:b/>
          <w:bCs/>
          <w:i/>
          <w:iCs/>
        </w:rPr>
      </w:pPr>
      <w:r w:rsidRPr="00B32057">
        <w:rPr>
          <w:b/>
          <w:bCs/>
          <w:i/>
          <w:iCs/>
        </w:rPr>
        <w:t xml:space="preserve">Does the Committee consider that a clinically meaningful benefit is achieved with </w:t>
      </w:r>
      <w:proofErr w:type="spellStart"/>
      <w:r w:rsidRPr="00B32057">
        <w:rPr>
          <w:b/>
          <w:bCs/>
          <w:i/>
          <w:iCs/>
        </w:rPr>
        <w:t>belumosudil</w:t>
      </w:r>
      <w:proofErr w:type="spellEnd"/>
      <w:r w:rsidRPr="00B32057">
        <w:rPr>
          <w:b/>
          <w:bCs/>
          <w:i/>
          <w:iCs/>
        </w:rPr>
        <w:t xml:space="preserve"> when given at the proposed dose to the proposed population?</w:t>
      </w:r>
    </w:p>
    <w:p w14:paraId="69BC288D" w14:textId="5452C3CF" w:rsidR="00B32057" w:rsidRDefault="00B32057" w:rsidP="00B32057">
      <w:r>
        <w:t xml:space="preserve">The ACM were of the view that a clinically meaningful benefit was demonstrated within the clinical trials for patients on 200 mg </w:t>
      </w:r>
      <w:proofErr w:type="spellStart"/>
      <w:r>
        <w:t>belumosudil</w:t>
      </w:r>
      <w:proofErr w:type="spellEnd"/>
      <w:r>
        <w:t xml:space="preserve"> daily who continued treatment for greater than </w:t>
      </w:r>
      <w:r w:rsidR="00FC0206">
        <w:t>one</w:t>
      </w:r>
      <w:r>
        <w:t xml:space="preserve"> year. The ACM agreed that the ORR (using either the sponsor or reviewer’s definition) supports a conclusion of clinical efficacy for </w:t>
      </w:r>
      <w:proofErr w:type="spellStart"/>
      <w:r>
        <w:t>belumosudil</w:t>
      </w:r>
      <w:proofErr w:type="spellEnd"/>
      <w:r>
        <w:t>. Additionally, the ACM agreed that there was some evidence of symptomatic improvement for patients, as demonstrated via the improvements (reductions) in the Lee Symptom Scale scores within Study KD025-213.</w:t>
      </w:r>
    </w:p>
    <w:p w14:paraId="726C95DE" w14:textId="6C863F56" w:rsidR="00B32057" w:rsidRDefault="00B32057" w:rsidP="00B32057">
      <w:r>
        <w:t>Although the ACM did express some concern about the relatively short DOR, they agreed that this is a difficult group of patients to treat and there are limited treatment options currently available.</w:t>
      </w:r>
    </w:p>
    <w:p w14:paraId="29BC1CA0" w14:textId="1BD48FC0" w:rsidR="00B32057" w:rsidRPr="00B32057" w:rsidRDefault="00B32057" w:rsidP="00B32057">
      <w:r>
        <w:t xml:space="preserve">The ACM discussed the place in therapy for this drug, noting that there are no approved second line therapies for </w:t>
      </w:r>
      <w:proofErr w:type="spellStart"/>
      <w:r>
        <w:t>cGVHD</w:t>
      </w:r>
      <w:proofErr w:type="spellEnd"/>
      <w:r>
        <w:t xml:space="preserve"> in Australia, and were supportive of its use following one prior line of systemic therapy.</w:t>
      </w:r>
    </w:p>
    <w:p w14:paraId="20810B8B" w14:textId="39CBE2CE" w:rsidR="00B32057" w:rsidRPr="00B32057" w:rsidRDefault="00B32057" w:rsidP="00B32057">
      <w:pPr>
        <w:pStyle w:val="Numberbullet0"/>
        <w:rPr>
          <w:b/>
          <w:bCs/>
          <w:i/>
          <w:iCs/>
        </w:rPr>
      </w:pPr>
      <w:r w:rsidRPr="00B32057">
        <w:rPr>
          <w:b/>
          <w:bCs/>
          <w:i/>
          <w:iCs/>
        </w:rPr>
        <w:t xml:space="preserve">Does the Committee consider that additional information should be requested from the </w:t>
      </w:r>
      <w:r>
        <w:rPr>
          <w:b/>
          <w:bCs/>
          <w:i/>
          <w:iCs/>
        </w:rPr>
        <w:t>s</w:t>
      </w:r>
      <w:r w:rsidRPr="00B32057">
        <w:rPr>
          <w:b/>
          <w:bCs/>
          <w:i/>
          <w:iCs/>
        </w:rPr>
        <w:t xml:space="preserve">ponsor regarding the efficacy or safety of </w:t>
      </w:r>
      <w:proofErr w:type="spellStart"/>
      <w:r w:rsidRPr="00B32057">
        <w:rPr>
          <w:b/>
          <w:bCs/>
          <w:i/>
          <w:iCs/>
        </w:rPr>
        <w:t>belumosudil</w:t>
      </w:r>
      <w:proofErr w:type="spellEnd"/>
      <w:r w:rsidRPr="00B32057">
        <w:rPr>
          <w:b/>
          <w:bCs/>
          <w:i/>
          <w:iCs/>
        </w:rPr>
        <w:t xml:space="preserve"> in the treatment of </w:t>
      </w:r>
      <w:proofErr w:type="spellStart"/>
      <w:r w:rsidRPr="00B32057">
        <w:rPr>
          <w:b/>
          <w:bCs/>
          <w:i/>
          <w:iCs/>
        </w:rPr>
        <w:t>cGVHD</w:t>
      </w:r>
      <w:proofErr w:type="spellEnd"/>
      <w:r w:rsidRPr="00B32057">
        <w:rPr>
          <w:b/>
          <w:bCs/>
          <w:i/>
          <w:iCs/>
        </w:rPr>
        <w:t>? If so, what information should be requested?</w:t>
      </w:r>
    </w:p>
    <w:p w14:paraId="78EDAF0F" w14:textId="11A48B3F" w:rsidR="00B32057" w:rsidRPr="00B32057" w:rsidRDefault="00B32057" w:rsidP="00B32057">
      <w:r>
        <w:t>The ACM indicated that subset analysis and correlative laboratory (biomarker) data to investigate the individual organ effects would be useful, however, given the small sample size they acknowledged that this is unlikely to be interpretable in a clinically meaningful way.</w:t>
      </w:r>
    </w:p>
    <w:p w14:paraId="7A6201FB" w14:textId="5DC8C6D6" w:rsidR="00744121" w:rsidRDefault="00744121" w:rsidP="00744121">
      <w:pPr>
        <w:pStyle w:val="Heading5"/>
      </w:pPr>
      <w:r>
        <w:t>Conclusion</w:t>
      </w:r>
    </w:p>
    <w:p w14:paraId="3901FD62" w14:textId="77777777" w:rsidR="00B32057" w:rsidRDefault="00B32057" w:rsidP="00B32057">
      <w:r>
        <w:t>The ACM considered this product to have an overall positive benefit-risk profile for the indication:</w:t>
      </w:r>
    </w:p>
    <w:p w14:paraId="7A80DCF3" w14:textId="1C627178" w:rsidR="00B32057" w:rsidRPr="00B32057" w:rsidRDefault="00B32057" w:rsidP="00B32057">
      <w:pPr>
        <w:ind w:left="720"/>
        <w:rPr>
          <w:i/>
          <w:iCs/>
        </w:rPr>
      </w:pPr>
      <w:r w:rsidRPr="00B32057">
        <w:rPr>
          <w:i/>
          <w:iCs/>
        </w:rPr>
        <w:t>Treatment of patients 12 years and older with chronic graft-versus-host disease (</w:t>
      </w:r>
      <w:proofErr w:type="spellStart"/>
      <w:r w:rsidRPr="00B32057">
        <w:rPr>
          <w:i/>
          <w:iCs/>
        </w:rPr>
        <w:t>cGVHD</w:t>
      </w:r>
      <w:proofErr w:type="spellEnd"/>
      <w:r w:rsidRPr="00B32057">
        <w:rPr>
          <w:i/>
          <w:iCs/>
        </w:rPr>
        <w:t>) after failure of at least one prior line of systemic therapy.</w:t>
      </w:r>
    </w:p>
    <w:p w14:paraId="3757F26D" w14:textId="77777777" w:rsidR="008E7846" w:rsidRPr="002E238E" w:rsidRDefault="008E7846" w:rsidP="008E7846">
      <w:pPr>
        <w:pStyle w:val="Heading3"/>
      </w:pPr>
      <w:bookmarkStart w:id="70" w:name="_Toc102638229"/>
      <w:r>
        <w:t>Outcome</w:t>
      </w:r>
      <w:bookmarkEnd w:id="68"/>
      <w:bookmarkEnd w:id="69"/>
      <w:bookmarkEnd w:id="70"/>
    </w:p>
    <w:p w14:paraId="43FC02CF" w14:textId="25B044E5" w:rsidR="00744121" w:rsidRDefault="00744121" w:rsidP="00744121">
      <w:bookmarkStart w:id="71" w:name="_Toc247691533"/>
      <w:bookmarkStart w:id="72" w:name="_Toc314842517"/>
      <w:r>
        <w:t xml:space="preserve">Based on a review of quality, </w:t>
      </w:r>
      <w:proofErr w:type="gramStart"/>
      <w:r>
        <w:t>safety</w:t>
      </w:r>
      <w:proofErr w:type="gramEnd"/>
      <w:r>
        <w:t xml:space="preserve"> and efficacy, the TGA approved the registration of </w:t>
      </w:r>
      <w:proofErr w:type="spellStart"/>
      <w:r w:rsidR="00962FDE">
        <w:t>Rholistiq</w:t>
      </w:r>
      <w:proofErr w:type="spellEnd"/>
      <w:r w:rsidR="00962FDE">
        <w:t xml:space="preserve"> (</w:t>
      </w:r>
      <w:proofErr w:type="spellStart"/>
      <w:r w:rsidR="00962FDE" w:rsidRPr="001D03F9">
        <w:t>belumosudil</w:t>
      </w:r>
      <w:proofErr w:type="spellEnd"/>
      <w:r w:rsidR="00962FDE" w:rsidRPr="00250271">
        <w:t xml:space="preserve">) </w:t>
      </w:r>
      <w:r w:rsidR="00962FDE">
        <w:t>200mg</w:t>
      </w:r>
      <w:r w:rsidR="00962FDE" w:rsidRPr="00250271">
        <w:t xml:space="preserve">, </w:t>
      </w:r>
      <w:r w:rsidR="00962FDE">
        <w:t>film coated tablet</w:t>
      </w:r>
      <w:r>
        <w:t>,</w:t>
      </w:r>
      <w:r w:rsidR="00962FDE">
        <w:t xml:space="preserve"> bottle</w:t>
      </w:r>
      <w:r>
        <w:t>, indicated for</w:t>
      </w:r>
      <w:r w:rsidR="00962FDE">
        <w:t>:</w:t>
      </w:r>
    </w:p>
    <w:p w14:paraId="49A4BECC" w14:textId="65F138AA" w:rsidR="00962FDE" w:rsidRDefault="00962FDE" w:rsidP="00962FDE">
      <w:pPr>
        <w:ind w:left="720"/>
        <w:rPr>
          <w:i/>
          <w:iCs/>
        </w:rPr>
      </w:pPr>
      <w:proofErr w:type="spellStart"/>
      <w:r>
        <w:rPr>
          <w:i/>
          <w:iCs/>
        </w:rPr>
        <w:t>Rholistiq</w:t>
      </w:r>
      <w:proofErr w:type="spellEnd"/>
      <w:r>
        <w:rPr>
          <w:i/>
          <w:iCs/>
        </w:rPr>
        <w:t xml:space="preserve"> is indicated for the treatment of patients with chronic graft-versus-host disease (chronic GVHD) aged 12 years and older who have an inadequate response to corticosteroids.</w:t>
      </w:r>
    </w:p>
    <w:p w14:paraId="68D4B568" w14:textId="7A20713A" w:rsidR="00D23139" w:rsidRPr="00D23139" w:rsidRDefault="00D23139" w:rsidP="00962FDE">
      <w:pPr>
        <w:pStyle w:val="Heading4"/>
      </w:pPr>
      <w:r w:rsidRPr="00D23139">
        <w:t>Specific conditions of registration applying to these goods</w:t>
      </w:r>
    </w:p>
    <w:p w14:paraId="7B3EEC99" w14:textId="7B040FCD" w:rsidR="00962FDE" w:rsidRPr="00A264FA" w:rsidRDefault="00962FDE" w:rsidP="00962FDE">
      <w:pPr>
        <w:pStyle w:val="ListBullet"/>
      </w:pPr>
      <w:proofErr w:type="spellStart"/>
      <w:r w:rsidRPr="00A264FA">
        <w:t>Rholistiq</w:t>
      </w:r>
      <w:proofErr w:type="spellEnd"/>
      <w:r w:rsidRPr="00A264FA">
        <w:t xml:space="preserve"> (</w:t>
      </w:r>
      <w:proofErr w:type="spellStart"/>
      <w:r w:rsidRPr="00A264FA">
        <w:t>belumosudil</w:t>
      </w:r>
      <w:proofErr w:type="spellEnd"/>
      <w:r>
        <w:t xml:space="preserve"> </w:t>
      </w:r>
      <w:proofErr w:type="spellStart"/>
      <w:r>
        <w:t>mesilate</w:t>
      </w:r>
      <w:proofErr w:type="spellEnd"/>
      <w:r w:rsidRPr="00A264FA">
        <w:t xml:space="preserve">) is to be included in the Black Triangle Scheme. The PI and CMI for </w:t>
      </w:r>
      <w:proofErr w:type="spellStart"/>
      <w:r w:rsidRPr="00A264FA">
        <w:t>Rholistiq</w:t>
      </w:r>
      <w:proofErr w:type="spellEnd"/>
      <w:r w:rsidRPr="00A264FA">
        <w:t xml:space="preserve"> must include the black triangle symbol and mandatory accompanying text for five years, which starts from the date that the </w:t>
      </w:r>
      <w:proofErr w:type="spellStart"/>
      <w:proofErr w:type="gramStart"/>
      <w:r w:rsidRPr="00A264FA">
        <w:t>s</w:t>
      </w:r>
      <w:r w:rsidR="00E61C26">
        <w:t>,</w:t>
      </w:r>
      <w:r w:rsidRPr="00A264FA">
        <w:t>ponsor</w:t>
      </w:r>
      <w:proofErr w:type="spellEnd"/>
      <w:proofErr w:type="gramEnd"/>
      <w:r w:rsidRPr="00A264FA">
        <w:t xml:space="preserve"> notifies the TGA of supply of the product.</w:t>
      </w:r>
    </w:p>
    <w:p w14:paraId="3807A19E" w14:textId="4D320AEB" w:rsidR="00962FDE" w:rsidRPr="00723049" w:rsidRDefault="00962FDE" w:rsidP="00962FDE">
      <w:pPr>
        <w:pStyle w:val="ListBullet"/>
      </w:pPr>
      <w:r w:rsidRPr="00723049">
        <w:t xml:space="preserve">The </w:t>
      </w:r>
      <w:proofErr w:type="spellStart"/>
      <w:r w:rsidRPr="00723049">
        <w:t>Rholistiq</w:t>
      </w:r>
      <w:proofErr w:type="spellEnd"/>
      <w:r w:rsidRPr="00723049">
        <w:t xml:space="preserve"> EU</w:t>
      </w:r>
      <w:r w:rsidR="00972D3D">
        <w:t>-</w:t>
      </w:r>
      <w:r>
        <w:t xml:space="preserve">RMP </w:t>
      </w:r>
      <w:r w:rsidRPr="00723049">
        <w:t>version 1.0 (dated 13</w:t>
      </w:r>
      <w:r>
        <w:t> </w:t>
      </w:r>
      <w:r w:rsidRPr="00723049">
        <w:t>November 2020; DLP 19 February 2020) with A</w:t>
      </w:r>
      <w:r w:rsidR="00972D3D">
        <w:t>SA</w:t>
      </w:r>
      <w:r w:rsidRPr="00723049">
        <w:t xml:space="preserve"> (version 1.3, dated 13 September 2021), included with </w:t>
      </w:r>
      <w:r>
        <w:lastRenderedPageBreak/>
        <w:t>S</w:t>
      </w:r>
      <w:r w:rsidRPr="00723049">
        <w:t>ubmission</w:t>
      </w:r>
      <w:r w:rsidR="00FC0206">
        <w:t> </w:t>
      </w:r>
      <w:r w:rsidRPr="00723049">
        <w:t>PM</w:t>
      </w:r>
      <w:r w:rsidR="00FC0206">
        <w:noBreakHyphen/>
      </w:r>
      <w:r w:rsidRPr="00723049">
        <w:t>2020-05433-1-6, and any subsequent revisions, as agreed with the TGA will be implemented in Australia.</w:t>
      </w:r>
    </w:p>
    <w:p w14:paraId="17D00F54" w14:textId="77777777" w:rsidR="00962FDE" w:rsidRPr="00723049" w:rsidRDefault="00962FDE" w:rsidP="00962FDE">
      <w:pPr>
        <w:pStyle w:val="ListBullet"/>
        <w:numPr>
          <w:ilvl w:val="0"/>
          <w:numId w:val="0"/>
        </w:numPr>
        <w:ind w:left="360"/>
      </w:pPr>
      <w:r w:rsidRPr="00723049">
        <w:t>An obligatory component of risk management plans is routine pharmacovigilance. Routine pharmacovigilance includes the submission of periodic safety update reports (PSURs).</w:t>
      </w:r>
    </w:p>
    <w:p w14:paraId="23E8D6B2" w14:textId="77777777" w:rsidR="00962FDE" w:rsidRPr="00723049" w:rsidRDefault="00962FDE" w:rsidP="00962FDE">
      <w:pPr>
        <w:pStyle w:val="ListBullet"/>
        <w:numPr>
          <w:ilvl w:val="0"/>
          <w:numId w:val="0"/>
        </w:numPr>
        <w:ind w:left="360"/>
      </w:pPr>
      <w:r w:rsidRPr="00723049">
        <w:t xml:space="preserve">Unless agreed separately between the supplier who is the recipient of the approval and the TGA, the first report must be submitted to TGA no later than 15 calendar months after the date of </w:t>
      </w:r>
      <w:r>
        <w:t xml:space="preserve">the </w:t>
      </w:r>
      <w:r w:rsidRPr="00723049">
        <w:t xml:space="preserve">approval letter. The subsequent reports must be submitted no less frequently than annually from the date of the first submitted report until the period covered by such reports is not less than three years from the date of </w:t>
      </w:r>
      <w:r>
        <w:t>the</w:t>
      </w:r>
      <w:r w:rsidRPr="00723049">
        <w:t xml:space="preserve"> approval letter. The annual submission may be made up of two PSURs each covering six months. If the sponsor wishes, the </w:t>
      </w:r>
      <w:proofErr w:type="gramStart"/>
      <w:r w:rsidRPr="00723049">
        <w:t>six monthly</w:t>
      </w:r>
      <w:proofErr w:type="gramEnd"/>
      <w:r w:rsidRPr="00723049">
        <w:t xml:space="preserve"> reports may be submitted separately as they become available.</w:t>
      </w:r>
    </w:p>
    <w:p w14:paraId="36812196" w14:textId="77777777" w:rsidR="00962FDE" w:rsidRPr="00723049" w:rsidRDefault="00962FDE" w:rsidP="00962FDE">
      <w:pPr>
        <w:pStyle w:val="ListBullet"/>
        <w:numPr>
          <w:ilvl w:val="0"/>
          <w:numId w:val="0"/>
        </w:numPr>
        <w:ind w:left="360"/>
      </w:pPr>
      <w:r w:rsidRPr="00723049">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w:t>
      </w:r>
      <w:r>
        <w:t xml:space="preserve">e </w:t>
      </w:r>
      <w:r w:rsidRPr="00723049">
        <w:t>approval letter.</w:t>
      </w:r>
    </w:p>
    <w:p w14:paraId="12F256CE" w14:textId="77777777" w:rsidR="00962FDE" w:rsidRPr="00723049" w:rsidRDefault="00962FDE" w:rsidP="00962FDE">
      <w:pPr>
        <w:pStyle w:val="ListBullet"/>
        <w:numPr>
          <w:ilvl w:val="0"/>
          <w:numId w:val="0"/>
        </w:numPr>
        <w:ind w:left="360"/>
      </w:pPr>
      <w:r w:rsidRPr="00723049">
        <w:t xml:space="preserve">The reports are to at least meet the requirements for PSURs as described in the European Medicines Agency’s </w:t>
      </w:r>
      <w:r>
        <w:t>g</w:t>
      </w:r>
      <w:r w:rsidRPr="00723049">
        <w:t xml:space="preserve">uideline on </w:t>
      </w:r>
      <w:r>
        <w:t>G</w:t>
      </w:r>
      <w:r w:rsidRPr="00723049">
        <w:t xml:space="preserve">ood </w:t>
      </w:r>
      <w:r>
        <w:t>P</w:t>
      </w:r>
      <w:r w:rsidRPr="00723049">
        <w:t xml:space="preserve">harmacovigilance </w:t>
      </w:r>
      <w:r>
        <w:t>P</w:t>
      </w:r>
      <w:r w:rsidRPr="00723049">
        <w:t xml:space="preserve">ractices (GVP) </w:t>
      </w:r>
      <w:r>
        <w:t>m</w:t>
      </w:r>
      <w:r w:rsidRPr="00723049">
        <w:t>odule VII-periodic safety update report (</w:t>
      </w:r>
      <w:r>
        <w:t>R</w:t>
      </w:r>
      <w:r w:rsidRPr="00723049">
        <w:t xml:space="preserve">ev 1), </w:t>
      </w:r>
      <w:r>
        <w:t>p</w:t>
      </w:r>
      <w:r w:rsidRPr="00723049">
        <w:t xml:space="preserve">art VII.B </w:t>
      </w:r>
      <w:r>
        <w:t>s</w:t>
      </w:r>
      <w:r w:rsidRPr="00723049">
        <w:t xml:space="preserve">tructures and processes. Note that submission of a PSUR does not constitute an application to vary the registration. Each report must have been prepared within </w:t>
      </w:r>
      <w:r>
        <w:t>90</w:t>
      </w:r>
      <w:r w:rsidRPr="00723049">
        <w:t xml:space="preserve"> calendar days of the </w:t>
      </w:r>
      <w:r>
        <w:t>DLP</w:t>
      </w:r>
      <w:r w:rsidRPr="00723049">
        <w:t xml:space="preserve"> for that report.</w:t>
      </w:r>
    </w:p>
    <w:p w14:paraId="75F8D21B" w14:textId="77777777" w:rsidR="00962FDE" w:rsidRPr="00A264FA" w:rsidRDefault="00962FDE" w:rsidP="00962FDE">
      <w:pPr>
        <w:pStyle w:val="ListBullet"/>
      </w:pPr>
      <w:r>
        <w:t>The sponsor to c</w:t>
      </w:r>
      <w:r w:rsidRPr="00A264FA">
        <w:t xml:space="preserve">onduct a pharmacokinetics trial to compare the relative bioavailability of </w:t>
      </w:r>
      <w:proofErr w:type="spellStart"/>
      <w:r w:rsidRPr="00A264FA">
        <w:t>belumosudil</w:t>
      </w:r>
      <w:proofErr w:type="spellEnd"/>
      <w:r w:rsidRPr="00A264FA">
        <w:t xml:space="preserve"> paediatric formulation to </w:t>
      </w:r>
      <w:proofErr w:type="spellStart"/>
      <w:r w:rsidRPr="00A264FA">
        <w:t>belumosudil</w:t>
      </w:r>
      <w:proofErr w:type="spellEnd"/>
      <w:r w:rsidRPr="00A264FA">
        <w:t xml:space="preserve"> tablets and develop an </w:t>
      </w:r>
      <w:proofErr w:type="gramStart"/>
      <w:r w:rsidRPr="00A264FA">
        <w:t>age</w:t>
      </w:r>
      <w:r>
        <w:t xml:space="preserve"> </w:t>
      </w:r>
      <w:r w:rsidRPr="00A264FA">
        <w:t>appropriate</w:t>
      </w:r>
      <w:proofErr w:type="gramEnd"/>
      <w:r w:rsidRPr="00A264FA">
        <w:t xml:space="preserve"> paediatric formulation of </w:t>
      </w:r>
      <w:proofErr w:type="spellStart"/>
      <w:r w:rsidRPr="00A264FA">
        <w:t>belumosudil</w:t>
      </w:r>
      <w:proofErr w:type="spellEnd"/>
      <w:r w:rsidRPr="00A264FA">
        <w:t>.</w:t>
      </w:r>
    </w:p>
    <w:p w14:paraId="65A15BA1" w14:textId="77777777" w:rsidR="00962FDE" w:rsidRPr="00A264FA" w:rsidRDefault="00962FDE" w:rsidP="00962FDE">
      <w:pPr>
        <w:pStyle w:val="ListBullet"/>
      </w:pPr>
      <w:r>
        <w:t>The sponsor to c</w:t>
      </w:r>
      <w:r w:rsidRPr="00A264FA">
        <w:t xml:space="preserve">onduct a clinical trial to determine the appropriate dose of </w:t>
      </w:r>
      <w:proofErr w:type="spellStart"/>
      <w:r w:rsidRPr="00A264FA">
        <w:t>belumosudil</w:t>
      </w:r>
      <w:proofErr w:type="spellEnd"/>
      <w:r w:rsidRPr="00A264FA">
        <w:t xml:space="preserve"> and to assess the safety, efficacy, and pharmacokinetics of </w:t>
      </w:r>
      <w:proofErr w:type="spellStart"/>
      <w:r w:rsidRPr="00A264FA">
        <w:t>belumosudil</w:t>
      </w:r>
      <w:proofErr w:type="spellEnd"/>
      <w:r w:rsidRPr="00A264FA">
        <w:t xml:space="preserve"> in paediatric patients with chronic graft</w:t>
      </w:r>
      <w:r>
        <w:t xml:space="preserve"> </w:t>
      </w:r>
      <w:r w:rsidRPr="00A264FA">
        <w:t>versus</w:t>
      </w:r>
      <w:r>
        <w:t xml:space="preserve"> </w:t>
      </w:r>
      <w:r w:rsidRPr="00A264FA">
        <w:t xml:space="preserve">host disease. Include at least 20 adolescents 12 to </w:t>
      </w:r>
      <w:r>
        <w:t>less than</w:t>
      </w:r>
      <w:r w:rsidRPr="00A264FA">
        <w:t xml:space="preserve"> 17 years old, 4</w:t>
      </w:r>
      <w:r>
        <w:t> </w:t>
      </w:r>
      <w:r w:rsidRPr="00A264FA">
        <w:t xml:space="preserve">children 2 to </w:t>
      </w:r>
      <w:r>
        <w:t>less than</w:t>
      </w:r>
      <w:r w:rsidRPr="00A264FA">
        <w:t xml:space="preserve"> 12 years old, and 2 infants 3 months</w:t>
      </w:r>
      <w:r>
        <w:t xml:space="preserve"> and older</w:t>
      </w:r>
      <w:r w:rsidRPr="00A264FA">
        <w:t xml:space="preserve"> to </w:t>
      </w:r>
      <w:r>
        <w:t>less than</w:t>
      </w:r>
      <w:r w:rsidRPr="00A264FA">
        <w:t xml:space="preserve"> 2 years old. Proposed regulatory action</w:t>
      </w:r>
      <w:r>
        <w:t>.</w:t>
      </w:r>
    </w:p>
    <w:p w14:paraId="7A451935" w14:textId="77777777" w:rsidR="00962FDE" w:rsidRPr="00A264FA" w:rsidRDefault="00962FDE" w:rsidP="00962FDE">
      <w:pPr>
        <w:pStyle w:val="ListBullet"/>
      </w:pPr>
      <w:r>
        <w:t>The sponsor to c</w:t>
      </w:r>
      <w:r w:rsidRPr="00A264FA">
        <w:t xml:space="preserve">onduct an integrated safety analysis using data obtained from clinical trials to further characterise the safety of </w:t>
      </w:r>
      <w:proofErr w:type="gramStart"/>
      <w:r w:rsidRPr="00A264FA">
        <w:t>long</w:t>
      </w:r>
      <w:r>
        <w:t xml:space="preserve"> </w:t>
      </w:r>
      <w:r w:rsidRPr="00A264FA">
        <w:t>term</w:t>
      </w:r>
      <w:proofErr w:type="gramEnd"/>
      <w:r w:rsidRPr="00A264FA">
        <w:t xml:space="preserve"> treatment with </w:t>
      </w:r>
      <w:proofErr w:type="spellStart"/>
      <w:r w:rsidRPr="00A264FA">
        <w:t>belumosudil</w:t>
      </w:r>
      <w:proofErr w:type="spellEnd"/>
      <w:r w:rsidRPr="00A264FA">
        <w:t xml:space="preserve"> and determine the rate of infections, hypertension and other adverse events. The integrated safety analysis should include all adverse events, major safety events, dose</w:t>
      </w:r>
      <w:r>
        <w:t xml:space="preserve"> </w:t>
      </w:r>
      <w:r w:rsidRPr="00A264FA">
        <w:t xml:space="preserve">reductions, dose interruptions, withdrawals, and efficacy when all patients have completed at least three years of treatment with </w:t>
      </w:r>
      <w:proofErr w:type="spellStart"/>
      <w:r w:rsidRPr="00A264FA">
        <w:t>belumosudil</w:t>
      </w:r>
      <w:proofErr w:type="spellEnd"/>
      <w:r w:rsidRPr="00A264FA">
        <w:t xml:space="preserve"> or withdrew earlier.</w:t>
      </w:r>
    </w:p>
    <w:p w14:paraId="47E511C5" w14:textId="48E25971" w:rsidR="00962FDE" w:rsidRPr="00A264FA" w:rsidRDefault="00962FDE" w:rsidP="00962FDE">
      <w:pPr>
        <w:pStyle w:val="ListBullet"/>
      </w:pPr>
      <w:r>
        <w:t>The sponsor to c</w:t>
      </w:r>
      <w:r w:rsidRPr="00A264FA">
        <w:t xml:space="preserve">onduct a clinical pharmacokinetic trial evaluating the effect of repeat doses of </w:t>
      </w:r>
      <w:proofErr w:type="spellStart"/>
      <w:r w:rsidRPr="00A264FA">
        <w:t>belumosudil</w:t>
      </w:r>
      <w:proofErr w:type="spellEnd"/>
      <w:r w:rsidRPr="00A264FA">
        <w:t xml:space="preserve"> on the single</w:t>
      </w:r>
      <w:r>
        <w:t xml:space="preserve"> </w:t>
      </w:r>
      <w:r w:rsidRPr="00A264FA">
        <w:t>dose pharmacokinetics of a UGT1A1 substrate to assess the potential for excessive drug toxicity.</w:t>
      </w:r>
    </w:p>
    <w:p w14:paraId="39E794CC" w14:textId="485C518A" w:rsidR="00962FDE" w:rsidRPr="00A264FA" w:rsidRDefault="00962FDE" w:rsidP="00962FDE">
      <w:pPr>
        <w:pStyle w:val="ListBullet"/>
      </w:pPr>
      <w:r>
        <w:t>The sponsor to conduct</w:t>
      </w:r>
      <w:r w:rsidRPr="00A264FA">
        <w:t xml:space="preserve"> a clinical pharmacokinetic trial evaluating the effect of repeat doses of </w:t>
      </w:r>
      <w:proofErr w:type="spellStart"/>
      <w:r w:rsidRPr="00A264FA">
        <w:t>belumosudil</w:t>
      </w:r>
      <w:proofErr w:type="spellEnd"/>
      <w:r w:rsidRPr="00A264FA">
        <w:t xml:space="preserve"> on the single</w:t>
      </w:r>
      <w:r>
        <w:t xml:space="preserve"> </w:t>
      </w:r>
      <w:r w:rsidRPr="00A264FA">
        <w:t>dose pharmacokinetics of sensitive substrates P-</w:t>
      </w:r>
      <w:proofErr w:type="spellStart"/>
      <w:r w:rsidRPr="00A264FA">
        <w:t>gp</w:t>
      </w:r>
      <w:proofErr w:type="spellEnd"/>
      <w:r w:rsidRPr="00A264FA">
        <w:t>, BCRP and</w:t>
      </w:r>
      <w:r w:rsidRPr="00471390">
        <w:t xml:space="preserve"> </w:t>
      </w:r>
      <w:r w:rsidRPr="00A264FA">
        <w:t>OATP1B1 to assess the potential for excessive drug toxicity.</w:t>
      </w:r>
    </w:p>
    <w:p w14:paraId="044434F9" w14:textId="77777777" w:rsidR="00962FDE" w:rsidRPr="00A264FA" w:rsidRDefault="00962FDE" w:rsidP="00962FDE">
      <w:pPr>
        <w:pStyle w:val="ListBullet"/>
      </w:pPr>
      <w:r>
        <w:t>The sponsor to c</w:t>
      </w:r>
      <w:r w:rsidRPr="00A264FA">
        <w:t xml:space="preserve">onduct a clinical pharmacokinetic trial to determine a safe and appropriate dose of </w:t>
      </w:r>
      <w:proofErr w:type="spellStart"/>
      <w:r w:rsidRPr="00A264FA">
        <w:t>belumosudil</w:t>
      </w:r>
      <w:proofErr w:type="spellEnd"/>
      <w:r w:rsidRPr="00A264FA">
        <w:t xml:space="preserve"> in subjects with mild, moderate, and severe hepatic impairment. The final report should include assessment of subjects with mild, </w:t>
      </w:r>
      <w:proofErr w:type="gramStart"/>
      <w:r w:rsidRPr="00A264FA">
        <w:t>moderate</w:t>
      </w:r>
      <w:proofErr w:type="gramEnd"/>
      <w:r w:rsidRPr="00A264FA">
        <w:t xml:space="preserve"> and severe hepatic impairment.</w:t>
      </w:r>
    </w:p>
    <w:p w14:paraId="47B0E649" w14:textId="77777777" w:rsidR="00962FDE" w:rsidRPr="00A264FA" w:rsidRDefault="00962FDE" w:rsidP="00962FDE">
      <w:pPr>
        <w:pStyle w:val="ListBullet"/>
      </w:pPr>
      <w:r>
        <w:lastRenderedPageBreak/>
        <w:t>The sponsor to c</w:t>
      </w:r>
      <w:r w:rsidRPr="00A264FA">
        <w:t xml:space="preserve">onduct a thorough </w:t>
      </w:r>
      <w:r w:rsidRPr="00471390">
        <w:t>QT interval</w:t>
      </w:r>
      <w:r>
        <w:t xml:space="preserve"> (</w:t>
      </w:r>
      <w:r w:rsidRPr="00A264FA">
        <w:t>QT</w:t>
      </w:r>
      <w:r>
        <w:t>)</w:t>
      </w:r>
      <w:r w:rsidRPr="00A264FA">
        <w:t>/</w:t>
      </w:r>
      <w:r w:rsidRPr="00471390">
        <w:t>corrected QT interval</w:t>
      </w:r>
      <w:r w:rsidRPr="00A264FA">
        <w:t xml:space="preserve"> </w:t>
      </w:r>
      <w:r>
        <w:t>(</w:t>
      </w:r>
      <w:r w:rsidRPr="00A264FA">
        <w:t>QTc</w:t>
      </w:r>
      <w:r>
        <w:t>)</w:t>
      </w:r>
      <w:r w:rsidRPr="00A264FA">
        <w:t xml:space="preserve"> trial to evaluate the effect of repeat doses of </w:t>
      </w:r>
      <w:proofErr w:type="spellStart"/>
      <w:r w:rsidRPr="00A264FA">
        <w:t>belumosudil</w:t>
      </w:r>
      <w:proofErr w:type="spellEnd"/>
      <w:r w:rsidRPr="00A264FA">
        <w:t xml:space="preserve"> on the QT/QTc interval to address the potential for excessive drug toxicity.</w:t>
      </w:r>
    </w:p>
    <w:p w14:paraId="687F5057" w14:textId="77777777" w:rsidR="00962FDE" w:rsidRPr="00A264FA" w:rsidRDefault="00962FDE" w:rsidP="00962FDE">
      <w:pPr>
        <w:pStyle w:val="ListBullet"/>
      </w:pPr>
      <w:r>
        <w:t>The sponsor to c</w:t>
      </w:r>
      <w:r w:rsidRPr="00A264FA">
        <w:t>onduct a rodent carcinogenicity study in mice to evaluate the potential for carcinogenicity.</w:t>
      </w:r>
    </w:p>
    <w:p w14:paraId="773A00EE" w14:textId="77777777" w:rsidR="00962FDE" w:rsidRPr="00FB21B2" w:rsidRDefault="00962FDE" w:rsidP="00962FDE">
      <w:pPr>
        <w:pStyle w:val="ListBullet"/>
      </w:pPr>
      <w:r>
        <w:t>The sponsor to c</w:t>
      </w:r>
      <w:r w:rsidRPr="00FB21B2">
        <w:t>onduct a rodent carcinogenicity study in rats to evaluate the potential for carcinogenicity.</w:t>
      </w:r>
    </w:p>
    <w:p w14:paraId="00814BA0" w14:textId="55515D69" w:rsidR="00962FDE" w:rsidRPr="00962FDE" w:rsidRDefault="00962FDE" w:rsidP="00962FDE">
      <w:pPr>
        <w:pStyle w:val="ListBullet"/>
      </w:pPr>
      <w:r>
        <w:t>The sponsor to c</w:t>
      </w:r>
      <w:r w:rsidRPr="00FB21B2">
        <w:t xml:space="preserve">onduct an </w:t>
      </w:r>
      <w:r w:rsidRPr="00FB21B2">
        <w:rPr>
          <w:i/>
          <w:iCs/>
        </w:rPr>
        <w:t>in vitro</w:t>
      </w:r>
      <w:r w:rsidRPr="00FB21B2">
        <w:t xml:space="preserve"> mechanism</w:t>
      </w:r>
      <w:r>
        <w:t xml:space="preserve"> </w:t>
      </w:r>
      <w:r w:rsidRPr="00FB21B2">
        <w:t xml:space="preserve">based inhibition study (such as the </w:t>
      </w:r>
      <w:proofErr w:type="gramStart"/>
      <w:r w:rsidRPr="00FB21B2">
        <w:t>two</w:t>
      </w:r>
      <w:r>
        <w:t xml:space="preserve"> </w:t>
      </w:r>
      <w:r w:rsidRPr="00FB21B2">
        <w:t>step</w:t>
      </w:r>
      <w:proofErr w:type="gramEnd"/>
      <w:r w:rsidRPr="00FB21B2">
        <w:t xml:space="preserve"> dilution method) estimating the inactivation parameters (</w:t>
      </w:r>
      <w:r w:rsidRPr="006C4D9A">
        <w:t xml:space="preserve">the rate of enzyme inactivation </w:t>
      </w:r>
      <w:r>
        <w:t>(</w:t>
      </w:r>
      <w:proofErr w:type="spellStart"/>
      <w:r w:rsidRPr="00FB21B2">
        <w:t>k</w:t>
      </w:r>
      <w:r w:rsidRPr="00547C15">
        <w:rPr>
          <w:vertAlign w:val="subscript"/>
        </w:rPr>
        <w:t>inact</w:t>
      </w:r>
      <w:proofErr w:type="spellEnd"/>
      <w:r>
        <w:t xml:space="preserve">) </w:t>
      </w:r>
      <w:r w:rsidRPr="00FB21B2">
        <w:t xml:space="preserve">and </w:t>
      </w:r>
      <w:r w:rsidRPr="003C5D2C">
        <w:t>the inhibitor constant</w:t>
      </w:r>
      <w:r>
        <w:t xml:space="preserve"> (</w:t>
      </w:r>
      <w:r w:rsidRPr="00FB21B2">
        <w:t>K</w:t>
      </w:r>
      <w:r w:rsidRPr="00547C15">
        <w:rPr>
          <w:vertAlign w:val="subscript"/>
        </w:rPr>
        <w:t>I</w:t>
      </w:r>
      <w:r>
        <w:t>)</w:t>
      </w:r>
      <w:r w:rsidRPr="00FB21B2">
        <w:t xml:space="preserve">) of </w:t>
      </w:r>
      <w:r>
        <w:t>c</w:t>
      </w:r>
      <w:r w:rsidRPr="00FB21B2">
        <w:t xml:space="preserve">ytochrome </w:t>
      </w:r>
      <w:r>
        <w:t>450 (CYP)</w:t>
      </w:r>
      <w:r w:rsidRPr="00FB21B2">
        <w:t xml:space="preserve">1A2, CYP2C19 and CYP2D6 enzymes and measuring nonspecific binding of </w:t>
      </w:r>
      <w:proofErr w:type="spellStart"/>
      <w:r w:rsidRPr="00FB21B2">
        <w:t>belumosudil</w:t>
      </w:r>
      <w:proofErr w:type="spellEnd"/>
      <w:r w:rsidRPr="00FB21B2">
        <w:t xml:space="preserve"> to assess the potential of drug interaction with </w:t>
      </w:r>
      <w:proofErr w:type="spellStart"/>
      <w:r w:rsidRPr="00FB21B2">
        <w:t>belumosudil</w:t>
      </w:r>
      <w:proofErr w:type="spellEnd"/>
      <w:r w:rsidRPr="00FB21B2">
        <w:t xml:space="preserve"> on these enzymes.</w:t>
      </w:r>
    </w:p>
    <w:p w14:paraId="58DA0CB6" w14:textId="77777777" w:rsidR="008E7846" w:rsidRDefault="00A80B5B" w:rsidP="00D23139">
      <w:pPr>
        <w:pStyle w:val="Heading2"/>
      </w:pPr>
      <w:bookmarkStart w:id="73" w:name="_Toc102638230"/>
      <w:r>
        <w:t xml:space="preserve">Attachment 1. </w:t>
      </w:r>
      <w:r w:rsidR="008E7846">
        <w:t xml:space="preserve">Product </w:t>
      </w:r>
      <w:r w:rsidR="00AA0ED0">
        <w:t>I</w:t>
      </w:r>
      <w:r w:rsidR="008E7846">
        <w:t>nformation</w:t>
      </w:r>
      <w:bookmarkEnd w:id="71"/>
      <w:bookmarkEnd w:id="72"/>
      <w:bookmarkEnd w:id="73"/>
    </w:p>
    <w:p w14:paraId="40267D88" w14:textId="393165F2" w:rsidR="00C80137" w:rsidRDefault="006136D7" w:rsidP="00C80137">
      <w:pPr>
        <w:rPr>
          <w:color w:val="000000"/>
          <w:lang w:eastAsia="en-AU"/>
        </w:rPr>
      </w:pPr>
      <w:r w:rsidRPr="002B3624">
        <w:t xml:space="preserve">The </w:t>
      </w:r>
      <w:r>
        <w:t>PI</w:t>
      </w:r>
      <w:r w:rsidRPr="002B3624">
        <w:t xml:space="preserve"> for </w:t>
      </w:r>
      <w:proofErr w:type="spellStart"/>
      <w:r w:rsidR="00962FDE">
        <w:t>Rholistiq</w:t>
      </w:r>
      <w:proofErr w:type="spellEnd"/>
      <w:r w:rsidR="00962FDE">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34" w:history="1">
        <w:r w:rsidR="007C6B9B" w:rsidRPr="007C6B9B">
          <w:rPr>
            <w:rStyle w:val="Hyperlink"/>
          </w:rPr>
          <w:t>https://www.tga.gov.au/product-information-pi</w:t>
        </w:r>
      </w:hyperlink>
      <w:r w:rsidR="007C6B9B" w:rsidRPr="007C6B9B">
        <w:t>&gt;.</w:t>
      </w:r>
    </w:p>
    <w:p w14:paraId="6DDD8E35" w14:textId="17013A72" w:rsidR="00291957" w:rsidRDefault="008E7846" w:rsidP="00461DB6">
      <w:pPr>
        <w:autoSpaceDE w:val="0"/>
        <w:autoSpaceDN w:val="0"/>
        <w:adjustRightInd w:val="0"/>
        <w:spacing w:after="0"/>
        <w:rPr>
          <w:lang w:eastAsia="ja-JP"/>
        </w:rPr>
      </w:pPr>
      <w:r w:rsidRPr="00C80137">
        <w:rPr>
          <w:b/>
        </w:rPr>
        <w:br w:type="page"/>
      </w:r>
    </w:p>
    <w:p w14:paraId="541C6752" w14:textId="77777777" w:rsidR="00C80137" w:rsidRPr="001D043B" w:rsidRDefault="00C80137" w:rsidP="003A7F6C">
      <w:pPr>
        <w:pStyle w:val="TableTitle"/>
        <w:sectPr w:rsidR="00C80137" w:rsidRPr="001D043B" w:rsidSect="00B452CE">
          <w:headerReference w:type="even" r:id="rId35"/>
          <w:headerReference w:type="default" r:id="rId36"/>
          <w:headerReference w:type="first" r:id="rId37"/>
          <w:footerReference w:type="first" r:id="rId3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92CAF89" w14:textId="77777777" w:rsidTr="00A05FA4">
        <w:trPr>
          <w:trHeight w:hRule="exact" w:val="704"/>
        </w:trPr>
        <w:tc>
          <w:tcPr>
            <w:tcW w:w="9175" w:type="dxa"/>
          </w:tcPr>
          <w:p w14:paraId="60B48A5B" w14:textId="77777777" w:rsidR="001C32CD" w:rsidRPr="00487162" w:rsidRDefault="001C32CD" w:rsidP="00A05FA4">
            <w:pPr>
              <w:pStyle w:val="TGASignoff"/>
            </w:pPr>
            <w:r w:rsidRPr="00487162">
              <w:lastRenderedPageBreak/>
              <w:t>Therapeutic Goods Administration</w:t>
            </w:r>
          </w:p>
        </w:tc>
      </w:tr>
      <w:tr w:rsidR="001C32CD" w:rsidRPr="004C239D" w14:paraId="30EB5664" w14:textId="77777777" w:rsidTr="00A05FA4">
        <w:trPr>
          <w:trHeight w:val="1221"/>
        </w:trPr>
        <w:tc>
          <w:tcPr>
            <w:tcW w:w="9175" w:type="dxa"/>
            <w:tcMar>
              <w:top w:w="28" w:type="dxa"/>
            </w:tcMar>
          </w:tcPr>
          <w:p w14:paraId="1256D285" w14:textId="77777777" w:rsidR="001C32CD" w:rsidRPr="00487162" w:rsidRDefault="001C32CD" w:rsidP="00A05FA4">
            <w:pPr>
              <w:pStyle w:val="Address"/>
            </w:pPr>
            <w:r w:rsidRPr="00487162">
              <w:t>PO Box 100 Woden ACT 2606 Australia</w:t>
            </w:r>
          </w:p>
          <w:p w14:paraId="27D6F130" w14:textId="3720BBA6" w:rsidR="001C32CD" w:rsidRPr="00487162" w:rsidRDefault="001C32CD" w:rsidP="00A05FA4">
            <w:pPr>
              <w:pStyle w:val="Address"/>
            </w:pPr>
            <w:r w:rsidRPr="00487162">
              <w:t xml:space="preserve">Email: </w:t>
            </w:r>
            <w:hyperlink r:id="rId39"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7BEF931A" w14:textId="7DCB94C3" w:rsidR="001C32CD" w:rsidRPr="004C239D" w:rsidRDefault="004C5EAC" w:rsidP="00A05FA4">
            <w:pPr>
              <w:pStyle w:val="Address"/>
              <w:spacing w:line="260" w:lineRule="atLeast"/>
              <w:rPr>
                <w:b/>
                <w:color w:val="0000FF"/>
                <w:u w:val="single"/>
              </w:rPr>
            </w:pPr>
            <w:hyperlink r:id="rId40" w:history="1">
              <w:r w:rsidR="007C6B9B" w:rsidRPr="007C6B9B">
                <w:rPr>
                  <w:rStyle w:val="Hyperlink"/>
                  <w:b/>
                </w:rPr>
                <w:t>https://www.tga.gov.au</w:t>
              </w:r>
            </w:hyperlink>
          </w:p>
        </w:tc>
      </w:tr>
    </w:tbl>
    <w:p w14:paraId="4F5DFD3D" w14:textId="77777777" w:rsidR="00774E1D" w:rsidRPr="008A5E0B" w:rsidRDefault="00774E1D" w:rsidP="004C239D"/>
    <w:sectPr w:rsidR="00774E1D" w:rsidRPr="008A5E0B" w:rsidSect="001C32CD">
      <w:headerReference w:type="even" r:id="rId41"/>
      <w:headerReference w:type="default" r:id="rId42"/>
      <w:footerReference w:type="default" r:id="rId43"/>
      <w:headerReference w:type="first" r:id="rId44"/>
      <w:footerReference w:type="first" r:id="rId4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FF2C9" w14:textId="77777777" w:rsidR="00750483" w:rsidRDefault="00750483" w:rsidP="00C40A36">
      <w:pPr>
        <w:spacing w:after="0"/>
      </w:pPr>
      <w:r>
        <w:separator/>
      </w:r>
    </w:p>
  </w:endnote>
  <w:endnote w:type="continuationSeparator" w:id="0">
    <w:p w14:paraId="28EF7096" w14:textId="77777777" w:rsidR="00750483" w:rsidRDefault="0075048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C48C0" w:rsidRPr="00487162" w14:paraId="71C85265" w14:textId="77777777" w:rsidTr="00DB750B">
      <w:trPr>
        <w:trHeight w:val="269"/>
      </w:trPr>
      <w:tc>
        <w:tcPr>
          <w:tcW w:w="7371" w:type="dxa"/>
          <w:tcMar>
            <w:top w:w="142" w:type="dxa"/>
            <w:bottom w:w="0" w:type="dxa"/>
          </w:tcMar>
        </w:tcPr>
        <w:p w14:paraId="4F6B8B5F" w14:textId="6C4B5DA4" w:rsidR="00EC48C0" w:rsidRPr="00487162" w:rsidRDefault="00EC48C0" w:rsidP="00460036">
          <w:pPr>
            <w:pStyle w:val="Footer"/>
          </w:pPr>
          <w:proofErr w:type="spellStart"/>
          <w:r w:rsidRPr="00487162">
            <w:t>AusPA</w:t>
          </w:r>
          <w:r>
            <w:t>R</w:t>
          </w:r>
          <w:proofErr w:type="spellEnd"/>
          <w:r>
            <w:t xml:space="preserve"> - </w:t>
          </w:r>
          <w:proofErr w:type="spellStart"/>
          <w:r>
            <w:t>Rholistiq</w:t>
          </w:r>
          <w:proofErr w:type="spellEnd"/>
          <w:r>
            <w:t xml:space="preserve"> </w:t>
          </w:r>
          <w:r w:rsidRPr="00460036">
            <w:t xml:space="preserve">– </w:t>
          </w:r>
          <w:proofErr w:type="spellStart"/>
          <w:r w:rsidRPr="001D03F9">
            <w:t>belumosudil</w:t>
          </w:r>
          <w:proofErr w:type="spellEnd"/>
          <w:r w:rsidRPr="00460036">
            <w:t xml:space="preserve"> </w:t>
          </w:r>
          <w:r>
            <w:t xml:space="preserve">- </w:t>
          </w:r>
          <w:proofErr w:type="spellStart"/>
          <w:r w:rsidRPr="001D03F9">
            <w:t>Kadmon</w:t>
          </w:r>
          <w:proofErr w:type="spellEnd"/>
          <w:r w:rsidRPr="001D03F9">
            <w:t xml:space="preserve"> Oceania Pty Ltd</w:t>
          </w:r>
          <w:r>
            <w:t xml:space="preserve"> </w:t>
          </w:r>
          <w:r w:rsidR="0014033A">
            <w:t xml:space="preserve">- </w:t>
          </w:r>
          <w:r>
            <w:t>PM-2020</w:t>
          </w:r>
          <w:r w:rsidRPr="00487162">
            <w:t>-</w:t>
          </w:r>
          <w:r>
            <w:t>05433</w:t>
          </w:r>
          <w:r w:rsidRPr="00487162">
            <w:t>-</w:t>
          </w:r>
          <w:r>
            <w:t>1</w:t>
          </w:r>
          <w:r w:rsidRPr="00487162">
            <w:t>-</w:t>
          </w:r>
          <w:r>
            <w:t>6</w:t>
          </w:r>
          <w:r>
            <w:br/>
          </w:r>
          <w:r w:rsidR="00C85F74">
            <w:t>FINAL 5 May</w:t>
          </w:r>
          <w:r>
            <w:t xml:space="preserve"> 2022</w:t>
          </w:r>
        </w:p>
      </w:tc>
      <w:tc>
        <w:tcPr>
          <w:tcW w:w="1490" w:type="dxa"/>
          <w:tcMar>
            <w:top w:w="142" w:type="dxa"/>
            <w:bottom w:w="0" w:type="dxa"/>
          </w:tcMar>
        </w:tcPr>
        <w:p w14:paraId="6BCEA622" w14:textId="4B294232" w:rsidR="00EC48C0" w:rsidRPr="00487162" w:rsidRDefault="00EC48C0" w:rsidP="00DB750B">
          <w:pPr>
            <w:pStyle w:val="Footer"/>
            <w:jc w:val="right"/>
          </w:pPr>
          <w:r w:rsidRPr="00487162">
            <w:t xml:space="preserve">Page </w:t>
          </w:r>
          <w:r>
            <w:fldChar w:fldCharType="begin"/>
          </w:r>
          <w:r>
            <w:instrText xml:space="preserve"> PAGE  \* Arabic </w:instrText>
          </w:r>
          <w:r>
            <w:fldChar w:fldCharType="separate"/>
          </w:r>
          <w:r w:rsidR="00FC0206">
            <w:rPr>
              <w:noProof/>
            </w:rPr>
            <w:t>5</w:t>
          </w:r>
          <w:r>
            <w:fldChar w:fldCharType="end"/>
          </w:r>
          <w:r w:rsidRPr="00487162">
            <w:t xml:space="preserve"> of </w:t>
          </w:r>
          <w:fldSimple w:instr=" NUMPAGES  \* Arabic ">
            <w:r w:rsidR="00FC0206">
              <w:rPr>
                <w:noProof/>
              </w:rPr>
              <w:t>48</w:t>
            </w:r>
          </w:fldSimple>
        </w:p>
      </w:tc>
    </w:tr>
  </w:tbl>
  <w:p w14:paraId="2D0DEA33" w14:textId="77777777" w:rsidR="00EC48C0" w:rsidRDefault="00EC48C0"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C48C0" w:rsidRPr="00487162" w14:paraId="48D2E398" w14:textId="77777777" w:rsidTr="00E45619">
      <w:trPr>
        <w:trHeight w:val="269"/>
      </w:trPr>
      <w:tc>
        <w:tcPr>
          <w:tcW w:w="4519" w:type="dxa"/>
          <w:tcBorders>
            <w:top w:val="single" w:sz="4" w:space="0" w:color="auto"/>
          </w:tcBorders>
          <w:tcMar>
            <w:top w:w="142" w:type="dxa"/>
            <w:bottom w:w="0" w:type="dxa"/>
          </w:tcMar>
        </w:tcPr>
        <w:p w14:paraId="359FC632" w14:textId="77777777" w:rsidR="00EC48C0" w:rsidRPr="00487162" w:rsidRDefault="00EC48C0" w:rsidP="00FE1DEE">
          <w:pPr>
            <w:pStyle w:val="Footer"/>
          </w:pPr>
          <w:r w:rsidRPr="00487162">
            <w:t>Document title, Part #, Section # - Section title</w:t>
          </w:r>
        </w:p>
        <w:p w14:paraId="4D833E82" w14:textId="77777777" w:rsidR="00EC48C0" w:rsidRPr="00487162" w:rsidRDefault="00EC48C0" w:rsidP="00FE1DEE">
          <w:pPr>
            <w:pStyle w:val="Footer"/>
          </w:pPr>
          <w:r w:rsidRPr="00487162">
            <w:t>V1.0 October 2010</w:t>
          </w:r>
        </w:p>
      </w:tc>
      <w:tc>
        <w:tcPr>
          <w:tcW w:w="4342" w:type="dxa"/>
          <w:tcBorders>
            <w:top w:val="single" w:sz="4" w:space="0" w:color="auto"/>
          </w:tcBorders>
          <w:tcMar>
            <w:top w:w="142" w:type="dxa"/>
            <w:bottom w:w="0" w:type="dxa"/>
          </w:tcMar>
        </w:tcPr>
        <w:p w14:paraId="3F01F2F8" w14:textId="77777777" w:rsidR="00EC48C0" w:rsidRPr="00487162" w:rsidRDefault="00EC48C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5D720D57" w14:textId="77777777" w:rsidR="00EC48C0" w:rsidRDefault="00EC48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59BC5" w14:textId="77777777" w:rsidR="00EC48C0" w:rsidRPr="001C32CD" w:rsidRDefault="00EC48C0"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C48C0" w14:paraId="6B571BE2" w14:textId="77777777" w:rsidTr="0010601F">
      <w:trPr>
        <w:trHeight w:val="108"/>
      </w:trPr>
      <w:tc>
        <w:tcPr>
          <w:tcW w:w="8875" w:type="dxa"/>
          <w:gridSpan w:val="2"/>
          <w:tcBorders>
            <w:bottom w:val="single" w:sz="4" w:space="0" w:color="auto"/>
          </w:tcBorders>
          <w:tcMar>
            <w:right w:w="284" w:type="dxa"/>
          </w:tcMar>
        </w:tcPr>
        <w:p w14:paraId="52CD9A34" w14:textId="77777777" w:rsidR="00EC48C0" w:rsidRDefault="00EC48C0" w:rsidP="006E08B3">
          <w:pPr>
            <w:pStyle w:val="Heading3"/>
          </w:pPr>
          <w:r>
            <w:t>Copyright</w:t>
          </w:r>
        </w:p>
        <w:p w14:paraId="34A19C5A" w14:textId="77777777" w:rsidR="00EC48C0" w:rsidRDefault="00EC48C0" w:rsidP="006E08B3">
          <w:r>
            <w:rPr>
              <w:rFonts w:cs="Arial"/>
            </w:rPr>
            <w:t>©</w:t>
          </w:r>
          <w:r>
            <w:t xml:space="preserve"> Commonwealth of Australia [add year]</w:t>
          </w:r>
        </w:p>
        <w:p w14:paraId="36F7EBE8" w14:textId="77777777" w:rsidR="00EC48C0" w:rsidRDefault="00EC48C0" w:rsidP="006E08B3"/>
        <w:p w14:paraId="6021FA7F" w14:textId="77777777" w:rsidR="00EC48C0" w:rsidRDefault="00EC48C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1293C477" w14:textId="77777777" w:rsidR="00EC48C0" w:rsidRDefault="00EC48C0" w:rsidP="006E08B3"/>
        <w:p w14:paraId="49E4B30A" w14:textId="77777777" w:rsidR="00EC48C0" w:rsidRDefault="00EC48C0" w:rsidP="006E08B3">
          <w:pPr>
            <w:pStyle w:val="Heading3"/>
          </w:pPr>
          <w:r>
            <w:t>Confidentiality</w:t>
          </w:r>
        </w:p>
        <w:p w14:paraId="65B56E1B" w14:textId="77777777" w:rsidR="00EC48C0" w:rsidRDefault="00EC48C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C4DFC17" w14:textId="77777777" w:rsidR="00EC48C0" w:rsidRDefault="00EC48C0" w:rsidP="006E08B3"/>
        <w:p w14:paraId="56CCE8FA" w14:textId="77777777" w:rsidR="00EC48C0" w:rsidRDefault="00EC48C0" w:rsidP="006E08B3">
          <w:r>
            <w:t>For submission made by individuals, all personal details, other than your name, will be removed from your submission before it is published on the TGA’s Internet site.</w:t>
          </w:r>
        </w:p>
        <w:p w14:paraId="0E12AAF2" w14:textId="77777777" w:rsidR="00EC48C0" w:rsidRDefault="00EC48C0" w:rsidP="006E08B3"/>
        <w:p w14:paraId="7D34BD82" w14:textId="77777777" w:rsidR="00EC48C0" w:rsidRDefault="00EC48C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EC48C0" w14:paraId="64D42087" w14:textId="77777777" w:rsidTr="0010601F">
      <w:trPr>
        <w:trHeight w:val="417"/>
      </w:trPr>
      <w:tc>
        <w:tcPr>
          <w:tcW w:w="4519" w:type="dxa"/>
          <w:tcBorders>
            <w:top w:val="single" w:sz="4" w:space="0" w:color="auto"/>
          </w:tcBorders>
          <w:tcMar>
            <w:top w:w="142" w:type="dxa"/>
            <w:bottom w:w="0" w:type="dxa"/>
          </w:tcMar>
        </w:tcPr>
        <w:p w14:paraId="07D5B074" w14:textId="77777777" w:rsidR="00EC48C0" w:rsidRDefault="00EC48C0" w:rsidP="006E08B3">
          <w:r>
            <w:t>Document title, Part #, Section # - Section title</w:t>
          </w:r>
        </w:p>
        <w:p w14:paraId="2BDF15A7" w14:textId="77777777" w:rsidR="00EC48C0" w:rsidRDefault="00EC48C0" w:rsidP="006E08B3">
          <w:r>
            <w:t>V1.0 October 2010</w:t>
          </w:r>
        </w:p>
      </w:tc>
      <w:tc>
        <w:tcPr>
          <w:tcW w:w="4356" w:type="dxa"/>
          <w:tcBorders>
            <w:top w:val="single" w:sz="4" w:space="0" w:color="auto"/>
          </w:tcBorders>
          <w:tcMar>
            <w:top w:w="142" w:type="dxa"/>
            <w:bottom w:w="0" w:type="dxa"/>
          </w:tcMar>
        </w:tcPr>
        <w:p w14:paraId="284E7465" w14:textId="77777777" w:rsidR="00EC48C0" w:rsidRDefault="00EC48C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38F0D314" w14:textId="77777777" w:rsidR="00EC48C0" w:rsidRDefault="00EC48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634317" w14:textId="77777777" w:rsidR="00750483" w:rsidRDefault="00750483" w:rsidP="00C40A36">
      <w:pPr>
        <w:spacing w:after="0"/>
      </w:pPr>
      <w:r>
        <w:separator/>
      </w:r>
    </w:p>
  </w:footnote>
  <w:footnote w:type="continuationSeparator" w:id="0">
    <w:p w14:paraId="744CF6BD" w14:textId="77777777" w:rsidR="00750483" w:rsidRDefault="00750483" w:rsidP="00C40A36">
      <w:pPr>
        <w:spacing w:after="0"/>
      </w:pPr>
      <w:r>
        <w:continuationSeparator/>
      </w:r>
    </w:p>
  </w:footnote>
  <w:footnote w:id="1">
    <w:p w14:paraId="25A0B587" w14:textId="77777777" w:rsidR="00EC48C0" w:rsidRDefault="00EC48C0">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2F5FD95E" w14:textId="3E6908CF" w:rsidR="00EC48C0" w:rsidRDefault="00EC48C0" w:rsidP="00DB1ACB">
      <w:pPr>
        <w:pStyle w:val="FootnoteText"/>
      </w:pPr>
      <w:r>
        <w:rPr>
          <w:rStyle w:val="FootnoteReference"/>
        </w:rPr>
        <w:footnoteRef/>
      </w:r>
      <w:r>
        <w:t xml:space="preserve"> </w:t>
      </w:r>
      <w:r w:rsidRPr="00DB1ACB">
        <w:t xml:space="preserve">Shulman et al. NIH Consensus Development Project on Criteria for Clinical Trials in Chronic Graft-versus-Host Disease: II. The 2014 Pathology Working Group Report. </w:t>
      </w:r>
      <w:r w:rsidRPr="00DB1ACB">
        <w:rPr>
          <w:i/>
          <w:iCs/>
        </w:rPr>
        <w:t>Biology of Blood and Marrow Transplantation</w:t>
      </w:r>
      <w:r w:rsidRPr="00DB1ACB">
        <w:t>, 2015 (21); 589-603</w:t>
      </w:r>
    </w:p>
  </w:footnote>
  <w:footnote w:id="3">
    <w:p w14:paraId="4100D6DB" w14:textId="588A26B1" w:rsidR="00EC48C0" w:rsidRDefault="00EC48C0">
      <w:pPr>
        <w:pStyle w:val="FootnoteText"/>
      </w:pPr>
      <w:r>
        <w:rPr>
          <w:rStyle w:val="FootnoteReference"/>
        </w:rPr>
        <w:footnoteRef/>
      </w:r>
      <w:r>
        <w:t xml:space="preserve"> </w:t>
      </w:r>
      <w:r w:rsidRPr="00DB1ACB">
        <w:t>Baird, et al.</w:t>
      </w:r>
      <w:r>
        <w:t xml:space="preserve"> </w:t>
      </w:r>
      <w:r w:rsidRPr="00DB1ACB">
        <w:t>National Institutes of Health chronic graft-versus-host disease staging in severely affected patients: organ and global scoring correlate with established indicators of disease severity and prognosis.</w:t>
      </w:r>
      <w:r>
        <w:t xml:space="preserve"> </w:t>
      </w:r>
      <w:r w:rsidRPr="00DB1ACB">
        <w:rPr>
          <w:i/>
          <w:iCs/>
        </w:rPr>
        <w:t>Biology of blood and marrow transplantation : journal of the American Society for Blood and Marrow Transplantation</w:t>
      </w:r>
      <w:r>
        <w:t xml:space="preserve"> 2013 (</w:t>
      </w:r>
      <w:r w:rsidRPr="00DB1ACB">
        <w:t>19</w:t>
      </w:r>
      <w:r>
        <w:t>)</w:t>
      </w:r>
      <w:r w:rsidRPr="00DB1ACB">
        <w:t>: 632-</w:t>
      </w:r>
      <w:r>
        <w:t>63</w:t>
      </w:r>
      <w:r w:rsidRPr="00DB1ACB">
        <w:t>9</w:t>
      </w:r>
    </w:p>
  </w:footnote>
  <w:footnote w:id="4">
    <w:p w14:paraId="5874F4A7" w14:textId="6780A1BD" w:rsidR="00EC48C0" w:rsidRDefault="00EC48C0">
      <w:pPr>
        <w:pStyle w:val="FootnoteText"/>
      </w:pPr>
      <w:r>
        <w:rPr>
          <w:rStyle w:val="FootnoteReference"/>
        </w:rPr>
        <w:footnoteRef/>
      </w:r>
      <w:r>
        <w:t xml:space="preserve"> Rezurock is the USA specific tradename for </w:t>
      </w:r>
      <w:r w:rsidRPr="001D03F9">
        <w:t>belumosudil</w:t>
      </w:r>
      <w:r>
        <w:t>.</w:t>
      </w:r>
    </w:p>
  </w:footnote>
  <w:footnote w:id="5">
    <w:p w14:paraId="0206A81B" w14:textId="5029DBED" w:rsidR="00EC48C0" w:rsidRDefault="00EC48C0">
      <w:pPr>
        <w:pStyle w:val="FootnoteText"/>
      </w:pPr>
      <w:r>
        <w:rPr>
          <w:rStyle w:val="FootnoteReference"/>
        </w:rPr>
        <w:footnoteRef/>
      </w:r>
      <w:r>
        <w:t xml:space="preserve"> </w:t>
      </w:r>
      <w:r w:rsidRPr="00E042BF">
        <w:t xml:space="preserve">An </w:t>
      </w:r>
      <w:r w:rsidRPr="00E042BF">
        <w:rPr>
          <w:b/>
          <w:bCs/>
        </w:rPr>
        <w:t>orphan drug</w:t>
      </w:r>
      <w:r w:rsidRPr="00E042BF">
        <w:t xml:space="preserve"> is a therapeutic good developed to treat, prevent or diagnose a rare medical condition, that due to low prevalence and/or financial unviability, it would not be financially viable for a sponsor to market that good in Australia. A sponsor may apply for orphan drug designation preceding the main evaluation submission, and should the application meet the specified criteria and designation be granted, the TGA will waive the normal application and evaluation fees, thereby facilitating bring the therapeutic good to the Australian market.</w:t>
      </w:r>
    </w:p>
  </w:footnote>
  <w:footnote w:id="6">
    <w:p w14:paraId="5078E28A" w14:textId="77777777" w:rsidR="00EC48C0" w:rsidRPr="00BD271A" w:rsidRDefault="00EC48C0" w:rsidP="00907348">
      <w:pPr>
        <w:pStyle w:val="FootnoteText"/>
        <w:rPr>
          <w:b/>
          <w:lang w:eastAsia="ja-JP"/>
        </w:rPr>
      </w:pPr>
      <w:r>
        <w:rPr>
          <w:rStyle w:val="FootnoteReference"/>
        </w:rPr>
        <w:footnoteRef/>
      </w:r>
      <w:r>
        <w:t xml:space="preserve"> </w:t>
      </w:r>
      <w:r w:rsidRPr="00B41C85">
        <w:rPr>
          <w:b/>
          <w:lang w:eastAsia="ja-JP"/>
        </w:rPr>
        <w:t>Cytochrome P450 (CYP) enzymes:</w:t>
      </w:r>
      <w:r>
        <w:rPr>
          <w:b/>
          <w:lang w:eastAsia="ja-JP"/>
        </w:rPr>
        <w:t xml:space="preserve"> </w:t>
      </w:r>
      <w:r>
        <w:rPr>
          <w:lang w:eastAsia="ja-JP"/>
        </w:rPr>
        <w:t>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29A21DD9" w14:textId="4897A857" w:rsidR="00EC48C0" w:rsidRDefault="00EC48C0" w:rsidP="00907348">
      <w:pPr>
        <w:pStyle w:val="FootnoteText"/>
      </w:pPr>
      <w:r>
        <w:rPr>
          <w:lang w:eastAsia="ja-JP"/>
        </w:rPr>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7">
    <w:p w14:paraId="1DC09F98" w14:textId="49B56E9B" w:rsidR="00EC48C0" w:rsidRDefault="00EC48C0">
      <w:pPr>
        <w:pStyle w:val="FootnoteText"/>
      </w:pPr>
      <w:r>
        <w:rPr>
          <w:rStyle w:val="FootnoteReference"/>
        </w:rPr>
        <w:footnoteRef/>
      </w:r>
      <w:r>
        <w:t xml:space="preserve"> </w:t>
      </w:r>
      <w:r w:rsidRPr="00AD0F3B">
        <w:t xml:space="preserve">The </w:t>
      </w:r>
      <w:r w:rsidRPr="00AD0F3B">
        <w:rPr>
          <w:b/>
        </w:rPr>
        <w:t>QT interval</w:t>
      </w:r>
      <w:r w:rsidRPr="00AD0F3B">
        <w:t xml:space="preserve"> 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footnote>
  <w:footnote w:id="8">
    <w:p w14:paraId="70ACDDA5" w14:textId="77777777" w:rsidR="00EC48C0" w:rsidRDefault="00EC48C0" w:rsidP="00E743B2">
      <w:pPr>
        <w:pStyle w:val="FootnoteText"/>
      </w:pPr>
      <w:r>
        <w:rPr>
          <w:rStyle w:val="FootnoteReference"/>
        </w:rPr>
        <w:footnoteRef/>
      </w:r>
      <w:r>
        <w:t xml:space="preserve"> </w:t>
      </w:r>
      <w:r w:rsidRPr="00AA329D">
        <w:t xml:space="preserve">Lee Sk, Cook EF, Soiffer R, Antin JH. Development and validation of a scale to measure symptoms of chronic graft-versus-host disease. </w:t>
      </w:r>
      <w:r w:rsidRPr="00AA329D">
        <w:rPr>
          <w:i/>
          <w:iCs/>
        </w:rPr>
        <w:t>Biol Blood Marrow Transplant</w:t>
      </w:r>
      <w:r w:rsidRPr="00AA329D">
        <w:t>. 2002;8(8):444-452.</w:t>
      </w:r>
    </w:p>
  </w:footnote>
  <w:footnote w:id="9">
    <w:p w14:paraId="2E167A24" w14:textId="77777777" w:rsidR="00EC48C0" w:rsidRDefault="00EC48C0" w:rsidP="00E743B2">
      <w:pPr>
        <w:pStyle w:val="FootnoteText"/>
      </w:pPr>
      <w:r>
        <w:rPr>
          <w:rStyle w:val="FootnoteReference"/>
        </w:rPr>
        <w:footnoteRef/>
      </w:r>
      <w:r>
        <w:t xml:space="preserve"> Karnofsky Performance Status</w:t>
      </w:r>
      <w:r w:rsidRPr="00414CD4">
        <w:t xml:space="preserve"> </w:t>
      </w:r>
      <w:r>
        <w:t>is a</w:t>
      </w:r>
      <w:r w:rsidRPr="00414CD4">
        <w:t xml:space="preserve"> standard way of measuring the ability of cancer patients to perform ordinary tasks. The Karnofsky Performance Status scores range from 0 to 100. A higher score means the patient is better able to carry out daily activities. Karnofsky Performance Status may be used to determine a patient's prognosis, to measure changes in a patient’s ability to function, or to decide if a patient could be included in a clinical trial.</w:t>
      </w:r>
    </w:p>
  </w:footnote>
  <w:footnote w:id="10">
    <w:p w14:paraId="0FB142F2" w14:textId="108F87BF" w:rsidR="00EC48C0" w:rsidRDefault="00EC48C0">
      <w:pPr>
        <w:pStyle w:val="FootnoteText"/>
      </w:pPr>
      <w:r>
        <w:rPr>
          <w:rStyle w:val="FootnoteReference"/>
        </w:rPr>
        <w:footnoteRef/>
      </w:r>
      <w:r>
        <w:t xml:space="preserve"> </w:t>
      </w:r>
      <w:r w:rsidRPr="005C0841">
        <w:rPr>
          <w:b/>
        </w:rPr>
        <w:t>Hy’s Law</w:t>
      </w:r>
      <w:r w:rsidRPr="005C0841">
        <w:t>: Evidence of hepatocellular injury with a rise in alanine aminotransferase (ALT) and/or aspartate aminotransferase (AST) &gt; 3 x the upper limit of normal (ULN) and total bilirubin &gt; 2 x ULN, and no other reason to explain rise in aminotransferases and total bilirubin. Hy's law is a rule of thumb that a patient is at high risk of a fatal drug-induced liver injury if given a medication that causes hepatocellular injury with jaundice</w:t>
      </w:r>
      <w:r>
        <w:t>.</w:t>
      </w:r>
    </w:p>
  </w:footnote>
  <w:footnote w:id="11">
    <w:p w14:paraId="2160D090" w14:textId="77777777" w:rsidR="00EC48C0" w:rsidRDefault="00EC48C0"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1A2DF9F5" w14:textId="77777777" w:rsidR="00EC48C0" w:rsidRDefault="00EC48C0" w:rsidP="007D53B6">
      <w:pPr>
        <w:pStyle w:val="FootnoteText"/>
      </w:pPr>
      <w:r w:rsidRPr="007D53B6">
        <w:rPr>
          <w:i/>
        </w:rPr>
        <w:t>Routine pharmacovigilance</w:t>
      </w:r>
      <w:r>
        <w:t xml:space="preserve"> practices involve the following activities:</w:t>
      </w:r>
    </w:p>
    <w:p w14:paraId="70DAF714" w14:textId="77777777" w:rsidR="00EC48C0" w:rsidRDefault="00EC48C0" w:rsidP="007D53B6">
      <w:pPr>
        <w:pStyle w:val="FootnoteText"/>
        <w:numPr>
          <w:ilvl w:val="0"/>
          <w:numId w:val="32"/>
        </w:numPr>
        <w:ind w:left="284" w:hanging="284"/>
      </w:pPr>
      <w:r>
        <w:t>All suspected adverse reactions that are reported to the personnel of the company are collected and collated in an accessible manner;</w:t>
      </w:r>
    </w:p>
    <w:p w14:paraId="1B45BA9F" w14:textId="77777777" w:rsidR="00EC48C0" w:rsidRDefault="00EC48C0" w:rsidP="007D53B6">
      <w:pPr>
        <w:pStyle w:val="FootnoteText"/>
        <w:numPr>
          <w:ilvl w:val="0"/>
          <w:numId w:val="32"/>
        </w:numPr>
        <w:ind w:left="284" w:hanging="284"/>
      </w:pPr>
      <w:r>
        <w:t>Reporting to regulatory authorities;</w:t>
      </w:r>
    </w:p>
    <w:p w14:paraId="5D151F15" w14:textId="77777777" w:rsidR="00EC48C0" w:rsidRDefault="00EC48C0" w:rsidP="007D53B6">
      <w:pPr>
        <w:pStyle w:val="FootnoteText"/>
        <w:numPr>
          <w:ilvl w:val="0"/>
          <w:numId w:val="32"/>
        </w:numPr>
        <w:ind w:left="284" w:hanging="284"/>
      </w:pPr>
      <w:r>
        <w:t>Continuous monitoring of the safety profiles of approved products including signal detection and updating of labelling;</w:t>
      </w:r>
    </w:p>
    <w:p w14:paraId="0E5640BF" w14:textId="77777777" w:rsidR="00EC48C0" w:rsidRDefault="00EC48C0" w:rsidP="007D53B6">
      <w:pPr>
        <w:pStyle w:val="FootnoteText"/>
        <w:numPr>
          <w:ilvl w:val="0"/>
          <w:numId w:val="32"/>
        </w:numPr>
        <w:ind w:left="284" w:hanging="284"/>
      </w:pPr>
      <w:r>
        <w:t>Submission of PSURs;</w:t>
      </w:r>
    </w:p>
    <w:p w14:paraId="1DFEAA3E" w14:textId="77777777" w:rsidR="00EC48C0" w:rsidRDefault="00EC48C0" w:rsidP="007D53B6">
      <w:pPr>
        <w:pStyle w:val="FootnoteText"/>
        <w:numPr>
          <w:ilvl w:val="0"/>
          <w:numId w:val="32"/>
        </w:numPr>
        <w:ind w:left="284" w:hanging="284"/>
      </w:pPr>
      <w:r>
        <w:t>Meeting other local regulatory agency requirements.</w:t>
      </w:r>
    </w:p>
  </w:footnote>
  <w:footnote w:id="12">
    <w:p w14:paraId="1ED71348" w14:textId="77777777" w:rsidR="00EC48C0" w:rsidRPr="00456765" w:rsidRDefault="00EC48C0" w:rsidP="00FB369D">
      <w:pPr>
        <w:pStyle w:val="FootnoteText"/>
        <w:rPr>
          <w:lang w:val="en-US"/>
        </w:rPr>
      </w:pPr>
      <w:r>
        <w:rPr>
          <w:rStyle w:val="FootnoteReference"/>
        </w:rPr>
        <w:footnoteRef/>
      </w:r>
      <w:r>
        <w:t xml:space="preserve"> </w:t>
      </w:r>
      <w:r w:rsidRPr="00FB369D">
        <w:t xml:space="preserve">The ACM provides independent medical and scientific advice to the Minister for Health and the TGA on issues relating to the safety, quality and efficacy of medicines supplied in Australia including issues relating to pre market and post-market functions for medicines. Further information can be found here: </w:t>
      </w:r>
      <w:hyperlink r:id="rId1" w:history="1">
        <w:r w:rsidRPr="0004151A">
          <w:rPr>
            <w:rStyle w:val="Hyperlink"/>
          </w:rPr>
          <w:t>https://www.tga.gov.au/committee/advisory-committee-medicines-acm</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72BF6" w14:textId="77777777" w:rsidR="00EC48C0" w:rsidRDefault="00EC48C0"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F997C" w14:textId="77777777" w:rsidR="00EC48C0" w:rsidRDefault="00EC48C0">
    <w:pPr>
      <w:rPr>
        <w:noProof/>
        <w:lang w:eastAsia="en-AU"/>
      </w:rPr>
    </w:pPr>
    <w:r w:rsidRPr="00347824">
      <w:rPr>
        <w:noProof/>
        <w:lang w:val="en-GB" w:eastAsia="en-GB"/>
      </w:rPr>
      <w:drawing>
        <wp:anchor distT="0" distB="0" distL="114300" distR="114300" simplePos="0" relativeHeight="251659264" behindDoc="1" locked="0" layoutInCell="1" allowOverlap="1" wp14:anchorId="5F9995BA" wp14:editId="2211F2EA">
          <wp:simplePos x="0" y="0"/>
          <wp:positionH relativeFrom="column">
            <wp:posOffset>-1089660</wp:posOffset>
          </wp:positionH>
          <wp:positionV relativeFrom="paragraph">
            <wp:posOffset>-585470</wp:posOffset>
          </wp:positionV>
          <wp:extent cx="7572375" cy="10706100"/>
          <wp:effectExtent l="19050" t="0" r="0" b="0"/>
          <wp:wrapNone/>
          <wp:docPr id="1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CCFE6AB" w14:textId="77777777" w:rsidR="00EC48C0" w:rsidRDefault="00EC48C0"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FB61D" w14:textId="77777777" w:rsidR="00EC48C0" w:rsidRDefault="00EC48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0FD0B" w14:textId="77777777" w:rsidR="00EC48C0" w:rsidRDefault="00EC48C0">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5F93C" w14:textId="77777777" w:rsidR="00EC48C0" w:rsidRDefault="00EC48C0">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85D4A" w14:textId="77777777" w:rsidR="00EC48C0" w:rsidRDefault="00EC48C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56DEC" w14:textId="77777777" w:rsidR="00EC48C0" w:rsidRDefault="00EC48C0"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056FD" w14:textId="77777777" w:rsidR="00EC48C0" w:rsidRDefault="00EC48C0" w:rsidP="006E08B3">
    <w:r>
      <w:t>Therapeutic Goods Administration</w:t>
    </w:r>
  </w:p>
  <w:p w14:paraId="73A5F30F" w14:textId="77777777" w:rsidR="00EC48C0" w:rsidRDefault="00EC48C0"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F264F43"/>
    <w:multiLevelType w:val="hybridMultilevel"/>
    <w:tmpl w:val="FD8C6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7A827E9"/>
    <w:multiLevelType w:val="hybridMultilevel"/>
    <w:tmpl w:val="813E9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9"/>
  </w:num>
  <w:num w:numId="28">
    <w:abstractNumId w:val="12"/>
  </w:num>
  <w:num w:numId="29">
    <w:abstractNumId w:val="6"/>
  </w:num>
  <w:num w:numId="30">
    <w:abstractNumId w:val="8"/>
  </w:num>
  <w:num w:numId="31">
    <w:abstractNumId w:val="4"/>
  </w:num>
  <w:num w:numId="32">
    <w:abstractNumId w:val="10"/>
  </w:num>
  <w:num w:numId="33">
    <w:abstractNumId w:val="11"/>
  </w:num>
  <w:num w:numId="34">
    <w:abstractNumId w:val="13"/>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3F9"/>
    <w:rsid w:val="00001419"/>
    <w:rsid w:val="00002031"/>
    <w:rsid w:val="00004734"/>
    <w:rsid w:val="00006B22"/>
    <w:rsid w:val="00006FAB"/>
    <w:rsid w:val="0001276A"/>
    <w:rsid w:val="000246AE"/>
    <w:rsid w:val="00025C67"/>
    <w:rsid w:val="00043D17"/>
    <w:rsid w:val="00044772"/>
    <w:rsid w:val="0004541C"/>
    <w:rsid w:val="0005559E"/>
    <w:rsid w:val="000604D6"/>
    <w:rsid w:val="000734D8"/>
    <w:rsid w:val="00077775"/>
    <w:rsid w:val="00090471"/>
    <w:rsid w:val="00096AA7"/>
    <w:rsid w:val="000A3AED"/>
    <w:rsid w:val="000B3532"/>
    <w:rsid w:val="000B3A75"/>
    <w:rsid w:val="000C00C2"/>
    <w:rsid w:val="000C690F"/>
    <w:rsid w:val="000D1295"/>
    <w:rsid w:val="000D391B"/>
    <w:rsid w:val="000D3A7E"/>
    <w:rsid w:val="000D3D6D"/>
    <w:rsid w:val="000D4FC7"/>
    <w:rsid w:val="000E6196"/>
    <w:rsid w:val="000F4869"/>
    <w:rsid w:val="000F5B42"/>
    <w:rsid w:val="000F6E6F"/>
    <w:rsid w:val="0010601F"/>
    <w:rsid w:val="00106CD4"/>
    <w:rsid w:val="0010788A"/>
    <w:rsid w:val="00107A31"/>
    <w:rsid w:val="00110EA5"/>
    <w:rsid w:val="00112F56"/>
    <w:rsid w:val="0011520C"/>
    <w:rsid w:val="00122C2E"/>
    <w:rsid w:val="00124652"/>
    <w:rsid w:val="00124ACD"/>
    <w:rsid w:val="00125318"/>
    <w:rsid w:val="001305A2"/>
    <w:rsid w:val="00133238"/>
    <w:rsid w:val="00133A1B"/>
    <w:rsid w:val="0014033A"/>
    <w:rsid w:val="0014197B"/>
    <w:rsid w:val="001447CD"/>
    <w:rsid w:val="001516B1"/>
    <w:rsid w:val="00154EBB"/>
    <w:rsid w:val="00156316"/>
    <w:rsid w:val="00161181"/>
    <w:rsid w:val="00162D14"/>
    <w:rsid w:val="00163780"/>
    <w:rsid w:val="00163BA2"/>
    <w:rsid w:val="00165389"/>
    <w:rsid w:val="001739CE"/>
    <w:rsid w:val="0017693F"/>
    <w:rsid w:val="0018110E"/>
    <w:rsid w:val="00181684"/>
    <w:rsid w:val="001843C6"/>
    <w:rsid w:val="001850E0"/>
    <w:rsid w:val="00195641"/>
    <w:rsid w:val="001A03AF"/>
    <w:rsid w:val="001A2158"/>
    <w:rsid w:val="001A525F"/>
    <w:rsid w:val="001B09F9"/>
    <w:rsid w:val="001B5C90"/>
    <w:rsid w:val="001B6448"/>
    <w:rsid w:val="001C32CD"/>
    <w:rsid w:val="001D03F9"/>
    <w:rsid w:val="001D2984"/>
    <w:rsid w:val="001D325E"/>
    <w:rsid w:val="001E07CF"/>
    <w:rsid w:val="001E59F1"/>
    <w:rsid w:val="001F2CEE"/>
    <w:rsid w:val="001F2DA0"/>
    <w:rsid w:val="001F49EB"/>
    <w:rsid w:val="001F6CBA"/>
    <w:rsid w:val="00201D4E"/>
    <w:rsid w:val="002076C9"/>
    <w:rsid w:val="00220B8A"/>
    <w:rsid w:val="00220F2D"/>
    <w:rsid w:val="002257F3"/>
    <w:rsid w:val="002264E0"/>
    <w:rsid w:val="00233456"/>
    <w:rsid w:val="002339A5"/>
    <w:rsid w:val="002349EA"/>
    <w:rsid w:val="002432CD"/>
    <w:rsid w:val="00250271"/>
    <w:rsid w:val="00252EEF"/>
    <w:rsid w:val="00257848"/>
    <w:rsid w:val="002578E8"/>
    <w:rsid w:val="002619DF"/>
    <w:rsid w:val="0027084A"/>
    <w:rsid w:val="00280265"/>
    <w:rsid w:val="0028062C"/>
    <w:rsid w:val="00286434"/>
    <w:rsid w:val="00286C59"/>
    <w:rsid w:val="002872E8"/>
    <w:rsid w:val="00291957"/>
    <w:rsid w:val="002942D1"/>
    <w:rsid w:val="0029501A"/>
    <w:rsid w:val="002A3721"/>
    <w:rsid w:val="002A66C5"/>
    <w:rsid w:val="002B1638"/>
    <w:rsid w:val="002B3624"/>
    <w:rsid w:val="002B53B5"/>
    <w:rsid w:val="002C7B0D"/>
    <w:rsid w:val="002D0952"/>
    <w:rsid w:val="002E40B3"/>
    <w:rsid w:val="002E4C9A"/>
    <w:rsid w:val="002F11F8"/>
    <w:rsid w:val="002F3F56"/>
    <w:rsid w:val="002F44B5"/>
    <w:rsid w:val="002F5122"/>
    <w:rsid w:val="00304165"/>
    <w:rsid w:val="00311AC0"/>
    <w:rsid w:val="00315C76"/>
    <w:rsid w:val="003176FC"/>
    <w:rsid w:val="00324E45"/>
    <w:rsid w:val="0032583B"/>
    <w:rsid w:val="00327883"/>
    <w:rsid w:val="00335504"/>
    <w:rsid w:val="00340C18"/>
    <w:rsid w:val="003442FD"/>
    <w:rsid w:val="00347824"/>
    <w:rsid w:val="00350567"/>
    <w:rsid w:val="003521E8"/>
    <w:rsid w:val="003605DA"/>
    <w:rsid w:val="003646EF"/>
    <w:rsid w:val="00370CE3"/>
    <w:rsid w:val="003728F3"/>
    <w:rsid w:val="003735BC"/>
    <w:rsid w:val="0037496E"/>
    <w:rsid w:val="00383221"/>
    <w:rsid w:val="00386150"/>
    <w:rsid w:val="003874CE"/>
    <w:rsid w:val="00390900"/>
    <w:rsid w:val="003A304F"/>
    <w:rsid w:val="003A7F6C"/>
    <w:rsid w:val="003B2AFC"/>
    <w:rsid w:val="003B4D60"/>
    <w:rsid w:val="003B7E39"/>
    <w:rsid w:val="003C58DC"/>
    <w:rsid w:val="003D0318"/>
    <w:rsid w:val="003D1E62"/>
    <w:rsid w:val="003E0B99"/>
    <w:rsid w:val="003E2486"/>
    <w:rsid w:val="003E3208"/>
    <w:rsid w:val="003F0B04"/>
    <w:rsid w:val="0040134E"/>
    <w:rsid w:val="004123CE"/>
    <w:rsid w:val="00414CD4"/>
    <w:rsid w:val="004334C7"/>
    <w:rsid w:val="00440A2D"/>
    <w:rsid w:val="00441C3F"/>
    <w:rsid w:val="00444D1A"/>
    <w:rsid w:val="0045186A"/>
    <w:rsid w:val="004518E3"/>
    <w:rsid w:val="004564A7"/>
    <w:rsid w:val="00456765"/>
    <w:rsid w:val="00460036"/>
    <w:rsid w:val="004617BF"/>
    <w:rsid w:val="00461DB6"/>
    <w:rsid w:val="00463658"/>
    <w:rsid w:val="004637A0"/>
    <w:rsid w:val="004722CC"/>
    <w:rsid w:val="00490483"/>
    <w:rsid w:val="004936E4"/>
    <w:rsid w:val="00494E60"/>
    <w:rsid w:val="00497487"/>
    <w:rsid w:val="004A2771"/>
    <w:rsid w:val="004A6189"/>
    <w:rsid w:val="004A7390"/>
    <w:rsid w:val="004B0883"/>
    <w:rsid w:val="004B1782"/>
    <w:rsid w:val="004B5B1C"/>
    <w:rsid w:val="004B7B76"/>
    <w:rsid w:val="004C239D"/>
    <w:rsid w:val="004C2DCA"/>
    <w:rsid w:val="004C4FBE"/>
    <w:rsid w:val="004C5EAC"/>
    <w:rsid w:val="004C61D2"/>
    <w:rsid w:val="004C705B"/>
    <w:rsid w:val="004F0C4A"/>
    <w:rsid w:val="004F0F38"/>
    <w:rsid w:val="004F47D6"/>
    <w:rsid w:val="00500337"/>
    <w:rsid w:val="00501921"/>
    <w:rsid w:val="005141E9"/>
    <w:rsid w:val="005252B2"/>
    <w:rsid w:val="00527D3C"/>
    <w:rsid w:val="00530354"/>
    <w:rsid w:val="0053625B"/>
    <w:rsid w:val="005434C6"/>
    <w:rsid w:val="00543B39"/>
    <w:rsid w:val="00546154"/>
    <w:rsid w:val="00550096"/>
    <w:rsid w:val="00551833"/>
    <w:rsid w:val="00555280"/>
    <w:rsid w:val="00557FF9"/>
    <w:rsid w:val="00562327"/>
    <w:rsid w:val="005711D5"/>
    <w:rsid w:val="00576378"/>
    <w:rsid w:val="00577130"/>
    <w:rsid w:val="00577945"/>
    <w:rsid w:val="00577E38"/>
    <w:rsid w:val="00583213"/>
    <w:rsid w:val="00585322"/>
    <w:rsid w:val="005857C6"/>
    <w:rsid w:val="00590CF8"/>
    <w:rsid w:val="00592F6E"/>
    <w:rsid w:val="00593540"/>
    <w:rsid w:val="00593AD1"/>
    <w:rsid w:val="005A68B6"/>
    <w:rsid w:val="005C5570"/>
    <w:rsid w:val="005C5B66"/>
    <w:rsid w:val="005C79A4"/>
    <w:rsid w:val="005D14A6"/>
    <w:rsid w:val="005D5442"/>
    <w:rsid w:val="00603F32"/>
    <w:rsid w:val="00605AD4"/>
    <w:rsid w:val="006107CE"/>
    <w:rsid w:val="006136D7"/>
    <w:rsid w:val="006234CB"/>
    <w:rsid w:val="00625A6E"/>
    <w:rsid w:val="00632398"/>
    <w:rsid w:val="00640FC3"/>
    <w:rsid w:val="00642020"/>
    <w:rsid w:val="006430EE"/>
    <w:rsid w:val="00645D29"/>
    <w:rsid w:val="006506DB"/>
    <w:rsid w:val="0065337B"/>
    <w:rsid w:val="0065419D"/>
    <w:rsid w:val="006603BC"/>
    <w:rsid w:val="006604D8"/>
    <w:rsid w:val="00664A5B"/>
    <w:rsid w:val="006665D6"/>
    <w:rsid w:val="0066735C"/>
    <w:rsid w:val="006749FC"/>
    <w:rsid w:val="006763D2"/>
    <w:rsid w:val="00680C08"/>
    <w:rsid w:val="006916A0"/>
    <w:rsid w:val="006931B1"/>
    <w:rsid w:val="006A15C0"/>
    <w:rsid w:val="006A58A8"/>
    <w:rsid w:val="006C3E2A"/>
    <w:rsid w:val="006C642F"/>
    <w:rsid w:val="006D03E5"/>
    <w:rsid w:val="006D3878"/>
    <w:rsid w:val="006D5D3E"/>
    <w:rsid w:val="006E08B3"/>
    <w:rsid w:val="006E0FFF"/>
    <w:rsid w:val="006F17AC"/>
    <w:rsid w:val="006F25B8"/>
    <w:rsid w:val="006F572E"/>
    <w:rsid w:val="007046D6"/>
    <w:rsid w:val="00705DB0"/>
    <w:rsid w:val="00722B57"/>
    <w:rsid w:val="00730F8A"/>
    <w:rsid w:val="00735A8C"/>
    <w:rsid w:val="0074253D"/>
    <w:rsid w:val="00744121"/>
    <w:rsid w:val="0074429B"/>
    <w:rsid w:val="00750483"/>
    <w:rsid w:val="007615BC"/>
    <w:rsid w:val="00762F05"/>
    <w:rsid w:val="007652FF"/>
    <w:rsid w:val="00770CAC"/>
    <w:rsid w:val="00770EF1"/>
    <w:rsid w:val="00771B79"/>
    <w:rsid w:val="00773EF7"/>
    <w:rsid w:val="00774E1D"/>
    <w:rsid w:val="007765D8"/>
    <w:rsid w:val="0077675A"/>
    <w:rsid w:val="00780355"/>
    <w:rsid w:val="007819FD"/>
    <w:rsid w:val="00785717"/>
    <w:rsid w:val="00785721"/>
    <w:rsid w:val="00793A59"/>
    <w:rsid w:val="007A46F5"/>
    <w:rsid w:val="007A6505"/>
    <w:rsid w:val="007B6132"/>
    <w:rsid w:val="007B6E9F"/>
    <w:rsid w:val="007C1216"/>
    <w:rsid w:val="007C1AF7"/>
    <w:rsid w:val="007C6B9B"/>
    <w:rsid w:val="007D53B6"/>
    <w:rsid w:val="00805D27"/>
    <w:rsid w:val="00806DCB"/>
    <w:rsid w:val="00821776"/>
    <w:rsid w:val="008321F5"/>
    <w:rsid w:val="00832369"/>
    <w:rsid w:val="00834660"/>
    <w:rsid w:val="00836BC2"/>
    <w:rsid w:val="0085156D"/>
    <w:rsid w:val="00852B28"/>
    <w:rsid w:val="0085641B"/>
    <w:rsid w:val="00857136"/>
    <w:rsid w:val="00862F11"/>
    <w:rsid w:val="00875A6B"/>
    <w:rsid w:val="00885B11"/>
    <w:rsid w:val="00886D15"/>
    <w:rsid w:val="00887DD8"/>
    <w:rsid w:val="00891BA9"/>
    <w:rsid w:val="008926B7"/>
    <w:rsid w:val="00896018"/>
    <w:rsid w:val="008960DD"/>
    <w:rsid w:val="0089635C"/>
    <w:rsid w:val="008A2B9D"/>
    <w:rsid w:val="008A3D9F"/>
    <w:rsid w:val="008A5E0B"/>
    <w:rsid w:val="008A6D59"/>
    <w:rsid w:val="008B4B03"/>
    <w:rsid w:val="008B4E27"/>
    <w:rsid w:val="008B596F"/>
    <w:rsid w:val="008C159F"/>
    <w:rsid w:val="008C1623"/>
    <w:rsid w:val="008C1850"/>
    <w:rsid w:val="008C1D85"/>
    <w:rsid w:val="008C51A9"/>
    <w:rsid w:val="008E7846"/>
    <w:rsid w:val="008F02E5"/>
    <w:rsid w:val="008F1CCC"/>
    <w:rsid w:val="008F2967"/>
    <w:rsid w:val="008F6943"/>
    <w:rsid w:val="00902A21"/>
    <w:rsid w:val="009031D6"/>
    <w:rsid w:val="00907348"/>
    <w:rsid w:val="0091523F"/>
    <w:rsid w:val="00920330"/>
    <w:rsid w:val="009219D7"/>
    <w:rsid w:val="00922D53"/>
    <w:rsid w:val="00923B70"/>
    <w:rsid w:val="00924482"/>
    <w:rsid w:val="00924C40"/>
    <w:rsid w:val="00930237"/>
    <w:rsid w:val="00937C17"/>
    <w:rsid w:val="00940A89"/>
    <w:rsid w:val="00941F77"/>
    <w:rsid w:val="00946EA5"/>
    <w:rsid w:val="00960520"/>
    <w:rsid w:val="00962FDE"/>
    <w:rsid w:val="00963C08"/>
    <w:rsid w:val="00965557"/>
    <w:rsid w:val="00972D3D"/>
    <w:rsid w:val="009752A5"/>
    <w:rsid w:val="0098585A"/>
    <w:rsid w:val="009A04A1"/>
    <w:rsid w:val="009A4CED"/>
    <w:rsid w:val="009A690D"/>
    <w:rsid w:val="009B1D12"/>
    <w:rsid w:val="009B416B"/>
    <w:rsid w:val="009C4BD5"/>
    <w:rsid w:val="009D7B77"/>
    <w:rsid w:val="009E0BB0"/>
    <w:rsid w:val="009E3FBB"/>
    <w:rsid w:val="009F7353"/>
    <w:rsid w:val="00A04F85"/>
    <w:rsid w:val="00A05FA4"/>
    <w:rsid w:val="00A102E4"/>
    <w:rsid w:val="00A1219C"/>
    <w:rsid w:val="00A12C42"/>
    <w:rsid w:val="00A13125"/>
    <w:rsid w:val="00A14DF7"/>
    <w:rsid w:val="00A22D57"/>
    <w:rsid w:val="00A31BAA"/>
    <w:rsid w:val="00A3246D"/>
    <w:rsid w:val="00A36FA7"/>
    <w:rsid w:val="00A44DDB"/>
    <w:rsid w:val="00A475B7"/>
    <w:rsid w:val="00A47AF7"/>
    <w:rsid w:val="00A47C3E"/>
    <w:rsid w:val="00A50226"/>
    <w:rsid w:val="00A5358D"/>
    <w:rsid w:val="00A60BAD"/>
    <w:rsid w:val="00A61079"/>
    <w:rsid w:val="00A63E8A"/>
    <w:rsid w:val="00A77F87"/>
    <w:rsid w:val="00A80B5B"/>
    <w:rsid w:val="00A84E36"/>
    <w:rsid w:val="00A964D1"/>
    <w:rsid w:val="00AA0ED0"/>
    <w:rsid w:val="00AA329D"/>
    <w:rsid w:val="00AA6BBD"/>
    <w:rsid w:val="00AC2B40"/>
    <w:rsid w:val="00AC2BB2"/>
    <w:rsid w:val="00AC2C3C"/>
    <w:rsid w:val="00AC512D"/>
    <w:rsid w:val="00AD0083"/>
    <w:rsid w:val="00AD138E"/>
    <w:rsid w:val="00AD3935"/>
    <w:rsid w:val="00AE65EB"/>
    <w:rsid w:val="00AE67A7"/>
    <w:rsid w:val="00AF1D94"/>
    <w:rsid w:val="00AF60C5"/>
    <w:rsid w:val="00B009C6"/>
    <w:rsid w:val="00B01548"/>
    <w:rsid w:val="00B127AC"/>
    <w:rsid w:val="00B130C5"/>
    <w:rsid w:val="00B13EBD"/>
    <w:rsid w:val="00B21D29"/>
    <w:rsid w:val="00B244E5"/>
    <w:rsid w:val="00B25034"/>
    <w:rsid w:val="00B32057"/>
    <w:rsid w:val="00B33588"/>
    <w:rsid w:val="00B33863"/>
    <w:rsid w:val="00B37D17"/>
    <w:rsid w:val="00B40C06"/>
    <w:rsid w:val="00B40F94"/>
    <w:rsid w:val="00B4175E"/>
    <w:rsid w:val="00B41C85"/>
    <w:rsid w:val="00B43E03"/>
    <w:rsid w:val="00B452CE"/>
    <w:rsid w:val="00B54C25"/>
    <w:rsid w:val="00B76B91"/>
    <w:rsid w:val="00B77EB1"/>
    <w:rsid w:val="00B811C6"/>
    <w:rsid w:val="00B855B0"/>
    <w:rsid w:val="00B9219B"/>
    <w:rsid w:val="00B92E08"/>
    <w:rsid w:val="00BA6D19"/>
    <w:rsid w:val="00BC622A"/>
    <w:rsid w:val="00BD1F85"/>
    <w:rsid w:val="00BE0A78"/>
    <w:rsid w:val="00BE79F0"/>
    <w:rsid w:val="00BF046D"/>
    <w:rsid w:val="00BF1190"/>
    <w:rsid w:val="00BF3774"/>
    <w:rsid w:val="00BF5D04"/>
    <w:rsid w:val="00C009AA"/>
    <w:rsid w:val="00C115AE"/>
    <w:rsid w:val="00C1164D"/>
    <w:rsid w:val="00C16861"/>
    <w:rsid w:val="00C346AB"/>
    <w:rsid w:val="00C35FF0"/>
    <w:rsid w:val="00C404A6"/>
    <w:rsid w:val="00C405C6"/>
    <w:rsid w:val="00C40A36"/>
    <w:rsid w:val="00C44419"/>
    <w:rsid w:val="00C45E7B"/>
    <w:rsid w:val="00C471B1"/>
    <w:rsid w:val="00C525A2"/>
    <w:rsid w:val="00C52E24"/>
    <w:rsid w:val="00C55FF2"/>
    <w:rsid w:val="00C6316B"/>
    <w:rsid w:val="00C634A9"/>
    <w:rsid w:val="00C64586"/>
    <w:rsid w:val="00C64ECC"/>
    <w:rsid w:val="00C70A36"/>
    <w:rsid w:val="00C70D53"/>
    <w:rsid w:val="00C73D0B"/>
    <w:rsid w:val="00C74F5C"/>
    <w:rsid w:val="00C75526"/>
    <w:rsid w:val="00C772FF"/>
    <w:rsid w:val="00C80137"/>
    <w:rsid w:val="00C801AF"/>
    <w:rsid w:val="00C80256"/>
    <w:rsid w:val="00C85F74"/>
    <w:rsid w:val="00C94CD4"/>
    <w:rsid w:val="00C9747E"/>
    <w:rsid w:val="00CB2203"/>
    <w:rsid w:val="00CB6BC0"/>
    <w:rsid w:val="00CC1B7C"/>
    <w:rsid w:val="00CC727F"/>
    <w:rsid w:val="00CE2354"/>
    <w:rsid w:val="00CF15C3"/>
    <w:rsid w:val="00CF2B6F"/>
    <w:rsid w:val="00CF2F3E"/>
    <w:rsid w:val="00CF58B6"/>
    <w:rsid w:val="00CF5DAD"/>
    <w:rsid w:val="00D0062D"/>
    <w:rsid w:val="00D0147A"/>
    <w:rsid w:val="00D017ED"/>
    <w:rsid w:val="00D040D3"/>
    <w:rsid w:val="00D04C65"/>
    <w:rsid w:val="00D14926"/>
    <w:rsid w:val="00D153D8"/>
    <w:rsid w:val="00D201D2"/>
    <w:rsid w:val="00D224FE"/>
    <w:rsid w:val="00D23139"/>
    <w:rsid w:val="00D425BB"/>
    <w:rsid w:val="00D453FA"/>
    <w:rsid w:val="00D45732"/>
    <w:rsid w:val="00D6493E"/>
    <w:rsid w:val="00D7195D"/>
    <w:rsid w:val="00D7301E"/>
    <w:rsid w:val="00D83024"/>
    <w:rsid w:val="00D83AE1"/>
    <w:rsid w:val="00D855D4"/>
    <w:rsid w:val="00D8694A"/>
    <w:rsid w:val="00D902C9"/>
    <w:rsid w:val="00D93466"/>
    <w:rsid w:val="00D97214"/>
    <w:rsid w:val="00DA1124"/>
    <w:rsid w:val="00DA64CB"/>
    <w:rsid w:val="00DB06B8"/>
    <w:rsid w:val="00DB1ACB"/>
    <w:rsid w:val="00DB6124"/>
    <w:rsid w:val="00DB750B"/>
    <w:rsid w:val="00DB75B7"/>
    <w:rsid w:val="00DC0A2F"/>
    <w:rsid w:val="00DC1948"/>
    <w:rsid w:val="00DC6E02"/>
    <w:rsid w:val="00DD28CD"/>
    <w:rsid w:val="00DE02AE"/>
    <w:rsid w:val="00DE39D1"/>
    <w:rsid w:val="00DF1D7F"/>
    <w:rsid w:val="00DF4BE4"/>
    <w:rsid w:val="00DF61ED"/>
    <w:rsid w:val="00E02382"/>
    <w:rsid w:val="00E02FB4"/>
    <w:rsid w:val="00E042BF"/>
    <w:rsid w:val="00E13FC7"/>
    <w:rsid w:val="00E20571"/>
    <w:rsid w:val="00E235F7"/>
    <w:rsid w:val="00E23659"/>
    <w:rsid w:val="00E239D4"/>
    <w:rsid w:val="00E24E90"/>
    <w:rsid w:val="00E26130"/>
    <w:rsid w:val="00E33D42"/>
    <w:rsid w:val="00E40B22"/>
    <w:rsid w:val="00E4297E"/>
    <w:rsid w:val="00E44ED1"/>
    <w:rsid w:val="00E45619"/>
    <w:rsid w:val="00E4588F"/>
    <w:rsid w:val="00E46DA3"/>
    <w:rsid w:val="00E51BB1"/>
    <w:rsid w:val="00E55CB0"/>
    <w:rsid w:val="00E57E27"/>
    <w:rsid w:val="00E61C26"/>
    <w:rsid w:val="00E624A5"/>
    <w:rsid w:val="00E64BA4"/>
    <w:rsid w:val="00E7344E"/>
    <w:rsid w:val="00E73641"/>
    <w:rsid w:val="00E743B2"/>
    <w:rsid w:val="00E74E84"/>
    <w:rsid w:val="00E82665"/>
    <w:rsid w:val="00E91562"/>
    <w:rsid w:val="00EB0798"/>
    <w:rsid w:val="00EB2466"/>
    <w:rsid w:val="00EB40AD"/>
    <w:rsid w:val="00EB586E"/>
    <w:rsid w:val="00EB5FC8"/>
    <w:rsid w:val="00EC463D"/>
    <w:rsid w:val="00EC48C0"/>
    <w:rsid w:val="00EC7A85"/>
    <w:rsid w:val="00ED22AF"/>
    <w:rsid w:val="00ED2922"/>
    <w:rsid w:val="00ED3CAD"/>
    <w:rsid w:val="00ED5A41"/>
    <w:rsid w:val="00EE1DE8"/>
    <w:rsid w:val="00EE27C2"/>
    <w:rsid w:val="00EE3825"/>
    <w:rsid w:val="00EF4BAD"/>
    <w:rsid w:val="00EF59DC"/>
    <w:rsid w:val="00F033EC"/>
    <w:rsid w:val="00F04F68"/>
    <w:rsid w:val="00F12670"/>
    <w:rsid w:val="00F14B27"/>
    <w:rsid w:val="00F212EA"/>
    <w:rsid w:val="00F224D7"/>
    <w:rsid w:val="00F3148D"/>
    <w:rsid w:val="00F325C5"/>
    <w:rsid w:val="00F32FE0"/>
    <w:rsid w:val="00F35298"/>
    <w:rsid w:val="00F47333"/>
    <w:rsid w:val="00F47E37"/>
    <w:rsid w:val="00F53C07"/>
    <w:rsid w:val="00F54B65"/>
    <w:rsid w:val="00F63C3B"/>
    <w:rsid w:val="00F63DBF"/>
    <w:rsid w:val="00F640B6"/>
    <w:rsid w:val="00F66DF2"/>
    <w:rsid w:val="00F80E40"/>
    <w:rsid w:val="00F848D9"/>
    <w:rsid w:val="00F93201"/>
    <w:rsid w:val="00FA05FD"/>
    <w:rsid w:val="00FA5069"/>
    <w:rsid w:val="00FA5B82"/>
    <w:rsid w:val="00FA639E"/>
    <w:rsid w:val="00FB369D"/>
    <w:rsid w:val="00FC0206"/>
    <w:rsid w:val="00FC1FCA"/>
    <w:rsid w:val="00FC25E4"/>
    <w:rsid w:val="00FC4EF7"/>
    <w:rsid w:val="00FD0824"/>
    <w:rsid w:val="00FD119B"/>
    <w:rsid w:val="00FD1EDC"/>
    <w:rsid w:val="00FD7EAF"/>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BBC269"/>
  <w15:docId w15:val="{85042896-8DCC-4366-B4E8-BEB3B27C3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styleId="ListParagraph">
    <w:name w:val="List Paragraph"/>
    <w:basedOn w:val="Normal"/>
    <w:uiPriority w:val="34"/>
    <w:rsid w:val="003D0318"/>
    <w:pPr>
      <w:adjustRightInd w:val="0"/>
      <w:snapToGrid w:val="0"/>
      <w:spacing w:before="180" w:after="180"/>
      <w:ind w:left="720"/>
      <w:contextualSpacing/>
    </w:pPr>
    <w:rPr>
      <w:rFonts w:eastAsia="MS Mincho"/>
      <w:szCs w:val="20"/>
      <w:lang w:eastAsia="ja-JP"/>
    </w:rPr>
  </w:style>
  <w:style w:type="table" w:styleId="TableGridLight">
    <w:name w:val="Grid Table Light"/>
    <w:basedOn w:val="TableNormal"/>
    <w:uiPriority w:val="40"/>
    <w:rsid w:val="00AD13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Char">
    <w:name w:val="Table text Char"/>
    <w:basedOn w:val="DefaultParagraphFont"/>
    <w:link w:val="Tabletext"/>
    <w:rsid w:val="00AA6BBD"/>
    <w:rPr>
      <w:rFonts w:ascii="Cambria" w:eastAsia="Cambria" w:hAnsi="Cambria" w:cs="Times New Roman"/>
      <w:sz w:val="19"/>
    </w:rPr>
  </w:style>
  <w:style w:type="paragraph" w:customStyle="1" w:styleId="Standard">
    <w:name w:val="Standard"/>
    <w:basedOn w:val="Normal"/>
    <w:link w:val="StandardChar"/>
    <w:qFormat/>
    <w:rsid w:val="00AA6BBD"/>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AA6BBD"/>
    <w:rPr>
      <w:rFonts w:ascii="Cambria" w:eastAsia="Times New Roman" w:hAnsi="Cambria" w:cs="Times New Roman"/>
      <w:snapToGrid w:val="0"/>
      <w:kern w:val="16"/>
      <w:sz w:val="23"/>
      <w:szCs w:val="24"/>
    </w:rPr>
  </w:style>
  <w:style w:type="paragraph" w:customStyle="1" w:styleId="Default">
    <w:name w:val="Default"/>
    <w:rsid w:val="00B32057"/>
    <w:pPr>
      <w:autoSpaceDE w:val="0"/>
      <w:autoSpaceDN w:val="0"/>
      <w:adjustRightInd w:val="0"/>
      <w:spacing w:after="0" w:line="240" w:lineRule="auto"/>
    </w:pPr>
    <w:rPr>
      <w:rFonts w:ascii="Cambria" w:hAnsi="Cambria" w:cs="Cambria"/>
      <w:color w:val="000000"/>
      <w:sz w:val="24"/>
      <w:szCs w:val="24"/>
    </w:rPr>
  </w:style>
  <w:style w:type="paragraph" w:styleId="TOC6">
    <w:name w:val="toc 6"/>
    <w:basedOn w:val="Normal"/>
    <w:next w:val="Normal"/>
    <w:autoRedefine/>
    <w:uiPriority w:val="39"/>
    <w:semiHidden/>
    <w:unhideWhenUsed/>
    <w:rsid w:val="00907348"/>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8647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yperlink" Target="https://www.tga.gov.au/product-information-pi"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s://www.tga.gov.au/product-information-pi" TargetMode="External"/><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5.xml"/><Relationship Id="rId40" Type="http://schemas.openxmlformats.org/officeDocument/2006/relationships/hyperlink" Target="https://www.tga.gov.au"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3.xml"/><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committee/advisory-committee-medicines-ac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3188\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5AA65-F99D-46B7-85DE-565ED03B7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66</TotalTime>
  <Pages>48</Pages>
  <Words>14694</Words>
  <Characters>83757</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Australian public assessment report for belumosudil</vt:lpstr>
    </vt:vector>
  </TitlesOfParts>
  <Company>Department of Health</Company>
  <LinksUpToDate>false</LinksUpToDate>
  <CharactersWithSpaces>98255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belumosudil</dc:title>
  <dc:subject>Prescription medicines</dc:subject>
  <dc:creator>Therapeutic Goods Administration</dc:creator>
  <cp:keywords>AusPARs</cp:keywords>
  <cp:lastPrinted>2019-08-14T04:30:00Z</cp:lastPrinted>
  <dcterms:created xsi:type="dcterms:W3CDTF">2022-05-04T23:47:00Z</dcterms:created>
  <dcterms:modified xsi:type="dcterms:W3CDTF">2022-05-09T06:44:00Z</dcterms:modified>
  <cp:category/>
</cp:coreProperties>
</file>