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68E788" w14:textId="6CED181A" w:rsidR="007D489B" w:rsidRDefault="007D489B" w:rsidP="002403B3">
      <w:pPr>
        <w:pStyle w:val="Heading1"/>
        <w:numPr>
          <w:ilvl w:val="0"/>
          <w:numId w:val="0"/>
        </w:numPr>
        <w:spacing w:after="240"/>
        <w:jc w:val="center"/>
        <w:rPr>
          <w:rFonts w:ascii="Times New Roman Bold" w:eastAsia="SimSun" w:hAnsi="Times New Roman Bold" w:cs="Times New Roman" w:hint="eastAsia"/>
          <w:caps w:val="0"/>
        </w:rPr>
      </w:pPr>
      <w:r w:rsidRPr="009907EF">
        <w:rPr>
          <w:rFonts w:ascii="Times New Roman" w:eastAsia="SimSun" w:hAnsi="Times New Roman" w:cs="Times New Roman"/>
        </w:rPr>
        <w:t xml:space="preserve">Australian Product Information </w:t>
      </w:r>
      <w:r>
        <w:rPr>
          <w:rFonts w:ascii="Times New Roman" w:eastAsia="SimSun" w:hAnsi="Times New Roman" w:cs="Times New Roman"/>
        </w:rPr>
        <w:br/>
      </w:r>
      <w:r w:rsidR="003C66D6">
        <w:rPr>
          <w:rFonts w:ascii="Times New Roman Bold" w:eastAsia="SimSun" w:hAnsi="Times New Roman Bold" w:cs="Times New Roman"/>
          <w:caps w:val="0"/>
        </w:rPr>
        <w:t>RHOLISTIQ</w:t>
      </w:r>
      <w:r w:rsidR="002330A5">
        <w:rPr>
          <w:rFonts w:ascii="Times New Roman Bold" w:eastAsia="SimSun" w:hAnsi="Times New Roman Bold" w:cs="Times New Roman"/>
          <w:caps w:val="0"/>
          <w:vertAlign w:val="superscript"/>
        </w:rPr>
        <w:t>™</w:t>
      </w:r>
      <w:r w:rsidRPr="006D5ABF">
        <w:rPr>
          <w:rFonts w:ascii="Times New Roman Bold" w:eastAsia="SimSun" w:hAnsi="Times New Roman Bold" w:cs="Times New Roman"/>
          <w:caps w:val="0"/>
          <w:vertAlign w:val="superscript"/>
        </w:rPr>
        <w:t xml:space="preserve"> </w:t>
      </w:r>
      <w:r w:rsidRPr="006D5ABF">
        <w:rPr>
          <w:rFonts w:ascii="Times New Roman Bold" w:eastAsia="SimSun" w:hAnsi="Times New Roman Bold" w:cs="Times New Roman"/>
          <w:caps w:val="0"/>
        </w:rPr>
        <w:t>Tablets</w:t>
      </w:r>
    </w:p>
    <w:p w14:paraId="4CC8DCE5" w14:textId="5A3E7AF1" w:rsidR="007D489B" w:rsidRPr="007D489B" w:rsidRDefault="007D489B" w:rsidP="002403B3">
      <w:pPr>
        <w:jc w:val="both"/>
      </w:pPr>
      <w:r w:rsidRPr="00FF64B3">
        <w:rPr>
          <w:rFonts w:ascii="Times New Roman" w:hAnsi="Times New Roman" w:cs="Times New Roman"/>
        </w:rPr>
        <w:t xml:space="preserve">▼ This medicinal product is subject to additional monitoring in Australia. This will allow quick identification of new safety information. Healthcare professionals are asked to report any suspected adverse events at </w:t>
      </w:r>
      <w:hyperlink r:id="rId11" w:history="1">
        <w:r w:rsidRPr="00FF64B3">
          <w:rPr>
            <w:rStyle w:val="Hyperlink"/>
            <w:rFonts w:ascii="Times New Roman" w:hAnsi="Times New Roman" w:cs="Times New Roman"/>
          </w:rPr>
          <w:t>www.tga.gov.au/reporting-problems</w:t>
        </w:r>
      </w:hyperlink>
      <w:r w:rsidRPr="00FF64B3">
        <w:t>.</w:t>
      </w:r>
    </w:p>
    <w:p w14:paraId="513CAB8C" w14:textId="77777777" w:rsidR="001A3992" w:rsidRPr="009907EF" w:rsidRDefault="001A3992" w:rsidP="002403B3">
      <w:pPr>
        <w:pStyle w:val="Heading1"/>
        <w:spacing w:before="0" w:after="120"/>
        <w:ind w:left="0" w:firstLine="0"/>
        <w:jc w:val="both"/>
        <w:rPr>
          <w:rFonts w:ascii="Times New Roman" w:hAnsi="Times New Roman" w:cs="Times New Roman"/>
        </w:rPr>
      </w:pPr>
      <w:r w:rsidRPr="009907EF">
        <w:rPr>
          <w:rFonts w:ascii="Times New Roman" w:hAnsi="Times New Roman" w:cs="Times New Roman"/>
        </w:rPr>
        <w:t>Name of the medicine</w:t>
      </w:r>
    </w:p>
    <w:p w14:paraId="1F8DFBDE" w14:textId="29EA74F6" w:rsidR="005E28BF" w:rsidRPr="009907EF" w:rsidRDefault="00547D73" w:rsidP="002403B3">
      <w:pPr>
        <w:jc w:val="both"/>
        <w:rPr>
          <w:rFonts w:ascii="Times New Roman" w:hAnsi="Times New Roman" w:cs="Times New Roman"/>
          <w:sz w:val="24"/>
          <w:szCs w:val="24"/>
        </w:rPr>
      </w:pPr>
      <w:proofErr w:type="spellStart"/>
      <w:r>
        <w:rPr>
          <w:rFonts w:ascii="Times New Roman" w:hAnsi="Times New Roman" w:cs="Times New Roman"/>
          <w:sz w:val="24"/>
          <w:szCs w:val="24"/>
        </w:rPr>
        <w:t>Belumosudil</w:t>
      </w:r>
      <w:proofErr w:type="spellEnd"/>
    </w:p>
    <w:p w14:paraId="25043D9B" w14:textId="77777777" w:rsidR="001A3992" w:rsidRPr="009907EF" w:rsidRDefault="001A3992" w:rsidP="002403B3">
      <w:pPr>
        <w:pStyle w:val="Heading1"/>
        <w:spacing w:before="0" w:after="120"/>
        <w:ind w:left="0" w:firstLine="0"/>
        <w:jc w:val="both"/>
        <w:rPr>
          <w:rFonts w:ascii="Times New Roman" w:hAnsi="Times New Roman" w:cs="Times New Roman"/>
        </w:rPr>
      </w:pPr>
      <w:r w:rsidRPr="009907EF">
        <w:rPr>
          <w:rFonts w:ascii="Times New Roman" w:hAnsi="Times New Roman" w:cs="Times New Roman"/>
        </w:rPr>
        <w:t>Qualitative and quantitative composition</w:t>
      </w:r>
    </w:p>
    <w:p w14:paraId="2EBC2180" w14:textId="667AF0D9" w:rsidR="005E28BF" w:rsidRPr="009907EF" w:rsidRDefault="003C66D6" w:rsidP="002403B3">
      <w:pPr>
        <w:jc w:val="both"/>
        <w:rPr>
          <w:rFonts w:ascii="Times New Roman" w:hAnsi="Times New Roman" w:cs="Times New Roman"/>
          <w:sz w:val="24"/>
          <w:szCs w:val="24"/>
          <w:lang w:val="en"/>
        </w:rPr>
      </w:pPr>
      <w:r>
        <w:rPr>
          <w:rFonts w:ascii="Times New Roman" w:hAnsi="Times New Roman" w:cs="Times New Roman"/>
          <w:sz w:val="24"/>
          <w:szCs w:val="24"/>
          <w:lang w:val="en"/>
        </w:rPr>
        <w:t>RHOLISTIQ</w:t>
      </w:r>
      <w:r w:rsidR="007D489B" w:rsidRPr="009907EF">
        <w:rPr>
          <w:rFonts w:ascii="Times New Roman" w:hAnsi="Times New Roman" w:cs="Times New Roman"/>
          <w:sz w:val="24"/>
          <w:szCs w:val="24"/>
          <w:lang w:val="en"/>
        </w:rPr>
        <w:t xml:space="preserve"> </w:t>
      </w:r>
      <w:r w:rsidR="005E28BF" w:rsidRPr="009907EF">
        <w:rPr>
          <w:rFonts w:ascii="Times New Roman" w:hAnsi="Times New Roman" w:cs="Times New Roman"/>
          <w:sz w:val="24"/>
          <w:szCs w:val="24"/>
          <w:lang w:val="en"/>
        </w:rPr>
        <w:t>film-coated tablet</w:t>
      </w:r>
      <w:r w:rsidR="007235A2">
        <w:rPr>
          <w:rFonts w:ascii="Times New Roman" w:hAnsi="Times New Roman" w:cs="Times New Roman"/>
          <w:sz w:val="24"/>
          <w:szCs w:val="24"/>
          <w:lang w:val="en"/>
        </w:rPr>
        <w:t>s</w:t>
      </w:r>
      <w:r w:rsidR="005E28BF" w:rsidRPr="009907EF">
        <w:rPr>
          <w:rFonts w:ascii="Times New Roman" w:hAnsi="Times New Roman" w:cs="Times New Roman"/>
          <w:sz w:val="24"/>
          <w:szCs w:val="24"/>
          <w:lang w:val="en"/>
        </w:rPr>
        <w:t xml:space="preserve"> contain</w:t>
      </w:r>
      <w:r w:rsidR="007235A2">
        <w:rPr>
          <w:rFonts w:ascii="Times New Roman" w:hAnsi="Times New Roman" w:cs="Times New Roman"/>
          <w:sz w:val="24"/>
          <w:szCs w:val="24"/>
          <w:lang w:val="en"/>
        </w:rPr>
        <w:t xml:space="preserve"> 2</w:t>
      </w:r>
      <w:r w:rsidR="007235A2" w:rsidRPr="00C53DD6">
        <w:rPr>
          <w:rFonts w:ascii="Times New Roman" w:hAnsi="Times New Roman" w:cs="Times New Roman"/>
          <w:sz w:val="24"/>
          <w:szCs w:val="24"/>
        </w:rPr>
        <w:t xml:space="preserve">00 mg of </w:t>
      </w:r>
      <w:proofErr w:type="spellStart"/>
      <w:r w:rsidR="007235A2" w:rsidRPr="00C53DD6">
        <w:rPr>
          <w:rFonts w:ascii="Times New Roman" w:hAnsi="Times New Roman" w:cs="Times New Roman"/>
          <w:sz w:val="24"/>
          <w:szCs w:val="24"/>
        </w:rPr>
        <w:t>belumosudil</w:t>
      </w:r>
      <w:proofErr w:type="spellEnd"/>
      <w:r w:rsidR="007235A2" w:rsidRPr="00C53DD6">
        <w:rPr>
          <w:rFonts w:ascii="Times New Roman" w:hAnsi="Times New Roman" w:cs="Times New Roman"/>
          <w:sz w:val="24"/>
          <w:szCs w:val="24"/>
        </w:rPr>
        <w:t xml:space="preserve"> (equivalent to 242.5 mg </w:t>
      </w:r>
      <w:proofErr w:type="spellStart"/>
      <w:r w:rsidR="007235A2" w:rsidRPr="00C53DD6">
        <w:rPr>
          <w:rFonts w:ascii="Times New Roman" w:hAnsi="Times New Roman" w:cs="Times New Roman"/>
          <w:sz w:val="24"/>
          <w:szCs w:val="24"/>
        </w:rPr>
        <w:t>belumosudil</w:t>
      </w:r>
      <w:proofErr w:type="spellEnd"/>
      <w:r w:rsidR="007235A2" w:rsidRPr="00C53DD6">
        <w:rPr>
          <w:rFonts w:ascii="Times New Roman" w:hAnsi="Times New Roman" w:cs="Times New Roman"/>
          <w:sz w:val="24"/>
          <w:szCs w:val="24"/>
        </w:rPr>
        <w:t xml:space="preserve"> </w:t>
      </w:r>
      <w:proofErr w:type="spellStart"/>
      <w:r w:rsidR="007235A2" w:rsidRPr="00C53DD6">
        <w:rPr>
          <w:rFonts w:ascii="Times New Roman" w:hAnsi="Times New Roman" w:cs="Times New Roman"/>
          <w:sz w:val="24"/>
          <w:szCs w:val="24"/>
        </w:rPr>
        <w:t>mes</w:t>
      </w:r>
      <w:r w:rsidR="007235A2">
        <w:rPr>
          <w:rFonts w:ascii="Times New Roman" w:hAnsi="Times New Roman" w:cs="Times New Roman"/>
          <w:sz w:val="24"/>
          <w:szCs w:val="24"/>
        </w:rPr>
        <w:t>i</w:t>
      </w:r>
      <w:r w:rsidR="007235A2" w:rsidRPr="00C53DD6">
        <w:rPr>
          <w:rFonts w:ascii="Times New Roman" w:hAnsi="Times New Roman" w:cs="Times New Roman"/>
          <w:sz w:val="24"/>
          <w:szCs w:val="24"/>
        </w:rPr>
        <w:t>late</w:t>
      </w:r>
      <w:proofErr w:type="spellEnd"/>
      <w:r w:rsidR="007235A2" w:rsidRPr="00C53DD6">
        <w:rPr>
          <w:rFonts w:ascii="Times New Roman" w:hAnsi="Times New Roman" w:cs="Times New Roman"/>
          <w:sz w:val="24"/>
          <w:szCs w:val="24"/>
        </w:rPr>
        <w:t>)</w:t>
      </w:r>
      <w:r w:rsidR="00246D16" w:rsidRPr="00246D16">
        <w:rPr>
          <w:rFonts w:ascii="Times New Roman" w:hAnsi="Times New Roman" w:cs="Times New Roman"/>
          <w:sz w:val="24"/>
          <w:szCs w:val="24"/>
          <w:lang w:val="en"/>
        </w:rPr>
        <w:t>.</w:t>
      </w:r>
    </w:p>
    <w:p w14:paraId="025DFC34" w14:textId="5B862A8F" w:rsidR="00497C85" w:rsidRPr="009907EF" w:rsidRDefault="00497C85" w:rsidP="002403B3">
      <w:pPr>
        <w:jc w:val="both"/>
        <w:rPr>
          <w:rFonts w:ascii="Times New Roman" w:hAnsi="Times New Roman" w:cs="Times New Roman"/>
          <w:sz w:val="24"/>
          <w:szCs w:val="24"/>
        </w:rPr>
      </w:pPr>
      <w:r w:rsidRPr="009907EF">
        <w:rPr>
          <w:rFonts w:ascii="Times New Roman" w:hAnsi="Times New Roman" w:cs="Times New Roman"/>
          <w:sz w:val="24"/>
          <w:szCs w:val="24"/>
          <w:lang w:val="en"/>
        </w:rPr>
        <w:t xml:space="preserve">For the full list of excipients, see </w:t>
      </w:r>
      <w:hyperlink w:anchor="_List_of_excipients" w:history="1">
        <w:r w:rsidRPr="00D537CF">
          <w:rPr>
            <w:rStyle w:val="Hyperlink"/>
            <w:rFonts w:ascii="Times New Roman" w:hAnsi="Times New Roman" w:cs="Times New Roman"/>
            <w:sz w:val="24"/>
            <w:szCs w:val="24"/>
            <w:lang w:val="en"/>
          </w:rPr>
          <w:t>Section 6.1</w:t>
        </w:r>
      </w:hyperlink>
      <w:r w:rsidRPr="007D489B">
        <w:rPr>
          <w:rFonts w:ascii="Times New Roman" w:hAnsi="Times New Roman" w:cs="Times New Roman"/>
          <w:sz w:val="24"/>
          <w:szCs w:val="24"/>
          <w:lang w:val="en"/>
        </w:rPr>
        <w:t xml:space="preserve"> List of excipients.</w:t>
      </w:r>
      <w:r w:rsidRPr="009907EF">
        <w:rPr>
          <w:rFonts w:ascii="Times New Roman" w:hAnsi="Times New Roman" w:cs="Times New Roman"/>
          <w:sz w:val="24"/>
          <w:szCs w:val="24"/>
          <w:lang w:val="en"/>
        </w:rPr>
        <w:t xml:space="preserve"> </w:t>
      </w:r>
    </w:p>
    <w:p w14:paraId="6AA0FC0E" w14:textId="77777777" w:rsidR="001A3992" w:rsidRPr="00946C0C" w:rsidRDefault="001A3992" w:rsidP="002403B3">
      <w:pPr>
        <w:pStyle w:val="Heading1"/>
        <w:spacing w:before="0" w:after="120"/>
        <w:ind w:left="0" w:firstLine="0"/>
        <w:jc w:val="both"/>
        <w:rPr>
          <w:rFonts w:ascii="Times New Roman" w:hAnsi="Times New Roman" w:cs="Times New Roman"/>
        </w:rPr>
      </w:pPr>
      <w:r w:rsidRPr="00946C0C">
        <w:rPr>
          <w:rFonts w:ascii="Times New Roman" w:hAnsi="Times New Roman" w:cs="Times New Roman"/>
        </w:rPr>
        <w:t>Pharmaceutical form</w:t>
      </w:r>
    </w:p>
    <w:p w14:paraId="040E73B7" w14:textId="1576AF91" w:rsidR="00C53DD6" w:rsidRPr="0011293C" w:rsidRDefault="003C66D6" w:rsidP="002403B3">
      <w:pPr>
        <w:spacing w:after="120"/>
        <w:contextualSpacing/>
        <w:jc w:val="both"/>
        <w:rPr>
          <w:rFonts w:ascii="Times New Roman" w:hAnsi="Times New Roman" w:cs="Times New Roman"/>
          <w:sz w:val="24"/>
          <w:szCs w:val="24"/>
          <w:lang w:val="en"/>
        </w:rPr>
      </w:pPr>
      <w:r>
        <w:rPr>
          <w:rFonts w:ascii="Times New Roman" w:hAnsi="Times New Roman" w:cs="Times New Roman"/>
          <w:sz w:val="24"/>
          <w:szCs w:val="24"/>
          <w:lang w:val="en"/>
        </w:rPr>
        <w:t>RHOLISTIQ</w:t>
      </w:r>
      <w:r w:rsidR="00C53DD6" w:rsidRPr="0011293C">
        <w:rPr>
          <w:rFonts w:ascii="Times New Roman" w:hAnsi="Times New Roman" w:cs="Times New Roman"/>
          <w:sz w:val="24"/>
          <w:szCs w:val="24"/>
          <w:lang w:val="en"/>
        </w:rPr>
        <w:t xml:space="preserve"> 200 mg </w:t>
      </w:r>
      <w:r w:rsidR="0011293C" w:rsidRPr="0011293C">
        <w:rPr>
          <w:rFonts w:ascii="Times New Roman" w:hAnsi="Times New Roman" w:cs="Times New Roman"/>
          <w:sz w:val="24"/>
          <w:szCs w:val="24"/>
          <w:lang w:val="en"/>
        </w:rPr>
        <w:t xml:space="preserve">film-coated </w:t>
      </w:r>
      <w:r w:rsidR="00C53DD6" w:rsidRPr="0011293C">
        <w:rPr>
          <w:rFonts w:ascii="Times New Roman" w:hAnsi="Times New Roman" w:cs="Times New Roman"/>
          <w:sz w:val="24"/>
          <w:szCs w:val="24"/>
          <w:lang w:val="en"/>
        </w:rPr>
        <w:t>tablets are supplied as pale</w:t>
      </w:r>
      <w:r w:rsidR="006261A4">
        <w:rPr>
          <w:rFonts w:ascii="Times New Roman" w:hAnsi="Times New Roman" w:cs="Times New Roman"/>
          <w:sz w:val="24"/>
          <w:szCs w:val="24"/>
          <w:lang w:val="en"/>
        </w:rPr>
        <w:t>,</w:t>
      </w:r>
      <w:r w:rsidR="00C53DD6" w:rsidRPr="0011293C">
        <w:rPr>
          <w:rFonts w:ascii="Times New Roman" w:hAnsi="Times New Roman" w:cs="Times New Roman"/>
          <w:sz w:val="24"/>
          <w:szCs w:val="24"/>
          <w:lang w:val="en"/>
        </w:rPr>
        <w:t xml:space="preserve"> yellow oblong tablets</w:t>
      </w:r>
      <w:r w:rsidR="00DE7E66" w:rsidRPr="0011293C">
        <w:rPr>
          <w:rFonts w:ascii="Times New Roman" w:hAnsi="Times New Roman" w:cs="Times New Roman"/>
          <w:sz w:val="24"/>
          <w:szCs w:val="24"/>
          <w:lang w:val="en"/>
        </w:rPr>
        <w:t>,</w:t>
      </w:r>
      <w:r w:rsidR="00C53DD6" w:rsidRPr="0011293C">
        <w:rPr>
          <w:rFonts w:ascii="Times New Roman" w:hAnsi="Times New Roman" w:cs="Times New Roman"/>
          <w:sz w:val="24"/>
          <w:szCs w:val="24"/>
          <w:lang w:val="en"/>
        </w:rPr>
        <w:t xml:space="preserve"> debossed with "KDM" on one side and "200" on the other side</w:t>
      </w:r>
      <w:r w:rsidR="0011293C" w:rsidRPr="0011293C">
        <w:rPr>
          <w:rFonts w:ascii="Times New Roman" w:hAnsi="Times New Roman" w:cs="Times New Roman"/>
          <w:sz w:val="24"/>
          <w:szCs w:val="24"/>
          <w:lang w:val="en"/>
        </w:rPr>
        <w:t>.</w:t>
      </w:r>
    </w:p>
    <w:p w14:paraId="1029E466" w14:textId="77777777" w:rsidR="001A3992" w:rsidRPr="00946C0C" w:rsidRDefault="001A3992" w:rsidP="002403B3">
      <w:pPr>
        <w:pStyle w:val="Heading1"/>
        <w:spacing w:before="0" w:after="120"/>
        <w:ind w:left="0" w:firstLine="0"/>
        <w:jc w:val="both"/>
        <w:rPr>
          <w:rFonts w:ascii="Times New Roman" w:hAnsi="Times New Roman" w:cs="Times New Roman"/>
        </w:rPr>
      </w:pPr>
      <w:r w:rsidRPr="00946C0C">
        <w:rPr>
          <w:rFonts w:ascii="Times New Roman" w:hAnsi="Times New Roman" w:cs="Times New Roman"/>
        </w:rPr>
        <w:t>Clinical particulars</w:t>
      </w:r>
    </w:p>
    <w:p w14:paraId="322BD926" w14:textId="77777777" w:rsidR="001A3992" w:rsidRPr="00946C0C" w:rsidRDefault="001A3992" w:rsidP="002403B3">
      <w:pPr>
        <w:pStyle w:val="Heading2"/>
        <w:spacing w:before="0" w:after="120"/>
        <w:ind w:left="0" w:firstLine="0"/>
        <w:jc w:val="both"/>
        <w:rPr>
          <w:rFonts w:ascii="Times New Roman" w:hAnsi="Times New Roman" w:cs="Times New Roman"/>
        </w:rPr>
      </w:pPr>
      <w:r w:rsidRPr="00946C0C">
        <w:rPr>
          <w:rFonts w:ascii="Times New Roman" w:hAnsi="Times New Roman" w:cs="Times New Roman"/>
        </w:rPr>
        <w:t xml:space="preserve">Therapeutic indications </w:t>
      </w:r>
    </w:p>
    <w:p w14:paraId="4B18A59B" w14:textId="03C20252" w:rsidR="000B5D96" w:rsidRPr="00D941F4" w:rsidRDefault="003C66D6" w:rsidP="007C57D1">
      <w:pPr>
        <w:spacing w:after="120"/>
        <w:jc w:val="both"/>
        <w:rPr>
          <w:rFonts w:ascii="Times New Roman" w:hAnsi="Times New Roman" w:cs="Times New Roman"/>
          <w:sz w:val="24"/>
          <w:szCs w:val="24"/>
        </w:rPr>
      </w:pPr>
      <w:r>
        <w:rPr>
          <w:rFonts w:ascii="Times New Roman" w:hAnsi="Times New Roman" w:cs="Times New Roman"/>
          <w:sz w:val="24"/>
          <w:szCs w:val="24"/>
          <w:lang w:val="en"/>
        </w:rPr>
        <w:t>RHOLISTIQ</w:t>
      </w:r>
      <w:r w:rsidR="000B5D96" w:rsidRPr="000B5D96">
        <w:rPr>
          <w:rFonts w:ascii="Times New Roman" w:hAnsi="Times New Roman" w:cs="Times New Roman"/>
          <w:sz w:val="24"/>
          <w:szCs w:val="24"/>
        </w:rPr>
        <w:t xml:space="preserve"> is indicated for the treatment of patients with chronic graft-versus-host disease (chronic GVHD) </w:t>
      </w:r>
      <w:r w:rsidR="00E02998">
        <w:rPr>
          <w:rFonts w:ascii="Times New Roman" w:hAnsi="Times New Roman" w:cs="Times New Roman"/>
          <w:sz w:val="24"/>
          <w:szCs w:val="24"/>
        </w:rPr>
        <w:t xml:space="preserve">aged </w:t>
      </w:r>
      <w:r w:rsidR="00E02998" w:rsidRPr="000B5D96">
        <w:rPr>
          <w:rFonts w:ascii="Times New Roman" w:hAnsi="Times New Roman" w:cs="Times New Roman"/>
          <w:sz w:val="24"/>
          <w:szCs w:val="24"/>
        </w:rPr>
        <w:t xml:space="preserve">12 years and older </w:t>
      </w:r>
      <w:r w:rsidR="00E02998" w:rsidRPr="00E02998">
        <w:rPr>
          <w:rFonts w:ascii="Times New Roman" w:hAnsi="Times New Roman" w:cs="Times New Roman"/>
          <w:sz w:val="24"/>
          <w:szCs w:val="24"/>
        </w:rPr>
        <w:t>who have an inadequate response to corticosteroids</w:t>
      </w:r>
      <w:r w:rsidR="00204D82">
        <w:rPr>
          <w:rFonts w:ascii="Times New Roman" w:hAnsi="Times New Roman" w:cs="Times New Roman"/>
          <w:sz w:val="24"/>
          <w:szCs w:val="24"/>
        </w:rPr>
        <w:t>.</w:t>
      </w:r>
    </w:p>
    <w:p w14:paraId="5A494114" w14:textId="06A7BBED" w:rsidR="001A3992" w:rsidRPr="009907EF" w:rsidRDefault="001A3992" w:rsidP="002403B3">
      <w:pPr>
        <w:pStyle w:val="Heading2"/>
        <w:spacing w:before="0" w:after="120"/>
        <w:ind w:left="0" w:firstLine="0"/>
        <w:jc w:val="both"/>
        <w:rPr>
          <w:rFonts w:ascii="Times New Roman" w:hAnsi="Times New Roman" w:cs="Times New Roman"/>
        </w:rPr>
      </w:pPr>
      <w:r w:rsidRPr="009907EF">
        <w:rPr>
          <w:rFonts w:ascii="Times New Roman" w:hAnsi="Times New Roman" w:cs="Times New Roman"/>
        </w:rPr>
        <w:t xml:space="preserve">Dose and method of administration </w:t>
      </w:r>
    </w:p>
    <w:p w14:paraId="445864E2" w14:textId="3095EDFA" w:rsidR="00717C09" w:rsidRDefault="00EA55F3" w:rsidP="002403B3">
      <w:pPr>
        <w:spacing w:after="120"/>
        <w:jc w:val="both"/>
        <w:rPr>
          <w:rFonts w:ascii="Times New Roman" w:hAnsi="Times New Roman" w:cs="Times New Roman"/>
          <w:sz w:val="24"/>
          <w:szCs w:val="24"/>
        </w:rPr>
      </w:pPr>
      <w:r w:rsidRPr="00EA55F3">
        <w:rPr>
          <w:rFonts w:ascii="Times New Roman" w:hAnsi="Times New Roman" w:cs="Times New Roman"/>
          <w:sz w:val="24"/>
          <w:szCs w:val="24"/>
        </w:rPr>
        <w:t xml:space="preserve">The recommended dose of </w:t>
      </w:r>
      <w:r w:rsidR="003C66D6">
        <w:rPr>
          <w:rFonts w:ascii="Times New Roman" w:hAnsi="Times New Roman" w:cs="Times New Roman"/>
          <w:sz w:val="24"/>
          <w:szCs w:val="24"/>
        </w:rPr>
        <w:t>RHOLISTIQ</w:t>
      </w:r>
      <w:r w:rsidRPr="00EA55F3">
        <w:rPr>
          <w:rFonts w:ascii="Times New Roman" w:hAnsi="Times New Roman" w:cs="Times New Roman"/>
          <w:sz w:val="24"/>
          <w:szCs w:val="24"/>
        </w:rPr>
        <w:t xml:space="preserve"> is 200 mg given orally once daily. </w:t>
      </w:r>
    </w:p>
    <w:p w14:paraId="2B91BA54" w14:textId="6C384EB9" w:rsidR="00EA55F3" w:rsidRPr="00EA55F3" w:rsidRDefault="00717C09" w:rsidP="002403B3">
      <w:pPr>
        <w:spacing w:after="120"/>
        <w:jc w:val="both"/>
        <w:rPr>
          <w:rFonts w:ascii="Times New Roman" w:hAnsi="Times New Roman" w:cs="Times New Roman"/>
          <w:sz w:val="24"/>
          <w:szCs w:val="24"/>
        </w:rPr>
      </w:pPr>
      <w:r w:rsidRPr="00C47869">
        <w:rPr>
          <w:rFonts w:ascii="Times New Roman" w:hAnsi="Times New Roman" w:cs="Times New Roman"/>
          <w:sz w:val="24"/>
          <w:szCs w:val="24"/>
        </w:rPr>
        <w:t xml:space="preserve">Swallow </w:t>
      </w:r>
      <w:r w:rsidR="00DF4D12">
        <w:rPr>
          <w:rFonts w:ascii="Times New Roman" w:hAnsi="Times New Roman" w:cs="Times New Roman"/>
          <w:sz w:val="24"/>
          <w:szCs w:val="24"/>
        </w:rPr>
        <w:t>RHOLISTIQ</w:t>
      </w:r>
      <w:r>
        <w:rPr>
          <w:rFonts w:ascii="Times New Roman" w:hAnsi="Times New Roman" w:cs="Times New Roman"/>
          <w:sz w:val="24"/>
          <w:szCs w:val="24"/>
        </w:rPr>
        <w:t xml:space="preserve"> </w:t>
      </w:r>
      <w:r w:rsidRPr="00C47869">
        <w:rPr>
          <w:rFonts w:ascii="Times New Roman" w:hAnsi="Times New Roman" w:cs="Times New Roman"/>
          <w:sz w:val="24"/>
          <w:szCs w:val="24"/>
        </w:rPr>
        <w:t>tablets whole. Do not cut, crush, or chew tablets</w:t>
      </w:r>
      <w:r>
        <w:rPr>
          <w:rFonts w:ascii="Times New Roman" w:hAnsi="Times New Roman" w:cs="Times New Roman"/>
          <w:sz w:val="24"/>
          <w:szCs w:val="24"/>
        </w:rPr>
        <w:t>.</w:t>
      </w:r>
    </w:p>
    <w:p w14:paraId="10A5ECEE" w14:textId="02D7501D" w:rsidR="00EA55F3" w:rsidRPr="00EA55F3" w:rsidRDefault="00EA55F3" w:rsidP="002403B3">
      <w:pPr>
        <w:spacing w:after="120"/>
        <w:jc w:val="both"/>
        <w:rPr>
          <w:rFonts w:ascii="Times New Roman" w:hAnsi="Times New Roman" w:cs="Times New Roman"/>
          <w:sz w:val="24"/>
          <w:szCs w:val="24"/>
        </w:rPr>
      </w:pPr>
      <w:r w:rsidRPr="00EA55F3">
        <w:rPr>
          <w:rFonts w:ascii="Times New Roman" w:hAnsi="Times New Roman" w:cs="Times New Roman"/>
          <w:sz w:val="24"/>
          <w:szCs w:val="24"/>
        </w:rPr>
        <w:t xml:space="preserve">Advise patients to take </w:t>
      </w:r>
      <w:r w:rsidR="003C66D6">
        <w:rPr>
          <w:rFonts w:ascii="Times New Roman" w:hAnsi="Times New Roman" w:cs="Times New Roman"/>
          <w:sz w:val="24"/>
          <w:szCs w:val="24"/>
        </w:rPr>
        <w:t>RHOLISTIQ</w:t>
      </w:r>
      <w:r w:rsidRPr="00EA55F3">
        <w:rPr>
          <w:rFonts w:ascii="Times New Roman" w:hAnsi="Times New Roman" w:cs="Times New Roman"/>
          <w:sz w:val="24"/>
          <w:szCs w:val="24"/>
        </w:rPr>
        <w:t xml:space="preserve"> at approximately the same time each day with a meal.  </w:t>
      </w:r>
    </w:p>
    <w:p w14:paraId="1F176AE0" w14:textId="1929162B" w:rsidR="00EA55F3" w:rsidRDefault="00EA55F3" w:rsidP="002403B3">
      <w:pPr>
        <w:spacing w:after="120"/>
        <w:jc w:val="both"/>
        <w:rPr>
          <w:rFonts w:ascii="Times New Roman" w:hAnsi="Times New Roman" w:cs="Times New Roman"/>
          <w:sz w:val="24"/>
          <w:szCs w:val="24"/>
        </w:rPr>
      </w:pPr>
      <w:r w:rsidRPr="00EA55F3">
        <w:rPr>
          <w:rFonts w:ascii="Times New Roman" w:hAnsi="Times New Roman" w:cs="Times New Roman"/>
          <w:sz w:val="24"/>
          <w:szCs w:val="24"/>
        </w:rPr>
        <w:t xml:space="preserve">If the patient misses a dose of </w:t>
      </w:r>
      <w:r w:rsidR="003C66D6">
        <w:rPr>
          <w:rFonts w:ascii="Times New Roman" w:hAnsi="Times New Roman" w:cs="Times New Roman"/>
          <w:sz w:val="24"/>
          <w:szCs w:val="24"/>
        </w:rPr>
        <w:t>RHOLISTIQ</w:t>
      </w:r>
      <w:r w:rsidRPr="00EA55F3">
        <w:rPr>
          <w:rFonts w:ascii="Times New Roman" w:hAnsi="Times New Roman" w:cs="Times New Roman"/>
          <w:sz w:val="24"/>
          <w:szCs w:val="24"/>
        </w:rPr>
        <w:t>, instruct the patient not to take extra doses to make up the missed dose.</w:t>
      </w:r>
    </w:p>
    <w:p w14:paraId="30B63807" w14:textId="61B3A91C" w:rsidR="00630487" w:rsidRDefault="00630487" w:rsidP="002403B3">
      <w:pPr>
        <w:spacing w:after="120"/>
        <w:jc w:val="both"/>
        <w:rPr>
          <w:rFonts w:ascii="Times New Roman" w:hAnsi="Times New Roman" w:cs="Times New Roman"/>
          <w:sz w:val="24"/>
          <w:szCs w:val="24"/>
        </w:rPr>
      </w:pPr>
      <w:r>
        <w:rPr>
          <w:rFonts w:ascii="Times New Roman" w:hAnsi="Times New Roman" w:cs="Times New Roman"/>
          <w:sz w:val="24"/>
          <w:szCs w:val="24"/>
        </w:rPr>
        <w:t>Monitor total bilirubin, aspartate aminotransferase</w:t>
      </w:r>
      <w:r w:rsidR="009D5E7A">
        <w:rPr>
          <w:rFonts w:ascii="Times New Roman" w:hAnsi="Times New Roman" w:cs="Times New Roman"/>
          <w:sz w:val="24"/>
          <w:szCs w:val="24"/>
        </w:rPr>
        <w:t xml:space="preserve"> (AST), and alanine aminotransferase (ALT) at least monthly.</w:t>
      </w:r>
    </w:p>
    <w:p w14:paraId="1EF6E91D" w14:textId="2B6DAEA3" w:rsidR="00A70996" w:rsidRPr="00F178D4" w:rsidRDefault="00A70996" w:rsidP="002403B3">
      <w:pPr>
        <w:pStyle w:val="Heading3"/>
        <w:spacing w:before="0" w:after="120"/>
        <w:ind w:left="0"/>
        <w:jc w:val="both"/>
        <w:rPr>
          <w:rFonts w:ascii="Times New Roman" w:hAnsi="Times New Roman" w:cs="Times New Roman"/>
          <w:sz w:val="24"/>
          <w:szCs w:val="24"/>
        </w:rPr>
      </w:pPr>
      <w:bookmarkStart w:id="0" w:name="_Ref1652787"/>
      <w:bookmarkStart w:id="1" w:name="_Ref1908212"/>
      <w:bookmarkStart w:id="2" w:name="_Ref1908563"/>
      <w:r w:rsidRPr="00F178D4">
        <w:rPr>
          <w:rFonts w:ascii="Times New Roman" w:hAnsi="Times New Roman" w:cs="Times New Roman"/>
          <w:sz w:val="24"/>
          <w:szCs w:val="24"/>
        </w:rPr>
        <w:t>Dose Modification</w:t>
      </w:r>
      <w:bookmarkEnd w:id="0"/>
      <w:bookmarkEnd w:id="1"/>
      <w:bookmarkEnd w:id="2"/>
      <w:r w:rsidRPr="00F178D4">
        <w:rPr>
          <w:rFonts w:ascii="Times New Roman" w:hAnsi="Times New Roman" w:cs="Times New Roman"/>
          <w:sz w:val="24"/>
          <w:szCs w:val="24"/>
        </w:rPr>
        <w:t>s</w:t>
      </w:r>
      <w:r w:rsidR="005226AD">
        <w:rPr>
          <w:rFonts w:ascii="Times New Roman" w:hAnsi="Times New Roman" w:cs="Times New Roman"/>
          <w:sz w:val="24"/>
          <w:szCs w:val="24"/>
        </w:rPr>
        <w:t xml:space="preserve"> for Adverse </w:t>
      </w:r>
      <w:r w:rsidRPr="3EF34B50">
        <w:rPr>
          <w:rFonts w:ascii="Times New Roman" w:hAnsi="Times New Roman" w:cs="Times New Roman"/>
          <w:sz w:val="24"/>
          <w:szCs w:val="24"/>
        </w:rPr>
        <w:t>Reactions</w:t>
      </w:r>
    </w:p>
    <w:p w14:paraId="1DBA0FCF" w14:textId="181F0A35" w:rsidR="005416AD" w:rsidRDefault="00A70996" w:rsidP="002403B3">
      <w:pPr>
        <w:spacing w:after="120"/>
        <w:jc w:val="both"/>
        <w:rPr>
          <w:rFonts w:ascii="Times New Roman" w:hAnsi="Times New Roman" w:cs="Times New Roman"/>
          <w:sz w:val="24"/>
          <w:szCs w:val="24"/>
        </w:rPr>
      </w:pPr>
      <w:r w:rsidRPr="00A70996">
        <w:rPr>
          <w:rFonts w:ascii="Times New Roman" w:hAnsi="Times New Roman" w:cs="Times New Roman"/>
          <w:sz w:val="24"/>
          <w:szCs w:val="24"/>
        </w:rPr>
        <w:t xml:space="preserve">The recommended </w:t>
      </w:r>
      <w:r w:rsidR="003C66D6">
        <w:rPr>
          <w:rFonts w:ascii="Times New Roman" w:hAnsi="Times New Roman" w:cs="Times New Roman"/>
          <w:sz w:val="24"/>
          <w:szCs w:val="24"/>
        </w:rPr>
        <w:t>RHOLISTIQ</w:t>
      </w:r>
      <w:r w:rsidRPr="00A70996">
        <w:rPr>
          <w:rFonts w:ascii="Times New Roman" w:hAnsi="Times New Roman" w:cs="Times New Roman"/>
          <w:sz w:val="24"/>
          <w:szCs w:val="24"/>
        </w:rPr>
        <w:t xml:space="preserve"> dosage modifications for adverse reactions</w:t>
      </w:r>
      <w:r w:rsidR="008D696C">
        <w:rPr>
          <w:rFonts w:ascii="Times New Roman" w:hAnsi="Times New Roman" w:cs="Times New Roman"/>
          <w:sz w:val="24"/>
          <w:szCs w:val="24"/>
        </w:rPr>
        <w:t xml:space="preserve"> </w:t>
      </w:r>
      <w:r w:rsidRPr="00A70996">
        <w:rPr>
          <w:rFonts w:ascii="Times New Roman" w:hAnsi="Times New Roman" w:cs="Times New Roman"/>
          <w:sz w:val="24"/>
          <w:szCs w:val="24"/>
        </w:rPr>
        <w:t>are provided in Table 1.</w:t>
      </w:r>
    </w:p>
    <w:p w14:paraId="79D74275" w14:textId="77777777" w:rsidR="00084E05" w:rsidRPr="00A70996" w:rsidRDefault="00084E05" w:rsidP="002403B3">
      <w:pPr>
        <w:spacing w:after="120"/>
        <w:jc w:val="both"/>
        <w:rPr>
          <w:rFonts w:ascii="Times New Roman" w:hAnsi="Times New Roman" w:cs="Times New Roman"/>
          <w:sz w:val="24"/>
          <w:szCs w:val="24"/>
        </w:rPr>
      </w:pPr>
    </w:p>
    <w:p w14:paraId="7B038FD0" w14:textId="290DE15E" w:rsidR="00BE2F36" w:rsidRPr="00BE2F36" w:rsidRDefault="00BE2F36" w:rsidP="002403B3">
      <w:pPr>
        <w:pStyle w:val="Caption"/>
        <w:spacing w:line="276" w:lineRule="auto"/>
        <w:jc w:val="both"/>
        <w:rPr>
          <w:rFonts w:ascii="Times New Roman" w:hAnsi="Times New Roman"/>
          <w:sz w:val="24"/>
          <w:szCs w:val="24"/>
        </w:rPr>
      </w:pPr>
      <w:bookmarkStart w:id="3" w:name="_Ref44938892"/>
      <w:bookmarkStart w:id="4" w:name="_Ref38874684"/>
      <w:r w:rsidRPr="00BE2F36">
        <w:rPr>
          <w:rFonts w:ascii="Times New Roman" w:hAnsi="Times New Roman"/>
          <w:sz w:val="24"/>
          <w:szCs w:val="24"/>
        </w:rPr>
        <w:lastRenderedPageBreak/>
        <w:t xml:space="preserve">Table </w:t>
      </w:r>
      <w:r w:rsidRPr="00BE2F36">
        <w:rPr>
          <w:rFonts w:ascii="Times New Roman" w:hAnsi="Times New Roman"/>
          <w:sz w:val="24"/>
          <w:szCs w:val="24"/>
        </w:rPr>
        <w:fldChar w:fldCharType="begin"/>
      </w:r>
      <w:r w:rsidRPr="00BE2F36">
        <w:rPr>
          <w:rFonts w:ascii="Times New Roman" w:hAnsi="Times New Roman"/>
          <w:sz w:val="24"/>
          <w:szCs w:val="24"/>
        </w:rPr>
        <w:instrText xml:space="preserve"> SEQ Table \* ARABIC </w:instrText>
      </w:r>
      <w:r w:rsidRPr="00BE2F36">
        <w:rPr>
          <w:rFonts w:ascii="Times New Roman" w:hAnsi="Times New Roman"/>
          <w:sz w:val="24"/>
          <w:szCs w:val="24"/>
        </w:rPr>
        <w:fldChar w:fldCharType="separate"/>
      </w:r>
      <w:r w:rsidR="0070462E">
        <w:rPr>
          <w:rFonts w:ascii="Times New Roman" w:hAnsi="Times New Roman"/>
          <w:noProof/>
          <w:sz w:val="24"/>
          <w:szCs w:val="24"/>
        </w:rPr>
        <w:t>1</w:t>
      </w:r>
      <w:r w:rsidRPr="00BE2F36">
        <w:rPr>
          <w:rFonts w:ascii="Times New Roman" w:hAnsi="Times New Roman"/>
          <w:sz w:val="24"/>
          <w:szCs w:val="24"/>
        </w:rPr>
        <w:fldChar w:fldCharType="end"/>
      </w:r>
      <w:bookmarkEnd w:id="3"/>
      <w:r w:rsidRPr="00BE2F36">
        <w:rPr>
          <w:rFonts w:ascii="Times New Roman" w:hAnsi="Times New Roman"/>
          <w:sz w:val="24"/>
          <w:szCs w:val="24"/>
        </w:rPr>
        <w:t xml:space="preserve">: Recommended Dosage Modifications for </w:t>
      </w:r>
      <w:r w:rsidR="003C66D6">
        <w:rPr>
          <w:rFonts w:ascii="Times New Roman" w:hAnsi="Times New Roman"/>
          <w:sz w:val="24"/>
          <w:szCs w:val="24"/>
        </w:rPr>
        <w:t>RHOLISTIQ</w:t>
      </w:r>
      <w:r w:rsidRPr="00BE2F36">
        <w:rPr>
          <w:rFonts w:ascii="Times New Roman" w:hAnsi="Times New Roman"/>
          <w:sz w:val="24"/>
          <w:szCs w:val="24"/>
        </w:rPr>
        <w:t xml:space="preserve"> for Adverse Reactions</w:t>
      </w:r>
      <w:bookmarkEnd w:id="4"/>
    </w:p>
    <w:tbl>
      <w:tblPr>
        <w:tblStyle w:val="TableGrid"/>
        <w:tblW w:w="0" w:type="auto"/>
        <w:tblLook w:val="04A0" w:firstRow="1" w:lastRow="0" w:firstColumn="1" w:lastColumn="0" w:noHBand="0" w:noVBand="1"/>
      </w:tblPr>
      <w:tblGrid>
        <w:gridCol w:w="2122"/>
        <w:gridCol w:w="2835"/>
        <w:gridCol w:w="4059"/>
      </w:tblGrid>
      <w:tr w:rsidR="00BE2F36" w:rsidRPr="00BE2F36" w14:paraId="17A42513" w14:textId="77777777" w:rsidTr="007A6149">
        <w:tc>
          <w:tcPr>
            <w:tcW w:w="2122" w:type="dxa"/>
          </w:tcPr>
          <w:p w14:paraId="52B1092F" w14:textId="02362832" w:rsidR="00BE2F36" w:rsidRPr="00BE2F36" w:rsidRDefault="00BE2F36" w:rsidP="002403B3">
            <w:pPr>
              <w:spacing w:line="276" w:lineRule="auto"/>
              <w:jc w:val="both"/>
              <w:rPr>
                <w:sz w:val="22"/>
                <w:szCs w:val="22"/>
              </w:rPr>
            </w:pPr>
            <w:r w:rsidRPr="00BE2F36">
              <w:rPr>
                <w:b/>
                <w:sz w:val="22"/>
                <w:szCs w:val="22"/>
              </w:rPr>
              <w:t>Adverse Reaction</w:t>
            </w:r>
          </w:p>
        </w:tc>
        <w:tc>
          <w:tcPr>
            <w:tcW w:w="2835" w:type="dxa"/>
          </w:tcPr>
          <w:p w14:paraId="6CBA3C31" w14:textId="72B0B6CA" w:rsidR="00BE2F36" w:rsidRPr="00BE2F36" w:rsidRDefault="00BE2F36" w:rsidP="002403B3">
            <w:pPr>
              <w:spacing w:line="276" w:lineRule="auto"/>
              <w:jc w:val="both"/>
              <w:rPr>
                <w:sz w:val="22"/>
                <w:szCs w:val="22"/>
              </w:rPr>
            </w:pPr>
            <w:r w:rsidRPr="00BE2F36">
              <w:rPr>
                <w:b/>
                <w:sz w:val="22"/>
                <w:szCs w:val="22"/>
              </w:rPr>
              <w:t>Severity</w:t>
            </w:r>
          </w:p>
        </w:tc>
        <w:tc>
          <w:tcPr>
            <w:tcW w:w="4059" w:type="dxa"/>
          </w:tcPr>
          <w:p w14:paraId="3FA42820" w14:textId="00615F2C" w:rsidR="00BE2F36" w:rsidRPr="00BE2F36" w:rsidRDefault="003C66D6" w:rsidP="002403B3">
            <w:pPr>
              <w:spacing w:line="276" w:lineRule="auto"/>
              <w:jc w:val="both"/>
              <w:rPr>
                <w:sz w:val="22"/>
                <w:szCs w:val="22"/>
              </w:rPr>
            </w:pPr>
            <w:r>
              <w:rPr>
                <w:b/>
                <w:sz w:val="22"/>
                <w:szCs w:val="22"/>
              </w:rPr>
              <w:t>RHOLISTIQ</w:t>
            </w:r>
            <w:r w:rsidR="00BE2F36" w:rsidRPr="00BE2F36">
              <w:rPr>
                <w:b/>
                <w:sz w:val="22"/>
                <w:szCs w:val="22"/>
              </w:rPr>
              <w:t xml:space="preserve"> Dosage Modifications</w:t>
            </w:r>
          </w:p>
        </w:tc>
      </w:tr>
      <w:tr w:rsidR="00BE2F36" w:rsidRPr="00BE2F36" w14:paraId="27AA1486" w14:textId="77777777" w:rsidTr="00C47869">
        <w:trPr>
          <w:trHeight w:val="1124"/>
        </w:trPr>
        <w:tc>
          <w:tcPr>
            <w:tcW w:w="2122" w:type="dxa"/>
            <w:vMerge w:val="restart"/>
          </w:tcPr>
          <w:p w14:paraId="432F6D16" w14:textId="77777777" w:rsidR="007A6149" w:rsidRDefault="00BE2F36" w:rsidP="002403B3">
            <w:pPr>
              <w:spacing w:line="276" w:lineRule="auto"/>
              <w:jc w:val="both"/>
              <w:rPr>
                <w:sz w:val="22"/>
                <w:szCs w:val="22"/>
              </w:rPr>
            </w:pPr>
            <w:r w:rsidRPr="00BE2F36">
              <w:rPr>
                <w:sz w:val="22"/>
                <w:szCs w:val="22"/>
              </w:rPr>
              <w:t xml:space="preserve">Hepatotoxicity </w:t>
            </w:r>
          </w:p>
          <w:p w14:paraId="0F2F0E64" w14:textId="2B841A16" w:rsidR="00BE2F36" w:rsidRPr="00BE2F36" w:rsidRDefault="00BE2F36" w:rsidP="002403B3">
            <w:pPr>
              <w:spacing w:line="276" w:lineRule="auto"/>
              <w:jc w:val="both"/>
              <w:rPr>
                <w:sz w:val="22"/>
                <w:szCs w:val="22"/>
              </w:rPr>
            </w:pPr>
            <w:r w:rsidRPr="006F226B">
              <w:rPr>
                <w:iCs/>
                <w:sz w:val="22"/>
                <w:szCs w:val="22"/>
              </w:rPr>
              <w:t xml:space="preserve">[see </w:t>
            </w:r>
            <w:hyperlink w:anchor="_Adverse_effects_(Undesirable" w:history="1">
              <w:r w:rsidR="00F10E38" w:rsidRPr="00D537CF">
                <w:rPr>
                  <w:rStyle w:val="Hyperlink"/>
                  <w:iCs/>
                  <w:sz w:val="22"/>
                  <w:szCs w:val="22"/>
                </w:rPr>
                <w:t>Section 4.8</w:t>
              </w:r>
            </w:hyperlink>
            <w:r w:rsidR="00F10E38" w:rsidRPr="006F226B">
              <w:rPr>
                <w:iCs/>
                <w:sz w:val="22"/>
                <w:szCs w:val="22"/>
              </w:rPr>
              <w:t xml:space="preserve"> </w:t>
            </w:r>
            <w:r w:rsidRPr="006F226B">
              <w:rPr>
                <w:iCs/>
                <w:sz w:val="22"/>
                <w:szCs w:val="22"/>
              </w:rPr>
              <w:t xml:space="preserve">Adverse </w:t>
            </w:r>
            <w:r w:rsidR="003D36AD" w:rsidRPr="006F226B">
              <w:rPr>
                <w:iCs/>
                <w:sz w:val="22"/>
                <w:szCs w:val="22"/>
              </w:rPr>
              <w:t>Effects</w:t>
            </w:r>
            <w:r w:rsidRPr="006F226B">
              <w:rPr>
                <w:iCs/>
                <w:sz w:val="22"/>
                <w:szCs w:val="22"/>
              </w:rPr>
              <w:t>]</w:t>
            </w:r>
          </w:p>
        </w:tc>
        <w:tc>
          <w:tcPr>
            <w:tcW w:w="2835" w:type="dxa"/>
          </w:tcPr>
          <w:p w14:paraId="1B47C68E" w14:textId="5F8EB902" w:rsidR="00BE2F36" w:rsidRPr="00BE2F36" w:rsidRDefault="00BE2F36" w:rsidP="002403B3">
            <w:pPr>
              <w:spacing w:line="276" w:lineRule="auto"/>
              <w:jc w:val="both"/>
              <w:rPr>
                <w:sz w:val="22"/>
                <w:szCs w:val="22"/>
              </w:rPr>
            </w:pPr>
            <w:r w:rsidRPr="00BE2F36">
              <w:rPr>
                <w:sz w:val="22"/>
                <w:szCs w:val="22"/>
              </w:rPr>
              <w:t>Grade 3 ALT or AST (5</w:t>
            </w:r>
            <w:r w:rsidR="00FC04DF">
              <w:rPr>
                <w:sz w:val="22"/>
                <w:szCs w:val="22"/>
              </w:rPr>
              <w:t>x</w:t>
            </w:r>
            <w:r w:rsidRPr="00BE2F36">
              <w:rPr>
                <w:sz w:val="22"/>
                <w:szCs w:val="22"/>
              </w:rPr>
              <w:t xml:space="preserve"> to 20</w:t>
            </w:r>
            <w:r w:rsidR="00FC04DF">
              <w:rPr>
                <w:sz w:val="22"/>
                <w:szCs w:val="22"/>
              </w:rPr>
              <w:t>x</w:t>
            </w:r>
            <w:r w:rsidRPr="00BE2F36">
              <w:rPr>
                <w:sz w:val="22"/>
                <w:szCs w:val="22"/>
              </w:rPr>
              <w:t xml:space="preserve"> ULN) or Grade 2 bilirubin (1.5</w:t>
            </w:r>
            <w:r w:rsidR="009931FF">
              <w:rPr>
                <w:sz w:val="22"/>
                <w:szCs w:val="22"/>
              </w:rPr>
              <w:t>x</w:t>
            </w:r>
            <w:r w:rsidRPr="00BE2F36">
              <w:rPr>
                <w:sz w:val="22"/>
                <w:szCs w:val="22"/>
              </w:rPr>
              <w:t xml:space="preserve"> to 3</w:t>
            </w:r>
            <w:r w:rsidR="009931FF">
              <w:rPr>
                <w:sz w:val="22"/>
                <w:szCs w:val="22"/>
              </w:rPr>
              <w:t>x</w:t>
            </w:r>
            <w:r w:rsidRPr="00BE2F36">
              <w:rPr>
                <w:sz w:val="22"/>
                <w:szCs w:val="22"/>
              </w:rPr>
              <w:t xml:space="preserve"> ULN)</w:t>
            </w:r>
          </w:p>
        </w:tc>
        <w:tc>
          <w:tcPr>
            <w:tcW w:w="4059" w:type="dxa"/>
          </w:tcPr>
          <w:p w14:paraId="2B990037" w14:textId="6C234878" w:rsidR="00BE2F36" w:rsidRPr="00BE2F36" w:rsidRDefault="00BE2F36" w:rsidP="002403B3">
            <w:pPr>
              <w:spacing w:line="276" w:lineRule="auto"/>
              <w:jc w:val="both"/>
              <w:rPr>
                <w:sz w:val="22"/>
                <w:szCs w:val="22"/>
              </w:rPr>
            </w:pPr>
            <w:r w:rsidRPr="00BE2F36">
              <w:rPr>
                <w:bCs/>
                <w:sz w:val="22"/>
                <w:szCs w:val="22"/>
              </w:rPr>
              <w:t xml:space="preserve">Hold </w:t>
            </w:r>
            <w:r w:rsidR="003C66D6">
              <w:rPr>
                <w:bCs/>
                <w:sz w:val="22"/>
                <w:szCs w:val="22"/>
              </w:rPr>
              <w:t>RHOLISTIQ</w:t>
            </w:r>
            <w:r w:rsidRPr="00BE2F36">
              <w:rPr>
                <w:bCs/>
                <w:sz w:val="22"/>
                <w:szCs w:val="22"/>
              </w:rPr>
              <w:t xml:space="preserve"> until recovery</w:t>
            </w:r>
            <w:r w:rsidR="00A35038">
              <w:rPr>
                <w:bCs/>
                <w:sz w:val="22"/>
                <w:szCs w:val="22"/>
              </w:rPr>
              <w:t xml:space="preserve"> of bilirubin</w:t>
            </w:r>
            <w:r w:rsidRPr="00BE2F36">
              <w:rPr>
                <w:bCs/>
                <w:sz w:val="22"/>
                <w:szCs w:val="22"/>
              </w:rPr>
              <w:t xml:space="preserve">, </w:t>
            </w:r>
            <w:proofErr w:type="gramStart"/>
            <w:r w:rsidR="72A32EB7" w:rsidRPr="3EF34B50">
              <w:rPr>
                <w:sz w:val="22"/>
                <w:szCs w:val="22"/>
              </w:rPr>
              <w:t>AST</w:t>
            </w:r>
            <w:proofErr w:type="gramEnd"/>
            <w:r w:rsidR="2B09B925" w:rsidRPr="3EF34B50">
              <w:rPr>
                <w:sz w:val="22"/>
                <w:szCs w:val="22"/>
              </w:rPr>
              <w:t xml:space="preserve"> </w:t>
            </w:r>
            <w:r w:rsidR="72A32EB7" w:rsidRPr="3EF34B50">
              <w:rPr>
                <w:sz w:val="22"/>
                <w:szCs w:val="22"/>
              </w:rPr>
              <w:t>and</w:t>
            </w:r>
            <w:r w:rsidR="0071556E">
              <w:rPr>
                <w:bCs/>
                <w:sz w:val="22"/>
                <w:szCs w:val="22"/>
              </w:rPr>
              <w:t xml:space="preserve"> ALT to Grade 0-1, </w:t>
            </w:r>
            <w:r w:rsidRPr="00BE2F36">
              <w:rPr>
                <w:bCs/>
                <w:sz w:val="22"/>
                <w:szCs w:val="22"/>
              </w:rPr>
              <w:t xml:space="preserve">then resume </w:t>
            </w:r>
            <w:r w:rsidR="003C66D6">
              <w:rPr>
                <w:bCs/>
                <w:sz w:val="22"/>
                <w:szCs w:val="22"/>
              </w:rPr>
              <w:t>RHOLISTIQ</w:t>
            </w:r>
            <w:r w:rsidRPr="00BE2F36">
              <w:rPr>
                <w:bCs/>
                <w:sz w:val="22"/>
                <w:szCs w:val="22"/>
              </w:rPr>
              <w:t xml:space="preserve"> at the recommended dose</w:t>
            </w:r>
            <w:r w:rsidRPr="00BE2F36">
              <w:rPr>
                <w:sz w:val="22"/>
                <w:szCs w:val="22"/>
              </w:rPr>
              <w:t>.</w:t>
            </w:r>
          </w:p>
        </w:tc>
      </w:tr>
      <w:tr w:rsidR="00BE2F36" w:rsidRPr="00BE2F36" w14:paraId="61623AE8" w14:textId="77777777" w:rsidTr="007A6149">
        <w:trPr>
          <w:trHeight w:val="980"/>
        </w:trPr>
        <w:tc>
          <w:tcPr>
            <w:tcW w:w="2122" w:type="dxa"/>
            <w:vMerge/>
          </w:tcPr>
          <w:p w14:paraId="42E22AA7" w14:textId="77777777" w:rsidR="00BE2F36" w:rsidRPr="00BE2F36" w:rsidRDefault="00BE2F36" w:rsidP="002403B3">
            <w:pPr>
              <w:spacing w:line="276" w:lineRule="auto"/>
              <w:jc w:val="both"/>
              <w:rPr>
                <w:sz w:val="22"/>
                <w:szCs w:val="22"/>
              </w:rPr>
            </w:pPr>
          </w:p>
        </w:tc>
        <w:tc>
          <w:tcPr>
            <w:tcW w:w="2835" w:type="dxa"/>
          </w:tcPr>
          <w:p w14:paraId="798B1790" w14:textId="2F6AE0C9" w:rsidR="00BE2F36" w:rsidRPr="00BE2F36" w:rsidRDefault="00BE2F36" w:rsidP="002403B3">
            <w:pPr>
              <w:spacing w:line="276" w:lineRule="auto"/>
              <w:jc w:val="both"/>
              <w:rPr>
                <w:sz w:val="22"/>
                <w:szCs w:val="22"/>
              </w:rPr>
            </w:pPr>
            <w:r w:rsidRPr="00BE2F36">
              <w:rPr>
                <w:sz w:val="22"/>
                <w:szCs w:val="22"/>
              </w:rPr>
              <w:t>Grade 4 ALT or AST (</w:t>
            </w:r>
            <w:r w:rsidR="009931FF">
              <w:rPr>
                <w:sz w:val="22"/>
                <w:szCs w:val="22"/>
              </w:rPr>
              <w:t xml:space="preserve">more than </w:t>
            </w:r>
            <w:r w:rsidRPr="00BE2F36">
              <w:rPr>
                <w:sz w:val="22"/>
                <w:szCs w:val="22"/>
              </w:rPr>
              <w:t>20</w:t>
            </w:r>
            <w:r w:rsidR="009931FF">
              <w:rPr>
                <w:sz w:val="22"/>
                <w:szCs w:val="22"/>
              </w:rPr>
              <w:t>x</w:t>
            </w:r>
            <w:r w:rsidRPr="00BE2F36">
              <w:rPr>
                <w:sz w:val="22"/>
                <w:szCs w:val="22"/>
              </w:rPr>
              <w:t xml:space="preserve"> ULN) or Grade ≥3 bilirubin (</w:t>
            </w:r>
            <w:r w:rsidR="00A35038">
              <w:rPr>
                <w:sz w:val="22"/>
                <w:szCs w:val="22"/>
              </w:rPr>
              <w:t xml:space="preserve">more than </w:t>
            </w:r>
            <w:r w:rsidRPr="00BE2F36">
              <w:rPr>
                <w:sz w:val="22"/>
                <w:szCs w:val="22"/>
              </w:rPr>
              <w:t>3</w:t>
            </w:r>
            <w:r w:rsidR="00A35038">
              <w:rPr>
                <w:sz w:val="22"/>
                <w:szCs w:val="22"/>
              </w:rPr>
              <w:t>x</w:t>
            </w:r>
            <w:r w:rsidRPr="00BE2F36">
              <w:rPr>
                <w:sz w:val="22"/>
                <w:szCs w:val="22"/>
              </w:rPr>
              <w:t xml:space="preserve"> ULN)</w:t>
            </w:r>
          </w:p>
        </w:tc>
        <w:tc>
          <w:tcPr>
            <w:tcW w:w="4059" w:type="dxa"/>
          </w:tcPr>
          <w:p w14:paraId="6813F9C7" w14:textId="1B48B417" w:rsidR="00BE2F36" w:rsidRPr="00BE2F36" w:rsidRDefault="00A35038" w:rsidP="002403B3">
            <w:pPr>
              <w:spacing w:line="276" w:lineRule="auto"/>
              <w:jc w:val="both"/>
              <w:rPr>
                <w:sz w:val="22"/>
                <w:szCs w:val="22"/>
              </w:rPr>
            </w:pPr>
            <w:r>
              <w:rPr>
                <w:bCs/>
                <w:sz w:val="22"/>
                <w:szCs w:val="22"/>
              </w:rPr>
              <w:t>D</w:t>
            </w:r>
            <w:r w:rsidR="00BE2F36" w:rsidRPr="00BE2F36">
              <w:rPr>
                <w:bCs/>
                <w:sz w:val="22"/>
                <w:szCs w:val="22"/>
              </w:rPr>
              <w:t xml:space="preserve">iscontinue </w:t>
            </w:r>
            <w:r w:rsidR="003C66D6">
              <w:rPr>
                <w:bCs/>
                <w:sz w:val="22"/>
                <w:szCs w:val="22"/>
              </w:rPr>
              <w:t>RHOLISTIQ</w:t>
            </w:r>
            <w:r>
              <w:rPr>
                <w:bCs/>
                <w:sz w:val="22"/>
                <w:szCs w:val="22"/>
              </w:rPr>
              <w:t xml:space="preserve"> permanently</w:t>
            </w:r>
            <w:r w:rsidR="00BE2F36" w:rsidRPr="00BE2F36">
              <w:rPr>
                <w:bCs/>
                <w:sz w:val="22"/>
                <w:szCs w:val="22"/>
              </w:rPr>
              <w:t>.</w:t>
            </w:r>
          </w:p>
        </w:tc>
      </w:tr>
      <w:tr w:rsidR="00BE2F36" w:rsidRPr="00BE2F36" w14:paraId="6A277063" w14:textId="77777777" w:rsidTr="00C47869">
        <w:trPr>
          <w:trHeight w:val="863"/>
        </w:trPr>
        <w:tc>
          <w:tcPr>
            <w:tcW w:w="2122" w:type="dxa"/>
            <w:vMerge w:val="restart"/>
          </w:tcPr>
          <w:p w14:paraId="110E79A9" w14:textId="4F31973E" w:rsidR="007A6149" w:rsidRDefault="00BE2F36" w:rsidP="002403B3">
            <w:pPr>
              <w:spacing w:line="276" w:lineRule="auto"/>
              <w:jc w:val="both"/>
              <w:rPr>
                <w:sz w:val="22"/>
                <w:szCs w:val="22"/>
              </w:rPr>
            </w:pPr>
            <w:r w:rsidRPr="00BE2F36">
              <w:rPr>
                <w:sz w:val="22"/>
                <w:szCs w:val="22"/>
              </w:rPr>
              <w:t xml:space="preserve">Other </w:t>
            </w:r>
            <w:proofErr w:type="gramStart"/>
            <w:r w:rsidRPr="00BE2F36">
              <w:rPr>
                <w:sz w:val="22"/>
                <w:szCs w:val="22"/>
              </w:rPr>
              <w:t xml:space="preserve">adverse </w:t>
            </w:r>
            <w:r w:rsidR="21E0891F" w:rsidRPr="3EF34B50">
              <w:rPr>
                <w:sz w:val="22"/>
                <w:szCs w:val="22"/>
              </w:rPr>
              <w:t xml:space="preserve"> </w:t>
            </w:r>
            <w:r w:rsidRPr="00BE2F36">
              <w:rPr>
                <w:sz w:val="22"/>
                <w:szCs w:val="22"/>
              </w:rPr>
              <w:t>reactions</w:t>
            </w:r>
            <w:proofErr w:type="gramEnd"/>
            <w:r w:rsidRPr="00BE2F36">
              <w:rPr>
                <w:sz w:val="22"/>
                <w:szCs w:val="22"/>
              </w:rPr>
              <w:t xml:space="preserve"> </w:t>
            </w:r>
          </w:p>
          <w:p w14:paraId="107ABA8A" w14:textId="55ABDFAB" w:rsidR="00BE2F36" w:rsidRPr="00BE2F36" w:rsidRDefault="00F10E38" w:rsidP="002403B3">
            <w:pPr>
              <w:spacing w:line="276" w:lineRule="auto"/>
              <w:jc w:val="both"/>
              <w:rPr>
                <w:sz w:val="22"/>
                <w:szCs w:val="22"/>
              </w:rPr>
            </w:pPr>
            <w:r w:rsidRPr="006F226B">
              <w:rPr>
                <w:iCs/>
                <w:sz w:val="22"/>
                <w:szCs w:val="22"/>
              </w:rPr>
              <w:t xml:space="preserve">[see </w:t>
            </w:r>
            <w:hyperlink w:anchor="_Adverse_effects_(Undesirable" w:history="1">
              <w:r w:rsidRPr="00D537CF">
                <w:rPr>
                  <w:rStyle w:val="Hyperlink"/>
                  <w:iCs/>
                  <w:sz w:val="22"/>
                  <w:szCs w:val="22"/>
                </w:rPr>
                <w:t>Section 4.8</w:t>
              </w:r>
            </w:hyperlink>
            <w:r w:rsidRPr="006F226B">
              <w:rPr>
                <w:iCs/>
                <w:sz w:val="22"/>
                <w:szCs w:val="22"/>
              </w:rPr>
              <w:t xml:space="preserve"> Adverse Effects]</w:t>
            </w:r>
          </w:p>
        </w:tc>
        <w:tc>
          <w:tcPr>
            <w:tcW w:w="2835" w:type="dxa"/>
          </w:tcPr>
          <w:p w14:paraId="4F52F4F5" w14:textId="77777777" w:rsidR="00BE2F36" w:rsidRPr="00BE2F36" w:rsidRDefault="00BE2F36" w:rsidP="002403B3">
            <w:pPr>
              <w:spacing w:line="276" w:lineRule="auto"/>
              <w:jc w:val="both"/>
              <w:rPr>
                <w:sz w:val="22"/>
                <w:szCs w:val="22"/>
              </w:rPr>
            </w:pPr>
            <w:r w:rsidRPr="00BE2F36">
              <w:rPr>
                <w:sz w:val="22"/>
                <w:szCs w:val="22"/>
              </w:rPr>
              <w:t>Grade 3</w:t>
            </w:r>
          </w:p>
        </w:tc>
        <w:tc>
          <w:tcPr>
            <w:tcW w:w="4059" w:type="dxa"/>
          </w:tcPr>
          <w:p w14:paraId="3C8C3704" w14:textId="72B7C399" w:rsidR="00BE2F36" w:rsidRPr="00BE2F36" w:rsidRDefault="00BE2F36" w:rsidP="002403B3">
            <w:pPr>
              <w:spacing w:line="276" w:lineRule="auto"/>
              <w:jc w:val="both"/>
              <w:rPr>
                <w:sz w:val="22"/>
                <w:szCs w:val="22"/>
              </w:rPr>
            </w:pPr>
            <w:r w:rsidRPr="00BE2F36">
              <w:rPr>
                <w:bCs/>
                <w:sz w:val="22"/>
                <w:szCs w:val="22"/>
              </w:rPr>
              <w:t xml:space="preserve">Hold </w:t>
            </w:r>
            <w:r w:rsidR="003C66D6">
              <w:rPr>
                <w:bCs/>
                <w:sz w:val="22"/>
                <w:szCs w:val="22"/>
              </w:rPr>
              <w:t>RHOLISTIQ</w:t>
            </w:r>
            <w:r w:rsidRPr="00BE2F36">
              <w:rPr>
                <w:bCs/>
                <w:sz w:val="22"/>
                <w:szCs w:val="22"/>
              </w:rPr>
              <w:t xml:space="preserve"> until recovery to Grade</w:t>
            </w:r>
            <w:r w:rsidR="0071556E">
              <w:rPr>
                <w:bCs/>
                <w:sz w:val="22"/>
                <w:szCs w:val="22"/>
              </w:rPr>
              <w:t xml:space="preserve"> 0-</w:t>
            </w:r>
            <w:r w:rsidRPr="00BE2F36">
              <w:rPr>
                <w:bCs/>
                <w:sz w:val="22"/>
                <w:szCs w:val="22"/>
              </w:rPr>
              <w:t xml:space="preserve">1, then resume </w:t>
            </w:r>
            <w:r w:rsidR="003C66D6">
              <w:rPr>
                <w:bCs/>
                <w:sz w:val="22"/>
                <w:szCs w:val="22"/>
              </w:rPr>
              <w:t>RHOLISTIQ</w:t>
            </w:r>
            <w:r w:rsidRPr="00BE2F36">
              <w:rPr>
                <w:bCs/>
                <w:sz w:val="22"/>
                <w:szCs w:val="22"/>
              </w:rPr>
              <w:t xml:space="preserve"> at the recommended dose level.</w:t>
            </w:r>
          </w:p>
        </w:tc>
      </w:tr>
      <w:tr w:rsidR="00BE2F36" w:rsidRPr="00BE2F36" w14:paraId="585D1542" w14:textId="77777777" w:rsidTr="007A6149">
        <w:trPr>
          <w:trHeight w:val="387"/>
        </w:trPr>
        <w:tc>
          <w:tcPr>
            <w:tcW w:w="2122" w:type="dxa"/>
            <w:vMerge/>
          </w:tcPr>
          <w:p w14:paraId="060F814D" w14:textId="77777777" w:rsidR="00BE2F36" w:rsidRPr="00BE2F36" w:rsidRDefault="00BE2F36" w:rsidP="002403B3">
            <w:pPr>
              <w:spacing w:line="276" w:lineRule="auto"/>
              <w:jc w:val="both"/>
              <w:rPr>
                <w:sz w:val="22"/>
                <w:szCs w:val="22"/>
              </w:rPr>
            </w:pPr>
          </w:p>
        </w:tc>
        <w:tc>
          <w:tcPr>
            <w:tcW w:w="2835" w:type="dxa"/>
          </w:tcPr>
          <w:p w14:paraId="1BE019B4" w14:textId="77777777" w:rsidR="00BE2F36" w:rsidRPr="00BE2F36" w:rsidRDefault="00BE2F36" w:rsidP="002403B3">
            <w:pPr>
              <w:spacing w:line="276" w:lineRule="auto"/>
              <w:jc w:val="both"/>
              <w:rPr>
                <w:sz w:val="22"/>
                <w:szCs w:val="22"/>
              </w:rPr>
            </w:pPr>
            <w:r w:rsidRPr="00BE2F36">
              <w:rPr>
                <w:sz w:val="22"/>
                <w:szCs w:val="22"/>
              </w:rPr>
              <w:t xml:space="preserve">Grade 4 </w:t>
            </w:r>
          </w:p>
        </w:tc>
        <w:tc>
          <w:tcPr>
            <w:tcW w:w="4059" w:type="dxa"/>
          </w:tcPr>
          <w:p w14:paraId="7F46C0BD" w14:textId="028ED3D8" w:rsidR="00BE2F36" w:rsidRPr="00BE2F36" w:rsidRDefault="00A6329B" w:rsidP="002403B3">
            <w:pPr>
              <w:spacing w:line="276" w:lineRule="auto"/>
              <w:jc w:val="both"/>
              <w:rPr>
                <w:sz w:val="22"/>
                <w:szCs w:val="22"/>
              </w:rPr>
            </w:pPr>
            <w:r>
              <w:rPr>
                <w:sz w:val="22"/>
                <w:szCs w:val="22"/>
              </w:rPr>
              <w:t>D</w:t>
            </w:r>
            <w:r w:rsidR="00BE2F36" w:rsidRPr="00BE2F36">
              <w:rPr>
                <w:sz w:val="22"/>
                <w:szCs w:val="22"/>
              </w:rPr>
              <w:t xml:space="preserve">iscontinue </w:t>
            </w:r>
            <w:r w:rsidR="003C66D6">
              <w:rPr>
                <w:sz w:val="22"/>
                <w:szCs w:val="22"/>
              </w:rPr>
              <w:t>RHOLISTIQ</w:t>
            </w:r>
            <w:r>
              <w:rPr>
                <w:sz w:val="22"/>
                <w:szCs w:val="22"/>
              </w:rPr>
              <w:t xml:space="preserve"> permanently</w:t>
            </w:r>
            <w:r w:rsidR="00BE2F36" w:rsidRPr="00BE2F36">
              <w:rPr>
                <w:sz w:val="22"/>
                <w:szCs w:val="22"/>
              </w:rPr>
              <w:t>.</w:t>
            </w:r>
          </w:p>
        </w:tc>
      </w:tr>
    </w:tbl>
    <w:p w14:paraId="4578CDB7" w14:textId="5338082E" w:rsidR="00984622" w:rsidRDefault="00984622" w:rsidP="002403B3">
      <w:pPr>
        <w:spacing w:after="120"/>
        <w:jc w:val="both"/>
        <w:rPr>
          <w:rFonts w:ascii="Times New Roman" w:hAnsi="Times New Roman" w:cs="Times New Roman"/>
          <w:sz w:val="24"/>
          <w:szCs w:val="24"/>
        </w:rPr>
      </w:pPr>
    </w:p>
    <w:p w14:paraId="33AD9905" w14:textId="1D467AA0" w:rsidR="002600E1" w:rsidRDefault="002600E1" w:rsidP="002403B3">
      <w:pPr>
        <w:pStyle w:val="Heading3"/>
        <w:spacing w:before="0" w:after="120"/>
        <w:ind w:left="0"/>
        <w:jc w:val="both"/>
        <w:rPr>
          <w:rFonts w:ascii="Times New Roman" w:hAnsi="Times New Roman" w:cs="Times New Roman"/>
          <w:sz w:val="24"/>
          <w:szCs w:val="24"/>
        </w:rPr>
      </w:pPr>
      <w:r>
        <w:rPr>
          <w:rFonts w:ascii="Times New Roman" w:hAnsi="Times New Roman" w:cs="Times New Roman"/>
          <w:sz w:val="24"/>
          <w:szCs w:val="24"/>
        </w:rPr>
        <w:t>Dose Modification Due to Drug Interaction</w:t>
      </w:r>
      <w:r w:rsidR="001F7FEA">
        <w:rPr>
          <w:rFonts w:ascii="Times New Roman" w:hAnsi="Times New Roman" w:cs="Times New Roman"/>
          <w:sz w:val="24"/>
          <w:szCs w:val="24"/>
        </w:rPr>
        <w:t>s</w:t>
      </w:r>
    </w:p>
    <w:p w14:paraId="33DB0512" w14:textId="55D6C335" w:rsidR="001F7FEA" w:rsidRPr="00125A7F" w:rsidRDefault="001F7FEA" w:rsidP="002403B3">
      <w:pPr>
        <w:jc w:val="both"/>
        <w:rPr>
          <w:rFonts w:ascii="Times New Roman" w:hAnsi="Times New Roman" w:cs="Times New Roman"/>
          <w:sz w:val="24"/>
          <w:szCs w:val="24"/>
          <w:u w:val="single"/>
        </w:rPr>
      </w:pPr>
      <w:r w:rsidRPr="00125A7F">
        <w:rPr>
          <w:rFonts w:ascii="Times New Roman" w:hAnsi="Times New Roman" w:cs="Times New Roman"/>
          <w:sz w:val="24"/>
          <w:szCs w:val="24"/>
          <w:u w:val="single"/>
        </w:rPr>
        <w:t>Strong CYP3A Inducers</w:t>
      </w:r>
    </w:p>
    <w:p w14:paraId="2B0BA71D" w14:textId="4CB81442" w:rsidR="001F7FEA" w:rsidRDefault="001F7FEA" w:rsidP="002403B3">
      <w:pPr>
        <w:jc w:val="both"/>
        <w:rPr>
          <w:rFonts w:ascii="Times New Roman" w:hAnsi="Times New Roman" w:cs="Times New Roman"/>
          <w:sz w:val="24"/>
          <w:szCs w:val="24"/>
        </w:rPr>
      </w:pPr>
      <w:r>
        <w:rPr>
          <w:rFonts w:ascii="Times New Roman" w:hAnsi="Times New Roman" w:cs="Times New Roman"/>
          <w:sz w:val="24"/>
          <w:szCs w:val="24"/>
        </w:rPr>
        <w:t xml:space="preserve">Increase the dosage of RHOLISTIQ to 200 mg twice daily when </w:t>
      </w:r>
      <w:proofErr w:type="spellStart"/>
      <w:r>
        <w:rPr>
          <w:rFonts w:ascii="Times New Roman" w:hAnsi="Times New Roman" w:cs="Times New Roman"/>
          <w:sz w:val="24"/>
          <w:szCs w:val="24"/>
        </w:rPr>
        <w:t>coadministered</w:t>
      </w:r>
      <w:proofErr w:type="spellEnd"/>
      <w:r>
        <w:rPr>
          <w:rFonts w:ascii="Times New Roman" w:hAnsi="Times New Roman" w:cs="Times New Roman"/>
          <w:sz w:val="24"/>
          <w:szCs w:val="24"/>
        </w:rPr>
        <w:t xml:space="preserve"> with strong CYP3A inducers </w:t>
      </w:r>
      <w:r w:rsidR="005A7EA7">
        <w:rPr>
          <w:rFonts w:ascii="Times New Roman" w:hAnsi="Times New Roman" w:cs="Times New Roman"/>
          <w:sz w:val="24"/>
          <w:szCs w:val="24"/>
        </w:rPr>
        <w:t xml:space="preserve">[see </w:t>
      </w:r>
      <w:hyperlink w:anchor="_Interactions_with_other" w:history="1">
        <w:r w:rsidR="00801E1F" w:rsidRPr="00A309AD">
          <w:rPr>
            <w:rStyle w:val="Hyperlink"/>
            <w:rFonts w:ascii="Times New Roman" w:hAnsi="Times New Roman" w:cs="Times New Roman"/>
            <w:sz w:val="24"/>
            <w:szCs w:val="24"/>
          </w:rPr>
          <w:t xml:space="preserve">Section </w:t>
        </w:r>
        <w:r w:rsidR="00A01E05" w:rsidRPr="00A309AD">
          <w:rPr>
            <w:rStyle w:val="Hyperlink"/>
            <w:rFonts w:ascii="Times New Roman" w:hAnsi="Times New Roman" w:cs="Times New Roman"/>
            <w:sz w:val="24"/>
            <w:szCs w:val="24"/>
          </w:rPr>
          <w:t>4.5</w:t>
        </w:r>
      </w:hyperlink>
      <w:r w:rsidR="00801E1F">
        <w:rPr>
          <w:rFonts w:ascii="Times New Roman" w:hAnsi="Times New Roman" w:cs="Times New Roman"/>
          <w:sz w:val="24"/>
          <w:szCs w:val="24"/>
        </w:rPr>
        <w:t xml:space="preserve"> Interactions with other medicines and other forms of </w:t>
      </w:r>
      <w:r w:rsidR="00801E1F" w:rsidRPr="3EF34B50">
        <w:rPr>
          <w:rFonts w:ascii="Times New Roman" w:hAnsi="Times New Roman" w:cs="Times New Roman"/>
          <w:sz w:val="24"/>
          <w:szCs w:val="24"/>
        </w:rPr>
        <w:t>interaction</w:t>
      </w:r>
      <w:r w:rsidR="005A7EA7">
        <w:rPr>
          <w:rFonts w:ascii="Times New Roman" w:hAnsi="Times New Roman" w:cs="Times New Roman"/>
          <w:sz w:val="24"/>
          <w:szCs w:val="24"/>
        </w:rPr>
        <w:t>].</w:t>
      </w:r>
    </w:p>
    <w:p w14:paraId="039B96BE" w14:textId="2E7CD63F" w:rsidR="005A7EA7" w:rsidRPr="00125A7F" w:rsidRDefault="005A7EA7" w:rsidP="002403B3">
      <w:pPr>
        <w:jc w:val="both"/>
        <w:rPr>
          <w:rFonts w:ascii="Times New Roman" w:hAnsi="Times New Roman" w:cs="Times New Roman"/>
          <w:sz w:val="24"/>
          <w:szCs w:val="24"/>
          <w:u w:val="single"/>
        </w:rPr>
      </w:pPr>
      <w:r w:rsidRPr="005A7EA7">
        <w:rPr>
          <w:rFonts w:ascii="Times New Roman" w:hAnsi="Times New Roman" w:cs="Times New Roman"/>
          <w:sz w:val="24"/>
          <w:szCs w:val="24"/>
          <w:u w:val="single"/>
        </w:rPr>
        <w:t>Proton Pump Inhibitors</w:t>
      </w:r>
    </w:p>
    <w:p w14:paraId="53DBA512" w14:textId="40FCD541" w:rsidR="002600E1" w:rsidRPr="00FD4451" w:rsidRDefault="005A7EA7" w:rsidP="002403B3">
      <w:pPr>
        <w:pStyle w:val="Labeltext"/>
        <w:spacing w:line="276" w:lineRule="auto"/>
        <w:jc w:val="both"/>
        <w:rPr>
          <w:sz w:val="24"/>
          <w:szCs w:val="24"/>
        </w:rPr>
      </w:pPr>
      <w:proofErr w:type="spellStart"/>
      <w:r w:rsidRPr="3EF34B50">
        <w:rPr>
          <w:rFonts w:eastAsiaTheme="minorEastAsia"/>
          <w:sz w:val="24"/>
          <w:szCs w:val="24"/>
          <w:lang w:val="en-AU"/>
        </w:rPr>
        <w:t>Increas</w:t>
      </w:r>
      <w:proofErr w:type="spellEnd"/>
      <w:r w:rsidRPr="00125A7F">
        <w:rPr>
          <w:sz w:val="24"/>
          <w:szCs w:val="24"/>
        </w:rPr>
        <w:t xml:space="preserve">e the dosage of RHOLISTIQ </w:t>
      </w:r>
      <w:r w:rsidR="004D3942" w:rsidRPr="00125A7F">
        <w:rPr>
          <w:sz w:val="24"/>
          <w:szCs w:val="24"/>
        </w:rPr>
        <w:t xml:space="preserve">to 200 mg twice daily when </w:t>
      </w:r>
      <w:proofErr w:type="spellStart"/>
      <w:r w:rsidR="004D3942" w:rsidRPr="00125A7F">
        <w:rPr>
          <w:sz w:val="24"/>
          <w:szCs w:val="24"/>
        </w:rPr>
        <w:t>coadministered</w:t>
      </w:r>
      <w:proofErr w:type="spellEnd"/>
      <w:r w:rsidR="004D3942" w:rsidRPr="00125A7F">
        <w:rPr>
          <w:sz w:val="24"/>
          <w:szCs w:val="24"/>
        </w:rPr>
        <w:t xml:space="preserve"> with proton pump inhibitors [see </w:t>
      </w:r>
      <w:hyperlink w:anchor="_Interactions_with_other" w:history="1">
        <w:r w:rsidR="00BD63CD" w:rsidRPr="00125A7F">
          <w:rPr>
            <w:rStyle w:val="Hyperlink"/>
            <w:sz w:val="24"/>
            <w:szCs w:val="24"/>
          </w:rPr>
          <w:t>Section 4.5</w:t>
        </w:r>
      </w:hyperlink>
      <w:r w:rsidR="00BD63CD" w:rsidRPr="00125A7F">
        <w:rPr>
          <w:sz w:val="24"/>
          <w:szCs w:val="24"/>
        </w:rPr>
        <w:t xml:space="preserve"> Interactions with other medicines and other forms of </w:t>
      </w:r>
      <w:r w:rsidR="00BD63CD" w:rsidRPr="3EF34B50">
        <w:rPr>
          <w:sz w:val="24"/>
          <w:szCs w:val="24"/>
        </w:rPr>
        <w:t>interaction</w:t>
      </w:r>
      <w:r w:rsidR="797C05E3" w:rsidRPr="3EF34B50">
        <w:rPr>
          <w:sz w:val="24"/>
          <w:szCs w:val="24"/>
        </w:rPr>
        <w:t>s</w:t>
      </w:r>
      <w:r w:rsidR="004D3942" w:rsidRPr="00125A7F">
        <w:rPr>
          <w:sz w:val="24"/>
          <w:szCs w:val="24"/>
        </w:rPr>
        <w:t>].</w:t>
      </w:r>
    </w:p>
    <w:p w14:paraId="1228C442" w14:textId="25D412A2" w:rsidR="00AD4698" w:rsidRPr="00F178D4" w:rsidRDefault="00AD4698" w:rsidP="002403B3">
      <w:pPr>
        <w:pStyle w:val="Heading3"/>
        <w:spacing w:before="0" w:after="120"/>
        <w:ind w:left="0"/>
        <w:jc w:val="both"/>
        <w:rPr>
          <w:rFonts w:ascii="Times New Roman" w:hAnsi="Times New Roman" w:cs="Times New Roman"/>
          <w:sz w:val="24"/>
          <w:szCs w:val="24"/>
        </w:rPr>
      </w:pPr>
      <w:r w:rsidRPr="00F178D4">
        <w:rPr>
          <w:rFonts w:ascii="Times New Roman" w:hAnsi="Times New Roman" w:cs="Times New Roman"/>
          <w:sz w:val="24"/>
          <w:szCs w:val="24"/>
        </w:rPr>
        <w:t>Dose Modifications</w:t>
      </w:r>
      <w:r w:rsidR="00496445" w:rsidRPr="00496445">
        <w:t xml:space="preserve"> </w:t>
      </w:r>
      <w:r w:rsidR="00496445" w:rsidRPr="00496445">
        <w:rPr>
          <w:rFonts w:ascii="Times New Roman" w:hAnsi="Times New Roman" w:cs="Times New Roman"/>
          <w:sz w:val="24"/>
          <w:szCs w:val="24"/>
        </w:rPr>
        <w:t>for Renal or Hepatic Impairment</w:t>
      </w:r>
    </w:p>
    <w:p w14:paraId="1D325C66" w14:textId="77777777" w:rsidR="009B10B8" w:rsidRPr="007764FD" w:rsidRDefault="009B10B8" w:rsidP="002403B3">
      <w:pPr>
        <w:spacing w:after="120"/>
        <w:jc w:val="both"/>
        <w:rPr>
          <w:rFonts w:ascii="Times New Roman" w:hAnsi="Times New Roman" w:cs="Times New Roman"/>
          <w:sz w:val="24"/>
          <w:szCs w:val="24"/>
          <w:u w:val="single"/>
        </w:rPr>
      </w:pPr>
      <w:r w:rsidRPr="007764FD">
        <w:rPr>
          <w:rFonts w:ascii="Times New Roman" w:hAnsi="Times New Roman" w:cs="Times New Roman"/>
          <w:sz w:val="24"/>
          <w:szCs w:val="24"/>
          <w:u w:val="single"/>
        </w:rPr>
        <w:t>Renal Impairment</w:t>
      </w:r>
    </w:p>
    <w:p w14:paraId="300F889A" w14:textId="77777777" w:rsidR="009B10B8" w:rsidRPr="007764FD" w:rsidRDefault="009B10B8" w:rsidP="002403B3">
      <w:pPr>
        <w:spacing w:after="120"/>
        <w:jc w:val="both"/>
        <w:rPr>
          <w:rFonts w:ascii="Times New Roman" w:hAnsi="Times New Roman" w:cs="Times New Roman"/>
          <w:i/>
          <w:iCs/>
          <w:sz w:val="24"/>
          <w:szCs w:val="24"/>
        </w:rPr>
      </w:pPr>
      <w:r w:rsidRPr="007764FD">
        <w:rPr>
          <w:rFonts w:ascii="Times New Roman" w:hAnsi="Times New Roman" w:cs="Times New Roman"/>
          <w:i/>
          <w:iCs/>
          <w:sz w:val="24"/>
          <w:szCs w:val="24"/>
        </w:rPr>
        <w:t>Patients with Mild or Moderate Renal Impairment</w:t>
      </w:r>
    </w:p>
    <w:p w14:paraId="5EF843BA" w14:textId="71EAECCE" w:rsidR="009B10B8" w:rsidRPr="009B10B8" w:rsidRDefault="009B10B8" w:rsidP="002403B3">
      <w:pPr>
        <w:spacing w:after="120"/>
        <w:jc w:val="both"/>
        <w:rPr>
          <w:rFonts w:ascii="Times New Roman" w:hAnsi="Times New Roman" w:cs="Times New Roman"/>
          <w:sz w:val="24"/>
          <w:szCs w:val="24"/>
        </w:rPr>
      </w:pPr>
      <w:r w:rsidRPr="009B10B8">
        <w:rPr>
          <w:rFonts w:ascii="Times New Roman" w:hAnsi="Times New Roman" w:cs="Times New Roman"/>
          <w:sz w:val="24"/>
          <w:szCs w:val="24"/>
        </w:rPr>
        <w:t xml:space="preserve">No dose modification of </w:t>
      </w:r>
      <w:r w:rsidR="003C66D6">
        <w:rPr>
          <w:rFonts w:ascii="Times New Roman" w:hAnsi="Times New Roman" w:cs="Times New Roman"/>
          <w:sz w:val="24"/>
          <w:szCs w:val="24"/>
        </w:rPr>
        <w:t>RHOLISTIQ</w:t>
      </w:r>
      <w:r w:rsidRPr="009B10B8">
        <w:rPr>
          <w:rFonts w:ascii="Times New Roman" w:hAnsi="Times New Roman" w:cs="Times New Roman"/>
          <w:sz w:val="24"/>
          <w:szCs w:val="24"/>
        </w:rPr>
        <w:t xml:space="preserve"> is required</w:t>
      </w:r>
      <w:r w:rsidRPr="006F226B">
        <w:rPr>
          <w:rFonts w:ascii="Times New Roman" w:hAnsi="Times New Roman" w:cs="Times New Roman"/>
          <w:sz w:val="24"/>
          <w:szCs w:val="24"/>
        </w:rPr>
        <w:t xml:space="preserve"> [see</w:t>
      </w:r>
      <w:r w:rsidR="002E666D" w:rsidRPr="006F226B">
        <w:rPr>
          <w:rFonts w:ascii="Times New Roman" w:hAnsi="Times New Roman" w:cs="Times New Roman"/>
          <w:sz w:val="24"/>
          <w:szCs w:val="24"/>
        </w:rPr>
        <w:t xml:space="preserve"> </w:t>
      </w:r>
      <w:hyperlink w:anchor="_Pharmacokinetics_in_Specific">
        <w:r w:rsidR="00587738" w:rsidRPr="3EF34B50">
          <w:rPr>
            <w:rStyle w:val="Hyperlink"/>
            <w:rFonts w:ascii="Times New Roman" w:hAnsi="Times New Roman" w:cs="Times New Roman"/>
            <w:sz w:val="24"/>
            <w:szCs w:val="24"/>
          </w:rPr>
          <w:t>Section 5.2</w:t>
        </w:r>
      </w:hyperlink>
      <w:r w:rsidR="00587738" w:rsidRPr="006F226B">
        <w:rPr>
          <w:rFonts w:ascii="Times New Roman" w:hAnsi="Times New Roman" w:cs="Times New Roman"/>
          <w:sz w:val="24"/>
          <w:szCs w:val="24"/>
        </w:rPr>
        <w:t xml:space="preserve"> </w:t>
      </w:r>
      <w:r w:rsidR="002E666D" w:rsidRPr="006F226B">
        <w:rPr>
          <w:rFonts w:ascii="Times New Roman" w:hAnsi="Times New Roman" w:cs="Times New Roman"/>
          <w:sz w:val="24"/>
          <w:szCs w:val="24"/>
        </w:rPr>
        <w:t>Pharmacokinetic</w:t>
      </w:r>
      <w:r w:rsidR="00C307A6">
        <w:rPr>
          <w:rFonts w:ascii="Times New Roman" w:hAnsi="Times New Roman" w:cs="Times New Roman"/>
          <w:sz w:val="24"/>
          <w:szCs w:val="24"/>
        </w:rPr>
        <w:t xml:space="preserve"> Properties</w:t>
      </w:r>
      <w:r w:rsidR="00024585">
        <w:rPr>
          <w:rFonts w:ascii="Times New Roman" w:hAnsi="Times New Roman" w:cs="Times New Roman"/>
          <w:sz w:val="24"/>
          <w:szCs w:val="24"/>
        </w:rPr>
        <w:t xml:space="preserve"> – Pharmacokinetics in Specific Populations</w:t>
      </w:r>
      <w:r w:rsidR="00C307A6">
        <w:rPr>
          <w:rFonts w:ascii="Times New Roman" w:hAnsi="Times New Roman" w:cs="Times New Roman"/>
          <w:sz w:val="24"/>
          <w:szCs w:val="24"/>
        </w:rPr>
        <w:t>]</w:t>
      </w:r>
      <w:r w:rsidRPr="006F226B">
        <w:rPr>
          <w:rFonts w:ascii="Times New Roman" w:hAnsi="Times New Roman" w:cs="Times New Roman"/>
          <w:sz w:val="24"/>
          <w:szCs w:val="24"/>
        </w:rPr>
        <w:t>.</w:t>
      </w:r>
    </w:p>
    <w:p w14:paraId="5BD29D0A" w14:textId="77777777" w:rsidR="009B10B8" w:rsidRPr="007764FD" w:rsidRDefault="009B10B8" w:rsidP="002403B3">
      <w:pPr>
        <w:spacing w:after="120"/>
        <w:jc w:val="both"/>
        <w:rPr>
          <w:rFonts w:ascii="Times New Roman" w:hAnsi="Times New Roman" w:cs="Times New Roman"/>
          <w:i/>
          <w:iCs/>
          <w:sz w:val="24"/>
          <w:szCs w:val="24"/>
        </w:rPr>
      </w:pPr>
      <w:r w:rsidRPr="007764FD">
        <w:rPr>
          <w:rFonts w:ascii="Times New Roman" w:hAnsi="Times New Roman" w:cs="Times New Roman"/>
          <w:i/>
          <w:iCs/>
          <w:sz w:val="24"/>
          <w:szCs w:val="24"/>
        </w:rPr>
        <w:t>Patients with Severe Renal Impairment</w:t>
      </w:r>
    </w:p>
    <w:p w14:paraId="39DF6FA9" w14:textId="09130749" w:rsidR="009B10B8" w:rsidRPr="009B10B8" w:rsidRDefault="009B10B8" w:rsidP="002403B3">
      <w:pPr>
        <w:spacing w:after="120"/>
        <w:jc w:val="both"/>
        <w:rPr>
          <w:rFonts w:ascii="Times New Roman" w:hAnsi="Times New Roman" w:cs="Times New Roman"/>
          <w:sz w:val="24"/>
          <w:szCs w:val="24"/>
        </w:rPr>
      </w:pPr>
      <w:r w:rsidRPr="009B10B8">
        <w:rPr>
          <w:rFonts w:ascii="Times New Roman" w:hAnsi="Times New Roman" w:cs="Times New Roman"/>
          <w:sz w:val="24"/>
          <w:szCs w:val="24"/>
        </w:rPr>
        <w:t>No data available for patients with severe renal impairment or for patients with end stage renal disease on dialysis</w:t>
      </w:r>
      <w:r w:rsidRPr="006F226B">
        <w:rPr>
          <w:rFonts w:ascii="Times New Roman" w:hAnsi="Times New Roman" w:cs="Times New Roman"/>
          <w:sz w:val="24"/>
          <w:szCs w:val="24"/>
        </w:rPr>
        <w:t xml:space="preserve"> [</w:t>
      </w:r>
      <w:r w:rsidR="002E666D" w:rsidRPr="006F226B">
        <w:rPr>
          <w:rFonts w:ascii="Times New Roman" w:hAnsi="Times New Roman" w:cs="Times New Roman"/>
          <w:sz w:val="24"/>
          <w:szCs w:val="24"/>
        </w:rPr>
        <w:t xml:space="preserve">see </w:t>
      </w:r>
      <w:hyperlink w:anchor="_Pharmacokinetics_in_Specific">
        <w:r w:rsidR="002E666D" w:rsidRPr="3EF34B50">
          <w:rPr>
            <w:rStyle w:val="Hyperlink"/>
            <w:rFonts w:ascii="Times New Roman" w:hAnsi="Times New Roman" w:cs="Times New Roman"/>
            <w:sz w:val="24"/>
            <w:szCs w:val="24"/>
          </w:rPr>
          <w:t>Section 5.2</w:t>
        </w:r>
      </w:hyperlink>
      <w:r w:rsidR="002E666D" w:rsidRPr="006F226B">
        <w:rPr>
          <w:rFonts w:ascii="Times New Roman" w:hAnsi="Times New Roman" w:cs="Times New Roman"/>
          <w:sz w:val="24"/>
          <w:szCs w:val="24"/>
        </w:rPr>
        <w:t xml:space="preserve"> Pharmacokinetic </w:t>
      </w:r>
      <w:r w:rsidR="00C307A6">
        <w:rPr>
          <w:rFonts w:ascii="Times New Roman" w:hAnsi="Times New Roman" w:cs="Times New Roman"/>
          <w:sz w:val="24"/>
          <w:szCs w:val="24"/>
        </w:rPr>
        <w:t>Properties</w:t>
      </w:r>
      <w:r w:rsidR="008E4342">
        <w:rPr>
          <w:rFonts w:ascii="Times New Roman" w:hAnsi="Times New Roman" w:cs="Times New Roman"/>
          <w:sz w:val="24"/>
          <w:szCs w:val="24"/>
        </w:rPr>
        <w:t xml:space="preserve"> – Pharmacokinetics in Specific Populations</w:t>
      </w:r>
      <w:r w:rsidR="00C307A6">
        <w:rPr>
          <w:rFonts w:ascii="Times New Roman" w:hAnsi="Times New Roman" w:cs="Times New Roman"/>
          <w:sz w:val="24"/>
          <w:szCs w:val="24"/>
        </w:rPr>
        <w:t>]</w:t>
      </w:r>
      <w:r w:rsidR="00C307A6" w:rsidRPr="006F226B">
        <w:rPr>
          <w:rFonts w:ascii="Times New Roman" w:hAnsi="Times New Roman" w:cs="Times New Roman"/>
          <w:sz w:val="24"/>
          <w:szCs w:val="24"/>
        </w:rPr>
        <w:t>.</w:t>
      </w:r>
      <w:r w:rsidR="00C307A6">
        <w:rPr>
          <w:rFonts w:ascii="Times New Roman" w:hAnsi="Times New Roman" w:cs="Times New Roman"/>
          <w:sz w:val="24"/>
          <w:szCs w:val="24"/>
        </w:rPr>
        <w:t xml:space="preserve"> </w:t>
      </w:r>
      <w:r w:rsidRPr="006F226B">
        <w:rPr>
          <w:rFonts w:ascii="Times New Roman" w:hAnsi="Times New Roman" w:cs="Times New Roman"/>
          <w:sz w:val="24"/>
          <w:szCs w:val="24"/>
        </w:rPr>
        <w:t>Us</w:t>
      </w:r>
      <w:r w:rsidRPr="009B10B8">
        <w:rPr>
          <w:rFonts w:ascii="Times New Roman" w:hAnsi="Times New Roman" w:cs="Times New Roman"/>
          <w:sz w:val="24"/>
          <w:szCs w:val="24"/>
        </w:rPr>
        <w:t xml:space="preserve">e with caution. </w:t>
      </w:r>
    </w:p>
    <w:p w14:paraId="4BCB76DE" w14:textId="10E7D9FE" w:rsidR="009B10B8" w:rsidRPr="007764FD" w:rsidRDefault="009B10B8" w:rsidP="002403B3">
      <w:pPr>
        <w:spacing w:after="120"/>
        <w:jc w:val="both"/>
        <w:rPr>
          <w:rFonts w:ascii="Times New Roman" w:hAnsi="Times New Roman" w:cs="Times New Roman"/>
          <w:sz w:val="24"/>
          <w:szCs w:val="24"/>
          <w:u w:val="single"/>
        </w:rPr>
      </w:pPr>
      <w:r w:rsidRPr="007764FD">
        <w:rPr>
          <w:rFonts w:ascii="Times New Roman" w:hAnsi="Times New Roman" w:cs="Times New Roman"/>
          <w:sz w:val="24"/>
          <w:szCs w:val="24"/>
          <w:u w:val="single"/>
        </w:rPr>
        <w:t>Hepatic Impairment</w:t>
      </w:r>
    </w:p>
    <w:p w14:paraId="579BFFA2" w14:textId="77777777" w:rsidR="009B10B8" w:rsidRPr="00AA412C" w:rsidRDefault="009B10B8" w:rsidP="002403B3">
      <w:pPr>
        <w:spacing w:after="120"/>
        <w:jc w:val="both"/>
        <w:rPr>
          <w:rFonts w:ascii="Times New Roman" w:hAnsi="Times New Roman" w:cs="Times New Roman"/>
          <w:i/>
          <w:iCs/>
          <w:sz w:val="24"/>
          <w:szCs w:val="24"/>
        </w:rPr>
      </w:pPr>
      <w:r w:rsidRPr="00AA412C">
        <w:rPr>
          <w:rFonts w:ascii="Times New Roman" w:hAnsi="Times New Roman" w:cs="Times New Roman"/>
          <w:i/>
          <w:iCs/>
          <w:sz w:val="24"/>
          <w:szCs w:val="24"/>
        </w:rPr>
        <w:t>Patients with Mild or Moderate Hepatic Impairment</w:t>
      </w:r>
    </w:p>
    <w:p w14:paraId="16AAD3A7" w14:textId="56AB6591" w:rsidR="009B10B8" w:rsidRPr="009B10B8" w:rsidRDefault="009B10B8" w:rsidP="002403B3">
      <w:pPr>
        <w:spacing w:after="120"/>
        <w:jc w:val="both"/>
        <w:rPr>
          <w:rFonts w:ascii="Times New Roman" w:hAnsi="Times New Roman" w:cs="Times New Roman"/>
          <w:sz w:val="24"/>
          <w:szCs w:val="24"/>
        </w:rPr>
      </w:pPr>
      <w:r w:rsidRPr="009B10B8">
        <w:rPr>
          <w:rFonts w:ascii="Times New Roman" w:hAnsi="Times New Roman" w:cs="Times New Roman"/>
          <w:sz w:val="24"/>
          <w:szCs w:val="24"/>
        </w:rPr>
        <w:t xml:space="preserve">No dose modification of </w:t>
      </w:r>
      <w:r w:rsidR="003C66D6">
        <w:rPr>
          <w:rFonts w:ascii="Times New Roman" w:hAnsi="Times New Roman" w:cs="Times New Roman"/>
          <w:sz w:val="24"/>
          <w:szCs w:val="24"/>
        </w:rPr>
        <w:t>RHOLISTIQ</w:t>
      </w:r>
      <w:r w:rsidRPr="009B10B8">
        <w:rPr>
          <w:rFonts w:ascii="Times New Roman" w:hAnsi="Times New Roman" w:cs="Times New Roman"/>
          <w:sz w:val="24"/>
          <w:szCs w:val="24"/>
        </w:rPr>
        <w:t xml:space="preserve"> is required</w:t>
      </w:r>
      <w:r w:rsidRPr="006F226B">
        <w:rPr>
          <w:rFonts w:ascii="Times New Roman" w:hAnsi="Times New Roman" w:cs="Times New Roman"/>
          <w:sz w:val="24"/>
          <w:szCs w:val="24"/>
        </w:rPr>
        <w:t>.</w:t>
      </w:r>
    </w:p>
    <w:p w14:paraId="3286736D" w14:textId="77777777" w:rsidR="009B10B8" w:rsidRPr="00AA412C" w:rsidRDefault="009B10B8" w:rsidP="002403B3">
      <w:pPr>
        <w:spacing w:after="120"/>
        <w:jc w:val="both"/>
        <w:rPr>
          <w:rFonts w:ascii="Times New Roman" w:hAnsi="Times New Roman" w:cs="Times New Roman"/>
          <w:i/>
          <w:iCs/>
          <w:sz w:val="24"/>
          <w:szCs w:val="24"/>
        </w:rPr>
      </w:pPr>
      <w:r w:rsidRPr="00AA412C">
        <w:rPr>
          <w:rFonts w:ascii="Times New Roman" w:hAnsi="Times New Roman" w:cs="Times New Roman"/>
          <w:i/>
          <w:iCs/>
          <w:sz w:val="24"/>
          <w:szCs w:val="24"/>
        </w:rPr>
        <w:t>Patients with Severe Hepatic Impairment</w:t>
      </w:r>
    </w:p>
    <w:p w14:paraId="6B06FA8E" w14:textId="611E4F8E" w:rsidR="009B10B8" w:rsidRPr="009B10B8" w:rsidRDefault="009B10B8" w:rsidP="002403B3">
      <w:pPr>
        <w:spacing w:after="120"/>
        <w:jc w:val="both"/>
        <w:rPr>
          <w:rFonts w:ascii="Times New Roman" w:hAnsi="Times New Roman" w:cs="Times New Roman"/>
          <w:sz w:val="24"/>
          <w:szCs w:val="24"/>
        </w:rPr>
      </w:pPr>
      <w:r w:rsidRPr="009B10B8">
        <w:rPr>
          <w:rFonts w:ascii="Times New Roman" w:hAnsi="Times New Roman" w:cs="Times New Roman"/>
          <w:sz w:val="24"/>
          <w:szCs w:val="24"/>
        </w:rPr>
        <w:lastRenderedPageBreak/>
        <w:t xml:space="preserve">No data available for patients with severe hepatic impairment. </w:t>
      </w:r>
    </w:p>
    <w:p w14:paraId="05C71140" w14:textId="40BC541D" w:rsidR="009B10B8" w:rsidRPr="009B10B8" w:rsidRDefault="009B10B8" w:rsidP="002403B3">
      <w:pPr>
        <w:pStyle w:val="Heading3"/>
        <w:spacing w:before="0" w:after="120"/>
        <w:ind w:left="0"/>
        <w:jc w:val="both"/>
        <w:rPr>
          <w:rFonts w:ascii="Times New Roman" w:hAnsi="Times New Roman" w:cs="Times New Roman"/>
          <w:sz w:val="24"/>
          <w:szCs w:val="24"/>
        </w:rPr>
      </w:pPr>
      <w:r w:rsidRPr="009B10B8">
        <w:rPr>
          <w:rFonts w:ascii="Times New Roman" w:hAnsi="Times New Roman" w:cs="Times New Roman"/>
          <w:sz w:val="24"/>
          <w:szCs w:val="24"/>
        </w:rPr>
        <w:t>Method of Administration</w:t>
      </w:r>
    </w:p>
    <w:p w14:paraId="279EA0A2" w14:textId="62DED865" w:rsidR="002A16B5" w:rsidRDefault="003C66D6" w:rsidP="002403B3">
      <w:pPr>
        <w:spacing w:after="120"/>
        <w:jc w:val="both"/>
        <w:rPr>
          <w:rFonts w:ascii="Times New Roman" w:hAnsi="Times New Roman" w:cs="Times New Roman"/>
          <w:sz w:val="24"/>
          <w:szCs w:val="24"/>
        </w:rPr>
      </w:pPr>
      <w:r>
        <w:rPr>
          <w:rFonts w:ascii="Times New Roman" w:hAnsi="Times New Roman" w:cs="Times New Roman"/>
          <w:sz w:val="24"/>
          <w:szCs w:val="24"/>
        </w:rPr>
        <w:t>RHOLISTIQ</w:t>
      </w:r>
      <w:r w:rsidR="009B10B8" w:rsidRPr="009B10B8">
        <w:rPr>
          <w:rFonts w:ascii="Times New Roman" w:hAnsi="Times New Roman" w:cs="Times New Roman"/>
          <w:sz w:val="24"/>
          <w:szCs w:val="24"/>
        </w:rPr>
        <w:t xml:space="preserve"> is dosed orally and should be administered with a meal.</w:t>
      </w:r>
    </w:p>
    <w:p w14:paraId="13EAA0DE" w14:textId="77777777" w:rsidR="00593F28" w:rsidRPr="00412E07" w:rsidRDefault="00593F28" w:rsidP="002403B3">
      <w:pPr>
        <w:spacing w:after="120"/>
        <w:jc w:val="both"/>
        <w:rPr>
          <w:rFonts w:ascii="Times New Roman" w:hAnsi="Times New Roman" w:cs="Times New Roman"/>
          <w:sz w:val="24"/>
          <w:szCs w:val="24"/>
          <w:u w:val="single"/>
        </w:rPr>
      </w:pPr>
      <w:r w:rsidRPr="00412E07">
        <w:rPr>
          <w:rFonts w:ascii="Times New Roman" w:hAnsi="Times New Roman" w:cs="Times New Roman"/>
          <w:sz w:val="24"/>
          <w:szCs w:val="24"/>
          <w:u w:val="single"/>
        </w:rPr>
        <w:t>Special patient populations</w:t>
      </w:r>
    </w:p>
    <w:p w14:paraId="19C7ED91" w14:textId="4810B449" w:rsidR="005F00F9" w:rsidRDefault="005F00F9" w:rsidP="002403B3">
      <w:pPr>
        <w:spacing w:after="60"/>
        <w:jc w:val="both"/>
        <w:rPr>
          <w:rFonts w:ascii="Times New Roman" w:hAnsi="Times New Roman" w:cs="Times New Roman"/>
          <w:sz w:val="24"/>
          <w:szCs w:val="24"/>
        </w:rPr>
      </w:pPr>
      <w:r>
        <w:rPr>
          <w:rFonts w:ascii="Times New Roman" w:hAnsi="Times New Roman" w:cs="Times New Roman"/>
          <w:sz w:val="24"/>
          <w:szCs w:val="24"/>
        </w:rPr>
        <w:t>N</w:t>
      </w:r>
      <w:r w:rsidRPr="005F00F9">
        <w:rPr>
          <w:rFonts w:ascii="Times New Roman" w:hAnsi="Times New Roman" w:cs="Times New Roman"/>
          <w:sz w:val="24"/>
          <w:szCs w:val="24"/>
        </w:rPr>
        <w:t xml:space="preserve">o dose modification is required for patients aged 65 years </w:t>
      </w:r>
      <w:r w:rsidR="000A25C9">
        <w:rPr>
          <w:rFonts w:ascii="Times New Roman" w:hAnsi="Times New Roman" w:cs="Times New Roman"/>
          <w:sz w:val="24"/>
          <w:szCs w:val="24"/>
        </w:rPr>
        <w:t>and</w:t>
      </w:r>
      <w:r w:rsidRPr="005F00F9">
        <w:rPr>
          <w:rFonts w:ascii="Times New Roman" w:hAnsi="Times New Roman" w:cs="Times New Roman"/>
          <w:sz w:val="24"/>
          <w:szCs w:val="24"/>
        </w:rPr>
        <w:t xml:space="preserve"> older or for adolescent patients.</w:t>
      </w:r>
    </w:p>
    <w:p w14:paraId="6C510599" w14:textId="46AE0902" w:rsidR="001A3992" w:rsidRPr="00946C0C" w:rsidRDefault="001A3992" w:rsidP="002403B3">
      <w:pPr>
        <w:pStyle w:val="Heading2"/>
        <w:spacing w:before="0" w:after="120"/>
        <w:ind w:left="0" w:firstLine="0"/>
        <w:jc w:val="both"/>
        <w:rPr>
          <w:rFonts w:ascii="Times New Roman" w:hAnsi="Times New Roman" w:cs="Times New Roman"/>
        </w:rPr>
      </w:pPr>
      <w:r w:rsidRPr="00946C0C">
        <w:rPr>
          <w:rFonts w:ascii="Times New Roman" w:hAnsi="Times New Roman" w:cs="Times New Roman"/>
        </w:rPr>
        <w:t>Contraindications</w:t>
      </w:r>
    </w:p>
    <w:p w14:paraId="7B50AB73" w14:textId="2CBB99B6" w:rsidR="00377DDB" w:rsidRPr="002432BA" w:rsidRDefault="00593F28" w:rsidP="002403B3">
      <w:pPr>
        <w:jc w:val="both"/>
        <w:rPr>
          <w:rFonts w:ascii="Times New Roman" w:hAnsi="Times New Roman" w:cs="Times New Roman"/>
          <w:b/>
          <w:smallCaps/>
          <w:sz w:val="24"/>
          <w:szCs w:val="24"/>
        </w:rPr>
      </w:pPr>
      <w:r w:rsidRPr="002432BA">
        <w:rPr>
          <w:rFonts w:ascii="Times New Roman" w:hAnsi="Times New Roman" w:cs="Times New Roman"/>
          <w:sz w:val="24"/>
          <w:szCs w:val="24"/>
        </w:rPr>
        <w:t xml:space="preserve">Hypersensitivity to </w:t>
      </w:r>
      <w:proofErr w:type="spellStart"/>
      <w:r w:rsidR="001E3C6B">
        <w:rPr>
          <w:rFonts w:ascii="Times New Roman" w:hAnsi="Times New Roman" w:cs="Times New Roman"/>
          <w:sz w:val="24"/>
          <w:szCs w:val="24"/>
        </w:rPr>
        <w:t>belum</w:t>
      </w:r>
      <w:r w:rsidR="003240D3">
        <w:rPr>
          <w:rFonts w:ascii="Times New Roman" w:hAnsi="Times New Roman" w:cs="Times New Roman"/>
          <w:sz w:val="24"/>
          <w:szCs w:val="24"/>
        </w:rPr>
        <w:t>osudil</w:t>
      </w:r>
      <w:proofErr w:type="spellEnd"/>
      <w:r w:rsidRPr="002432BA">
        <w:rPr>
          <w:rFonts w:ascii="Times New Roman" w:hAnsi="Times New Roman" w:cs="Times New Roman"/>
          <w:sz w:val="24"/>
          <w:szCs w:val="24"/>
        </w:rPr>
        <w:t xml:space="preserve"> or to any of the excipients </w:t>
      </w:r>
      <w:r w:rsidR="00F756AD" w:rsidRPr="002432BA">
        <w:rPr>
          <w:rFonts w:ascii="Times New Roman" w:hAnsi="Times New Roman" w:cs="Times New Roman"/>
          <w:sz w:val="24"/>
          <w:szCs w:val="24"/>
        </w:rPr>
        <w:t xml:space="preserve">listed in </w:t>
      </w:r>
      <w:hyperlink w:anchor="_List_of_excipients" w:history="1">
        <w:r w:rsidR="00A51EF4" w:rsidRPr="00A51EF4">
          <w:rPr>
            <w:rStyle w:val="Hyperlink"/>
            <w:rFonts w:ascii="Times New Roman" w:hAnsi="Times New Roman" w:cs="Times New Roman"/>
            <w:sz w:val="24"/>
            <w:szCs w:val="24"/>
          </w:rPr>
          <w:t>S</w:t>
        </w:r>
        <w:r w:rsidR="00F756AD" w:rsidRPr="00A51EF4">
          <w:rPr>
            <w:rStyle w:val="Hyperlink"/>
            <w:rFonts w:ascii="Times New Roman" w:hAnsi="Times New Roman" w:cs="Times New Roman"/>
            <w:sz w:val="24"/>
            <w:szCs w:val="24"/>
          </w:rPr>
          <w:t>ection 6.1</w:t>
        </w:r>
      </w:hyperlink>
      <w:r w:rsidRPr="002432BA">
        <w:rPr>
          <w:rFonts w:ascii="Times New Roman" w:hAnsi="Times New Roman" w:cs="Times New Roman"/>
          <w:sz w:val="24"/>
          <w:szCs w:val="24"/>
        </w:rPr>
        <w:t>.</w:t>
      </w:r>
      <w:r w:rsidR="00377DDB" w:rsidRPr="002432BA">
        <w:rPr>
          <w:rFonts w:ascii="Times New Roman" w:hAnsi="Times New Roman" w:cs="Times New Roman"/>
          <w:b/>
          <w:smallCaps/>
          <w:sz w:val="24"/>
          <w:szCs w:val="24"/>
        </w:rPr>
        <w:t xml:space="preserve"> </w:t>
      </w:r>
    </w:p>
    <w:p w14:paraId="60CE5821" w14:textId="77777777" w:rsidR="001A3992" w:rsidRPr="00946C0C" w:rsidRDefault="00E74A56" w:rsidP="002403B3">
      <w:pPr>
        <w:pStyle w:val="Heading2"/>
        <w:spacing w:before="0" w:after="120"/>
        <w:ind w:left="0" w:firstLine="0"/>
        <w:jc w:val="both"/>
        <w:rPr>
          <w:rFonts w:ascii="Times New Roman" w:hAnsi="Times New Roman" w:cs="Times New Roman"/>
        </w:rPr>
      </w:pPr>
      <w:bookmarkStart w:id="5" w:name="_Special_warnings_and"/>
      <w:bookmarkEnd w:id="5"/>
      <w:r w:rsidRPr="00946C0C">
        <w:rPr>
          <w:rFonts w:ascii="Times New Roman" w:hAnsi="Times New Roman" w:cs="Times New Roman"/>
        </w:rPr>
        <w:t>Special warnings and p</w:t>
      </w:r>
      <w:r w:rsidR="001A3992" w:rsidRPr="00946C0C">
        <w:rPr>
          <w:rFonts w:ascii="Times New Roman" w:hAnsi="Times New Roman" w:cs="Times New Roman"/>
        </w:rPr>
        <w:t xml:space="preserve">recautions </w:t>
      </w:r>
      <w:r w:rsidRPr="00946C0C">
        <w:rPr>
          <w:rFonts w:ascii="Times New Roman" w:hAnsi="Times New Roman" w:cs="Times New Roman"/>
        </w:rPr>
        <w:t>for use</w:t>
      </w:r>
    </w:p>
    <w:p w14:paraId="5084A5EB" w14:textId="5E60D77A" w:rsidR="005E406A" w:rsidRPr="003C072E" w:rsidRDefault="003833CA" w:rsidP="002403B3">
      <w:pPr>
        <w:pStyle w:val="Heading3"/>
        <w:spacing w:before="0" w:after="120"/>
        <w:ind w:left="0"/>
        <w:jc w:val="both"/>
        <w:rPr>
          <w:rFonts w:ascii="Times New Roman" w:hAnsi="Times New Roman" w:cs="Times New Roman"/>
          <w:sz w:val="24"/>
          <w:szCs w:val="24"/>
        </w:rPr>
      </w:pPr>
      <w:bookmarkStart w:id="6" w:name="_Embryo-Foetal_Toxicity"/>
      <w:bookmarkEnd w:id="6"/>
      <w:r w:rsidRPr="003833CA">
        <w:rPr>
          <w:rFonts w:ascii="Times New Roman" w:hAnsi="Times New Roman" w:cs="Times New Roman"/>
          <w:sz w:val="24"/>
          <w:szCs w:val="24"/>
        </w:rPr>
        <w:t>Embryofetal</w:t>
      </w:r>
      <w:r>
        <w:rPr>
          <w:rFonts w:ascii="Times New Roman" w:hAnsi="Times New Roman" w:cs="Times New Roman"/>
          <w:sz w:val="24"/>
          <w:szCs w:val="24"/>
        </w:rPr>
        <w:t xml:space="preserve"> </w:t>
      </w:r>
      <w:r w:rsidR="005E406A" w:rsidRPr="003C072E">
        <w:rPr>
          <w:rFonts w:ascii="Times New Roman" w:hAnsi="Times New Roman" w:cs="Times New Roman"/>
          <w:sz w:val="24"/>
          <w:szCs w:val="24"/>
        </w:rPr>
        <w:t>Toxicity</w:t>
      </w:r>
    </w:p>
    <w:p w14:paraId="6707EDF9" w14:textId="43E13A33" w:rsidR="00D43580" w:rsidRDefault="0095521B" w:rsidP="002403B3">
      <w:pPr>
        <w:spacing w:after="60"/>
        <w:jc w:val="both"/>
        <w:rPr>
          <w:rFonts w:ascii="Times New Roman" w:hAnsi="Times New Roman" w:cs="Times New Roman"/>
          <w:sz w:val="24"/>
          <w:szCs w:val="24"/>
        </w:rPr>
      </w:pPr>
      <w:r w:rsidRPr="0095521B">
        <w:rPr>
          <w:rFonts w:ascii="Times New Roman" w:hAnsi="Times New Roman" w:cs="Times New Roman"/>
          <w:sz w:val="24"/>
          <w:szCs w:val="24"/>
        </w:rPr>
        <w:t xml:space="preserve">Based on findings in animals, </w:t>
      </w:r>
      <w:r w:rsidR="00957226">
        <w:rPr>
          <w:rFonts w:ascii="Times New Roman" w:hAnsi="Times New Roman" w:cs="Times New Roman"/>
          <w:sz w:val="24"/>
          <w:szCs w:val="24"/>
        </w:rPr>
        <w:t>RHOLISTIQ</w:t>
      </w:r>
      <w:r w:rsidR="00700C25">
        <w:rPr>
          <w:rFonts w:ascii="Times New Roman" w:hAnsi="Times New Roman" w:cs="Times New Roman"/>
          <w:sz w:val="24"/>
          <w:szCs w:val="24"/>
        </w:rPr>
        <w:t xml:space="preserve"> </w:t>
      </w:r>
      <w:r w:rsidRPr="0095521B">
        <w:rPr>
          <w:rFonts w:ascii="Times New Roman" w:hAnsi="Times New Roman" w:cs="Times New Roman"/>
          <w:sz w:val="24"/>
          <w:szCs w:val="24"/>
        </w:rPr>
        <w:t xml:space="preserve">can cause </w:t>
      </w:r>
      <w:r w:rsidR="00F12959">
        <w:rPr>
          <w:rFonts w:ascii="Times New Roman" w:hAnsi="Times New Roman" w:cs="Times New Roman"/>
          <w:sz w:val="24"/>
          <w:szCs w:val="24"/>
        </w:rPr>
        <w:t>embryo</w:t>
      </w:r>
      <w:r w:rsidRPr="0095521B">
        <w:rPr>
          <w:rFonts w:ascii="Times New Roman" w:hAnsi="Times New Roman" w:cs="Times New Roman"/>
          <w:sz w:val="24"/>
          <w:szCs w:val="24"/>
        </w:rPr>
        <w:t xml:space="preserve">fetal harm when administered to a pregnant woman.  </w:t>
      </w:r>
      <w:r w:rsidR="00E033BD" w:rsidRPr="00E033BD">
        <w:rPr>
          <w:rFonts w:ascii="Times New Roman" w:hAnsi="Times New Roman" w:cs="Times New Roman"/>
          <w:sz w:val="24"/>
          <w:szCs w:val="24"/>
        </w:rPr>
        <w:t xml:space="preserve">Embryofetal lethality and </w:t>
      </w:r>
      <w:proofErr w:type="spellStart"/>
      <w:r w:rsidR="00E033BD" w:rsidRPr="00E033BD">
        <w:rPr>
          <w:rFonts w:ascii="Times New Roman" w:hAnsi="Times New Roman" w:cs="Times New Roman"/>
          <w:sz w:val="24"/>
          <w:szCs w:val="24"/>
        </w:rPr>
        <w:t>fetal</w:t>
      </w:r>
      <w:proofErr w:type="spellEnd"/>
      <w:r w:rsidR="00E033BD" w:rsidRPr="00E033BD">
        <w:rPr>
          <w:rFonts w:ascii="Times New Roman" w:hAnsi="Times New Roman" w:cs="Times New Roman"/>
          <w:sz w:val="24"/>
          <w:szCs w:val="24"/>
        </w:rPr>
        <w:t xml:space="preserve"> malformations were observed in pregnant rats and rabbits administered </w:t>
      </w:r>
      <w:proofErr w:type="spellStart"/>
      <w:r w:rsidR="00E033BD" w:rsidRPr="00E033BD">
        <w:rPr>
          <w:rFonts w:ascii="Times New Roman" w:hAnsi="Times New Roman" w:cs="Times New Roman"/>
          <w:sz w:val="24"/>
          <w:szCs w:val="24"/>
        </w:rPr>
        <w:t>belumosudil</w:t>
      </w:r>
      <w:proofErr w:type="spellEnd"/>
      <w:r w:rsidR="00E033BD" w:rsidRPr="00E033BD">
        <w:rPr>
          <w:rFonts w:ascii="Times New Roman" w:hAnsi="Times New Roman" w:cs="Times New Roman"/>
          <w:sz w:val="24"/>
          <w:szCs w:val="24"/>
        </w:rPr>
        <w:t xml:space="preserve"> at doses yielding clinically relevant exposure levels [see </w:t>
      </w:r>
      <w:hyperlink w:anchor="_Fertility,_pregnancy_and" w:history="1">
        <w:r w:rsidR="00E033BD" w:rsidRPr="0005249E">
          <w:rPr>
            <w:rStyle w:val="Hyperlink"/>
            <w:rFonts w:ascii="Times New Roman" w:hAnsi="Times New Roman" w:cs="Times New Roman"/>
            <w:sz w:val="24"/>
            <w:szCs w:val="24"/>
          </w:rPr>
          <w:t>Section 4.6</w:t>
        </w:r>
      </w:hyperlink>
      <w:r w:rsidR="00E033BD" w:rsidRPr="003C072E">
        <w:rPr>
          <w:rFonts w:ascii="Times New Roman" w:hAnsi="Times New Roman" w:cs="Times New Roman"/>
          <w:sz w:val="24"/>
          <w:szCs w:val="24"/>
        </w:rPr>
        <w:t xml:space="preserve"> </w:t>
      </w:r>
      <w:r w:rsidR="00E033BD" w:rsidRPr="00E033BD">
        <w:rPr>
          <w:rFonts w:ascii="Times New Roman" w:hAnsi="Times New Roman" w:cs="Times New Roman"/>
          <w:sz w:val="24"/>
          <w:szCs w:val="24"/>
        </w:rPr>
        <w:t>Fertility, Pregnancy &amp; Lactation].</w:t>
      </w:r>
      <w:r w:rsidR="00C00FC0">
        <w:rPr>
          <w:rFonts w:ascii="Times New Roman" w:hAnsi="Times New Roman" w:cs="Times New Roman"/>
          <w:sz w:val="24"/>
          <w:szCs w:val="24"/>
        </w:rPr>
        <w:t xml:space="preserve"> </w:t>
      </w:r>
      <w:r w:rsidR="00C00FC0" w:rsidRPr="00C00FC0">
        <w:rPr>
          <w:rFonts w:ascii="Times New Roman" w:hAnsi="Times New Roman" w:cs="Times New Roman"/>
          <w:sz w:val="24"/>
          <w:szCs w:val="24"/>
        </w:rPr>
        <w:t xml:space="preserve">If this drug is used during pregnancy or if the patient becomes pregnant while taking this drug, the patient should be apprised of the potential hazard to a </w:t>
      </w:r>
      <w:proofErr w:type="spellStart"/>
      <w:r w:rsidR="00C00FC0" w:rsidRPr="00C00FC0">
        <w:rPr>
          <w:rFonts w:ascii="Times New Roman" w:hAnsi="Times New Roman" w:cs="Times New Roman"/>
          <w:sz w:val="24"/>
          <w:szCs w:val="24"/>
        </w:rPr>
        <w:t>fetus</w:t>
      </w:r>
      <w:proofErr w:type="spellEnd"/>
      <w:r w:rsidR="00C00FC0" w:rsidRPr="00C00FC0">
        <w:rPr>
          <w:rFonts w:ascii="Times New Roman" w:hAnsi="Times New Roman" w:cs="Times New Roman"/>
          <w:sz w:val="24"/>
          <w:szCs w:val="24"/>
        </w:rPr>
        <w:t xml:space="preserve"> [see </w:t>
      </w:r>
      <w:hyperlink w:anchor="_Fertility,_pregnancy_and" w:history="1">
        <w:r w:rsidR="00736442" w:rsidRPr="0005249E">
          <w:rPr>
            <w:rStyle w:val="Hyperlink"/>
            <w:rFonts w:ascii="Times New Roman" w:hAnsi="Times New Roman" w:cs="Times New Roman"/>
            <w:sz w:val="24"/>
            <w:szCs w:val="24"/>
          </w:rPr>
          <w:t>Section 4.6</w:t>
        </w:r>
      </w:hyperlink>
      <w:r w:rsidR="00C00FC0" w:rsidRPr="00C00FC0">
        <w:rPr>
          <w:rFonts w:ascii="Times New Roman" w:hAnsi="Times New Roman" w:cs="Times New Roman"/>
          <w:sz w:val="24"/>
          <w:szCs w:val="24"/>
        </w:rPr>
        <w:t xml:space="preserve"> Fertility, Pregnancy &amp; Lactation].</w:t>
      </w:r>
      <w:r w:rsidR="003F68E5">
        <w:rPr>
          <w:rFonts w:ascii="Times New Roman" w:hAnsi="Times New Roman" w:cs="Times New Roman"/>
          <w:sz w:val="24"/>
          <w:szCs w:val="24"/>
        </w:rPr>
        <w:t xml:space="preserve"> </w:t>
      </w:r>
    </w:p>
    <w:p w14:paraId="0E5D4AEB" w14:textId="17DE7848" w:rsidR="0095521B" w:rsidRDefault="0095521B" w:rsidP="002403B3">
      <w:pPr>
        <w:jc w:val="both"/>
        <w:rPr>
          <w:rFonts w:ascii="Times New Roman" w:hAnsi="Times New Roman" w:cs="Times New Roman"/>
          <w:sz w:val="24"/>
          <w:szCs w:val="24"/>
        </w:rPr>
      </w:pPr>
      <w:r w:rsidRPr="0095521B">
        <w:rPr>
          <w:rFonts w:ascii="Times New Roman" w:hAnsi="Times New Roman" w:cs="Times New Roman"/>
          <w:sz w:val="24"/>
          <w:szCs w:val="24"/>
        </w:rPr>
        <w:t xml:space="preserve">Advise females of reproductive potential to use effective contraception during treatment with </w:t>
      </w:r>
      <w:r w:rsidR="003C66D6">
        <w:rPr>
          <w:rFonts w:ascii="Times New Roman" w:hAnsi="Times New Roman" w:cs="Times New Roman"/>
          <w:sz w:val="24"/>
          <w:szCs w:val="24"/>
        </w:rPr>
        <w:t>RHOLISTIQ</w:t>
      </w:r>
      <w:r w:rsidRPr="0095521B">
        <w:rPr>
          <w:rFonts w:ascii="Times New Roman" w:hAnsi="Times New Roman" w:cs="Times New Roman"/>
          <w:sz w:val="24"/>
          <w:szCs w:val="24"/>
        </w:rPr>
        <w:t xml:space="preserve"> and for at least one week after the last dose of </w:t>
      </w:r>
      <w:r w:rsidR="003C66D6">
        <w:rPr>
          <w:rFonts w:ascii="Times New Roman" w:hAnsi="Times New Roman" w:cs="Times New Roman"/>
          <w:sz w:val="24"/>
          <w:szCs w:val="24"/>
        </w:rPr>
        <w:t>RHOLISTIQ</w:t>
      </w:r>
      <w:r w:rsidRPr="0095521B">
        <w:rPr>
          <w:rFonts w:ascii="Times New Roman" w:hAnsi="Times New Roman" w:cs="Times New Roman"/>
          <w:sz w:val="24"/>
          <w:szCs w:val="24"/>
        </w:rPr>
        <w:t xml:space="preserve">. Advise males with female partners of reproductive potential to use effective contraception during treatment with </w:t>
      </w:r>
      <w:r w:rsidR="003C66D6">
        <w:rPr>
          <w:rFonts w:ascii="Times New Roman" w:hAnsi="Times New Roman" w:cs="Times New Roman"/>
          <w:sz w:val="24"/>
          <w:szCs w:val="24"/>
        </w:rPr>
        <w:t>RHOLISTIQ</w:t>
      </w:r>
      <w:r w:rsidRPr="0095521B">
        <w:rPr>
          <w:rFonts w:ascii="Times New Roman" w:hAnsi="Times New Roman" w:cs="Times New Roman"/>
          <w:sz w:val="24"/>
          <w:szCs w:val="24"/>
        </w:rPr>
        <w:t xml:space="preserve"> and for at least one week after the last dose of </w:t>
      </w:r>
      <w:r w:rsidR="003C66D6">
        <w:rPr>
          <w:rFonts w:ascii="Times New Roman" w:hAnsi="Times New Roman" w:cs="Times New Roman"/>
          <w:sz w:val="24"/>
          <w:szCs w:val="24"/>
        </w:rPr>
        <w:t>RHOLISTIQ</w:t>
      </w:r>
      <w:r w:rsidRPr="0095521B">
        <w:rPr>
          <w:rFonts w:ascii="Times New Roman" w:hAnsi="Times New Roman" w:cs="Times New Roman"/>
          <w:sz w:val="24"/>
          <w:szCs w:val="24"/>
        </w:rPr>
        <w:t xml:space="preserve"> </w:t>
      </w:r>
      <w:r w:rsidR="00B67A9D">
        <w:rPr>
          <w:rFonts w:ascii="Times New Roman" w:hAnsi="Times New Roman" w:cs="Times New Roman"/>
          <w:sz w:val="24"/>
          <w:szCs w:val="24"/>
        </w:rPr>
        <w:t>[</w:t>
      </w:r>
      <w:r w:rsidRPr="003C072E">
        <w:rPr>
          <w:rFonts w:ascii="Times New Roman" w:hAnsi="Times New Roman" w:cs="Times New Roman"/>
          <w:sz w:val="24"/>
          <w:szCs w:val="24"/>
        </w:rPr>
        <w:t xml:space="preserve">see </w:t>
      </w:r>
      <w:hyperlink w:anchor="_Fertility,_pregnancy_and" w:history="1">
        <w:r w:rsidRPr="0005249E">
          <w:rPr>
            <w:rStyle w:val="Hyperlink"/>
            <w:rFonts w:ascii="Times New Roman" w:hAnsi="Times New Roman" w:cs="Times New Roman"/>
            <w:sz w:val="24"/>
            <w:szCs w:val="24"/>
          </w:rPr>
          <w:t>Section 4.6</w:t>
        </w:r>
      </w:hyperlink>
      <w:r w:rsidRPr="003C072E">
        <w:rPr>
          <w:rFonts w:ascii="Times New Roman" w:hAnsi="Times New Roman" w:cs="Times New Roman"/>
          <w:sz w:val="24"/>
          <w:szCs w:val="24"/>
        </w:rPr>
        <w:t xml:space="preserve"> Fertility, Pregnancy &amp; Lactation</w:t>
      </w:r>
      <w:r w:rsidR="00B67A9D">
        <w:rPr>
          <w:rFonts w:ascii="Times New Roman" w:hAnsi="Times New Roman" w:cs="Times New Roman"/>
          <w:sz w:val="24"/>
          <w:szCs w:val="24"/>
        </w:rPr>
        <w:t>]</w:t>
      </w:r>
      <w:r w:rsidRPr="0095521B">
        <w:rPr>
          <w:rFonts w:ascii="Times New Roman" w:hAnsi="Times New Roman" w:cs="Times New Roman"/>
          <w:sz w:val="24"/>
          <w:szCs w:val="24"/>
        </w:rPr>
        <w:t>.</w:t>
      </w:r>
    </w:p>
    <w:p w14:paraId="74AAAC12" w14:textId="606F17A1" w:rsidR="004E4D66" w:rsidRPr="003C072E" w:rsidRDefault="004E4D66" w:rsidP="002403B3">
      <w:pPr>
        <w:pStyle w:val="Heading3"/>
        <w:spacing w:before="0" w:after="120"/>
        <w:ind w:left="0"/>
        <w:jc w:val="both"/>
        <w:rPr>
          <w:rFonts w:ascii="Times New Roman" w:hAnsi="Times New Roman" w:cs="Times New Roman"/>
          <w:sz w:val="24"/>
          <w:szCs w:val="24"/>
        </w:rPr>
      </w:pPr>
      <w:r>
        <w:rPr>
          <w:rFonts w:ascii="Times New Roman" w:hAnsi="Times New Roman" w:cs="Times New Roman"/>
          <w:sz w:val="24"/>
          <w:szCs w:val="24"/>
        </w:rPr>
        <w:t>Photosensitivity</w:t>
      </w:r>
    </w:p>
    <w:p w14:paraId="6B8791AA" w14:textId="5597181C" w:rsidR="004E4D66" w:rsidRPr="006D4B5E" w:rsidRDefault="004E4D66" w:rsidP="002403B3">
      <w:pPr>
        <w:jc w:val="both"/>
      </w:pPr>
      <w:r w:rsidRPr="004E4D66">
        <w:rPr>
          <w:rFonts w:ascii="Times New Roman" w:hAnsi="Times New Roman" w:cs="Times New Roman"/>
          <w:sz w:val="24"/>
          <w:szCs w:val="24"/>
        </w:rPr>
        <w:t>RHOLISTIQ absorbs UV light and shows affinity for melanin. RHOLISTIQ demonstrated photo</w:t>
      </w:r>
      <w:r w:rsidR="009E5139">
        <w:rPr>
          <w:rFonts w:ascii="Times New Roman" w:hAnsi="Times New Roman" w:cs="Times New Roman"/>
          <w:sz w:val="24"/>
          <w:szCs w:val="24"/>
        </w:rPr>
        <w:t>to</w:t>
      </w:r>
      <w:r w:rsidRPr="004E4D66">
        <w:rPr>
          <w:rFonts w:ascii="Times New Roman" w:hAnsi="Times New Roman" w:cs="Times New Roman"/>
          <w:sz w:val="24"/>
          <w:szCs w:val="24"/>
        </w:rPr>
        <w:t>x</w:t>
      </w:r>
      <w:r w:rsidR="009E5139">
        <w:rPr>
          <w:rFonts w:ascii="Times New Roman" w:hAnsi="Times New Roman" w:cs="Times New Roman"/>
          <w:sz w:val="24"/>
          <w:szCs w:val="24"/>
        </w:rPr>
        <w:t>i</w:t>
      </w:r>
      <w:r w:rsidRPr="004E4D66">
        <w:rPr>
          <w:rFonts w:ascii="Times New Roman" w:hAnsi="Times New Roman" w:cs="Times New Roman"/>
          <w:sz w:val="24"/>
          <w:szCs w:val="24"/>
        </w:rPr>
        <w:t xml:space="preserve">city in an </w:t>
      </w:r>
      <w:r w:rsidRPr="006D4B5E">
        <w:rPr>
          <w:rFonts w:ascii="Times New Roman" w:hAnsi="Times New Roman" w:cs="Times New Roman"/>
          <w:i/>
          <w:iCs/>
          <w:sz w:val="24"/>
          <w:szCs w:val="24"/>
        </w:rPr>
        <w:t>in vitro</w:t>
      </w:r>
      <w:r w:rsidRPr="004E4D66">
        <w:rPr>
          <w:rFonts w:ascii="Times New Roman" w:hAnsi="Times New Roman" w:cs="Times New Roman"/>
          <w:sz w:val="24"/>
          <w:szCs w:val="24"/>
        </w:rPr>
        <w:t xml:space="preserve"> assay using </w:t>
      </w:r>
      <w:proofErr w:type="spellStart"/>
      <w:r w:rsidRPr="004E4D66">
        <w:rPr>
          <w:rFonts w:ascii="Times New Roman" w:hAnsi="Times New Roman" w:cs="Times New Roman"/>
          <w:sz w:val="24"/>
          <w:szCs w:val="24"/>
        </w:rPr>
        <w:t>Balb</w:t>
      </w:r>
      <w:proofErr w:type="spellEnd"/>
      <w:r w:rsidRPr="004E4D66">
        <w:rPr>
          <w:rFonts w:ascii="Times New Roman" w:hAnsi="Times New Roman" w:cs="Times New Roman"/>
          <w:sz w:val="24"/>
          <w:szCs w:val="24"/>
        </w:rPr>
        <w:t>/c 3T3 mouse fibroblast cells. While phototoxicity has not been observed in clinical studies, patients should be advised that skin reactions due to phototoxicity could potentially occur with RHOLISTIQ.</w:t>
      </w:r>
    </w:p>
    <w:p w14:paraId="2E4AF4DB" w14:textId="72327F51" w:rsidR="00592420" w:rsidRPr="003C072E" w:rsidRDefault="00592420" w:rsidP="002403B3">
      <w:pPr>
        <w:pStyle w:val="Heading3"/>
        <w:spacing w:before="0" w:after="120"/>
        <w:ind w:left="0"/>
        <w:jc w:val="both"/>
        <w:rPr>
          <w:rFonts w:ascii="Times New Roman" w:hAnsi="Times New Roman" w:cs="Times New Roman"/>
          <w:sz w:val="24"/>
          <w:szCs w:val="24"/>
        </w:rPr>
      </w:pPr>
      <w:r>
        <w:rPr>
          <w:rFonts w:ascii="Times New Roman" w:hAnsi="Times New Roman" w:cs="Times New Roman"/>
          <w:sz w:val="24"/>
          <w:szCs w:val="24"/>
        </w:rPr>
        <w:t xml:space="preserve">Use in the </w:t>
      </w:r>
      <w:r w:rsidR="00321BBC">
        <w:rPr>
          <w:rFonts w:ascii="Times New Roman" w:hAnsi="Times New Roman" w:cs="Times New Roman"/>
          <w:sz w:val="24"/>
          <w:szCs w:val="24"/>
        </w:rPr>
        <w:t>E</w:t>
      </w:r>
      <w:r>
        <w:rPr>
          <w:rFonts w:ascii="Times New Roman" w:hAnsi="Times New Roman" w:cs="Times New Roman"/>
          <w:sz w:val="24"/>
          <w:szCs w:val="24"/>
        </w:rPr>
        <w:t>lderly</w:t>
      </w:r>
    </w:p>
    <w:p w14:paraId="7ADB5A92" w14:textId="7B7FAA19" w:rsidR="00321BBC" w:rsidRDefault="00321BBC" w:rsidP="002403B3">
      <w:pPr>
        <w:jc w:val="both"/>
        <w:rPr>
          <w:rFonts w:ascii="Times New Roman" w:hAnsi="Times New Roman" w:cs="Times New Roman"/>
          <w:sz w:val="24"/>
          <w:szCs w:val="24"/>
        </w:rPr>
      </w:pPr>
      <w:r w:rsidRPr="00CF0BE2">
        <w:rPr>
          <w:rFonts w:ascii="Times New Roman" w:hAnsi="Times New Roman" w:cs="Times New Roman"/>
          <w:sz w:val="24"/>
          <w:szCs w:val="24"/>
        </w:rPr>
        <w:t xml:space="preserve">Of the 186 patients with chronic GVHD in clinical studies of </w:t>
      </w:r>
      <w:r>
        <w:rPr>
          <w:rFonts w:ascii="Times New Roman" w:hAnsi="Times New Roman" w:cs="Times New Roman"/>
          <w:sz w:val="24"/>
          <w:szCs w:val="24"/>
        </w:rPr>
        <w:t>RHOLISTIQ</w:t>
      </w:r>
      <w:r w:rsidRPr="00CF0BE2">
        <w:rPr>
          <w:rFonts w:ascii="Times New Roman" w:hAnsi="Times New Roman" w:cs="Times New Roman"/>
          <w:sz w:val="24"/>
          <w:szCs w:val="24"/>
        </w:rPr>
        <w:t xml:space="preserve">, 25.8% were 65 years and older. No overall differences in safety or effectiveness of </w:t>
      </w:r>
      <w:r>
        <w:rPr>
          <w:rFonts w:ascii="Times New Roman" w:hAnsi="Times New Roman" w:cs="Times New Roman"/>
          <w:sz w:val="24"/>
          <w:szCs w:val="24"/>
        </w:rPr>
        <w:t>RHOLISTIQ</w:t>
      </w:r>
      <w:r w:rsidRPr="00CF0BE2">
        <w:rPr>
          <w:rFonts w:ascii="Times New Roman" w:hAnsi="Times New Roman" w:cs="Times New Roman"/>
          <w:sz w:val="24"/>
          <w:szCs w:val="24"/>
        </w:rPr>
        <w:t xml:space="preserve"> were observed between these patients and younger patients. </w:t>
      </w:r>
    </w:p>
    <w:p w14:paraId="74EE8E67" w14:textId="3D6D9DB4" w:rsidR="007A1E93" w:rsidRPr="003C072E" w:rsidRDefault="007A1E93" w:rsidP="002403B3">
      <w:pPr>
        <w:pStyle w:val="Heading3"/>
        <w:spacing w:before="0" w:after="120"/>
        <w:ind w:left="0"/>
        <w:jc w:val="both"/>
        <w:rPr>
          <w:rFonts w:ascii="Times New Roman" w:hAnsi="Times New Roman" w:cs="Times New Roman"/>
          <w:sz w:val="24"/>
          <w:szCs w:val="24"/>
        </w:rPr>
      </w:pPr>
      <w:r>
        <w:rPr>
          <w:rFonts w:ascii="Times New Roman" w:hAnsi="Times New Roman" w:cs="Times New Roman"/>
          <w:sz w:val="24"/>
          <w:szCs w:val="24"/>
        </w:rPr>
        <w:t>Paediatric Use</w:t>
      </w:r>
    </w:p>
    <w:p w14:paraId="6BAD7F7C" w14:textId="015A51C6" w:rsidR="00A75C7A" w:rsidRDefault="00110617" w:rsidP="002403B3">
      <w:pPr>
        <w:spacing w:after="60"/>
        <w:jc w:val="both"/>
        <w:rPr>
          <w:rFonts w:ascii="Times New Roman" w:hAnsi="Times New Roman" w:cs="Times New Roman"/>
          <w:sz w:val="24"/>
          <w:szCs w:val="24"/>
        </w:rPr>
      </w:pPr>
      <w:r w:rsidRPr="00110617">
        <w:rPr>
          <w:rFonts w:ascii="Times New Roman" w:hAnsi="Times New Roman" w:cs="Times New Roman"/>
          <w:sz w:val="24"/>
          <w:szCs w:val="24"/>
        </w:rPr>
        <w:t xml:space="preserve">Use of RHOLISTIQ in paediatric patients 12 years and older is supported by evidence from studies in adults with additional population pharmacokinetic data demonstrating that age and body weight had no clinically meaningful effect on the pharmacokinetics of drug substance, that the exposure of drug substance is expected to be similar between adults and paediatric </w:t>
      </w:r>
      <w:r w:rsidRPr="00110617">
        <w:rPr>
          <w:rFonts w:ascii="Times New Roman" w:hAnsi="Times New Roman" w:cs="Times New Roman"/>
          <w:sz w:val="24"/>
          <w:szCs w:val="24"/>
        </w:rPr>
        <w:lastRenderedPageBreak/>
        <w:t xml:space="preserve">patients age 12 years and older, and that the course of disease is sufficiently similar in adult and paediatric patients to allow </w:t>
      </w:r>
      <w:r w:rsidR="00DC7F81">
        <w:rPr>
          <w:rFonts w:ascii="Times New Roman" w:hAnsi="Times New Roman" w:cs="Times New Roman"/>
          <w:sz w:val="24"/>
          <w:szCs w:val="24"/>
        </w:rPr>
        <w:t>e</w:t>
      </w:r>
      <w:r w:rsidRPr="00110617">
        <w:rPr>
          <w:rFonts w:ascii="Times New Roman" w:hAnsi="Times New Roman" w:cs="Times New Roman"/>
          <w:sz w:val="24"/>
          <w:szCs w:val="24"/>
        </w:rPr>
        <w:t>xtrapolation of data in adults to these paediatric patients.</w:t>
      </w:r>
    </w:p>
    <w:p w14:paraId="3B34C82B" w14:textId="3C3F808A" w:rsidR="001402C4" w:rsidRDefault="001402C4" w:rsidP="002403B3">
      <w:pPr>
        <w:jc w:val="both"/>
        <w:rPr>
          <w:rFonts w:ascii="Times New Roman" w:hAnsi="Times New Roman" w:cs="Times New Roman"/>
          <w:sz w:val="24"/>
          <w:szCs w:val="24"/>
        </w:rPr>
      </w:pPr>
      <w:r w:rsidRPr="001402C4">
        <w:rPr>
          <w:rFonts w:ascii="Times New Roman" w:hAnsi="Times New Roman" w:cs="Times New Roman"/>
          <w:sz w:val="24"/>
          <w:szCs w:val="24"/>
        </w:rPr>
        <w:t>The safety and effectiveness of RHOLISTIQ in paediatric patients less than 12 years old have not been established.</w:t>
      </w:r>
    </w:p>
    <w:p w14:paraId="1FB1FC3D" w14:textId="054FB314" w:rsidR="00FF6B28" w:rsidRPr="003C072E" w:rsidRDefault="00FF6B28" w:rsidP="002403B3">
      <w:pPr>
        <w:pStyle w:val="Heading3"/>
        <w:spacing w:before="0" w:after="120"/>
        <w:ind w:left="0"/>
        <w:jc w:val="both"/>
        <w:rPr>
          <w:rFonts w:ascii="Times New Roman" w:hAnsi="Times New Roman" w:cs="Times New Roman"/>
          <w:sz w:val="24"/>
          <w:szCs w:val="24"/>
        </w:rPr>
      </w:pPr>
      <w:r>
        <w:rPr>
          <w:rFonts w:ascii="Times New Roman" w:hAnsi="Times New Roman" w:cs="Times New Roman"/>
          <w:sz w:val="24"/>
          <w:szCs w:val="24"/>
        </w:rPr>
        <w:t>Effects on Laboratory Tests</w:t>
      </w:r>
    </w:p>
    <w:p w14:paraId="6B330E43" w14:textId="0D861FB2" w:rsidR="00FF6B28" w:rsidRDefault="00DA0691" w:rsidP="002403B3">
      <w:pPr>
        <w:jc w:val="both"/>
        <w:rPr>
          <w:rFonts w:ascii="Times New Roman" w:hAnsi="Times New Roman" w:cs="Times New Roman"/>
          <w:sz w:val="24"/>
          <w:szCs w:val="24"/>
        </w:rPr>
      </w:pPr>
      <w:r>
        <w:rPr>
          <w:rFonts w:ascii="Times New Roman" w:hAnsi="Times New Roman" w:cs="Times New Roman"/>
          <w:sz w:val="24"/>
          <w:szCs w:val="24"/>
        </w:rPr>
        <w:t>No data available.</w:t>
      </w:r>
    </w:p>
    <w:p w14:paraId="750D50B3" w14:textId="77777777" w:rsidR="001A3992" w:rsidRPr="003C072E" w:rsidRDefault="001A3992" w:rsidP="002403B3">
      <w:pPr>
        <w:pStyle w:val="Heading2"/>
        <w:keepNext/>
        <w:keepLines/>
        <w:spacing w:before="0" w:after="120"/>
        <w:ind w:left="0" w:firstLine="0"/>
        <w:jc w:val="both"/>
        <w:rPr>
          <w:rFonts w:ascii="Times New Roman" w:hAnsi="Times New Roman" w:cs="Times New Roman"/>
        </w:rPr>
      </w:pPr>
      <w:bookmarkStart w:id="7" w:name="_Interactions_with_other"/>
      <w:bookmarkEnd w:id="7"/>
      <w:r w:rsidRPr="003C072E">
        <w:rPr>
          <w:rFonts w:ascii="Times New Roman" w:hAnsi="Times New Roman" w:cs="Times New Roman"/>
        </w:rPr>
        <w:t>Interactions with other medicines and other forms of interactions</w:t>
      </w:r>
    </w:p>
    <w:p w14:paraId="629E2F49" w14:textId="17472EDF" w:rsidR="00A4241B" w:rsidRPr="0085758C" w:rsidRDefault="00A4241B" w:rsidP="002403B3">
      <w:pPr>
        <w:keepNext/>
        <w:jc w:val="both"/>
        <w:rPr>
          <w:rFonts w:ascii="Times New Roman" w:hAnsi="Times New Roman" w:cs="Times New Roman"/>
          <w:sz w:val="24"/>
          <w:szCs w:val="24"/>
          <w:u w:val="single"/>
        </w:rPr>
      </w:pPr>
      <w:r w:rsidRPr="0085758C">
        <w:rPr>
          <w:rFonts w:ascii="Times New Roman" w:hAnsi="Times New Roman" w:cs="Times New Roman"/>
          <w:sz w:val="24"/>
          <w:szCs w:val="24"/>
          <w:u w:val="single"/>
        </w:rPr>
        <w:t xml:space="preserve">Effects of </w:t>
      </w:r>
      <w:r w:rsidR="00AD00BC" w:rsidRPr="0085758C">
        <w:rPr>
          <w:rFonts w:ascii="Times New Roman" w:hAnsi="Times New Roman" w:cs="Times New Roman"/>
          <w:sz w:val="24"/>
          <w:szCs w:val="24"/>
          <w:u w:val="single"/>
        </w:rPr>
        <w:t xml:space="preserve">strong CYP3A </w:t>
      </w:r>
      <w:r w:rsidR="00211EBD" w:rsidRPr="0085758C">
        <w:rPr>
          <w:rFonts w:ascii="Times New Roman" w:hAnsi="Times New Roman" w:cs="Times New Roman"/>
          <w:sz w:val="24"/>
          <w:szCs w:val="24"/>
          <w:u w:val="single"/>
        </w:rPr>
        <w:t>I</w:t>
      </w:r>
      <w:r w:rsidR="00AD00BC" w:rsidRPr="0085758C">
        <w:rPr>
          <w:rFonts w:ascii="Times New Roman" w:hAnsi="Times New Roman" w:cs="Times New Roman"/>
          <w:sz w:val="24"/>
          <w:szCs w:val="24"/>
          <w:u w:val="single"/>
        </w:rPr>
        <w:t xml:space="preserve">nducers on </w:t>
      </w:r>
      <w:r w:rsidR="003C66D6">
        <w:rPr>
          <w:rFonts w:ascii="Times New Roman" w:hAnsi="Times New Roman" w:cs="Times New Roman"/>
          <w:sz w:val="24"/>
          <w:szCs w:val="24"/>
          <w:u w:val="single"/>
        </w:rPr>
        <w:t>RHOLISTIQ</w:t>
      </w:r>
    </w:p>
    <w:p w14:paraId="60686624" w14:textId="74CC3C0B" w:rsidR="0085758C" w:rsidRPr="0085758C" w:rsidRDefault="00A4241B" w:rsidP="002403B3">
      <w:pPr>
        <w:jc w:val="both"/>
        <w:rPr>
          <w:rFonts w:ascii="Times New Roman" w:eastAsia="HelveticaNeueLTStd-LtCn" w:hAnsi="Times New Roman" w:cs="Times New Roman"/>
          <w:sz w:val="24"/>
          <w:szCs w:val="24"/>
        </w:rPr>
      </w:pPr>
      <w:r w:rsidRPr="0085758C">
        <w:rPr>
          <w:rFonts w:ascii="Times New Roman" w:hAnsi="Times New Roman" w:cs="Times New Roman"/>
          <w:sz w:val="24"/>
          <w:szCs w:val="24"/>
        </w:rPr>
        <w:t>Table </w:t>
      </w:r>
      <w:r w:rsidR="00D43580">
        <w:rPr>
          <w:rFonts w:ascii="Times New Roman" w:hAnsi="Times New Roman" w:cs="Times New Roman"/>
          <w:sz w:val="24"/>
          <w:szCs w:val="24"/>
        </w:rPr>
        <w:t>2</w:t>
      </w:r>
      <w:r w:rsidRPr="0085758C">
        <w:rPr>
          <w:rFonts w:ascii="Times New Roman" w:hAnsi="Times New Roman" w:cs="Times New Roman"/>
          <w:sz w:val="24"/>
          <w:szCs w:val="24"/>
        </w:rPr>
        <w:t xml:space="preserve"> s</w:t>
      </w:r>
      <w:r w:rsidR="0085758C" w:rsidRPr="0085758C">
        <w:rPr>
          <w:rFonts w:ascii="Times New Roman" w:eastAsia="HelveticaNeueLTStd-LtCn" w:hAnsi="Times New Roman" w:cs="Times New Roman"/>
          <w:sz w:val="24"/>
          <w:szCs w:val="24"/>
        </w:rPr>
        <w:t>ummari</w:t>
      </w:r>
      <w:r w:rsidR="00505368">
        <w:rPr>
          <w:rFonts w:ascii="Times New Roman" w:eastAsia="HelveticaNeueLTStd-LtCn" w:hAnsi="Times New Roman" w:cs="Times New Roman"/>
          <w:sz w:val="24"/>
          <w:szCs w:val="24"/>
        </w:rPr>
        <w:t>s</w:t>
      </w:r>
      <w:r w:rsidR="0085758C" w:rsidRPr="0085758C">
        <w:rPr>
          <w:rFonts w:ascii="Times New Roman" w:eastAsia="HelveticaNeueLTStd-LtCn" w:hAnsi="Times New Roman" w:cs="Times New Roman"/>
          <w:sz w:val="24"/>
          <w:szCs w:val="24"/>
        </w:rPr>
        <w:t xml:space="preserve">es drug interactions that affect the pharmacokinetics of </w:t>
      </w:r>
      <w:proofErr w:type="spellStart"/>
      <w:r w:rsidR="0085758C" w:rsidRPr="0085758C">
        <w:rPr>
          <w:rFonts w:ascii="Times New Roman" w:eastAsia="HelveticaNeueLTStd-LtCn" w:hAnsi="Times New Roman" w:cs="Times New Roman"/>
          <w:sz w:val="24"/>
          <w:szCs w:val="24"/>
        </w:rPr>
        <w:t>belumosudil</w:t>
      </w:r>
      <w:proofErr w:type="spellEnd"/>
      <w:r w:rsidR="0085758C" w:rsidRPr="0085758C">
        <w:rPr>
          <w:rFonts w:ascii="Times New Roman" w:eastAsia="HelveticaNeueLTStd-LtCn" w:hAnsi="Times New Roman" w:cs="Times New Roman"/>
          <w:sz w:val="24"/>
          <w:szCs w:val="24"/>
        </w:rPr>
        <w:t xml:space="preserve">. </w:t>
      </w:r>
    </w:p>
    <w:p w14:paraId="2023529D" w14:textId="20DDF143" w:rsidR="0085758C" w:rsidRPr="00D43580" w:rsidRDefault="0085758C" w:rsidP="002403B3">
      <w:pPr>
        <w:pStyle w:val="Caption"/>
        <w:spacing w:line="276" w:lineRule="auto"/>
        <w:jc w:val="both"/>
        <w:rPr>
          <w:rFonts w:ascii="Times New Roman" w:eastAsia="HelveticaNeueLTStd-LtCn" w:hAnsi="Times New Roman"/>
          <w:sz w:val="24"/>
          <w:szCs w:val="24"/>
        </w:rPr>
      </w:pPr>
      <w:bookmarkStart w:id="8" w:name="_Ref44939240"/>
      <w:bookmarkStart w:id="9" w:name="_Ref45876896"/>
      <w:r w:rsidRPr="00D43580">
        <w:rPr>
          <w:rFonts w:ascii="Times New Roman" w:hAnsi="Times New Roman"/>
          <w:sz w:val="24"/>
          <w:szCs w:val="24"/>
        </w:rPr>
        <w:t xml:space="preserve">Table </w:t>
      </w:r>
      <w:bookmarkEnd w:id="8"/>
      <w:bookmarkEnd w:id="9"/>
      <w:r w:rsidR="00D43580" w:rsidRPr="00D43580">
        <w:rPr>
          <w:rFonts w:ascii="Times New Roman" w:hAnsi="Times New Roman"/>
          <w:sz w:val="24"/>
          <w:szCs w:val="24"/>
        </w:rPr>
        <w:t>2</w:t>
      </w:r>
      <w:r w:rsidRPr="00D43580">
        <w:rPr>
          <w:rFonts w:ascii="Times New Roman" w:hAnsi="Times New Roman"/>
          <w:sz w:val="24"/>
          <w:szCs w:val="24"/>
        </w:rPr>
        <w:t xml:space="preserve">: </w:t>
      </w:r>
      <w:r w:rsidRPr="00D43580">
        <w:rPr>
          <w:rFonts w:ascii="Times New Roman" w:eastAsia="HelveticaNeueLTStd-LtCn" w:hAnsi="Times New Roman"/>
          <w:sz w:val="24"/>
          <w:szCs w:val="24"/>
        </w:rPr>
        <w:t xml:space="preserve">Drug Interactions that affect </w:t>
      </w:r>
      <w:r w:rsidR="003C66D6">
        <w:rPr>
          <w:rFonts w:ascii="Times New Roman" w:eastAsia="HelveticaNeueLTStd-LtCn" w:hAnsi="Times New Roman"/>
          <w:sz w:val="24"/>
          <w:szCs w:val="24"/>
        </w:rPr>
        <w:t>RHOLISTIQ</w:t>
      </w:r>
    </w:p>
    <w:tbl>
      <w:tblPr>
        <w:tblStyle w:val="TableGrid"/>
        <w:tblW w:w="0" w:type="auto"/>
        <w:tblLook w:val="04A0" w:firstRow="1" w:lastRow="0" w:firstColumn="1" w:lastColumn="0" w:noHBand="0" w:noVBand="1"/>
      </w:tblPr>
      <w:tblGrid>
        <w:gridCol w:w="2972"/>
        <w:gridCol w:w="6044"/>
      </w:tblGrid>
      <w:tr w:rsidR="0085758C" w:rsidRPr="00F75F5F" w14:paraId="5891E013" w14:textId="77777777" w:rsidTr="006F167D">
        <w:trPr>
          <w:tblHeader/>
        </w:trPr>
        <w:tc>
          <w:tcPr>
            <w:tcW w:w="9016" w:type="dxa"/>
            <w:gridSpan w:val="2"/>
          </w:tcPr>
          <w:p w14:paraId="06251B38" w14:textId="77777777" w:rsidR="0085758C" w:rsidRPr="00F75F5F" w:rsidRDefault="0085758C" w:rsidP="002403B3">
            <w:pPr>
              <w:widowControl w:val="0"/>
              <w:autoSpaceDE w:val="0"/>
              <w:autoSpaceDN w:val="0"/>
              <w:adjustRightInd w:val="0"/>
              <w:spacing w:after="160" w:line="276" w:lineRule="auto"/>
              <w:jc w:val="both"/>
              <w:rPr>
                <w:rFonts w:eastAsia="HelveticaNeueLTStd-LtCn"/>
                <w:b/>
                <w:bCs/>
                <w:sz w:val="22"/>
                <w:szCs w:val="22"/>
              </w:rPr>
            </w:pPr>
            <w:r w:rsidRPr="00F75F5F">
              <w:rPr>
                <w:rFonts w:eastAsia="HelveticaNeueLTStd-LtCn"/>
                <w:b/>
                <w:bCs/>
                <w:sz w:val="22"/>
                <w:szCs w:val="22"/>
              </w:rPr>
              <w:t>Strong CYP3A4 Inducers</w:t>
            </w:r>
          </w:p>
        </w:tc>
      </w:tr>
      <w:tr w:rsidR="0085758C" w:rsidRPr="006F167D" w14:paraId="7B9C9B86" w14:textId="77777777" w:rsidTr="00C47869">
        <w:trPr>
          <w:trHeight w:val="692"/>
        </w:trPr>
        <w:tc>
          <w:tcPr>
            <w:tcW w:w="2972" w:type="dxa"/>
          </w:tcPr>
          <w:p w14:paraId="6F4E2399" w14:textId="77777777" w:rsidR="0085758C" w:rsidRPr="006F167D" w:rsidRDefault="0085758C" w:rsidP="002403B3">
            <w:pPr>
              <w:widowControl w:val="0"/>
              <w:autoSpaceDE w:val="0"/>
              <w:autoSpaceDN w:val="0"/>
              <w:adjustRightInd w:val="0"/>
              <w:spacing w:after="160" w:line="276" w:lineRule="auto"/>
              <w:jc w:val="both"/>
              <w:rPr>
                <w:rFonts w:eastAsia="HelveticaNeueLTStd-LtCn"/>
                <w:sz w:val="22"/>
                <w:szCs w:val="22"/>
              </w:rPr>
            </w:pPr>
            <w:r w:rsidRPr="006F167D">
              <w:rPr>
                <w:rFonts w:eastAsia="HelveticaNeueLTStd-LtCn"/>
                <w:sz w:val="22"/>
                <w:szCs w:val="22"/>
              </w:rPr>
              <w:t>Clinical Impact</w:t>
            </w:r>
          </w:p>
        </w:tc>
        <w:tc>
          <w:tcPr>
            <w:tcW w:w="6044" w:type="dxa"/>
          </w:tcPr>
          <w:p w14:paraId="23B89799" w14:textId="7D7D5F6B" w:rsidR="0085758C" w:rsidRPr="006F167D" w:rsidRDefault="0085758C" w:rsidP="002403B3">
            <w:pPr>
              <w:widowControl w:val="0"/>
              <w:autoSpaceDE w:val="0"/>
              <w:autoSpaceDN w:val="0"/>
              <w:adjustRightInd w:val="0"/>
              <w:spacing w:after="160" w:line="276" w:lineRule="auto"/>
              <w:jc w:val="both"/>
              <w:rPr>
                <w:rFonts w:eastAsia="HelveticaNeueLTStd-LtCn"/>
                <w:sz w:val="22"/>
                <w:szCs w:val="22"/>
              </w:rPr>
            </w:pPr>
            <w:r w:rsidRPr="006F167D">
              <w:rPr>
                <w:rFonts w:eastAsia="HelveticaNeueLTStd-LtCn"/>
                <w:sz w:val="22"/>
                <w:szCs w:val="22"/>
              </w:rPr>
              <w:t xml:space="preserve">The coadministration of strong CYP3A4 inducers with </w:t>
            </w:r>
            <w:r w:rsidR="003C66D6">
              <w:rPr>
                <w:rFonts w:eastAsia="HelveticaNeueLTStd-LtCn"/>
                <w:sz w:val="22"/>
                <w:szCs w:val="22"/>
              </w:rPr>
              <w:t>RHOLISTIQ</w:t>
            </w:r>
            <w:r w:rsidRPr="006F167D">
              <w:rPr>
                <w:rFonts w:eastAsia="HelveticaNeueLTStd-LtCn"/>
                <w:sz w:val="22"/>
                <w:szCs w:val="22"/>
              </w:rPr>
              <w:t xml:space="preserve"> may decrease </w:t>
            </w:r>
            <w:proofErr w:type="spellStart"/>
            <w:r w:rsidRPr="006F167D">
              <w:rPr>
                <w:rFonts w:eastAsia="HelveticaNeueLTStd-LtCn"/>
                <w:sz w:val="22"/>
                <w:szCs w:val="22"/>
              </w:rPr>
              <w:t>belumosudil</w:t>
            </w:r>
            <w:proofErr w:type="spellEnd"/>
            <w:r w:rsidRPr="006F167D">
              <w:rPr>
                <w:rFonts w:eastAsia="HelveticaNeueLTStd-LtCn"/>
                <w:sz w:val="22"/>
                <w:szCs w:val="22"/>
              </w:rPr>
              <w:t xml:space="preserve"> exposure</w:t>
            </w:r>
          </w:p>
        </w:tc>
      </w:tr>
      <w:tr w:rsidR="0085758C" w:rsidRPr="006F167D" w14:paraId="5EBDB4CB" w14:textId="77777777" w:rsidTr="006F167D">
        <w:trPr>
          <w:trHeight w:val="674"/>
        </w:trPr>
        <w:tc>
          <w:tcPr>
            <w:tcW w:w="2972" w:type="dxa"/>
          </w:tcPr>
          <w:p w14:paraId="420766CE" w14:textId="77777777" w:rsidR="0085758C" w:rsidRPr="006F167D" w:rsidRDefault="0085758C" w:rsidP="002403B3">
            <w:pPr>
              <w:widowControl w:val="0"/>
              <w:autoSpaceDE w:val="0"/>
              <w:autoSpaceDN w:val="0"/>
              <w:adjustRightInd w:val="0"/>
              <w:spacing w:after="160" w:line="276" w:lineRule="auto"/>
              <w:jc w:val="both"/>
              <w:rPr>
                <w:rFonts w:eastAsia="HelveticaNeueLTStd-LtCn"/>
                <w:sz w:val="22"/>
                <w:szCs w:val="22"/>
              </w:rPr>
            </w:pPr>
            <w:r w:rsidRPr="006F167D">
              <w:rPr>
                <w:rFonts w:eastAsia="HelveticaNeueLTStd-LtCn"/>
                <w:sz w:val="22"/>
                <w:szCs w:val="22"/>
              </w:rPr>
              <w:t>Prevention or Management</w:t>
            </w:r>
          </w:p>
        </w:tc>
        <w:tc>
          <w:tcPr>
            <w:tcW w:w="6044" w:type="dxa"/>
          </w:tcPr>
          <w:p w14:paraId="30FFC1E1" w14:textId="4DC28208" w:rsidR="0085758C" w:rsidRPr="006F167D" w:rsidRDefault="000C3513" w:rsidP="002403B3">
            <w:pPr>
              <w:widowControl w:val="0"/>
              <w:autoSpaceDE w:val="0"/>
              <w:autoSpaceDN w:val="0"/>
              <w:adjustRightInd w:val="0"/>
              <w:spacing w:after="160" w:line="276" w:lineRule="auto"/>
              <w:jc w:val="both"/>
              <w:rPr>
                <w:rFonts w:eastAsia="HelveticaNeueLTStd-LtCn"/>
                <w:sz w:val="22"/>
                <w:szCs w:val="22"/>
              </w:rPr>
            </w:pPr>
            <w:r>
              <w:rPr>
                <w:rFonts w:eastAsia="HelveticaNeueLTStd-LtCn"/>
                <w:sz w:val="22"/>
                <w:szCs w:val="22"/>
              </w:rPr>
              <w:t xml:space="preserve">Increase </w:t>
            </w:r>
            <w:r w:rsidR="0080296B">
              <w:rPr>
                <w:rFonts w:eastAsia="HelveticaNeueLTStd-LtCn"/>
                <w:sz w:val="22"/>
                <w:szCs w:val="22"/>
              </w:rPr>
              <w:t xml:space="preserve">the dosage of RHOLISTIQ </w:t>
            </w:r>
            <w:r w:rsidR="0030452C">
              <w:rPr>
                <w:rFonts w:eastAsia="HelveticaNeueLTStd-LtCn"/>
                <w:sz w:val="22"/>
                <w:szCs w:val="22"/>
              </w:rPr>
              <w:t xml:space="preserve">to 200 mg twice a day </w:t>
            </w:r>
            <w:r w:rsidR="0080296B">
              <w:rPr>
                <w:rFonts w:eastAsia="HelveticaNeueLTStd-LtCn"/>
                <w:sz w:val="22"/>
                <w:szCs w:val="22"/>
              </w:rPr>
              <w:t xml:space="preserve">when </w:t>
            </w:r>
            <w:proofErr w:type="spellStart"/>
            <w:r w:rsidR="0080296B">
              <w:rPr>
                <w:rFonts w:eastAsia="HelveticaNeueLTStd-LtCn"/>
                <w:sz w:val="22"/>
                <w:szCs w:val="22"/>
              </w:rPr>
              <w:t>coadministered</w:t>
            </w:r>
            <w:proofErr w:type="spellEnd"/>
            <w:r w:rsidR="0080296B">
              <w:rPr>
                <w:rFonts w:eastAsia="HelveticaNeueLTStd-LtCn"/>
                <w:sz w:val="22"/>
                <w:szCs w:val="22"/>
              </w:rPr>
              <w:t xml:space="preserve"> with strong CYP3A inducers</w:t>
            </w:r>
            <w:r w:rsidR="0085758C" w:rsidRPr="006F167D">
              <w:rPr>
                <w:rFonts w:eastAsia="HelveticaNeueLTStd-LtCn"/>
                <w:sz w:val="22"/>
                <w:szCs w:val="22"/>
              </w:rPr>
              <w:t xml:space="preserve">. </w:t>
            </w:r>
          </w:p>
        </w:tc>
      </w:tr>
    </w:tbl>
    <w:p w14:paraId="2ECDCAB4" w14:textId="3A0357FB" w:rsidR="0085758C" w:rsidRPr="006F167D" w:rsidRDefault="0085758C" w:rsidP="002403B3">
      <w:pPr>
        <w:keepNext/>
        <w:spacing w:before="240"/>
        <w:jc w:val="both"/>
        <w:rPr>
          <w:rFonts w:ascii="Times New Roman" w:hAnsi="Times New Roman" w:cs="Times New Roman"/>
          <w:sz w:val="24"/>
          <w:szCs w:val="24"/>
          <w:u w:val="single"/>
        </w:rPr>
      </w:pPr>
      <w:bookmarkStart w:id="10" w:name="_Effect_of_Proton"/>
      <w:bookmarkStart w:id="11" w:name="_Toc44999955"/>
      <w:bookmarkStart w:id="12" w:name="_Toc46214514"/>
      <w:bookmarkEnd w:id="10"/>
      <w:r w:rsidRPr="006F167D">
        <w:rPr>
          <w:rFonts w:ascii="Times New Roman" w:hAnsi="Times New Roman" w:cs="Times New Roman"/>
          <w:sz w:val="24"/>
          <w:szCs w:val="24"/>
          <w:u w:val="single"/>
        </w:rPr>
        <w:t xml:space="preserve">Effect of Proton Pump Inhibitors on </w:t>
      </w:r>
      <w:bookmarkEnd w:id="11"/>
      <w:bookmarkEnd w:id="12"/>
      <w:r w:rsidR="003C66D6">
        <w:rPr>
          <w:rFonts w:ascii="Times New Roman" w:hAnsi="Times New Roman" w:cs="Times New Roman"/>
          <w:sz w:val="24"/>
          <w:szCs w:val="24"/>
          <w:u w:val="single"/>
        </w:rPr>
        <w:t>RHOLISTIQ</w:t>
      </w:r>
    </w:p>
    <w:p w14:paraId="27E63801" w14:textId="5992C43A" w:rsidR="0085758C" w:rsidRPr="0085758C" w:rsidRDefault="00F1705F" w:rsidP="002403B3">
      <w:pPr>
        <w:widowControl w:val="0"/>
        <w:tabs>
          <w:tab w:val="center" w:pos="4680"/>
          <w:tab w:val="right" w:pos="9360"/>
        </w:tabs>
        <w:jc w:val="both"/>
        <w:rPr>
          <w:rFonts w:ascii="Times New Roman" w:eastAsia="HelveticaNeueLTStd-LtCn" w:hAnsi="Times New Roman" w:cs="Times New Roman"/>
          <w:sz w:val="24"/>
          <w:szCs w:val="24"/>
        </w:rPr>
      </w:pPr>
      <w:r w:rsidRPr="00F1705F">
        <w:rPr>
          <w:rFonts w:ascii="Times New Roman" w:eastAsia="HelveticaNeueLTStd-LtCn" w:hAnsi="Times New Roman" w:cs="Times New Roman"/>
          <w:sz w:val="24"/>
          <w:szCs w:val="24"/>
        </w:rPr>
        <w:t xml:space="preserve">Table 3 </w:t>
      </w:r>
      <w:r w:rsidR="0085758C" w:rsidRPr="0085758C">
        <w:rPr>
          <w:rFonts w:ascii="Times New Roman" w:eastAsia="HelveticaNeueLTStd-LtCn" w:hAnsi="Times New Roman" w:cs="Times New Roman"/>
          <w:sz w:val="24"/>
          <w:szCs w:val="24"/>
        </w:rPr>
        <w:t>summari</w:t>
      </w:r>
      <w:r w:rsidR="00505368">
        <w:rPr>
          <w:rFonts w:ascii="Times New Roman" w:eastAsia="HelveticaNeueLTStd-LtCn" w:hAnsi="Times New Roman" w:cs="Times New Roman"/>
          <w:sz w:val="24"/>
          <w:szCs w:val="24"/>
        </w:rPr>
        <w:t>s</w:t>
      </w:r>
      <w:r w:rsidR="0085758C" w:rsidRPr="0085758C">
        <w:rPr>
          <w:rFonts w:ascii="Times New Roman" w:eastAsia="HelveticaNeueLTStd-LtCn" w:hAnsi="Times New Roman" w:cs="Times New Roman"/>
          <w:sz w:val="24"/>
          <w:szCs w:val="24"/>
        </w:rPr>
        <w:t xml:space="preserve">es drug interactions that affect the pharmacokinetics of </w:t>
      </w:r>
      <w:proofErr w:type="spellStart"/>
      <w:r w:rsidR="0085758C" w:rsidRPr="0085758C">
        <w:rPr>
          <w:rFonts w:ascii="Times New Roman" w:eastAsia="HelveticaNeueLTStd-LtCn" w:hAnsi="Times New Roman" w:cs="Times New Roman"/>
          <w:sz w:val="24"/>
          <w:szCs w:val="24"/>
        </w:rPr>
        <w:t>belumosudil</w:t>
      </w:r>
      <w:proofErr w:type="spellEnd"/>
      <w:r w:rsidR="0085758C" w:rsidRPr="0085758C">
        <w:rPr>
          <w:rFonts w:ascii="Times New Roman" w:eastAsia="HelveticaNeueLTStd-LtCn" w:hAnsi="Times New Roman" w:cs="Times New Roman"/>
          <w:sz w:val="24"/>
          <w:szCs w:val="24"/>
        </w:rPr>
        <w:t xml:space="preserve">. </w:t>
      </w:r>
    </w:p>
    <w:p w14:paraId="45FF4552" w14:textId="097FC46D" w:rsidR="0085758C" w:rsidRPr="0085758C" w:rsidRDefault="0085758C" w:rsidP="002403B3">
      <w:pPr>
        <w:pStyle w:val="Caption"/>
        <w:spacing w:line="276" w:lineRule="auto"/>
        <w:jc w:val="both"/>
        <w:rPr>
          <w:rFonts w:ascii="Times New Roman" w:eastAsia="HelveticaNeueLTStd-LtCn" w:hAnsi="Times New Roman"/>
          <w:b w:val="0"/>
          <w:i/>
          <w:sz w:val="24"/>
          <w:szCs w:val="24"/>
        </w:rPr>
      </w:pPr>
      <w:bookmarkStart w:id="13" w:name="_Ref44939280"/>
      <w:bookmarkStart w:id="14" w:name="_Ref45876967"/>
      <w:r w:rsidRPr="0085758C">
        <w:rPr>
          <w:rFonts w:ascii="Times New Roman" w:hAnsi="Times New Roman"/>
          <w:sz w:val="24"/>
          <w:szCs w:val="24"/>
        </w:rPr>
        <w:t xml:space="preserve">Table </w:t>
      </w:r>
      <w:bookmarkEnd w:id="13"/>
      <w:r w:rsidR="00D43580">
        <w:rPr>
          <w:rFonts w:ascii="Times New Roman" w:hAnsi="Times New Roman"/>
          <w:sz w:val="24"/>
          <w:szCs w:val="24"/>
        </w:rPr>
        <w:t>3</w:t>
      </w:r>
      <w:bookmarkEnd w:id="14"/>
      <w:r w:rsidRPr="0085758C">
        <w:rPr>
          <w:rFonts w:ascii="Times New Roman" w:hAnsi="Times New Roman"/>
          <w:sz w:val="24"/>
          <w:szCs w:val="24"/>
        </w:rPr>
        <w:t xml:space="preserve">: Drug Interactions that </w:t>
      </w:r>
      <w:r w:rsidR="00F1705F">
        <w:rPr>
          <w:rFonts w:ascii="Times New Roman" w:hAnsi="Times New Roman"/>
          <w:sz w:val="24"/>
          <w:szCs w:val="24"/>
        </w:rPr>
        <w:t>a</w:t>
      </w:r>
      <w:r w:rsidRPr="0085758C">
        <w:rPr>
          <w:rFonts w:ascii="Times New Roman" w:hAnsi="Times New Roman"/>
          <w:sz w:val="24"/>
          <w:szCs w:val="24"/>
        </w:rPr>
        <w:t xml:space="preserve">ffect </w:t>
      </w:r>
      <w:r w:rsidR="003C66D6">
        <w:rPr>
          <w:rFonts w:ascii="Times New Roman" w:hAnsi="Times New Roman"/>
          <w:sz w:val="24"/>
          <w:szCs w:val="24"/>
        </w:rPr>
        <w:t>RHOLISTIQ</w:t>
      </w:r>
    </w:p>
    <w:tbl>
      <w:tblPr>
        <w:tblStyle w:val="TableGrid"/>
        <w:tblW w:w="0" w:type="auto"/>
        <w:tblLook w:val="04A0" w:firstRow="1" w:lastRow="0" w:firstColumn="1" w:lastColumn="0" w:noHBand="0" w:noVBand="1"/>
      </w:tblPr>
      <w:tblGrid>
        <w:gridCol w:w="2972"/>
        <w:gridCol w:w="6044"/>
      </w:tblGrid>
      <w:tr w:rsidR="0085758C" w:rsidRPr="00CD2E48" w14:paraId="14EAF542" w14:textId="77777777" w:rsidTr="00F75F5F">
        <w:trPr>
          <w:trHeight w:val="386"/>
        </w:trPr>
        <w:tc>
          <w:tcPr>
            <w:tcW w:w="9016" w:type="dxa"/>
            <w:gridSpan w:val="2"/>
          </w:tcPr>
          <w:p w14:paraId="6D133526" w14:textId="77777777" w:rsidR="0085758C" w:rsidRPr="00CD2E48" w:rsidRDefault="0085758C" w:rsidP="002403B3">
            <w:pPr>
              <w:widowControl w:val="0"/>
              <w:tabs>
                <w:tab w:val="center" w:pos="4680"/>
                <w:tab w:val="right" w:pos="9360"/>
              </w:tabs>
              <w:spacing w:line="276" w:lineRule="auto"/>
              <w:jc w:val="both"/>
              <w:rPr>
                <w:b/>
                <w:bCs/>
                <w:color w:val="000000"/>
                <w:sz w:val="22"/>
                <w:szCs w:val="22"/>
              </w:rPr>
            </w:pPr>
            <w:r w:rsidRPr="00CD2E48">
              <w:rPr>
                <w:b/>
                <w:bCs/>
                <w:color w:val="000000"/>
                <w:sz w:val="22"/>
                <w:szCs w:val="22"/>
              </w:rPr>
              <w:t>Proton Pump Inhibitors</w:t>
            </w:r>
          </w:p>
        </w:tc>
      </w:tr>
      <w:tr w:rsidR="0085758C" w:rsidRPr="00F75F5F" w14:paraId="007B5A9E" w14:textId="77777777" w:rsidTr="00C47869">
        <w:trPr>
          <w:trHeight w:val="629"/>
        </w:trPr>
        <w:tc>
          <w:tcPr>
            <w:tcW w:w="2972" w:type="dxa"/>
          </w:tcPr>
          <w:p w14:paraId="14CFA199" w14:textId="77777777" w:rsidR="0085758C" w:rsidRPr="00F75F5F" w:rsidRDefault="0085758C" w:rsidP="002403B3">
            <w:pPr>
              <w:widowControl w:val="0"/>
              <w:tabs>
                <w:tab w:val="center" w:pos="4680"/>
                <w:tab w:val="right" w:pos="9360"/>
              </w:tabs>
              <w:spacing w:line="276" w:lineRule="auto"/>
              <w:jc w:val="both"/>
              <w:rPr>
                <w:i/>
                <w:color w:val="000000"/>
                <w:sz w:val="22"/>
                <w:szCs w:val="22"/>
              </w:rPr>
            </w:pPr>
            <w:r w:rsidRPr="00F75F5F">
              <w:rPr>
                <w:i/>
                <w:color w:val="000000"/>
                <w:sz w:val="22"/>
                <w:szCs w:val="22"/>
              </w:rPr>
              <w:t>Clinical Impact</w:t>
            </w:r>
          </w:p>
        </w:tc>
        <w:tc>
          <w:tcPr>
            <w:tcW w:w="6044" w:type="dxa"/>
          </w:tcPr>
          <w:p w14:paraId="7C771C08" w14:textId="059F4864" w:rsidR="0085758C" w:rsidRPr="00F75F5F" w:rsidRDefault="0085758C" w:rsidP="002403B3">
            <w:pPr>
              <w:widowControl w:val="0"/>
              <w:tabs>
                <w:tab w:val="center" w:pos="4680"/>
                <w:tab w:val="right" w:pos="9360"/>
              </w:tabs>
              <w:spacing w:line="276" w:lineRule="auto"/>
              <w:jc w:val="both"/>
              <w:rPr>
                <w:color w:val="000000"/>
                <w:sz w:val="22"/>
                <w:szCs w:val="22"/>
              </w:rPr>
            </w:pPr>
            <w:r w:rsidRPr="00F75F5F">
              <w:rPr>
                <w:rFonts w:eastAsia="HelveticaNeueLTStd-LtCn"/>
                <w:sz w:val="22"/>
                <w:szCs w:val="22"/>
              </w:rPr>
              <w:t xml:space="preserve">The coadministration of proton pump inhibitors with </w:t>
            </w:r>
            <w:r w:rsidR="003C66D6">
              <w:rPr>
                <w:rFonts w:eastAsia="HelveticaNeueLTStd-LtCn"/>
                <w:sz w:val="22"/>
                <w:szCs w:val="22"/>
              </w:rPr>
              <w:t>RHOLISTIQ</w:t>
            </w:r>
            <w:r w:rsidRPr="00F75F5F">
              <w:rPr>
                <w:rFonts w:eastAsia="HelveticaNeueLTStd-LtCn"/>
                <w:sz w:val="22"/>
                <w:szCs w:val="22"/>
              </w:rPr>
              <w:t xml:space="preserve"> may decrease </w:t>
            </w:r>
            <w:proofErr w:type="spellStart"/>
            <w:r w:rsidRPr="00F75F5F">
              <w:rPr>
                <w:rFonts w:eastAsia="HelveticaNeueLTStd-LtCn"/>
                <w:sz w:val="22"/>
                <w:szCs w:val="22"/>
              </w:rPr>
              <w:t>b</w:t>
            </w:r>
            <w:r w:rsidRPr="00F75F5F">
              <w:rPr>
                <w:sz w:val="22"/>
                <w:szCs w:val="22"/>
              </w:rPr>
              <w:t>elumosudil</w:t>
            </w:r>
            <w:proofErr w:type="spellEnd"/>
            <w:r w:rsidRPr="00F75F5F">
              <w:rPr>
                <w:rFonts w:eastAsia="HelveticaNeueLTStd-LtCn"/>
                <w:sz w:val="22"/>
                <w:szCs w:val="22"/>
              </w:rPr>
              <w:t xml:space="preserve"> exposure</w:t>
            </w:r>
          </w:p>
        </w:tc>
      </w:tr>
      <w:tr w:rsidR="0085758C" w:rsidRPr="00F75F5F" w14:paraId="175BA060" w14:textId="77777777" w:rsidTr="00C47869">
        <w:trPr>
          <w:trHeight w:val="620"/>
        </w:trPr>
        <w:tc>
          <w:tcPr>
            <w:tcW w:w="2972" w:type="dxa"/>
          </w:tcPr>
          <w:p w14:paraId="17500EAE" w14:textId="77777777" w:rsidR="0085758C" w:rsidRPr="00F75F5F" w:rsidRDefault="0085758C" w:rsidP="002403B3">
            <w:pPr>
              <w:widowControl w:val="0"/>
              <w:tabs>
                <w:tab w:val="center" w:pos="4680"/>
                <w:tab w:val="right" w:pos="9360"/>
              </w:tabs>
              <w:spacing w:line="276" w:lineRule="auto"/>
              <w:jc w:val="both"/>
              <w:rPr>
                <w:i/>
                <w:color w:val="000000"/>
                <w:sz w:val="22"/>
                <w:szCs w:val="22"/>
              </w:rPr>
            </w:pPr>
            <w:r w:rsidRPr="00F75F5F">
              <w:rPr>
                <w:i/>
                <w:color w:val="000000"/>
                <w:sz w:val="22"/>
                <w:szCs w:val="22"/>
              </w:rPr>
              <w:t>Prevention or Management</w:t>
            </w:r>
          </w:p>
        </w:tc>
        <w:tc>
          <w:tcPr>
            <w:tcW w:w="6044" w:type="dxa"/>
          </w:tcPr>
          <w:p w14:paraId="754FF44A" w14:textId="06AC9398" w:rsidR="0085758C" w:rsidRPr="00F75F5F" w:rsidRDefault="00133862" w:rsidP="002403B3">
            <w:pPr>
              <w:widowControl w:val="0"/>
              <w:tabs>
                <w:tab w:val="center" w:pos="4680"/>
                <w:tab w:val="right" w:pos="9360"/>
              </w:tabs>
              <w:spacing w:line="276" w:lineRule="auto"/>
              <w:jc w:val="both"/>
              <w:rPr>
                <w:rFonts w:eastAsia="HelveticaNeueLTStd-LtCn"/>
                <w:sz w:val="22"/>
                <w:szCs w:val="22"/>
              </w:rPr>
            </w:pPr>
            <w:r>
              <w:rPr>
                <w:rFonts w:eastAsia="HelveticaNeueLTStd-LtCn"/>
                <w:sz w:val="22"/>
                <w:szCs w:val="22"/>
              </w:rPr>
              <w:t xml:space="preserve">Increase </w:t>
            </w:r>
            <w:r w:rsidR="00A822F1">
              <w:rPr>
                <w:rFonts w:eastAsia="HelveticaNeueLTStd-LtCn"/>
                <w:sz w:val="22"/>
                <w:szCs w:val="22"/>
              </w:rPr>
              <w:t xml:space="preserve">the dosage of RHOLISTIQ </w:t>
            </w:r>
            <w:r w:rsidR="0030452C">
              <w:rPr>
                <w:rFonts w:eastAsia="HelveticaNeueLTStd-LtCn"/>
                <w:sz w:val="22"/>
                <w:szCs w:val="22"/>
              </w:rPr>
              <w:t xml:space="preserve">to 200 mg twice a day </w:t>
            </w:r>
            <w:r w:rsidR="00A822F1">
              <w:rPr>
                <w:rFonts w:eastAsia="HelveticaNeueLTStd-LtCn"/>
                <w:sz w:val="22"/>
                <w:szCs w:val="22"/>
              </w:rPr>
              <w:t xml:space="preserve">when </w:t>
            </w:r>
            <w:proofErr w:type="spellStart"/>
            <w:r w:rsidR="00A822F1">
              <w:rPr>
                <w:rFonts w:eastAsia="HelveticaNeueLTStd-LtCn"/>
                <w:sz w:val="22"/>
                <w:szCs w:val="22"/>
              </w:rPr>
              <w:t>coadministered</w:t>
            </w:r>
            <w:proofErr w:type="spellEnd"/>
            <w:r w:rsidR="00A822F1">
              <w:rPr>
                <w:rFonts w:eastAsia="HelveticaNeueLTStd-LtCn"/>
                <w:sz w:val="22"/>
                <w:szCs w:val="22"/>
              </w:rPr>
              <w:t xml:space="preserve"> with proton pump inhibitors.</w:t>
            </w:r>
            <w:r w:rsidR="0085758C" w:rsidRPr="00F75F5F">
              <w:rPr>
                <w:rFonts w:eastAsia="HelveticaNeueLTStd-LtCn"/>
                <w:sz w:val="22"/>
                <w:szCs w:val="22"/>
              </w:rPr>
              <w:t xml:space="preserve"> </w:t>
            </w:r>
          </w:p>
        </w:tc>
      </w:tr>
    </w:tbl>
    <w:p w14:paraId="2C5CADC5" w14:textId="780CEE2C" w:rsidR="001A3992" w:rsidRPr="00F3271C" w:rsidRDefault="001A3992" w:rsidP="002403B3">
      <w:pPr>
        <w:pStyle w:val="Heading2"/>
        <w:spacing w:after="120"/>
        <w:ind w:left="0" w:firstLine="0"/>
        <w:jc w:val="both"/>
        <w:rPr>
          <w:rFonts w:ascii="Times New Roman" w:hAnsi="Times New Roman" w:cs="Times New Roman"/>
        </w:rPr>
      </w:pPr>
      <w:bookmarkStart w:id="15" w:name="_Fertility,_pregnancy_and"/>
      <w:bookmarkEnd w:id="15"/>
      <w:r w:rsidRPr="00F3271C">
        <w:rPr>
          <w:rFonts w:ascii="Times New Roman" w:hAnsi="Times New Roman" w:cs="Times New Roman"/>
        </w:rPr>
        <w:t xml:space="preserve">Fertility, pregnancy and lactation </w:t>
      </w:r>
    </w:p>
    <w:p w14:paraId="7A8326B8" w14:textId="43A834B1" w:rsidR="001A3992" w:rsidRPr="00F3271C" w:rsidRDefault="001A3992" w:rsidP="002403B3">
      <w:pPr>
        <w:pStyle w:val="Heading3"/>
        <w:spacing w:before="0" w:after="120"/>
        <w:ind w:left="0"/>
        <w:jc w:val="both"/>
        <w:rPr>
          <w:rFonts w:ascii="Times New Roman" w:hAnsi="Times New Roman" w:cs="Times New Roman"/>
          <w:sz w:val="24"/>
          <w:szCs w:val="24"/>
        </w:rPr>
      </w:pPr>
      <w:r w:rsidRPr="00F3271C">
        <w:rPr>
          <w:rFonts w:ascii="Times New Roman" w:hAnsi="Times New Roman" w:cs="Times New Roman"/>
          <w:sz w:val="24"/>
          <w:szCs w:val="24"/>
        </w:rPr>
        <w:t>Effects on fertility</w:t>
      </w:r>
    </w:p>
    <w:p w14:paraId="467F9416" w14:textId="6F51918A" w:rsidR="006147C2" w:rsidRDefault="006147C2" w:rsidP="002403B3">
      <w:pPr>
        <w:spacing w:after="120"/>
        <w:jc w:val="both"/>
        <w:rPr>
          <w:rFonts w:ascii="Times New Roman" w:hAnsi="Times New Roman" w:cs="Times New Roman"/>
          <w:sz w:val="24"/>
          <w:szCs w:val="24"/>
        </w:rPr>
      </w:pPr>
      <w:r w:rsidRPr="006147C2">
        <w:rPr>
          <w:rFonts w:ascii="Times New Roman" w:hAnsi="Times New Roman" w:cs="Times New Roman"/>
          <w:sz w:val="24"/>
          <w:szCs w:val="24"/>
        </w:rPr>
        <w:t xml:space="preserve">Based on findings from animal studies, </w:t>
      </w:r>
      <w:r w:rsidR="00611B6D">
        <w:rPr>
          <w:rFonts w:ascii="Times New Roman" w:hAnsi="Times New Roman" w:cs="Times New Roman"/>
          <w:sz w:val="24"/>
          <w:szCs w:val="24"/>
        </w:rPr>
        <w:t>RHOLISTIQ</w:t>
      </w:r>
      <w:r w:rsidR="009E1D09">
        <w:rPr>
          <w:rFonts w:ascii="Times New Roman" w:hAnsi="Times New Roman" w:cs="Times New Roman"/>
          <w:sz w:val="24"/>
          <w:szCs w:val="24"/>
        </w:rPr>
        <w:t xml:space="preserve"> </w:t>
      </w:r>
      <w:r w:rsidRPr="006147C2">
        <w:rPr>
          <w:rFonts w:ascii="Times New Roman" w:hAnsi="Times New Roman" w:cs="Times New Roman"/>
          <w:sz w:val="24"/>
          <w:szCs w:val="24"/>
        </w:rPr>
        <w:t xml:space="preserve">may impair </w:t>
      </w:r>
      <w:r w:rsidR="001B6913">
        <w:rPr>
          <w:rFonts w:ascii="Times New Roman" w:hAnsi="Times New Roman" w:cs="Times New Roman"/>
          <w:sz w:val="24"/>
          <w:szCs w:val="24"/>
        </w:rPr>
        <w:t>male fertility</w:t>
      </w:r>
      <w:r w:rsidRPr="006147C2">
        <w:rPr>
          <w:rFonts w:ascii="Times New Roman" w:hAnsi="Times New Roman" w:cs="Times New Roman"/>
          <w:sz w:val="24"/>
          <w:szCs w:val="24"/>
        </w:rPr>
        <w:t>.</w:t>
      </w:r>
    </w:p>
    <w:p w14:paraId="0212A361" w14:textId="77777777" w:rsidR="009E009B" w:rsidRDefault="009E009B" w:rsidP="002403B3">
      <w:pPr>
        <w:spacing w:after="120"/>
        <w:jc w:val="both"/>
        <w:rPr>
          <w:rFonts w:ascii="Times New Roman" w:hAnsi="Times New Roman" w:cs="Times New Roman"/>
          <w:sz w:val="24"/>
          <w:szCs w:val="24"/>
        </w:rPr>
      </w:pPr>
      <w:r w:rsidRPr="00762757">
        <w:rPr>
          <w:rFonts w:ascii="Times New Roman" w:hAnsi="Times New Roman" w:cs="Times New Roman"/>
          <w:sz w:val="24"/>
          <w:szCs w:val="24"/>
        </w:rPr>
        <w:t xml:space="preserve">In male rats, </w:t>
      </w:r>
      <w:proofErr w:type="spellStart"/>
      <w:r w:rsidRPr="00762757">
        <w:rPr>
          <w:rFonts w:ascii="Times New Roman" w:hAnsi="Times New Roman" w:cs="Times New Roman"/>
          <w:sz w:val="24"/>
          <w:szCs w:val="24"/>
        </w:rPr>
        <w:t>belumosudil</w:t>
      </w:r>
      <w:proofErr w:type="spellEnd"/>
      <w:r w:rsidRPr="00762757">
        <w:rPr>
          <w:rFonts w:ascii="Times New Roman" w:hAnsi="Times New Roman" w:cs="Times New Roman"/>
          <w:sz w:val="24"/>
          <w:szCs w:val="24"/>
        </w:rPr>
        <w:t xml:space="preserve"> impaired fertility at an oral dose of 275 mg/kg/day (yielding 8 times the exposure in patients at the maximum recommended human dose of 200 mg/day, based on plasma AUC). This was accompanied by decreased sperm count, reduced sperm motility and increased abnormal sperm, and degenerative changes in the testes and </w:t>
      </w:r>
      <w:proofErr w:type="spellStart"/>
      <w:r w:rsidRPr="00762757">
        <w:rPr>
          <w:rFonts w:ascii="Times New Roman" w:hAnsi="Times New Roman" w:cs="Times New Roman"/>
          <w:sz w:val="24"/>
          <w:szCs w:val="24"/>
        </w:rPr>
        <w:t>epididymides</w:t>
      </w:r>
      <w:proofErr w:type="spellEnd"/>
      <w:r w:rsidRPr="00762757">
        <w:rPr>
          <w:rFonts w:ascii="Times New Roman" w:hAnsi="Times New Roman" w:cs="Times New Roman"/>
          <w:sz w:val="24"/>
          <w:szCs w:val="24"/>
        </w:rPr>
        <w:t xml:space="preserve">. Similar degenerative changes in the male reproductive tract were observed in dogs treated with </w:t>
      </w:r>
      <w:proofErr w:type="spellStart"/>
      <w:r w:rsidRPr="00762757">
        <w:rPr>
          <w:rFonts w:ascii="Times New Roman" w:hAnsi="Times New Roman" w:cs="Times New Roman"/>
          <w:sz w:val="24"/>
          <w:szCs w:val="24"/>
        </w:rPr>
        <w:t>belumosudil</w:t>
      </w:r>
      <w:proofErr w:type="spellEnd"/>
      <w:r w:rsidRPr="00762757">
        <w:rPr>
          <w:rFonts w:ascii="Times New Roman" w:hAnsi="Times New Roman" w:cs="Times New Roman"/>
          <w:sz w:val="24"/>
          <w:szCs w:val="24"/>
        </w:rPr>
        <w:t xml:space="preserve"> at ≥35 mg/kg/day (yielding systemic exposure only marginally above that of patients). Impairment of fertility in male rats was shown to be reversible. </w:t>
      </w:r>
    </w:p>
    <w:p w14:paraId="20126927" w14:textId="77777777" w:rsidR="009E009B" w:rsidRPr="00F928C0" w:rsidRDefault="009E009B" w:rsidP="002403B3">
      <w:pPr>
        <w:spacing w:after="120"/>
        <w:jc w:val="both"/>
        <w:rPr>
          <w:rFonts w:ascii="Times New Roman" w:hAnsi="Times New Roman" w:cs="Times New Roman"/>
          <w:sz w:val="24"/>
          <w:szCs w:val="24"/>
        </w:rPr>
      </w:pPr>
      <w:proofErr w:type="spellStart"/>
      <w:r w:rsidRPr="00762757">
        <w:rPr>
          <w:rFonts w:ascii="Times New Roman" w:hAnsi="Times New Roman" w:cs="Times New Roman"/>
          <w:sz w:val="24"/>
          <w:szCs w:val="24"/>
        </w:rPr>
        <w:lastRenderedPageBreak/>
        <w:t>Belumosudil</w:t>
      </w:r>
      <w:proofErr w:type="spellEnd"/>
      <w:r w:rsidRPr="00762757">
        <w:rPr>
          <w:rFonts w:ascii="Times New Roman" w:hAnsi="Times New Roman" w:cs="Times New Roman"/>
          <w:sz w:val="24"/>
          <w:szCs w:val="24"/>
        </w:rPr>
        <w:t xml:space="preserve"> had no effect on the incidence of pregnancy in female rats at oral doses up to 275 mg/kg/day (yielding 9 times the exposure in patients at the maximum recommended human dose). However, </w:t>
      </w:r>
      <w:proofErr w:type="spellStart"/>
      <w:r w:rsidRPr="00762757">
        <w:rPr>
          <w:rFonts w:ascii="Times New Roman" w:hAnsi="Times New Roman" w:cs="Times New Roman"/>
          <w:sz w:val="24"/>
          <w:szCs w:val="24"/>
        </w:rPr>
        <w:t>embryolethality</w:t>
      </w:r>
      <w:proofErr w:type="spellEnd"/>
      <w:r w:rsidRPr="00762757">
        <w:rPr>
          <w:rFonts w:ascii="Times New Roman" w:hAnsi="Times New Roman" w:cs="Times New Roman"/>
          <w:sz w:val="24"/>
          <w:szCs w:val="24"/>
        </w:rPr>
        <w:t xml:space="preserve"> (as increased post-implantation loss with an associated decrease in the number of viable embryos) was evident at this dose, occurring in conjunction with </w:t>
      </w:r>
      <w:proofErr w:type="spellStart"/>
      <w:r w:rsidRPr="00762757">
        <w:rPr>
          <w:rFonts w:ascii="Times New Roman" w:hAnsi="Times New Roman" w:cs="Times New Roman"/>
          <w:sz w:val="24"/>
          <w:szCs w:val="24"/>
        </w:rPr>
        <w:t>maternotoxicity</w:t>
      </w:r>
      <w:proofErr w:type="spellEnd"/>
      <w:r w:rsidRPr="00762757">
        <w:rPr>
          <w:rFonts w:ascii="Times New Roman" w:hAnsi="Times New Roman" w:cs="Times New Roman"/>
          <w:sz w:val="24"/>
          <w:szCs w:val="24"/>
        </w:rPr>
        <w:t>.</w:t>
      </w:r>
    </w:p>
    <w:p w14:paraId="4B92C694" w14:textId="68E696BF" w:rsidR="006147C2" w:rsidRDefault="006147C2" w:rsidP="002403B3">
      <w:pPr>
        <w:pStyle w:val="Heading3"/>
        <w:spacing w:before="0" w:after="120"/>
        <w:ind w:left="0"/>
        <w:jc w:val="both"/>
        <w:rPr>
          <w:rFonts w:ascii="Times New Roman" w:hAnsi="Times New Roman" w:cs="Times New Roman"/>
          <w:sz w:val="24"/>
          <w:szCs w:val="24"/>
        </w:rPr>
      </w:pPr>
      <w:r w:rsidRPr="006147C2">
        <w:rPr>
          <w:rFonts w:ascii="Times New Roman" w:hAnsi="Times New Roman" w:cs="Times New Roman"/>
          <w:sz w:val="24"/>
          <w:szCs w:val="24"/>
        </w:rPr>
        <w:t>Females and Males of Reproductive Potential</w:t>
      </w:r>
    </w:p>
    <w:p w14:paraId="06DC0BC7" w14:textId="3E85B860" w:rsidR="00F928C0" w:rsidRDefault="003C66D6" w:rsidP="002403B3">
      <w:pPr>
        <w:spacing w:after="120"/>
        <w:jc w:val="both"/>
        <w:rPr>
          <w:rFonts w:ascii="Times New Roman" w:hAnsi="Times New Roman" w:cs="Times New Roman"/>
          <w:sz w:val="24"/>
          <w:szCs w:val="24"/>
        </w:rPr>
      </w:pPr>
      <w:r>
        <w:rPr>
          <w:rFonts w:ascii="Times New Roman" w:hAnsi="Times New Roman" w:cs="Times New Roman"/>
          <w:sz w:val="24"/>
          <w:szCs w:val="24"/>
        </w:rPr>
        <w:t>RHOLISTIQ</w:t>
      </w:r>
      <w:r w:rsidR="00F928C0" w:rsidRPr="00F928C0">
        <w:rPr>
          <w:rFonts w:ascii="Times New Roman" w:hAnsi="Times New Roman" w:cs="Times New Roman"/>
          <w:sz w:val="24"/>
          <w:szCs w:val="24"/>
        </w:rPr>
        <w:t xml:space="preserve"> can cause </w:t>
      </w:r>
      <w:r w:rsidR="0058736C">
        <w:rPr>
          <w:rFonts w:ascii="Times New Roman" w:hAnsi="Times New Roman" w:cs="Times New Roman"/>
          <w:sz w:val="24"/>
          <w:szCs w:val="24"/>
        </w:rPr>
        <w:t>embryo</w:t>
      </w:r>
      <w:r w:rsidR="00F928C0" w:rsidRPr="00F928C0">
        <w:rPr>
          <w:rFonts w:ascii="Times New Roman" w:hAnsi="Times New Roman" w:cs="Times New Roman"/>
          <w:sz w:val="24"/>
          <w:szCs w:val="24"/>
        </w:rPr>
        <w:t>fetal harm when administered to a pregnant woman [see</w:t>
      </w:r>
      <w:r w:rsidR="002B571B">
        <w:rPr>
          <w:rFonts w:ascii="Times New Roman" w:hAnsi="Times New Roman" w:cs="Times New Roman"/>
          <w:sz w:val="24"/>
          <w:szCs w:val="24"/>
        </w:rPr>
        <w:t xml:space="preserve"> </w:t>
      </w:r>
      <w:r w:rsidR="00E96589" w:rsidRPr="0096139C">
        <w:rPr>
          <w:rFonts w:ascii="Times New Roman" w:hAnsi="Times New Roman" w:cs="Times New Roman"/>
          <w:sz w:val="24"/>
          <w:szCs w:val="24"/>
        </w:rPr>
        <w:t>Use in Pregnancy</w:t>
      </w:r>
      <w:r w:rsidR="00F928C0" w:rsidRPr="00F928C0">
        <w:rPr>
          <w:rFonts w:ascii="Times New Roman" w:hAnsi="Times New Roman" w:cs="Times New Roman"/>
          <w:sz w:val="24"/>
          <w:szCs w:val="24"/>
        </w:rPr>
        <w:t xml:space="preserve">]. </w:t>
      </w:r>
    </w:p>
    <w:p w14:paraId="42BC9614" w14:textId="2962D9DB" w:rsidR="00F928C0" w:rsidRPr="00C12761" w:rsidRDefault="00F928C0" w:rsidP="002403B3">
      <w:pPr>
        <w:spacing w:after="60"/>
        <w:jc w:val="both"/>
        <w:rPr>
          <w:rFonts w:ascii="Times New Roman" w:hAnsi="Times New Roman" w:cs="Times New Roman"/>
          <w:sz w:val="24"/>
          <w:szCs w:val="24"/>
          <w:u w:val="single"/>
        </w:rPr>
      </w:pPr>
      <w:r w:rsidRPr="00C12761">
        <w:rPr>
          <w:rFonts w:ascii="Times New Roman" w:hAnsi="Times New Roman" w:cs="Times New Roman"/>
          <w:sz w:val="24"/>
          <w:szCs w:val="24"/>
          <w:u w:val="single"/>
        </w:rPr>
        <w:t>Pregnancy Testing</w:t>
      </w:r>
    </w:p>
    <w:p w14:paraId="57D64D5D" w14:textId="2AFF171D" w:rsidR="00F928C0" w:rsidRPr="00F928C0" w:rsidRDefault="00F928C0" w:rsidP="002403B3">
      <w:pPr>
        <w:spacing w:after="60"/>
        <w:jc w:val="both"/>
        <w:rPr>
          <w:rFonts w:ascii="Times New Roman" w:hAnsi="Times New Roman" w:cs="Times New Roman"/>
          <w:sz w:val="24"/>
          <w:szCs w:val="24"/>
        </w:rPr>
      </w:pPr>
      <w:r w:rsidRPr="00F928C0">
        <w:rPr>
          <w:rFonts w:ascii="Times New Roman" w:hAnsi="Times New Roman" w:cs="Times New Roman"/>
          <w:sz w:val="24"/>
          <w:szCs w:val="24"/>
        </w:rPr>
        <w:t xml:space="preserve">Verify the pregnancy status of females of reproductive potential prior to initiating treatment with </w:t>
      </w:r>
      <w:r w:rsidR="003C66D6">
        <w:rPr>
          <w:rFonts w:ascii="Times New Roman" w:hAnsi="Times New Roman" w:cs="Times New Roman"/>
          <w:sz w:val="24"/>
          <w:szCs w:val="24"/>
        </w:rPr>
        <w:t>RHOLISTIQ</w:t>
      </w:r>
      <w:r w:rsidRPr="00F928C0">
        <w:rPr>
          <w:rFonts w:ascii="Times New Roman" w:hAnsi="Times New Roman" w:cs="Times New Roman"/>
          <w:sz w:val="24"/>
          <w:szCs w:val="24"/>
        </w:rPr>
        <w:t>.</w:t>
      </w:r>
    </w:p>
    <w:p w14:paraId="5362C94B" w14:textId="6C610DBF" w:rsidR="00F928C0" w:rsidRPr="00C12761" w:rsidRDefault="00F928C0" w:rsidP="002403B3">
      <w:pPr>
        <w:spacing w:after="60"/>
        <w:jc w:val="both"/>
        <w:rPr>
          <w:rFonts w:ascii="Times New Roman" w:hAnsi="Times New Roman" w:cs="Times New Roman"/>
          <w:sz w:val="24"/>
          <w:szCs w:val="24"/>
          <w:u w:val="single"/>
        </w:rPr>
      </w:pPr>
      <w:r w:rsidRPr="00C12761">
        <w:rPr>
          <w:rFonts w:ascii="Times New Roman" w:hAnsi="Times New Roman" w:cs="Times New Roman"/>
          <w:sz w:val="24"/>
          <w:szCs w:val="24"/>
          <w:u w:val="single"/>
        </w:rPr>
        <w:t>Contraception</w:t>
      </w:r>
    </w:p>
    <w:p w14:paraId="0FD11A4A" w14:textId="77777777" w:rsidR="00F928C0" w:rsidRPr="00C12761" w:rsidRDefault="00F928C0" w:rsidP="002403B3">
      <w:pPr>
        <w:spacing w:after="60"/>
        <w:jc w:val="both"/>
        <w:rPr>
          <w:rFonts w:ascii="Times New Roman" w:hAnsi="Times New Roman" w:cs="Times New Roman"/>
          <w:i/>
          <w:iCs/>
          <w:sz w:val="24"/>
          <w:szCs w:val="24"/>
        </w:rPr>
      </w:pPr>
      <w:r w:rsidRPr="00C12761">
        <w:rPr>
          <w:rFonts w:ascii="Times New Roman" w:hAnsi="Times New Roman" w:cs="Times New Roman"/>
          <w:i/>
          <w:iCs/>
          <w:sz w:val="24"/>
          <w:szCs w:val="24"/>
        </w:rPr>
        <w:t>Females</w:t>
      </w:r>
    </w:p>
    <w:p w14:paraId="63EA4CC4" w14:textId="3ABD280F" w:rsidR="00F928C0" w:rsidRPr="00F928C0" w:rsidRDefault="00F928C0" w:rsidP="002403B3">
      <w:pPr>
        <w:spacing w:after="60"/>
        <w:jc w:val="both"/>
        <w:rPr>
          <w:rFonts w:ascii="Times New Roman" w:hAnsi="Times New Roman" w:cs="Times New Roman"/>
          <w:sz w:val="24"/>
          <w:szCs w:val="24"/>
        </w:rPr>
      </w:pPr>
      <w:r w:rsidRPr="00F928C0">
        <w:rPr>
          <w:rFonts w:ascii="Times New Roman" w:hAnsi="Times New Roman" w:cs="Times New Roman"/>
          <w:sz w:val="24"/>
          <w:szCs w:val="24"/>
        </w:rPr>
        <w:t xml:space="preserve">Advise females of reproductive potential to use effective contraception during treatment with </w:t>
      </w:r>
      <w:r w:rsidR="003C66D6">
        <w:rPr>
          <w:rFonts w:ascii="Times New Roman" w:hAnsi="Times New Roman" w:cs="Times New Roman"/>
          <w:sz w:val="24"/>
          <w:szCs w:val="24"/>
        </w:rPr>
        <w:t>RHOLISTIQ</w:t>
      </w:r>
      <w:r w:rsidRPr="00F928C0">
        <w:rPr>
          <w:rFonts w:ascii="Times New Roman" w:hAnsi="Times New Roman" w:cs="Times New Roman"/>
          <w:sz w:val="24"/>
          <w:szCs w:val="24"/>
        </w:rPr>
        <w:t xml:space="preserve"> and for at least one week after the last dose of </w:t>
      </w:r>
      <w:r w:rsidR="003C66D6">
        <w:rPr>
          <w:rFonts w:ascii="Times New Roman" w:hAnsi="Times New Roman" w:cs="Times New Roman"/>
          <w:sz w:val="24"/>
          <w:szCs w:val="24"/>
        </w:rPr>
        <w:t>RHOLISTIQ</w:t>
      </w:r>
      <w:r w:rsidRPr="00F928C0">
        <w:rPr>
          <w:rFonts w:ascii="Times New Roman" w:hAnsi="Times New Roman" w:cs="Times New Roman"/>
          <w:sz w:val="24"/>
          <w:szCs w:val="24"/>
        </w:rPr>
        <w:t xml:space="preserve">. If this drug is used during pregnancy or if the patient becomes pregnant while taking this drug, the patient should be informed of the potential hazard to a </w:t>
      </w:r>
      <w:proofErr w:type="spellStart"/>
      <w:r w:rsidRPr="00F928C0">
        <w:rPr>
          <w:rFonts w:ascii="Times New Roman" w:hAnsi="Times New Roman" w:cs="Times New Roman"/>
          <w:sz w:val="24"/>
          <w:szCs w:val="24"/>
        </w:rPr>
        <w:t>fetus</w:t>
      </w:r>
      <w:proofErr w:type="spellEnd"/>
      <w:r w:rsidRPr="00F928C0">
        <w:rPr>
          <w:rFonts w:ascii="Times New Roman" w:hAnsi="Times New Roman" w:cs="Times New Roman"/>
          <w:sz w:val="24"/>
          <w:szCs w:val="24"/>
        </w:rPr>
        <w:t>.</w:t>
      </w:r>
    </w:p>
    <w:p w14:paraId="2E8FEAC6" w14:textId="77777777" w:rsidR="00F928C0" w:rsidRPr="00C12761" w:rsidRDefault="00F928C0" w:rsidP="002403B3">
      <w:pPr>
        <w:spacing w:after="60"/>
        <w:jc w:val="both"/>
        <w:rPr>
          <w:rFonts w:ascii="Times New Roman" w:hAnsi="Times New Roman" w:cs="Times New Roman"/>
          <w:i/>
          <w:iCs/>
          <w:sz w:val="24"/>
          <w:szCs w:val="24"/>
        </w:rPr>
      </w:pPr>
      <w:r w:rsidRPr="00C12761">
        <w:rPr>
          <w:rFonts w:ascii="Times New Roman" w:hAnsi="Times New Roman" w:cs="Times New Roman"/>
          <w:i/>
          <w:iCs/>
          <w:sz w:val="24"/>
          <w:szCs w:val="24"/>
        </w:rPr>
        <w:t>Males</w:t>
      </w:r>
    </w:p>
    <w:p w14:paraId="622E7329" w14:textId="4A64C4E8" w:rsidR="00F928C0" w:rsidRPr="00F928C0" w:rsidRDefault="00F928C0" w:rsidP="002403B3">
      <w:pPr>
        <w:spacing w:after="60"/>
        <w:jc w:val="both"/>
        <w:rPr>
          <w:rFonts w:ascii="Times New Roman" w:hAnsi="Times New Roman" w:cs="Times New Roman"/>
          <w:sz w:val="24"/>
          <w:szCs w:val="24"/>
        </w:rPr>
      </w:pPr>
      <w:r w:rsidRPr="00F928C0">
        <w:rPr>
          <w:rFonts w:ascii="Times New Roman" w:hAnsi="Times New Roman" w:cs="Times New Roman"/>
          <w:sz w:val="24"/>
          <w:szCs w:val="24"/>
        </w:rPr>
        <w:t xml:space="preserve">Advise male patients with female partners of reproductive potential to use effective contraception during treatment with </w:t>
      </w:r>
      <w:r w:rsidR="003C66D6">
        <w:rPr>
          <w:rFonts w:ascii="Times New Roman" w:hAnsi="Times New Roman" w:cs="Times New Roman"/>
          <w:sz w:val="24"/>
          <w:szCs w:val="24"/>
        </w:rPr>
        <w:t>RHOLISTIQ</w:t>
      </w:r>
      <w:r w:rsidRPr="00F928C0">
        <w:rPr>
          <w:rFonts w:ascii="Times New Roman" w:hAnsi="Times New Roman" w:cs="Times New Roman"/>
          <w:sz w:val="24"/>
          <w:szCs w:val="24"/>
        </w:rPr>
        <w:t xml:space="preserve"> and for at least one week after the last dose of </w:t>
      </w:r>
      <w:r w:rsidR="003C66D6">
        <w:rPr>
          <w:rFonts w:ascii="Times New Roman" w:hAnsi="Times New Roman" w:cs="Times New Roman"/>
          <w:sz w:val="24"/>
          <w:szCs w:val="24"/>
        </w:rPr>
        <w:t>RHOLISTIQ</w:t>
      </w:r>
      <w:r w:rsidRPr="00F928C0">
        <w:rPr>
          <w:rFonts w:ascii="Times New Roman" w:hAnsi="Times New Roman" w:cs="Times New Roman"/>
          <w:sz w:val="24"/>
          <w:szCs w:val="24"/>
        </w:rPr>
        <w:t>.</w:t>
      </w:r>
    </w:p>
    <w:p w14:paraId="14715DFA" w14:textId="679463CB" w:rsidR="001A3992" w:rsidRPr="00293E51" w:rsidRDefault="001A3992" w:rsidP="002403B3">
      <w:pPr>
        <w:pStyle w:val="Heading3"/>
        <w:spacing w:before="0" w:after="120"/>
        <w:ind w:left="0"/>
        <w:jc w:val="both"/>
        <w:rPr>
          <w:rFonts w:ascii="Times New Roman" w:hAnsi="Times New Roman" w:cs="Times New Roman"/>
          <w:sz w:val="24"/>
          <w:szCs w:val="24"/>
        </w:rPr>
      </w:pPr>
      <w:r w:rsidRPr="00293E51">
        <w:rPr>
          <w:rFonts w:ascii="Times New Roman" w:hAnsi="Times New Roman" w:cs="Times New Roman"/>
          <w:sz w:val="24"/>
          <w:szCs w:val="24"/>
        </w:rPr>
        <w:t xml:space="preserve">Use in </w:t>
      </w:r>
      <w:r w:rsidR="005C1513" w:rsidRPr="00293E51">
        <w:rPr>
          <w:rFonts w:ascii="Times New Roman" w:hAnsi="Times New Roman" w:cs="Times New Roman"/>
          <w:sz w:val="24"/>
          <w:szCs w:val="24"/>
        </w:rPr>
        <w:t>P</w:t>
      </w:r>
      <w:r w:rsidRPr="00293E51">
        <w:rPr>
          <w:rFonts w:ascii="Times New Roman" w:hAnsi="Times New Roman" w:cs="Times New Roman"/>
          <w:sz w:val="24"/>
          <w:szCs w:val="24"/>
        </w:rPr>
        <w:t xml:space="preserve">regnancy </w:t>
      </w:r>
      <w:r w:rsidR="00497C85" w:rsidRPr="00293E51">
        <w:rPr>
          <w:rFonts w:ascii="Times New Roman" w:hAnsi="Times New Roman" w:cs="Times New Roman"/>
          <w:sz w:val="24"/>
          <w:szCs w:val="24"/>
        </w:rPr>
        <w:t>– Pregnancy Category D</w:t>
      </w:r>
    </w:p>
    <w:p w14:paraId="5E34C6B0" w14:textId="396B1308" w:rsidR="009537AE" w:rsidRPr="002455F7" w:rsidRDefault="003C66D6" w:rsidP="002403B3">
      <w:pPr>
        <w:spacing w:after="120"/>
        <w:jc w:val="both"/>
        <w:rPr>
          <w:rFonts w:ascii="Times New Roman" w:hAnsi="Times New Roman" w:cs="Times New Roman"/>
          <w:sz w:val="24"/>
          <w:szCs w:val="24"/>
        </w:rPr>
      </w:pPr>
      <w:r>
        <w:rPr>
          <w:rFonts w:ascii="Times New Roman" w:hAnsi="Times New Roman" w:cs="Times New Roman"/>
          <w:sz w:val="24"/>
          <w:szCs w:val="24"/>
        </w:rPr>
        <w:t>RHOLISTIQ</w:t>
      </w:r>
      <w:r w:rsidR="009537AE" w:rsidRPr="002455F7">
        <w:rPr>
          <w:rFonts w:ascii="Times New Roman" w:hAnsi="Times New Roman" w:cs="Times New Roman"/>
          <w:sz w:val="24"/>
          <w:szCs w:val="24"/>
        </w:rPr>
        <w:t xml:space="preserve"> can cause </w:t>
      </w:r>
      <w:r w:rsidR="006A11BB">
        <w:rPr>
          <w:rFonts w:ascii="Times New Roman" w:hAnsi="Times New Roman" w:cs="Times New Roman"/>
          <w:sz w:val="24"/>
          <w:szCs w:val="24"/>
        </w:rPr>
        <w:t>embryo</w:t>
      </w:r>
      <w:r w:rsidR="009537AE" w:rsidRPr="002455F7">
        <w:rPr>
          <w:rFonts w:ascii="Times New Roman" w:hAnsi="Times New Roman" w:cs="Times New Roman"/>
          <w:sz w:val="24"/>
          <w:szCs w:val="24"/>
        </w:rPr>
        <w:t xml:space="preserve">fetal harm based on findings from animal studies and its mechanism of action. There are no available human data on </w:t>
      </w:r>
      <w:r>
        <w:rPr>
          <w:rFonts w:ascii="Times New Roman" w:hAnsi="Times New Roman" w:cs="Times New Roman"/>
          <w:sz w:val="24"/>
          <w:szCs w:val="24"/>
        </w:rPr>
        <w:t>RHOLISTIQ</w:t>
      </w:r>
      <w:r w:rsidR="009537AE" w:rsidRPr="002455F7">
        <w:rPr>
          <w:rFonts w:ascii="Times New Roman" w:hAnsi="Times New Roman" w:cs="Times New Roman"/>
          <w:sz w:val="24"/>
          <w:szCs w:val="24"/>
        </w:rPr>
        <w:t xml:space="preserve"> use in pregnant women to inform a drug-associated risk of major birth defects and miscarriage. </w:t>
      </w:r>
    </w:p>
    <w:p w14:paraId="29B73890" w14:textId="539D9E23" w:rsidR="009537AE" w:rsidRPr="002455F7" w:rsidRDefault="009537AE" w:rsidP="002403B3">
      <w:pPr>
        <w:spacing w:after="120"/>
        <w:jc w:val="both"/>
        <w:rPr>
          <w:rFonts w:ascii="Times New Roman" w:hAnsi="Times New Roman" w:cs="Times New Roman"/>
          <w:sz w:val="24"/>
          <w:szCs w:val="24"/>
        </w:rPr>
      </w:pPr>
      <w:r w:rsidRPr="002455F7">
        <w:rPr>
          <w:rFonts w:ascii="Times New Roman" w:hAnsi="Times New Roman" w:cs="Times New Roman"/>
          <w:sz w:val="24"/>
          <w:szCs w:val="24"/>
        </w:rPr>
        <w:t xml:space="preserve">If </w:t>
      </w:r>
      <w:r w:rsidR="003C66D6">
        <w:rPr>
          <w:rFonts w:ascii="Times New Roman" w:hAnsi="Times New Roman" w:cs="Times New Roman"/>
          <w:sz w:val="24"/>
          <w:szCs w:val="24"/>
        </w:rPr>
        <w:t>RHOLISTIQ</w:t>
      </w:r>
      <w:r w:rsidRPr="002455F7">
        <w:rPr>
          <w:rFonts w:ascii="Times New Roman" w:hAnsi="Times New Roman" w:cs="Times New Roman"/>
          <w:sz w:val="24"/>
          <w:szCs w:val="24"/>
        </w:rPr>
        <w:t xml:space="preserve"> is used during pregnancy or if the patient becomes pregnant while taking </w:t>
      </w:r>
      <w:r w:rsidR="003C66D6">
        <w:rPr>
          <w:rFonts w:ascii="Times New Roman" w:hAnsi="Times New Roman" w:cs="Times New Roman"/>
          <w:sz w:val="24"/>
          <w:szCs w:val="24"/>
        </w:rPr>
        <w:t>RHOLISTIQ</w:t>
      </w:r>
      <w:r w:rsidRPr="002455F7">
        <w:rPr>
          <w:rFonts w:ascii="Times New Roman" w:hAnsi="Times New Roman" w:cs="Times New Roman"/>
          <w:sz w:val="24"/>
          <w:szCs w:val="24"/>
        </w:rPr>
        <w:t xml:space="preserve">, the patient should be apprised of the potential hazard to the </w:t>
      </w:r>
      <w:proofErr w:type="spellStart"/>
      <w:r w:rsidRPr="002455F7">
        <w:rPr>
          <w:rFonts w:ascii="Times New Roman" w:hAnsi="Times New Roman" w:cs="Times New Roman"/>
          <w:sz w:val="24"/>
          <w:szCs w:val="24"/>
        </w:rPr>
        <w:t>fetus</w:t>
      </w:r>
      <w:proofErr w:type="spellEnd"/>
      <w:r w:rsidRPr="002455F7">
        <w:rPr>
          <w:rFonts w:ascii="Times New Roman" w:hAnsi="Times New Roman" w:cs="Times New Roman"/>
          <w:sz w:val="24"/>
          <w:szCs w:val="24"/>
        </w:rPr>
        <w:t>.</w:t>
      </w:r>
    </w:p>
    <w:p w14:paraId="5D165AA1" w14:textId="39DA9C4A" w:rsidR="009537AE" w:rsidRPr="00BF6BA8" w:rsidRDefault="009537AE" w:rsidP="002403B3">
      <w:pPr>
        <w:spacing w:after="120"/>
        <w:jc w:val="both"/>
        <w:rPr>
          <w:rFonts w:ascii="Times New Roman" w:hAnsi="Times New Roman" w:cs="Times New Roman"/>
          <w:sz w:val="24"/>
          <w:szCs w:val="24"/>
        </w:rPr>
      </w:pPr>
      <w:r w:rsidRPr="003D38B9">
        <w:rPr>
          <w:rFonts w:ascii="Times New Roman" w:hAnsi="Times New Roman" w:cs="Times New Roman"/>
          <w:sz w:val="24"/>
          <w:szCs w:val="24"/>
        </w:rPr>
        <w:t>All pregnancies have a background risk of birth defect, loss, or other adverse outcomes. The background risk of major birth defects and miscarriage for the indicated population is unknown.</w:t>
      </w:r>
      <w:r w:rsidR="00DB277D">
        <w:rPr>
          <w:rFonts w:ascii="Times New Roman" w:hAnsi="Times New Roman" w:cs="Times New Roman"/>
          <w:sz w:val="24"/>
          <w:szCs w:val="24"/>
        </w:rPr>
        <w:t xml:space="preserve"> </w:t>
      </w:r>
    </w:p>
    <w:p w14:paraId="3D9FA7FB" w14:textId="1D129D0C" w:rsidR="009537AE" w:rsidRPr="00F3271C" w:rsidRDefault="00650F45" w:rsidP="002403B3">
      <w:pPr>
        <w:spacing w:after="120"/>
        <w:jc w:val="both"/>
        <w:rPr>
          <w:rFonts w:ascii="Times New Roman" w:hAnsi="Times New Roman" w:cs="Times New Roman"/>
          <w:sz w:val="24"/>
          <w:szCs w:val="24"/>
        </w:rPr>
      </w:pPr>
      <w:r w:rsidRPr="00650F45">
        <w:rPr>
          <w:rFonts w:ascii="Times New Roman" w:hAnsi="Times New Roman" w:cs="Times New Roman"/>
          <w:sz w:val="24"/>
          <w:szCs w:val="24"/>
        </w:rPr>
        <w:t xml:space="preserve">In pregnant rats, oral administration of </w:t>
      </w:r>
      <w:proofErr w:type="spellStart"/>
      <w:r w:rsidRPr="00650F45">
        <w:rPr>
          <w:rFonts w:ascii="Times New Roman" w:hAnsi="Times New Roman" w:cs="Times New Roman"/>
          <w:sz w:val="24"/>
          <w:szCs w:val="24"/>
        </w:rPr>
        <w:t>belumosudil</w:t>
      </w:r>
      <w:proofErr w:type="spellEnd"/>
      <w:r w:rsidRPr="00650F45">
        <w:rPr>
          <w:rFonts w:ascii="Times New Roman" w:hAnsi="Times New Roman" w:cs="Times New Roman"/>
          <w:sz w:val="24"/>
          <w:szCs w:val="24"/>
        </w:rPr>
        <w:t xml:space="preserve"> reduced </w:t>
      </w:r>
      <w:proofErr w:type="spellStart"/>
      <w:r w:rsidRPr="00650F45">
        <w:rPr>
          <w:rFonts w:ascii="Times New Roman" w:hAnsi="Times New Roman" w:cs="Times New Roman"/>
          <w:sz w:val="24"/>
          <w:szCs w:val="24"/>
        </w:rPr>
        <w:t>fetal</w:t>
      </w:r>
      <w:proofErr w:type="spellEnd"/>
      <w:r w:rsidRPr="00650F45">
        <w:rPr>
          <w:rFonts w:ascii="Times New Roman" w:hAnsi="Times New Roman" w:cs="Times New Roman"/>
          <w:sz w:val="24"/>
          <w:szCs w:val="24"/>
        </w:rPr>
        <w:t xml:space="preserve"> weight at ≥150 mg/kg/day and resulted in </w:t>
      </w:r>
      <w:proofErr w:type="spellStart"/>
      <w:r w:rsidRPr="00650F45">
        <w:rPr>
          <w:rFonts w:ascii="Times New Roman" w:hAnsi="Times New Roman" w:cs="Times New Roman"/>
          <w:sz w:val="24"/>
          <w:szCs w:val="24"/>
        </w:rPr>
        <w:t>embryolethality</w:t>
      </w:r>
      <w:proofErr w:type="spellEnd"/>
      <w:r w:rsidRPr="00650F45">
        <w:rPr>
          <w:rFonts w:ascii="Times New Roman" w:hAnsi="Times New Roman" w:cs="Times New Roman"/>
          <w:sz w:val="24"/>
          <w:szCs w:val="24"/>
        </w:rPr>
        <w:t xml:space="preserve"> at 300 mg/kg/day (yielding 3–9 times the exposure in patients at the maximum recommended human dose). </w:t>
      </w:r>
      <w:proofErr w:type="spellStart"/>
      <w:r w:rsidRPr="00650F45">
        <w:rPr>
          <w:rFonts w:ascii="Times New Roman" w:hAnsi="Times New Roman" w:cs="Times New Roman"/>
          <w:sz w:val="24"/>
          <w:szCs w:val="24"/>
        </w:rPr>
        <w:t>Fetal</w:t>
      </w:r>
      <w:proofErr w:type="spellEnd"/>
      <w:r w:rsidRPr="00650F45">
        <w:rPr>
          <w:rFonts w:ascii="Times New Roman" w:hAnsi="Times New Roman" w:cs="Times New Roman"/>
          <w:sz w:val="24"/>
          <w:szCs w:val="24"/>
        </w:rPr>
        <w:t xml:space="preserve"> malformations were observed at ≥50 mg/kg/day and included absence of anus and tail, whole body oedema, omphalocele and dome-shaped head.</w:t>
      </w:r>
      <w:r w:rsidR="009F6F80">
        <w:rPr>
          <w:rFonts w:ascii="Times New Roman" w:hAnsi="Times New Roman" w:cs="Times New Roman"/>
          <w:sz w:val="24"/>
          <w:szCs w:val="24"/>
        </w:rPr>
        <w:t xml:space="preserve"> </w:t>
      </w:r>
      <w:r w:rsidR="009537AE" w:rsidRPr="00BF6BA8">
        <w:rPr>
          <w:rFonts w:ascii="Times New Roman" w:hAnsi="Times New Roman" w:cs="Times New Roman"/>
          <w:sz w:val="24"/>
          <w:szCs w:val="24"/>
        </w:rPr>
        <w:t xml:space="preserve">In rabbits, abortions, increased post-implantation loss, decreased </w:t>
      </w:r>
      <w:r w:rsidR="00024B15">
        <w:rPr>
          <w:rFonts w:ascii="Times New Roman" w:hAnsi="Times New Roman" w:cs="Times New Roman"/>
          <w:sz w:val="24"/>
          <w:szCs w:val="24"/>
        </w:rPr>
        <w:t>live litter size</w:t>
      </w:r>
      <w:r w:rsidR="009537AE" w:rsidRPr="00BF6BA8">
        <w:rPr>
          <w:rFonts w:ascii="Times New Roman" w:hAnsi="Times New Roman" w:cs="Times New Roman"/>
          <w:sz w:val="24"/>
          <w:szCs w:val="24"/>
        </w:rPr>
        <w:t xml:space="preserve">, decreased </w:t>
      </w:r>
      <w:proofErr w:type="spellStart"/>
      <w:r w:rsidR="009537AE" w:rsidRPr="00BF6BA8">
        <w:rPr>
          <w:rFonts w:ascii="Times New Roman" w:hAnsi="Times New Roman" w:cs="Times New Roman"/>
          <w:sz w:val="24"/>
          <w:szCs w:val="24"/>
        </w:rPr>
        <w:t>fetal</w:t>
      </w:r>
      <w:proofErr w:type="spellEnd"/>
      <w:r w:rsidR="009537AE" w:rsidRPr="00BF6BA8">
        <w:rPr>
          <w:rFonts w:ascii="Times New Roman" w:hAnsi="Times New Roman" w:cs="Times New Roman"/>
          <w:sz w:val="24"/>
          <w:szCs w:val="24"/>
        </w:rPr>
        <w:t xml:space="preserve"> body weight, and </w:t>
      </w:r>
      <w:proofErr w:type="spellStart"/>
      <w:r w:rsidR="00BD6CAC">
        <w:rPr>
          <w:rFonts w:ascii="Times New Roman" w:hAnsi="Times New Roman" w:cs="Times New Roman"/>
          <w:sz w:val="24"/>
          <w:szCs w:val="24"/>
        </w:rPr>
        <w:t>fetal</w:t>
      </w:r>
      <w:proofErr w:type="spellEnd"/>
      <w:r w:rsidR="009537AE" w:rsidRPr="00BF6BA8">
        <w:rPr>
          <w:rFonts w:ascii="Times New Roman" w:hAnsi="Times New Roman" w:cs="Times New Roman"/>
          <w:sz w:val="24"/>
          <w:szCs w:val="24"/>
        </w:rPr>
        <w:t xml:space="preserve"> malformations at </w:t>
      </w:r>
      <w:r w:rsidR="001D6407">
        <w:rPr>
          <w:rFonts w:ascii="Times New Roman" w:hAnsi="Times New Roman" w:cs="Times New Roman"/>
          <w:sz w:val="24"/>
          <w:szCs w:val="24"/>
        </w:rPr>
        <w:t xml:space="preserve">oral </w:t>
      </w:r>
      <w:r w:rsidR="009537AE" w:rsidRPr="00BF6BA8">
        <w:rPr>
          <w:rFonts w:ascii="Times New Roman" w:hAnsi="Times New Roman" w:cs="Times New Roman"/>
          <w:sz w:val="24"/>
          <w:szCs w:val="24"/>
        </w:rPr>
        <w:t>doses ≥ 125 mg/kg/day (approximately 0.4 times the human exposure at the recommended dose based on AUC)</w:t>
      </w:r>
      <w:r w:rsidR="003F1AEE">
        <w:rPr>
          <w:rFonts w:ascii="Times New Roman" w:hAnsi="Times New Roman" w:cs="Times New Roman"/>
          <w:sz w:val="24"/>
          <w:szCs w:val="24"/>
        </w:rPr>
        <w:t xml:space="preserve"> were observed</w:t>
      </w:r>
      <w:r w:rsidR="009537AE" w:rsidRPr="00BF6BA8">
        <w:rPr>
          <w:rFonts w:ascii="Times New Roman" w:hAnsi="Times New Roman" w:cs="Times New Roman"/>
          <w:sz w:val="24"/>
          <w:szCs w:val="24"/>
        </w:rPr>
        <w:t>.</w:t>
      </w:r>
      <w:r w:rsidR="001D6407">
        <w:rPr>
          <w:rFonts w:ascii="Times New Roman" w:hAnsi="Times New Roman" w:cs="Times New Roman"/>
          <w:sz w:val="24"/>
          <w:szCs w:val="24"/>
        </w:rPr>
        <w:t xml:space="preserve"> </w:t>
      </w:r>
      <w:r w:rsidR="001D6407" w:rsidRPr="001D6407">
        <w:rPr>
          <w:rFonts w:ascii="Times New Roman" w:hAnsi="Times New Roman" w:cs="Times New Roman"/>
          <w:sz w:val="24"/>
          <w:szCs w:val="24"/>
        </w:rPr>
        <w:t xml:space="preserve">Malformations observed in rabbits involved the tail (short), ribs (branched, fused or </w:t>
      </w:r>
      <w:r w:rsidR="001D6407" w:rsidRPr="001D6407">
        <w:rPr>
          <w:rFonts w:ascii="Times New Roman" w:hAnsi="Times New Roman" w:cs="Times New Roman"/>
          <w:sz w:val="24"/>
          <w:szCs w:val="24"/>
        </w:rPr>
        <w:lastRenderedPageBreak/>
        <w:t xml:space="preserve">misshapen), </w:t>
      </w:r>
      <w:proofErr w:type="spellStart"/>
      <w:r w:rsidR="001D6407" w:rsidRPr="001D6407">
        <w:rPr>
          <w:rFonts w:ascii="Times New Roman" w:hAnsi="Times New Roman" w:cs="Times New Roman"/>
          <w:sz w:val="24"/>
          <w:szCs w:val="24"/>
        </w:rPr>
        <w:t>sternebrae</w:t>
      </w:r>
      <w:proofErr w:type="spellEnd"/>
      <w:r w:rsidR="001D6407" w:rsidRPr="001D6407">
        <w:rPr>
          <w:rFonts w:ascii="Times New Roman" w:hAnsi="Times New Roman" w:cs="Times New Roman"/>
          <w:sz w:val="24"/>
          <w:szCs w:val="24"/>
        </w:rPr>
        <w:t xml:space="preserve"> (fused) and thoracic vertebral neural arches (fused, </w:t>
      </w:r>
      <w:proofErr w:type="gramStart"/>
      <w:r w:rsidR="001D6407" w:rsidRPr="001D6407">
        <w:rPr>
          <w:rFonts w:ascii="Times New Roman" w:hAnsi="Times New Roman" w:cs="Times New Roman"/>
          <w:sz w:val="24"/>
          <w:szCs w:val="24"/>
        </w:rPr>
        <w:t>misaligned</w:t>
      </w:r>
      <w:proofErr w:type="gramEnd"/>
      <w:r w:rsidR="001D6407" w:rsidRPr="001D6407">
        <w:rPr>
          <w:rFonts w:ascii="Times New Roman" w:hAnsi="Times New Roman" w:cs="Times New Roman"/>
          <w:sz w:val="24"/>
          <w:szCs w:val="24"/>
        </w:rPr>
        <w:t xml:space="preserve"> or misshapen).</w:t>
      </w:r>
    </w:p>
    <w:p w14:paraId="5C2F007B" w14:textId="17484317" w:rsidR="001A3992" w:rsidRPr="00293E51" w:rsidRDefault="001A3992" w:rsidP="002403B3">
      <w:pPr>
        <w:pStyle w:val="Heading3"/>
        <w:spacing w:before="0" w:after="120"/>
        <w:ind w:left="0"/>
        <w:jc w:val="both"/>
        <w:rPr>
          <w:rFonts w:ascii="Times New Roman" w:hAnsi="Times New Roman" w:cs="Times New Roman"/>
          <w:sz w:val="24"/>
          <w:szCs w:val="24"/>
        </w:rPr>
      </w:pPr>
      <w:r w:rsidRPr="00293E51">
        <w:rPr>
          <w:rFonts w:ascii="Times New Roman" w:hAnsi="Times New Roman" w:cs="Times New Roman"/>
          <w:sz w:val="24"/>
          <w:szCs w:val="24"/>
        </w:rPr>
        <w:t>Use in lactation</w:t>
      </w:r>
    </w:p>
    <w:p w14:paraId="02623F34" w14:textId="234E6D6D" w:rsidR="000E6B74" w:rsidRPr="00293E51" w:rsidRDefault="000E6B74" w:rsidP="002403B3">
      <w:pPr>
        <w:spacing w:after="240"/>
        <w:jc w:val="both"/>
        <w:rPr>
          <w:rFonts w:ascii="Times New Roman" w:hAnsi="Times New Roman" w:cs="Times New Roman"/>
          <w:sz w:val="24"/>
          <w:szCs w:val="24"/>
        </w:rPr>
      </w:pPr>
      <w:r w:rsidRPr="000E6B74">
        <w:rPr>
          <w:rFonts w:ascii="Times New Roman" w:hAnsi="Times New Roman" w:cs="Times New Roman"/>
          <w:sz w:val="24"/>
          <w:szCs w:val="24"/>
        </w:rPr>
        <w:t xml:space="preserve">No data are available regarding the presence of </w:t>
      </w:r>
      <w:proofErr w:type="spellStart"/>
      <w:r w:rsidR="004E4C2E" w:rsidRPr="3EF34B50">
        <w:rPr>
          <w:rFonts w:ascii="Times New Roman" w:hAnsi="Times New Roman" w:cs="Times New Roman"/>
          <w:sz w:val="24"/>
          <w:szCs w:val="24"/>
        </w:rPr>
        <w:t>belumosudil</w:t>
      </w:r>
      <w:proofErr w:type="spellEnd"/>
      <w:r w:rsidRPr="000E6B74">
        <w:rPr>
          <w:rFonts w:ascii="Times New Roman" w:hAnsi="Times New Roman" w:cs="Times New Roman"/>
          <w:sz w:val="24"/>
          <w:szCs w:val="24"/>
        </w:rPr>
        <w:t xml:space="preserve"> or its metabolites in animal or human milk or its effects on the breastfed child, or on milk production. Because of the potential for serious adverse</w:t>
      </w:r>
      <w:r w:rsidR="00D21F7B">
        <w:rPr>
          <w:rFonts w:ascii="Times New Roman" w:hAnsi="Times New Roman" w:cs="Times New Roman"/>
          <w:sz w:val="24"/>
          <w:szCs w:val="24"/>
        </w:rPr>
        <w:t xml:space="preserve"> </w:t>
      </w:r>
      <w:r w:rsidRPr="000E6B74">
        <w:rPr>
          <w:rFonts w:ascii="Times New Roman" w:hAnsi="Times New Roman" w:cs="Times New Roman"/>
          <w:sz w:val="24"/>
          <w:szCs w:val="24"/>
        </w:rPr>
        <w:t xml:space="preserve">reactions in a breastfed child, advise women not to breastfeed during treatment with </w:t>
      </w:r>
      <w:r w:rsidR="003C66D6">
        <w:rPr>
          <w:rFonts w:ascii="Times New Roman" w:hAnsi="Times New Roman" w:cs="Times New Roman"/>
          <w:sz w:val="24"/>
          <w:szCs w:val="24"/>
        </w:rPr>
        <w:t>RHOLISTIQ</w:t>
      </w:r>
      <w:r w:rsidRPr="000E6B74">
        <w:rPr>
          <w:rFonts w:ascii="Times New Roman" w:hAnsi="Times New Roman" w:cs="Times New Roman"/>
          <w:sz w:val="24"/>
          <w:szCs w:val="24"/>
        </w:rPr>
        <w:t xml:space="preserve"> and for at least one week after the last dose.</w:t>
      </w:r>
    </w:p>
    <w:p w14:paraId="12326586" w14:textId="77777777" w:rsidR="001A3992" w:rsidRPr="00293E51" w:rsidRDefault="001A3992" w:rsidP="002403B3">
      <w:pPr>
        <w:pStyle w:val="Heading2"/>
        <w:spacing w:before="0" w:after="120"/>
        <w:ind w:left="0" w:firstLine="0"/>
        <w:jc w:val="both"/>
        <w:rPr>
          <w:rFonts w:ascii="Times New Roman" w:hAnsi="Times New Roman" w:cs="Times New Roman"/>
          <w:szCs w:val="24"/>
        </w:rPr>
      </w:pPr>
      <w:r w:rsidRPr="00293E51">
        <w:rPr>
          <w:rFonts w:ascii="Times New Roman" w:hAnsi="Times New Roman" w:cs="Times New Roman"/>
          <w:szCs w:val="24"/>
        </w:rPr>
        <w:t xml:space="preserve">Effects on ability to drive and use machines </w:t>
      </w:r>
    </w:p>
    <w:p w14:paraId="326D7C4E" w14:textId="12C8A1DA" w:rsidR="00497C85" w:rsidRPr="00D941F4" w:rsidRDefault="003C66D6" w:rsidP="002403B3">
      <w:pPr>
        <w:spacing w:after="240"/>
        <w:jc w:val="both"/>
        <w:rPr>
          <w:rFonts w:ascii="Times New Roman" w:hAnsi="Times New Roman" w:cs="Times New Roman"/>
          <w:sz w:val="24"/>
          <w:szCs w:val="24"/>
        </w:rPr>
      </w:pPr>
      <w:r>
        <w:rPr>
          <w:rFonts w:ascii="Times New Roman" w:hAnsi="Times New Roman" w:cs="Times New Roman"/>
          <w:sz w:val="24"/>
          <w:szCs w:val="24"/>
          <w:lang w:val="en"/>
        </w:rPr>
        <w:t>RHOLISTIQ</w:t>
      </w:r>
      <w:r w:rsidR="00D75E84" w:rsidRPr="0007486C">
        <w:rPr>
          <w:rFonts w:ascii="Times New Roman" w:hAnsi="Times New Roman" w:cs="Times New Roman"/>
          <w:sz w:val="24"/>
          <w:szCs w:val="24"/>
          <w:lang w:val="en"/>
        </w:rPr>
        <w:t xml:space="preserve"> has no influence on the ability to drive and use machines. The clinical status of the patient should be considered when assessing the patient’s ability to perform tasks that require judgment, motor, or cognitive skills.</w:t>
      </w:r>
      <w:r w:rsidR="00D75E84" w:rsidRPr="00D941F4">
        <w:rPr>
          <w:rFonts w:ascii="Times New Roman" w:hAnsi="Times New Roman" w:cs="Times New Roman"/>
          <w:sz w:val="24"/>
          <w:szCs w:val="24"/>
          <w:lang w:val="en"/>
        </w:rPr>
        <w:t xml:space="preserve"> </w:t>
      </w:r>
    </w:p>
    <w:p w14:paraId="2D467FC6" w14:textId="77777777" w:rsidR="001A3992" w:rsidRPr="004834B0" w:rsidRDefault="001A3992" w:rsidP="002403B3">
      <w:pPr>
        <w:pStyle w:val="Heading2"/>
        <w:keepNext/>
        <w:keepLines/>
        <w:spacing w:before="0" w:after="120"/>
        <w:ind w:left="0" w:firstLine="0"/>
        <w:jc w:val="both"/>
        <w:rPr>
          <w:rFonts w:ascii="Times New Roman" w:hAnsi="Times New Roman" w:cs="Times New Roman"/>
          <w:szCs w:val="24"/>
        </w:rPr>
      </w:pPr>
      <w:bookmarkStart w:id="16" w:name="_Adverse_effects_(Undesirable"/>
      <w:bookmarkEnd w:id="16"/>
      <w:r w:rsidRPr="004834B0">
        <w:rPr>
          <w:rFonts w:ascii="Times New Roman" w:hAnsi="Times New Roman" w:cs="Times New Roman"/>
          <w:szCs w:val="24"/>
        </w:rPr>
        <w:t>Adverse effects (Undesirable effects)</w:t>
      </w:r>
    </w:p>
    <w:p w14:paraId="56FDA331" w14:textId="627B4D5C" w:rsidR="00185BF0" w:rsidRPr="00185BF0" w:rsidRDefault="00704BA3" w:rsidP="002403B3">
      <w:pPr>
        <w:keepNext/>
        <w:spacing w:after="60"/>
        <w:jc w:val="both"/>
        <w:rPr>
          <w:rFonts w:ascii="Times New Roman" w:hAnsi="Times New Roman" w:cs="Times New Roman"/>
          <w:sz w:val="24"/>
          <w:szCs w:val="24"/>
        </w:rPr>
      </w:pPr>
      <w:r w:rsidRPr="00185BF0">
        <w:rPr>
          <w:rFonts w:ascii="Times New Roman" w:hAnsi="Times New Roman" w:cs="Times New Roman"/>
          <w:sz w:val="24"/>
          <w:szCs w:val="24"/>
        </w:rPr>
        <w:t>The following clinically significant advers</w:t>
      </w:r>
      <w:r w:rsidR="00D21F7B">
        <w:rPr>
          <w:rFonts w:ascii="Times New Roman" w:hAnsi="Times New Roman" w:cs="Times New Roman"/>
          <w:sz w:val="24"/>
          <w:szCs w:val="24"/>
        </w:rPr>
        <w:t xml:space="preserve">e </w:t>
      </w:r>
      <w:r w:rsidR="00DF4914">
        <w:rPr>
          <w:rFonts w:ascii="Times New Roman" w:hAnsi="Times New Roman" w:cs="Times New Roman"/>
          <w:sz w:val="24"/>
          <w:szCs w:val="24"/>
        </w:rPr>
        <w:t>events</w:t>
      </w:r>
      <w:r w:rsidRPr="00185BF0">
        <w:rPr>
          <w:rFonts w:ascii="Times New Roman" w:hAnsi="Times New Roman" w:cs="Times New Roman"/>
          <w:sz w:val="24"/>
          <w:szCs w:val="24"/>
        </w:rPr>
        <w:t xml:space="preserve"> are discussed in more detail in other sections of the </w:t>
      </w:r>
      <w:r w:rsidR="00510A82">
        <w:rPr>
          <w:rFonts w:ascii="Times New Roman" w:hAnsi="Times New Roman" w:cs="Times New Roman"/>
          <w:sz w:val="24"/>
          <w:szCs w:val="24"/>
        </w:rPr>
        <w:t>Product Information</w:t>
      </w:r>
      <w:r w:rsidRPr="00185BF0">
        <w:rPr>
          <w:rFonts w:ascii="Times New Roman" w:hAnsi="Times New Roman" w:cs="Times New Roman"/>
          <w:sz w:val="24"/>
          <w:szCs w:val="24"/>
        </w:rPr>
        <w:t>.</w:t>
      </w:r>
      <w:r w:rsidR="00E568D3" w:rsidRPr="00185BF0">
        <w:rPr>
          <w:rFonts w:ascii="Times New Roman" w:hAnsi="Times New Roman" w:cs="Times New Roman"/>
          <w:sz w:val="24"/>
          <w:szCs w:val="24"/>
        </w:rPr>
        <w:t xml:space="preserve"> </w:t>
      </w:r>
    </w:p>
    <w:p w14:paraId="18BE34C6" w14:textId="2F53BF1B" w:rsidR="0085038E" w:rsidRPr="00185BF0" w:rsidRDefault="00704BA3" w:rsidP="002403B3">
      <w:pPr>
        <w:pStyle w:val="ListParagraph"/>
        <w:keepNext/>
        <w:numPr>
          <w:ilvl w:val="0"/>
          <w:numId w:val="28"/>
        </w:numPr>
        <w:spacing w:after="60"/>
        <w:jc w:val="both"/>
        <w:rPr>
          <w:rFonts w:ascii="Times New Roman" w:hAnsi="Times New Roman" w:cs="Times New Roman"/>
          <w:sz w:val="24"/>
          <w:szCs w:val="24"/>
        </w:rPr>
      </w:pPr>
      <w:r w:rsidRPr="00185BF0">
        <w:rPr>
          <w:rFonts w:ascii="Times New Roman" w:hAnsi="Times New Roman" w:cs="Times New Roman"/>
          <w:sz w:val="24"/>
          <w:szCs w:val="24"/>
        </w:rPr>
        <w:t xml:space="preserve">Embryofetal toxicity [see </w:t>
      </w:r>
      <w:hyperlink w:anchor="_Embryo-Foetal_Toxicity" w:history="1">
        <w:r w:rsidR="00B835A1" w:rsidRPr="00146948">
          <w:rPr>
            <w:rStyle w:val="Hyperlink"/>
            <w:rFonts w:ascii="Times New Roman" w:hAnsi="Times New Roman" w:cs="Times New Roman"/>
            <w:sz w:val="24"/>
            <w:szCs w:val="24"/>
          </w:rPr>
          <w:t xml:space="preserve">Section </w:t>
        </w:r>
        <w:r w:rsidR="00185BF0" w:rsidRPr="00146948">
          <w:rPr>
            <w:rStyle w:val="Hyperlink"/>
            <w:rFonts w:ascii="Times New Roman" w:hAnsi="Times New Roman" w:cs="Times New Roman"/>
            <w:sz w:val="24"/>
            <w:szCs w:val="24"/>
          </w:rPr>
          <w:t>4.4</w:t>
        </w:r>
      </w:hyperlink>
      <w:r w:rsidR="00185BF0" w:rsidRPr="00185BF0">
        <w:rPr>
          <w:rFonts w:ascii="Times New Roman" w:hAnsi="Times New Roman" w:cs="Times New Roman"/>
          <w:sz w:val="24"/>
          <w:szCs w:val="24"/>
        </w:rPr>
        <w:t xml:space="preserve"> </w:t>
      </w:r>
      <w:r w:rsidRPr="00185BF0">
        <w:rPr>
          <w:rFonts w:ascii="Times New Roman" w:hAnsi="Times New Roman" w:cs="Times New Roman"/>
          <w:sz w:val="24"/>
          <w:szCs w:val="24"/>
        </w:rPr>
        <w:t>Warnings and Precautions]</w:t>
      </w:r>
      <w:r w:rsidR="0085038E" w:rsidRPr="00185BF0">
        <w:rPr>
          <w:rFonts w:ascii="Times New Roman" w:hAnsi="Times New Roman" w:cs="Times New Roman"/>
          <w:sz w:val="24"/>
          <w:szCs w:val="24"/>
        </w:rPr>
        <w:t>.</w:t>
      </w:r>
    </w:p>
    <w:p w14:paraId="0095BDFA" w14:textId="637D090E" w:rsidR="00457DE7" w:rsidRPr="00457DE7" w:rsidRDefault="00457DE7" w:rsidP="002403B3">
      <w:pPr>
        <w:spacing w:after="60"/>
        <w:jc w:val="both"/>
        <w:rPr>
          <w:rFonts w:ascii="Times New Roman" w:hAnsi="Times New Roman" w:cs="Times New Roman"/>
          <w:sz w:val="24"/>
          <w:szCs w:val="24"/>
        </w:rPr>
      </w:pPr>
      <w:r w:rsidRPr="00457DE7">
        <w:rPr>
          <w:rFonts w:ascii="Times New Roman" w:hAnsi="Times New Roman" w:cs="Times New Roman"/>
          <w:sz w:val="24"/>
          <w:szCs w:val="24"/>
        </w:rPr>
        <w:t>Because clinical trials are conducted under widely variable conditions, adver</w:t>
      </w:r>
      <w:r w:rsidR="00D21F7B">
        <w:rPr>
          <w:rFonts w:ascii="Times New Roman" w:hAnsi="Times New Roman" w:cs="Times New Roman"/>
          <w:sz w:val="24"/>
          <w:szCs w:val="24"/>
        </w:rPr>
        <w:t xml:space="preserve">se </w:t>
      </w:r>
      <w:r w:rsidR="00442CDB">
        <w:rPr>
          <w:rFonts w:ascii="Times New Roman" w:hAnsi="Times New Roman" w:cs="Times New Roman"/>
          <w:sz w:val="24"/>
          <w:szCs w:val="24"/>
        </w:rPr>
        <w:t>reaction</w:t>
      </w:r>
      <w:r w:rsidRPr="00457DE7">
        <w:rPr>
          <w:rFonts w:ascii="Times New Roman" w:hAnsi="Times New Roman" w:cs="Times New Roman"/>
          <w:sz w:val="24"/>
          <w:szCs w:val="24"/>
        </w:rPr>
        <w:t xml:space="preserve"> rates observed in clinical trials of a drug cannot be directly compared with rates of clinical trials of another drug and may not reflect the rates observed in practice.</w:t>
      </w:r>
    </w:p>
    <w:p w14:paraId="0BA5D699" w14:textId="77777777" w:rsidR="00457DE7" w:rsidRPr="00457DE7" w:rsidRDefault="00457DE7" w:rsidP="002403B3">
      <w:pPr>
        <w:pStyle w:val="BodyText"/>
        <w:spacing w:after="60" w:line="276" w:lineRule="auto"/>
        <w:jc w:val="both"/>
        <w:rPr>
          <w:u w:val="single"/>
        </w:rPr>
      </w:pPr>
      <w:r w:rsidRPr="00457DE7">
        <w:rPr>
          <w:u w:val="single"/>
        </w:rPr>
        <w:t xml:space="preserve">Chronic Graft versus Host Disease </w:t>
      </w:r>
    </w:p>
    <w:p w14:paraId="23FB7365" w14:textId="3FB19062" w:rsidR="003932CA" w:rsidRDefault="003932CA" w:rsidP="002403B3">
      <w:pPr>
        <w:spacing w:after="60"/>
        <w:jc w:val="both"/>
        <w:rPr>
          <w:rFonts w:ascii="Times New Roman" w:hAnsi="Times New Roman" w:cs="Times New Roman"/>
          <w:sz w:val="24"/>
          <w:szCs w:val="24"/>
        </w:rPr>
      </w:pPr>
      <w:r>
        <w:rPr>
          <w:rFonts w:ascii="Times New Roman" w:hAnsi="Times New Roman" w:cs="Times New Roman"/>
          <w:sz w:val="24"/>
          <w:szCs w:val="24"/>
        </w:rPr>
        <w:t xml:space="preserve">In the </w:t>
      </w:r>
      <w:r w:rsidR="00302EB9">
        <w:rPr>
          <w:rFonts w:ascii="Times New Roman" w:hAnsi="Times New Roman" w:cs="Times New Roman"/>
          <w:sz w:val="24"/>
          <w:szCs w:val="24"/>
        </w:rPr>
        <w:t xml:space="preserve">chronic </w:t>
      </w:r>
      <w:r>
        <w:rPr>
          <w:rFonts w:ascii="Times New Roman" w:hAnsi="Times New Roman" w:cs="Times New Roman"/>
          <w:sz w:val="24"/>
          <w:szCs w:val="24"/>
        </w:rPr>
        <w:t>G</w:t>
      </w:r>
      <w:r w:rsidR="0024727D">
        <w:rPr>
          <w:rFonts w:ascii="Times New Roman" w:hAnsi="Times New Roman" w:cs="Times New Roman"/>
          <w:sz w:val="24"/>
          <w:szCs w:val="24"/>
        </w:rPr>
        <w:t xml:space="preserve">VHD program, 186 patients were exposed to </w:t>
      </w:r>
      <w:proofErr w:type="spellStart"/>
      <w:r w:rsidR="0024727D">
        <w:rPr>
          <w:rFonts w:ascii="Times New Roman" w:hAnsi="Times New Roman" w:cs="Times New Roman"/>
          <w:sz w:val="24"/>
          <w:szCs w:val="24"/>
        </w:rPr>
        <w:t>belumosudil</w:t>
      </w:r>
      <w:proofErr w:type="spellEnd"/>
      <w:r w:rsidR="0024727D">
        <w:rPr>
          <w:rFonts w:ascii="Times New Roman" w:hAnsi="Times New Roman" w:cs="Times New Roman"/>
          <w:sz w:val="24"/>
          <w:szCs w:val="24"/>
        </w:rPr>
        <w:t xml:space="preserve"> with a median duration of exposure of </w:t>
      </w:r>
      <w:r w:rsidR="0076744C" w:rsidRPr="00125A7F">
        <w:rPr>
          <w:rFonts w:ascii="Times New Roman" w:hAnsi="Times New Roman" w:cs="Times New Roman"/>
          <w:sz w:val="24"/>
          <w:szCs w:val="24"/>
        </w:rPr>
        <w:t>9.9</w:t>
      </w:r>
      <w:r w:rsidR="0024727D" w:rsidRPr="00125A7F">
        <w:rPr>
          <w:rFonts w:ascii="Times New Roman" w:hAnsi="Times New Roman" w:cs="Times New Roman"/>
          <w:sz w:val="24"/>
          <w:szCs w:val="24"/>
        </w:rPr>
        <w:t xml:space="preserve"> months</w:t>
      </w:r>
      <w:r w:rsidR="0024727D">
        <w:rPr>
          <w:rFonts w:ascii="Times New Roman" w:hAnsi="Times New Roman" w:cs="Times New Roman"/>
          <w:sz w:val="24"/>
          <w:szCs w:val="24"/>
        </w:rPr>
        <w:t xml:space="preserve"> (range 0.4 – 44.7). There </w:t>
      </w:r>
      <w:r w:rsidR="006A6282">
        <w:rPr>
          <w:rFonts w:ascii="Times New Roman" w:hAnsi="Times New Roman" w:cs="Times New Roman"/>
          <w:sz w:val="24"/>
          <w:szCs w:val="24"/>
        </w:rPr>
        <w:t>were 83 patients given the proposed 200 mg/d</w:t>
      </w:r>
      <w:r w:rsidR="00403016">
        <w:rPr>
          <w:rFonts w:ascii="Times New Roman" w:hAnsi="Times New Roman" w:cs="Times New Roman"/>
          <w:sz w:val="24"/>
          <w:szCs w:val="24"/>
        </w:rPr>
        <w:t>ay</w:t>
      </w:r>
      <w:r w:rsidR="006A6282">
        <w:rPr>
          <w:rFonts w:ascii="Times New Roman" w:hAnsi="Times New Roman" w:cs="Times New Roman"/>
          <w:sz w:val="24"/>
          <w:szCs w:val="24"/>
        </w:rPr>
        <w:t xml:space="preserve"> dose and media</w:t>
      </w:r>
      <w:r w:rsidR="00C55679">
        <w:rPr>
          <w:rFonts w:ascii="Times New Roman" w:hAnsi="Times New Roman" w:cs="Times New Roman"/>
          <w:sz w:val="24"/>
          <w:szCs w:val="24"/>
        </w:rPr>
        <w:t>n duration of exposure for these patients was 9.2 months (range 0.5 – 44.7), with 34 patients having received ≥</w:t>
      </w:r>
      <w:r w:rsidR="00041F6B">
        <w:rPr>
          <w:rFonts w:ascii="Times New Roman" w:hAnsi="Times New Roman" w:cs="Times New Roman"/>
          <w:sz w:val="24"/>
          <w:szCs w:val="24"/>
        </w:rPr>
        <w:t>12 months of treatment.</w:t>
      </w:r>
    </w:p>
    <w:p w14:paraId="2E9ABAB9" w14:textId="1D2032AF" w:rsidR="00FB2EB8" w:rsidRDefault="00FB2EB8" w:rsidP="002403B3">
      <w:pPr>
        <w:spacing w:after="60"/>
        <w:jc w:val="both"/>
        <w:rPr>
          <w:rFonts w:ascii="Times New Roman" w:hAnsi="Times New Roman" w:cs="Times New Roman"/>
          <w:sz w:val="24"/>
          <w:szCs w:val="24"/>
        </w:rPr>
      </w:pPr>
      <w:r>
        <w:rPr>
          <w:rFonts w:ascii="Times New Roman" w:hAnsi="Times New Roman" w:cs="Times New Roman"/>
          <w:sz w:val="24"/>
          <w:szCs w:val="24"/>
        </w:rPr>
        <w:t xml:space="preserve">Fatal adverse </w:t>
      </w:r>
      <w:r w:rsidDel="00640892">
        <w:rPr>
          <w:rFonts w:ascii="Times New Roman" w:hAnsi="Times New Roman" w:cs="Times New Roman"/>
          <w:sz w:val="24"/>
          <w:szCs w:val="24"/>
        </w:rPr>
        <w:t>reaction</w:t>
      </w:r>
      <w:r>
        <w:rPr>
          <w:rFonts w:ascii="Times New Roman" w:hAnsi="Times New Roman" w:cs="Times New Roman"/>
          <w:sz w:val="24"/>
          <w:szCs w:val="24"/>
        </w:rPr>
        <w:t xml:space="preserve"> was reported in one patient with severe nausea, vomiting, diarrhea and multi-organ failure. </w:t>
      </w:r>
    </w:p>
    <w:p w14:paraId="1DF111AB" w14:textId="4ED13A66" w:rsidR="00FB2EB8" w:rsidRDefault="00AF00AD" w:rsidP="002403B3">
      <w:pPr>
        <w:spacing w:after="60"/>
        <w:jc w:val="both"/>
        <w:rPr>
          <w:rFonts w:ascii="Times New Roman" w:hAnsi="Times New Roman" w:cs="Times New Roman"/>
          <w:sz w:val="24"/>
          <w:szCs w:val="24"/>
        </w:rPr>
      </w:pPr>
      <w:r>
        <w:rPr>
          <w:rFonts w:ascii="Times New Roman" w:hAnsi="Times New Roman" w:cs="Times New Roman"/>
          <w:sz w:val="24"/>
          <w:szCs w:val="24"/>
        </w:rPr>
        <w:t>Permanent discontinuation of RHOLISTIQ due to adverse</w:t>
      </w:r>
      <w:r w:rsidR="00125A7F">
        <w:rPr>
          <w:rFonts w:ascii="Times New Roman" w:hAnsi="Times New Roman" w:cs="Times New Roman"/>
          <w:sz w:val="24"/>
          <w:szCs w:val="24"/>
        </w:rPr>
        <w:t xml:space="preserve"> events</w:t>
      </w:r>
      <w:r>
        <w:rPr>
          <w:rFonts w:ascii="Times New Roman" w:hAnsi="Times New Roman" w:cs="Times New Roman"/>
          <w:sz w:val="24"/>
          <w:szCs w:val="24"/>
        </w:rPr>
        <w:t xml:space="preserve"> occurred in 18% of patients. The adverse</w:t>
      </w:r>
      <w:r w:rsidR="001277E9">
        <w:rPr>
          <w:rFonts w:ascii="Times New Roman" w:hAnsi="Times New Roman" w:cs="Times New Roman"/>
          <w:sz w:val="24"/>
          <w:szCs w:val="24"/>
        </w:rPr>
        <w:t xml:space="preserve"> event </w:t>
      </w:r>
      <w:r>
        <w:rPr>
          <w:rFonts w:ascii="Times New Roman" w:hAnsi="Times New Roman" w:cs="Times New Roman"/>
          <w:sz w:val="24"/>
          <w:szCs w:val="24"/>
        </w:rPr>
        <w:t>which resulted in permanent discontinuation in RHOLISTIQ in &gt;3%</w:t>
      </w:r>
      <w:r w:rsidR="00BE4A32">
        <w:rPr>
          <w:rFonts w:ascii="Times New Roman" w:hAnsi="Times New Roman" w:cs="Times New Roman"/>
          <w:sz w:val="24"/>
          <w:szCs w:val="24"/>
        </w:rPr>
        <w:t xml:space="preserve"> of patients included nausea (4%). Adverse </w:t>
      </w:r>
      <w:r w:rsidR="00AF7732">
        <w:rPr>
          <w:rFonts w:ascii="Times New Roman" w:hAnsi="Times New Roman" w:cs="Times New Roman"/>
          <w:sz w:val="24"/>
          <w:szCs w:val="24"/>
        </w:rPr>
        <w:t>events</w:t>
      </w:r>
      <w:r w:rsidR="00BE4A32">
        <w:rPr>
          <w:rFonts w:ascii="Times New Roman" w:hAnsi="Times New Roman" w:cs="Times New Roman"/>
          <w:sz w:val="24"/>
          <w:szCs w:val="24"/>
        </w:rPr>
        <w:t xml:space="preserve"> leading to dose interruption occurred in 29% of patients. The adverse</w:t>
      </w:r>
      <w:r w:rsidR="00AF7732">
        <w:rPr>
          <w:rFonts w:ascii="Times New Roman" w:hAnsi="Times New Roman" w:cs="Times New Roman"/>
          <w:sz w:val="24"/>
          <w:szCs w:val="24"/>
        </w:rPr>
        <w:t xml:space="preserve"> events</w:t>
      </w:r>
      <w:r w:rsidR="00DE2575">
        <w:rPr>
          <w:rFonts w:ascii="Times New Roman" w:hAnsi="Times New Roman" w:cs="Times New Roman"/>
          <w:sz w:val="24"/>
          <w:szCs w:val="24"/>
        </w:rPr>
        <w:t xml:space="preserve"> </w:t>
      </w:r>
      <w:r w:rsidR="00BE4A32">
        <w:rPr>
          <w:rFonts w:ascii="Times New Roman" w:hAnsi="Times New Roman" w:cs="Times New Roman"/>
          <w:sz w:val="24"/>
          <w:szCs w:val="24"/>
        </w:rPr>
        <w:t>leading to dose interruption in ≥</w:t>
      </w:r>
      <w:r w:rsidR="00730D2B">
        <w:rPr>
          <w:rFonts w:ascii="Times New Roman" w:hAnsi="Times New Roman" w:cs="Times New Roman"/>
          <w:sz w:val="24"/>
          <w:szCs w:val="24"/>
        </w:rPr>
        <w:t xml:space="preserve">2% were infections (11%), diarrhea (4%), and asthenia, </w:t>
      </w:r>
      <w:proofErr w:type="spellStart"/>
      <w:r w:rsidR="00730D2B">
        <w:rPr>
          <w:rFonts w:ascii="Times New Roman" w:hAnsi="Times New Roman" w:cs="Times New Roman"/>
          <w:sz w:val="24"/>
          <w:szCs w:val="24"/>
        </w:rPr>
        <w:t>dyspnea</w:t>
      </w:r>
      <w:proofErr w:type="spellEnd"/>
      <w:r w:rsidR="00730D2B">
        <w:rPr>
          <w:rFonts w:ascii="Times New Roman" w:hAnsi="Times New Roman" w:cs="Times New Roman"/>
          <w:sz w:val="24"/>
          <w:szCs w:val="24"/>
        </w:rPr>
        <w:t xml:space="preserve">, </w:t>
      </w:r>
      <w:proofErr w:type="spellStart"/>
      <w:r w:rsidR="00730D2B">
        <w:rPr>
          <w:rFonts w:ascii="Times New Roman" w:hAnsi="Times New Roman" w:cs="Times New Roman"/>
          <w:sz w:val="24"/>
          <w:szCs w:val="24"/>
        </w:rPr>
        <w:t>hemorrhage</w:t>
      </w:r>
      <w:proofErr w:type="spellEnd"/>
      <w:r w:rsidR="00730D2B">
        <w:rPr>
          <w:rFonts w:ascii="Times New Roman" w:hAnsi="Times New Roman" w:cs="Times New Roman"/>
          <w:sz w:val="24"/>
          <w:szCs w:val="24"/>
        </w:rPr>
        <w:t xml:space="preserve">, hypotension, liver function test abnormal, nausea, pyrexia, </w:t>
      </w:r>
      <w:proofErr w:type="spellStart"/>
      <w:r w:rsidR="00730D2B">
        <w:rPr>
          <w:rFonts w:ascii="Times New Roman" w:hAnsi="Times New Roman" w:cs="Times New Roman"/>
          <w:sz w:val="24"/>
          <w:szCs w:val="24"/>
        </w:rPr>
        <w:t>edema</w:t>
      </w:r>
      <w:proofErr w:type="spellEnd"/>
      <w:r w:rsidR="00730D2B">
        <w:rPr>
          <w:rFonts w:ascii="Times New Roman" w:hAnsi="Times New Roman" w:cs="Times New Roman"/>
          <w:sz w:val="24"/>
          <w:szCs w:val="24"/>
        </w:rPr>
        <w:t xml:space="preserve">, and renal </w:t>
      </w:r>
      <w:r w:rsidR="00730D2B" w:rsidRPr="00125A7F">
        <w:rPr>
          <w:rFonts w:ascii="Times New Roman" w:hAnsi="Times New Roman" w:cs="Times New Roman"/>
          <w:sz w:val="24"/>
          <w:szCs w:val="24"/>
        </w:rPr>
        <w:t xml:space="preserve">failure </w:t>
      </w:r>
      <w:r w:rsidR="00E46386" w:rsidRPr="00125A7F">
        <w:rPr>
          <w:rFonts w:ascii="Times New Roman" w:hAnsi="Times New Roman" w:cs="Times New Roman"/>
          <w:sz w:val="24"/>
          <w:szCs w:val="24"/>
        </w:rPr>
        <w:t>(</w:t>
      </w:r>
      <w:r w:rsidR="00730D2B" w:rsidRPr="00125A7F">
        <w:rPr>
          <w:rFonts w:ascii="Times New Roman" w:hAnsi="Times New Roman" w:cs="Times New Roman"/>
          <w:sz w:val="24"/>
          <w:szCs w:val="24"/>
        </w:rPr>
        <w:t>2%</w:t>
      </w:r>
      <w:r w:rsidR="000E38EB" w:rsidRPr="00125A7F">
        <w:rPr>
          <w:rFonts w:ascii="Times New Roman" w:hAnsi="Times New Roman" w:cs="Times New Roman"/>
          <w:sz w:val="24"/>
          <w:szCs w:val="24"/>
        </w:rPr>
        <w:t xml:space="preserve"> each</w:t>
      </w:r>
      <w:r w:rsidR="00E46386" w:rsidRPr="00125A7F">
        <w:rPr>
          <w:rFonts w:ascii="Times New Roman" w:hAnsi="Times New Roman" w:cs="Times New Roman"/>
          <w:sz w:val="24"/>
          <w:szCs w:val="24"/>
        </w:rPr>
        <w:t>)</w:t>
      </w:r>
      <w:r w:rsidR="000E38EB" w:rsidRPr="00125A7F">
        <w:rPr>
          <w:rFonts w:ascii="Times New Roman" w:hAnsi="Times New Roman" w:cs="Times New Roman"/>
          <w:sz w:val="24"/>
          <w:szCs w:val="24"/>
        </w:rPr>
        <w:t>.</w:t>
      </w:r>
      <w:r w:rsidR="000E38EB">
        <w:rPr>
          <w:rFonts w:ascii="Times New Roman" w:hAnsi="Times New Roman" w:cs="Times New Roman"/>
          <w:sz w:val="24"/>
          <w:szCs w:val="24"/>
        </w:rPr>
        <w:t xml:space="preserve"> </w:t>
      </w:r>
    </w:p>
    <w:p w14:paraId="153016A7" w14:textId="5DCBBBCD" w:rsidR="00FB2EB8" w:rsidRDefault="000E38EB" w:rsidP="002403B3">
      <w:pPr>
        <w:spacing w:after="60"/>
        <w:jc w:val="both"/>
        <w:rPr>
          <w:rFonts w:ascii="Times New Roman" w:hAnsi="Times New Roman" w:cs="Times New Roman"/>
          <w:sz w:val="24"/>
          <w:szCs w:val="24"/>
        </w:rPr>
      </w:pPr>
      <w:r>
        <w:rPr>
          <w:rFonts w:ascii="Times New Roman" w:hAnsi="Times New Roman" w:cs="Times New Roman"/>
          <w:sz w:val="24"/>
          <w:szCs w:val="24"/>
        </w:rPr>
        <w:t>The most common (≥20</w:t>
      </w:r>
      <w:r w:rsidR="00C97D62">
        <w:rPr>
          <w:rFonts w:ascii="Times New Roman" w:hAnsi="Times New Roman" w:cs="Times New Roman"/>
          <w:sz w:val="24"/>
          <w:szCs w:val="24"/>
        </w:rPr>
        <w:t>%) adverse</w:t>
      </w:r>
      <w:r w:rsidR="00125A7F">
        <w:rPr>
          <w:rFonts w:ascii="Times New Roman" w:hAnsi="Times New Roman" w:cs="Times New Roman"/>
          <w:sz w:val="24"/>
          <w:szCs w:val="24"/>
        </w:rPr>
        <w:t xml:space="preserve"> events</w:t>
      </w:r>
      <w:r w:rsidR="00C97D62">
        <w:rPr>
          <w:rFonts w:ascii="Times New Roman" w:hAnsi="Times New Roman" w:cs="Times New Roman"/>
          <w:sz w:val="24"/>
          <w:szCs w:val="24"/>
        </w:rPr>
        <w:t xml:space="preserve">, including laboratory abnormalities, were infections, asthenia, nausea, diarrhea, cough, </w:t>
      </w:r>
      <w:r w:rsidR="00DF4914">
        <w:rPr>
          <w:rFonts w:ascii="Times New Roman" w:hAnsi="Times New Roman" w:cs="Times New Roman"/>
          <w:sz w:val="24"/>
          <w:szCs w:val="24"/>
        </w:rPr>
        <w:t>o</w:t>
      </w:r>
      <w:r w:rsidR="00C97D62">
        <w:rPr>
          <w:rFonts w:ascii="Times New Roman" w:hAnsi="Times New Roman" w:cs="Times New Roman"/>
          <w:sz w:val="24"/>
          <w:szCs w:val="24"/>
        </w:rPr>
        <w:t xml:space="preserve">edema, </w:t>
      </w:r>
      <w:proofErr w:type="spellStart"/>
      <w:r w:rsidR="00C97D62">
        <w:rPr>
          <w:rFonts w:ascii="Times New Roman" w:hAnsi="Times New Roman" w:cs="Times New Roman"/>
          <w:sz w:val="24"/>
          <w:szCs w:val="24"/>
        </w:rPr>
        <w:t>hemorrhage</w:t>
      </w:r>
      <w:proofErr w:type="spellEnd"/>
      <w:r w:rsidR="00C97D62">
        <w:rPr>
          <w:rFonts w:ascii="Times New Roman" w:hAnsi="Times New Roman" w:cs="Times New Roman"/>
          <w:sz w:val="24"/>
          <w:szCs w:val="24"/>
        </w:rPr>
        <w:t xml:space="preserve">, abdominal pain, musculoskeletal pain, headache, phosphate decreased, gamma glutamyl transferase increased, lymphocytes decreased, and hypertension. </w:t>
      </w:r>
    </w:p>
    <w:p w14:paraId="4D1B3614" w14:textId="210D8C6B" w:rsidR="00457DE7" w:rsidRPr="00457DE7" w:rsidRDefault="00457DE7" w:rsidP="002403B3">
      <w:pPr>
        <w:spacing w:after="60"/>
        <w:jc w:val="both"/>
        <w:rPr>
          <w:rFonts w:ascii="Times New Roman" w:hAnsi="Times New Roman" w:cs="Times New Roman"/>
          <w:sz w:val="24"/>
          <w:szCs w:val="24"/>
        </w:rPr>
      </w:pPr>
      <w:r w:rsidRPr="00B67433">
        <w:rPr>
          <w:rFonts w:ascii="Times New Roman" w:eastAsiaTheme="minorEastAsia" w:hAnsi="Times New Roman" w:cs="Times New Roman"/>
          <w:sz w:val="24"/>
          <w:szCs w:val="24"/>
        </w:rPr>
        <w:fldChar w:fldCharType="begin"/>
      </w:r>
      <w:r w:rsidRPr="00B67433">
        <w:rPr>
          <w:rFonts w:ascii="Times New Roman" w:eastAsiaTheme="minorEastAsia" w:hAnsi="Times New Roman" w:cs="Times New Roman"/>
          <w:sz w:val="24"/>
          <w:szCs w:val="24"/>
        </w:rPr>
        <w:instrText xml:space="preserve"> REF _Ref45876744 \h  \* MERGEFORMAT </w:instrText>
      </w:r>
      <w:r w:rsidRPr="00B67433">
        <w:rPr>
          <w:rFonts w:ascii="Times New Roman" w:eastAsiaTheme="minorEastAsia" w:hAnsi="Times New Roman" w:cs="Times New Roman"/>
          <w:sz w:val="24"/>
          <w:szCs w:val="24"/>
        </w:rPr>
      </w:r>
      <w:r w:rsidRPr="00B67433">
        <w:rPr>
          <w:rFonts w:ascii="Times New Roman" w:eastAsiaTheme="minorEastAsia" w:hAnsi="Times New Roman" w:cs="Times New Roman"/>
          <w:sz w:val="24"/>
          <w:szCs w:val="24"/>
        </w:rPr>
        <w:fldChar w:fldCharType="separate"/>
      </w:r>
      <w:r w:rsidR="0070462E" w:rsidRPr="0070462E">
        <w:rPr>
          <w:rFonts w:ascii="Times New Roman" w:eastAsiaTheme="minorEastAsia" w:hAnsi="Times New Roman" w:cs="Times New Roman"/>
          <w:sz w:val="24"/>
          <w:szCs w:val="24"/>
        </w:rPr>
        <w:t>Table</w:t>
      </w:r>
      <w:r w:rsidRPr="00B67433">
        <w:rPr>
          <w:rFonts w:ascii="Times New Roman" w:eastAsiaTheme="minorEastAsia" w:hAnsi="Times New Roman" w:cs="Times New Roman"/>
          <w:sz w:val="24"/>
          <w:szCs w:val="24"/>
        </w:rPr>
        <w:fldChar w:fldCharType="end"/>
      </w:r>
      <w:r w:rsidR="00487705">
        <w:rPr>
          <w:rFonts w:ascii="Times New Roman" w:eastAsiaTheme="minorEastAsia" w:hAnsi="Times New Roman" w:cs="Times New Roman"/>
          <w:sz w:val="24"/>
          <w:szCs w:val="24"/>
        </w:rPr>
        <w:t xml:space="preserve"> 4 </w:t>
      </w:r>
      <w:r w:rsidRPr="00B67433">
        <w:rPr>
          <w:rFonts w:ascii="Times New Roman" w:eastAsiaTheme="minorEastAsia" w:hAnsi="Times New Roman" w:cs="Times New Roman"/>
          <w:sz w:val="24"/>
          <w:szCs w:val="24"/>
        </w:rPr>
        <w:t>summari</w:t>
      </w:r>
      <w:r w:rsidR="00B87BC3" w:rsidRPr="00B67433">
        <w:rPr>
          <w:rFonts w:ascii="Times New Roman" w:eastAsiaTheme="minorEastAsia" w:hAnsi="Times New Roman" w:cs="Times New Roman"/>
          <w:sz w:val="24"/>
          <w:szCs w:val="24"/>
        </w:rPr>
        <w:t>s</w:t>
      </w:r>
      <w:r w:rsidRPr="00B67433">
        <w:rPr>
          <w:rFonts w:ascii="Times New Roman" w:eastAsiaTheme="minorEastAsia" w:hAnsi="Times New Roman" w:cs="Times New Roman"/>
          <w:sz w:val="24"/>
          <w:szCs w:val="24"/>
        </w:rPr>
        <w:t xml:space="preserve">es the </w:t>
      </w:r>
      <w:r w:rsidR="00C97526">
        <w:rPr>
          <w:rFonts w:ascii="Times New Roman" w:eastAsiaTheme="minorEastAsia" w:hAnsi="Times New Roman" w:cs="Times New Roman"/>
          <w:sz w:val="24"/>
          <w:szCs w:val="24"/>
        </w:rPr>
        <w:t xml:space="preserve">nonlaboratory </w:t>
      </w:r>
      <w:r w:rsidRPr="00B67433">
        <w:rPr>
          <w:rFonts w:ascii="Times New Roman" w:eastAsiaTheme="minorEastAsia" w:hAnsi="Times New Roman" w:cs="Times New Roman"/>
          <w:sz w:val="24"/>
          <w:szCs w:val="24"/>
        </w:rPr>
        <w:t xml:space="preserve">adverse </w:t>
      </w:r>
      <w:r w:rsidR="15125D8A" w:rsidRPr="3EF34B50">
        <w:rPr>
          <w:rFonts w:ascii="Times New Roman" w:eastAsiaTheme="minorEastAsia" w:hAnsi="Times New Roman" w:cs="Times New Roman"/>
          <w:sz w:val="24"/>
          <w:szCs w:val="24"/>
        </w:rPr>
        <w:t>events</w:t>
      </w:r>
      <w:r w:rsidR="00C97526">
        <w:rPr>
          <w:rFonts w:ascii="Times New Roman" w:eastAsiaTheme="minorEastAsia" w:hAnsi="Times New Roman" w:cs="Times New Roman"/>
          <w:sz w:val="24"/>
          <w:szCs w:val="24"/>
        </w:rPr>
        <w:t>.</w:t>
      </w:r>
      <w:r w:rsidRPr="00B67433">
        <w:rPr>
          <w:rFonts w:ascii="Times New Roman" w:eastAsiaTheme="minorEastAsia" w:hAnsi="Times New Roman" w:cs="Times New Roman"/>
          <w:sz w:val="24"/>
          <w:szCs w:val="24"/>
        </w:rPr>
        <w:t xml:space="preserve"> </w:t>
      </w:r>
    </w:p>
    <w:p w14:paraId="27F67815" w14:textId="5D46529D" w:rsidR="00457DE7" w:rsidRPr="00457DE7" w:rsidRDefault="00457DE7" w:rsidP="002403B3">
      <w:pPr>
        <w:pStyle w:val="Caption"/>
        <w:tabs>
          <w:tab w:val="clear" w:pos="1440"/>
        </w:tabs>
        <w:spacing w:line="276" w:lineRule="auto"/>
        <w:ind w:left="0" w:hanging="22"/>
        <w:jc w:val="both"/>
        <w:rPr>
          <w:rFonts w:ascii="Times New Roman" w:hAnsi="Times New Roman"/>
          <w:b w:val="0"/>
          <w:sz w:val="24"/>
          <w:szCs w:val="24"/>
        </w:rPr>
      </w:pPr>
      <w:bookmarkStart w:id="17" w:name="_Ref44939121"/>
      <w:bookmarkStart w:id="18" w:name="_Ref45876744"/>
      <w:r w:rsidRPr="00457DE7">
        <w:rPr>
          <w:rFonts w:ascii="Times New Roman" w:hAnsi="Times New Roman"/>
          <w:sz w:val="24"/>
          <w:szCs w:val="24"/>
        </w:rPr>
        <w:lastRenderedPageBreak/>
        <w:t>Table</w:t>
      </w:r>
      <w:bookmarkEnd w:id="17"/>
      <w:bookmarkEnd w:id="18"/>
      <w:r w:rsidR="00B67433">
        <w:rPr>
          <w:rFonts w:ascii="Times New Roman" w:hAnsi="Times New Roman"/>
          <w:sz w:val="24"/>
          <w:szCs w:val="24"/>
        </w:rPr>
        <w:t xml:space="preserve"> 4</w:t>
      </w:r>
      <w:r w:rsidRPr="00457DE7">
        <w:rPr>
          <w:rFonts w:ascii="Times New Roman" w:hAnsi="Times New Roman"/>
          <w:sz w:val="24"/>
          <w:szCs w:val="24"/>
        </w:rPr>
        <w:t xml:space="preserve">: </w:t>
      </w:r>
      <w:r w:rsidR="00B9139E">
        <w:rPr>
          <w:rFonts w:ascii="Times New Roman" w:hAnsi="Times New Roman"/>
          <w:sz w:val="24"/>
          <w:szCs w:val="24"/>
        </w:rPr>
        <w:t xml:space="preserve">Nonlaboratory </w:t>
      </w:r>
      <w:r w:rsidRPr="00457DE7">
        <w:rPr>
          <w:rFonts w:ascii="Times New Roman" w:hAnsi="Times New Roman"/>
          <w:sz w:val="24"/>
          <w:szCs w:val="24"/>
        </w:rPr>
        <w:t xml:space="preserve">Adverse </w:t>
      </w:r>
      <w:r w:rsidR="387D50EC" w:rsidRPr="3EF34B50">
        <w:rPr>
          <w:rFonts w:ascii="Times New Roman" w:hAnsi="Times New Roman"/>
          <w:sz w:val="24"/>
          <w:szCs w:val="24"/>
        </w:rPr>
        <w:t>Events</w:t>
      </w:r>
      <w:r w:rsidRPr="00457DE7">
        <w:rPr>
          <w:rFonts w:ascii="Times New Roman" w:hAnsi="Times New Roman"/>
          <w:sz w:val="24"/>
          <w:szCs w:val="24"/>
        </w:rPr>
        <w:t xml:space="preserve"> </w:t>
      </w:r>
      <w:r w:rsidR="00B9139E">
        <w:rPr>
          <w:rFonts w:ascii="Times New Roman" w:hAnsi="Times New Roman"/>
          <w:sz w:val="24"/>
          <w:szCs w:val="24"/>
        </w:rPr>
        <w:t>in</w:t>
      </w:r>
      <w:r w:rsidR="00270D3A">
        <w:rPr>
          <w:rFonts w:ascii="Times New Roman" w:hAnsi="Times New Roman"/>
          <w:sz w:val="24"/>
          <w:szCs w:val="24"/>
        </w:rPr>
        <w:t xml:space="preserve"> </w:t>
      </w:r>
      <w:r w:rsidRPr="00457DE7">
        <w:rPr>
          <w:rFonts w:ascii="Times New Roman" w:hAnsi="Times New Roman"/>
          <w:sz w:val="24"/>
          <w:szCs w:val="24"/>
        </w:rPr>
        <w:t>≥10%</w:t>
      </w:r>
      <w:r w:rsidR="00B9139E">
        <w:rPr>
          <w:rFonts w:ascii="Times New Roman" w:hAnsi="Times New Roman"/>
          <w:sz w:val="24"/>
          <w:szCs w:val="24"/>
        </w:rPr>
        <w:t xml:space="preserve"> </w:t>
      </w:r>
      <w:r w:rsidRPr="00457DE7">
        <w:rPr>
          <w:rFonts w:ascii="Times New Roman" w:hAnsi="Times New Roman"/>
          <w:sz w:val="24"/>
          <w:szCs w:val="24"/>
        </w:rPr>
        <w:t xml:space="preserve">Patients with Chronic </w:t>
      </w:r>
      <w:r w:rsidR="00B9139E">
        <w:rPr>
          <w:rFonts w:ascii="Times New Roman" w:hAnsi="Times New Roman"/>
          <w:sz w:val="24"/>
          <w:szCs w:val="24"/>
        </w:rPr>
        <w:t xml:space="preserve">GVHD </w:t>
      </w:r>
      <w:r w:rsidR="00D46499">
        <w:rPr>
          <w:rFonts w:ascii="Times New Roman" w:hAnsi="Times New Roman"/>
          <w:sz w:val="24"/>
          <w:szCs w:val="24"/>
        </w:rPr>
        <w:t xml:space="preserve">Treated with </w:t>
      </w:r>
      <w:r w:rsidR="003C66D6">
        <w:rPr>
          <w:rFonts w:ascii="Times New Roman" w:hAnsi="Times New Roman"/>
          <w:sz w:val="24"/>
          <w:szCs w:val="24"/>
        </w:rPr>
        <w:t>RHOLISTIQ</w:t>
      </w:r>
      <w:r w:rsidRPr="00457DE7">
        <w:rPr>
          <w:rFonts w:ascii="Times New Roman" w:hAnsi="Times New Roman"/>
          <w:sz w:val="24"/>
          <w:szCs w:val="24"/>
        </w:rPr>
        <w:t xml:space="preserve">  </w:t>
      </w:r>
    </w:p>
    <w:tbl>
      <w:tblPr>
        <w:tblStyle w:val="TableGrid"/>
        <w:tblW w:w="0" w:type="auto"/>
        <w:tblLook w:val="04A0" w:firstRow="1" w:lastRow="0" w:firstColumn="1" w:lastColumn="0" w:noHBand="0" w:noVBand="1"/>
      </w:tblPr>
      <w:tblGrid>
        <w:gridCol w:w="3505"/>
        <w:gridCol w:w="2790"/>
        <w:gridCol w:w="2700"/>
      </w:tblGrid>
      <w:tr w:rsidR="00253EBF" w:rsidRPr="00B87BC3" w14:paraId="6EA51FD9" w14:textId="77777777" w:rsidTr="00125A7F">
        <w:trPr>
          <w:trHeight w:val="1097"/>
          <w:tblHeader/>
        </w:trPr>
        <w:tc>
          <w:tcPr>
            <w:tcW w:w="3505" w:type="dxa"/>
            <w:vMerge w:val="restart"/>
          </w:tcPr>
          <w:p w14:paraId="78CFF169" w14:textId="77777777" w:rsidR="00DA5F85" w:rsidRDefault="00DA5F85" w:rsidP="002403B3">
            <w:pPr>
              <w:pStyle w:val="BodyText"/>
              <w:spacing w:line="276" w:lineRule="auto"/>
              <w:jc w:val="both"/>
              <w:rPr>
                <w:b/>
                <w:sz w:val="22"/>
                <w:szCs w:val="22"/>
              </w:rPr>
            </w:pPr>
          </w:p>
          <w:p w14:paraId="68502551" w14:textId="77777777" w:rsidR="00DA5F85" w:rsidRDefault="00DA5F85" w:rsidP="002403B3">
            <w:pPr>
              <w:pStyle w:val="BodyText"/>
              <w:spacing w:line="276" w:lineRule="auto"/>
              <w:jc w:val="both"/>
              <w:rPr>
                <w:b/>
                <w:sz w:val="22"/>
                <w:szCs w:val="22"/>
              </w:rPr>
            </w:pPr>
          </w:p>
          <w:p w14:paraId="0505C9CC" w14:textId="77777777" w:rsidR="00452EF7" w:rsidRDefault="00452EF7" w:rsidP="002403B3">
            <w:pPr>
              <w:pStyle w:val="BodyText"/>
              <w:spacing w:line="276" w:lineRule="auto"/>
              <w:jc w:val="both"/>
              <w:rPr>
                <w:b/>
                <w:sz w:val="22"/>
                <w:szCs w:val="22"/>
              </w:rPr>
            </w:pPr>
          </w:p>
          <w:p w14:paraId="356976CD" w14:textId="7714525F" w:rsidR="00253EBF" w:rsidRPr="00B87BC3" w:rsidRDefault="00253EBF" w:rsidP="002403B3">
            <w:pPr>
              <w:pStyle w:val="BodyText"/>
              <w:spacing w:before="120" w:line="276" w:lineRule="auto"/>
              <w:jc w:val="both"/>
              <w:rPr>
                <w:sz w:val="22"/>
                <w:szCs w:val="22"/>
              </w:rPr>
            </w:pPr>
            <w:r w:rsidRPr="00B87BC3">
              <w:rPr>
                <w:b/>
                <w:sz w:val="22"/>
                <w:szCs w:val="22"/>
              </w:rPr>
              <w:t xml:space="preserve">Adverse </w:t>
            </w:r>
            <w:r w:rsidR="68F8B768" w:rsidRPr="3EF34B50">
              <w:rPr>
                <w:b/>
                <w:bCs/>
                <w:sz w:val="22"/>
                <w:szCs w:val="22"/>
              </w:rPr>
              <w:t>Event</w:t>
            </w:r>
          </w:p>
        </w:tc>
        <w:tc>
          <w:tcPr>
            <w:tcW w:w="5490" w:type="dxa"/>
            <w:gridSpan w:val="2"/>
          </w:tcPr>
          <w:p w14:paraId="29FF60A7" w14:textId="61A8EDD6" w:rsidR="00253EBF" w:rsidRPr="00B87BC3" w:rsidRDefault="00253EBF" w:rsidP="002403B3">
            <w:pPr>
              <w:pStyle w:val="BodyText"/>
              <w:spacing w:after="0" w:line="276" w:lineRule="auto"/>
              <w:jc w:val="both"/>
              <w:rPr>
                <w:b/>
                <w:sz w:val="22"/>
                <w:szCs w:val="22"/>
              </w:rPr>
            </w:pPr>
            <w:r>
              <w:rPr>
                <w:b/>
                <w:sz w:val="22"/>
                <w:szCs w:val="22"/>
              </w:rPr>
              <w:t>RHOLISTIQ</w:t>
            </w:r>
          </w:p>
          <w:p w14:paraId="452BB9C3" w14:textId="77777777" w:rsidR="00253EBF" w:rsidRPr="00B87BC3" w:rsidRDefault="00253EBF" w:rsidP="002403B3">
            <w:pPr>
              <w:pStyle w:val="BodyText"/>
              <w:spacing w:after="0" w:line="276" w:lineRule="auto"/>
              <w:jc w:val="both"/>
              <w:rPr>
                <w:b/>
                <w:sz w:val="22"/>
                <w:szCs w:val="22"/>
              </w:rPr>
            </w:pPr>
            <w:r w:rsidRPr="00B87BC3">
              <w:rPr>
                <w:b/>
                <w:sz w:val="22"/>
                <w:szCs w:val="22"/>
              </w:rPr>
              <w:t>200 mg once daily</w:t>
            </w:r>
          </w:p>
          <w:p w14:paraId="3982588A" w14:textId="77777777" w:rsidR="00253EBF" w:rsidRPr="00B87BC3" w:rsidRDefault="00253EBF" w:rsidP="002403B3">
            <w:pPr>
              <w:pStyle w:val="BodyText"/>
              <w:spacing w:after="0" w:line="276" w:lineRule="auto"/>
              <w:jc w:val="both"/>
              <w:rPr>
                <w:b/>
                <w:sz w:val="22"/>
                <w:szCs w:val="22"/>
              </w:rPr>
            </w:pPr>
            <w:r w:rsidRPr="00B87BC3">
              <w:rPr>
                <w:b/>
                <w:sz w:val="22"/>
                <w:szCs w:val="22"/>
              </w:rPr>
              <w:t>(N=83)</w:t>
            </w:r>
          </w:p>
        </w:tc>
      </w:tr>
      <w:tr w:rsidR="00253EBF" w:rsidRPr="00B87BC3" w14:paraId="2658324F" w14:textId="77777777" w:rsidTr="00125A7F">
        <w:trPr>
          <w:trHeight w:val="314"/>
          <w:tblHeader/>
        </w:trPr>
        <w:tc>
          <w:tcPr>
            <w:tcW w:w="3505" w:type="dxa"/>
            <w:vMerge/>
          </w:tcPr>
          <w:p w14:paraId="4FC3C6E9" w14:textId="77777777" w:rsidR="00253EBF" w:rsidRPr="00B87BC3" w:rsidRDefault="00253EBF" w:rsidP="002403B3">
            <w:pPr>
              <w:pStyle w:val="BodyText"/>
              <w:spacing w:line="276" w:lineRule="auto"/>
              <w:jc w:val="both"/>
              <w:rPr>
                <w:b/>
                <w:sz w:val="22"/>
                <w:szCs w:val="22"/>
                <w:highlight w:val="yellow"/>
              </w:rPr>
            </w:pPr>
          </w:p>
        </w:tc>
        <w:tc>
          <w:tcPr>
            <w:tcW w:w="2790" w:type="dxa"/>
          </w:tcPr>
          <w:p w14:paraId="76D20C94" w14:textId="0FDCBBC0" w:rsidR="00253EBF" w:rsidRPr="00B87BC3" w:rsidRDefault="00253EBF" w:rsidP="002403B3">
            <w:pPr>
              <w:pStyle w:val="BodyText"/>
              <w:spacing w:after="0" w:line="276" w:lineRule="auto"/>
              <w:jc w:val="both"/>
              <w:rPr>
                <w:b/>
                <w:sz w:val="22"/>
                <w:szCs w:val="22"/>
              </w:rPr>
            </w:pPr>
            <w:r w:rsidRPr="00B87BC3">
              <w:rPr>
                <w:b/>
                <w:sz w:val="22"/>
                <w:szCs w:val="22"/>
              </w:rPr>
              <w:t>All Grades</w:t>
            </w:r>
            <w:r w:rsidR="00DA5F85">
              <w:rPr>
                <w:b/>
                <w:sz w:val="22"/>
                <w:szCs w:val="22"/>
              </w:rPr>
              <w:t xml:space="preserve"> (%)</w:t>
            </w:r>
          </w:p>
        </w:tc>
        <w:tc>
          <w:tcPr>
            <w:tcW w:w="2700" w:type="dxa"/>
          </w:tcPr>
          <w:p w14:paraId="733978BB" w14:textId="221B6CCC" w:rsidR="00253EBF" w:rsidRPr="00B87BC3" w:rsidRDefault="00253EBF" w:rsidP="002403B3">
            <w:pPr>
              <w:pStyle w:val="BodyText"/>
              <w:spacing w:after="0" w:line="276" w:lineRule="auto"/>
              <w:jc w:val="both"/>
              <w:rPr>
                <w:b/>
                <w:sz w:val="22"/>
                <w:szCs w:val="22"/>
              </w:rPr>
            </w:pPr>
            <w:r w:rsidRPr="00B87BC3">
              <w:rPr>
                <w:b/>
                <w:sz w:val="22"/>
                <w:szCs w:val="22"/>
              </w:rPr>
              <w:t>Grade 3-4</w:t>
            </w:r>
            <w:r w:rsidR="00DA5F85" w:rsidRPr="00C47869">
              <w:rPr>
                <w:b/>
                <w:sz w:val="22"/>
                <w:szCs w:val="22"/>
              </w:rPr>
              <w:t xml:space="preserve"> (%)</w:t>
            </w:r>
          </w:p>
          <w:p w14:paraId="7ED99E95" w14:textId="1129A2DB" w:rsidR="00253EBF" w:rsidRPr="00C47869" w:rsidRDefault="00253EBF" w:rsidP="002403B3">
            <w:pPr>
              <w:pStyle w:val="BodyText"/>
              <w:spacing w:after="0" w:line="276" w:lineRule="auto"/>
              <w:jc w:val="both"/>
              <w:rPr>
                <w:bCs/>
                <w:sz w:val="22"/>
                <w:szCs w:val="22"/>
              </w:rPr>
            </w:pPr>
          </w:p>
        </w:tc>
      </w:tr>
      <w:tr w:rsidR="00F9713F" w:rsidRPr="00B87BC3" w14:paraId="5DB00E43" w14:textId="77777777" w:rsidTr="000B3794">
        <w:tc>
          <w:tcPr>
            <w:tcW w:w="8995" w:type="dxa"/>
            <w:gridSpan w:val="3"/>
          </w:tcPr>
          <w:p w14:paraId="57E5ACCB" w14:textId="77431F54" w:rsidR="00F9713F" w:rsidRPr="00B87BC3" w:rsidRDefault="00F9713F" w:rsidP="002403B3">
            <w:pPr>
              <w:pStyle w:val="BodyText"/>
              <w:spacing w:line="276" w:lineRule="auto"/>
              <w:jc w:val="both"/>
              <w:rPr>
                <w:sz w:val="22"/>
                <w:szCs w:val="22"/>
              </w:rPr>
            </w:pPr>
            <w:r>
              <w:rPr>
                <w:b/>
                <w:bCs/>
                <w:sz w:val="22"/>
                <w:szCs w:val="22"/>
              </w:rPr>
              <w:t>Infections and infestations</w:t>
            </w:r>
          </w:p>
        </w:tc>
      </w:tr>
      <w:tr w:rsidR="00253EBF" w:rsidRPr="00B87BC3" w14:paraId="3115CD9E" w14:textId="77777777" w:rsidTr="00C47869">
        <w:tc>
          <w:tcPr>
            <w:tcW w:w="3505" w:type="dxa"/>
          </w:tcPr>
          <w:p w14:paraId="462003C5" w14:textId="6515D479" w:rsidR="00253EBF" w:rsidRPr="00B87BC3" w:rsidRDefault="00906443" w:rsidP="002403B3">
            <w:pPr>
              <w:pStyle w:val="BodyText"/>
              <w:spacing w:line="276" w:lineRule="auto"/>
              <w:jc w:val="both"/>
              <w:rPr>
                <w:sz w:val="22"/>
                <w:szCs w:val="22"/>
              </w:rPr>
            </w:pPr>
            <w:r>
              <w:rPr>
                <w:sz w:val="22"/>
                <w:szCs w:val="22"/>
              </w:rPr>
              <w:t xml:space="preserve">Infection (pathogen not </w:t>
            </w:r>
            <w:proofErr w:type="gramStart"/>
            <w:r>
              <w:rPr>
                <w:sz w:val="22"/>
                <w:szCs w:val="22"/>
              </w:rPr>
              <w:t>specified)</w:t>
            </w:r>
            <w:r w:rsidRPr="00C47869">
              <w:rPr>
                <w:sz w:val="22"/>
                <w:szCs w:val="22"/>
                <w:vertAlign w:val="superscript"/>
              </w:rPr>
              <w:t>a</w:t>
            </w:r>
            <w:proofErr w:type="gramEnd"/>
          </w:p>
        </w:tc>
        <w:tc>
          <w:tcPr>
            <w:tcW w:w="2790" w:type="dxa"/>
          </w:tcPr>
          <w:p w14:paraId="553D77D4" w14:textId="118502A6" w:rsidR="00253EBF" w:rsidRPr="00B87BC3" w:rsidRDefault="00191B43" w:rsidP="002403B3">
            <w:pPr>
              <w:pStyle w:val="BodyText"/>
              <w:spacing w:line="276" w:lineRule="auto"/>
              <w:jc w:val="both"/>
              <w:rPr>
                <w:sz w:val="22"/>
                <w:szCs w:val="22"/>
              </w:rPr>
            </w:pPr>
            <w:r>
              <w:rPr>
                <w:sz w:val="22"/>
                <w:szCs w:val="22"/>
              </w:rPr>
              <w:t>53</w:t>
            </w:r>
          </w:p>
        </w:tc>
        <w:tc>
          <w:tcPr>
            <w:tcW w:w="2700" w:type="dxa"/>
          </w:tcPr>
          <w:p w14:paraId="322AE2FF" w14:textId="36C341DE" w:rsidR="00253EBF" w:rsidRPr="00B87BC3" w:rsidRDefault="00191B43" w:rsidP="002403B3">
            <w:pPr>
              <w:pStyle w:val="BodyText"/>
              <w:spacing w:line="276" w:lineRule="auto"/>
              <w:jc w:val="both"/>
              <w:rPr>
                <w:sz w:val="22"/>
                <w:szCs w:val="22"/>
              </w:rPr>
            </w:pPr>
            <w:r>
              <w:rPr>
                <w:sz w:val="22"/>
                <w:szCs w:val="22"/>
              </w:rPr>
              <w:t>16</w:t>
            </w:r>
          </w:p>
        </w:tc>
      </w:tr>
      <w:tr w:rsidR="00253EBF" w:rsidRPr="00B87BC3" w14:paraId="271398A7" w14:textId="77777777" w:rsidTr="00C47869">
        <w:tc>
          <w:tcPr>
            <w:tcW w:w="3505" w:type="dxa"/>
          </w:tcPr>
          <w:p w14:paraId="2C7DEA83" w14:textId="7BC2B7E3" w:rsidR="00253EBF" w:rsidRPr="00B87BC3" w:rsidRDefault="00906443" w:rsidP="002403B3">
            <w:pPr>
              <w:pStyle w:val="BodyText"/>
              <w:spacing w:line="276" w:lineRule="auto"/>
              <w:jc w:val="both"/>
              <w:rPr>
                <w:sz w:val="22"/>
                <w:szCs w:val="22"/>
              </w:rPr>
            </w:pPr>
            <w:r>
              <w:rPr>
                <w:sz w:val="22"/>
                <w:szCs w:val="22"/>
              </w:rPr>
              <w:t xml:space="preserve">Viral </w:t>
            </w:r>
            <w:proofErr w:type="spellStart"/>
            <w:r>
              <w:rPr>
                <w:sz w:val="22"/>
                <w:szCs w:val="22"/>
              </w:rPr>
              <w:t>infection</w:t>
            </w:r>
            <w:r w:rsidRPr="00C47869">
              <w:rPr>
                <w:sz w:val="22"/>
                <w:szCs w:val="22"/>
                <w:vertAlign w:val="superscript"/>
              </w:rPr>
              <w:t>b</w:t>
            </w:r>
            <w:proofErr w:type="spellEnd"/>
          </w:p>
        </w:tc>
        <w:tc>
          <w:tcPr>
            <w:tcW w:w="2790" w:type="dxa"/>
          </w:tcPr>
          <w:p w14:paraId="759A5B55" w14:textId="78158249" w:rsidR="00253EBF" w:rsidRPr="00B87BC3" w:rsidRDefault="00191B43" w:rsidP="002403B3">
            <w:pPr>
              <w:pStyle w:val="BodyText"/>
              <w:spacing w:line="276" w:lineRule="auto"/>
              <w:jc w:val="both"/>
              <w:rPr>
                <w:sz w:val="22"/>
                <w:szCs w:val="22"/>
              </w:rPr>
            </w:pPr>
            <w:r>
              <w:rPr>
                <w:sz w:val="22"/>
                <w:szCs w:val="22"/>
              </w:rPr>
              <w:t>19</w:t>
            </w:r>
          </w:p>
        </w:tc>
        <w:tc>
          <w:tcPr>
            <w:tcW w:w="2700" w:type="dxa"/>
          </w:tcPr>
          <w:p w14:paraId="3DAED17A" w14:textId="6C34306A" w:rsidR="00253EBF" w:rsidRPr="00B87BC3" w:rsidRDefault="00191B43" w:rsidP="002403B3">
            <w:pPr>
              <w:pStyle w:val="BodyText"/>
              <w:spacing w:line="276" w:lineRule="auto"/>
              <w:jc w:val="both"/>
              <w:rPr>
                <w:sz w:val="22"/>
                <w:szCs w:val="22"/>
              </w:rPr>
            </w:pPr>
            <w:r>
              <w:rPr>
                <w:sz w:val="22"/>
                <w:szCs w:val="22"/>
              </w:rPr>
              <w:t>4</w:t>
            </w:r>
          </w:p>
        </w:tc>
      </w:tr>
      <w:tr w:rsidR="00253EBF" w:rsidRPr="00B87BC3" w14:paraId="221EEDFF" w14:textId="77777777" w:rsidTr="00C47869">
        <w:tc>
          <w:tcPr>
            <w:tcW w:w="3505" w:type="dxa"/>
          </w:tcPr>
          <w:p w14:paraId="692D30EA" w14:textId="29324320" w:rsidR="00253EBF" w:rsidRPr="00B87BC3" w:rsidRDefault="00F56107" w:rsidP="002403B3">
            <w:pPr>
              <w:pStyle w:val="BodyText"/>
              <w:spacing w:line="276" w:lineRule="auto"/>
              <w:jc w:val="both"/>
              <w:rPr>
                <w:sz w:val="22"/>
                <w:szCs w:val="22"/>
              </w:rPr>
            </w:pPr>
            <w:r>
              <w:rPr>
                <w:sz w:val="22"/>
                <w:szCs w:val="22"/>
              </w:rPr>
              <w:t xml:space="preserve">Bacterial </w:t>
            </w:r>
            <w:proofErr w:type="spellStart"/>
            <w:r>
              <w:rPr>
                <w:sz w:val="22"/>
                <w:szCs w:val="22"/>
              </w:rPr>
              <w:t>infection</w:t>
            </w:r>
            <w:r w:rsidRPr="00C47869">
              <w:rPr>
                <w:sz w:val="22"/>
                <w:szCs w:val="22"/>
                <w:vertAlign w:val="superscript"/>
              </w:rPr>
              <w:t>c</w:t>
            </w:r>
            <w:proofErr w:type="spellEnd"/>
          </w:p>
        </w:tc>
        <w:tc>
          <w:tcPr>
            <w:tcW w:w="2790" w:type="dxa"/>
          </w:tcPr>
          <w:p w14:paraId="05BA65A4" w14:textId="0845FCC4" w:rsidR="00253EBF" w:rsidRPr="00B87BC3" w:rsidRDefault="00B562CD" w:rsidP="002403B3">
            <w:pPr>
              <w:pStyle w:val="BodyText"/>
              <w:spacing w:line="276" w:lineRule="auto"/>
              <w:jc w:val="both"/>
              <w:rPr>
                <w:sz w:val="22"/>
                <w:szCs w:val="22"/>
              </w:rPr>
            </w:pPr>
            <w:r>
              <w:rPr>
                <w:sz w:val="22"/>
                <w:szCs w:val="22"/>
              </w:rPr>
              <w:t>16</w:t>
            </w:r>
          </w:p>
        </w:tc>
        <w:tc>
          <w:tcPr>
            <w:tcW w:w="2700" w:type="dxa"/>
          </w:tcPr>
          <w:p w14:paraId="5AD9F5E1" w14:textId="7FFEB262" w:rsidR="00253EBF" w:rsidRPr="00B87BC3" w:rsidRDefault="00B562CD" w:rsidP="002403B3">
            <w:pPr>
              <w:pStyle w:val="BodyText"/>
              <w:spacing w:line="276" w:lineRule="auto"/>
              <w:jc w:val="both"/>
              <w:rPr>
                <w:sz w:val="22"/>
                <w:szCs w:val="22"/>
              </w:rPr>
            </w:pPr>
            <w:r>
              <w:rPr>
                <w:sz w:val="22"/>
                <w:szCs w:val="22"/>
              </w:rPr>
              <w:t>4</w:t>
            </w:r>
          </w:p>
        </w:tc>
      </w:tr>
      <w:tr w:rsidR="00A03DF5" w:rsidRPr="00B87BC3" w14:paraId="6DB54685" w14:textId="77777777" w:rsidTr="000B3794">
        <w:tc>
          <w:tcPr>
            <w:tcW w:w="8995" w:type="dxa"/>
            <w:gridSpan w:val="3"/>
          </w:tcPr>
          <w:p w14:paraId="28DA4707" w14:textId="453BB0B0" w:rsidR="00A03DF5" w:rsidRPr="00B87BC3" w:rsidRDefault="00A03DF5" w:rsidP="002403B3">
            <w:pPr>
              <w:pStyle w:val="BodyText"/>
              <w:spacing w:line="276" w:lineRule="auto"/>
              <w:jc w:val="both"/>
              <w:rPr>
                <w:sz w:val="22"/>
                <w:szCs w:val="22"/>
              </w:rPr>
            </w:pPr>
            <w:r w:rsidRPr="00C47869">
              <w:rPr>
                <w:b/>
                <w:bCs/>
              </w:rPr>
              <w:t>General disorders and administration site conditions</w:t>
            </w:r>
          </w:p>
        </w:tc>
      </w:tr>
      <w:tr w:rsidR="00253EBF" w:rsidRPr="00B87BC3" w14:paraId="418C7A4E" w14:textId="77777777" w:rsidTr="00C47869">
        <w:tc>
          <w:tcPr>
            <w:tcW w:w="3505" w:type="dxa"/>
          </w:tcPr>
          <w:p w14:paraId="5E5F4DC2" w14:textId="1DF6273B" w:rsidR="00253EBF" w:rsidRPr="00B87BC3" w:rsidRDefault="00A03DF5" w:rsidP="002403B3">
            <w:pPr>
              <w:pStyle w:val="BodyText"/>
              <w:spacing w:line="276" w:lineRule="auto"/>
              <w:jc w:val="both"/>
              <w:rPr>
                <w:sz w:val="22"/>
                <w:szCs w:val="22"/>
              </w:rPr>
            </w:pPr>
            <w:proofErr w:type="spellStart"/>
            <w:r>
              <w:rPr>
                <w:sz w:val="22"/>
                <w:szCs w:val="22"/>
              </w:rPr>
              <w:t>Asthenia</w:t>
            </w:r>
            <w:r w:rsidRPr="00C47869">
              <w:rPr>
                <w:sz w:val="22"/>
                <w:szCs w:val="22"/>
                <w:vertAlign w:val="superscript"/>
              </w:rPr>
              <w:t>d</w:t>
            </w:r>
            <w:proofErr w:type="spellEnd"/>
          </w:p>
        </w:tc>
        <w:tc>
          <w:tcPr>
            <w:tcW w:w="2790" w:type="dxa"/>
          </w:tcPr>
          <w:p w14:paraId="0936E59E" w14:textId="074BCD5E" w:rsidR="00253EBF" w:rsidRPr="00B87BC3" w:rsidRDefault="00B562CD" w:rsidP="002403B3">
            <w:pPr>
              <w:pStyle w:val="BodyText"/>
              <w:spacing w:line="276" w:lineRule="auto"/>
              <w:jc w:val="both"/>
              <w:rPr>
                <w:sz w:val="22"/>
                <w:szCs w:val="22"/>
              </w:rPr>
            </w:pPr>
            <w:r>
              <w:rPr>
                <w:sz w:val="22"/>
                <w:szCs w:val="22"/>
              </w:rPr>
              <w:t>46</w:t>
            </w:r>
          </w:p>
        </w:tc>
        <w:tc>
          <w:tcPr>
            <w:tcW w:w="2700" w:type="dxa"/>
          </w:tcPr>
          <w:p w14:paraId="1A13A595" w14:textId="021234D7" w:rsidR="00253EBF" w:rsidRPr="00B87BC3" w:rsidRDefault="00B562CD" w:rsidP="002403B3">
            <w:pPr>
              <w:pStyle w:val="BodyText"/>
              <w:spacing w:line="276" w:lineRule="auto"/>
              <w:jc w:val="both"/>
              <w:rPr>
                <w:sz w:val="22"/>
                <w:szCs w:val="22"/>
              </w:rPr>
            </w:pPr>
            <w:r>
              <w:rPr>
                <w:sz w:val="22"/>
                <w:szCs w:val="22"/>
              </w:rPr>
              <w:t>4</w:t>
            </w:r>
          </w:p>
        </w:tc>
      </w:tr>
      <w:tr w:rsidR="00253EBF" w:rsidRPr="00B87BC3" w14:paraId="6BB8A03B" w14:textId="77777777" w:rsidTr="00C47869">
        <w:tc>
          <w:tcPr>
            <w:tcW w:w="3505" w:type="dxa"/>
          </w:tcPr>
          <w:p w14:paraId="453CC89E" w14:textId="041EE0A0" w:rsidR="00253EBF" w:rsidRPr="00B87BC3" w:rsidRDefault="003F1F2A" w:rsidP="002403B3">
            <w:pPr>
              <w:pStyle w:val="BodyText"/>
              <w:spacing w:line="276" w:lineRule="auto"/>
              <w:jc w:val="both"/>
              <w:rPr>
                <w:sz w:val="22"/>
                <w:szCs w:val="22"/>
              </w:rPr>
            </w:pPr>
            <w:proofErr w:type="spellStart"/>
            <w:r>
              <w:rPr>
                <w:sz w:val="22"/>
                <w:szCs w:val="22"/>
              </w:rPr>
              <w:t>Oe</w:t>
            </w:r>
            <w:r w:rsidR="00AF5EBC">
              <w:rPr>
                <w:sz w:val="22"/>
                <w:szCs w:val="22"/>
              </w:rPr>
              <w:t>dema</w:t>
            </w:r>
            <w:r w:rsidR="004F2545" w:rsidRPr="00C47869">
              <w:rPr>
                <w:sz w:val="22"/>
                <w:szCs w:val="22"/>
                <w:vertAlign w:val="superscript"/>
              </w:rPr>
              <w:t>e</w:t>
            </w:r>
            <w:proofErr w:type="spellEnd"/>
          </w:p>
        </w:tc>
        <w:tc>
          <w:tcPr>
            <w:tcW w:w="2790" w:type="dxa"/>
          </w:tcPr>
          <w:p w14:paraId="47E93DC6" w14:textId="2F9BFA6C" w:rsidR="00253EBF" w:rsidRPr="00B87BC3" w:rsidRDefault="00B562CD" w:rsidP="002403B3">
            <w:pPr>
              <w:pStyle w:val="BodyText"/>
              <w:spacing w:line="276" w:lineRule="auto"/>
              <w:jc w:val="both"/>
              <w:rPr>
                <w:sz w:val="22"/>
                <w:szCs w:val="22"/>
              </w:rPr>
            </w:pPr>
            <w:r>
              <w:rPr>
                <w:sz w:val="22"/>
                <w:szCs w:val="22"/>
              </w:rPr>
              <w:t>27</w:t>
            </w:r>
          </w:p>
        </w:tc>
        <w:tc>
          <w:tcPr>
            <w:tcW w:w="2700" w:type="dxa"/>
          </w:tcPr>
          <w:p w14:paraId="59F3AFBE" w14:textId="0DE2BFBA" w:rsidR="00253EBF" w:rsidRPr="00B87BC3" w:rsidRDefault="00B562CD" w:rsidP="002403B3">
            <w:pPr>
              <w:pStyle w:val="BodyText"/>
              <w:spacing w:line="276" w:lineRule="auto"/>
              <w:jc w:val="both"/>
              <w:rPr>
                <w:sz w:val="22"/>
                <w:szCs w:val="22"/>
              </w:rPr>
            </w:pPr>
            <w:r>
              <w:rPr>
                <w:sz w:val="22"/>
                <w:szCs w:val="22"/>
              </w:rPr>
              <w:t>1</w:t>
            </w:r>
          </w:p>
        </w:tc>
      </w:tr>
      <w:tr w:rsidR="00253EBF" w:rsidRPr="00B87BC3" w14:paraId="6F381360" w14:textId="77777777" w:rsidTr="00C47869">
        <w:tc>
          <w:tcPr>
            <w:tcW w:w="3505" w:type="dxa"/>
          </w:tcPr>
          <w:p w14:paraId="24E7F012" w14:textId="4EE208C7" w:rsidR="00253EBF" w:rsidRPr="00B87BC3" w:rsidRDefault="004F2545" w:rsidP="002403B3">
            <w:pPr>
              <w:pStyle w:val="BodyText"/>
              <w:spacing w:line="276" w:lineRule="auto"/>
              <w:jc w:val="both"/>
              <w:rPr>
                <w:sz w:val="22"/>
                <w:szCs w:val="22"/>
              </w:rPr>
            </w:pPr>
            <w:r>
              <w:rPr>
                <w:sz w:val="22"/>
                <w:szCs w:val="22"/>
              </w:rPr>
              <w:t>Pyrexia</w:t>
            </w:r>
          </w:p>
        </w:tc>
        <w:tc>
          <w:tcPr>
            <w:tcW w:w="2790" w:type="dxa"/>
          </w:tcPr>
          <w:p w14:paraId="70F1A719" w14:textId="50779BB3" w:rsidR="00253EBF" w:rsidRPr="00B87BC3" w:rsidRDefault="00B562CD" w:rsidP="002403B3">
            <w:pPr>
              <w:pStyle w:val="BodyText"/>
              <w:spacing w:line="276" w:lineRule="auto"/>
              <w:jc w:val="both"/>
              <w:rPr>
                <w:sz w:val="22"/>
                <w:szCs w:val="22"/>
              </w:rPr>
            </w:pPr>
            <w:r>
              <w:rPr>
                <w:sz w:val="22"/>
                <w:szCs w:val="22"/>
              </w:rPr>
              <w:t>18</w:t>
            </w:r>
          </w:p>
        </w:tc>
        <w:tc>
          <w:tcPr>
            <w:tcW w:w="2700" w:type="dxa"/>
          </w:tcPr>
          <w:p w14:paraId="01A44BA5" w14:textId="179D00F7" w:rsidR="00253EBF" w:rsidRPr="00B87BC3" w:rsidRDefault="00B562CD" w:rsidP="002403B3">
            <w:pPr>
              <w:pStyle w:val="BodyText"/>
              <w:spacing w:line="276" w:lineRule="auto"/>
              <w:jc w:val="both"/>
              <w:rPr>
                <w:sz w:val="22"/>
                <w:szCs w:val="22"/>
              </w:rPr>
            </w:pPr>
            <w:r>
              <w:rPr>
                <w:sz w:val="22"/>
                <w:szCs w:val="22"/>
              </w:rPr>
              <w:t>1</w:t>
            </w:r>
          </w:p>
        </w:tc>
      </w:tr>
      <w:tr w:rsidR="004F2545" w:rsidRPr="00B87BC3" w14:paraId="73330C65" w14:textId="77777777" w:rsidTr="000B3794">
        <w:tc>
          <w:tcPr>
            <w:tcW w:w="8995" w:type="dxa"/>
            <w:gridSpan w:val="3"/>
          </w:tcPr>
          <w:p w14:paraId="4F2BB12F" w14:textId="3AFC590F" w:rsidR="004F2545" w:rsidRPr="00B87BC3" w:rsidRDefault="004F2545" w:rsidP="002403B3">
            <w:pPr>
              <w:pStyle w:val="BodyText"/>
              <w:spacing w:line="276" w:lineRule="auto"/>
              <w:jc w:val="both"/>
              <w:rPr>
                <w:sz w:val="22"/>
                <w:szCs w:val="22"/>
              </w:rPr>
            </w:pPr>
            <w:r>
              <w:rPr>
                <w:b/>
                <w:bCs/>
                <w:sz w:val="22"/>
                <w:szCs w:val="22"/>
              </w:rPr>
              <w:t>Gastro</w:t>
            </w:r>
            <w:r w:rsidR="006C0392">
              <w:rPr>
                <w:b/>
                <w:bCs/>
                <w:sz w:val="22"/>
                <w:szCs w:val="22"/>
              </w:rPr>
              <w:t>intestinal</w:t>
            </w:r>
          </w:p>
        </w:tc>
      </w:tr>
      <w:tr w:rsidR="00253EBF" w:rsidRPr="00B87BC3" w14:paraId="31194FBC" w14:textId="77777777" w:rsidTr="00C47869">
        <w:tc>
          <w:tcPr>
            <w:tcW w:w="3505" w:type="dxa"/>
          </w:tcPr>
          <w:p w14:paraId="086F7768" w14:textId="7DF15BA1" w:rsidR="00253EBF" w:rsidRPr="00B87BC3" w:rsidRDefault="006C0392" w:rsidP="002403B3">
            <w:pPr>
              <w:pStyle w:val="BodyText"/>
              <w:spacing w:line="276" w:lineRule="auto"/>
              <w:jc w:val="both"/>
              <w:rPr>
                <w:sz w:val="22"/>
                <w:szCs w:val="22"/>
              </w:rPr>
            </w:pPr>
            <w:proofErr w:type="spellStart"/>
            <w:r>
              <w:rPr>
                <w:sz w:val="22"/>
                <w:szCs w:val="22"/>
              </w:rPr>
              <w:t>Nausea</w:t>
            </w:r>
            <w:r w:rsidRPr="00C47869">
              <w:rPr>
                <w:sz w:val="22"/>
                <w:szCs w:val="22"/>
                <w:vertAlign w:val="superscript"/>
              </w:rPr>
              <w:t>f</w:t>
            </w:r>
            <w:proofErr w:type="spellEnd"/>
          </w:p>
        </w:tc>
        <w:tc>
          <w:tcPr>
            <w:tcW w:w="2790" w:type="dxa"/>
          </w:tcPr>
          <w:p w14:paraId="374475DF" w14:textId="2F551EC2" w:rsidR="00253EBF" w:rsidRPr="00B87BC3" w:rsidRDefault="001D4590" w:rsidP="002403B3">
            <w:pPr>
              <w:pStyle w:val="BodyText"/>
              <w:spacing w:line="276" w:lineRule="auto"/>
              <w:jc w:val="both"/>
              <w:rPr>
                <w:sz w:val="22"/>
                <w:szCs w:val="22"/>
              </w:rPr>
            </w:pPr>
            <w:r>
              <w:rPr>
                <w:sz w:val="22"/>
                <w:szCs w:val="22"/>
              </w:rPr>
              <w:t>42</w:t>
            </w:r>
          </w:p>
        </w:tc>
        <w:tc>
          <w:tcPr>
            <w:tcW w:w="2700" w:type="dxa"/>
          </w:tcPr>
          <w:p w14:paraId="586AC27A" w14:textId="6F89C846" w:rsidR="00253EBF" w:rsidRPr="00B87BC3" w:rsidRDefault="001D4590" w:rsidP="002403B3">
            <w:pPr>
              <w:pStyle w:val="BodyText"/>
              <w:spacing w:line="276" w:lineRule="auto"/>
              <w:jc w:val="both"/>
              <w:rPr>
                <w:sz w:val="22"/>
                <w:szCs w:val="22"/>
              </w:rPr>
            </w:pPr>
            <w:r>
              <w:rPr>
                <w:sz w:val="22"/>
                <w:szCs w:val="22"/>
              </w:rPr>
              <w:t>4</w:t>
            </w:r>
          </w:p>
        </w:tc>
      </w:tr>
      <w:tr w:rsidR="00253EBF" w:rsidRPr="00B87BC3" w14:paraId="2528BEC9" w14:textId="77777777" w:rsidTr="00C47869">
        <w:tc>
          <w:tcPr>
            <w:tcW w:w="3505" w:type="dxa"/>
          </w:tcPr>
          <w:p w14:paraId="6E9DB395" w14:textId="13D5106E" w:rsidR="00253EBF" w:rsidRPr="00B87BC3" w:rsidRDefault="00CA1EC6" w:rsidP="002403B3">
            <w:pPr>
              <w:pStyle w:val="BodyText"/>
              <w:spacing w:line="276" w:lineRule="auto"/>
              <w:jc w:val="both"/>
              <w:rPr>
                <w:sz w:val="22"/>
                <w:szCs w:val="22"/>
              </w:rPr>
            </w:pPr>
            <w:r>
              <w:rPr>
                <w:sz w:val="22"/>
                <w:szCs w:val="22"/>
              </w:rPr>
              <w:t>Diarrhea</w:t>
            </w:r>
          </w:p>
        </w:tc>
        <w:tc>
          <w:tcPr>
            <w:tcW w:w="2790" w:type="dxa"/>
          </w:tcPr>
          <w:p w14:paraId="32FF48C0" w14:textId="6FE40E1F" w:rsidR="00253EBF" w:rsidRPr="00B87BC3" w:rsidRDefault="001D4590" w:rsidP="002403B3">
            <w:pPr>
              <w:pStyle w:val="BodyText"/>
              <w:spacing w:line="276" w:lineRule="auto"/>
              <w:jc w:val="both"/>
              <w:rPr>
                <w:sz w:val="22"/>
                <w:szCs w:val="22"/>
              </w:rPr>
            </w:pPr>
            <w:r>
              <w:rPr>
                <w:sz w:val="22"/>
                <w:szCs w:val="22"/>
              </w:rPr>
              <w:t>35</w:t>
            </w:r>
          </w:p>
        </w:tc>
        <w:tc>
          <w:tcPr>
            <w:tcW w:w="2700" w:type="dxa"/>
          </w:tcPr>
          <w:p w14:paraId="0696BDB4" w14:textId="1AFEA404" w:rsidR="00253EBF" w:rsidRPr="00B87BC3" w:rsidRDefault="001D4590" w:rsidP="002403B3">
            <w:pPr>
              <w:pStyle w:val="BodyText"/>
              <w:spacing w:line="276" w:lineRule="auto"/>
              <w:jc w:val="both"/>
              <w:rPr>
                <w:sz w:val="22"/>
                <w:szCs w:val="22"/>
              </w:rPr>
            </w:pPr>
            <w:r>
              <w:rPr>
                <w:sz w:val="22"/>
                <w:szCs w:val="22"/>
              </w:rPr>
              <w:t>5</w:t>
            </w:r>
          </w:p>
        </w:tc>
      </w:tr>
      <w:tr w:rsidR="00253EBF" w:rsidRPr="00B87BC3" w14:paraId="52A702A7" w14:textId="77777777" w:rsidTr="00C47869">
        <w:tc>
          <w:tcPr>
            <w:tcW w:w="3505" w:type="dxa"/>
          </w:tcPr>
          <w:p w14:paraId="272BF545" w14:textId="35E6DE88" w:rsidR="00253EBF" w:rsidRPr="00B87BC3" w:rsidRDefault="004951A8" w:rsidP="002403B3">
            <w:pPr>
              <w:pStyle w:val="BodyText"/>
              <w:spacing w:line="276" w:lineRule="auto"/>
              <w:jc w:val="both"/>
              <w:rPr>
                <w:sz w:val="22"/>
                <w:szCs w:val="22"/>
              </w:rPr>
            </w:pPr>
            <w:r>
              <w:rPr>
                <w:sz w:val="22"/>
                <w:szCs w:val="22"/>
              </w:rPr>
              <w:t xml:space="preserve">Abdominal </w:t>
            </w:r>
            <w:proofErr w:type="spellStart"/>
            <w:r>
              <w:rPr>
                <w:sz w:val="22"/>
                <w:szCs w:val="22"/>
              </w:rPr>
              <w:t>pain</w:t>
            </w:r>
            <w:r w:rsidRPr="00C47869">
              <w:rPr>
                <w:sz w:val="22"/>
                <w:szCs w:val="22"/>
                <w:vertAlign w:val="superscript"/>
              </w:rPr>
              <w:t>g</w:t>
            </w:r>
            <w:proofErr w:type="spellEnd"/>
          </w:p>
        </w:tc>
        <w:tc>
          <w:tcPr>
            <w:tcW w:w="2790" w:type="dxa"/>
          </w:tcPr>
          <w:p w14:paraId="5C6D2025" w14:textId="74F3E045" w:rsidR="00253EBF" w:rsidRPr="00B87BC3" w:rsidRDefault="001D4590" w:rsidP="002403B3">
            <w:pPr>
              <w:pStyle w:val="BodyText"/>
              <w:spacing w:line="276" w:lineRule="auto"/>
              <w:jc w:val="both"/>
              <w:rPr>
                <w:sz w:val="22"/>
                <w:szCs w:val="22"/>
              </w:rPr>
            </w:pPr>
            <w:r>
              <w:rPr>
                <w:sz w:val="22"/>
                <w:szCs w:val="22"/>
              </w:rPr>
              <w:t>22</w:t>
            </w:r>
          </w:p>
        </w:tc>
        <w:tc>
          <w:tcPr>
            <w:tcW w:w="2700" w:type="dxa"/>
          </w:tcPr>
          <w:p w14:paraId="6177219A" w14:textId="4AEFA13D" w:rsidR="00253EBF" w:rsidRPr="00B87BC3" w:rsidRDefault="001D4590" w:rsidP="002403B3">
            <w:pPr>
              <w:pStyle w:val="BodyText"/>
              <w:spacing w:line="276" w:lineRule="auto"/>
              <w:jc w:val="both"/>
              <w:rPr>
                <w:sz w:val="22"/>
                <w:szCs w:val="22"/>
              </w:rPr>
            </w:pPr>
            <w:r>
              <w:rPr>
                <w:sz w:val="22"/>
                <w:szCs w:val="22"/>
              </w:rPr>
              <w:t>1</w:t>
            </w:r>
          </w:p>
        </w:tc>
      </w:tr>
      <w:tr w:rsidR="00253EBF" w:rsidRPr="00B87BC3" w14:paraId="1B02948A" w14:textId="77777777" w:rsidTr="00C47869">
        <w:tc>
          <w:tcPr>
            <w:tcW w:w="3505" w:type="dxa"/>
          </w:tcPr>
          <w:p w14:paraId="6C1D97F5" w14:textId="660989D5" w:rsidR="00253EBF" w:rsidRPr="00B87BC3" w:rsidRDefault="009D3F60" w:rsidP="002403B3">
            <w:pPr>
              <w:pStyle w:val="BodyText"/>
              <w:spacing w:line="276" w:lineRule="auto"/>
              <w:jc w:val="both"/>
              <w:rPr>
                <w:sz w:val="22"/>
                <w:szCs w:val="22"/>
              </w:rPr>
            </w:pPr>
            <w:r>
              <w:rPr>
                <w:sz w:val="22"/>
                <w:szCs w:val="22"/>
              </w:rPr>
              <w:t>Dysphagia</w:t>
            </w:r>
          </w:p>
        </w:tc>
        <w:tc>
          <w:tcPr>
            <w:tcW w:w="2790" w:type="dxa"/>
          </w:tcPr>
          <w:p w14:paraId="465B834C" w14:textId="16F9A711" w:rsidR="00253EBF" w:rsidRPr="00B87BC3" w:rsidRDefault="001D4590" w:rsidP="002403B3">
            <w:pPr>
              <w:pStyle w:val="BodyText"/>
              <w:spacing w:line="276" w:lineRule="auto"/>
              <w:jc w:val="both"/>
              <w:rPr>
                <w:sz w:val="22"/>
                <w:szCs w:val="22"/>
              </w:rPr>
            </w:pPr>
            <w:r>
              <w:rPr>
                <w:sz w:val="22"/>
                <w:szCs w:val="22"/>
              </w:rPr>
              <w:t>16</w:t>
            </w:r>
          </w:p>
        </w:tc>
        <w:tc>
          <w:tcPr>
            <w:tcW w:w="2700" w:type="dxa"/>
          </w:tcPr>
          <w:p w14:paraId="3FC8C6A9" w14:textId="028B063B" w:rsidR="00253EBF" w:rsidRPr="00B87BC3" w:rsidRDefault="001D4590" w:rsidP="002403B3">
            <w:pPr>
              <w:pStyle w:val="BodyText"/>
              <w:spacing w:line="276" w:lineRule="auto"/>
              <w:jc w:val="both"/>
              <w:rPr>
                <w:sz w:val="22"/>
                <w:szCs w:val="22"/>
              </w:rPr>
            </w:pPr>
            <w:r>
              <w:rPr>
                <w:sz w:val="22"/>
                <w:szCs w:val="22"/>
              </w:rPr>
              <w:t>0</w:t>
            </w:r>
          </w:p>
        </w:tc>
      </w:tr>
      <w:tr w:rsidR="009D3F60" w:rsidRPr="00B87BC3" w14:paraId="4BCECB3E" w14:textId="77777777" w:rsidTr="000B3794">
        <w:tc>
          <w:tcPr>
            <w:tcW w:w="8995" w:type="dxa"/>
            <w:gridSpan w:val="3"/>
          </w:tcPr>
          <w:p w14:paraId="1FE21B0F" w14:textId="723CFF9C" w:rsidR="009D3F60" w:rsidRPr="00B87BC3" w:rsidRDefault="00AD1CCD" w:rsidP="002403B3">
            <w:pPr>
              <w:pStyle w:val="BodyText"/>
              <w:spacing w:line="276" w:lineRule="auto"/>
              <w:jc w:val="both"/>
              <w:rPr>
                <w:sz w:val="22"/>
                <w:szCs w:val="22"/>
              </w:rPr>
            </w:pPr>
            <w:r>
              <w:rPr>
                <w:b/>
                <w:bCs/>
                <w:sz w:val="22"/>
                <w:szCs w:val="22"/>
              </w:rPr>
              <w:t xml:space="preserve">Respiratory, </w:t>
            </w:r>
            <w:proofErr w:type="gramStart"/>
            <w:r>
              <w:rPr>
                <w:b/>
                <w:bCs/>
                <w:sz w:val="22"/>
                <w:szCs w:val="22"/>
              </w:rPr>
              <w:t>thoracic</w:t>
            </w:r>
            <w:proofErr w:type="gramEnd"/>
            <w:r>
              <w:rPr>
                <w:b/>
                <w:bCs/>
                <w:sz w:val="22"/>
                <w:szCs w:val="22"/>
              </w:rPr>
              <w:t xml:space="preserve"> and mediastinal</w:t>
            </w:r>
          </w:p>
        </w:tc>
      </w:tr>
      <w:tr w:rsidR="00253EBF" w:rsidRPr="00B87BC3" w14:paraId="24911F0A" w14:textId="77777777" w:rsidTr="00C47869">
        <w:tc>
          <w:tcPr>
            <w:tcW w:w="3505" w:type="dxa"/>
          </w:tcPr>
          <w:p w14:paraId="5969E042" w14:textId="292709B8" w:rsidR="00253EBF" w:rsidRPr="00B87BC3" w:rsidRDefault="00170673" w:rsidP="002403B3">
            <w:pPr>
              <w:pStyle w:val="BodyText"/>
              <w:spacing w:line="276" w:lineRule="auto"/>
              <w:jc w:val="both"/>
              <w:rPr>
                <w:sz w:val="22"/>
                <w:szCs w:val="22"/>
              </w:rPr>
            </w:pPr>
            <w:proofErr w:type="spellStart"/>
            <w:r>
              <w:rPr>
                <w:sz w:val="22"/>
                <w:szCs w:val="22"/>
              </w:rPr>
              <w:t>Dyspnea</w:t>
            </w:r>
            <w:r w:rsidRPr="00C47869">
              <w:rPr>
                <w:sz w:val="22"/>
                <w:szCs w:val="22"/>
                <w:vertAlign w:val="superscript"/>
              </w:rPr>
              <w:t>h</w:t>
            </w:r>
            <w:proofErr w:type="spellEnd"/>
          </w:p>
        </w:tc>
        <w:tc>
          <w:tcPr>
            <w:tcW w:w="2790" w:type="dxa"/>
          </w:tcPr>
          <w:p w14:paraId="4DCD2169" w14:textId="59ACB008" w:rsidR="00253EBF" w:rsidRPr="00B87BC3" w:rsidRDefault="00205831" w:rsidP="002403B3">
            <w:pPr>
              <w:pStyle w:val="BodyText"/>
              <w:spacing w:line="276" w:lineRule="auto"/>
              <w:jc w:val="both"/>
              <w:rPr>
                <w:sz w:val="22"/>
                <w:szCs w:val="22"/>
              </w:rPr>
            </w:pPr>
            <w:r>
              <w:rPr>
                <w:sz w:val="22"/>
                <w:szCs w:val="22"/>
              </w:rPr>
              <w:t>33</w:t>
            </w:r>
          </w:p>
        </w:tc>
        <w:tc>
          <w:tcPr>
            <w:tcW w:w="2700" w:type="dxa"/>
          </w:tcPr>
          <w:p w14:paraId="5187A664" w14:textId="50EA1B17" w:rsidR="00253EBF" w:rsidRPr="00B87BC3" w:rsidRDefault="00205831" w:rsidP="002403B3">
            <w:pPr>
              <w:pStyle w:val="BodyText"/>
              <w:spacing w:line="276" w:lineRule="auto"/>
              <w:jc w:val="both"/>
              <w:rPr>
                <w:sz w:val="22"/>
                <w:szCs w:val="22"/>
              </w:rPr>
            </w:pPr>
            <w:r>
              <w:rPr>
                <w:sz w:val="22"/>
                <w:szCs w:val="22"/>
              </w:rPr>
              <w:t>5</w:t>
            </w:r>
          </w:p>
        </w:tc>
      </w:tr>
      <w:tr w:rsidR="00253EBF" w:rsidRPr="00B87BC3" w14:paraId="36944DED" w14:textId="77777777" w:rsidTr="00C47869">
        <w:tc>
          <w:tcPr>
            <w:tcW w:w="3505" w:type="dxa"/>
          </w:tcPr>
          <w:p w14:paraId="7C678AEE" w14:textId="401E28AF" w:rsidR="00253EBF" w:rsidRPr="00B87BC3" w:rsidRDefault="00004FD2" w:rsidP="002403B3">
            <w:pPr>
              <w:pStyle w:val="BodyText"/>
              <w:spacing w:line="276" w:lineRule="auto"/>
              <w:jc w:val="both"/>
              <w:rPr>
                <w:bCs/>
                <w:sz w:val="22"/>
                <w:szCs w:val="22"/>
              </w:rPr>
            </w:pPr>
            <w:proofErr w:type="spellStart"/>
            <w:r>
              <w:rPr>
                <w:bCs/>
                <w:sz w:val="22"/>
                <w:szCs w:val="22"/>
              </w:rPr>
              <w:t>Cough</w:t>
            </w:r>
            <w:r w:rsidRPr="00C47869">
              <w:rPr>
                <w:bCs/>
                <w:sz w:val="22"/>
                <w:szCs w:val="22"/>
                <w:vertAlign w:val="superscript"/>
              </w:rPr>
              <w:t>i</w:t>
            </w:r>
            <w:proofErr w:type="spellEnd"/>
          </w:p>
        </w:tc>
        <w:tc>
          <w:tcPr>
            <w:tcW w:w="2790" w:type="dxa"/>
          </w:tcPr>
          <w:p w14:paraId="2B49D309" w14:textId="600B878E" w:rsidR="00253EBF" w:rsidRPr="00B87BC3" w:rsidRDefault="00205831" w:rsidP="002403B3">
            <w:pPr>
              <w:pStyle w:val="BodyText"/>
              <w:spacing w:line="276" w:lineRule="auto"/>
              <w:jc w:val="both"/>
              <w:rPr>
                <w:sz w:val="22"/>
                <w:szCs w:val="22"/>
              </w:rPr>
            </w:pPr>
            <w:r>
              <w:rPr>
                <w:sz w:val="22"/>
                <w:szCs w:val="22"/>
              </w:rPr>
              <w:t>30</w:t>
            </w:r>
          </w:p>
        </w:tc>
        <w:tc>
          <w:tcPr>
            <w:tcW w:w="2700" w:type="dxa"/>
          </w:tcPr>
          <w:p w14:paraId="4A31BC70" w14:textId="355C4574" w:rsidR="00253EBF" w:rsidRPr="00B87BC3" w:rsidRDefault="00205831" w:rsidP="002403B3">
            <w:pPr>
              <w:pStyle w:val="BodyText"/>
              <w:spacing w:line="276" w:lineRule="auto"/>
              <w:jc w:val="both"/>
              <w:rPr>
                <w:sz w:val="22"/>
                <w:szCs w:val="22"/>
              </w:rPr>
            </w:pPr>
            <w:r>
              <w:rPr>
                <w:sz w:val="22"/>
                <w:szCs w:val="22"/>
              </w:rPr>
              <w:t>0</w:t>
            </w:r>
          </w:p>
        </w:tc>
      </w:tr>
      <w:tr w:rsidR="00253EBF" w:rsidRPr="00B87BC3" w14:paraId="5E5CE3D5" w14:textId="77777777" w:rsidTr="00C47869">
        <w:tc>
          <w:tcPr>
            <w:tcW w:w="3505" w:type="dxa"/>
          </w:tcPr>
          <w:p w14:paraId="2BA72818" w14:textId="2FE13813" w:rsidR="00253EBF" w:rsidRPr="00B87BC3" w:rsidRDefault="00004FD2" w:rsidP="002403B3">
            <w:pPr>
              <w:pStyle w:val="BodyText"/>
              <w:spacing w:line="276" w:lineRule="auto"/>
              <w:jc w:val="both"/>
              <w:rPr>
                <w:bCs/>
                <w:sz w:val="22"/>
                <w:szCs w:val="22"/>
              </w:rPr>
            </w:pPr>
            <w:r>
              <w:rPr>
                <w:bCs/>
                <w:sz w:val="22"/>
                <w:szCs w:val="22"/>
              </w:rPr>
              <w:t>Nasal congestion</w:t>
            </w:r>
          </w:p>
        </w:tc>
        <w:tc>
          <w:tcPr>
            <w:tcW w:w="2790" w:type="dxa"/>
          </w:tcPr>
          <w:p w14:paraId="46B9EF78" w14:textId="6E310EEF" w:rsidR="00253EBF" w:rsidRPr="00B87BC3" w:rsidRDefault="00205831" w:rsidP="002403B3">
            <w:pPr>
              <w:pStyle w:val="BodyText"/>
              <w:spacing w:line="276" w:lineRule="auto"/>
              <w:jc w:val="both"/>
              <w:rPr>
                <w:sz w:val="22"/>
                <w:szCs w:val="22"/>
              </w:rPr>
            </w:pPr>
            <w:r>
              <w:rPr>
                <w:sz w:val="22"/>
                <w:szCs w:val="22"/>
              </w:rPr>
              <w:t>12</w:t>
            </w:r>
          </w:p>
        </w:tc>
        <w:tc>
          <w:tcPr>
            <w:tcW w:w="2700" w:type="dxa"/>
          </w:tcPr>
          <w:p w14:paraId="6624A4C2" w14:textId="6B16E573" w:rsidR="00253EBF" w:rsidRPr="00B87BC3" w:rsidRDefault="00205831" w:rsidP="002403B3">
            <w:pPr>
              <w:pStyle w:val="BodyText"/>
              <w:spacing w:line="276" w:lineRule="auto"/>
              <w:jc w:val="both"/>
              <w:rPr>
                <w:sz w:val="22"/>
                <w:szCs w:val="22"/>
              </w:rPr>
            </w:pPr>
            <w:r>
              <w:rPr>
                <w:sz w:val="22"/>
                <w:szCs w:val="22"/>
              </w:rPr>
              <w:t>0</w:t>
            </w:r>
          </w:p>
        </w:tc>
      </w:tr>
      <w:tr w:rsidR="003B738A" w:rsidRPr="00B87BC3" w14:paraId="3BF95795" w14:textId="77777777" w:rsidTr="000B3794">
        <w:tc>
          <w:tcPr>
            <w:tcW w:w="8995" w:type="dxa"/>
            <w:gridSpan w:val="3"/>
          </w:tcPr>
          <w:p w14:paraId="54F3E384" w14:textId="41257C64" w:rsidR="003B738A" w:rsidRPr="00B87BC3" w:rsidRDefault="003B738A" w:rsidP="002403B3">
            <w:pPr>
              <w:pStyle w:val="BodyText"/>
              <w:spacing w:line="276" w:lineRule="auto"/>
              <w:jc w:val="both"/>
              <w:rPr>
                <w:sz w:val="22"/>
                <w:szCs w:val="22"/>
              </w:rPr>
            </w:pPr>
            <w:r>
              <w:rPr>
                <w:b/>
                <w:sz w:val="22"/>
                <w:szCs w:val="22"/>
              </w:rPr>
              <w:t>Vascular</w:t>
            </w:r>
          </w:p>
        </w:tc>
      </w:tr>
      <w:tr w:rsidR="00253EBF" w:rsidRPr="00B87BC3" w14:paraId="667DB2E3" w14:textId="77777777" w:rsidTr="00C47869">
        <w:tc>
          <w:tcPr>
            <w:tcW w:w="3505" w:type="dxa"/>
          </w:tcPr>
          <w:p w14:paraId="2DCB71FD" w14:textId="5621E1DE" w:rsidR="00253EBF" w:rsidRPr="00B87BC3" w:rsidRDefault="003B738A" w:rsidP="002403B3">
            <w:pPr>
              <w:pStyle w:val="BodyText"/>
              <w:spacing w:line="276" w:lineRule="auto"/>
              <w:jc w:val="both"/>
              <w:rPr>
                <w:b/>
                <w:bCs/>
                <w:sz w:val="22"/>
                <w:szCs w:val="22"/>
              </w:rPr>
            </w:pPr>
            <w:proofErr w:type="spellStart"/>
            <w:r>
              <w:rPr>
                <w:bCs/>
                <w:sz w:val="22"/>
                <w:szCs w:val="22"/>
              </w:rPr>
              <w:t>Hemorrhage</w:t>
            </w:r>
            <w:r w:rsidRPr="00C47869">
              <w:rPr>
                <w:bCs/>
                <w:sz w:val="22"/>
                <w:szCs w:val="22"/>
                <w:vertAlign w:val="superscript"/>
              </w:rPr>
              <w:t>j</w:t>
            </w:r>
            <w:proofErr w:type="spellEnd"/>
          </w:p>
        </w:tc>
        <w:tc>
          <w:tcPr>
            <w:tcW w:w="2790" w:type="dxa"/>
          </w:tcPr>
          <w:p w14:paraId="70E0D012" w14:textId="6CE2DDCF" w:rsidR="00253EBF" w:rsidRPr="00B87BC3" w:rsidRDefault="00205831" w:rsidP="002403B3">
            <w:pPr>
              <w:pStyle w:val="BodyText"/>
              <w:spacing w:line="276" w:lineRule="auto"/>
              <w:jc w:val="both"/>
              <w:rPr>
                <w:sz w:val="22"/>
                <w:szCs w:val="22"/>
              </w:rPr>
            </w:pPr>
            <w:r>
              <w:rPr>
                <w:sz w:val="22"/>
                <w:szCs w:val="22"/>
              </w:rPr>
              <w:t>23</w:t>
            </w:r>
          </w:p>
        </w:tc>
        <w:tc>
          <w:tcPr>
            <w:tcW w:w="2700" w:type="dxa"/>
          </w:tcPr>
          <w:p w14:paraId="7B9B4895" w14:textId="56643812" w:rsidR="00253EBF" w:rsidRPr="00B87BC3" w:rsidRDefault="00205831" w:rsidP="002403B3">
            <w:pPr>
              <w:pStyle w:val="BodyText"/>
              <w:spacing w:line="276" w:lineRule="auto"/>
              <w:jc w:val="both"/>
              <w:rPr>
                <w:sz w:val="22"/>
                <w:szCs w:val="22"/>
              </w:rPr>
            </w:pPr>
            <w:r>
              <w:rPr>
                <w:sz w:val="22"/>
                <w:szCs w:val="22"/>
              </w:rPr>
              <w:t>5</w:t>
            </w:r>
          </w:p>
        </w:tc>
      </w:tr>
      <w:tr w:rsidR="00253EBF" w:rsidRPr="00B87BC3" w14:paraId="4A363BA8" w14:textId="77777777" w:rsidTr="00C47869">
        <w:tc>
          <w:tcPr>
            <w:tcW w:w="3505" w:type="dxa"/>
          </w:tcPr>
          <w:p w14:paraId="7F4496B0" w14:textId="5C5CC332" w:rsidR="00253EBF" w:rsidRPr="00B87BC3" w:rsidRDefault="003B738A" w:rsidP="002403B3">
            <w:pPr>
              <w:pStyle w:val="BodyText"/>
              <w:spacing w:line="276" w:lineRule="auto"/>
              <w:jc w:val="both"/>
              <w:rPr>
                <w:bCs/>
                <w:sz w:val="22"/>
                <w:szCs w:val="22"/>
              </w:rPr>
            </w:pPr>
            <w:r>
              <w:rPr>
                <w:bCs/>
                <w:sz w:val="22"/>
                <w:szCs w:val="22"/>
              </w:rPr>
              <w:t>Hypertension</w:t>
            </w:r>
          </w:p>
        </w:tc>
        <w:tc>
          <w:tcPr>
            <w:tcW w:w="2790" w:type="dxa"/>
          </w:tcPr>
          <w:p w14:paraId="0555D12E" w14:textId="6DB94913" w:rsidR="00253EBF" w:rsidRPr="00B87BC3" w:rsidRDefault="00205831" w:rsidP="002403B3">
            <w:pPr>
              <w:pStyle w:val="BodyText"/>
              <w:spacing w:line="276" w:lineRule="auto"/>
              <w:jc w:val="both"/>
              <w:rPr>
                <w:sz w:val="22"/>
                <w:szCs w:val="22"/>
              </w:rPr>
            </w:pPr>
            <w:r>
              <w:rPr>
                <w:sz w:val="22"/>
                <w:szCs w:val="22"/>
              </w:rPr>
              <w:t>21</w:t>
            </w:r>
          </w:p>
        </w:tc>
        <w:tc>
          <w:tcPr>
            <w:tcW w:w="2700" w:type="dxa"/>
          </w:tcPr>
          <w:p w14:paraId="48469346" w14:textId="78355E07" w:rsidR="00253EBF" w:rsidRPr="00B87BC3" w:rsidRDefault="00205831" w:rsidP="002403B3">
            <w:pPr>
              <w:pStyle w:val="BodyText"/>
              <w:spacing w:line="276" w:lineRule="auto"/>
              <w:jc w:val="both"/>
              <w:rPr>
                <w:sz w:val="22"/>
                <w:szCs w:val="22"/>
              </w:rPr>
            </w:pPr>
            <w:r>
              <w:rPr>
                <w:sz w:val="22"/>
                <w:szCs w:val="22"/>
              </w:rPr>
              <w:t>7</w:t>
            </w:r>
          </w:p>
        </w:tc>
      </w:tr>
      <w:tr w:rsidR="003B738A" w:rsidRPr="00B87BC3" w14:paraId="68627061" w14:textId="77777777" w:rsidTr="000B3794">
        <w:tc>
          <w:tcPr>
            <w:tcW w:w="8995" w:type="dxa"/>
            <w:gridSpan w:val="3"/>
          </w:tcPr>
          <w:p w14:paraId="5C1A26F8" w14:textId="716763C6" w:rsidR="003B738A" w:rsidRPr="00B87BC3" w:rsidRDefault="003B738A" w:rsidP="002403B3">
            <w:pPr>
              <w:pStyle w:val="BodyText"/>
              <w:spacing w:line="276" w:lineRule="auto"/>
              <w:jc w:val="both"/>
              <w:rPr>
                <w:sz w:val="22"/>
                <w:szCs w:val="22"/>
              </w:rPr>
            </w:pPr>
            <w:r>
              <w:rPr>
                <w:b/>
                <w:bCs/>
                <w:sz w:val="22"/>
                <w:szCs w:val="22"/>
              </w:rPr>
              <w:t>Musculoskeletal and connective tissue</w:t>
            </w:r>
          </w:p>
        </w:tc>
      </w:tr>
      <w:tr w:rsidR="00253EBF" w:rsidRPr="00B87BC3" w14:paraId="18894E74" w14:textId="77777777" w:rsidTr="00C47869">
        <w:tc>
          <w:tcPr>
            <w:tcW w:w="3505" w:type="dxa"/>
          </w:tcPr>
          <w:p w14:paraId="41DDA9C3" w14:textId="266B99B1" w:rsidR="00253EBF" w:rsidRPr="00B87BC3" w:rsidRDefault="003B738A" w:rsidP="002403B3">
            <w:pPr>
              <w:pStyle w:val="BodyText"/>
              <w:spacing w:line="276" w:lineRule="auto"/>
              <w:jc w:val="both"/>
              <w:rPr>
                <w:bCs/>
                <w:sz w:val="22"/>
                <w:szCs w:val="22"/>
              </w:rPr>
            </w:pPr>
            <w:r>
              <w:rPr>
                <w:bCs/>
                <w:sz w:val="22"/>
                <w:szCs w:val="22"/>
              </w:rPr>
              <w:t xml:space="preserve">Musculoskeletal </w:t>
            </w:r>
            <w:proofErr w:type="spellStart"/>
            <w:r>
              <w:rPr>
                <w:bCs/>
                <w:sz w:val="22"/>
                <w:szCs w:val="22"/>
              </w:rPr>
              <w:t>pain</w:t>
            </w:r>
            <w:r w:rsidR="006B36FD" w:rsidRPr="00C47869">
              <w:rPr>
                <w:bCs/>
                <w:sz w:val="22"/>
                <w:szCs w:val="22"/>
                <w:vertAlign w:val="superscript"/>
              </w:rPr>
              <w:t>k</w:t>
            </w:r>
            <w:proofErr w:type="spellEnd"/>
          </w:p>
        </w:tc>
        <w:tc>
          <w:tcPr>
            <w:tcW w:w="2790" w:type="dxa"/>
          </w:tcPr>
          <w:p w14:paraId="6FC665FE" w14:textId="08F3F166" w:rsidR="00253EBF" w:rsidRPr="00B87BC3" w:rsidRDefault="00205831" w:rsidP="002403B3">
            <w:pPr>
              <w:pStyle w:val="BodyText"/>
              <w:spacing w:line="276" w:lineRule="auto"/>
              <w:jc w:val="both"/>
              <w:rPr>
                <w:sz w:val="22"/>
                <w:szCs w:val="22"/>
              </w:rPr>
            </w:pPr>
            <w:r>
              <w:rPr>
                <w:sz w:val="22"/>
                <w:szCs w:val="22"/>
              </w:rPr>
              <w:t>22</w:t>
            </w:r>
          </w:p>
        </w:tc>
        <w:tc>
          <w:tcPr>
            <w:tcW w:w="2700" w:type="dxa"/>
          </w:tcPr>
          <w:p w14:paraId="2943BE68" w14:textId="11807E38" w:rsidR="00253EBF" w:rsidRPr="00B87BC3" w:rsidRDefault="00205831" w:rsidP="002403B3">
            <w:pPr>
              <w:pStyle w:val="BodyText"/>
              <w:spacing w:line="276" w:lineRule="auto"/>
              <w:jc w:val="both"/>
              <w:rPr>
                <w:sz w:val="22"/>
                <w:szCs w:val="22"/>
              </w:rPr>
            </w:pPr>
            <w:r>
              <w:rPr>
                <w:sz w:val="22"/>
                <w:szCs w:val="22"/>
              </w:rPr>
              <w:t>4</w:t>
            </w:r>
          </w:p>
        </w:tc>
      </w:tr>
      <w:tr w:rsidR="00253EBF" w:rsidRPr="00B87BC3" w14:paraId="1758495A" w14:textId="77777777" w:rsidTr="00C47869">
        <w:tc>
          <w:tcPr>
            <w:tcW w:w="3505" w:type="dxa"/>
          </w:tcPr>
          <w:p w14:paraId="66937B93" w14:textId="0976EB9C" w:rsidR="00253EBF" w:rsidRPr="00B87BC3" w:rsidRDefault="006B36FD" w:rsidP="002403B3">
            <w:pPr>
              <w:pStyle w:val="BodyText"/>
              <w:spacing w:line="276" w:lineRule="auto"/>
              <w:jc w:val="both"/>
              <w:rPr>
                <w:b/>
                <w:bCs/>
                <w:sz w:val="22"/>
                <w:szCs w:val="22"/>
              </w:rPr>
            </w:pPr>
            <w:r>
              <w:rPr>
                <w:bCs/>
                <w:sz w:val="22"/>
                <w:szCs w:val="22"/>
              </w:rPr>
              <w:t>Muscle spasm</w:t>
            </w:r>
          </w:p>
        </w:tc>
        <w:tc>
          <w:tcPr>
            <w:tcW w:w="2790" w:type="dxa"/>
          </w:tcPr>
          <w:p w14:paraId="42F8A286" w14:textId="32397B2B" w:rsidR="00253EBF" w:rsidRPr="00B87BC3" w:rsidRDefault="00205831" w:rsidP="002403B3">
            <w:pPr>
              <w:pStyle w:val="BodyText"/>
              <w:spacing w:line="276" w:lineRule="auto"/>
              <w:jc w:val="both"/>
              <w:rPr>
                <w:sz w:val="22"/>
                <w:szCs w:val="22"/>
              </w:rPr>
            </w:pPr>
            <w:r>
              <w:rPr>
                <w:sz w:val="22"/>
                <w:szCs w:val="22"/>
              </w:rPr>
              <w:t>17</w:t>
            </w:r>
          </w:p>
        </w:tc>
        <w:tc>
          <w:tcPr>
            <w:tcW w:w="2700" w:type="dxa"/>
          </w:tcPr>
          <w:p w14:paraId="577FCCA3" w14:textId="6236DCA3" w:rsidR="00253EBF" w:rsidRPr="00B87BC3" w:rsidRDefault="00205831" w:rsidP="002403B3">
            <w:pPr>
              <w:pStyle w:val="BodyText"/>
              <w:spacing w:line="276" w:lineRule="auto"/>
              <w:jc w:val="both"/>
              <w:rPr>
                <w:sz w:val="22"/>
                <w:szCs w:val="22"/>
              </w:rPr>
            </w:pPr>
            <w:r>
              <w:rPr>
                <w:sz w:val="22"/>
                <w:szCs w:val="22"/>
              </w:rPr>
              <w:t>0</w:t>
            </w:r>
          </w:p>
        </w:tc>
      </w:tr>
      <w:tr w:rsidR="00253EBF" w:rsidRPr="00B87BC3" w14:paraId="02609607" w14:textId="77777777" w:rsidTr="00C47869">
        <w:tc>
          <w:tcPr>
            <w:tcW w:w="3505" w:type="dxa"/>
          </w:tcPr>
          <w:p w14:paraId="24C7F5BB" w14:textId="6DBB4602" w:rsidR="00253EBF" w:rsidRPr="00B87BC3" w:rsidRDefault="006B36FD" w:rsidP="002403B3">
            <w:pPr>
              <w:pStyle w:val="BodyText"/>
              <w:spacing w:line="276" w:lineRule="auto"/>
              <w:jc w:val="both"/>
              <w:rPr>
                <w:bCs/>
                <w:sz w:val="22"/>
                <w:szCs w:val="22"/>
              </w:rPr>
            </w:pPr>
            <w:r>
              <w:rPr>
                <w:bCs/>
                <w:sz w:val="22"/>
                <w:szCs w:val="22"/>
              </w:rPr>
              <w:t>A</w:t>
            </w:r>
            <w:r w:rsidR="008E2EDA">
              <w:rPr>
                <w:bCs/>
                <w:sz w:val="22"/>
                <w:szCs w:val="22"/>
              </w:rPr>
              <w:t>rthralgia</w:t>
            </w:r>
          </w:p>
        </w:tc>
        <w:tc>
          <w:tcPr>
            <w:tcW w:w="2790" w:type="dxa"/>
          </w:tcPr>
          <w:p w14:paraId="262AD217" w14:textId="4479B10A" w:rsidR="00253EBF" w:rsidRPr="00B87BC3" w:rsidRDefault="00205831" w:rsidP="002403B3">
            <w:pPr>
              <w:pStyle w:val="BodyText"/>
              <w:spacing w:line="276" w:lineRule="auto"/>
              <w:jc w:val="both"/>
              <w:rPr>
                <w:sz w:val="22"/>
                <w:szCs w:val="22"/>
              </w:rPr>
            </w:pPr>
            <w:r>
              <w:rPr>
                <w:sz w:val="22"/>
                <w:szCs w:val="22"/>
              </w:rPr>
              <w:t>15</w:t>
            </w:r>
          </w:p>
        </w:tc>
        <w:tc>
          <w:tcPr>
            <w:tcW w:w="2700" w:type="dxa"/>
          </w:tcPr>
          <w:p w14:paraId="53CA76F3" w14:textId="0B899F48" w:rsidR="00253EBF" w:rsidRPr="00B87BC3" w:rsidRDefault="00205831" w:rsidP="002403B3">
            <w:pPr>
              <w:pStyle w:val="BodyText"/>
              <w:spacing w:line="276" w:lineRule="auto"/>
              <w:jc w:val="both"/>
              <w:rPr>
                <w:sz w:val="22"/>
                <w:szCs w:val="22"/>
              </w:rPr>
            </w:pPr>
            <w:r>
              <w:rPr>
                <w:sz w:val="22"/>
                <w:szCs w:val="22"/>
              </w:rPr>
              <w:t>2</w:t>
            </w:r>
          </w:p>
        </w:tc>
      </w:tr>
      <w:tr w:rsidR="008E2EDA" w:rsidRPr="00B87BC3" w14:paraId="6401A58D" w14:textId="77777777" w:rsidTr="000B3794">
        <w:tc>
          <w:tcPr>
            <w:tcW w:w="8995" w:type="dxa"/>
            <w:gridSpan w:val="3"/>
          </w:tcPr>
          <w:p w14:paraId="63AE149B" w14:textId="5AF0D801" w:rsidR="008E2EDA" w:rsidRPr="00B87BC3" w:rsidRDefault="00A16F6D" w:rsidP="002403B3">
            <w:pPr>
              <w:pStyle w:val="BodyText"/>
              <w:spacing w:line="276" w:lineRule="auto"/>
              <w:jc w:val="both"/>
              <w:rPr>
                <w:sz w:val="22"/>
                <w:szCs w:val="22"/>
              </w:rPr>
            </w:pPr>
            <w:r>
              <w:rPr>
                <w:b/>
                <w:sz w:val="22"/>
                <w:szCs w:val="22"/>
              </w:rPr>
              <w:t>Nervous system</w:t>
            </w:r>
          </w:p>
        </w:tc>
      </w:tr>
      <w:tr w:rsidR="008E2EDA" w:rsidRPr="00B87BC3" w14:paraId="4F5CFDCF" w14:textId="77777777" w:rsidTr="00A76554">
        <w:tc>
          <w:tcPr>
            <w:tcW w:w="3505" w:type="dxa"/>
          </w:tcPr>
          <w:p w14:paraId="30CA1572" w14:textId="312A5176" w:rsidR="008E2EDA" w:rsidRPr="00B87BC3" w:rsidDel="00BC59A4" w:rsidRDefault="00A16F6D" w:rsidP="002403B3">
            <w:pPr>
              <w:pStyle w:val="BodyText"/>
              <w:spacing w:line="276" w:lineRule="auto"/>
              <w:jc w:val="both"/>
              <w:rPr>
                <w:bCs/>
                <w:sz w:val="22"/>
                <w:szCs w:val="22"/>
              </w:rPr>
            </w:pPr>
            <w:proofErr w:type="spellStart"/>
            <w:r>
              <w:rPr>
                <w:bCs/>
                <w:sz w:val="22"/>
                <w:szCs w:val="22"/>
              </w:rPr>
              <w:t>Headache</w:t>
            </w:r>
            <w:r w:rsidRPr="00C47869">
              <w:rPr>
                <w:bCs/>
                <w:sz w:val="22"/>
                <w:szCs w:val="22"/>
                <w:vertAlign w:val="superscript"/>
              </w:rPr>
              <w:t>l</w:t>
            </w:r>
            <w:proofErr w:type="spellEnd"/>
          </w:p>
        </w:tc>
        <w:tc>
          <w:tcPr>
            <w:tcW w:w="2790" w:type="dxa"/>
          </w:tcPr>
          <w:p w14:paraId="53A58769" w14:textId="2B5FA9C8" w:rsidR="008E2EDA" w:rsidRPr="00B87BC3" w:rsidDel="00BC59A4" w:rsidRDefault="00205831" w:rsidP="002403B3">
            <w:pPr>
              <w:pStyle w:val="BodyText"/>
              <w:spacing w:line="276" w:lineRule="auto"/>
              <w:jc w:val="both"/>
              <w:rPr>
                <w:sz w:val="22"/>
                <w:szCs w:val="22"/>
              </w:rPr>
            </w:pPr>
            <w:r>
              <w:rPr>
                <w:sz w:val="22"/>
                <w:szCs w:val="22"/>
              </w:rPr>
              <w:t>21</w:t>
            </w:r>
          </w:p>
        </w:tc>
        <w:tc>
          <w:tcPr>
            <w:tcW w:w="2700" w:type="dxa"/>
          </w:tcPr>
          <w:p w14:paraId="1048AE8C" w14:textId="10013686" w:rsidR="008E2EDA" w:rsidRPr="00B87BC3" w:rsidDel="00BC59A4" w:rsidRDefault="00205831" w:rsidP="002403B3">
            <w:pPr>
              <w:pStyle w:val="BodyText"/>
              <w:spacing w:line="276" w:lineRule="auto"/>
              <w:jc w:val="both"/>
              <w:rPr>
                <w:sz w:val="22"/>
                <w:szCs w:val="22"/>
              </w:rPr>
            </w:pPr>
            <w:r>
              <w:rPr>
                <w:sz w:val="22"/>
                <w:szCs w:val="22"/>
              </w:rPr>
              <w:t>0</w:t>
            </w:r>
          </w:p>
        </w:tc>
      </w:tr>
      <w:tr w:rsidR="00A16F6D" w:rsidRPr="00B87BC3" w14:paraId="28D71C51" w14:textId="77777777" w:rsidTr="000B3794">
        <w:tc>
          <w:tcPr>
            <w:tcW w:w="8995" w:type="dxa"/>
            <w:gridSpan w:val="3"/>
          </w:tcPr>
          <w:p w14:paraId="05A8692A" w14:textId="0D5AC518" w:rsidR="00A16F6D" w:rsidRPr="00C47869" w:rsidDel="00BC59A4" w:rsidRDefault="00326CF2" w:rsidP="002403B3">
            <w:pPr>
              <w:pStyle w:val="BodyText"/>
              <w:spacing w:line="276" w:lineRule="auto"/>
              <w:jc w:val="both"/>
              <w:rPr>
                <w:b/>
                <w:bCs/>
                <w:sz w:val="22"/>
                <w:szCs w:val="22"/>
              </w:rPr>
            </w:pPr>
            <w:r>
              <w:rPr>
                <w:b/>
                <w:bCs/>
                <w:sz w:val="22"/>
                <w:szCs w:val="22"/>
              </w:rPr>
              <w:lastRenderedPageBreak/>
              <w:t>Metabolism and nutrition</w:t>
            </w:r>
          </w:p>
        </w:tc>
      </w:tr>
      <w:tr w:rsidR="008E2EDA" w:rsidRPr="00B87BC3" w14:paraId="0F467CBA" w14:textId="77777777" w:rsidTr="00A76554">
        <w:tc>
          <w:tcPr>
            <w:tcW w:w="3505" w:type="dxa"/>
          </w:tcPr>
          <w:p w14:paraId="0E16AC1D" w14:textId="21ACD12F" w:rsidR="008E2EDA" w:rsidRPr="00B87BC3" w:rsidDel="00BC59A4" w:rsidRDefault="00E065D0" w:rsidP="002403B3">
            <w:pPr>
              <w:pStyle w:val="BodyText"/>
              <w:spacing w:line="276" w:lineRule="auto"/>
              <w:jc w:val="both"/>
              <w:rPr>
                <w:bCs/>
                <w:sz w:val="22"/>
                <w:szCs w:val="22"/>
              </w:rPr>
            </w:pPr>
            <w:r>
              <w:rPr>
                <w:bCs/>
                <w:sz w:val="22"/>
                <w:szCs w:val="22"/>
              </w:rPr>
              <w:t>Decreased appetite</w:t>
            </w:r>
          </w:p>
        </w:tc>
        <w:tc>
          <w:tcPr>
            <w:tcW w:w="2790" w:type="dxa"/>
          </w:tcPr>
          <w:p w14:paraId="16D59820" w14:textId="7BE92F75" w:rsidR="008E2EDA" w:rsidRPr="00B87BC3" w:rsidDel="00BC59A4" w:rsidRDefault="00B95F42" w:rsidP="002403B3">
            <w:pPr>
              <w:pStyle w:val="BodyText"/>
              <w:spacing w:line="276" w:lineRule="auto"/>
              <w:jc w:val="both"/>
              <w:rPr>
                <w:sz w:val="22"/>
                <w:szCs w:val="22"/>
              </w:rPr>
            </w:pPr>
            <w:r>
              <w:rPr>
                <w:sz w:val="22"/>
                <w:szCs w:val="22"/>
              </w:rPr>
              <w:t>17</w:t>
            </w:r>
          </w:p>
        </w:tc>
        <w:tc>
          <w:tcPr>
            <w:tcW w:w="2700" w:type="dxa"/>
          </w:tcPr>
          <w:p w14:paraId="1B39B0F6" w14:textId="3BCE8AC6" w:rsidR="008E2EDA" w:rsidRPr="00B87BC3" w:rsidDel="00BC59A4" w:rsidRDefault="00B95F42" w:rsidP="002403B3">
            <w:pPr>
              <w:pStyle w:val="BodyText"/>
              <w:spacing w:line="276" w:lineRule="auto"/>
              <w:jc w:val="both"/>
              <w:rPr>
                <w:sz w:val="22"/>
                <w:szCs w:val="22"/>
              </w:rPr>
            </w:pPr>
            <w:r>
              <w:rPr>
                <w:sz w:val="22"/>
                <w:szCs w:val="22"/>
              </w:rPr>
              <w:t>1</w:t>
            </w:r>
          </w:p>
        </w:tc>
      </w:tr>
      <w:tr w:rsidR="00E065D0" w:rsidRPr="00B87BC3" w14:paraId="401D405B" w14:textId="77777777" w:rsidTr="000B3794">
        <w:tc>
          <w:tcPr>
            <w:tcW w:w="8995" w:type="dxa"/>
            <w:gridSpan w:val="3"/>
          </w:tcPr>
          <w:p w14:paraId="1127D4D9" w14:textId="661306FC" w:rsidR="00E065D0" w:rsidRPr="00C47869" w:rsidDel="00BC59A4" w:rsidRDefault="00E065D0" w:rsidP="002403B3">
            <w:pPr>
              <w:pStyle w:val="BodyText"/>
              <w:spacing w:line="276" w:lineRule="auto"/>
              <w:jc w:val="both"/>
              <w:rPr>
                <w:b/>
                <w:bCs/>
                <w:sz w:val="22"/>
                <w:szCs w:val="22"/>
              </w:rPr>
            </w:pPr>
            <w:r>
              <w:rPr>
                <w:b/>
                <w:bCs/>
                <w:sz w:val="22"/>
                <w:szCs w:val="22"/>
              </w:rPr>
              <w:t>Skin and subcutaneous</w:t>
            </w:r>
          </w:p>
        </w:tc>
      </w:tr>
      <w:tr w:rsidR="008E2EDA" w:rsidRPr="00B87BC3" w14:paraId="45C0FABC" w14:textId="77777777" w:rsidTr="00A76554">
        <w:tc>
          <w:tcPr>
            <w:tcW w:w="3505" w:type="dxa"/>
          </w:tcPr>
          <w:p w14:paraId="3AC3C21F" w14:textId="23928551" w:rsidR="008E2EDA" w:rsidRPr="00B87BC3" w:rsidDel="00BC59A4" w:rsidRDefault="006C4688" w:rsidP="002403B3">
            <w:pPr>
              <w:pStyle w:val="BodyText"/>
              <w:spacing w:line="276" w:lineRule="auto"/>
              <w:jc w:val="both"/>
              <w:rPr>
                <w:bCs/>
                <w:sz w:val="22"/>
                <w:szCs w:val="22"/>
              </w:rPr>
            </w:pPr>
            <w:proofErr w:type="spellStart"/>
            <w:r>
              <w:rPr>
                <w:bCs/>
                <w:sz w:val="22"/>
                <w:szCs w:val="22"/>
              </w:rPr>
              <w:t>Rash</w:t>
            </w:r>
            <w:r w:rsidRPr="00C47869">
              <w:rPr>
                <w:bCs/>
                <w:sz w:val="22"/>
                <w:szCs w:val="22"/>
                <w:vertAlign w:val="superscript"/>
              </w:rPr>
              <w:t>m</w:t>
            </w:r>
            <w:proofErr w:type="spellEnd"/>
          </w:p>
        </w:tc>
        <w:tc>
          <w:tcPr>
            <w:tcW w:w="2790" w:type="dxa"/>
          </w:tcPr>
          <w:p w14:paraId="02FAEB18" w14:textId="2EE5D392" w:rsidR="008E2EDA" w:rsidRPr="00B87BC3" w:rsidDel="00BC59A4" w:rsidRDefault="00B95F42" w:rsidP="002403B3">
            <w:pPr>
              <w:pStyle w:val="BodyText"/>
              <w:spacing w:line="276" w:lineRule="auto"/>
              <w:jc w:val="both"/>
              <w:rPr>
                <w:sz w:val="22"/>
                <w:szCs w:val="22"/>
              </w:rPr>
            </w:pPr>
            <w:r>
              <w:rPr>
                <w:sz w:val="22"/>
                <w:szCs w:val="22"/>
              </w:rPr>
              <w:t>12</w:t>
            </w:r>
          </w:p>
        </w:tc>
        <w:tc>
          <w:tcPr>
            <w:tcW w:w="2700" w:type="dxa"/>
          </w:tcPr>
          <w:p w14:paraId="6F19A44C" w14:textId="41F24A33" w:rsidR="008E2EDA" w:rsidRPr="00B87BC3" w:rsidDel="00BC59A4" w:rsidRDefault="00B95F42" w:rsidP="002403B3">
            <w:pPr>
              <w:pStyle w:val="BodyText"/>
              <w:spacing w:line="276" w:lineRule="auto"/>
              <w:jc w:val="both"/>
              <w:rPr>
                <w:sz w:val="22"/>
                <w:szCs w:val="22"/>
              </w:rPr>
            </w:pPr>
            <w:r>
              <w:rPr>
                <w:sz w:val="22"/>
                <w:szCs w:val="22"/>
              </w:rPr>
              <w:t>0</w:t>
            </w:r>
          </w:p>
        </w:tc>
      </w:tr>
      <w:tr w:rsidR="00E065D0" w:rsidRPr="00B87BC3" w14:paraId="10907D65" w14:textId="77777777" w:rsidTr="00A76554">
        <w:tc>
          <w:tcPr>
            <w:tcW w:w="3505" w:type="dxa"/>
          </w:tcPr>
          <w:p w14:paraId="5E0CBFFA" w14:textId="3B18878F" w:rsidR="00E065D0" w:rsidRPr="00B87BC3" w:rsidDel="00BC59A4" w:rsidRDefault="006C4688" w:rsidP="002403B3">
            <w:pPr>
              <w:pStyle w:val="BodyText"/>
              <w:spacing w:line="276" w:lineRule="auto"/>
              <w:jc w:val="both"/>
              <w:rPr>
                <w:bCs/>
                <w:sz w:val="22"/>
                <w:szCs w:val="22"/>
              </w:rPr>
            </w:pPr>
            <w:proofErr w:type="spellStart"/>
            <w:r>
              <w:rPr>
                <w:bCs/>
                <w:sz w:val="22"/>
                <w:szCs w:val="22"/>
              </w:rPr>
              <w:t>Pruritus</w:t>
            </w:r>
            <w:r w:rsidRPr="00C47869">
              <w:rPr>
                <w:bCs/>
                <w:sz w:val="22"/>
                <w:szCs w:val="22"/>
                <w:vertAlign w:val="superscript"/>
              </w:rPr>
              <w:t>n</w:t>
            </w:r>
            <w:proofErr w:type="spellEnd"/>
          </w:p>
        </w:tc>
        <w:tc>
          <w:tcPr>
            <w:tcW w:w="2790" w:type="dxa"/>
          </w:tcPr>
          <w:p w14:paraId="2A2DD1EF" w14:textId="5C5ACE15" w:rsidR="00E065D0" w:rsidRPr="00B87BC3" w:rsidDel="00BC59A4" w:rsidRDefault="00B95F42" w:rsidP="002403B3">
            <w:pPr>
              <w:pStyle w:val="BodyText"/>
              <w:spacing w:line="276" w:lineRule="auto"/>
              <w:jc w:val="both"/>
              <w:rPr>
                <w:sz w:val="22"/>
                <w:szCs w:val="22"/>
              </w:rPr>
            </w:pPr>
            <w:r>
              <w:rPr>
                <w:sz w:val="22"/>
                <w:szCs w:val="22"/>
              </w:rPr>
              <w:t>11</w:t>
            </w:r>
          </w:p>
        </w:tc>
        <w:tc>
          <w:tcPr>
            <w:tcW w:w="2700" w:type="dxa"/>
          </w:tcPr>
          <w:p w14:paraId="3ADB77D2" w14:textId="22A0ECEC" w:rsidR="00E065D0" w:rsidRPr="00B87BC3" w:rsidDel="00BC59A4" w:rsidRDefault="00B95F42" w:rsidP="002403B3">
            <w:pPr>
              <w:pStyle w:val="BodyText"/>
              <w:spacing w:line="276" w:lineRule="auto"/>
              <w:jc w:val="both"/>
              <w:rPr>
                <w:sz w:val="22"/>
                <w:szCs w:val="22"/>
              </w:rPr>
            </w:pPr>
            <w:r>
              <w:rPr>
                <w:sz w:val="22"/>
                <w:szCs w:val="22"/>
              </w:rPr>
              <w:t>0</w:t>
            </w:r>
          </w:p>
        </w:tc>
      </w:tr>
    </w:tbl>
    <w:tbl>
      <w:tblPr>
        <w:tblW w:w="9576" w:type="dxa"/>
        <w:tblInd w:w="-108" w:type="dxa"/>
        <w:tblBorders>
          <w:top w:val="nil"/>
          <w:left w:val="nil"/>
          <w:bottom w:val="nil"/>
          <w:right w:val="nil"/>
        </w:tblBorders>
        <w:tblLayout w:type="fixed"/>
        <w:tblLook w:val="0000" w:firstRow="0" w:lastRow="0" w:firstColumn="0" w:lastColumn="0" w:noHBand="0" w:noVBand="0"/>
      </w:tblPr>
      <w:tblGrid>
        <w:gridCol w:w="9576"/>
      </w:tblGrid>
      <w:tr w:rsidR="001C2D11" w14:paraId="1C99E9AD" w14:textId="77777777" w:rsidTr="001C2D11">
        <w:trPr>
          <w:trHeight w:val="2144"/>
        </w:trPr>
        <w:tc>
          <w:tcPr>
            <w:tcW w:w="9576" w:type="dxa"/>
          </w:tcPr>
          <w:p w14:paraId="5B259C57" w14:textId="77777777" w:rsidR="001C2D11" w:rsidRPr="00A76554" w:rsidRDefault="001C2D11" w:rsidP="002403B3">
            <w:pPr>
              <w:pStyle w:val="Default"/>
              <w:spacing w:line="276" w:lineRule="auto"/>
              <w:jc w:val="both"/>
              <w:rPr>
                <w:sz w:val="18"/>
                <w:szCs w:val="18"/>
              </w:rPr>
            </w:pPr>
            <w:proofErr w:type="spellStart"/>
            <w:proofErr w:type="gramStart"/>
            <w:r w:rsidRPr="00C47869">
              <w:rPr>
                <w:sz w:val="18"/>
                <w:szCs w:val="18"/>
                <w:vertAlign w:val="superscript"/>
              </w:rPr>
              <w:t>a</w:t>
            </w:r>
            <w:proofErr w:type="spellEnd"/>
            <w:proofErr w:type="gramEnd"/>
            <w:r w:rsidRPr="00C47869">
              <w:rPr>
                <w:sz w:val="18"/>
                <w:szCs w:val="18"/>
              </w:rPr>
              <w:t xml:space="preserve"> </w:t>
            </w:r>
            <w:r w:rsidRPr="00452EF7">
              <w:rPr>
                <w:sz w:val="18"/>
                <w:szCs w:val="18"/>
              </w:rPr>
              <w:t>infection with an unspecified pathogen includes acute sinusitis, device related infection, ear infection, folliculitis, gastroenteritis, gastrointestinal infection, hordeolum, infectious colitis, lung infection, skin infection, tooth infection, urinary tract infection, wound infection, upper respiratory</w:t>
            </w:r>
            <w:r w:rsidRPr="00A76554">
              <w:rPr>
                <w:sz w:val="18"/>
                <w:szCs w:val="18"/>
              </w:rPr>
              <w:t xml:space="preserve"> tract infection, pneumonia, conjunctivitis, sinusitis, respiratory tract infection, bronchitis, sepsis, septic shock. </w:t>
            </w:r>
          </w:p>
          <w:p w14:paraId="4CEBAD7E" w14:textId="77777777" w:rsidR="001C2D11" w:rsidRPr="00763921" w:rsidRDefault="001C2D11" w:rsidP="002403B3">
            <w:pPr>
              <w:pStyle w:val="Default"/>
              <w:spacing w:line="276" w:lineRule="auto"/>
              <w:jc w:val="both"/>
              <w:rPr>
                <w:sz w:val="18"/>
                <w:szCs w:val="18"/>
              </w:rPr>
            </w:pPr>
            <w:r w:rsidRPr="00C47869">
              <w:rPr>
                <w:sz w:val="18"/>
                <w:szCs w:val="18"/>
                <w:vertAlign w:val="superscript"/>
              </w:rPr>
              <w:t>b</w:t>
            </w:r>
            <w:r w:rsidRPr="00C47869">
              <w:rPr>
                <w:sz w:val="18"/>
                <w:szCs w:val="18"/>
              </w:rPr>
              <w:t xml:space="preserve"> </w:t>
            </w:r>
            <w:r w:rsidRPr="00452EF7">
              <w:rPr>
                <w:sz w:val="18"/>
                <w:szCs w:val="18"/>
              </w:rPr>
              <w:t>includes influenza, rhinovirus infection, gastroenteritis viral, viral upper respiratory tract infection, bronchitis viral, Epstein-Ba</w:t>
            </w:r>
            <w:r w:rsidRPr="00763921">
              <w:rPr>
                <w:sz w:val="18"/>
                <w:szCs w:val="18"/>
              </w:rPr>
              <w:t xml:space="preserve">rr viremia, Epstein-Barr virus infection, </w:t>
            </w:r>
            <w:proofErr w:type="spellStart"/>
            <w:r w:rsidRPr="00763921">
              <w:rPr>
                <w:sz w:val="18"/>
                <w:szCs w:val="18"/>
              </w:rPr>
              <w:t>parainfluenzae</w:t>
            </w:r>
            <w:proofErr w:type="spellEnd"/>
            <w:r w:rsidRPr="00763921">
              <w:rPr>
                <w:sz w:val="18"/>
                <w:szCs w:val="18"/>
              </w:rPr>
              <w:t xml:space="preserve"> virus infection, Varicella zoster virus infection, viral infection. </w:t>
            </w:r>
          </w:p>
          <w:p w14:paraId="086B863B" w14:textId="77777777" w:rsidR="001C2D11" w:rsidRPr="00452EF7" w:rsidRDefault="001C2D11" w:rsidP="002403B3">
            <w:pPr>
              <w:pStyle w:val="Default"/>
              <w:spacing w:line="276" w:lineRule="auto"/>
              <w:jc w:val="both"/>
              <w:rPr>
                <w:sz w:val="18"/>
                <w:szCs w:val="18"/>
              </w:rPr>
            </w:pPr>
            <w:r w:rsidRPr="00C47869">
              <w:rPr>
                <w:sz w:val="18"/>
                <w:szCs w:val="18"/>
                <w:vertAlign w:val="superscript"/>
              </w:rPr>
              <w:t>c</w:t>
            </w:r>
            <w:r w:rsidRPr="00C47869">
              <w:rPr>
                <w:sz w:val="18"/>
                <w:szCs w:val="18"/>
              </w:rPr>
              <w:t xml:space="preserve"> </w:t>
            </w:r>
            <w:r w:rsidRPr="00452EF7">
              <w:rPr>
                <w:sz w:val="18"/>
                <w:szCs w:val="18"/>
              </w:rPr>
              <w:t xml:space="preserve">includes cellulitis, Helicobacter infection, Staphylococcal bacteremia, catheter site cellulitis, Clostridium difficile colitis, Escherichia urinary tract infection, gastroenteritis Escherichia coli, Pseudomonas infection, urinary tract infection bacterial. </w:t>
            </w:r>
          </w:p>
          <w:p w14:paraId="2009358A" w14:textId="77777777" w:rsidR="001C2D11" w:rsidRPr="00C47869" w:rsidRDefault="001C2D11" w:rsidP="002403B3">
            <w:pPr>
              <w:pStyle w:val="Default"/>
              <w:spacing w:line="276" w:lineRule="auto"/>
              <w:jc w:val="both"/>
              <w:rPr>
                <w:sz w:val="18"/>
                <w:szCs w:val="18"/>
              </w:rPr>
            </w:pPr>
            <w:r w:rsidRPr="00C47869">
              <w:rPr>
                <w:sz w:val="18"/>
                <w:szCs w:val="18"/>
                <w:vertAlign w:val="superscript"/>
              </w:rPr>
              <w:t>d</w:t>
            </w:r>
            <w:r w:rsidRPr="00C47869">
              <w:rPr>
                <w:sz w:val="18"/>
                <w:szCs w:val="18"/>
              </w:rPr>
              <w:t xml:space="preserve"> includes fatigue, asthenia, malaise. </w:t>
            </w:r>
          </w:p>
          <w:p w14:paraId="1C57BA23" w14:textId="77777777" w:rsidR="001C2D11" w:rsidRPr="00C47869" w:rsidRDefault="001C2D11" w:rsidP="002403B3">
            <w:pPr>
              <w:pStyle w:val="Default"/>
              <w:spacing w:line="276" w:lineRule="auto"/>
              <w:jc w:val="both"/>
              <w:rPr>
                <w:sz w:val="18"/>
                <w:szCs w:val="18"/>
              </w:rPr>
            </w:pPr>
            <w:r w:rsidRPr="00C47869">
              <w:rPr>
                <w:sz w:val="18"/>
                <w:szCs w:val="18"/>
                <w:vertAlign w:val="superscript"/>
              </w:rPr>
              <w:t>e</w:t>
            </w:r>
            <w:r w:rsidRPr="00C47869">
              <w:rPr>
                <w:sz w:val="18"/>
                <w:szCs w:val="18"/>
              </w:rPr>
              <w:t xml:space="preserve"> includes edema peripheral, generalized edema, face edema, localized edema, edema. </w:t>
            </w:r>
          </w:p>
          <w:p w14:paraId="6C8CA3BC" w14:textId="77777777" w:rsidR="001C2D11" w:rsidRPr="00C47869" w:rsidRDefault="001C2D11" w:rsidP="002403B3">
            <w:pPr>
              <w:pStyle w:val="Default"/>
              <w:spacing w:line="276" w:lineRule="auto"/>
              <w:jc w:val="both"/>
              <w:rPr>
                <w:sz w:val="18"/>
                <w:szCs w:val="18"/>
              </w:rPr>
            </w:pPr>
            <w:r w:rsidRPr="00C47869">
              <w:rPr>
                <w:sz w:val="18"/>
                <w:szCs w:val="18"/>
                <w:vertAlign w:val="superscript"/>
              </w:rPr>
              <w:t>f</w:t>
            </w:r>
            <w:r w:rsidRPr="00C47869">
              <w:rPr>
                <w:sz w:val="18"/>
                <w:szCs w:val="18"/>
              </w:rPr>
              <w:t xml:space="preserve"> includes nausea, vomiting. </w:t>
            </w:r>
          </w:p>
          <w:p w14:paraId="6A724706" w14:textId="77777777" w:rsidR="001C2D11" w:rsidRPr="00C47869" w:rsidRDefault="001C2D11" w:rsidP="002403B3">
            <w:pPr>
              <w:pStyle w:val="Default"/>
              <w:spacing w:line="276" w:lineRule="auto"/>
              <w:jc w:val="both"/>
              <w:rPr>
                <w:sz w:val="18"/>
                <w:szCs w:val="18"/>
              </w:rPr>
            </w:pPr>
            <w:r w:rsidRPr="00C47869">
              <w:rPr>
                <w:sz w:val="18"/>
                <w:szCs w:val="18"/>
                <w:vertAlign w:val="superscript"/>
              </w:rPr>
              <w:t>g</w:t>
            </w:r>
            <w:r w:rsidRPr="00C47869">
              <w:rPr>
                <w:sz w:val="18"/>
                <w:szCs w:val="18"/>
              </w:rPr>
              <w:t xml:space="preserve"> includes abdominal pain, abdominal pain upper, abdominal pain lower. </w:t>
            </w:r>
          </w:p>
          <w:p w14:paraId="3D1BA864" w14:textId="77777777" w:rsidR="001C2D11" w:rsidRPr="00C47869" w:rsidRDefault="001C2D11" w:rsidP="002403B3">
            <w:pPr>
              <w:pStyle w:val="Default"/>
              <w:spacing w:line="276" w:lineRule="auto"/>
              <w:jc w:val="both"/>
              <w:rPr>
                <w:sz w:val="18"/>
                <w:szCs w:val="18"/>
              </w:rPr>
            </w:pPr>
            <w:r w:rsidRPr="00C47869">
              <w:rPr>
                <w:sz w:val="18"/>
                <w:szCs w:val="18"/>
                <w:vertAlign w:val="superscript"/>
              </w:rPr>
              <w:t>h</w:t>
            </w:r>
            <w:r w:rsidRPr="00C47869">
              <w:rPr>
                <w:sz w:val="18"/>
                <w:szCs w:val="18"/>
              </w:rPr>
              <w:t xml:space="preserve"> includes dyspnea, dyspnea exertional, apnea, orthopnea, sleep apnea syndrome. </w:t>
            </w:r>
          </w:p>
          <w:p w14:paraId="6917DDCA" w14:textId="77777777" w:rsidR="001C2D11" w:rsidRPr="00C47869" w:rsidRDefault="001C2D11" w:rsidP="002403B3">
            <w:pPr>
              <w:pStyle w:val="Default"/>
              <w:spacing w:line="276" w:lineRule="auto"/>
              <w:jc w:val="both"/>
              <w:rPr>
                <w:sz w:val="18"/>
                <w:szCs w:val="18"/>
              </w:rPr>
            </w:pPr>
            <w:proofErr w:type="spellStart"/>
            <w:r w:rsidRPr="00C47869">
              <w:rPr>
                <w:sz w:val="18"/>
                <w:szCs w:val="18"/>
                <w:vertAlign w:val="superscript"/>
              </w:rPr>
              <w:t>i</w:t>
            </w:r>
            <w:proofErr w:type="spellEnd"/>
            <w:r w:rsidRPr="00C47869">
              <w:rPr>
                <w:sz w:val="18"/>
                <w:szCs w:val="18"/>
              </w:rPr>
              <w:t xml:space="preserve"> includes cough, productive cough. </w:t>
            </w:r>
          </w:p>
          <w:p w14:paraId="53A489F0" w14:textId="77777777" w:rsidR="001C2D11" w:rsidRPr="00452EF7" w:rsidRDefault="001C2D11" w:rsidP="002403B3">
            <w:pPr>
              <w:pStyle w:val="Default"/>
              <w:spacing w:line="276" w:lineRule="auto"/>
              <w:jc w:val="both"/>
              <w:rPr>
                <w:sz w:val="18"/>
                <w:szCs w:val="18"/>
              </w:rPr>
            </w:pPr>
            <w:r w:rsidRPr="00C47869">
              <w:rPr>
                <w:sz w:val="18"/>
                <w:szCs w:val="18"/>
                <w:vertAlign w:val="superscript"/>
              </w:rPr>
              <w:t>j</w:t>
            </w:r>
            <w:r w:rsidRPr="00C47869">
              <w:rPr>
                <w:sz w:val="18"/>
                <w:szCs w:val="18"/>
              </w:rPr>
              <w:t xml:space="preserve"> </w:t>
            </w:r>
            <w:r w:rsidRPr="00452EF7">
              <w:rPr>
                <w:sz w:val="18"/>
                <w:szCs w:val="18"/>
              </w:rPr>
              <w:t xml:space="preserve">includes contusion, hematoma, epistaxis, increased tendency to bruise, conjunctival hemorrhage, hematochezia, mouth hemorrhage, catheter site hemorrhage, hematuria, hemothorax, purpura. </w:t>
            </w:r>
          </w:p>
          <w:p w14:paraId="6A4CAA2E" w14:textId="77777777" w:rsidR="001C2D11" w:rsidRPr="00C47869" w:rsidRDefault="001C2D11" w:rsidP="002403B3">
            <w:pPr>
              <w:pStyle w:val="Default"/>
              <w:spacing w:line="276" w:lineRule="auto"/>
              <w:jc w:val="both"/>
              <w:rPr>
                <w:sz w:val="18"/>
                <w:szCs w:val="18"/>
              </w:rPr>
            </w:pPr>
            <w:r w:rsidRPr="00C47869">
              <w:rPr>
                <w:sz w:val="18"/>
                <w:szCs w:val="18"/>
                <w:vertAlign w:val="superscript"/>
              </w:rPr>
              <w:t>k</w:t>
            </w:r>
            <w:r w:rsidRPr="00C47869">
              <w:rPr>
                <w:sz w:val="18"/>
                <w:szCs w:val="18"/>
              </w:rPr>
              <w:t xml:space="preserve"> includes pain in extremity, back pain, flank pain, limb discomfort, musculoskeletal chest pain, neck pain, musculoskeletal pain. </w:t>
            </w:r>
          </w:p>
          <w:p w14:paraId="1A29996E" w14:textId="77777777" w:rsidR="001C2D11" w:rsidRPr="00C47869" w:rsidRDefault="001C2D11" w:rsidP="002403B3">
            <w:pPr>
              <w:pStyle w:val="Default"/>
              <w:spacing w:line="276" w:lineRule="auto"/>
              <w:jc w:val="both"/>
              <w:rPr>
                <w:sz w:val="18"/>
                <w:szCs w:val="18"/>
              </w:rPr>
            </w:pPr>
            <w:r w:rsidRPr="00C47869">
              <w:rPr>
                <w:sz w:val="18"/>
                <w:szCs w:val="18"/>
                <w:vertAlign w:val="superscript"/>
              </w:rPr>
              <w:t>l</w:t>
            </w:r>
            <w:r w:rsidRPr="00C47869">
              <w:rPr>
                <w:sz w:val="18"/>
                <w:szCs w:val="18"/>
              </w:rPr>
              <w:t xml:space="preserve"> includes headache, migraine. </w:t>
            </w:r>
          </w:p>
          <w:p w14:paraId="48EFC7F5" w14:textId="77777777" w:rsidR="001C2D11" w:rsidRPr="00C47869" w:rsidRDefault="001C2D11" w:rsidP="002403B3">
            <w:pPr>
              <w:pStyle w:val="Default"/>
              <w:spacing w:line="276" w:lineRule="auto"/>
              <w:jc w:val="both"/>
              <w:rPr>
                <w:sz w:val="18"/>
                <w:szCs w:val="18"/>
              </w:rPr>
            </w:pPr>
            <w:r w:rsidRPr="00C47869">
              <w:rPr>
                <w:sz w:val="18"/>
                <w:szCs w:val="18"/>
                <w:vertAlign w:val="superscript"/>
              </w:rPr>
              <w:t xml:space="preserve">m </w:t>
            </w:r>
            <w:r w:rsidRPr="00C47869">
              <w:rPr>
                <w:sz w:val="18"/>
                <w:szCs w:val="18"/>
              </w:rPr>
              <w:t xml:space="preserve">includes rash, rash maculo-papular, rash erythematous, rash generalized, dermatitis exfoliative. </w:t>
            </w:r>
          </w:p>
          <w:p w14:paraId="31D6E848" w14:textId="77777777" w:rsidR="001C2D11" w:rsidRDefault="001C2D11" w:rsidP="002403B3">
            <w:pPr>
              <w:pStyle w:val="Default"/>
              <w:spacing w:line="276" w:lineRule="auto"/>
              <w:jc w:val="both"/>
              <w:rPr>
                <w:sz w:val="12"/>
                <w:szCs w:val="12"/>
              </w:rPr>
            </w:pPr>
            <w:r w:rsidRPr="00C47869">
              <w:rPr>
                <w:sz w:val="18"/>
                <w:szCs w:val="18"/>
                <w:vertAlign w:val="superscript"/>
              </w:rPr>
              <w:t>n</w:t>
            </w:r>
            <w:r w:rsidRPr="00C47869">
              <w:rPr>
                <w:sz w:val="18"/>
                <w:szCs w:val="18"/>
              </w:rPr>
              <w:t xml:space="preserve"> includes pruritus, pruritus generalized.</w:t>
            </w:r>
          </w:p>
        </w:tc>
      </w:tr>
    </w:tbl>
    <w:p w14:paraId="44A376DE" w14:textId="77777777" w:rsidR="0070462E" w:rsidRPr="002A7DBE" w:rsidRDefault="00457DE7" w:rsidP="002403B3">
      <w:pPr>
        <w:jc w:val="both"/>
        <w:rPr>
          <w:rFonts w:ascii="Times New Roman" w:hAnsi="Times New Roman" w:cs="Times New Roman"/>
          <w:sz w:val="24"/>
          <w:szCs w:val="24"/>
        </w:rPr>
      </w:pPr>
      <w:r w:rsidRPr="002A7DBE">
        <w:rPr>
          <w:rFonts w:ascii="Times New Roman" w:hAnsi="Times New Roman" w:cs="Times New Roman"/>
          <w:sz w:val="24"/>
          <w:szCs w:val="24"/>
        </w:rPr>
        <w:fldChar w:fldCharType="begin"/>
      </w:r>
      <w:r w:rsidRPr="002A7DBE">
        <w:rPr>
          <w:rFonts w:ascii="Times New Roman" w:hAnsi="Times New Roman" w:cs="Times New Roman"/>
          <w:sz w:val="24"/>
          <w:szCs w:val="24"/>
        </w:rPr>
        <w:instrText xml:space="preserve"> REF _Ref45876813 \h  \* MERGEFORMAT </w:instrText>
      </w:r>
      <w:r w:rsidRPr="002A7DBE">
        <w:rPr>
          <w:rFonts w:ascii="Times New Roman" w:hAnsi="Times New Roman" w:cs="Times New Roman"/>
          <w:sz w:val="24"/>
          <w:szCs w:val="24"/>
        </w:rPr>
      </w:r>
      <w:r w:rsidRPr="002A7DBE">
        <w:rPr>
          <w:rFonts w:ascii="Times New Roman" w:hAnsi="Times New Roman" w:cs="Times New Roman"/>
          <w:sz w:val="24"/>
          <w:szCs w:val="24"/>
        </w:rPr>
        <w:fldChar w:fldCharType="separate"/>
      </w:r>
    </w:p>
    <w:p w14:paraId="586383BF" w14:textId="71A183DF" w:rsidR="00457DE7" w:rsidRPr="002A7DBE" w:rsidRDefault="0070462E" w:rsidP="002403B3">
      <w:pPr>
        <w:jc w:val="both"/>
        <w:rPr>
          <w:rFonts w:ascii="Times New Roman" w:hAnsi="Times New Roman" w:cs="Times New Roman"/>
          <w:sz w:val="24"/>
          <w:szCs w:val="24"/>
        </w:rPr>
      </w:pPr>
      <w:r w:rsidRPr="0070462E">
        <w:rPr>
          <w:rFonts w:ascii="Times New Roman" w:hAnsi="Times New Roman" w:cs="Times New Roman"/>
          <w:sz w:val="24"/>
          <w:szCs w:val="24"/>
        </w:rPr>
        <w:t xml:space="preserve">Table </w:t>
      </w:r>
      <w:r>
        <w:rPr>
          <w:rFonts w:ascii="Times New Roman" w:hAnsi="Times New Roman"/>
          <w:sz w:val="24"/>
          <w:szCs w:val="24"/>
        </w:rPr>
        <w:t>5</w:t>
      </w:r>
      <w:r w:rsidR="00457DE7" w:rsidRPr="002A7DBE">
        <w:rPr>
          <w:rFonts w:ascii="Times New Roman" w:hAnsi="Times New Roman" w:cs="Times New Roman"/>
          <w:sz w:val="24"/>
          <w:szCs w:val="24"/>
        </w:rPr>
        <w:fldChar w:fldCharType="end"/>
      </w:r>
      <w:r w:rsidR="00457DE7" w:rsidRPr="002A7DBE">
        <w:rPr>
          <w:rFonts w:ascii="Times New Roman" w:hAnsi="Times New Roman" w:cs="Times New Roman"/>
          <w:sz w:val="24"/>
          <w:szCs w:val="24"/>
        </w:rPr>
        <w:t xml:space="preserve"> </w:t>
      </w:r>
      <w:r w:rsidR="00457DE7" w:rsidRPr="00457DE7">
        <w:rPr>
          <w:rFonts w:ascii="Times New Roman" w:hAnsi="Times New Roman" w:cs="Times New Roman"/>
          <w:sz w:val="24"/>
          <w:szCs w:val="24"/>
        </w:rPr>
        <w:t>summari</w:t>
      </w:r>
      <w:r w:rsidR="00B356CC">
        <w:rPr>
          <w:rFonts w:ascii="Times New Roman" w:hAnsi="Times New Roman" w:cs="Times New Roman"/>
          <w:sz w:val="24"/>
          <w:szCs w:val="24"/>
        </w:rPr>
        <w:t>s</w:t>
      </w:r>
      <w:r w:rsidR="00457DE7" w:rsidRPr="00457DE7">
        <w:rPr>
          <w:rFonts w:ascii="Times New Roman" w:hAnsi="Times New Roman" w:cs="Times New Roman"/>
          <w:sz w:val="24"/>
          <w:szCs w:val="24"/>
        </w:rPr>
        <w:t xml:space="preserve">es the laboratory abnormalities in </w:t>
      </w:r>
      <w:r w:rsidR="003C66D6">
        <w:rPr>
          <w:rFonts w:ascii="Times New Roman" w:hAnsi="Times New Roman" w:cs="Times New Roman"/>
          <w:sz w:val="24"/>
          <w:szCs w:val="24"/>
        </w:rPr>
        <w:t>RHOLISTIQ</w:t>
      </w:r>
      <w:r w:rsidR="00457DE7" w:rsidRPr="00457DE7">
        <w:rPr>
          <w:rFonts w:ascii="Times New Roman" w:hAnsi="Times New Roman" w:cs="Times New Roman"/>
          <w:sz w:val="24"/>
          <w:szCs w:val="24"/>
        </w:rPr>
        <w:t>.</w:t>
      </w:r>
      <w:bookmarkStart w:id="19" w:name="_Ref44939180"/>
      <w:bookmarkStart w:id="20" w:name="_Ref45876813"/>
    </w:p>
    <w:p w14:paraId="7CC21BC3" w14:textId="5246AC8E" w:rsidR="00457DE7" w:rsidRPr="00457DE7" w:rsidRDefault="00457DE7" w:rsidP="002403B3">
      <w:pPr>
        <w:pStyle w:val="Caption"/>
        <w:tabs>
          <w:tab w:val="clear" w:pos="1440"/>
        </w:tabs>
        <w:spacing w:line="276" w:lineRule="auto"/>
        <w:ind w:left="0" w:firstLine="0"/>
        <w:jc w:val="both"/>
        <w:rPr>
          <w:rFonts w:ascii="Times New Roman" w:hAnsi="Times New Roman"/>
          <w:b w:val="0"/>
          <w:sz w:val="24"/>
          <w:szCs w:val="24"/>
        </w:rPr>
      </w:pPr>
      <w:r w:rsidRPr="00457DE7">
        <w:rPr>
          <w:rFonts w:ascii="Times New Roman" w:hAnsi="Times New Roman"/>
          <w:sz w:val="24"/>
          <w:szCs w:val="24"/>
        </w:rPr>
        <w:t xml:space="preserve">Table </w:t>
      </w:r>
      <w:bookmarkEnd w:id="19"/>
      <w:r w:rsidR="002A7DBE">
        <w:rPr>
          <w:rFonts w:ascii="Times New Roman" w:hAnsi="Times New Roman"/>
          <w:sz w:val="24"/>
          <w:szCs w:val="24"/>
        </w:rPr>
        <w:t>5</w:t>
      </w:r>
      <w:bookmarkEnd w:id="20"/>
      <w:r w:rsidRPr="00457DE7">
        <w:rPr>
          <w:rFonts w:ascii="Times New Roman" w:hAnsi="Times New Roman"/>
          <w:sz w:val="24"/>
          <w:szCs w:val="24"/>
        </w:rPr>
        <w:t>: Select Laboratory Abnormalities</w:t>
      </w:r>
      <w:r w:rsidR="0096025B">
        <w:rPr>
          <w:rFonts w:ascii="Times New Roman" w:hAnsi="Times New Roman"/>
          <w:sz w:val="24"/>
          <w:szCs w:val="24"/>
        </w:rPr>
        <w:t xml:space="preserve"> </w:t>
      </w:r>
      <w:r w:rsidRPr="00457DE7">
        <w:rPr>
          <w:rFonts w:ascii="Times New Roman" w:hAnsi="Times New Roman"/>
          <w:sz w:val="24"/>
          <w:szCs w:val="24"/>
        </w:rPr>
        <w:t>in Patients with Chronic</w:t>
      </w:r>
      <w:r w:rsidR="00DE0B10">
        <w:rPr>
          <w:rFonts w:ascii="Times New Roman" w:hAnsi="Times New Roman"/>
          <w:sz w:val="24"/>
          <w:szCs w:val="24"/>
        </w:rPr>
        <w:t xml:space="preserve"> GVHD Treated with </w:t>
      </w:r>
      <w:r w:rsidRPr="00457DE7">
        <w:rPr>
          <w:rFonts w:ascii="Times New Roman" w:hAnsi="Times New Roman"/>
          <w:sz w:val="24"/>
          <w:szCs w:val="24"/>
        </w:rPr>
        <w:t xml:space="preserve">  </w:t>
      </w:r>
      <w:r w:rsidR="003C66D6">
        <w:rPr>
          <w:rFonts w:ascii="Times New Roman" w:hAnsi="Times New Roman"/>
          <w:sz w:val="24"/>
          <w:szCs w:val="24"/>
        </w:rPr>
        <w:t>RHOLISTIQ</w:t>
      </w:r>
    </w:p>
    <w:tbl>
      <w:tblPr>
        <w:tblStyle w:val="TableGrid"/>
        <w:tblW w:w="9090" w:type="dxa"/>
        <w:tblInd w:w="-5" w:type="dxa"/>
        <w:tblLook w:val="04A0" w:firstRow="1" w:lastRow="0" w:firstColumn="1" w:lastColumn="0" w:noHBand="0" w:noVBand="1"/>
      </w:tblPr>
      <w:tblGrid>
        <w:gridCol w:w="3688"/>
        <w:gridCol w:w="1802"/>
        <w:gridCol w:w="1890"/>
        <w:gridCol w:w="1710"/>
      </w:tblGrid>
      <w:tr w:rsidR="005416AD" w:rsidRPr="00B356CC" w14:paraId="772075F7" w14:textId="07F3850F" w:rsidTr="00DE6EA0">
        <w:trPr>
          <w:tblHeader/>
        </w:trPr>
        <w:tc>
          <w:tcPr>
            <w:tcW w:w="3688" w:type="dxa"/>
            <w:vMerge w:val="restart"/>
          </w:tcPr>
          <w:p w14:paraId="3DAFFED4" w14:textId="77777777" w:rsidR="005416AD" w:rsidRPr="00B356CC" w:rsidRDefault="005416AD" w:rsidP="002403B3">
            <w:pPr>
              <w:pStyle w:val="BodyText"/>
              <w:spacing w:line="276" w:lineRule="auto"/>
              <w:jc w:val="both"/>
              <w:rPr>
                <w:b/>
                <w:sz w:val="22"/>
                <w:szCs w:val="22"/>
              </w:rPr>
            </w:pPr>
          </w:p>
        </w:tc>
        <w:tc>
          <w:tcPr>
            <w:tcW w:w="5402" w:type="dxa"/>
            <w:gridSpan w:val="3"/>
          </w:tcPr>
          <w:p w14:paraId="3A0843BA" w14:textId="77777777" w:rsidR="005416AD" w:rsidRDefault="005416AD" w:rsidP="002403B3">
            <w:pPr>
              <w:pStyle w:val="BodyText"/>
              <w:spacing w:after="0" w:line="276" w:lineRule="auto"/>
              <w:jc w:val="both"/>
              <w:rPr>
                <w:b/>
                <w:sz w:val="22"/>
                <w:szCs w:val="22"/>
              </w:rPr>
            </w:pPr>
            <w:r>
              <w:rPr>
                <w:b/>
                <w:sz w:val="22"/>
                <w:szCs w:val="22"/>
              </w:rPr>
              <w:t>RHOLISTIQ</w:t>
            </w:r>
          </w:p>
          <w:p w14:paraId="24443730" w14:textId="148E46AD" w:rsidR="005416AD" w:rsidDel="003C66D6" w:rsidRDefault="005416AD" w:rsidP="002403B3">
            <w:pPr>
              <w:pStyle w:val="BodyText"/>
              <w:spacing w:after="0" w:line="276" w:lineRule="auto"/>
              <w:jc w:val="both"/>
              <w:rPr>
                <w:b/>
                <w:sz w:val="22"/>
                <w:szCs w:val="22"/>
              </w:rPr>
            </w:pPr>
            <w:r>
              <w:rPr>
                <w:b/>
                <w:sz w:val="22"/>
                <w:szCs w:val="22"/>
              </w:rPr>
              <w:t>200 mg once daily</w:t>
            </w:r>
          </w:p>
        </w:tc>
      </w:tr>
      <w:tr w:rsidR="005416AD" w:rsidRPr="00B356CC" w14:paraId="3A045399" w14:textId="77777777" w:rsidTr="00DE6EA0">
        <w:tc>
          <w:tcPr>
            <w:tcW w:w="3688" w:type="dxa"/>
            <w:vMerge/>
          </w:tcPr>
          <w:p w14:paraId="322C596F" w14:textId="77777777" w:rsidR="005416AD" w:rsidRDefault="005416AD" w:rsidP="002403B3">
            <w:pPr>
              <w:pStyle w:val="BodyText"/>
              <w:spacing w:before="240" w:line="276" w:lineRule="auto"/>
              <w:jc w:val="both"/>
              <w:rPr>
                <w:b/>
                <w:bCs/>
                <w:sz w:val="22"/>
                <w:szCs w:val="22"/>
              </w:rPr>
            </w:pPr>
          </w:p>
        </w:tc>
        <w:tc>
          <w:tcPr>
            <w:tcW w:w="1802" w:type="dxa"/>
          </w:tcPr>
          <w:p w14:paraId="1E02681E" w14:textId="77777777" w:rsidR="005416AD" w:rsidRDefault="005416AD" w:rsidP="002403B3">
            <w:pPr>
              <w:pStyle w:val="BodyText"/>
              <w:spacing w:before="120" w:line="276" w:lineRule="auto"/>
              <w:jc w:val="both"/>
              <w:rPr>
                <w:b/>
                <w:sz w:val="22"/>
                <w:szCs w:val="22"/>
              </w:rPr>
            </w:pPr>
            <w:r>
              <w:rPr>
                <w:b/>
                <w:sz w:val="22"/>
                <w:szCs w:val="22"/>
              </w:rPr>
              <w:t>Grade 0-1</w:t>
            </w:r>
          </w:p>
          <w:p w14:paraId="6A6FC03A" w14:textId="4D0D83AC" w:rsidR="005416AD" w:rsidRPr="00B356CC" w:rsidDel="00B35972" w:rsidRDefault="005416AD" w:rsidP="002403B3">
            <w:pPr>
              <w:pStyle w:val="BodyText"/>
              <w:spacing w:before="120" w:line="276" w:lineRule="auto"/>
              <w:jc w:val="both"/>
              <w:rPr>
                <w:b/>
                <w:sz w:val="22"/>
                <w:szCs w:val="22"/>
              </w:rPr>
            </w:pPr>
            <w:r>
              <w:rPr>
                <w:b/>
                <w:sz w:val="22"/>
                <w:szCs w:val="22"/>
              </w:rPr>
              <w:t>Baseline</w:t>
            </w:r>
          </w:p>
        </w:tc>
        <w:tc>
          <w:tcPr>
            <w:tcW w:w="1890" w:type="dxa"/>
          </w:tcPr>
          <w:p w14:paraId="77103149" w14:textId="77777777" w:rsidR="005416AD" w:rsidRDefault="005416AD" w:rsidP="002403B3">
            <w:pPr>
              <w:pStyle w:val="BodyText"/>
              <w:spacing w:before="120" w:line="276" w:lineRule="auto"/>
              <w:jc w:val="both"/>
              <w:rPr>
                <w:b/>
                <w:sz w:val="22"/>
                <w:szCs w:val="22"/>
              </w:rPr>
            </w:pPr>
            <w:r>
              <w:rPr>
                <w:b/>
                <w:sz w:val="22"/>
                <w:szCs w:val="22"/>
              </w:rPr>
              <w:t>Grade 2-4</w:t>
            </w:r>
          </w:p>
          <w:p w14:paraId="5C2E6728" w14:textId="1E70790A" w:rsidR="005416AD" w:rsidRPr="00B356CC" w:rsidRDefault="005416AD" w:rsidP="002403B3">
            <w:pPr>
              <w:pStyle w:val="BodyText"/>
              <w:spacing w:before="120" w:line="276" w:lineRule="auto"/>
              <w:jc w:val="both"/>
              <w:rPr>
                <w:b/>
                <w:sz w:val="22"/>
                <w:szCs w:val="22"/>
              </w:rPr>
            </w:pPr>
            <w:r>
              <w:rPr>
                <w:b/>
                <w:sz w:val="22"/>
                <w:szCs w:val="22"/>
              </w:rPr>
              <w:t>Max Post</w:t>
            </w:r>
          </w:p>
        </w:tc>
        <w:tc>
          <w:tcPr>
            <w:tcW w:w="1710" w:type="dxa"/>
          </w:tcPr>
          <w:p w14:paraId="0FFDC2B9" w14:textId="77777777" w:rsidR="005416AD" w:rsidRDefault="005416AD" w:rsidP="002403B3">
            <w:pPr>
              <w:pStyle w:val="BodyText"/>
              <w:spacing w:before="120" w:line="276" w:lineRule="auto"/>
              <w:jc w:val="both"/>
              <w:rPr>
                <w:b/>
                <w:sz w:val="22"/>
                <w:szCs w:val="22"/>
              </w:rPr>
            </w:pPr>
            <w:r>
              <w:rPr>
                <w:b/>
                <w:sz w:val="22"/>
                <w:szCs w:val="22"/>
              </w:rPr>
              <w:t>Grade 3-4</w:t>
            </w:r>
          </w:p>
          <w:p w14:paraId="7B384D8F" w14:textId="3E347227" w:rsidR="005416AD" w:rsidRPr="00B356CC" w:rsidRDefault="005416AD" w:rsidP="002403B3">
            <w:pPr>
              <w:pStyle w:val="BodyText"/>
              <w:spacing w:before="120" w:line="276" w:lineRule="auto"/>
              <w:jc w:val="both"/>
              <w:rPr>
                <w:b/>
                <w:sz w:val="22"/>
                <w:szCs w:val="22"/>
              </w:rPr>
            </w:pPr>
            <w:r>
              <w:rPr>
                <w:b/>
                <w:sz w:val="22"/>
                <w:szCs w:val="22"/>
              </w:rPr>
              <w:t>Max Post</w:t>
            </w:r>
          </w:p>
        </w:tc>
      </w:tr>
      <w:tr w:rsidR="00CD2368" w:rsidRPr="00B356CC" w14:paraId="3014299A" w14:textId="483D74C2" w:rsidTr="00C47869">
        <w:tc>
          <w:tcPr>
            <w:tcW w:w="3688" w:type="dxa"/>
          </w:tcPr>
          <w:p w14:paraId="335A89BB" w14:textId="7C56A823" w:rsidR="00CD2368" w:rsidRPr="00B356CC" w:rsidRDefault="00CD2368" w:rsidP="002403B3">
            <w:pPr>
              <w:pStyle w:val="BodyText"/>
              <w:spacing w:line="276" w:lineRule="auto"/>
              <w:jc w:val="both"/>
              <w:rPr>
                <w:b/>
                <w:bCs/>
                <w:sz w:val="22"/>
                <w:szCs w:val="22"/>
              </w:rPr>
            </w:pPr>
            <w:r>
              <w:rPr>
                <w:b/>
                <w:bCs/>
                <w:sz w:val="22"/>
                <w:szCs w:val="22"/>
              </w:rPr>
              <w:t>Parameter</w:t>
            </w:r>
          </w:p>
        </w:tc>
        <w:tc>
          <w:tcPr>
            <w:tcW w:w="1802" w:type="dxa"/>
          </w:tcPr>
          <w:p w14:paraId="66F9B866" w14:textId="23562399" w:rsidR="00CD2368" w:rsidRPr="00B356CC" w:rsidRDefault="00CD2368" w:rsidP="002403B3">
            <w:pPr>
              <w:pStyle w:val="BodyText"/>
              <w:spacing w:line="276" w:lineRule="auto"/>
              <w:jc w:val="both"/>
              <w:rPr>
                <w:b/>
                <w:sz w:val="22"/>
                <w:szCs w:val="22"/>
              </w:rPr>
            </w:pPr>
            <w:r>
              <w:rPr>
                <w:b/>
                <w:sz w:val="22"/>
                <w:szCs w:val="22"/>
              </w:rPr>
              <w:t>N</w:t>
            </w:r>
          </w:p>
        </w:tc>
        <w:tc>
          <w:tcPr>
            <w:tcW w:w="1890" w:type="dxa"/>
          </w:tcPr>
          <w:p w14:paraId="023FC92E" w14:textId="1E8ED246" w:rsidR="00CD2368" w:rsidRPr="00B356CC" w:rsidRDefault="000862EA" w:rsidP="002403B3">
            <w:pPr>
              <w:pStyle w:val="BodyText"/>
              <w:spacing w:line="276" w:lineRule="auto"/>
              <w:jc w:val="both"/>
              <w:rPr>
                <w:b/>
                <w:sz w:val="22"/>
                <w:szCs w:val="22"/>
              </w:rPr>
            </w:pPr>
            <w:r>
              <w:rPr>
                <w:b/>
                <w:sz w:val="22"/>
                <w:szCs w:val="22"/>
              </w:rPr>
              <w:t>(%)</w:t>
            </w:r>
          </w:p>
        </w:tc>
        <w:tc>
          <w:tcPr>
            <w:tcW w:w="1710" w:type="dxa"/>
          </w:tcPr>
          <w:p w14:paraId="78B51974" w14:textId="44D28E05" w:rsidR="00CD2368" w:rsidRPr="00B356CC" w:rsidRDefault="000862EA" w:rsidP="002403B3">
            <w:pPr>
              <w:pStyle w:val="BodyText"/>
              <w:spacing w:line="276" w:lineRule="auto"/>
              <w:jc w:val="both"/>
              <w:rPr>
                <w:b/>
                <w:sz w:val="22"/>
                <w:szCs w:val="22"/>
              </w:rPr>
            </w:pPr>
            <w:r>
              <w:rPr>
                <w:b/>
                <w:sz w:val="22"/>
                <w:szCs w:val="22"/>
              </w:rPr>
              <w:t>(%)</w:t>
            </w:r>
          </w:p>
        </w:tc>
      </w:tr>
      <w:tr w:rsidR="000862EA" w:rsidRPr="00B356CC" w14:paraId="1B5E629B" w14:textId="77777777" w:rsidTr="00C47869">
        <w:tc>
          <w:tcPr>
            <w:tcW w:w="3688" w:type="dxa"/>
          </w:tcPr>
          <w:p w14:paraId="6ABE6A9C" w14:textId="075FADC7" w:rsidR="000862EA" w:rsidRPr="00C47869" w:rsidRDefault="000862EA" w:rsidP="002403B3">
            <w:pPr>
              <w:pStyle w:val="BodyText"/>
              <w:spacing w:line="276" w:lineRule="auto"/>
              <w:jc w:val="both"/>
              <w:rPr>
                <w:b/>
                <w:bCs/>
                <w:sz w:val="22"/>
                <w:szCs w:val="22"/>
              </w:rPr>
            </w:pPr>
            <w:r>
              <w:rPr>
                <w:b/>
                <w:bCs/>
                <w:sz w:val="22"/>
                <w:szCs w:val="22"/>
              </w:rPr>
              <w:t>Chemistry</w:t>
            </w:r>
          </w:p>
        </w:tc>
        <w:tc>
          <w:tcPr>
            <w:tcW w:w="1802" w:type="dxa"/>
          </w:tcPr>
          <w:p w14:paraId="260CC880" w14:textId="77777777" w:rsidR="000862EA" w:rsidRPr="00B356CC" w:rsidRDefault="000862EA" w:rsidP="002403B3">
            <w:pPr>
              <w:pStyle w:val="BodyText"/>
              <w:spacing w:line="276" w:lineRule="auto"/>
              <w:jc w:val="both"/>
              <w:rPr>
                <w:sz w:val="22"/>
                <w:szCs w:val="22"/>
              </w:rPr>
            </w:pPr>
          </w:p>
        </w:tc>
        <w:tc>
          <w:tcPr>
            <w:tcW w:w="1890" w:type="dxa"/>
          </w:tcPr>
          <w:p w14:paraId="5374AA92" w14:textId="77777777" w:rsidR="000862EA" w:rsidRPr="00B356CC" w:rsidRDefault="000862EA" w:rsidP="002403B3">
            <w:pPr>
              <w:pStyle w:val="BodyText"/>
              <w:spacing w:line="276" w:lineRule="auto"/>
              <w:jc w:val="both"/>
              <w:rPr>
                <w:sz w:val="22"/>
                <w:szCs w:val="22"/>
              </w:rPr>
            </w:pPr>
          </w:p>
        </w:tc>
        <w:tc>
          <w:tcPr>
            <w:tcW w:w="1710" w:type="dxa"/>
          </w:tcPr>
          <w:p w14:paraId="3DC0753C" w14:textId="77777777" w:rsidR="000862EA" w:rsidRPr="00B356CC" w:rsidRDefault="000862EA" w:rsidP="002403B3">
            <w:pPr>
              <w:pStyle w:val="BodyText"/>
              <w:spacing w:line="276" w:lineRule="auto"/>
              <w:jc w:val="both"/>
              <w:rPr>
                <w:sz w:val="22"/>
                <w:szCs w:val="22"/>
              </w:rPr>
            </w:pPr>
          </w:p>
        </w:tc>
      </w:tr>
      <w:tr w:rsidR="00CD2368" w:rsidRPr="00B356CC" w14:paraId="235D486B" w14:textId="77970DEB" w:rsidTr="00C47869">
        <w:tc>
          <w:tcPr>
            <w:tcW w:w="3688" w:type="dxa"/>
          </w:tcPr>
          <w:p w14:paraId="108CBABC" w14:textId="36A96EBD" w:rsidR="00CD2368" w:rsidRPr="00B356CC" w:rsidRDefault="0026316C" w:rsidP="002403B3">
            <w:pPr>
              <w:pStyle w:val="BodyText"/>
              <w:spacing w:line="276" w:lineRule="auto"/>
              <w:jc w:val="both"/>
              <w:rPr>
                <w:b/>
                <w:bCs/>
                <w:sz w:val="22"/>
                <w:szCs w:val="22"/>
              </w:rPr>
            </w:pPr>
            <w:r>
              <w:rPr>
                <w:sz w:val="22"/>
                <w:szCs w:val="22"/>
              </w:rPr>
              <w:t>Phosphate Decreased</w:t>
            </w:r>
          </w:p>
        </w:tc>
        <w:tc>
          <w:tcPr>
            <w:tcW w:w="1802" w:type="dxa"/>
          </w:tcPr>
          <w:p w14:paraId="01E48436" w14:textId="1D0A2559" w:rsidR="00CD2368" w:rsidRPr="00B356CC" w:rsidRDefault="00DE10CE" w:rsidP="002403B3">
            <w:pPr>
              <w:pStyle w:val="BodyText"/>
              <w:spacing w:line="276" w:lineRule="auto"/>
              <w:jc w:val="both"/>
              <w:rPr>
                <w:sz w:val="22"/>
                <w:szCs w:val="22"/>
              </w:rPr>
            </w:pPr>
            <w:r>
              <w:rPr>
                <w:sz w:val="22"/>
                <w:szCs w:val="22"/>
              </w:rPr>
              <w:t>76</w:t>
            </w:r>
          </w:p>
        </w:tc>
        <w:tc>
          <w:tcPr>
            <w:tcW w:w="1890" w:type="dxa"/>
          </w:tcPr>
          <w:p w14:paraId="398679AB" w14:textId="2204E397" w:rsidR="00CD2368" w:rsidRPr="00B356CC" w:rsidRDefault="00DE10CE" w:rsidP="002403B3">
            <w:pPr>
              <w:pStyle w:val="BodyText"/>
              <w:spacing w:line="276" w:lineRule="auto"/>
              <w:jc w:val="both"/>
              <w:rPr>
                <w:sz w:val="22"/>
                <w:szCs w:val="22"/>
              </w:rPr>
            </w:pPr>
            <w:r>
              <w:rPr>
                <w:sz w:val="22"/>
                <w:szCs w:val="22"/>
              </w:rPr>
              <w:t>28</w:t>
            </w:r>
          </w:p>
        </w:tc>
        <w:tc>
          <w:tcPr>
            <w:tcW w:w="1710" w:type="dxa"/>
          </w:tcPr>
          <w:p w14:paraId="78FDDAD7" w14:textId="309BCD21" w:rsidR="00CD2368" w:rsidRPr="00B356CC" w:rsidRDefault="00DE10CE" w:rsidP="002403B3">
            <w:pPr>
              <w:pStyle w:val="BodyText"/>
              <w:spacing w:line="276" w:lineRule="auto"/>
              <w:jc w:val="both"/>
              <w:rPr>
                <w:sz w:val="22"/>
                <w:szCs w:val="22"/>
              </w:rPr>
            </w:pPr>
            <w:r>
              <w:rPr>
                <w:sz w:val="22"/>
                <w:szCs w:val="22"/>
              </w:rPr>
              <w:t>7</w:t>
            </w:r>
          </w:p>
        </w:tc>
      </w:tr>
      <w:tr w:rsidR="00CD2368" w:rsidRPr="00B356CC" w14:paraId="4208CDF4" w14:textId="7615356D" w:rsidTr="00C47869">
        <w:tc>
          <w:tcPr>
            <w:tcW w:w="3688" w:type="dxa"/>
          </w:tcPr>
          <w:p w14:paraId="4CAFF8BA" w14:textId="29479542" w:rsidR="00CD2368" w:rsidRPr="00B356CC" w:rsidRDefault="0026316C" w:rsidP="002403B3">
            <w:pPr>
              <w:pStyle w:val="BodyText"/>
              <w:spacing w:line="276" w:lineRule="auto"/>
              <w:jc w:val="both"/>
              <w:rPr>
                <w:b/>
                <w:bCs/>
                <w:sz w:val="22"/>
                <w:szCs w:val="22"/>
              </w:rPr>
            </w:pPr>
            <w:r>
              <w:rPr>
                <w:sz w:val="22"/>
                <w:szCs w:val="22"/>
              </w:rPr>
              <w:lastRenderedPageBreak/>
              <w:t>Gamma Glutamyl Transferase Increased</w:t>
            </w:r>
          </w:p>
        </w:tc>
        <w:tc>
          <w:tcPr>
            <w:tcW w:w="1802" w:type="dxa"/>
          </w:tcPr>
          <w:p w14:paraId="15E5D8D5" w14:textId="3A35DB38" w:rsidR="00CD2368" w:rsidRPr="00B356CC" w:rsidRDefault="00DE10CE" w:rsidP="002403B3">
            <w:pPr>
              <w:pStyle w:val="BodyText"/>
              <w:spacing w:line="276" w:lineRule="auto"/>
              <w:jc w:val="both"/>
              <w:rPr>
                <w:sz w:val="22"/>
                <w:szCs w:val="22"/>
              </w:rPr>
            </w:pPr>
            <w:r>
              <w:rPr>
                <w:sz w:val="22"/>
                <w:szCs w:val="22"/>
              </w:rPr>
              <w:t>47</w:t>
            </w:r>
          </w:p>
        </w:tc>
        <w:tc>
          <w:tcPr>
            <w:tcW w:w="1890" w:type="dxa"/>
          </w:tcPr>
          <w:p w14:paraId="3E30771B" w14:textId="4D40D553" w:rsidR="00CD2368" w:rsidRPr="00B356CC" w:rsidRDefault="00DE10CE" w:rsidP="002403B3">
            <w:pPr>
              <w:pStyle w:val="BodyText"/>
              <w:spacing w:line="276" w:lineRule="auto"/>
              <w:jc w:val="both"/>
              <w:rPr>
                <w:sz w:val="22"/>
                <w:szCs w:val="22"/>
              </w:rPr>
            </w:pPr>
            <w:r>
              <w:rPr>
                <w:sz w:val="22"/>
                <w:szCs w:val="22"/>
              </w:rPr>
              <w:t>21</w:t>
            </w:r>
          </w:p>
        </w:tc>
        <w:tc>
          <w:tcPr>
            <w:tcW w:w="1710" w:type="dxa"/>
          </w:tcPr>
          <w:p w14:paraId="26AF9CCC" w14:textId="25D37344" w:rsidR="00CD2368" w:rsidRPr="00B356CC" w:rsidRDefault="00DE10CE" w:rsidP="002403B3">
            <w:pPr>
              <w:pStyle w:val="BodyText"/>
              <w:spacing w:line="276" w:lineRule="auto"/>
              <w:jc w:val="both"/>
              <w:rPr>
                <w:sz w:val="22"/>
                <w:szCs w:val="22"/>
              </w:rPr>
            </w:pPr>
            <w:r>
              <w:rPr>
                <w:sz w:val="22"/>
                <w:szCs w:val="22"/>
              </w:rPr>
              <w:t>11</w:t>
            </w:r>
          </w:p>
        </w:tc>
      </w:tr>
      <w:tr w:rsidR="00CD2368" w:rsidRPr="00B356CC" w14:paraId="0BE04584" w14:textId="2281CFB8" w:rsidTr="00C47869">
        <w:tc>
          <w:tcPr>
            <w:tcW w:w="3688" w:type="dxa"/>
          </w:tcPr>
          <w:p w14:paraId="66D1CEF2" w14:textId="3F27CFCE" w:rsidR="00CD2368" w:rsidRPr="00B356CC" w:rsidRDefault="0026316C" w:rsidP="002403B3">
            <w:pPr>
              <w:pStyle w:val="BodyText"/>
              <w:spacing w:line="276" w:lineRule="auto"/>
              <w:jc w:val="both"/>
              <w:rPr>
                <w:b/>
                <w:bCs/>
                <w:sz w:val="22"/>
                <w:szCs w:val="22"/>
              </w:rPr>
            </w:pPr>
            <w:r>
              <w:rPr>
                <w:sz w:val="22"/>
                <w:szCs w:val="22"/>
              </w:rPr>
              <w:t xml:space="preserve">Calcium </w:t>
            </w:r>
            <w:r w:rsidR="00591A7A">
              <w:rPr>
                <w:sz w:val="22"/>
                <w:szCs w:val="22"/>
              </w:rPr>
              <w:t>Decreased</w:t>
            </w:r>
          </w:p>
        </w:tc>
        <w:tc>
          <w:tcPr>
            <w:tcW w:w="1802" w:type="dxa"/>
          </w:tcPr>
          <w:p w14:paraId="19FD1ACB" w14:textId="755BF137" w:rsidR="00CD2368" w:rsidRPr="00B356CC" w:rsidRDefault="00DE10CE" w:rsidP="002403B3">
            <w:pPr>
              <w:pStyle w:val="BodyText"/>
              <w:spacing w:line="276" w:lineRule="auto"/>
              <w:jc w:val="both"/>
              <w:rPr>
                <w:sz w:val="22"/>
                <w:szCs w:val="22"/>
              </w:rPr>
            </w:pPr>
            <w:r>
              <w:rPr>
                <w:sz w:val="22"/>
                <w:szCs w:val="22"/>
              </w:rPr>
              <w:t>82</w:t>
            </w:r>
          </w:p>
        </w:tc>
        <w:tc>
          <w:tcPr>
            <w:tcW w:w="1890" w:type="dxa"/>
          </w:tcPr>
          <w:p w14:paraId="27E0851D" w14:textId="2BAC8116" w:rsidR="00CD2368" w:rsidRPr="00B356CC" w:rsidRDefault="00DE10CE" w:rsidP="002403B3">
            <w:pPr>
              <w:pStyle w:val="BodyText"/>
              <w:spacing w:line="276" w:lineRule="auto"/>
              <w:jc w:val="both"/>
              <w:rPr>
                <w:sz w:val="22"/>
                <w:szCs w:val="22"/>
              </w:rPr>
            </w:pPr>
            <w:r>
              <w:rPr>
                <w:sz w:val="22"/>
                <w:szCs w:val="22"/>
              </w:rPr>
              <w:t>12</w:t>
            </w:r>
          </w:p>
        </w:tc>
        <w:tc>
          <w:tcPr>
            <w:tcW w:w="1710" w:type="dxa"/>
          </w:tcPr>
          <w:p w14:paraId="690A84C8" w14:textId="13E0EEFA" w:rsidR="00CD2368" w:rsidRPr="00B356CC" w:rsidRDefault="00DE10CE" w:rsidP="002403B3">
            <w:pPr>
              <w:pStyle w:val="BodyText"/>
              <w:spacing w:line="276" w:lineRule="auto"/>
              <w:jc w:val="both"/>
              <w:rPr>
                <w:sz w:val="22"/>
                <w:szCs w:val="22"/>
              </w:rPr>
            </w:pPr>
            <w:r>
              <w:rPr>
                <w:sz w:val="22"/>
                <w:szCs w:val="22"/>
              </w:rPr>
              <w:t>1</w:t>
            </w:r>
          </w:p>
        </w:tc>
      </w:tr>
      <w:tr w:rsidR="00CD2368" w:rsidRPr="00B356CC" w14:paraId="19DB9C33" w14:textId="615B9939" w:rsidTr="00C47869">
        <w:tc>
          <w:tcPr>
            <w:tcW w:w="3688" w:type="dxa"/>
          </w:tcPr>
          <w:p w14:paraId="35D784F0" w14:textId="6341D3F3" w:rsidR="00CD2368" w:rsidRPr="00B356CC" w:rsidRDefault="00591A7A" w:rsidP="002403B3">
            <w:pPr>
              <w:pStyle w:val="BodyText"/>
              <w:spacing w:line="276" w:lineRule="auto"/>
              <w:jc w:val="both"/>
              <w:rPr>
                <w:b/>
                <w:bCs/>
                <w:sz w:val="22"/>
                <w:szCs w:val="22"/>
              </w:rPr>
            </w:pPr>
            <w:r>
              <w:rPr>
                <w:sz w:val="22"/>
                <w:szCs w:val="22"/>
              </w:rPr>
              <w:t>Alkaline Phosphatase Increased</w:t>
            </w:r>
          </w:p>
        </w:tc>
        <w:tc>
          <w:tcPr>
            <w:tcW w:w="1802" w:type="dxa"/>
          </w:tcPr>
          <w:p w14:paraId="2813B691" w14:textId="6F6CEC9D" w:rsidR="00CD2368" w:rsidRPr="00B356CC" w:rsidRDefault="00DE10CE" w:rsidP="002403B3">
            <w:pPr>
              <w:pStyle w:val="BodyText"/>
              <w:spacing w:line="276" w:lineRule="auto"/>
              <w:jc w:val="both"/>
              <w:rPr>
                <w:sz w:val="22"/>
                <w:szCs w:val="22"/>
              </w:rPr>
            </w:pPr>
            <w:r>
              <w:rPr>
                <w:sz w:val="22"/>
                <w:szCs w:val="22"/>
              </w:rPr>
              <w:t>80</w:t>
            </w:r>
          </w:p>
        </w:tc>
        <w:tc>
          <w:tcPr>
            <w:tcW w:w="1890" w:type="dxa"/>
          </w:tcPr>
          <w:p w14:paraId="7F296874" w14:textId="6B58AC06" w:rsidR="00CD2368" w:rsidRPr="00B356CC" w:rsidRDefault="00DE10CE" w:rsidP="002403B3">
            <w:pPr>
              <w:pStyle w:val="BodyText"/>
              <w:spacing w:line="276" w:lineRule="auto"/>
              <w:jc w:val="both"/>
              <w:rPr>
                <w:sz w:val="22"/>
                <w:szCs w:val="22"/>
              </w:rPr>
            </w:pPr>
            <w:r>
              <w:rPr>
                <w:sz w:val="22"/>
                <w:szCs w:val="22"/>
              </w:rPr>
              <w:t>9</w:t>
            </w:r>
          </w:p>
        </w:tc>
        <w:tc>
          <w:tcPr>
            <w:tcW w:w="1710" w:type="dxa"/>
          </w:tcPr>
          <w:p w14:paraId="1212101A" w14:textId="43CC60CF" w:rsidR="00CD2368" w:rsidRPr="00B356CC" w:rsidRDefault="00DE10CE" w:rsidP="002403B3">
            <w:pPr>
              <w:pStyle w:val="BodyText"/>
              <w:spacing w:line="276" w:lineRule="auto"/>
              <w:jc w:val="both"/>
              <w:rPr>
                <w:sz w:val="22"/>
                <w:szCs w:val="22"/>
              </w:rPr>
            </w:pPr>
            <w:r>
              <w:rPr>
                <w:sz w:val="22"/>
                <w:szCs w:val="22"/>
              </w:rPr>
              <w:t>0</w:t>
            </w:r>
          </w:p>
        </w:tc>
      </w:tr>
      <w:tr w:rsidR="00B074FD" w:rsidRPr="00B356CC" w14:paraId="44EBD35C" w14:textId="77777777" w:rsidTr="00C47869">
        <w:tc>
          <w:tcPr>
            <w:tcW w:w="3688" w:type="dxa"/>
          </w:tcPr>
          <w:p w14:paraId="5363234C" w14:textId="6B9DE9F4" w:rsidR="00B074FD" w:rsidRPr="00B356CC" w:rsidRDefault="00591A7A" w:rsidP="002403B3">
            <w:pPr>
              <w:pStyle w:val="BodyText"/>
              <w:spacing w:line="276" w:lineRule="auto"/>
              <w:jc w:val="both"/>
              <w:rPr>
                <w:sz w:val="22"/>
                <w:szCs w:val="22"/>
              </w:rPr>
            </w:pPr>
            <w:r>
              <w:rPr>
                <w:sz w:val="22"/>
                <w:szCs w:val="22"/>
              </w:rPr>
              <w:t>Potassium Increased</w:t>
            </w:r>
          </w:p>
        </w:tc>
        <w:tc>
          <w:tcPr>
            <w:tcW w:w="1802" w:type="dxa"/>
          </w:tcPr>
          <w:p w14:paraId="1D4DF20E" w14:textId="44EF8CDA" w:rsidR="00B074FD" w:rsidRPr="00B356CC" w:rsidRDefault="00544B11" w:rsidP="002403B3">
            <w:pPr>
              <w:pStyle w:val="BodyText"/>
              <w:spacing w:line="276" w:lineRule="auto"/>
              <w:jc w:val="both"/>
              <w:rPr>
                <w:sz w:val="22"/>
                <w:szCs w:val="22"/>
              </w:rPr>
            </w:pPr>
            <w:r>
              <w:rPr>
                <w:sz w:val="22"/>
                <w:szCs w:val="22"/>
              </w:rPr>
              <w:t>82</w:t>
            </w:r>
          </w:p>
        </w:tc>
        <w:tc>
          <w:tcPr>
            <w:tcW w:w="1890" w:type="dxa"/>
          </w:tcPr>
          <w:p w14:paraId="524BB596" w14:textId="34FB65FB" w:rsidR="00B074FD" w:rsidRPr="00B356CC" w:rsidRDefault="00544B11" w:rsidP="002403B3">
            <w:pPr>
              <w:pStyle w:val="BodyText"/>
              <w:spacing w:line="276" w:lineRule="auto"/>
              <w:jc w:val="both"/>
              <w:rPr>
                <w:sz w:val="22"/>
                <w:szCs w:val="22"/>
              </w:rPr>
            </w:pPr>
            <w:r>
              <w:rPr>
                <w:sz w:val="22"/>
                <w:szCs w:val="22"/>
              </w:rPr>
              <w:t>7</w:t>
            </w:r>
          </w:p>
        </w:tc>
        <w:tc>
          <w:tcPr>
            <w:tcW w:w="1710" w:type="dxa"/>
          </w:tcPr>
          <w:p w14:paraId="3D8225AB" w14:textId="2B841F68" w:rsidR="00B074FD" w:rsidRPr="00B356CC" w:rsidRDefault="00544B11" w:rsidP="002403B3">
            <w:pPr>
              <w:pStyle w:val="BodyText"/>
              <w:spacing w:line="276" w:lineRule="auto"/>
              <w:jc w:val="both"/>
              <w:rPr>
                <w:sz w:val="22"/>
                <w:szCs w:val="22"/>
              </w:rPr>
            </w:pPr>
            <w:r>
              <w:rPr>
                <w:sz w:val="22"/>
                <w:szCs w:val="22"/>
              </w:rPr>
              <w:t>1</w:t>
            </w:r>
          </w:p>
        </w:tc>
      </w:tr>
      <w:tr w:rsidR="00B074FD" w:rsidRPr="00B356CC" w14:paraId="3CFC58D2" w14:textId="77777777" w:rsidTr="00C47869">
        <w:tc>
          <w:tcPr>
            <w:tcW w:w="3688" w:type="dxa"/>
          </w:tcPr>
          <w:p w14:paraId="7FB0CF37" w14:textId="405085FC" w:rsidR="00B074FD" w:rsidRPr="00B356CC" w:rsidRDefault="00591A7A" w:rsidP="002403B3">
            <w:pPr>
              <w:pStyle w:val="BodyText"/>
              <w:spacing w:line="276" w:lineRule="auto"/>
              <w:jc w:val="both"/>
              <w:rPr>
                <w:sz w:val="22"/>
                <w:szCs w:val="22"/>
              </w:rPr>
            </w:pPr>
            <w:r>
              <w:rPr>
                <w:sz w:val="22"/>
                <w:szCs w:val="22"/>
              </w:rPr>
              <w:t>Alanine Aminotransferase Increased</w:t>
            </w:r>
          </w:p>
        </w:tc>
        <w:tc>
          <w:tcPr>
            <w:tcW w:w="1802" w:type="dxa"/>
          </w:tcPr>
          <w:p w14:paraId="3D0A699E" w14:textId="02FCD62A" w:rsidR="00B074FD" w:rsidRPr="00B356CC" w:rsidRDefault="00544B11" w:rsidP="002403B3">
            <w:pPr>
              <w:pStyle w:val="BodyText"/>
              <w:spacing w:line="276" w:lineRule="auto"/>
              <w:jc w:val="both"/>
              <w:rPr>
                <w:sz w:val="22"/>
                <w:szCs w:val="22"/>
              </w:rPr>
            </w:pPr>
            <w:r>
              <w:rPr>
                <w:sz w:val="22"/>
                <w:szCs w:val="22"/>
              </w:rPr>
              <w:t>83</w:t>
            </w:r>
          </w:p>
        </w:tc>
        <w:tc>
          <w:tcPr>
            <w:tcW w:w="1890" w:type="dxa"/>
          </w:tcPr>
          <w:p w14:paraId="538296F5" w14:textId="38B0AC66" w:rsidR="00B074FD" w:rsidRPr="00B356CC" w:rsidRDefault="00544B11" w:rsidP="002403B3">
            <w:pPr>
              <w:pStyle w:val="BodyText"/>
              <w:spacing w:line="276" w:lineRule="auto"/>
              <w:jc w:val="both"/>
              <w:rPr>
                <w:sz w:val="22"/>
                <w:szCs w:val="22"/>
              </w:rPr>
            </w:pPr>
            <w:r>
              <w:rPr>
                <w:sz w:val="22"/>
                <w:szCs w:val="22"/>
              </w:rPr>
              <w:t>7</w:t>
            </w:r>
          </w:p>
        </w:tc>
        <w:tc>
          <w:tcPr>
            <w:tcW w:w="1710" w:type="dxa"/>
          </w:tcPr>
          <w:p w14:paraId="53E6168F" w14:textId="6CD2A629" w:rsidR="00B074FD" w:rsidRPr="00B356CC" w:rsidRDefault="00544B11" w:rsidP="002403B3">
            <w:pPr>
              <w:pStyle w:val="BodyText"/>
              <w:spacing w:line="276" w:lineRule="auto"/>
              <w:jc w:val="both"/>
              <w:rPr>
                <w:sz w:val="22"/>
                <w:szCs w:val="22"/>
              </w:rPr>
            </w:pPr>
            <w:r>
              <w:rPr>
                <w:sz w:val="22"/>
                <w:szCs w:val="22"/>
              </w:rPr>
              <w:t>2</w:t>
            </w:r>
          </w:p>
        </w:tc>
      </w:tr>
      <w:tr w:rsidR="00B074FD" w:rsidRPr="00B356CC" w14:paraId="2404F8E2" w14:textId="77777777" w:rsidTr="00C47869">
        <w:tc>
          <w:tcPr>
            <w:tcW w:w="3688" w:type="dxa"/>
          </w:tcPr>
          <w:p w14:paraId="24EB4B40" w14:textId="05AE749C" w:rsidR="00B074FD" w:rsidRPr="00B356CC" w:rsidRDefault="00591A7A" w:rsidP="002403B3">
            <w:pPr>
              <w:pStyle w:val="BodyText"/>
              <w:spacing w:line="276" w:lineRule="auto"/>
              <w:jc w:val="both"/>
              <w:rPr>
                <w:sz w:val="22"/>
                <w:szCs w:val="22"/>
              </w:rPr>
            </w:pPr>
            <w:r>
              <w:rPr>
                <w:sz w:val="22"/>
                <w:szCs w:val="22"/>
              </w:rPr>
              <w:t>Creatinine Increased</w:t>
            </w:r>
          </w:p>
        </w:tc>
        <w:tc>
          <w:tcPr>
            <w:tcW w:w="1802" w:type="dxa"/>
          </w:tcPr>
          <w:p w14:paraId="71B2A034" w14:textId="187DF785" w:rsidR="00B074FD" w:rsidRPr="00B356CC" w:rsidRDefault="00544B11" w:rsidP="002403B3">
            <w:pPr>
              <w:pStyle w:val="BodyText"/>
              <w:spacing w:line="276" w:lineRule="auto"/>
              <w:jc w:val="both"/>
              <w:rPr>
                <w:sz w:val="22"/>
                <w:szCs w:val="22"/>
              </w:rPr>
            </w:pPr>
            <w:r>
              <w:rPr>
                <w:sz w:val="22"/>
                <w:szCs w:val="22"/>
              </w:rPr>
              <w:t>83</w:t>
            </w:r>
          </w:p>
        </w:tc>
        <w:tc>
          <w:tcPr>
            <w:tcW w:w="1890" w:type="dxa"/>
          </w:tcPr>
          <w:p w14:paraId="6CB8CF71" w14:textId="338D5DEB" w:rsidR="00B074FD" w:rsidRPr="00B356CC" w:rsidRDefault="00544B11" w:rsidP="002403B3">
            <w:pPr>
              <w:pStyle w:val="BodyText"/>
              <w:spacing w:line="276" w:lineRule="auto"/>
              <w:jc w:val="both"/>
              <w:rPr>
                <w:sz w:val="22"/>
                <w:szCs w:val="22"/>
              </w:rPr>
            </w:pPr>
            <w:r>
              <w:rPr>
                <w:sz w:val="22"/>
                <w:szCs w:val="22"/>
              </w:rPr>
              <w:t>4</w:t>
            </w:r>
          </w:p>
        </w:tc>
        <w:tc>
          <w:tcPr>
            <w:tcW w:w="1710" w:type="dxa"/>
          </w:tcPr>
          <w:p w14:paraId="08FB1944" w14:textId="5158C77A" w:rsidR="00B074FD" w:rsidRPr="00B356CC" w:rsidRDefault="00544B11" w:rsidP="002403B3">
            <w:pPr>
              <w:pStyle w:val="BodyText"/>
              <w:spacing w:line="276" w:lineRule="auto"/>
              <w:jc w:val="both"/>
              <w:rPr>
                <w:sz w:val="22"/>
                <w:szCs w:val="22"/>
              </w:rPr>
            </w:pPr>
            <w:r>
              <w:rPr>
                <w:sz w:val="22"/>
                <w:szCs w:val="22"/>
              </w:rPr>
              <w:t>0</w:t>
            </w:r>
          </w:p>
        </w:tc>
      </w:tr>
      <w:tr w:rsidR="00B074FD" w:rsidRPr="00B356CC" w14:paraId="7CF0EE55" w14:textId="77777777" w:rsidTr="00C47869">
        <w:tc>
          <w:tcPr>
            <w:tcW w:w="3688" w:type="dxa"/>
          </w:tcPr>
          <w:p w14:paraId="34E5CADB" w14:textId="2E7C4846" w:rsidR="00B074FD" w:rsidRPr="00C47869" w:rsidRDefault="00591A7A" w:rsidP="002403B3">
            <w:pPr>
              <w:pStyle w:val="BodyText"/>
              <w:spacing w:line="276" w:lineRule="auto"/>
              <w:jc w:val="both"/>
              <w:rPr>
                <w:b/>
                <w:bCs/>
                <w:sz w:val="22"/>
                <w:szCs w:val="22"/>
              </w:rPr>
            </w:pPr>
            <w:r w:rsidRPr="00C47869">
              <w:rPr>
                <w:b/>
                <w:bCs/>
                <w:sz w:val="22"/>
                <w:szCs w:val="22"/>
              </w:rPr>
              <w:t>Hematology</w:t>
            </w:r>
          </w:p>
        </w:tc>
        <w:tc>
          <w:tcPr>
            <w:tcW w:w="1802" w:type="dxa"/>
          </w:tcPr>
          <w:p w14:paraId="6EA40D65" w14:textId="77777777" w:rsidR="00B074FD" w:rsidRPr="00B356CC" w:rsidRDefault="00B074FD" w:rsidP="002403B3">
            <w:pPr>
              <w:pStyle w:val="BodyText"/>
              <w:spacing w:line="276" w:lineRule="auto"/>
              <w:jc w:val="both"/>
              <w:rPr>
                <w:sz w:val="22"/>
                <w:szCs w:val="22"/>
              </w:rPr>
            </w:pPr>
          </w:p>
        </w:tc>
        <w:tc>
          <w:tcPr>
            <w:tcW w:w="1890" w:type="dxa"/>
          </w:tcPr>
          <w:p w14:paraId="26A2D3BA" w14:textId="77777777" w:rsidR="00B074FD" w:rsidRPr="00B356CC" w:rsidRDefault="00B074FD" w:rsidP="002403B3">
            <w:pPr>
              <w:pStyle w:val="BodyText"/>
              <w:spacing w:line="276" w:lineRule="auto"/>
              <w:jc w:val="both"/>
              <w:rPr>
                <w:sz w:val="22"/>
                <w:szCs w:val="22"/>
              </w:rPr>
            </w:pPr>
          </w:p>
        </w:tc>
        <w:tc>
          <w:tcPr>
            <w:tcW w:w="1710" w:type="dxa"/>
          </w:tcPr>
          <w:p w14:paraId="4FA1601C" w14:textId="77777777" w:rsidR="00B074FD" w:rsidRPr="00B356CC" w:rsidRDefault="00B074FD" w:rsidP="002403B3">
            <w:pPr>
              <w:pStyle w:val="BodyText"/>
              <w:spacing w:line="276" w:lineRule="auto"/>
              <w:jc w:val="both"/>
              <w:rPr>
                <w:sz w:val="22"/>
                <w:szCs w:val="22"/>
              </w:rPr>
            </w:pPr>
          </w:p>
        </w:tc>
      </w:tr>
      <w:tr w:rsidR="00B074FD" w:rsidRPr="00B356CC" w14:paraId="2FF1C9CE" w14:textId="77777777" w:rsidTr="00C47869">
        <w:tc>
          <w:tcPr>
            <w:tcW w:w="3688" w:type="dxa"/>
          </w:tcPr>
          <w:p w14:paraId="6A711215" w14:textId="3A6E7DA1" w:rsidR="00B074FD" w:rsidRPr="00B356CC" w:rsidRDefault="00591A7A" w:rsidP="002403B3">
            <w:pPr>
              <w:pStyle w:val="BodyText"/>
              <w:spacing w:line="276" w:lineRule="auto"/>
              <w:jc w:val="both"/>
              <w:rPr>
                <w:sz w:val="22"/>
                <w:szCs w:val="22"/>
              </w:rPr>
            </w:pPr>
            <w:r>
              <w:rPr>
                <w:sz w:val="22"/>
                <w:szCs w:val="22"/>
              </w:rPr>
              <w:t>Lymphocytes Decreased</w:t>
            </w:r>
          </w:p>
        </w:tc>
        <w:tc>
          <w:tcPr>
            <w:tcW w:w="1802" w:type="dxa"/>
          </w:tcPr>
          <w:p w14:paraId="0ECFA0B3" w14:textId="116A5BF5" w:rsidR="00B074FD" w:rsidRPr="00B356CC" w:rsidRDefault="00CA2311" w:rsidP="002403B3">
            <w:pPr>
              <w:pStyle w:val="BodyText"/>
              <w:spacing w:line="276" w:lineRule="auto"/>
              <w:jc w:val="both"/>
              <w:rPr>
                <w:sz w:val="22"/>
                <w:szCs w:val="22"/>
              </w:rPr>
            </w:pPr>
            <w:r>
              <w:rPr>
                <w:sz w:val="22"/>
                <w:szCs w:val="22"/>
              </w:rPr>
              <w:t>62</w:t>
            </w:r>
          </w:p>
        </w:tc>
        <w:tc>
          <w:tcPr>
            <w:tcW w:w="1890" w:type="dxa"/>
          </w:tcPr>
          <w:p w14:paraId="4E54AA2D" w14:textId="21B6B8E2" w:rsidR="00B074FD" w:rsidRPr="00B356CC" w:rsidRDefault="00CA2311" w:rsidP="002403B3">
            <w:pPr>
              <w:pStyle w:val="BodyText"/>
              <w:spacing w:line="276" w:lineRule="auto"/>
              <w:jc w:val="both"/>
              <w:rPr>
                <w:sz w:val="22"/>
                <w:szCs w:val="22"/>
              </w:rPr>
            </w:pPr>
            <w:r>
              <w:rPr>
                <w:sz w:val="22"/>
                <w:szCs w:val="22"/>
              </w:rPr>
              <w:t>29</w:t>
            </w:r>
          </w:p>
        </w:tc>
        <w:tc>
          <w:tcPr>
            <w:tcW w:w="1710" w:type="dxa"/>
          </w:tcPr>
          <w:p w14:paraId="21114E33" w14:textId="4727C83E" w:rsidR="00B074FD" w:rsidRPr="00B356CC" w:rsidRDefault="00CA2311" w:rsidP="002403B3">
            <w:pPr>
              <w:pStyle w:val="BodyText"/>
              <w:spacing w:line="276" w:lineRule="auto"/>
              <w:jc w:val="both"/>
              <w:rPr>
                <w:sz w:val="22"/>
                <w:szCs w:val="22"/>
              </w:rPr>
            </w:pPr>
            <w:r>
              <w:rPr>
                <w:sz w:val="22"/>
                <w:szCs w:val="22"/>
              </w:rPr>
              <w:t>13</w:t>
            </w:r>
          </w:p>
        </w:tc>
      </w:tr>
      <w:tr w:rsidR="00B074FD" w:rsidRPr="00B356CC" w14:paraId="451187BF" w14:textId="77777777" w:rsidTr="00C47869">
        <w:tc>
          <w:tcPr>
            <w:tcW w:w="3688" w:type="dxa"/>
          </w:tcPr>
          <w:p w14:paraId="2DC3BE39" w14:textId="6A4ABDE9" w:rsidR="00B074FD" w:rsidRPr="00B356CC" w:rsidRDefault="00591A7A" w:rsidP="002403B3">
            <w:pPr>
              <w:pStyle w:val="BodyText"/>
              <w:spacing w:line="276" w:lineRule="auto"/>
              <w:jc w:val="both"/>
              <w:rPr>
                <w:sz w:val="22"/>
                <w:szCs w:val="22"/>
              </w:rPr>
            </w:pPr>
            <w:r>
              <w:rPr>
                <w:sz w:val="22"/>
                <w:szCs w:val="22"/>
              </w:rPr>
              <w:t>Hemoglobin Decreased</w:t>
            </w:r>
          </w:p>
        </w:tc>
        <w:tc>
          <w:tcPr>
            <w:tcW w:w="1802" w:type="dxa"/>
          </w:tcPr>
          <w:p w14:paraId="49654FB9" w14:textId="6870D600" w:rsidR="00B074FD" w:rsidRPr="00B356CC" w:rsidRDefault="00CA2311" w:rsidP="002403B3">
            <w:pPr>
              <w:pStyle w:val="BodyText"/>
              <w:spacing w:line="276" w:lineRule="auto"/>
              <w:jc w:val="both"/>
              <w:rPr>
                <w:sz w:val="22"/>
                <w:szCs w:val="22"/>
              </w:rPr>
            </w:pPr>
            <w:r>
              <w:rPr>
                <w:sz w:val="22"/>
                <w:szCs w:val="22"/>
              </w:rPr>
              <w:t>79</w:t>
            </w:r>
          </w:p>
        </w:tc>
        <w:tc>
          <w:tcPr>
            <w:tcW w:w="1890" w:type="dxa"/>
          </w:tcPr>
          <w:p w14:paraId="4EB03CD4" w14:textId="0CB6AF5C" w:rsidR="00B074FD" w:rsidRPr="00B356CC" w:rsidRDefault="00CA2311" w:rsidP="002403B3">
            <w:pPr>
              <w:pStyle w:val="BodyText"/>
              <w:spacing w:line="276" w:lineRule="auto"/>
              <w:jc w:val="both"/>
              <w:rPr>
                <w:sz w:val="22"/>
                <w:szCs w:val="22"/>
              </w:rPr>
            </w:pPr>
            <w:r>
              <w:rPr>
                <w:sz w:val="22"/>
                <w:szCs w:val="22"/>
              </w:rPr>
              <w:t>11</w:t>
            </w:r>
          </w:p>
        </w:tc>
        <w:tc>
          <w:tcPr>
            <w:tcW w:w="1710" w:type="dxa"/>
          </w:tcPr>
          <w:p w14:paraId="5A1A7BF0" w14:textId="5C39DFEB" w:rsidR="00B074FD" w:rsidRPr="00B356CC" w:rsidRDefault="00CA2311" w:rsidP="002403B3">
            <w:pPr>
              <w:pStyle w:val="BodyText"/>
              <w:spacing w:line="276" w:lineRule="auto"/>
              <w:jc w:val="both"/>
              <w:rPr>
                <w:sz w:val="22"/>
                <w:szCs w:val="22"/>
              </w:rPr>
            </w:pPr>
            <w:r>
              <w:rPr>
                <w:sz w:val="22"/>
                <w:szCs w:val="22"/>
              </w:rPr>
              <w:t>1</w:t>
            </w:r>
          </w:p>
        </w:tc>
      </w:tr>
      <w:tr w:rsidR="00B074FD" w:rsidRPr="00B356CC" w14:paraId="6E7BD26B" w14:textId="77777777" w:rsidTr="00C47869">
        <w:tc>
          <w:tcPr>
            <w:tcW w:w="3688" w:type="dxa"/>
          </w:tcPr>
          <w:p w14:paraId="157BA1D8" w14:textId="1041FCB6" w:rsidR="00B074FD" w:rsidRPr="00B356CC" w:rsidRDefault="00591A7A" w:rsidP="002403B3">
            <w:pPr>
              <w:pStyle w:val="BodyText"/>
              <w:spacing w:line="276" w:lineRule="auto"/>
              <w:jc w:val="both"/>
              <w:rPr>
                <w:sz w:val="22"/>
                <w:szCs w:val="22"/>
              </w:rPr>
            </w:pPr>
            <w:r>
              <w:rPr>
                <w:sz w:val="22"/>
                <w:szCs w:val="22"/>
              </w:rPr>
              <w:t>Platelets Decreased</w:t>
            </w:r>
          </w:p>
        </w:tc>
        <w:tc>
          <w:tcPr>
            <w:tcW w:w="1802" w:type="dxa"/>
          </w:tcPr>
          <w:p w14:paraId="42FCA520" w14:textId="52A921FD" w:rsidR="00B074FD" w:rsidRPr="00B356CC" w:rsidRDefault="00CA2311" w:rsidP="002403B3">
            <w:pPr>
              <w:pStyle w:val="BodyText"/>
              <w:spacing w:line="276" w:lineRule="auto"/>
              <w:jc w:val="both"/>
              <w:rPr>
                <w:sz w:val="22"/>
                <w:szCs w:val="22"/>
              </w:rPr>
            </w:pPr>
            <w:r>
              <w:rPr>
                <w:sz w:val="22"/>
                <w:szCs w:val="22"/>
              </w:rPr>
              <w:t>82</w:t>
            </w:r>
          </w:p>
        </w:tc>
        <w:tc>
          <w:tcPr>
            <w:tcW w:w="1890" w:type="dxa"/>
          </w:tcPr>
          <w:p w14:paraId="7157854E" w14:textId="509BDC69" w:rsidR="00B074FD" w:rsidRPr="00B356CC" w:rsidRDefault="00CA2311" w:rsidP="002403B3">
            <w:pPr>
              <w:pStyle w:val="BodyText"/>
              <w:spacing w:line="276" w:lineRule="auto"/>
              <w:jc w:val="both"/>
              <w:rPr>
                <w:sz w:val="22"/>
                <w:szCs w:val="22"/>
              </w:rPr>
            </w:pPr>
            <w:r>
              <w:rPr>
                <w:sz w:val="22"/>
                <w:szCs w:val="22"/>
              </w:rPr>
              <w:t>10</w:t>
            </w:r>
          </w:p>
        </w:tc>
        <w:tc>
          <w:tcPr>
            <w:tcW w:w="1710" w:type="dxa"/>
          </w:tcPr>
          <w:p w14:paraId="45A1E285" w14:textId="33501BB4" w:rsidR="00B074FD" w:rsidRPr="00B356CC" w:rsidRDefault="00CA2311" w:rsidP="002403B3">
            <w:pPr>
              <w:pStyle w:val="BodyText"/>
              <w:spacing w:line="276" w:lineRule="auto"/>
              <w:jc w:val="both"/>
              <w:rPr>
                <w:sz w:val="22"/>
                <w:szCs w:val="22"/>
              </w:rPr>
            </w:pPr>
            <w:r>
              <w:rPr>
                <w:sz w:val="22"/>
                <w:szCs w:val="22"/>
              </w:rPr>
              <w:t>5</w:t>
            </w:r>
          </w:p>
        </w:tc>
      </w:tr>
      <w:tr w:rsidR="00B074FD" w:rsidRPr="00B356CC" w14:paraId="024DC660" w14:textId="77777777" w:rsidTr="00C47869">
        <w:tc>
          <w:tcPr>
            <w:tcW w:w="3688" w:type="dxa"/>
          </w:tcPr>
          <w:p w14:paraId="1B6ED1B0" w14:textId="776022C5" w:rsidR="00B074FD" w:rsidRPr="00B356CC" w:rsidRDefault="00591A7A" w:rsidP="002403B3">
            <w:pPr>
              <w:pStyle w:val="BodyText"/>
              <w:spacing w:line="276" w:lineRule="auto"/>
              <w:jc w:val="both"/>
              <w:rPr>
                <w:sz w:val="22"/>
                <w:szCs w:val="22"/>
              </w:rPr>
            </w:pPr>
            <w:r>
              <w:rPr>
                <w:sz w:val="22"/>
                <w:szCs w:val="22"/>
              </w:rPr>
              <w:t>Neutrophil Count Decreased</w:t>
            </w:r>
          </w:p>
        </w:tc>
        <w:tc>
          <w:tcPr>
            <w:tcW w:w="1802" w:type="dxa"/>
          </w:tcPr>
          <w:p w14:paraId="056EFDB8" w14:textId="693B7157" w:rsidR="00B074FD" w:rsidRPr="00B356CC" w:rsidRDefault="00CA2311" w:rsidP="002403B3">
            <w:pPr>
              <w:pStyle w:val="BodyText"/>
              <w:spacing w:line="276" w:lineRule="auto"/>
              <w:jc w:val="both"/>
              <w:rPr>
                <w:sz w:val="22"/>
                <w:szCs w:val="22"/>
              </w:rPr>
            </w:pPr>
            <w:r>
              <w:rPr>
                <w:sz w:val="22"/>
                <w:szCs w:val="22"/>
              </w:rPr>
              <w:t>83</w:t>
            </w:r>
          </w:p>
        </w:tc>
        <w:tc>
          <w:tcPr>
            <w:tcW w:w="1890" w:type="dxa"/>
          </w:tcPr>
          <w:p w14:paraId="0E0838D7" w14:textId="06639791" w:rsidR="00B074FD" w:rsidRPr="00B356CC" w:rsidRDefault="00CA2311" w:rsidP="002403B3">
            <w:pPr>
              <w:pStyle w:val="BodyText"/>
              <w:spacing w:line="276" w:lineRule="auto"/>
              <w:jc w:val="both"/>
              <w:rPr>
                <w:sz w:val="22"/>
                <w:szCs w:val="22"/>
              </w:rPr>
            </w:pPr>
            <w:r>
              <w:rPr>
                <w:sz w:val="22"/>
                <w:szCs w:val="22"/>
              </w:rPr>
              <w:t>8</w:t>
            </w:r>
          </w:p>
        </w:tc>
        <w:tc>
          <w:tcPr>
            <w:tcW w:w="1710" w:type="dxa"/>
          </w:tcPr>
          <w:p w14:paraId="6C793E09" w14:textId="2343A05C" w:rsidR="00B074FD" w:rsidRPr="00B356CC" w:rsidRDefault="00CA2311" w:rsidP="002403B3">
            <w:pPr>
              <w:pStyle w:val="BodyText"/>
              <w:spacing w:line="276" w:lineRule="auto"/>
              <w:jc w:val="both"/>
              <w:rPr>
                <w:sz w:val="22"/>
                <w:szCs w:val="22"/>
              </w:rPr>
            </w:pPr>
            <w:r>
              <w:rPr>
                <w:sz w:val="22"/>
                <w:szCs w:val="22"/>
              </w:rPr>
              <w:t>4</w:t>
            </w:r>
          </w:p>
        </w:tc>
      </w:tr>
    </w:tbl>
    <w:p w14:paraId="1C00D172" w14:textId="7E87C4CD" w:rsidR="0072122E" w:rsidRPr="007C04D2" w:rsidRDefault="0085038E" w:rsidP="002403B3">
      <w:pPr>
        <w:pStyle w:val="Heading3"/>
        <w:spacing w:after="120"/>
        <w:ind w:left="0"/>
        <w:jc w:val="both"/>
        <w:rPr>
          <w:rFonts w:ascii="Times New Roman" w:hAnsi="Times New Roman" w:cs="Times New Roman"/>
          <w:sz w:val="24"/>
          <w:szCs w:val="24"/>
        </w:rPr>
      </w:pPr>
      <w:r w:rsidRPr="007C04D2">
        <w:rPr>
          <w:rFonts w:ascii="Times New Roman" w:hAnsi="Times New Roman" w:cs="Times New Roman"/>
          <w:sz w:val="24"/>
          <w:szCs w:val="24"/>
        </w:rPr>
        <w:t>Description of selected adverse reactions</w:t>
      </w:r>
    </w:p>
    <w:p w14:paraId="0324ECD5" w14:textId="01B8DD42" w:rsidR="0085038E" w:rsidRPr="007C04D2" w:rsidRDefault="0085038E" w:rsidP="002403B3">
      <w:pPr>
        <w:keepNext/>
        <w:autoSpaceDE w:val="0"/>
        <w:autoSpaceDN w:val="0"/>
        <w:adjustRightInd w:val="0"/>
        <w:spacing w:after="120"/>
        <w:jc w:val="both"/>
        <w:rPr>
          <w:rFonts w:ascii="Times New Roman" w:hAnsi="Times New Roman" w:cs="Times New Roman"/>
          <w:i/>
          <w:iCs/>
          <w:sz w:val="24"/>
          <w:szCs w:val="24"/>
        </w:rPr>
      </w:pPr>
      <w:r w:rsidRPr="007C04D2">
        <w:rPr>
          <w:rFonts w:ascii="Times New Roman" w:hAnsi="Times New Roman" w:cs="Times New Roman"/>
          <w:i/>
          <w:iCs/>
          <w:sz w:val="24"/>
          <w:szCs w:val="24"/>
        </w:rPr>
        <w:t xml:space="preserve">Increased ALT or </w:t>
      </w:r>
      <w:r w:rsidR="00B97507">
        <w:rPr>
          <w:rFonts w:ascii="Times New Roman" w:hAnsi="Times New Roman" w:cs="Times New Roman"/>
          <w:i/>
          <w:iCs/>
          <w:sz w:val="24"/>
          <w:szCs w:val="24"/>
        </w:rPr>
        <w:t>AST</w:t>
      </w:r>
    </w:p>
    <w:p w14:paraId="1E2A6756" w14:textId="43FC45AE" w:rsidR="00E73F43" w:rsidRPr="00B356CC" w:rsidRDefault="00E73F43" w:rsidP="002403B3">
      <w:pPr>
        <w:pStyle w:val="BodyText"/>
        <w:spacing w:after="60" w:line="276" w:lineRule="auto"/>
        <w:jc w:val="both"/>
      </w:pPr>
      <w:r w:rsidRPr="00B356CC">
        <w:t xml:space="preserve">Elevations of ALT and AST were reported in patients treated with </w:t>
      </w:r>
      <w:r w:rsidR="003C66D6">
        <w:t>RHOLISTIQ</w:t>
      </w:r>
      <w:r w:rsidRPr="00B356CC">
        <w:t xml:space="preserve"> 200 mg once daily in chronic GVHD trials.  The majority were mild in severity (Grade 1) and resolved with few drug discontinuations, drug interruptions or dose reductions.</w:t>
      </w:r>
    </w:p>
    <w:p w14:paraId="1451DF7A" w14:textId="4FFB8A6E" w:rsidR="0085038E" w:rsidRPr="007C04D2" w:rsidRDefault="00B97507" w:rsidP="002403B3">
      <w:pPr>
        <w:keepNext/>
        <w:autoSpaceDE w:val="0"/>
        <w:autoSpaceDN w:val="0"/>
        <w:adjustRightInd w:val="0"/>
        <w:spacing w:after="120"/>
        <w:jc w:val="both"/>
        <w:rPr>
          <w:rFonts w:ascii="Times New Roman" w:hAnsi="Times New Roman" w:cs="Times New Roman"/>
          <w:i/>
          <w:iCs/>
          <w:sz w:val="24"/>
          <w:szCs w:val="24"/>
        </w:rPr>
      </w:pPr>
      <w:r>
        <w:rPr>
          <w:rFonts w:ascii="Times New Roman" w:hAnsi="Times New Roman" w:cs="Times New Roman"/>
          <w:i/>
          <w:iCs/>
          <w:sz w:val="24"/>
          <w:szCs w:val="24"/>
        </w:rPr>
        <w:t>Cytopenia</w:t>
      </w:r>
    </w:p>
    <w:p w14:paraId="3680EF5F" w14:textId="4009F3DC" w:rsidR="00B97507" w:rsidRPr="00B356CC" w:rsidRDefault="00B97507" w:rsidP="002403B3">
      <w:pPr>
        <w:jc w:val="both"/>
        <w:rPr>
          <w:rFonts w:ascii="Times New Roman" w:hAnsi="Times New Roman" w:cs="Times New Roman"/>
          <w:sz w:val="24"/>
          <w:szCs w:val="24"/>
          <w:lang w:val="en-US"/>
        </w:rPr>
      </w:pPr>
      <w:r w:rsidRPr="00B356CC">
        <w:rPr>
          <w:rFonts w:ascii="Times New Roman" w:hAnsi="Times New Roman" w:cs="Times New Roman"/>
          <w:sz w:val="24"/>
          <w:szCs w:val="24"/>
          <w:lang w:val="en-US"/>
        </w:rPr>
        <w:t xml:space="preserve">Cytopenia was reported in 14.5% of patients treated with </w:t>
      </w:r>
      <w:r w:rsidR="003C66D6">
        <w:rPr>
          <w:rFonts w:ascii="Times New Roman" w:hAnsi="Times New Roman" w:cs="Times New Roman"/>
          <w:sz w:val="24"/>
          <w:szCs w:val="24"/>
          <w:lang w:val="en-US"/>
        </w:rPr>
        <w:t>RHOLISTIQ</w:t>
      </w:r>
      <w:r w:rsidRPr="00B356CC">
        <w:rPr>
          <w:rFonts w:ascii="Times New Roman" w:hAnsi="Times New Roman" w:cs="Times New Roman"/>
          <w:sz w:val="24"/>
          <w:szCs w:val="24"/>
          <w:lang w:val="en-US"/>
        </w:rPr>
        <w:t xml:space="preserve"> 200 mg once daily in chronic GVHD trials, anemia and decreased hemoglobin being the largest group of </w:t>
      </w:r>
      <w:proofErr w:type="spellStart"/>
      <w:r w:rsidRPr="00B356CC">
        <w:rPr>
          <w:rFonts w:ascii="Times New Roman" w:hAnsi="Times New Roman" w:cs="Times New Roman"/>
          <w:sz w:val="24"/>
          <w:szCs w:val="24"/>
          <w:lang w:val="en-US"/>
        </w:rPr>
        <w:t>cytopenias</w:t>
      </w:r>
      <w:proofErr w:type="spellEnd"/>
      <w:r w:rsidRPr="00B356CC">
        <w:rPr>
          <w:rFonts w:ascii="Times New Roman" w:hAnsi="Times New Roman" w:cs="Times New Roman"/>
          <w:sz w:val="24"/>
          <w:szCs w:val="24"/>
          <w:lang w:val="en-US"/>
        </w:rPr>
        <w:t xml:space="preserve">.  Most patients recovered and no drug interruptions, discontinuations or dose reductions were required. Grade 3 </w:t>
      </w:r>
      <w:proofErr w:type="spellStart"/>
      <w:r w:rsidRPr="00B356CC">
        <w:rPr>
          <w:rFonts w:ascii="Times New Roman" w:hAnsi="Times New Roman" w:cs="Times New Roman"/>
          <w:sz w:val="24"/>
          <w:szCs w:val="24"/>
          <w:lang w:val="en-US"/>
        </w:rPr>
        <w:t>cytopenias</w:t>
      </w:r>
      <w:proofErr w:type="spellEnd"/>
      <w:r w:rsidRPr="00B356CC">
        <w:rPr>
          <w:rFonts w:ascii="Times New Roman" w:hAnsi="Times New Roman" w:cs="Times New Roman"/>
          <w:sz w:val="24"/>
          <w:szCs w:val="24"/>
          <w:lang w:val="en-US"/>
        </w:rPr>
        <w:t xml:space="preserve"> were often associated with relapse of the underlying malignancy</w:t>
      </w:r>
      <w:r>
        <w:rPr>
          <w:rFonts w:ascii="Times New Roman" w:hAnsi="Times New Roman" w:cs="Times New Roman"/>
          <w:sz w:val="24"/>
          <w:szCs w:val="24"/>
          <w:lang w:val="en-US"/>
        </w:rPr>
        <w:t>.</w:t>
      </w:r>
    </w:p>
    <w:p w14:paraId="04A094B1" w14:textId="6FD71C45" w:rsidR="002B424E" w:rsidRPr="00D941F4" w:rsidRDefault="002B424E" w:rsidP="0045533E">
      <w:pPr>
        <w:pStyle w:val="Heading3"/>
        <w:spacing w:after="120"/>
        <w:ind w:left="0"/>
        <w:jc w:val="both"/>
        <w:rPr>
          <w:rFonts w:ascii="Times New Roman" w:hAnsi="Times New Roman" w:cs="Times New Roman"/>
          <w:sz w:val="24"/>
          <w:szCs w:val="24"/>
        </w:rPr>
      </w:pPr>
      <w:r w:rsidRPr="00D941F4">
        <w:rPr>
          <w:rFonts w:ascii="Times New Roman" w:hAnsi="Times New Roman" w:cs="Times New Roman"/>
          <w:sz w:val="24"/>
          <w:szCs w:val="24"/>
        </w:rPr>
        <w:t>Reporting suspected adverse effects</w:t>
      </w:r>
    </w:p>
    <w:p w14:paraId="1F7501E6" w14:textId="77777777" w:rsidR="00497C85" w:rsidRPr="009907EF" w:rsidRDefault="00497C85" w:rsidP="002403B3">
      <w:pPr>
        <w:jc w:val="both"/>
        <w:rPr>
          <w:rFonts w:ascii="Times New Roman" w:hAnsi="Times New Roman" w:cs="Times New Roman"/>
        </w:rPr>
      </w:pPr>
      <w:r w:rsidRPr="00D941F4">
        <w:rPr>
          <w:rFonts w:ascii="Times New Roman" w:hAnsi="Times New Roman" w:cs="Times New Roman"/>
          <w:sz w:val="24"/>
          <w:szCs w:val="24"/>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2" w:history="1">
        <w:r w:rsidRPr="00D941F4">
          <w:rPr>
            <w:rStyle w:val="Hyperlink"/>
            <w:rFonts w:ascii="Times New Roman" w:hAnsi="Times New Roman" w:cs="Times New Roman"/>
            <w:sz w:val="24"/>
            <w:szCs w:val="24"/>
            <w:lang w:val="en"/>
          </w:rPr>
          <w:t>www.tga.gov.au/reporting-problems</w:t>
        </w:r>
      </w:hyperlink>
      <w:r w:rsidRPr="009907EF">
        <w:rPr>
          <w:rFonts w:ascii="Times New Roman" w:hAnsi="Times New Roman" w:cs="Times New Roman"/>
          <w:lang w:val="en"/>
        </w:rPr>
        <w:t>.</w:t>
      </w:r>
    </w:p>
    <w:p w14:paraId="66D6A5DA" w14:textId="77777777" w:rsidR="001A3992" w:rsidRPr="0044551D" w:rsidRDefault="001A3992" w:rsidP="002403B3">
      <w:pPr>
        <w:pStyle w:val="Heading2"/>
        <w:keepNext/>
        <w:keepLines/>
        <w:spacing w:before="0" w:after="120"/>
        <w:ind w:left="0" w:firstLine="0"/>
        <w:jc w:val="both"/>
        <w:rPr>
          <w:rFonts w:ascii="Times New Roman" w:hAnsi="Times New Roman" w:cs="Times New Roman"/>
        </w:rPr>
      </w:pPr>
      <w:r w:rsidRPr="0044551D">
        <w:rPr>
          <w:rFonts w:ascii="Times New Roman" w:hAnsi="Times New Roman" w:cs="Times New Roman"/>
        </w:rPr>
        <w:t>Overdose</w:t>
      </w:r>
    </w:p>
    <w:p w14:paraId="45B250B7" w14:textId="35875CF4" w:rsidR="004E0B2C" w:rsidRDefault="004E0B2C" w:rsidP="002403B3">
      <w:pPr>
        <w:spacing w:after="120"/>
        <w:jc w:val="both"/>
        <w:rPr>
          <w:rFonts w:ascii="Times New Roman" w:hAnsi="Times New Roman" w:cs="Times New Roman"/>
          <w:sz w:val="24"/>
          <w:szCs w:val="24"/>
          <w:lang w:val="en"/>
        </w:rPr>
      </w:pPr>
      <w:r w:rsidRPr="004E0B2C">
        <w:rPr>
          <w:rFonts w:ascii="Times New Roman" w:hAnsi="Times New Roman" w:cs="Times New Roman"/>
          <w:sz w:val="24"/>
          <w:szCs w:val="24"/>
          <w:lang w:val="en"/>
        </w:rPr>
        <w:t xml:space="preserve">There is no specific experience in the management of </w:t>
      </w:r>
      <w:r w:rsidR="003C66D6">
        <w:rPr>
          <w:rFonts w:ascii="Times New Roman" w:hAnsi="Times New Roman" w:cs="Times New Roman"/>
          <w:sz w:val="24"/>
          <w:szCs w:val="24"/>
          <w:lang w:val="en"/>
        </w:rPr>
        <w:t>RHOLISTIQ</w:t>
      </w:r>
      <w:r w:rsidRPr="004E0B2C">
        <w:rPr>
          <w:rFonts w:ascii="Times New Roman" w:hAnsi="Times New Roman" w:cs="Times New Roman"/>
          <w:sz w:val="24"/>
          <w:szCs w:val="24"/>
          <w:lang w:val="en"/>
        </w:rPr>
        <w:t xml:space="preserve"> overdose in patients. There is no known antidote for overdoses with </w:t>
      </w:r>
      <w:r w:rsidR="003C66D6">
        <w:rPr>
          <w:rFonts w:ascii="Times New Roman" w:hAnsi="Times New Roman" w:cs="Times New Roman"/>
          <w:sz w:val="24"/>
          <w:szCs w:val="24"/>
          <w:lang w:val="en"/>
        </w:rPr>
        <w:t>RHOLISTIQ</w:t>
      </w:r>
      <w:r w:rsidRPr="004E0B2C">
        <w:rPr>
          <w:rFonts w:ascii="Times New Roman" w:hAnsi="Times New Roman" w:cs="Times New Roman"/>
          <w:sz w:val="24"/>
          <w:szCs w:val="24"/>
          <w:lang w:val="en"/>
        </w:rPr>
        <w:t xml:space="preserve">. Single doses up to 1000 mg have been </w:t>
      </w:r>
      <w:r w:rsidRPr="004E0B2C">
        <w:rPr>
          <w:rFonts w:ascii="Times New Roman" w:hAnsi="Times New Roman" w:cs="Times New Roman"/>
          <w:sz w:val="24"/>
          <w:szCs w:val="24"/>
          <w:lang w:val="en"/>
        </w:rPr>
        <w:lastRenderedPageBreak/>
        <w:t xml:space="preserve">given with acceptable tolerability in healthy volunteers. Appropriate supportive treatment should be given. </w:t>
      </w:r>
    </w:p>
    <w:p w14:paraId="53A5791B" w14:textId="0505AC5E" w:rsidR="00497C85" w:rsidRPr="00D941F4" w:rsidRDefault="00497C85" w:rsidP="002403B3">
      <w:pPr>
        <w:spacing w:after="240"/>
        <w:jc w:val="both"/>
        <w:rPr>
          <w:rFonts w:ascii="Times New Roman" w:hAnsi="Times New Roman" w:cs="Times New Roman"/>
          <w:sz w:val="24"/>
          <w:szCs w:val="24"/>
        </w:rPr>
      </w:pPr>
      <w:r w:rsidRPr="00D941F4">
        <w:rPr>
          <w:rFonts w:ascii="Times New Roman" w:hAnsi="Times New Roman" w:cs="Times New Roman"/>
          <w:sz w:val="24"/>
          <w:szCs w:val="24"/>
          <w:lang w:val="en"/>
        </w:rPr>
        <w:t>For information on the management of overdose, contact the Poisons Information Centre on 13 11 26 (Australia).</w:t>
      </w:r>
    </w:p>
    <w:p w14:paraId="0E23E3A4" w14:textId="77777777" w:rsidR="001A3992" w:rsidRPr="0069374D" w:rsidRDefault="001A3992" w:rsidP="002403B3">
      <w:pPr>
        <w:pStyle w:val="Heading1"/>
        <w:spacing w:before="0" w:after="120"/>
        <w:ind w:left="0" w:firstLine="0"/>
        <w:jc w:val="both"/>
        <w:rPr>
          <w:rFonts w:ascii="Times New Roman" w:hAnsi="Times New Roman" w:cs="Times New Roman"/>
          <w:lang w:val="en-US"/>
        </w:rPr>
      </w:pPr>
      <w:r w:rsidRPr="0069374D">
        <w:rPr>
          <w:rFonts w:ascii="Times New Roman" w:hAnsi="Times New Roman" w:cs="Times New Roman"/>
          <w:lang w:val="en-US"/>
        </w:rPr>
        <w:t>Pharmacological properties</w:t>
      </w:r>
    </w:p>
    <w:p w14:paraId="11E0D476" w14:textId="77777777" w:rsidR="001A3992" w:rsidRPr="00B94B10" w:rsidRDefault="001A3992" w:rsidP="002403B3">
      <w:pPr>
        <w:pStyle w:val="Heading2"/>
        <w:spacing w:before="0" w:after="120"/>
        <w:ind w:left="0" w:firstLine="0"/>
        <w:jc w:val="both"/>
        <w:rPr>
          <w:rFonts w:ascii="Times New Roman" w:hAnsi="Times New Roman" w:cs="Times New Roman"/>
          <w:lang w:val="en-US"/>
        </w:rPr>
      </w:pPr>
      <w:r w:rsidRPr="00B94B10">
        <w:rPr>
          <w:rFonts w:ascii="Times New Roman" w:hAnsi="Times New Roman" w:cs="Times New Roman"/>
          <w:lang w:val="en-US"/>
        </w:rPr>
        <w:t xml:space="preserve">Pharmacodynamic properties </w:t>
      </w:r>
    </w:p>
    <w:p w14:paraId="79436A16" w14:textId="6C90460A" w:rsidR="001A3992" w:rsidRPr="00B94B10" w:rsidRDefault="001A3992" w:rsidP="002403B3">
      <w:pPr>
        <w:pStyle w:val="Heading3"/>
        <w:spacing w:before="0" w:after="120"/>
        <w:ind w:left="0"/>
        <w:jc w:val="both"/>
        <w:rPr>
          <w:rFonts w:ascii="Times New Roman" w:hAnsi="Times New Roman" w:cs="Times New Roman"/>
          <w:sz w:val="24"/>
          <w:szCs w:val="24"/>
        </w:rPr>
      </w:pPr>
      <w:r w:rsidRPr="00B94B10">
        <w:rPr>
          <w:rFonts w:ascii="Times New Roman" w:hAnsi="Times New Roman" w:cs="Times New Roman"/>
          <w:sz w:val="24"/>
          <w:szCs w:val="24"/>
        </w:rPr>
        <w:t>Mechanism of action</w:t>
      </w:r>
    </w:p>
    <w:p w14:paraId="4D321BFA" w14:textId="381A362C" w:rsidR="009B0FF1" w:rsidRPr="00D941F4" w:rsidRDefault="00333E55" w:rsidP="002403B3">
      <w:pPr>
        <w:spacing w:after="120"/>
        <w:jc w:val="both"/>
        <w:rPr>
          <w:rFonts w:ascii="Times New Roman" w:hAnsi="Times New Roman" w:cs="Times New Roman"/>
          <w:sz w:val="24"/>
          <w:szCs w:val="24"/>
        </w:rPr>
      </w:pPr>
      <w:proofErr w:type="spellStart"/>
      <w:r>
        <w:rPr>
          <w:rFonts w:ascii="Times New Roman" w:hAnsi="Times New Roman" w:cs="Times New Roman"/>
          <w:sz w:val="24"/>
          <w:szCs w:val="24"/>
        </w:rPr>
        <w:t>B</w:t>
      </w:r>
      <w:r w:rsidR="00FE747C" w:rsidRPr="00FE747C">
        <w:rPr>
          <w:rFonts w:ascii="Times New Roman" w:hAnsi="Times New Roman" w:cs="Times New Roman"/>
          <w:sz w:val="24"/>
          <w:szCs w:val="24"/>
        </w:rPr>
        <w:t>elumosudil</w:t>
      </w:r>
      <w:proofErr w:type="spellEnd"/>
      <w:r w:rsidR="00FE747C" w:rsidRPr="00FE747C">
        <w:rPr>
          <w:rFonts w:ascii="Times New Roman" w:hAnsi="Times New Roman" w:cs="Times New Roman"/>
          <w:sz w:val="24"/>
          <w:szCs w:val="24"/>
        </w:rPr>
        <w:t xml:space="preserve"> is a potent and selective</w:t>
      </w:r>
      <w:r>
        <w:rPr>
          <w:rFonts w:ascii="Times New Roman" w:hAnsi="Times New Roman" w:cs="Times New Roman"/>
          <w:sz w:val="24"/>
          <w:szCs w:val="24"/>
        </w:rPr>
        <w:t xml:space="preserve"> inhibitor of</w:t>
      </w:r>
      <w:r w:rsidR="00FE747C" w:rsidRPr="00FE747C">
        <w:rPr>
          <w:rFonts w:ascii="Times New Roman" w:hAnsi="Times New Roman" w:cs="Times New Roman"/>
          <w:sz w:val="24"/>
          <w:szCs w:val="24"/>
        </w:rPr>
        <w:t xml:space="preserve"> Rho-associated, coiled-coil containing protein kinase-2 (ROCK2). </w:t>
      </w:r>
      <w:r w:rsidR="00E46500" w:rsidRPr="00E46500">
        <w:rPr>
          <w:rFonts w:ascii="Times New Roman" w:hAnsi="Times New Roman" w:cs="Times New Roman"/>
          <w:sz w:val="24"/>
          <w:szCs w:val="24"/>
        </w:rPr>
        <w:t>In chronic GVHD, naïve T cells</w:t>
      </w:r>
      <w:r w:rsidR="00E46500">
        <w:rPr>
          <w:rFonts w:ascii="Times New Roman" w:hAnsi="Times New Roman" w:cs="Times New Roman"/>
          <w:sz w:val="24"/>
          <w:szCs w:val="24"/>
        </w:rPr>
        <w:t xml:space="preserve"> </w:t>
      </w:r>
      <w:r w:rsidR="006556BA" w:rsidRPr="006556BA">
        <w:rPr>
          <w:rFonts w:ascii="Times New Roman" w:hAnsi="Times New Roman" w:cs="Times New Roman"/>
          <w:sz w:val="24"/>
          <w:szCs w:val="24"/>
        </w:rPr>
        <w:t xml:space="preserve">are skewed to a pro-inflammatory T-cell phenotype, known as Th17, with aberrant activation of ROCK2 promoting the synthesis of the pro-inflammatory </w:t>
      </w:r>
      <w:proofErr w:type="gramStart"/>
      <w:r w:rsidR="006556BA" w:rsidRPr="006556BA">
        <w:rPr>
          <w:rFonts w:ascii="Times New Roman" w:hAnsi="Times New Roman" w:cs="Times New Roman"/>
          <w:sz w:val="24"/>
          <w:szCs w:val="24"/>
        </w:rPr>
        <w:t>cytokines</w:t>
      </w:r>
      <w:proofErr w:type="gramEnd"/>
      <w:r w:rsidR="006556BA" w:rsidRPr="006556BA">
        <w:rPr>
          <w:rFonts w:ascii="Times New Roman" w:hAnsi="Times New Roman" w:cs="Times New Roman"/>
          <w:sz w:val="24"/>
          <w:szCs w:val="24"/>
        </w:rPr>
        <w:t xml:space="preserve"> interleukin-17 (IL-17) and IL-21. ROCK2 activation is also recognised to promote pro-fibrotic processes and suppress regulatory T cells. </w:t>
      </w:r>
      <w:r w:rsidR="006556BA" w:rsidRPr="00F574A5">
        <w:rPr>
          <w:rFonts w:ascii="Times New Roman" w:hAnsi="Times New Roman" w:cs="Times New Roman"/>
          <w:i/>
          <w:iCs/>
          <w:sz w:val="24"/>
          <w:szCs w:val="24"/>
        </w:rPr>
        <w:t>In vitro</w:t>
      </w:r>
      <w:r w:rsidR="006556BA" w:rsidRPr="006556BA">
        <w:rPr>
          <w:rFonts w:ascii="Times New Roman" w:hAnsi="Times New Roman" w:cs="Times New Roman"/>
          <w:sz w:val="24"/>
          <w:szCs w:val="24"/>
        </w:rPr>
        <w:t xml:space="preserve">, </w:t>
      </w:r>
      <w:proofErr w:type="spellStart"/>
      <w:r w:rsidR="006556BA" w:rsidRPr="006556BA">
        <w:rPr>
          <w:rFonts w:ascii="Times New Roman" w:hAnsi="Times New Roman" w:cs="Times New Roman"/>
          <w:sz w:val="24"/>
          <w:szCs w:val="24"/>
        </w:rPr>
        <w:t>belumosudil</w:t>
      </w:r>
      <w:proofErr w:type="spellEnd"/>
      <w:r w:rsidR="006556BA" w:rsidRPr="006556BA">
        <w:rPr>
          <w:rFonts w:ascii="Times New Roman" w:hAnsi="Times New Roman" w:cs="Times New Roman"/>
          <w:sz w:val="24"/>
          <w:szCs w:val="24"/>
        </w:rPr>
        <w:t xml:space="preserve"> was shown to suppress IL-17 and IL-21 release from human peripheral blood mononuclear cells and to shift the Th17/Treg balance of human T cells (mediated via downregulation of STAT3 phosphorylation and upregulation of STAT5 phosphorylation, respectively). Anti-fibrotic activity was evident for </w:t>
      </w:r>
      <w:proofErr w:type="spellStart"/>
      <w:r w:rsidR="006556BA" w:rsidRPr="006556BA">
        <w:rPr>
          <w:rFonts w:ascii="Times New Roman" w:hAnsi="Times New Roman" w:cs="Times New Roman"/>
          <w:sz w:val="24"/>
          <w:szCs w:val="24"/>
        </w:rPr>
        <w:t>belumosudil</w:t>
      </w:r>
      <w:proofErr w:type="spellEnd"/>
      <w:r w:rsidR="006556BA" w:rsidRPr="006556BA">
        <w:rPr>
          <w:rFonts w:ascii="Times New Roman" w:hAnsi="Times New Roman" w:cs="Times New Roman"/>
          <w:sz w:val="24"/>
          <w:szCs w:val="24"/>
        </w:rPr>
        <w:t xml:space="preserve"> in experiments with cultured human lung fibroblasts.</w:t>
      </w:r>
      <w:r w:rsidR="006556BA">
        <w:rPr>
          <w:rFonts w:ascii="Times New Roman" w:hAnsi="Times New Roman" w:cs="Times New Roman"/>
          <w:sz w:val="24"/>
          <w:szCs w:val="24"/>
        </w:rPr>
        <w:t xml:space="preserve"> </w:t>
      </w:r>
      <w:r w:rsidR="00FE747C" w:rsidRPr="00F574A5">
        <w:rPr>
          <w:rFonts w:ascii="Times New Roman" w:hAnsi="Times New Roman" w:cs="Times New Roman"/>
          <w:i/>
          <w:iCs/>
          <w:sz w:val="24"/>
          <w:szCs w:val="24"/>
        </w:rPr>
        <w:t>In vivo,</w:t>
      </w:r>
      <w:r w:rsidR="00FE747C" w:rsidRPr="00FE747C">
        <w:rPr>
          <w:rFonts w:ascii="Times New Roman" w:hAnsi="Times New Roman" w:cs="Times New Roman"/>
          <w:sz w:val="24"/>
          <w:szCs w:val="24"/>
        </w:rPr>
        <w:t xml:space="preserve"> </w:t>
      </w:r>
      <w:proofErr w:type="spellStart"/>
      <w:r w:rsidR="006556BA">
        <w:rPr>
          <w:rFonts w:ascii="Times New Roman" w:hAnsi="Times New Roman" w:cs="Times New Roman"/>
          <w:sz w:val="24"/>
          <w:szCs w:val="24"/>
        </w:rPr>
        <w:t>belumosudil</w:t>
      </w:r>
      <w:proofErr w:type="spellEnd"/>
      <w:r w:rsidR="00FE747C" w:rsidRPr="00FE747C">
        <w:rPr>
          <w:rFonts w:ascii="Times New Roman" w:hAnsi="Times New Roman" w:cs="Times New Roman"/>
          <w:sz w:val="24"/>
          <w:szCs w:val="24"/>
        </w:rPr>
        <w:t xml:space="preserve"> demonstrated efficacy in </w:t>
      </w:r>
      <w:r w:rsidR="006556BA">
        <w:rPr>
          <w:rFonts w:ascii="Times New Roman" w:hAnsi="Times New Roman" w:cs="Times New Roman"/>
          <w:sz w:val="24"/>
          <w:szCs w:val="24"/>
        </w:rPr>
        <w:t xml:space="preserve">mice </w:t>
      </w:r>
      <w:r w:rsidR="00FE747C" w:rsidRPr="00FE747C">
        <w:rPr>
          <w:rFonts w:ascii="Times New Roman" w:hAnsi="Times New Roman" w:cs="Times New Roman"/>
          <w:sz w:val="24"/>
          <w:szCs w:val="24"/>
        </w:rPr>
        <w:t>models of chronic GVHD.</w:t>
      </w:r>
    </w:p>
    <w:p w14:paraId="2A49C92D" w14:textId="47649BC9" w:rsidR="001A3992" w:rsidRDefault="001A3992" w:rsidP="002403B3">
      <w:pPr>
        <w:pStyle w:val="Heading3"/>
        <w:spacing w:before="0" w:after="120"/>
        <w:ind w:left="0"/>
        <w:jc w:val="both"/>
        <w:rPr>
          <w:rFonts w:ascii="Times New Roman" w:hAnsi="Times New Roman" w:cs="Times New Roman"/>
          <w:sz w:val="24"/>
          <w:szCs w:val="24"/>
          <w:lang w:val="en-US"/>
        </w:rPr>
      </w:pPr>
      <w:bookmarkStart w:id="21" w:name="_Clinical_trials"/>
      <w:bookmarkEnd w:id="21"/>
      <w:r w:rsidRPr="002D6CC1">
        <w:rPr>
          <w:rFonts w:ascii="Times New Roman" w:hAnsi="Times New Roman" w:cs="Times New Roman"/>
          <w:sz w:val="24"/>
          <w:szCs w:val="24"/>
        </w:rPr>
        <w:t>Clinical</w:t>
      </w:r>
      <w:r w:rsidRPr="002D6CC1">
        <w:rPr>
          <w:rFonts w:ascii="Times New Roman" w:hAnsi="Times New Roman" w:cs="Times New Roman"/>
          <w:sz w:val="24"/>
          <w:szCs w:val="24"/>
          <w:lang w:val="en-US"/>
        </w:rPr>
        <w:t xml:space="preserve"> trials</w:t>
      </w:r>
    </w:p>
    <w:p w14:paraId="79B9483B" w14:textId="32BAE591" w:rsidR="00715BB7" w:rsidRPr="00715BB7" w:rsidRDefault="00715BB7" w:rsidP="002403B3">
      <w:pPr>
        <w:spacing w:after="120"/>
        <w:jc w:val="both"/>
        <w:rPr>
          <w:rFonts w:ascii="Times New Roman" w:hAnsi="Times New Roman" w:cs="Times New Roman"/>
          <w:sz w:val="24"/>
          <w:szCs w:val="24"/>
          <w:u w:val="single"/>
        </w:rPr>
      </w:pPr>
      <w:r w:rsidRPr="00715BB7">
        <w:rPr>
          <w:rFonts w:ascii="Times New Roman" w:hAnsi="Times New Roman" w:cs="Times New Roman"/>
          <w:sz w:val="24"/>
          <w:szCs w:val="24"/>
          <w:u w:val="single"/>
        </w:rPr>
        <w:t>Chronic Graft versus Host Disease</w:t>
      </w:r>
    </w:p>
    <w:p w14:paraId="0B151D10" w14:textId="4C4D8BC4" w:rsidR="00ED6D8B" w:rsidRPr="00ED6D8B" w:rsidRDefault="00D97697" w:rsidP="002403B3">
      <w:pPr>
        <w:spacing w:after="60"/>
        <w:jc w:val="both"/>
        <w:rPr>
          <w:rFonts w:ascii="Times New Roman" w:hAnsi="Times New Roman" w:cs="Times New Roman"/>
          <w:sz w:val="24"/>
          <w:szCs w:val="24"/>
        </w:rPr>
      </w:pPr>
      <w:r w:rsidRPr="00682A71">
        <w:rPr>
          <w:rFonts w:ascii="Times New Roman" w:hAnsi="Times New Roman" w:cs="Times New Roman"/>
          <w:sz w:val="24"/>
          <w:szCs w:val="24"/>
        </w:rPr>
        <w:t xml:space="preserve">Study </w:t>
      </w:r>
      <w:r w:rsidR="00DD3751">
        <w:rPr>
          <w:rFonts w:ascii="Times New Roman" w:hAnsi="Times New Roman" w:cs="Times New Roman"/>
          <w:sz w:val="24"/>
          <w:szCs w:val="24"/>
        </w:rPr>
        <w:t>KD02</w:t>
      </w:r>
      <w:r w:rsidR="00DF5BDB">
        <w:rPr>
          <w:rFonts w:ascii="Times New Roman" w:hAnsi="Times New Roman" w:cs="Times New Roman"/>
          <w:sz w:val="24"/>
          <w:szCs w:val="24"/>
        </w:rPr>
        <w:t>5</w:t>
      </w:r>
      <w:r w:rsidR="00DD3751">
        <w:rPr>
          <w:rFonts w:ascii="Times New Roman" w:hAnsi="Times New Roman" w:cs="Times New Roman"/>
          <w:sz w:val="24"/>
          <w:szCs w:val="24"/>
        </w:rPr>
        <w:t>-213</w:t>
      </w:r>
      <w:r w:rsidRPr="00682A71">
        <w:rPr>
          <w:rFonts w:ascii="Times New Roman" w:hAnsi="Times New Roman" w:cs="Times New Roman"/>
          <w:sz w:val="24"/>
          <w:szCs w:val="24"/>
        </w:rPr>
        <w:t xml:space="preserve"> (NCT03640481)</w:t>
      </w:r>
      <w:r w:rsidR="00DD3751">
        <w:rPr>
          <w:rFonts w:ascii="Times New Roman" w:hAnsi="Times New Roman" w:cs="Times New Roman"/>
          <w:sz w:val="24"/>
          <w:szCs w:val="24"/>
        </w:rPr>
        <w:t xml:space="preserve"> </w:t>
      </w:r>
      <w:r w:rsidRPr="00682A71">
        <w:rPr>
          <w:rFonts w:ascii="Times New Roman" w:hAnsi="Times New Roman" w:cs="Times New Roman"/>
          <w:sz w:val="24"/>
          <w:szCs w:val="24"/>
        </w:rPr>
        <w:t>was a randomi</w:t>
      </w:r>
      <w:r w:rsidR="00232C0F">
        <w:rPr>
          <w:rFonts w:ascii="Times New Roman" w:hAnsi="Times New Roman" w:cs="Times New Roman"/>
          <w:sz w:val="24"/>
          <w:szCs w:val="24"/>
        </w:rPr>
        <w:t>s</w:t>
      </w:r>
      <w:r w:rsidRPr="00682A71">
        <w:rPr>
          <w:rFonts w:ascii="Times New Roman" w:hAnsi="Times New Roman" w:cs="Times New Roman"/>
          <w:sz w:val="24"/>
          <w:szCs w:val="24"/>
        </w:rPr>
        <w:t xml:space="preserve">ed, open-label, </w:t>
      </w:r>
      <w:r w:rsidR="00682A71" w:rsidRPr="00682A71">
        <w:rPr>
          <w:rFonts w:ascii="Times New Roman" w:hAnsi="Times New Roman" w:cs="Times New Roman"/>
          <w:sz w:val="24"/>
          <w:szCs w:val="24"/>
        </w:rPr>
        <w:t>multicentre</w:t>
      </w:r>
      <w:r w:rsidRPr="00682A71">
        <w:rPr>
          <w:rFonts w:ascii="Times New Roman" w:hAnsi="Times New Roman" w:cs="Times New Roman"/>
          <w:sz w:val="24"/>
          <w:szCs w:val="24"/>
        </w:rPr>
        <w:t xml:space="preserve"> study of </w:t>
      </w:r>
      <w:r w:rsidR="003C66D6">
        <w:rPr>
          <w:rFonts w:ascii="Times New Roman" w:hAnsi="Times New Roman" w:cs="Times New Roman"/>
          <w:sz w:val="24"/>
          <w:szCs w:val="24"/>
        </w:rPr>
        <w:t>RHOLISTIQ</w:t>
      </w:r>
      <w:r w:rsidRPr="00682A71">
        <w:rPr>
          <w:rFonts w:ascii="Times New Roman" w:hAnsi="Times New Roman" w:cs="Times New Roman"/>
          <w:sz w:val="24"/>
          <w:szCs w:val="24"/>
        </w:rPr>
        <w:t xml:space="preserve"> for treatment of patients with chronic GVHD who had received 2 to 5 prior lines of systemic therapy and required additional </w:t>
      </w:r>
      <w:r w:rsidR="00ED6D8B">
        <w:rPr>
          <w:rFonts w:ascii="Times New Roman" w:hAnsi="Times New Roman" w:cs="Times New Roman"/>
          <w:sz w:val="24"/>
          <w:szCs w:val="24"/>
        </w:rPr>
        <w:t>treatment</w:t>
      </w:r>
      <w:r w:rsidRPr="00682A71">
        <w:rPr>
          <w:rFonts w:ascii="Times New Roman" w:hAnsi="Times New Roman" w:cs="Times New Roman"/>
          <w:sz w:val="24"/>
          <w:szCs w:val="24"/>
        </w:rPr>
        <w:t xml:space="preserve">.  </w:t>
      </w:r>
      <w:r w:rsidR="00315EF4" w:rsidRPr="00125A7F">
        <w:rPr>
          <w:rFonts w:ascii="Times New Roman" w:hAnsi="Times New Roman" w:cs="Times New Roman"/>
          <w:sz w:val="24"/>
          <w:szCs w:val="24"/>
        </w:rPr>
        <w:t>Patients were randomi</w:t>
      </w:r>
      <w:r w:rsidR="000F2C7A" w:rsidRPr="00125A7F">
        <w:rPr>
          <w:rFonts w:ascii="Times New Roman" w:hAnsi="Times New Roman" w:cs="Times New Roman"/>
          <w:sz w:val="24"/>
          <w:szCs w:val="24"/>
        </w:rPr>
        <w:t>s</w:t>
      </w:r>
      <w:r w:rsidR="00315EF4" w:rsidRPr="00125A7F">
        <w:rPr>
          <w:rFonts w:ascii="Times New Roman" w:hAnsi="Times New Roman" w:cs="Times New Roman"/>
          <w:sz w:val="24"/>
          <w:szCs w:val="24"/>
        </w:rPr>
        <w:t xml:space="preserve">ed to receive </w:t>
      </w:r>
      <w:r w:rsidR="000F2C7A" w:rsidRPr="00125A7F">
        <w:rPr>
          <w:rFonts w:ascii="Times New Roman" w:hAnsi="Times New Roman" w:cs="Times New Roman"/>
          <w:sz w:val="24"/>
          <w:szCs w:val="24"/>
        </w:rPr>
        <w:t xml:space="preserve">200 mg </w:t>
      </w:r>
      <w:r w:rsidR="004623AD" w:rsidRPr="00125A7F">
        <w:rPr>
          <w:rFonts w:ascii="Times New Roman" w:hAnsi="Times New Roman" w:cs="Times New Roman"/>
          <w:sz w:val="24"/>
          <w:szCs w:val="24"/>
        </w:rPr>
        <w:t>once daily</w:t>
      </w:r>
      <w:r w:rsidR="00D11638" w:rsidRPr="00125A7F">
        <w:rPr>
          <w:rFonts w:ascii="Times New Roman" w:hAnsi="Times New Roman" w:cs="Times New Roman"/>
          <w:sz w:val="24"/>
          <w:szCs w:val="24"/>
        </w:rPr>
        <w:t xml:space="preserve"> (N=66)</w:t>
      </w:r>
      <w:r w:rsidR="004623AD" w:rsidRPr="00125A7F">
        <w:rPr>
          <w:rFonts w:ascii="Times New Roman" w:hAnsi="Times New Roman" w:cs="Times New Roman"/>
          <w:sz w:val="24"/>
          <w:szCs w:val="24"/>
        </w:rPr>
        <w:t xml:space="preserve"> or 200 mg twice daily</w:t>
      </w:r>
      <w:r w:rsidR="00D11638" w:rsidRPr="00125A7F">
        <w:rPr>
          <w:rFonts w:ascii="Times New Roman" w:hAnsi="Times New Roman" w:cs="Times New Roman"/>
          <w:sz w:val="24"/>
          <w:szCs w:val="24"/>
        </w:rPr>
        <w:t xml:space="preserve"> (N=66)</w:t>
      </w:r>
      <w:r w:rsidR="004623AD" w:rsidRPr="00125A7F">
        <w:rPr>
          <w:rFonts w:ascii="Times New Roman" w:hAnsi="Times New Roman" w:cs="Times New Roman"/>
          <w:sz w:val="24"/>
          <w:szCs w:val="24"/>
        </w:rPr>
        <w:t xml:space="preserve"> of RHOLISTIQ</w:t>
      </w:r>
      <w:r w:rsidR="004623AD">
        <w:rPr>
          <w:rFonts w:ascii="Times New Roman" w:hAnsi="Times New Roman" w:cs="Times New Roman"/>
          <w:sz w:val="24"/>
          <w:szCs w:val="24"/>
        </w:rPr>
        <w:t xml:space="preserve">. </w:t>
      </w:r>
      <w:r w:rsidR="00ED6D8B" w:rsidRPr="00E9282F">
        <w:rPr>
          <w:rFonts w:ascii="Times New Roman" w:hAnsi="Times New Roman" w:cs="Times New Roman"/>
          <w:sz w:val="24"/>
          <w:szCs w:val="24"/>
        </w:rPr>
        <w:t>Patients were excluded from the studies if platelets were &lt; 50 × 10</w:t>
      </w:r>
      <w:r w:rsidR="00ED6D8B" w:rsidRPr="00E9282F">
        <w:rPr>
          <w:rFonts w:ascii="Times New Roman" w:hAnsi="Times New Roman" w:cs="Times New Roman"/>
          <w:sz w:val="24"/>
          <w:szCs w:val="24"/>
          <w:vertAlign w:val="superscript"/>
        </w:rPr>
        <w:t>9</w:t>
      </w:r>
      <w:r w:rsidR="00ED6D8B" w:rsidRPr="00E9282F">
        <w:rPr>
          <w:rFonts w:ascii="Times New Roman" w:hAnsi="Times New Roman" w:cs="Times New Roman"/>
          <w:sz w:val="24"/>
          <w:szCs w:val="24"/>
        </w:rPr>
        <w:t>/L; absolute neutrophil count &lt; 1.5 × 10</w:t>
      </w:r>
      <w:r w:rsidR="00ED6D8B" w:rsidRPr="00E9282F">
        <w:rPr>
          <w:rFonts w:ascii="Times New Roman" w:hAnsi="Times New Roman" w:cs="Times New Roman"/>
          <w:sz w:val="24"/>
          <w:szCs w:val="24"/>
          <w:vertAlign w:val="superscript"/>
        </w:rPr>
        <w:t>9</w:t>
      </w:r>
      <w:r w:rsidR="00ED6D8B" w:rsidRPr="00E9282F">
        <w:rPr>
          <w:rFonts w:ascii="Times New Roman" w:hAnsi="Times New Roman" w:cs="Times New Roman"/>
          <w:sz w:val="24"/>
          <w:szCs w:val="24"/>
        </w:rPr>
        <w:t xml:space="preserve">/L; AST or ALT &gt; 3 × ULN; total bilirubin &gt; 1.5 × ULN; QTc(F) &gt; 480 </w:t>
      </w:r>
      <w:proofErr w:type="spellStart"/>
      <w:r w:rsidR="00ED6D8B" w:rsidRPr="00E9282F">
        <w:rPr>
          <w:rFonts w:ascii="Times New Roman" w:hAnsi="Times New Roman" w:cs="Times New Roman"/>
          <w:sz w:val="24"/>
          <w:szCs w:val="24"/>
        </w:rPr>
        <w:t>ms</w:t>
      </w:r>
      <w:proofErr w:type="spellEnd"/>
      <w:r w:rsidR="00ED6D8B" w:rsidRPr="00E9282F">
        <w:rPr>
          <w:rFonts w:ascii="Times New Roman" w:hAnsi="Times New Roman" w:cs="Times New Roman"/>
          <w:sz w:val="24"/>
          <w:szCs w:val="24"/>
        </w:rPr>
        <w:t>; eGFR &lt; 30 mL/min/1.73 m</w:t>
      </w:r>
      <w:r w:rsidR="00ED6D8B" w:rsidRPr="00E9282F">
        <w:rPr>
          <w:rFonts w:ascii="Times New Roman" w:hAnsi="Times New Roman" w:cs="Times New Roman"/>
          <w:sz w:val="24"/>
          <w:szCs w:val="24"/>
          <w:vertAlign w:val="superscript"/>
        </w:rPr>
        <w:t>2</w:t>
      </w:r>
      <w:r w:rsidR="00ED6D8B" w:rsidRPr="00E9282F">
        <w:rPr>
          <w:rFonts w:ascii="Times New Roman" w:hAnsi="Times New Roman" w:cs="Times New Roman"/>
          <w:sz w:val="24"/>
          <w:szCs w:val="24"/>
        </w:rPr>
        <w:t>; or FEV1 ≤ 39%. There were 66 patients treated with R</w:t>
      </w:r>
      <w:r w:rsidR="00383D72">
        <w:rPr>
          <w:rFonts w:ascii="Times New Roman" w:hAnsi="Times New Roman" w:cs="Times New Roman"/>
          <w:sz w:val="24"/>
          <w:szCs w:val="24"/>
        </w:rPr>
        <w:t>HOLISTIQ</w:t>
      </w:r>
      <w:r w:rsidR="00ED6D8B" w:rsidRPr="00E9282F">
        <w:rPr>
          <w:rFonts w:ascii="Times New Roman" w:hAnsi="Times New Roman" w:cs="Times New Roman"/>
          <w:sz w:val="24"/>
          <w:szCs w:val="24"/>
        </w:rPr>
        <w:t xml:space="preserve"> 200 mg taken orally once daily. Concomitant treatment with supportive care therapies for chronic GVHD was permitted. Concomitant treatment with GVHD prophylaxis and standard care systemic chronic GVHD therapies was permitted </w:t>
      </w:r>
      <w:proofErr w:type="gramStart"/>
      <w:r w:rsidR="00ED6D8B" w:rsidRPr="00E9282F">
        <w:rPr>
          <w:rFonts w:ascii="Times New Roman" w:hAnsi="Times New Roman" w:cs="Times New Roman"/>
          <w:sz w:val="24"/>
          <w:szCs w:val="24"/>
        </w:rPr>
        <w:t>as long as</w:t>
      </w:r>
      <w:proofErr w:type="gramEnd"/>
      <w:r w:rsidR="00ED6D8B" w:rsidRPr="00E9282F">
        <w:rPr>
          <w:rFonts w:ascii="Times New Roman" w:hAnsi="Times New Roman" w:cs="Times New Roman"/>
          <w:sz w:val="24"/>
          <w:szCs w:val="24"/>
        </w:rPr>
        <w:t xml:space="preserve"> the subject has been on a stable dose for at least 2 weeks prior to study. Initiation of new systemic chronic GVHD therapy while on study was not permitted.</w:t>
      </w:r>
    </w:p>
    <w:p w14:paraId="46E03970" w14:textId="27F5B133" w:rsidR="00D97697" w:rsidRPr="00682A71" w:rsidRDefault="00D97697" w:rsidP="002403B3">
      <w:pPr>
        <w:jc w:val="both"/>
        <w:rPr>
          <w:rFonts w:ascii="Times New Roman" w:hAnsi="Times New Roman" w:cs="Times New Roman"/>
          <w:sz w:val="24"/>
          <w:szCs w:val="24"/>
        </w:rPr>
      </w:pPr>
      <w:r w:rsidRPr="00682A71">
        <w:rPr>
          <w:rFonts w:ascii="Times New Roman" w:hAnsi="Times New Roman" w:cs="Times New Roman"/>
          <w:sz w:val="24"/>
          <w:szCs w:val="24"/>
        </w:rPr>
        <w:t>Demographics and baseline characteristics are summari</w:t>
      </w:r>
      <w:r w:rsidR="00232C0F">
        <w:rPr>
          <w:rFonts w:ascii="Times New Roman" w:hAnsi="Times New Roman" w:cs="Times New Roman"/>
          <w:sz w:val="24"/>
          <w:szCs w:val="24"/>
        </w:rPr>
        <w:t>s</w:t>
      </w:r>
      <w:r w:rsidRPr="00682A71">
        <w:rPr>
          <w:rFonts w:ascii="Times New Roman" w:hAnsi="Times New Roman" w:cs="Times New Roman"/>
          <w:sz w:val="24"/>
          <w:szCs w:val="24"/>
        </w:rPr>
        <w:t>ed in</w:t>
      </w:r>
      <w:r w:rsidR="00E776F3" w:rsidRPr="00E776F3">
        <w:rPr>
          <w:rFonts w:ascii="Times New Roman" w:hAnsi="Times New Roman" w:cs="Times New Roman"/>
          <w:sz w:val="24"/>
          <w:szCs w:val="24"/>
        </w:rPr>
        <w:t xml:space="preserve"> Table 6</w:t>
      </w:r>
      <w:r w:rsidRPr="00682A71">
        <w:rPr>
          <w:rFonts w:ascii="Times New Roman" w:hAnsi="Times New Roman" w:cs="Times New Roman"/>
          <w:sz w:val="24"/>
          <w:szCs w:val="24"/>
        </w:rPr>
        <w:t xml:space="preserve">.  </w:t>
      </w:r>
    </w:p>
    <w:p w14:paraId="230849E4" w14:textId="086D30AD" w:rsidR="00D97697" w:rsidRPr="00682A71" w:rsidRDefault="00D97697" w:rsidP="002403B3">
      <w:pPr>
        <w:pStyle w:val="Caption"/>
        <w:spacing w:line="276" w:lineRule="auto"/>
        <w:jc w:val="both"/>
        <w:rPr>
          <w:rFonts w:ascii="Times New Roman" w:hAnsi="Times New Roman"/>
          <w:b w:val="0"/>
          <w:sz w:val="24"/>
          <w:szCs w:val="24"/>
        </w:rPr>
      </w:pPr>
      <w:bookmarkStart w:id="22" w:name="_Ref44939364"/>
      <w:bookmarkStart w:id="23" w:name="_Ref45877009"/>
      <w:r w:rsidRPr="00410951">
        <w:rPr>
          <w:rFonts w:ascii="Times New Roman" w:hAnsi="Times New Roman"/>
          <w:sz w:val="24"/>
          <w:szCs w:val="24"/>
        </w:rPr>
        <w:lastRenderedPageBreak/>
        <w:t>Table</w:t>
      </w:r>
      <w:bookmarkEnd w:id="22"/>
      <w:bookmarkEnd w:id="23"/>
      <w:r w:rsidR="00410951" w:rsidRPr="00E9282F">
        <w:rPr>
          <w:rFonts w:ascii="Times New Roman" w:hAnsi="Times New Roman"/>
          <w:sz w:val="24"/>
          <w:szCs w:val="24"/>
        </w:rPr>
        <w:t xml:space="preserve"> 6</w:t>
      </w:r>
      <w:r w:rsidRPr="00682A71">
        <w:rPr>
          <w:rFonts w:ascii="Times New Roman" w:hAnsi="Times New Roman"/>
          <w:sz w:val="24"/>
          <w:szCs w:val="24"/>
        </w:rPr>
        <w:t>: Demographics and Baseline Characteristics</w:t>
      </w:r>
      <w:r w:rsidR="00F00612">
        <w:rPr>
          <w:rFonts w:ascii="Times New Roman" w:hAnsi="Times New Roman"/>
          <w:sz w:val="24"/>
          <w:szCs w:val="24"/>
        </w:rPr>
        <w:t xml:space="preserve"> of Patients with </w:t>
      </w:r>
      <w:r w:rsidR="00282D68">
        <w:rPr>
          <w:rFonts w:ascii="Times New Roman" w:hAnsi="Times New Roman"/>
          <w:sz w:val="24"/>
          <w:szCs w:val="24"/>
        </w:rPr>
        <w:t>C</w:t>
      </w:r>
      <w:r w:rsidRPr="00682A71">
        <w:rPr>
          <w:rFonts w:ascii="Times New Roman" w:hAnsi="Times New Roman"/>
          <w:sz w:val="24"/>
          <w:szCs w:val="24"/>
        </w:rPr>
        <w:t xml:space="preserve">hronic GVHD </w:t>
      </w:r>
    </w:p>
    <w:tbl>
      <w:tblPr>
        <w:tblStyle w:val="TableGrid"/>
        <w:tblW w:w="9090" w:type="dxa"/>
        <w:tblInd w:w="-5" w:type="dxa"/>
        <w:tblLook w:val="04A0" w:firstRow="1" w:lastRow="0" w:firstColumn="1" w:lastColumn="0" w:noHBand="0" w:noVBand="1"/>
      </w:tblPr>
      <w:tblGrid>
        <w:gridCol w:w="6030"/>
        <w:gridCol w:w="3060"/>
      </w:tblGrid>
      <w:tr w:rsidR="005B07D0" w:rsidRPr="00E776F3" w14:paraId="51FD1479" w14:textId="77777777" w:rsidTr="00E9282F">
        <w:trPr>
          <w:tblHeader/>
        </w:trPr>
        <w:tc>
          <w:tcPr>
            <w:tcW w:w="6030" w:type="dxa"/>
          </w:tcPr>
          <w:p w14:paraId="3B61F7C2" w14:textId="77777777" w:rsidR="005B07D0" w:rsidRPr="00E776F3" w:rsidRDefault="005B07D0" w:rsidP="002403B3">
            <w:pPr>
              <w:pStyle w:val="BodyText"/>
              <w:spacing w:line="276" w:lineRule="auto"/>
              <w:jc w:val="both"/>
              <w:rPr>
                <w:b/>
                <w:sz w:val="22"/>
                <w:szCs w:val="22"/>
              </w:rPr>
            </w:pPr>
          </w:p>
        </w:tc>
        <w:tc>
          <w:tcPr>
            <w:tcW w:w="3060" w:type="dxa"/>
          </w:tcPr>
          <w:p w14:paraId="1146A173" w14:textId="05285ACF" w:rsidR="00282D68" w:rsidRDefault="00282D68" w:rsidP="002403B3">
            <w:pPr>
              <w:pStyle w:val="BodyText"/>
              <w:spacing w:line="276" w:lineRule="auto"/>
              <w:jc w:val="both"/>
              <w:rPr>
                <w:b/>
                <w:sz w:val="22"/>
                <w:szCs w:val="22"/>
              </w:rPr>
            </w:pPr>
            <w:r>
              <w:rPr>
                <w:b/>
                <w:sz w:val="22"/>
                <w:szCs w:val="22"/>
              </w:rPr>
              <w:t>RHOLISTIQ</w:t>
            </w:r>
          </w:p>
          <w:p w14:paraId="386A9004" w14:textId="5FF114BE" w:rsidR="005B07D0" w:rsidRPr="00E776F3" w:rsidRDefault="005B07D0" w:rsidP="002403B3">
            <w:pPr>
              <w:pStyle w:val="BodyText"/>
              <w:spacing w:line="276" w:lineRule="auto"/>
              <w:jc w:val="both"/>
              <w:rPr>
                <w:b/>
                <w:sz w:val="22"/>
                <w:szCs w:val="22"/>
              </w:rPr>
            </w:pPr>
            <w:r w:rsidRPr="00E776F3">
              <w:rPr>
                <w:b/>
                <w:sz w:val="22"/>
                <w:szCs w:val="22"/>
              </w:rPr>
              <w:t>200 mg once daily</w:t>
            </w:r>
            <w:r w:rsidRPr="00E776F3">
              <w:rPr>
                <w:b/>
                <w:sz w:val="22"/>
                <w:szCs w:val="22"/>
              </w:rPr>
              <w:br/>
              <w:t>(N=</w:t>
            </w:r>
            <w:proofErr w:type="gramStart"/>
            <w:r w:rsidR="00282D68">
              <w:rPr>
                <w:b/>
                <w:sz w:val="22"/>
                <w:szCs w:val="22"/>
              </w:rPr>
              <w:t>65</w:t>
            </w:r>
            <w:r w:rsidRPr="00E776F3">
              <w:rPr>
                <w:b/>
                <w:sz w:val="22"/>
                <w:szCs w:val="22"/>
              </w:rPr>
              <w:t>)</w:t>
            </w:r>
            <w:r w:rsidR="00E178ED" w:rsidRPr="00E9282F">
              <w:rPr>
                <w:b/>
                <w:sz w:val="22"/>
                <w:szCs w:val="22"/>
                <w:vertAlign w:val="superscript"/>
              </w:rPr>
              <w:t>a</w:t>
            </w:r>
            <w:proofErr w:type="gramEnd"/>
          </w:p>
        </w:tc>
      </w:tr>
      <w:tr w:rsidR="005B07D0" w:rsidRPr="00E776F3" w14:paraId="4FAD1F44" w14:textId="77777777" w:rsidTr="00E9282F">
        <w:tc>
          <w:tcPr>
            <w:tcW w:w="6030" w:type="dxa"/>
          </w:tcPr>
          <w:p w14:paraId="75075945" w14:textId="77777777" w:rsidR="005B07D0" w:rsidRPr="00E776F3" w:rsidRDefault="005B07D0" w:rsidP="002403B3">
            <w:pPr>
              <w:pStyle w:val="BodyText"/>
              <w:spacing w:line="276" w:lineRule="auto"/>
              <w:jc w:val="both"/>
              <w:rPr>
                <w:sz w:val="22"/>
                <w:szCs w:val="22"/>
              </w:rPr>
            </w:pPr>
            <w:r w:rsidRPr="00E776F3">
              <w:rPr>
                <w:sz w:val="22"/>
                <w:szCs w:val="22"/>
              </w:rPr>
              <w:t>Age, Median, Years (minimum, maximum)</w:t>
            </w:r>
          </w:p>
        </w:tc>
        <w:tc>
          <w:tcPr>
            <w:tcW w:w="3060" w:type="dxa"/>
          </w:tcPr>
          <w:p w14:paraId="35F89AD0" w14:textId="3EB5AA32" w:rsidR="005B07D0" w:rsidRPr="00E776F3" w:rsidRDefault="005B07D0" w:rsidP="002403B3">
            <w:pPr>
              <w:pStyle w:val="BodyText"/>
              <w:spacing w:line="276" w:lineRule="auto"/>
              <w:jc w:val="both"/>
              <w:rPr>
                <w:sz w:val="22"/>
                <w:szCs w:val="22"/>
              </w:rPr>
            </w:pPr>
            <w:r w:rsidRPr="00E776F3">
              <w:rPr>
                <w:sz w:val="22"/>
                <w:szCs w:val="22"/>
              </w:rPr>
              <w:t>53 (2</w:t>
            </w:r>
            <w:r w:rsidR="00AA328D">
              <w:rPr>
                <w:sz w:val="22"/>
                <w:szCs w:val="22"/>
              </w:rPr>
              <w:t>1</w:t>
            </w:r>
            <w:r w:rsidRPr="00E776F3">
              <w:rPr>
                <w:sz w:val="22"/>
                <w:szCs w:val="22"/>
              </w:rPr>
              <w:t>, 77)</w:t>
            </w:r>
          </w:p>
        </w:tc>
      </w:tr>
      <w:tr w:rsidR="005B07D0" w:rsidRPr="00E776F3" w14:paraId="03D68CD0" w14:textId="77777777" w:rsidTr="00E9282F">
        <w:tc>
          <w:tcPr>
            <w:tcW w:w="6030" w:type="dxa"/>
          </w:tcPr>
          <w:p w14:paraId="3F95557C" w14:textId="77777777" w:rsidR="005B07D0" w:rsidRPr="00E776F3" w:rsidRDefault="005B07D0" w:rsidP="002403B3">
            <w:pPr>
              <w:pStyle w:val="BodyText"/>
              <w:spacing w:line="276" w:lineRule="auto"/>
              <w:ind w:left="251"/>
              <w:jc w:val="both"/>
              <w:rPr>
                <w:sz w:val="22"/>
                <w:szCs w:val="22"/>
              </w:rPr>
            </w:pPr>
            <w:r w:rsidRPr="00E776F3">
              <w:rPr>
                <w:sz w:val="22"/>
                <w:szCs w:val="22"/>
              </w:rPr>
              <w:t>Age ≥ 65 Years, n (%)</w:t>
            </w:r>
          </w:p>
        </w:tc>
        <w:tc>
          <w:tcPr>
            <w:tcW w:w="3060" w:type="dxa"/>
          </w:tcPr>
          <w:p w14:paraId="5EFD5175" w14:textId="5A4F0C97" w:rsidR="005B07D0" w:rsidRPr="00E776F3" w:rsidRDefault="005B07D0" w:rsidP="002403B3">
            <w:pPr>
              <w:pStyle w:val="BodyText"/>
              <w:spacing w:line="276" w:lineRule="auto"/>
              <w:jc w:val="both"/>
              <w:rPr>
                <w:sz w:val="22"/>
                <w:szCs w:val="22"/>
              </w:rPr>
            </w:pPr>
            <w:r w:rsidRPr="00E776F3">
              <w:rPr>
                <w:sz w:val="22"/>
                <w:szCs w:val="22"/>
              </w:rPr>
              <w:t>17 (2</w:t>
            </w:r>
            <w:r w:rsidR="000841E3">
              <w:rPr>
                <w:sz w:val="22"/>
                <w:szCs w:val="22"/>
              </w:rPr>
              <w:t>6</w:t>
            </w:r>
            <w:r w:rsidRPr="00E776F3">
              <w:rPr>
                <w:sz w:val="22"/>
                <w:szCs w:val="22"/>
              </w:rPr>
              <w:t>)</w:t>
            </w:r>
          </w:p>
        </w:tc>
      </w:tr>
      <w:tr w:rsidR="005B07D0" w:rsidRPr="00E776F3" w14:paraId="411B08A8" w14:textId="77777777" w:rsidTr="00E9282F">
        <w:trPr>
          <w:trHeight w:val="260"/>
        </w:trPr>
        <w:tc>
          <w:tcPr>
            <w:tcW w:w="6030" w:type="dxa"/>
          </w:tcPr>
          <w:p w14:paraId="58E4B74A" w14:textId="77777777" w:rsidR="005B07D0" w:rsidRPr="00E776F3" w:rsidRDefault="005B07D0" w:rsidP="002403B3">
            <w:pPr>
              <w:pStyle w:val="BodyText"/>
              <w:spacing w:line="276" w:lineRule="auto"/>
              <w:jc w:val="both"/>
              <w:rPr>
                <w:sz w:val="22"/>
                <w:szCs w:val="22"/>
              </w:rPr>
            </w:pPr>
            <w:r w:rsidRPr="00E776F3">
              <w:rPr>
                <w:sz w:val="22"/>
                <w:szCs w:val="22"/>
              </w:rPr>
              <w:t>Males, n (%)</w:t>
            </w:r>
          </w:p>
        </w:tc>
        <w:tc>
          <w:tcPr>
            <w:tcW w:w="3060" w:type="dxa"/>
          </w:tcPr>
          <w:p w14:paraId="595886C5" w14:textId="74A5AA3A" w:rsidR="005B07D0" w:rsidRPr="00E776F3" w:rsidRDefault="000841E3" w:rsidP="002403B3">
            <w:pPr>
              <w:pStyle w:val="BodyText"/>
              <w:spacing w:line="276" w:lineRule="auto"/>
              <w:jc w:val="both"/>
              <w:rPr>
                <w:sz w:val="22"/>
                <w:szCs w:val="22"/>
              </w:rPr>
            </w:pPr>
            <w:r>
              <w:rPr>
                <w:sz w:val="22"/>
                <w:szCs w:val="22"/>
              </w:rPr>
              <w:t>42</w:t>
            </w:r>
            <w:r w:rsidR="005B07D0" w:rsidRPr="00E776F3">
              <w:rPr>
                <w:sz w:val="22"/>
                <w:szCs w:val="22"/>
              </w:rPr>
              <w:t xml:space="preserve"> (6</w:t>
            </w:r>
            <w:r>
              <w:rPr>
                <w:sz w:val="22"/>
                <w:szCs w:val="22"/>
              </w:rPr>
              <w:t>5</w:t>
            </w:r>
            <w:r w:rsidR="005B07D0" w:rsidRPr="00E776F3">
              <w:rPr>
                <w:sz w:val="22"/>
                <w:szCs w:val="22"/>
              </w:rPr>
              <w:t>)</w:t>
            </w:r>
          </w:p>
        </w:tc>
      </w:tr>
      <w:tr w:rsidR="005B07D0" w:rsidRPr="00E776F3" w14:paraId="305BD512" w14:textId="77777777" w:rsidTr="00E9282F">
        <w:tc>
          <w:tcPr>
            <w:tcW w:w="6030" w:type="dxa"/>
          </w:tcPr>
          <w:p w14:paraId="4527F769" w14:textId="77777777" w:rsidR="005B07D0" w:rsidRPr="00E776F3" w:rsidRDefault="005B07D0" w:rsidP="002403B3">
            <w:pPr>
              <w:pStyle w:val="BodyText"/>
              <w:spacing w:line="276" w:lineRule="auto"/>
              <w:jc w:val="both"/>
              <w:rPr>
                <w:sz w:val="22"/>
                <w:szCs w:val="22"/>
              </w:rPr>
            </w:pPr>
            <w:r w:rsidRPr="00E776F3">
              <w:rPr>
                <w:sz w:val="22"/>
                <w:szCs w:val="22"/>
              </w:rPr>
              <w:t>Race, n (%)</w:t>
            </w:r>
          </w:p>
        </w:tc>
        <w:tc>
          <w:tcPr>
            <w:tcW w:w="3060" w:type="dxa"/>
          </w:tcPr>
          <w:p w14:paraId="294B63F1" w14:textId="77777777" w:rsidR="005B07D0" w:rsidRPr="00E776F3" w:rsidRDefault="005B07D0" w:rsidP="002403B3">
            <w:pPr>
              <w:pStyle w:val="BodyText"/>
              <w:spacing w:line="276" w:lineRule="auto"/>
              <w:jc w:val="both"/>
              <w:rPr>
                <w:sz w:val="22"/>
                <w:szCs w:val="22"/>
              </w:rPr>
            </w:pPr>
          </w:p>
        </w:tc>
      </w:tr>
      <w:tr w:rsidR="005B07D0" w:rsidRPr="00E776F3" w14:paraId="6C689801" w14:textId="77777777" w:rsidTr="00E9282F">
        <w:tc>
          <w:tcPr>
            <w:tcW w:w="6030" w:type="dxa"/>
          </w:tcPr>
          <w:p w14:paraId="4E09F3D2" w14:textId="77777777" w:rsidR="005B07D0" w:rsidRPr="00E776F3" w:rsidRDefault="005B07D0" w:rsidP="002403B3">
            <w:pPr>
              <w:pStyle w:val="BodyText"/>
              <w:spacing w:line="276" w:lineRule="auto"/>
              <w:ind w:left="251"/>
              <w:jc w:val="both"/>
              <w:rPr>
                <w:sz w:val="22"/>
                <w:szCs w:val="22"/>
              </w:rPr>
            </w:pPr>
            <w:r w:rsidRPr="00E776F3">
              <w:rPr>
                <w:sz w:val="22"/>
                <w:szCs w:val="22"/>
              </w:rPr>
              <w:t>White</w:t>
            </w:r>
          </w:p>
        </w:tc>
        <w:tc>
          <w:tcPr>
            <w:tcW w:w="3060" w:type="dxa"/>
          </w:tcPr>
          <w:p w14:paraId="6EDBA8C9" w14:textId="64885989" w:rsidR="005B07D0" w:rsidRPr="00E776F3" w:rsidRDefault="000841E3" w:rsidP="002403B3">
            <w:pPr>
              <w:pStyle w:val="BodyText"/>
              <w:spacing w:line="276" w:lineRule="auto"/>
              <w:jc w:val="both"/>
              <w:rPr>
                <w:sz w:val="22"/>
                <w:szCs w:val="22"/>
              </w:rPr>
            </w:pPr>
            <w:r>
              <w:rPr>
                <w:sz w:val="22"/>
                <w:szCs w:val="22"/>
              </w:rPr>
              <w:t>54</w:t>
            </w:r>
            <w:r w:rsidR="005B07D0" w:rsidRPr="00E776F3">
              <w:rPr>
                <w:sz w:val="22"/>
                <w:szCs w:val="22"/>
              </w:rPr>
              <w:t xml:space="preserve"> (8</w:t>
            </w:r>
            <w:r>
              <w:rPr>
                <w:sz w:val="22"/>
                <w:szCs w:val="22"/>
              </w:rPr>
              <w:t>3</w:t>
            </w:r>
            <w:r w:rsidR="005B07D0" w:rsidRPr="00E776F3">
              <w:rPr>
                <w:sz w:val="22"/>
                <w:szCs w:val="22"/>
              </w:rPr>
              <w:t>)</w:t>
            </w:r>
          </w:p>
        </w:tc>
      </w:tr>
      <w:tr w:rsidR="005B07D0" w:rsidRPr="00E776F3" w14:paraId="39F93E36" w14:textId="77777777" w:rsidTr="00E9282F">
        <w:tc>
          <w:tcPr>
            <w:tcW w:w="6030" w:type="dxa"/>
          </w:tcPr>
          <w:p w14:paraId="039C5B93" w14:textId="77777777" w:rsidR="005B07D0" w:rsidRPr="00E776F3" w:rsidRDefault="005B07D0" w:rsidP="002403B3">
            <w:pPr>
              <w:pStyle w:val="BodyText"/>
              <w:spacing w:line="276" w:lineRule="auto"/>
              <w:ind w:left="251"/>
              <w:jc w:val="both"/>
              <w:rPr>
                <w:sz w:val="22"/>
                <w:szCs w:val="22"/>
              </w:rPr>
            </w:pPr>
            <w:r w:rsidRPr="00E776F3">
              <w:rPr>
                <w:sz w:val="22"/>
                <w:szCs w:val="22"/>
              </w:rPr>
              <w:t>Black</w:t>
            </w:r>
          </w:p>
        </w:tc>
        <w:tc>
          <w:tcPr>
            <w:tcW w:w="3060" w:type="dxa"/>
          </w:tcPr>
          <w:p w14:paraId="2071B799" w14:textId="5DDFDB8C" w:rsidR="005B07D0" w:rsidRPr="00E776F3" w:rsidRDefault="005B07D0" w:rsidP="002403B3">
            <w:pPr>
              <w:pStyle w:val="BodyText"/>
              <w:spacing w:line="276" w:lineRule="auto"/>
              <w:jc w:val="both"/>
              <w:rPr>
                <w:sz w:val="22"/>
                <w:szCs w:val="22"/>
              </w:rPr>
            </w:pPr>
            <w:r w:rsidRPr="00E776F3">
              <w:rPr>
                <w:sz w:val="22"/>
                <w:szCs w:val="22"/>
              </w:rPr>
              <w:t>6 (</w:t>
            </w:r>
            <w:r w:rsidR="000841E3">
              <w:rPr>
                <w:sz w:val="22"/>
                <w:szCs w:val="22"/>
              </w:rPr>
              <w:t>9</w:t>
            </w:r>
            <w:r w:rsidRPr="00E776F3">
              <w:rPr>
                <w:sz w:val="22"/>
                <w:szCs w:val="22"/>
              </w:rPr>
              <w:t>)</w:t>
            </w:r>
          </w:p>
        </w:tc>
      </w:tr>
      <w:tr w:rsidR="005B07D0" w:rsidRPr="00E776F3" w14:paraId="29146988" w14:textId="77777777" w:rsidTr="00E9282F">
        <w:tc>
          <w:tcPr>
            <w:tcW w:w="6030" w:type="dxa"/>
          </w:tcPr>
          <w:p w14:paraId="29D48385" w14:textId="77777777" w:rsidR="005B07D0" w:rsidRPr="00E776F3" w:rsidRDefault="005B07D0" w:rsidP="002403B3">
            <w:pPr>
              <w:pStyle w:val="BodyText"/>
              <w:spacing w:line="276" w:lineRule="auto"/>
              <w:ind w:left="251"/>
              <w:jc w:val="both"/>
              <w:rPr>
                <w:sz w:val="22"/>
                <w:szCs w:val="22"/>
              </w:rPr>
            </w:pPr>
            <w:r w:rsidRPr="00E776F3">
              <w:rPr>
                <w:sz w:val="22"/>
                <w:szCs w:val="22"/>
              </w:rPr>
              <w:t>Other or Not Reported</w:t>
            </w:r>
          </w:p>
        </w:tc>
        <w:tc>
          <w:tcPr>
            <w:tcW w:w="3060" w:type="dxa"/>
          </w:tcPr>
          <w:p w14:paraId="58C6605A" w14:textId="6FF67095" w:rsidR="005B07D0" w:rsidRPr="00E776F3" w:rsidRDefault="000841E3" w:rsidP="002403B3">
            <w:pPr>
              <w:pStyle w:val="BodyText"/>
              <w:spacing w:line="276" w:lineRule="auto"/>
              <w:jc w:val="both"/>
              <w:rPr>
                <w:sz w:val="22"/>
                <w:szCs w:val="22"/>
              </w:rPr>
            </w:pPr>
            <w:r>
              <w:rPr>
                <w:sz w:val="22"/>
                <w:szCs w:val="22"/>
              </w:rPr>
              <w:t>5</w:t>
            </w:r>
            <w:r w:rsidR="005B07D0" w:rsidRPr="00E776F3">
              <w:rPr>
                <w:sz w:val="22"/>
                <w:szCs w:val="22"/>
              </w:rPr>
              <w:t xml:space="preserve"> (8)</w:t>
            </w:r>
          </w:p>
        </w:tc>
      </w:tr>
      <w:tr w:rsidR="005B07D0" w:rsidRPr="00E776F3" w14:paraId="0596D5A1" w14:textId="77777777" w:rsidTr="00E9282F">
        <w:tc>
          <w:tcPr>
            <w:tcW w:w="6030" w:type="dxa"/>
          </w:tcPr>
          <w:p w14:paraId="0F215AA1" w14:textId="1EC020C3" w:rsidR="005B07D0" w:rsidRPr="00E776F3" w:rsidRDefault="005B07D0" w:rsidP="002403B3">
            <w:pPr>
              <w:pStyle w:val="BodyText"/>
              <w:spacing w:line="276" w:lineRule="auto"/>
              <w:jc w:val="both"/>
              <w:rPr>
                <w:sz w:val="22"/>
                <w:szCs w:val="22"/>
              </w:rPr>
            </w:pPr>
            <w:r w:rsidRPr="00E776F3">
              <w:rPr>
                <w:sz w:val="22"/>
                <w:szCs w:val="22"/>
              </w:rPr>
              <w:t>Median</w:t>
            </w:r>
            <w:r w:rsidR="00E4405A">
              <w:rPr>
                <w:sz w:val="22"/>
                <w:szCs w:val="22"/>
              </w:rPr>
              <w:t xml:space="preserve"> (range) time (m</w:t>
            </w:r>
            <w:r w:rsidRPr="00E776F3">
              <w:rPr>
                <w:sz w:val="22"/>
                <w:szCs w:val="22"/>
              </w:rPr>
              <w:t>onths</w:t>
            </w:r>
            <w:r w:rsidR="00E4405A">
              <w:rPr>
                <w:sz w:val="22"/>
                <w:szCs w:val="22"/>
              </w:rPr>
              <w:t>) from Chronic GVHD Diagnosis</w:t>
            </w:r>
          </w:p>
        </w:tc>
        <w:tc>
          <w:tcPr>
            <w:tcW w:w="3060" w:type="dxa"/>
          </w:tcPr>
          <w:p w14:paraId="0D9E8C43" w14:textId="1669F4DF" w:rsidR="005B07D0" w:rsidRPr="00E776F3" w:rsidRDefault="005B07D0" w:rsidP="002403B3">
            <w:pPr>
              <w:pStyle w:val="BodyText"/>
              <w:spacing w:line="276" w:lineRule="auto"/>
              <w:jc w:val="both"/>
              <w:rPr>
                <w:sz w:val="22"/>
                <w:szCs w:val="22"/>
              </w:rPr>
            </w:pPr>
            <w:r w:rsidRPr="00E776F3">
              <w:rPr>
                <w:sz w:val="22"/>
                <w:szCs w:val="22"/>
              </w:rPr>
              <w:t>25</w:t>
            </w:r>
            <w:r w:rsidR="00E4405A">
              <w:rPr>
                <w:sz w:val="22"/>
                <w:szCs w:val="22"/>
              </w:rPr>
              <w:t>.3 (1.9, 162.4)</w:t>
            </w:r>
          </w:p>
        </w:tc>
      </w:tr>
      <w:tr w:rsidR="00D40C09" w:rsidRPr="00E776F3" w14:paraId="6C81D431" w14:textId="77777777" w:rsidTr="00E4405A">
        <w:tc>
          <w:tcPr>
            <w:tcW w:w="6030" w:type="dxa"/>
          </w:tcPr>
          <w:p w14:paraId="52091350" w14:textId="33CA41AC" w:rsidR="00D40C09" w:rsidRPr="00E776F3" w:rsidRDefault="00D40C09" w:rsidP="002403B3">
            <w:pPr>
              <w:pStyle w:val="BodyText"/>
              <w:spacing w:line="276" w:lineRule="auto"/>
              <w:jc w:val="both"/>
              <w:rPr>
                <w:sz w:val="22"/>
                <w:szCs w:val="22"/>
              </w:rPr>
            </w:pPr>
            <w:r>
              <w:rPr>
                <w:sz w:val="22"/>
                <w:szCs w:val="22"/>
              </w:rPr>
              <w:t>≥ 4 Organs Involved, n (%)</w:t>
            </w:r>
          </w:p>
        </w:tc>
        <w:tc>
          <w:tcPr>
            <w:tcW w:w="3060" w:type="dxa"/>
          </w:tcPr>
          <w:p w14:paraId="4136C073" w14:textId="2680A27F" w:rsidR="00D40C09" w:rsidRPr="00E776F3" w:rsidRDefault="00D40C09" w:rsidP="002403B3">
            <w:pPr>
              <w:pStyle w:val="BodyText"/>
              <w:spacing w:line="276" w:lineRule="auto"/>
              <w:jc w:val="both"/>
              <w:rPr>
                <w:sz w:val="22"/>
                <w:szCs w:val="22"/>
              </w:rPr>
            </w:pPr>
            <w:r>
              <w:rPr>
                <w:sz w:val="22"/>
                <w:szCs w:val="22"/>
              </w:rPr>
              <w:t>31 (48)</w:t>
            </w:r>
          </w:p>
        </w:tc>
      </w:tr>
      <w:tr w:rsidR="00D40C09" w:rsidRPr="00E776F3" w14:paraId="72EBAD66" w14:textId="77777777" w:rsidTr="00E4405A">
        <w:tc>
          <w:tcPr>
            <w:tcW w:w="6030" w:type="dxa"/>
          </w:tcPr>
          <w:p w14:paraId="2159292E" w14:textId="04CA3F9A" w:rsidR="00D40C09" w:rsidRPr="00E776F3" w:rsidRDefault="00D40C09" w:rsidP="002403B3">
            <w:pPr>
              <w:pStyle w:val="BodyText"/>
              <w:spacing w:line="276" w:lineRule="auto"/>
              <w:jc w:val="both"/>
              <w:rPr>
                <w:sz w:val="22"/>
                <w:szCs w:val="22"/>
              </w:rPr>
            </w:pPr>
            <w:r>
              <w:rPr>
                <w:sz w:val="22"/>
                <w:szCs w:val="22"/>
              </w:rPr>
              <w:t>Median</w:t>
            </w:r>
            <w:r w:rsidR="006C0630">
              <w:rPr>
                <w:sz w:val="22"/>
                <w:szCs w:val="22"/>
              </w:rPr>
              <w:t xml:space="preserve"> (range) Number of Prior Lines of Therapy</w:t>
            </w:r>
          </w:p>
        </w:tc>
        <w:tc>
          <w:tcPr>
            <w:tcW w:w="3060" w:type="dxa"/>
          </w:tcPr>
          <w:p w14:paraId="748D7C6F" w14:textId="69CC3242" w:rsidR="00D40C09" w:rsidRPr="00E776F3" w:rsidRDefault="006C0630" w:rsidP="002403B3">
            <w:pPr>
              <w:pStyle w:val="BodyText"/>
              <w:spacing w:line="276" w:lineRule="auto"/>
              <w:jc w:val="both"/>
              <w:rPr>
                <w:sz w:val="22"/>
                <w:szCs w:val="22"/>
              </w:rPr>
            </w:pPr>
            <w:r>
              <w:rPr>
                <w:sz w:val="22"/>
                <w:szCs w:val="22"/>
              </w:rPr>
              <w:t>3 (2, 6)</w:t>
            </w:r>
          </w:p>
        </w:tc>
      </w:tr>
      <w:tr w:rsidR="005B07D0" w:rsidRPr="00E776F3" w14:paraId="1D48DA58" w14:textId="77777777" w:rsidTr="00E9282F">
        <w:tc>
          <w:tcPr>
            <w:tcW w:w="6030" w:type="dxa"/>
          </w:tcPr>
          <w:p w14:paraId="068E2276" w14:textId="77777777" w:rsidR="005B07D0" w:rsidRPr="00E776F3" w:rsidRDefault="005B07D0" w:rsidP="002403B3">
            <w:pPr>
              <w:pStyle w:val="BodyText"/>
              <w:spacing w:line="276" w:lineRule="auto"/>
              <w:jc w:val="both"/>
              <w:rPr>
                <w:sz w:val="22"/>
                <w:szCs w:val="22"/>
              </w:rPr>
            </w:pPr>
            <w:r w:rsidRPr="00E776F3">
              <w:rPr>
                <w:sz w:val="22"/>
                <w:szCs w:val="22"/>
              </w:rPr>
              <w:t>Number of Prior Lines of Therapy, n (%)</w:t>
            </w:r>
          </w:p>
        </w:tc>
        <w:tc>
          <w:tcPr>
            <w:tcW w:w="3060" w:type="dxa"/>
          </w:tcPr>
          <w:p w14:paraId="15CCB959" w14:textId="77777777" w:rsidR="005B07D0" w:rsidRPr="00E776F3" w:rsidRDefault="005B07D0" w:rsidP="002403B3">
            <w:pPr>
              <w:pStyle w:val="BodyText"/>
              <w:spacing w:line="276" w:lineRule="auto"/>
              <w:jc w:val="both"/>
              <w:rPr>
                <w:sz w:val="22"/>
                <w:szCs w:val="22"/>
              </w:rPr>
            </w:pPr>
          </w:p>
        </w:tc>
      </w:tr>
      <w:tr w:rsidR="005B07D0" w:rsidRPr="00E776F3" w14:paraId="43EA7AE3" w14:textId="77777777" w:rsidTr="00E9282F">
        <w:tc>
          <w:tcPr>
            <w:tcW w:w="6030" w:type="dxa"/>
          </w:tcPr>
          <w:p w14:paraId="5B67C3C6" w14:textId="77777777" w:rsidR="005B07D0" w:rsidRPr="00E776F3" w:rsidRDefault="005B07D0" w:rsidP="002403B3">
            <w:pPr>
              <w:pStyle w:val="BodyText"/>
              <w:spacing w:line="276" w:lineRule="auto"/>
              <w:ind w:left="251"/>
              <w:jc w:val="both"/>
              <w:rPr>
                <w:sz w:val="22"/>
                <w:szCs w:val="22"/>
              </w:rPr>
            </w:pPr>
            <w:r w:rsidRPr="00E776F3">
              <w:rPr>
                <w:sz w:val="22"/>
                <w:szCs w:val="22"/>
              </w:rPr>
              <w:t>2</w:t>
            </w:r>
          </w:p>
        </w:tc>
        <w:tc>
          <w:tcPr>
            <w:tcW w:w="3060" w:type="dxa"/>
          </w:tcPr>
          <w:p w14:paraId="36CE6FBA" w14:textId="13164016" w:rsidR="005B07D0" w:rsidRPr="00E776F3" w:rsidRDefault="000C6F97" w:rsidP="002403B3">
            <w:pPr>
              <w:pStyle w:val="BodyText"/>
              <w:spacing w:line="276" w:lineRule="auto"/>
              <w:jc w:val="both"/>
              <w:rPr>
                <w:sz w:val="22"/>
                <w:szCs w:val="22"/>
              </w:rPr>
            </w:pPr>
            <w:r>
              <w:rPr>
                <w:sz w:val="22"/>
                <w:szCs w:val="22"/>
              </w:rPr>
              <w:t>23</w:t>
            </w:r>
            <w:r w:rsidR="005B07D0" w:rsidRPr="00E776F3">
              <w:rPr>
                <w:sz w:val="22"/>
                <w:szCs w:val="22"/>
              </w:rPr>
              <w:t xml:space="preserve"> (</w:t>
            </w:r>
            <w:r>
              <w:rPr>
                <w:sz w:val="22"/>
                <w:szCs w:val="22"/>
              </w:rPr>
              <w:t>35</w:t>
            </w:r>
            <w:r w:rsidR="005B07D0" w:rsidRPr="00E776F3">
              <w:rPr>
                <w:sz w:val="22"/>
                <w:szCs w:val="22"/>
              </w:rPr>
              <w:t>)</w:t>
            </w:r>
          </w:p>
        </w:tc>
      </w:tr>
      <w:tr w:rsidR="005B07D0" w:rsidRPr="00E776F3" w14:paraId="03350E91" w14:textId="77777777" w:rsidTr="00E9282F">
        <w:tc>
          <w:tcPr>
            <w:tcW w:w="6030" w:type="dxa"/>
          </w:tcPr>
          <w:p w14:paraId="157936C0" w14:textId="77777777" w:rsidR="005B07D0" w:rsidRPr="00E776F3" w:rsidRDefault="005B07D0" w:rsidP="002403B3">
            <w:pPr>
              <w:pStyle w:val="BodyText"/>
              <w:spacing w:line="276" w:lineRule="auto"/>
              <w:ind w:left="251"/>
              <w:jc w:val="both"/>
              <w:rPr>
                <w:sz w:val="22"/>
                <w:szCs w:val="22"/>
              </w:rPr>
            </w:pPr>
            <w:r w:rsidRPr="00E776F3">
              <w:rPr>
                <w:sz w:val="22"/>
                <w:szCs w:val="22"/>
              </w:rPr>
              <w:t>3</w:t>
            </w:r>
          </w:p>
        </w:tc>
        <w:tc>
          <w:tcPr>
            <w:tcW w:w="3060" w:type="dxa"/>
          </w:tcPr>
          <w:p w14:paraId="663626E2" w14:textId="7B15FE07" w:rsidR="005B07D0" w:rsidRPr="00E776F3" w:rsidRDefault="000C6F97" w:rsidP="002403B3">
            <w:pPr>
              <w:pStyle w:val="BodyText"/>
              <w:spacing w:line="276" w:lineRule="auto"/>
              <w:jc w:val="both"/>
              <w:rPr>
                <w:sz w:val="22"/>
                <w:szCs w:val="22"/>
              </w:rPr>
            </w:pPr>
            <w:r>
              <w:rPr>
                <w:sz w:val="22"/>
                <w:szCs w:val="22"/>
              </w:rPr>
              <w:t>12</w:t>
            </w:r>
            <w:r w:rsidR="005B07D0" w:rsidRPr="00E776F3">
              <w:rPr>
                <w:sz w:val="22"/>
                <w:szCs w:val="22"/>
              </w:rPr>
              <w:t xml:space="preserve"> (</w:t>
            </w:r>
            <w:r>
              <w:rPr>
                <w:sz w:val="22"/>
                <w:szCs w:val="22"/>
              </w:rPr>
              <w:t>19</w:t>
            </w:r>
            <w:r w:rsidR="005B07D0" w:rsidRPr="00E776F3">
              <w:rPr>
                <w:sz w:val="22"/>
                <w:szCs w:val="22"/>
              </w:rPr>
              <w:t>)</w:t>
            </w:r>
          </w:p>
        </w:tc>
      </w:tr>
      <w:tr w:rsidR="005B07D0" w:rsidRPr="00E776F3" w14:paraId="627FC57D" w14:textId="77777777" w:rsidTr="00E9282F">
        <w:tc>
          <w:tcPr>
            <w:tcW w:w="6030" w:type="dxa"/>
          </w:tcPr>
          <w:p w14:paraId="257C7A1D" w14:textId="77777777" w:rsidR="005B07D0" w:rsidRPr="00E776F3" w:rsidRDefault="005B07D0" w:rsidP="002403B3">
            <w:pPr>
              <w:pStyle w:val="BodyText"/>
              <w:spacing w:line="276" w:lineRule="auto"/>
              <w:ind w:left="251"/>
              <w:jc w:val="both"/>
              <w:rPr>
                <w:sz w:val="22"/>
                <w:szCs w:val="22"/>
              </w:rPr>
            </w:pPr>
            <w:r w:rsidRPr="00E776F3">
              <w:rPr>
                <w:sz w:val="22"/>
                <w:szCs w:val="22"/>
              </w:rPr>
              <w:t>4</w:t>
            </w:r>
          </w:p>
        </w:tc>
        <w:tc>
          <w:tcPr>
            <w:tcW w:w="3060" w:type="dxa"/>
          </w:tcPr>
          <w:p w14:paraId="33656F2C" w14:textId="66ED65AF" w:rsidR="005B07D0" w:rsidRPr="00E776F3" w:rsidRDefault="000C6F97" w:rsidP="002403B3">
            <w:pPr>
              <w:pStyle w:val="BodyText"/>
              <w:spacing w:line="276" w:lineRule="auto"/>
              <w:jc w:val="both"/>
              <w:rPr>
                <w:sz w:val="22"/>
                <w:szCs w:val="22"/>
              </w:rPr>
            </w:pPr>
            <w:r>
              <w:rPr>
                <w:sz w:val="22"/>
                <w:szCs w:val="22"/>
              </w:rPr>
              <w:t>15</w:t>
            </w:r>
            <w:r w:rsidR="005B07D0" w:rsidRPr="00E776F3">
              <w:rPr>
                <w:sz w:val="22"/>
                <w:szCs w:val="22"/>
              </w:rPr>
              <w:t xml:space="preserve"> (2</w:t>
            </w:r>
            <w:r>
              <w:rPr>
                <w:sz w:val="22"/>
                <w:szCs w:val="22"/>
              </w:rPr>
              <w:t>3</w:t>
            </w:r>
            <w:r w:rsidR="005B07D0" w:rsidRPr="00E776F3">
              <w:rPr>
                <w:sz w:val="22"/>
                <w:szCs w:val="22"/>
              </w:rPr>
              <w:t>)</w:t>
            </w:r>
          </w:p>
        </w:tc>
      </w:tr>
      <w:tr w:rsidR="005B07D0" w:rsidRPr="00E776F3" w14:paraId="34DCC630" w14:textId="77777777" w:rsidTr="00E9282F">
        <w:tc>
          <w:tcPr>
            <w:tcW w:w="6030" w:type="dxa"/>
          </w:tcPr>
          <w:p w14:paraId="5AC82486" w14:textId="77777777" w:rsidR="005B07D0" w:rsidRPr="00E776F3" w:rsidRDefault="005B07D0" w:rsidP="002403B3">
            <w:pPr>
              <w:pStyle w:val="BodyText"/>
              <w:spacing w:line="276" w:lineRule="auto"/>
              <w:ind w:left="251"/>
              <w:jc w:val="both"/>
              <w:rPr>
                <w:sz w:val="22"/>
                <w:szCs w:val="22"/>
              </w:rPr>
            </w:pPr>
            <w:r w:rsidRPr="00E776F3">
              <w:rPr>
                <w:sz w:val="22"/>
                <w:szCs w:val="22"/>
              </w:rPr>
              <w:t>≥5</w:t>
            </w:r>
          </w:p>
        </w:tc>
        <w:tc>
          <w:tcPr>
            <w:tcW w:w="3060" w:type="dxa"/>
          </w:tcPr>
          <w:p w14:paraId="4B2E19E5" w14:textId="3C62C670" w:rsidR="005B07D0" w:rsidRPr="00E776F3" w:rsidRDefault="005B07D0" w:rsidP="002403B3">
            <w:pPr>
              <w:pStyle w:val="BodyText"/>
              <w:spacing w:line="276" w:lineRule="auto"/>
              <w:jc w:val="both"/>
              <w:rPr>
                <w:sz w:val="22"/>
                <w:szCs w:val="22"/>
              </w:rPr>
            </w:pPr>
            <w:r w:rsidRPr="00E776F3">
              <w:rPr>
                <w:sz w:val="22"/>
                <w:szCs w:val="22"/>
              </w:rPr>
              <w:t>15 (</w:t>
            </w:r>
            <w:r w:rsidR="000C6F97">
              <w:rPr>
                <w:sz w:val="22"/>
                <w:szCs w:val="22"/>
              </w:rPr>
              <w:t>23</w:t>
            </w:r>
            <w:r w:rsidRPr="00E776F3">
              <w:rPr>
                <w:sz w:val="22"/>
                <w:szCs w:val="22"/>
              </w:rPr>
              <w:t>)</w:t>
            </w:r>
          </w:p>
        </w:tc>
      </w:tr>
      <w:tr w:rsidR="005B07D0" w:rsidRPr="00E776F3" w14:paraId="31C0876D" w14:textId="77777777" w:rsidTr="00E9282F">
        <w:tc>
          <w:tcPr>
            <w:tcW w:w="6030" w:type="dxa"/>
          </w:tcPr>
          <w:p w14:paraId="14ABEF77" w14:textId="77777777" w:rsidR="005B07D0" w:rsidRPr="00E776F3" w:rsidRDefault="005B07D0" w:rsidP="002403B3">
            <w:pPr>
              <w:pStyle w:val="BodyText"/>
              <w:spacing w:line="276" w:lineRule="auto"/>
              <w:jc w:val="both"/>
              <w:rPr>
                <w:sz w:val="22"/>
                <w:szCs w:val="22"/>
              </w:rPr>
            </w:pPr>
            <w:r w:rsidRPr="00E776F3">
              <w:rPr>
                <w:sz w:val="22"/>
                <w:szCs w:val="22"/>
              </w:rPr>
              <w:t xml:space="preserve">Prior chronic GVHD treatment with ibrutinib, n (%) </w:t>
            </w:r>
          </w:p>
        </w:tc>
        <w:tc>
          <w:tcPr>
            <w:tcW w:w="3060" w:type="dxa"/>
          </w:tcPr>
          <w:p w14:paraId="230E5B69" w14:textId="68E63125" w:rsidR="005B07D0" w:rsidRPr="00E776F3" w:rsidRDefault="000C6F97" w:rsidP="002403B3">
            <w:pPr>
              <w:pStyle w:val="BodyText"/>
              <w:spacing w:line="276" w:lineRule="auto"/>
              <w:jc w:val="both"/>
              <w:rPr>
                <w:sz w:val="22"/>
                <w:szCs w:val="22"/>
              </w:rPr>
            </w:pPr>
            <w:r>
              <w:rPr>
                <w:sz w:val="22"/>
                <w:szCs w:val="22"/>
              </w:rPr>
              <w:t>21</w:t>
            </w:r>
            <w:r w:rsidR="005B07D0" w:rsidRPr="00E776F3">
              <w:rPr>
                <w:sz w:val="22"/>
                <w:szCs w:val="22"/>
              </w:rPr>
              <w:t xml:space="preserve"> (</w:t>
            </w:r>
            <w:r>
              <w:rPr>
                <w:sz w:val="22"/>
                <w:szCs w:val="22"/>
              </w:rPr>
              <w:t>32</w:t>
            </w:r>
            <w:r w:rsidR="005B07D0" w:rsidRPr="00E776F3">
              <w:rPr>
                <w:sz w:val="22"/>
                <w:szCs w:val="22"/>
              </w:rPr>
              <w:t>)</w:t>
            </w:r>
          </w:p>
        </w:tc>
      </w:tr>
      <w:tr w:rsidR="00685F79" w:rsidRPr="00E776F3" w14:paraId="7CFDE181" w14:textId="77777777" w:rsidTr="00E4405A">
        <w:tc>
          <w:tcPr>
            <w:tcW w:w="6030" w:type="dxa"/>
          </w:tcPr>
          <w:p w14:paraId="71AD72A8" w14:textId="24C2D05C" w:rsidR="00685F79" w:rsidRPr="00E776F3" w:rsidRDefault="00685F79" w:rsidP="002403B3">
            <w:pPr>
              <w:pStyle w:val="BodyText"/>
              <w:spacing w:line="276" w:lineRule="auto"/>
              <w:jc w:val="both"/>
              <w:rPr>
                <w:sz w:val="22"/>
                <w:szCs w:val="22"/>
              </w:rPr>
            </w:pPr>
            <w:r>
              <w:rPr>
                <w:sz w:val="22"/>
                <w:szCs w:val="22"/>
              </w:rPr>
              <w:t xml:space="preserve">Prior chronic GVHD treatment with </w:t>
            </w:r>
            <w:proofErr w:type="spellStart"/>
            <w:r>
              <w:rPr>
                <w:sz w:val="22"/>
                <w:szCs w:val="22"/>
              </w:rPr>
              <w:t>ruxolitinib</w:t>
            </w:r>
            <w:proofErr w:type="spellEnd"/>
            <w:r>
              <w:rPr>
                <w:sz w:val="22"/>
                <w:szCs w:val="22"/>
              </w:rPr>
              <w:t>, n (%)</w:t>
            </w:r>
          </w:p>
        </w:tc>
        <w:tc>
          <w:tcPr>
            <w:tcW w:w="3060" w:type="dxa"/>
          </w:tcPr>
          <w:p w14:paraId="261489F9" w14:textId="718E034B" w:rsidR="00685F79" w:rsidRPr="00E776F3" w:rsidRDefault="00685F79" w:rsidP="002403B3">
            <w:pPr>
              <w:pStyle w:val="BodyText"/>
              <w:spacing w:line="276" w:lineRule="auto"/>
              <w:jc w:val="both"/>
              <w:rPr>
                <w:sz w:val="22"/>
                <w:szCs w:val="22"/>
              </w:rPr>
            </w:pPr>
            <w:r>
              <w:rPr>
                <w:sz w:val="22"/>
                <w:szCs w:val="22"/>
              </w:rPr>
              <w:t>20 (31)</w:t>
            </w:r>
          </w:p>
        </w:tc>
      </w:tr>
      <w:tr w:rsidR="005B07D0" w:rsidRPr="00E776F3" w14:paraId="3ABF5C82" w14:textId="77777777" w:rsidTr="00E9282F">
        <w:tc>
          <w:tcPr>
            <w:tcW w:w="6030" w:type="dxa"/>
          </w:tcPr>
          <w:p w14:paraId="42182D66" w14:textId="61F85725" w:rsidR="005B07D0" w:rsidRPr="00E776F3" w:rsidRDefault="005B07D0" w:rsidP="002403B3">
            <w:pPr>
              <w:pStyle w:val="BodyText"/>
              <w:spacing w:line="276" w:lineRule="auto"/>
              <w:jc w:val="both"/>
              <w:rPr>
                <w:sz w:val="22"/>
                <w:szCs w:val="22"/>
              </w:rPr>
            </w:pPr>
            <w:r w:rsidRPr="00E776F3">
              <w:rPr>
                <w:sz w:val="22"/>
                <w:szCs w:val="22"/>
              </w:rPr>
              <w:t>Refractory to Last Therapy, n (%</w:t>
            </w:r>
            <w:r w:rsidR="00546DBB">
              <w:rPr>
                <w:sz w:val="22"/>
                <w:szCs w:val="22"/>
                <w:vertAlign w:val="superscript"/>
              </w:rPr>
              <w:t>b</w:t>
            </w:r>
            <w:r w:rsidRPr="00E776F3">
              <w:rPr>
                <w:sz w:val="22"/>
                <w:szCs w:val="22"/>
              </w:rPr>
              <w:t>)</w:t>
            </w:r>
          </w:p>
        </w:tc>
        <w:tc>
          <w:tcPr>
            <w:tcW w:w="3060" w:type="dxa"/>
          </w:tcPr>
          <w:p w14:paraId="349282DD" w14:textId="0F340634" w:rsidR="005B07D0" w:rsidRPr="00E776F3" w:rsidRDefault="006C7040" w:rsidP="002403B3">
            <w:pPr>
              <w:pStyle w:val="BodyText"/>
              <w:spacing w:line="276" w:lineRule="auto"/>
              <w:jc w:val="both"/>
              <w:rPr>
                <w:sz w:val="22"/>
                <w:szCs w:val="22"/>
              </w:rPr>
            </w:pPr>
            <w:r>
              <w:rPr>
                <w:sz w:val="22"/>
                <w:szCs w:val="22"/>
              </w:rPr>
              <w:t>43/55 (78)</w:t>
            </w:r>
          </w:p>
        </w:tc>
      </w:tr>
      <w:tr w:rsidR="005B07D0" w:rsidRPr="00E776F3" w14:paraId="69E6A060" w14:textId="77777777" w:rsidTr="00E9282F">
        <w:tc>
          <w:tcPr>
            <w:tcW w:w="6030" w:type="dxa"/>
          </w:tcPr>
          <w:p w14:paraId="5A4CB214" w14:textId="77777777" w:rsidR="005B07D0" w:rsidRPr="00E776F3" w:rsidRDefault="005B07D0" w:rsidP="002403B3">
            <w:pPr>
              <w:pStyle w:val="BodyText"/>
              <w:spacing w:line="276" w:lineRule="auto"/>
              <w:jc w:val="both"/>
              <w:rPr>
                <w:sz w:val="22"/>
                <w:szCs w:val="22"/>
              </w:rPr>
            </w:pPr>
            <w:r w:rsidRPr="00E776F3">
              <w:rPr>
                <w:sz w:val="22"/>
                <w:szCs w:val="22"/>
              </w:rPr>
              <w:t>Severe chronic GVHD, n (%)</w:t>
            </w:r>
          </w:p>
        </w:tc>
        <w:tc>
          <w:tcPr>
            <w:tcW w:w="3060" w:type="dxa"/>
          </w:tcPr>
          <w:p w14:paraId="4B5894B6" w14:textId="4F509AC4" w:rsidR="005B07D0" w:rsidRPr="00E776F3" w:rsidRDefault="006C7040" w:rsidP="002403B3">
            <w:pPr>
              <w:pStyle w:val="BodyText"/>
              <w:spacing w:line="276" w:lineRule="auto"/>
              <w:jc w:val="both"/>
              <w:rPr>
                <w:sz w:val="22"/>
                <w:szCs w:val="22"/>
              </w:rPr>
            </w:pPr>
            <w:r>
              <w:rPr>
                <w:sz w:val="22"/>
                <w:szCs w:val="22"/>
              </w:rPr>
              <w:t>46</w:t>
            </w:r>
            <w:r w:rsidR="005B07D0" w:rsidRPr="00E776F3">
              <w:rPr>
                <w:sz w:val="22"/>
                <w:szCs w:val="22"/>
              </w:rPr>
              <w:t xml:space="preserve"> (</w:t>
            </w:r>
            <w:r>
              <w:rPr>
                <w:sz w:val="22"/>
                <w:szCs w:val="22"/>
              </w:rPr>
              <w:t>71</w:t>
            </w:r>
            <w:r w:rsidR="005B07D0" w:rsidRPr="00E776F3">
              <w:rPr>
                <w:sz w:val="22"/>
                <w:szCs w:val="22"/>
              </w:rPr>
              <w:t>)</w:t>
            </w:r>
          </w:p>
        </w:tc>
      </w:tr>
      <w:tr w:rsidR="005B07D0" w:rsidRPr="00E776F3" w14:paraId="0F112A2F" w14:textId="77777777" w:rsidTr="00E9282F">
        <w:tc>
          <w:tcPr>
            <w:tcW w:w="6030" w:type="dxa"/>
          </w:tcPr>
          <w:p w14:paraId="4FA382C7" w14:textId="624E3D06" w:rsidR="005B07D0" w:rsidRPr="00E776F3" w:rsidRDefault="000601FA" w:rsidP="002403B3">
            <w:pPr>
              <w:pStyle w:val="BodyText"/>
              <w:spacing w:line="276" w:lineRule="auto"/>
              <w:jc w:val="both"/>
              <w:rPr>
                <w:sz w:val="22"/>
                <w:szCs w:val="22"/>
              </w:rPr>
            </w:pPr>
            <w:r>
              <w:rPr>
                <w:sz w:val="22"/>
                <w:szCs w:val="22"/>
              </w:rPr>
              <w:t xml:space="preserve">Median (range) </w:t>
            </w:r>
            <w:r w:rsidR="005B07D0" w:rsidRPr="00E776F3">
              <w:rPr>
                <w:sz w:val="22"/>
                <w:szCs w:val="22"/>
              </w:rPr>
              <w:t>Global Severity Rating</w:t>
            </w:r>
          </w:p>
        </w:tc>
        <w:tc>
          <w:tcPr>
            <w:tcW w:w="3060" w:type="dxa"/>
          </w:tcPr>
          <w:p w14:paraId="4EDCE874" w14:textId="09779F67" w:rsidR="005B07D0" w:rsidRPr="00E776F3" w:rsidRDefault="005B07D0" w:rsidP="002403B3">
            <w:pPr>
              <w:pStyle w:val="BodyText"/>
              <w:spacing w:line="276" w:lineRule="auto"/>
              <w:jc w:val="both"/>
              <w:rPr>
                <w:sz w:val="22"/>
                <w:szCs w:val="22"/>
              </w:rPr>
            </w:pPr>
            <w:r w:rsidRPr="00E776F3">
              <w:rPr>
                <w:sz w:val="22"/>
                <w:szCs w:val="22"/>
              </w:rPr>
              <w:t>7</w:t>
            </w:r>
            <w:r w:rsidR="000601FA">
              <w:rPr>
                <w:sz w:val="22"/>
                <w:szCs w:val="22"/>
              </w:rPr>
              <w:t xml:space="preserve"> (2, 9)</w:t>
            </w:r>
          </w:p>
        </w:tc>
      </w:tr>
      <w:tr w:rsidR="005B07D0" w:rsidRPr="00E776F3" w14:paraId="698E665A" w14:textId="77777777" w:rsidTr="00E9282F">
        <w:tc>
          <w:tcPr>
            <w:tcW w:w="6030" w:type="dxa"/>
          </w:tcPr>
          <w:p w14:paraId="208C008D" w14:textId="6E87F7A1" w:rsidR="005B07D0" w:rsidRPr="00E776F3" w:rsidRDefault="00CB5592" w:rsidP="002403B3">
            <w:pPr>
              <w:pStyle w:val="BodyText"/>
              <w:spacing w:line="276" w:lineRule="auto"/>
              <w:jc w:val="both"/>
              <w:rPr>
                <w:sz w:val="22"/>
                <w:szCs w:val="22"/>
              </w:rPr>
            </w:pPr>
            <w:r>
              <w:rPr>
                <w:sz w:val="22"/>
                <w:szCs w:val="22"/>
              </w:rPr>
              <w:t>Median (range) Lee Symptom Scale Score at baseline</w:t>
            </w:r>
          </w:p>
        </w:tc>
        <w:tc>
          <w:tcPr>
            <w:tcW w:w="3060" w:type="dxa"/>
          </w:tcPr>
          <w:p w14:paraId="35FDF2E5" w14:textId="7133BD44" w:rsidR="005B07D0" w:rsidRPr="00E776F3" w:rsidRDefault="00CB5592" w:rsidP="002403B3">
            <w:pPr>
              <w:pStyle w:val="BodyText"/>
              <w:spacing w:line="276" w:lineRule="auto"/>
              <w:jc w:val="both"/>
              <w:rPr>
                <w:sz w:val="22"/>
                <w:szCs w:val="22"/>
              </w:rPr>
            </w:pPr>
            <w:r>
              <w:rPr>
                <w:sz w:val="22"/>
                <w:szCs w:val="22"/>
              </w:rPr>
              <w:t>27 (7, 56)</w:t>
            </w:r>
          </w:p>
        </w:tc>
      </w:tr>
      <w:tr w:rsidR="005B07D0" w:rsidRPr="00E776F3" w14:paraId="1517BC0D" w14:textId="77777777" w:rsidTr="00E9282F">
        <w:tc>
          <w:tcPr>
            <w:tcW w:w="6030" w:type="dxa"/>
          </w:tcPr>
          <w:p w14:paraId="16F97CD0" w14:textId="68F0DB8D" w:rsidR="005B07D0" w:rsidRPr="00E776F3" w:rsidRDefault="00CB5592" w:rsidP="002403B3">
            <w:pPr>
              <w:pStyle w:val="BodyText"/>
              <w:spacing w:line="276" w:lineRule="auto"/>
              <w:jc w:val="both"/>
              <w:rPr>
                <w:sz w:val="22"/>
                <w:szCs w:val="22"/>
              </w:rPr>
            </w:pPr>
            <w:r>
              <w:rPr>
                <w:sz w:val="22"/>
                <w:szCs w:val="22"/>
              </w:rPr>
              <w:t>Median (range) Corticosteroid dose at baseline (PE/</w:t>
            </w:r>
            <w:proofErr w:type="gramStart"/>
            <w:r>
              <w:rPr>
                <w:sz w:val="22"/>
                <w:szCs w:val="22"/>
              </w:rPr>
              <w:t>kg)</w:t>
            </w:r>
            <w:r w:rsidR="00546DBB" w:rsidRPr="00E9282F">
              <w:rPr>
                <w:sz w:val="22"/>
                <w:szCs w:val="22"/>
                <w:vertAlign w:val="superscript"/>
              </w:rPr>
              <w:t>c</w:t>
            </w:r>
            <w:proofErr w:type="gramEnd"/>
          </w:p>
        </w:tc>
        <w:tc>
          <w:tcPr>
            <w:tcW w:w="3060" w:type="dxa"/>
          </w:tcPr>
          <w:p w14:paraId="7C360389" w14:textId="03349B53" w:rsidR="005B07D0" w:rsidRPr="00E776F3" w:rsidRDefault="00CB5592" w:rsidP="002403B3">
            <w:pPr>
              <w:pStyle w:val="BodyText"/>
              <w:spacing w:line="276" w:lineRule="auto"/>
              <w:jc w:val="both"/>
              <w:rPr>
                <w:sz w:val="22"/>
                <w:szCs w:val="22"/>
              </w:rPr>
            </w:pPr>
            <w:r>
              <w:rPr>
                <w:sz w:val="22"/>
                <w:szCs w:val="22"/>
              </w:rPr>
              <w:t>0.19 (0.03, 0.95)</w:t>
            </w:r>
          </w:p>
        </w:tc>
      </w:tr>
    </w:tbl>
    <w:p w14:paraId="7039036E" w14:textId="3E2C0B7C" w:rsidR="00546DBB" w:rsidRPr="004074F0" w:rsidRDefault="00D97697" w:rsidP="002403B3">
      <w:pPr>
        <w:pStyle w:val="BodyText"/>
        <w:spacing w:after="0" w:line="276" w:lineRule="auto"/>
        <w:jc w:val="both"/>
        <w:rPr>
          <w:sz w:val="20"/>
          <w:szCs w:val="20"/>
        </w:rPr>
      </w:pPr>
      <w:proofErr w:type="spellStart"/>
      <w:r w:rsidRPr="004074F0">
        <w:rPr>
          <w:sz w:val="20"/>
          <w:szCs w:val="20"/>
          <w:vertAlign w:val="superscript"/>
        </w:rPr>
        <w:t>a</w:t>
      </w:r>
      <w:proofErr w:type="spellEnd"/>
      <w:r w:rsidRPr="004074F0">
        <w:rPr>
          <w:sz w:val="20"/>
          <w:szCs w:val="20"/>
        </w:rPr>
        <w:t xml:space="preserve"> </w:t>
      </w:r>
      <w:r w:rsidR="00546DBB" w:rsidRPr="004074F0">
        <w:rPr>
          <w:sz w:val="20"/>
          <w:szCs w:val="20"/>
        </w:rPr>
        <w:t xml:space="preserve">Excludes </w:t>
      </w:r>
      <w:r w:rsidR="00E178ED" w:rsidRPr="004074F0">
        <w:rPr>
          <w:sz w:val="20"/>
          <w:szCs w:val="20"/>
        </w:rPr>
        <w:t xml:space="preserve">1 </w:t>
      </w:r>
      <w:proofErr w:type="spellStart"/>
      <w:r w:rsidR="007C25D3" w:rsidRPr="00E9282F">
        <w:rPr>
          <w:sz w:val="20"/>
          <w:szCs w:val="20"/>
        </w:rPr>
        <w:t>in</w:t>
      </w:r>
      <w:r w:rsidR="00B76839" w:rsidRPr="00E9282F">
        <w:rPr>
          <w:sz w:val="20"/>
          <w:szCs w:val="20"/>
        </w:rPr>
        <w:t>evaluable</w:t>
      </w:r>
      <w:proofErr w:type="spellEnd"/>
      <w:r w:rsidR="00E178ED" w:rsidRPr="004074F0">
        <w:rPr>
          <w:sz w:val="20"/>
          <w:szCs w:val="20"/>
        </w:rPr>
        <w:t xml:space="preserve"> patient</w:t>
      </w:r>
      <w:r w:rsidR="009741D1" w:rsidRPr="004074F0">
        <w:rPr>
          <w:sz w:val="20"/>
          <w:szCs w:val="20"/>
        </w:rPr>
        <w:t xml:space="preserve"> </w:t>
      </w:r>
      <w:r w:rsidR="00AF4215" w:rsidRPr="004074F0">
        <w:rPr>
          <w:sz w:val="20"/>
          <w:szCs w:val="20"/>
        </w:rPr>
        <w:t>from the total of</w:t>
      </w:r>
      <w:r w:rsidR="009741D1" w:rsidRPr="004074F0">
        <w:rPr>
          <w:sz w:val="20"/>
          <w:szCs w:val="20"/>
        </w:rPr>
        <w:t xml:space="preserve"> </w:t>
      </w:r>
      <w:r w:rsidR="004B4430" w:rsidRPr="00E9282F">
        <w:rPr>
          <w:sz w:val="20"/>
          <w:szCs w:val="20"/>
        </w:rPr>
        <w:t>66 patients treated with RHOLISTIQ 200 mg taken orally once daily</w:t>
      </w:r>
    </w:p>
    <w:p w14:paraId="4F403AD1" w14:textId="209B17FC" w:rsidR="00D97697" w:rsidRPr="004074F0" w:rsidRDefault="00546DBB" w:rsidP="002403B3">
      <w:pPr>
        <w:pStyle w:val="BodyText"/>
        <w:spacing w:after="0" w:line="276" w:lineRule="auto"/>
        <w:jc w:val="both"/>
        <w:rPr>
          <w:sz w:val="20"/>
          <w:szCs w:val="20"/>
        </w:rPr>
      </w:pPr>
      <w:r w:rsidRPr="00C47869">
        <w:rPr>
          <w:sz w:val="20"/>
          <w:szCs w:val="20"/>
          <w:vertAlign w:val="superscript"/>
        </w:rPr>
        <w:t>b</w:t>
      </w:r>
      <w:r w:rsidR="009158B9" w:rsidRPr="004074F0">
        <w:rPr>
          <w:sz w:val="20"/>
          <w:szCs w:val="20"/>
          <w:vertAlign w:val="superscript"/>
        </w:rPr>
        <w:t xml:space="preserve"> </w:t>
      </w:r>
      <w:r w:rsidR="00D97697" w:rsidRPr="004074F0">
        <w:rPr>
          <w:sz w:val="20"/>
          <w:szCs w:val="20"/>
        </w:rPr>
        <w:t>Denominator excludes patients with unknown status</w:t>
      </w:r>
    </w:p>
    <w:p w14:paraId="2C0D967B" w14:textId="5A8CD692" w:rsidR="00546DBB" w:rsidRPr="004074F0" w:rsidRDefault="00546DBB" w:rsidP="002403B3">
      <w:pPr>
        <w:pStyle w:val="BodyText"/>
        <w:spacing w:after="0" w:line="276" w:lineRule="auto"/>
        <w:jc w:val="both"/>
        <w:rPr>
          <w:sz w:val="20"/>
          <w:szCs w:val="20"/>
        </w:rPr>
      </w:pPr>
      <w:r w:rsidRPr="00C47869">
        <w:rPr>
          <w:sz w:val="20"/>
          <w:szCs w:val="20"/>
          <w:vertAlign w:val="superscript"/>
        </w:rPr>
        <w:t>c</w:t>
      </w:r>
      <w:r w:rsidR="009158B9" w:rsidRPr="004074F0">
        <w:rPr>
          <w:sz w:val="20"/>
          <w:szCs w:val="20"/>
        </w:rPr>
        <w:t xml:space="preserve"> Prednisone equivalents/kilogram</w:t>
      </w:r>
    </w:p>
    <w:p w14:paraId="6E1D4F38" w14:textId="77777777" w:rsidR="00D97697" w:rsidRPr="004074F0" w:rsidRDefault="00D97697" w:rsidP="002403B3">
      <w:pPr>
        <w:pStyle w:val="BodyText"/>
        <w:spacing w:after="0" w:line="276" w:lineRule="auto"/>
        <w:ind w:left="1440" w:hanging="1440"/>
        <w:jc w:val="both"/>
      </w:pPr>
    </w:p>
    <w:p w14:paraId="47F8220E" w14:textId="77777777" w:rsidR="00183265" w:rsidRDefault="00AF00DD" w:rsidP="002403B3">
      <w:pPr>
        <w:jc w:val="both"/>
        <w:rPr>
          <w:rFonts w:ascii="Times New Roman" w:hAnsi="Times New Roman" w:cs="Times New Roman"/>
          <w:sz w:val="24"/>
          <w:szCs w:val="24"/>
        </w:rPr>
      </w:pPr>
      <w:r w:rsidRPr="00C47869">
        <w:rPr>
          <w:rFonts w:ascii="Times New Roman" w:hAnsi="Times New Roman" w:cs="Times New Roman"/>
          <w:sz w:val="24"/>
          <w:szCs w:val="24"/>
        </w:rPr>
        <w:t>The efficacy of R</w:t>
      </w:r>
      <w:r w:rsidR="0094757F" w:rsidRPr="004074F0">
        <w:rPr>
          <w:rFonts w:ascii="Times New Roman" w:hAnsi="Times New Roman" w:cs="Times New Roman"/>
          <w:sz w:val="24"/>
          <w:szCs w:val="24"/>
        </w:rPr>
        <w:t>HOLISTIQ</w:t>
      </w:r>
      <w:r w:rsidRPr="00C47869">
        <w:rPr>
          <w:rFonts w:ascii="Times New Roman" w:hAnsi="Times New Roman" w:cs="Times New Roman"/>
          <w:sz w:val="24"/>
          <w:szCs w:val="24"/>
        </w:rPr>
        <w:t xml:space="preserve"> was based on overall response rate (ORR) </w:t>
      </w:r>
      <w:r w:rsidR="00766DC0" w:rsidRPr="004074F0">
        <w:rPr>
          <w:rFonts w:ascii="Times New Roman" w:hAnsi="Times New Roman" w:cs="Times New Roman"/>
          <w:sz w:val="24"/>
          <w:szCs w:val="24"/>
        </w:rPr>
        <w:t>occurring by</w:t>
      </w:r>
      <w:r w:rsidRPr="00C47869">
        <w:rPr>
          <w:rFonts w:ascii="Times New Roman" w:hAnsi="Times New Roman" w:cs="Times New Roman"/>
          <w:sz w:val="24"/>
          <w:szCs w:val="24"/>
        </w:rPr>
        <w:t xml:space="preserve"> Cycle 7 Day 1</w:t>
      </w:r>
      <w:r w:rsidR="00CD2E29" w:rsidRPr="004074F0">
        <w:rPr>
          <w:rFonts w:ascii="Times New Roman" w:hAnsi="Times New Roman" w:cs="Times New Roman"/>
          <w:sz w:val="24"/>
          <w:szCs w:val="24"/>
        </w:rPr>
        <w:t xml:space="preserve"> (C7D1)</w:t>
      </w:r>
      <w:r w:rsidRPr="00C47869">
        <w:rPr>
          <w:rFonts w:ascii="Times New Roman" w:hAnsi="Times New Roman" w:cs="Times New Roman"/>
          <w:sz w:val="24"/>
          <w:szCs w:val="24"/>
        </w:rPr>
        <w:t xml:space="preserve"> where overall response included complete response or partial response according to the 2014 NIH Response Criteria. The ORR results are presented in </w:t>
      </w:r>
      <w:r w:rsidR="0094757F" w:rsidRPr="000A2EC2">
        <w:rPr>
          <w:rFonts w:ascii="Times New Roman" w:hAnsi="Times New Roman" w:cs="Times New Roman"/>
          <w:sz w:val="24"/>
          <w:szCs w:val="24"/>
        </w:rPr>
        <w:t>Table 7</w:t>
      </w:r>
      <w:r w:rsidRPr="00261C0C">
        <w:rPr>
          <w:rFonts w:ascii="Times New Roman" w:hAnsi="Times New Roman" w:cs="Times New Roman"/>
          <w:sz w:val="24"/>
          <w:szCs w:val="24"/>
        </w:rPr>
        <w:t xml:space="preserve">. </w:t>
      </w:r>
      <w:r w:rsidRPr="00C47869">
        <w:rPr>
          <w:rFonts w:ascii="Times New Roman" w:hAnsi="Times New Roman" w:cs="Times New Roman"/>
          <w:sz w:val="24"/>
          <w:szCs w:val="24"/>
        </w:rPr>
        <w:t xml:space="preserve">The ORR was 75% (95% CI: 63, 85). </w:t>
      </w:r>
    </w:p>
    <w:p w14:paraId="63EB3CC1" w14:textId="77777777" w:rsidR="00A50FC8" w:rsidRPr="00682A71" w:rsidRDefault="00A50FC8" w:rsidP="002403B3">
      <w:pPr>
        <w:pStyle w:val="Caption"/>
        <w:tabs>
          <w:tab w:val="clear" w:pos="1440"/>
        </w:tabs>
        <w:spacing w:line="276" w:lineRule="auto"/>
        <w:ind w:left="0" w:firstLine="0"/>
        <w:jc w:val="both"/>
        <w:rPr>
          <w:rFonts w:ascii="Times New Roman" w:hAnsi="Times New Roman"/>
          <w:b w:val="0"/>
          <w:sz w:val="24"/>
          <w:szCs w:val="24"/>
        </w:rPr>
      </w:pPr>
      <w:bookmarkStart w:id="24" w:name="_Ref44939405"/>
      <w:bookmarkStart w:id="25" w:name="_Ref45877045"/>
      <w:r w:rsidRPr="00682A71">
        <w:rPr>
          <w:rFonts w:ascii="Times New Roman" w:hAnsi="Times New Roman"/>
          <w:sz w:val="24"/>
          <w:szCs w:val="24"/>
        </w:rPr>
        <w:lastRenderedPageBreak/>
        <w:t>Table</w:t>
      </w:r>
      <w:r>
        <w:rPr>
          <w:rFonts w:ascii="Times New Roman" w:hAnsi="Times New Roman"/>
          <w:sz w:val="24"/>
          <w:szCs w:val="24"/>
        </w:rPr>
        <w:t xml:space="preserve"> </w:t>
      </w:r>
      <w:bookmarkEnd w:id="24"/>
      <w:bookmarkEnd w:id="25"/>
      <w:r w:rsidRPr="00C47869">
        <w:rPr>
          <w:rFonts w:ascii="Times New Roman" w:hAnsi="Times New Roman"/>
          <w:sz w:val="24"/>
          <w:szCs w:val="24"/>
        </w:rPr>
        <w:t>7</w:t>
      </w:r>
      <w:r w:rsidRPr="00682A71">
        <w:rPr>
          <w:rFonts w:ascii="Times New Roman" w:hAnsi="Times New Roman"/>
          <w:sz w:val="24"/>
          <w:szCs w:val="24"/>
        </w:rPr>
        <w:t xml:space="preserve">: Overall Response Rate </w:t>
      </w:r>
      <w:r w:rsidRPr="004074F0">
        <w:rPr>
          <w:rFonts w:ascii="Times New Roman" w:hAnsi="Times New Roman"/>
          <w:sz w:val="24"/>
          <w:szCs w:val="24"/>
        </w:rPr>
        <w:t>Occurring by Cycle</w:t>
      </w:r>
      <w:r w:rsidRPr="00C47869">
        <w:rPr>
          <w:rFonts w:ascii="Times New Roman" w:hAnsi="Times New Roman"/>
          <w:sz w:val="24"/>
          <w:szCs w:val="24"/>
        </w:rPr>
        <w:t xml:space="preserve"> </w:t>
      </w:r>
      <w:r w:rsidRPr="004074F0">
        <w:rPr>
          <w:rFonts w:ascii="Times New Roman" w:hAnsi="Times New Roman"/>
          <w:sz w:val="24"/>
          <w:szCs w:val="24"/>
        </w:rPr>
        <w:t>7 Day 1</w:t>
      </w:r>
      <w:r>
        <w:rPr>
          <w:rFonts w:ascii="Times New Roman" w:hAnsi="Times New Roman"/>
          <w:sz w:val="24"/>
          <w:szCs w:val="24"/>
        </w:rPr>
        <w:t xml:space="preserve"> for Patients with Chronic GVHD in Study KD025-213</w:t>
      </w:r>
    </w:p>
    <w:tbl>
      <w:tblPr>
        <w:tblStyle w:val="TableGrid"/>
        <w:tblW w:w="0" w:type="auto"/>
        <w:tblInd w:w="535" w:type="dxa"/>
        <w:tblLook w:val="04A0" w:firstRow="1" w:lastRow="0" w:firstColumn="1" w:lastColumn="0" w:noHBand="0" w:noVBand="1"/>
      </w:tblPr>
      <w:tblGrid>
        <w:gridCol w:w="4937"/>
        <w:gridCol w:w="2016"/>
      </w:tblGrid>
      <w:tr w:rsidR="00A50FC8" w:rsidRPr="00BC5B46" w14:paraId="2DCC19CB" w14:textId="77777777" w:rsidTr="00DE6EA0">
        <w:tc>
          <w:tcPr>
            <w:tcW w:w="4937" w:type="dxa"/>
          </w:tcPr>
          <w:p w14:paraId="5286A608" w14:textId="77777777" w:rsidR="00A50FC8" w:rsidRPr="00BC5B46" w:rsidRDefault="00A50FC8" w:rsidP="002403B3">
            <w:pPr>
              <w:pStyle w:val="BodyText"/>
              <w:spacing w:line="276" w:lineRule="auto"/>
              <w:jc w:val="both"/>
              <w:rPr>
                <w:sz w:val="22"/>
                <w:szCs w:val="22"/>
              </w:rPr>
            </w:pPr>
          </w:p>
        </w:tc>
        <w:tc>
          <w:tcPr>
            <w:tcW w:w="2016" w:type="dxa"/>
          </w:tcPr>
          <w:p w14:paraId="129C6CA8" w14:textId="77777777" w:rsidR="00A50FC8" w:rsidRDefault="00A50FC8" w:rsidP="002403B3">
            <w:pPr>
              <w:pStyle w:val="BodyText"/>
              <w:spacing w:line="276" w:lineRule="auto"/>
              <w:jc w:val="both"/>
              <w:rPr>
                <w:b/>
                <w:bCs/>
                <w:sz w:val="22"/>
                <w:szCs w:val="22"/>
              </w:rPr>
            </w:pPr>
            <w:r>
              <w:rPr>
                <w:b/>
                <w:bCs/>
                <w:sz w:val="22"/>
                <w:szCs w:val="22"/>
              </w:rPr>
              <w:t>RHOLISTIQ</w:t>
            </w:r>
          </w:p>
          <w:p w14:paraId="16012427" w14:textId="77777777" w:rsidR="00A50FC8" w:rsidRDefault="00A50FC8" w:rsidP="002403B3">
            <w:pPr>
              <w:pStyle w:val="BodyText"/>
              <w:spacing w:line="276" w:lineRule="auto"/>
              <w:jc w:val="both"/>
              <w:rPr>
                <w:b/>
                <w:bCs/>
                <w:sz w:val="22"/>
                <w:szCs w:val="22"/>
              </w:rPr>
            </w:pPr>
            <w:r>
              <w:rPr>
                <w:b/>
                <w:bCs/>
                <w:sz w:val="22"/>
                <w:szCs w:val="22"/>
              </w:rPr>
              <w:t>200 mg once daily</w:t>
            </w:r>
          </w:p>
          <w:p w14:paraId="44D4ABB5" w14:textId="77777777" w:rsidR="00A50FC8" w:rsidRPr="00C47869" w:rsidRDefault="00A50FC8" w:rsidP="002403B3">
            <w:pPr>
              <w:pStyle w:val="BodyText"/>
              <w:spacing w:line="276" w:lineRule="auto"/>
              <w:jc w:val="both"/>
              <w:rPr>
                <w:b/>
                <w:bCs/>
                <w:sz w:val="22"/>
                <w:szCs w:val="22"/>
              </w:rPr>
            </w:pPr>
            <w:r>
              <w:rPr>
                <w:b/>
                <w:bCs/>
                <w:sz w:val="22"/>
                <w:szCs w:val="22"/>
              </w:rPr>
              <w:t>(N =</w:t>
            </w:r>
            <w:proofErr w:type="gramStart"/>
            <w:r>
              <w:rPr>
                <w:b/>
                <w:bCs/>
                <w:sz w:val="22"/>
                <w:szCs w:val="22"/>
              </w:rPr>
              <w:t>65)</w:t>
            </w:r>
            <w:r w:rsidRPr="00C47869">
              <w:rPr>
                <w:b/>
                <w:bCs/>
                <w:sz w:val="22"/>
                <w:szCs w:val="22"/>
                <w:vertAlign w:val="superscript"/>
              </w:rPr>
              <w:t>a</w:t>
            </w:r>
            <w:proofErr w:type="gramEnd"/>
          </w:p>
        </w:tc>
      </w:tr>
      <w:tr w:rsidR="00A50FC8" w:rsidRPr="004074F0" w14:paraId="486D79D0" w14:textId="77777777" w:rsidTr="00DE6EA0">
        <w:tc>
          <w:tcPr>
            <w:tcW w:w="4937" w:type="dxa"/>
          </w:tcPr>
          <w:p w14:paraId="0A064ED3" w14:textId="77777777" w:rsidR="00A50FC8" w:rsidRPr="00C47869" w:rsidRDefault="00A50FC8" w:rsidP="002403B3">
            <w:pPr>
              <w:pStyle w:val="BodyText"/>
              <w:spacing w:line="276" w:lineRule="auto"/>
              <w:jc w:val="both"/>
              <w:rPr>
                <w:b/>
                <w:bCs/>
                <w:sz w:val="22"/>
                <w:szCs w:val="22"/>
              </w:rPr>
            </w:pPr>
            <w:r w:rsidRPr="00C47869">
              <w:rPr>
                <w:b/>
                <w:bCs/>
                <w:sz w:val="22"/>
                <w:szCs w:val="22"/>
              </w:rPr>
              <w:t xml:space="preserve">Overall Response Rate </w:t>
            </w:r>
          </w:p>
        </w:tc>
        <w:tc>
          <w:tcPr>
            <w:tcW w:w="2016" w:type="dxa"/>
          </w:tcPr>
          <w:p w14:paraId="2F0AB278" w14:textId="77777777" w:rsidR="00A50FC8" w:rsidRPr="004074F0" w:rsidRDefault="00A50FC8" w:rsidP="002403B3">
            <w:pPr>
              <w:pStyle w:val="BodyText"/>
              <w:spacing w:line="276" w:lineRule="auto"/>
              <w:jc w:val="both"/>
              <w:rPr>
                <w:sz w:val="22"/>
                <w:szCs w:val="22"/>
              </w:rPr>
            </w:pPr>
            <w:r w:rsidRPr="00C47869">
              <w:rPr>
                <w:sz w:val="22"/>
                <w:szCs w:val="22"/>
              </w:rPr>
              <w:t>49 (75</w:t>
            </w:r>
            <w:r w:rsidRPr="004074F0">
              <w:rPr>
                <w:sz w:val="22"/>
                <w:szCs w:val="22"/>
              </w:rPr>
              <w:t>%)</w:t>
            </w:r>
          </w:p>
        </w:tc>
      </w:tr>
      <w:tr w:rsidR="00A50FC8" w:rsidRPr="004074F0" w14:paraId="1100F190" w14:textId="77777777" w:rsidTr="00DE6EA0">
        <w:tc>
          <w:tcPr>
            <w:tcW w:w="4937" w:type="dxa"/>
          </w:tcPr>
          <w:p w14:paraId="2AE700B2" w14:textId="77777777" w:rsidR="00A50FC8" w:rsidRPr="004074F0" w:rsidRDefault="00A50FC8" w:rsidP="002403B3">
            <w:pPr>
              <w:pStyle w:val="BodyText"/>
              <w:spacing w:line="276" w:lineRule="auto"/>
              <w:jc w:val="both"/>
              <w:rPr>
                <w:sz w:val="22"/>
                <w:szCs w:val="22"/>
              </w:rPr>
            </w:pPr>
            <w:r w:rsidRPr="004074F0">
              <w:rPr>
                <w:sz w:val="22"/>
                <w:szCs w:val="22"/>
              </w:rPr>
              <w:t xml:space="preserve">95% Confidence </w:t>
            </w:r>
            <w:proofErr w:type="spellStart"/>
            <w:r w:rsidRPr="004074F0">
              <w:rPr>
                <w:sz w:val="22"/>
                <w:szCs w:val="22"/>
              </w:rPr>
              <w:t>Interval</w:t>
            </w:r>
            <w:r w:rsidRPr="004074F0">
              <w:rPr>
                <w:sz w:val="22"/>
                <w:szCs w:val="22"/>
                <w:vertAlign w:val="superscript"/>
              </w:rPr>
              <w:t>b</w:t>
            </w:r>
            <w:proofErr w:type="spellEnd"/>
          </w:p>
        </w:tc>
        <w:tc>
          <w:tcPr>
            <w:tcW w:w="2016" w:type="dxa"/>
          </w:tcPr>
          <w:p w14:paraId="7B128839" w14:textId="77777777" w:rsidR="00A50FC8" w:rsidRPr="004074F0" w:rsidRDefault="00A50FC8" w:rsidP="002403B3">
            <w:pPr>
              <w:pStyle w:val="BodyText"/>
              <w:spacing w:line="276" w:lineRule="auto"/>
              <w:jc w:val="both"/>
              <w:rPr>
                <w:sz w:val="22"/>
                <w:szCs w:val="22"/>
              </w:rPr>
            </w:pPr>
            <w:r w:rsidRPr="004074F0">
              <w:rPr>
                <w:sz w:val="22"/>
                <w:szCs w:val="22"/>
              </w:rPr>
              <w:t>(6</w:t>
            </w:r>
            <w:r w:rsidRPr="00C47869">
              <w:rPr>
                <w:sz w:val="22"/>
                <w:szCs w:val="22"/>
              </w:rPr>
              <w:t>3</w:t>
            </w:r>
            <w:r w:rsidRPr="004074F0">
              <w:rPr>
                <w:sz w:val="22"/>
                <w:szCs w:val="22"/>
              </w:rPr>
              <w:t>%, 8</w:t>
            </w:r>
            <w:r w:rsidRPr="00C47869">
              <w:rPr>
                <w:sz w:val="22"/>
                <w:szCs w:val="22"/>
              </w:rPr>
              <w:t>5</w:t>
            </w:r>
            <w:r w:rsidRPr="004074F0">
              <w:rPr>
                <w:sz w:val="22"/>
                <w:szCs w:val="22"/>
              </w:rPr>
              <w:t>%)</w:t>
            </w:r>
          </w:p>
        </w:tc>
      </w:tr>
      <w:tr w:rsidR="00A50FC8" w:rsidRPr="004074F0" w14:paraId="3DEBC864" w14:textId="77777777" w:rsidTr="00DE6EA0">
        <w:tc>
          <w:tcPr>
            <w:tcW w:w="4937" w:type="dxa"/>
          </w:tcPr>
          <w:p w14:paraId="6C3FE8B7" w14:textId="77777777" w:rsidR="00A50FC8" w:rsidRPr="004074F0" w:rsidRDefault="00A50FC8" w:rsidP="002403B3">
            <w:pPr>
              <w:pStyle w:val="BodyText"/>
              <w:tabs>
                <w:tab w:val="center" w:pos="391"/>
              </w:tabs>
              <w:spacing w:line="276" w:lineRule="auto"/>
              <w:jc w:val="both"/>
              <w:rPr>
                <w:sz w:val="22"/>
                <w:szCs w:val="22"/>
              </w:rPr>
            </w:pPr>
            <w:r w:rsidRPr="004074F0">
              <w:rPr>
                <w:sz w:val="22"/>
                <w:szCs w:val="22"/>
              </w:rPr>
              <w:t>Complete Response</w:t>
            </w:r>
          </w:p>
        </w:tc>
        <w:tc>
          <w:tcPr>
            <w:tcW w:w="2016" w:type="dxa"/>
          </w:tcPr>
          <w:p w14:paraId="6ACFB8A7" w14:textId="77777777" w:rsidR="00A50FC8" w:rsidRPr="004074F0" w:rsidRDefault="00A50FC8" w:rsidP="002403B3">
            <w:pPr>
              <w:pStyle w:val="BodyText"/>
              <w:spacing w:line="276" w:lineRule="auto"/>
              <w:jc w:val="both"/>
              <w:rPr>
                <w:sz w:val="22"/>
                <w:szCs w:val="22"/>
              </w:rPr>
            </w:pPr>
            <w:r w:rsidRPr="00C47869">
              <w:rPr>
                <w:sz w:val="22"/>
                <w:szCs w:val="22"/>
              </w:rPr>
              <w:t>4 (6%)</w:t>
            </w:r>
          </w:p>
        </w:tc>
      </w:tr>
      <w:tr w:rsidR="00A50FC8" w:rsidRPr="004074F0" w14:paraId="088C3B05" w14:textId="77777777" w:rsidTr="00DE6EA0">
        <w:tc>
          <w:tcPr>
            <w:tcW w:w="4937" w:type="dxa"/>
          </w:tcPr>
          <w:p w14:paraId="1973898F" w14:textId="77777777" w:rsidR="00A50FC8" w:rsidRPr="004074F0" w:rsidRDefault="00A50FC8" w:rsidP="002403B3">
            <w:pPr>
              <w:pStyle w:val="BodyText"/>
              <w:tabs>
                <w:tab w:val="center" w:pos="391"/>
              </w:tabs>
              <w:spacing w:line="276" w:lineRule="auto"/>
              <w:jc w:val="both"/>
              <w:rPr>
                <w:sz w:val="22"/>
                <w:szCs w:val="22"/>
              </w:rPr>
            </w:pPr>
            <w:r w:rsidRPr="004074F0">
              <w:rPr>
                <w:sz w:val="22"/>
                <w:szCs w:val="22"/>
              </w:rPr>
              <w:t>Partial Response</w:t>
            </w:r>
          </w:p>
        </w:tc>
        <w:tc>
          <w:tcPr>
            <w:tcW w:w="2016" w:type="dxa"/>
          </w:tcPr>
          <w:p w14:paraId="0070F5A4" w14:textId="77777777" w:rsidR="00A50FC8" w:rsidRPr="00C47869" w:rsidRDefault="00A50FC8" w:rsidP="002403B3">
            <w:pPr>
              <w:pStyle w:val="BodyText"/>
              <w:spacing w:line="276" w:lineRule="auto"/>
              <w:jc w:val="both"/>
              <w:rPr>
                <w:sz w:val="22"/>
                <w:szCs w:val="22"/>
              </w:rPr>
            </w:pPr>
            <w:r w:rsidRPr="00C47869">
              <w:rPr>
                <w:sz w:val="22"/>
                <w:szCs w:val="22"/>
              </w:rPr>
              <w:t>45 (69%)</w:t>
            </w:r>
          </w:p>
        </w:tc>
      </w:tr>
    </w:tbl>
    <w:p w14:paraId="06C0E944" w14:textId="77777777" w:rsidR="00A50FC8" w:rsidRDefault="00A50FC8" w:rsidP="002403B3">
      <w:pPr>
        <w:pStyle w:val="BodyText"/>
        <w:spacing w:after="0" w:line="276" w:lineRule="auto"/>
        <w:ind w:left="540"/>
        <w:jc w:val="both"/>
        <w:rPr>
          <w:sz w:val="20"/>
          <w:szCs w:val="20"/>
        </w:rPr>
      </w:pPr>
      <w:proofErr w:type="spellStart"/>
      <w:r w:rsidRPr="004074F0">
        <w:rPr>
          <w:sz w:val="20"/>
          <w:szCs w:val="20"/>
          <w:vertAlign w:val="superscript"/>
        </w:rPr>
        <w:t>a</w:t>
      </w:r>
      <w:proofErr w:type="spellEnd"/>
      <w:r w:rsidRPr="004074F0">
        <w:rPr>
          <w:sz w:val="20"/>
          <w:szCs w:val="20"/>
          <w:vertAlign w:val="superscript"/>
        </w:rPr>
        <w:t xml:space="preserve"> </w:t>
      </w:r>
      <w:r w:rsidRPr="00C47869">
        <w:rPr>
          <w:sz w:val="20"/>
          <w:szCs w:val="20"/>
        </w:rPr>
        <w:t xml:space="preserve">Excludes 1 </w:t>
      </w:r>
      <w:proofErr w:type="spellStart"/>
      <w:r w:rsidRPr="00C47869">
        <w:rPr>
          <w:sz w:val="20"/>
          <w:szCs w:val="20"/>
        </w:rPr>
        <w:t>inevaluable</w:t>
      </w:r>
      <w:proofErr w:type="spellEnd"/>
      <w:r w:rsidRPr="00C47869">
        <w:rPr>
          <w:sz w:val="20"/>
          <w:szCs w:val="20"/>
        </w:rPr>
        <w:t xml:space="preserve"> patient from the total of 66 patients treated with RHOLISTIQ </w:t>
      </w:r>
    </w:p>
    <w:p w14:paraId="31C18865" w14:textId="77777777" w:rsidR="00A50FC8" w:rsidRPr="004074F0" w:rsidRDefault="00A50FC8" w:rsidP="002403B3">
      <w:pPr>
        <w:pStyle w:val="BodyText"/>
        <w:spacing w:after="0" w:line="276" w:lineRule="auto"/>
        <w:ind w:left="540"/>
        <w:jc w:val="both"/>
        <w:rPr>
          <w:sz w:val="20"/>
          <w:szCs w:val="20"/>
        </w:rPr>
      </w:pPr>
      <w:r w:rsidRPr="00C47869">
        <w:rPr>
          <w:sz w:val="20"/>
          <w:szCs w:val="20"/>
        </w:rPr>
        <w:t>200 mg taken orally once daily</w:t>
      </w:r>
    </w:p>
    <w:p w14:paraId="689A4CBD" w14:textId="77777777" w:rsidR="00A50FC8" w:rsidRDefault="00A50FC8" w:rsidP="002403B3">
      <w:pPr>
        <w:pStyle w:val="BodyText"/>
        <w:spacing w:after="0" w:line="276" w:lineRule="auto"/>
        <w:ind w:firstLine="540"/>
        <w:jc w:val="both"/>
        <w:rPr>
          <w:sz w:val="20"/>
          <w:szCs w:val="20"/>
        </w:rPr>
      </w:pPr>
      <w:proofErr w:type="spellStart"/>
      <w:r w:rsidRPr="004074F0">
        <w:rPr>
          <w:sz w:val="20"/>
          <w:szCs w:val="20"/>
          <w:vertAlign w:val="superscript"/>
        </w:rPr>
        <w:t>b</w:t>
      </w:r>
      <w:r w:rsidRPr="004074F0">
        <w:rPr>
          <w:sz w:val="20"/>
          <w:szCs w:val="20"/>
        </w:rPr>
        <w:t>Estimated</w:t>
      </w:r>
      <w:proofErr w:type="spellEnd"/>
      <w:r w:rsidRPr="004074F0">
        <w:rPr>
          <w:sz w:val="20"/>
          <w:szCs w:val="20"/>
        </w:rPr>
        <w:t xml:space="preserve"> using Clopper-Pearson method</w:t>
      </w:r>
    </w:p>
    <w:p w14:paraId="027EE025" w14:textId="77777777" w:rsidR="00A50FC8" w:rsidRPr="00BC5B46" w:rsidRDefault="00A50FC8" w:rsidP="002403B3">
      <w:pPr>
        <w:pStyle w:val="BodyText"/>
        <w:spacing w:after="0" w:line="276" w:lineRule="auto"/>
        <w:ind w:left="1440" w:hanging="1440"/>
        <w:jc w:val="both"/>
        <w:rPr>
          <w:sz w:val="20"/>
          <w:szCs w:val="20"/>
        </w:rPr>
      </w:pPr>
    </w:p>
    <w:p w14:paraId="58698F68" w14:textId="14B19CEE" w:rsidR="00A50FC8" w:rsidRDefault="00A50FC8" w:rsidP="002403B3">
      <w:pPr>
        <w:jc w:val="both"/>
        <w:rPr>
          <w:rFonts w:ascii="Times New Roman" w:hAnsi="Times New Roman" w:cs="Times New Roman"/>
          <w:sz w:val="24"/>
          <w:szCs w:val="24"/>
        </w:rPr>
      </w:pPr>
      <w:r w:rsidRPr="004074F0">
        <w:rPr>
          <w:rFonts w:ascii="Times New Roman" w:hAnsi="Times New Roman" w:cs="Times New Roman"/>
          <w:sz w:val="24"/>
          <w:szCs w:val="24"/>
        </w:rPr>
        <w:t>ORR results were supported by exploratory analyses of patient-reported symptom bother which showed at least a 7-point decrease in the Lee Symptom Scale summary score through Cycle 7 Day 1 in 52% (95% CI: 40, 65) of patients.</w:t>
      </w:r>
      <w:r>
        <w:rPr>
          <w:sz w:val="23"/>
          <w:szCs w:val="23"/>
        </w:rPr>
        <w:t xml:space="preserve"> </w:t>
      </w:r>
    </w:p>
    <w:p w14:paraId="75751BBD" w14:textId="5799F522" w:rsidR="00D97697" w:rsidRDefault="00AF00DD" w:rsidP="002403B3">
      <w:pPr>
        <w:jc w:val="both"/>
        <w:rPr>
          <w:rFonts w:ascii="Times New Roman" w:hAnsi="Times New Roman" w:cs="Times New Roman"/>
          <w:sz w:val="24"/>
          <w:szCs w:val="24"/>
        </w:rPr>
      </w:pPr>
      <w:r w:rsidRPr="00C47869">
        <w:rPr>
          <w:rFonts w:ascii="Times New Roman" w:hAnsi="Times New Roman" w:cs="Times New Roman"/>
          <w:sz w:val="24"/>
          <w:szCs w:val="24"/>
        </w:rPr>
        <w:t>The duration of response</w:t>
      </w:r>
      <w:r w:rsidR="00D46289" w:rsidRPr="004074F0">
        <w:rPr>
          <w:rFonts w:ascii="Times New Roman" w:hAnsi="Times New Roman" w:cs="Times New Roman"/>
          <w:sz w:val="24"/>
          <w:szCs w:val="24"/>
        </w:rPr>
        <w:t xml:space="preserve"> (DOR)</w:t>
      </w:r>
      <w:r w:rsidRPr="00C47869">
        <w:rPr>
          <w:rFonts w:ascii="Times New Roman" w:hAnsi="Times New Roman" w:cs="Times New Roman"/>
          <w:sz w:val="24"/>
          <w:szCs w:val="24"/>
        </w:rPr>
        <w:t xml:space="preserve"> </w:t>
      </w:r>
      <w:r w:rsidR="00D46289" w:rsidRPr="004074F0">
        <w:rPr>
          <w:rFonts w:ascii="Times New Roman" w:hAnsi="Times New Roman" w:cs="Times New Roman"/>
          <w:sz w:val="24"/>
          <w:szCs w:val="24"/>
        </w:rPr>
        <w:t xml:space="preserve">was </w:t>
      </w:r>
      <w:r w:rsidRPr="00C47869">
        <w:rPr>
          <w:rFonts w:ascii="Times New Roman" w:hAnsi="Times New Roman" w:cs="Times New Roman"/>
          <w:sz w:val="24"/>
          <w:szCs w:val="24"/>
        </w:rPr>
        <w:t>calculated from first response</w:t>
      </w:r>
      <w:r w:rsidR="00514AEA" w:rsidRPr="004074F0">
        <w:rPr>
          <w:rFonts w:ascii="Times New Roman" w:hAnsi="Times New Roman" w:cs="Times New Roman"/>
          <w:sz w:val="24"/>
          <w:szCs w:val="24"/>
        </w:rPr>
        <w:t xml:space="preserve"> by C7D1</w:t>
      </w:r>
      <w:r w:rsidRPr="00C47869">
        <w:rPr>
          <w:rFonts w:ascii="Times New Roman" w:hAnsi="Times New Roman" w:cs="Times New Roman"/>
          <w:sz w:val="24"/>
          <w:szCs w:val="24"/>
        </w:rPr>
        <w:t xml:space="preserve"> to death or new systemic therapies for chronic GVHD. </w:t>
      </w:r>
      <w:r w:rsidR="00BD7411" w:rsidRPr="00C47869">
        <w:rPr>
          <w:rFonts w:ascii="Times New Roman" w:hAnsi="Times New Roman" w:cs="Times New Roman"/>
          <w:sz w:val="24"/>
          <w:szCs w:val="24"/>
        </w:rPr>
        <w:t xml:space="preserve">Median DOR </w:t>
      </w:r>
      <w:r w:rsidR="009F1DEA" w:rsidRPr="00C47869">
        <w:rPr>
          <w:rFonts w:ascii="Times New Roman" w:hAnsi="Times New Roman" w:cs="Times New Roman"/>
          <w:sz w:val="24"/>
          <w:szCs w:val="24"/>
        </w:rPr>
        <w:t>was not reached</w:t>
      </w:r>
      <w:r w:rsidR="00BD7411" w:rsidRPr="00C47869">
        <w:rPr>
          <w:rFonts w:ascii="Times New Roman" w:hAnsi="Times New Roman" w:cs="Times New Roman"/>
          <w:sz w:val="24"/>
          <w:szCs w:val="24"/>
        </w:rPr>
        <w:t xml:space="preserve"> in the 200 mg once daily group. </w:t>
      </w:r>
      <w:r w:rsidR="00627922" w:rsidRPr="004074F0">
        <w:rPr>
          <w:rFonts w:ascii="Times New Roman" w:hAnsi="Times New Roman" w:cs="Times New Roman"/>
          <w:sz w:val="24"/>
          <w:szCs w:val="24"/>
        </w:rPr>
        <w:t xml:space="preserve">Durability of response was longer than 6 months in 79% (95% CI: </w:t>
      </w:r>
      <w:r w:rsidR="003D36BA" w:rsidRPr="004074F0">
        <w:rPr>
          <w:rFonts w:ascii="Times New Roman" w:hAnsi="Times New Roman" w:cs="Times New Roman"/>
          <w:sz w:val="24"/>
          <w:szCs w:val="24"/>
        </w:rPr>
        <w:t>64, 88) and longer than 12 months in 62% (95%</w:t>
      </w:r>
      <w:r w:rsidR="00C12F14" w:rsidRPr="00C47869">
        <w:rPr>
          <w:rFonts w:ascii="Times New Roman" w:hAnsi="Times New Roman" w:cs="Times New Roman"/>
          <w:sz w:val="24"/>
          <w:szCs w:val="24"/>
        </w:rPr>
        <w:t xml:space="preserve"> CI</w:t>
      </w:r>
      <w:r w:rsidR="003D36BA" w:rsidRPr="004074F0">
        <w:rPr>
          <w:rFonts w:ascii="Times New Roman" w:hAnsi="Times New Roman" w:cs="Times New Roman"/>
          <w:sz w:val="24"/>
          <w:szCs w:val="24"/>
        </w:rPr>
        <w:t>: 46, 74)</w:t>
      </w:r>
      <w:r w:rsidR="009D40B6" w:rsidRPr="004074F0">
        <w:rPr>
          <w:rFonts w:ascii="Times New Roman" w:hAnsi="Times New Roman" w:cs="Times New Roman"/>
          <w:sz w:val="24"/>
          <w:szCs w:val="24"/>
        </w:rPr>
        <w:t xml:space="preserve"> of patients in the 200 mg once daily group. </w:t>
      </w:r>
      <w:r w:rsidR="005C3A99" w:rsidRPr="005C3A99">
        <w:rPr>
          <w:rFonts w:ascii="Times New Roman" w:hAnsi="Times New Roman" w:cs="Times New Roman"/>
          <w:sz w:val="24"/>
          <w:szCs w:val="24"/>
        </w:rPr>
        <w:t>The median duration of response calculated from first response to first documentation of deterioration from best ORR, initiation of new systemic therapy for c</w:t>
      </w:r>
      <w:r w:rsidR="000300BB">
        <w:rPr>
          <w:rFonts w:ascii="Times New Roman" w:hAnsi="Times New Roman" w:cs="Times New Roman"/>
          <w:sz w:val="24"/>
          <w:szCs w:val="24"/>
        </w:rPr>
        <w:t xml:space="preserve">hronic </w:t>
      </w:r>
      <w:r w:rsidR="005C3A99" w:rsidRPr="005C3A99">
        <w:rPr>
          <w:rFonts w:ascii="Times New Roman" w:hAnsi="Times New Roman" w:cs="Times New Roman"/>
          <w:sz w:val="24"/>
          <w:szCs w:val="24"/>
        </w:rPr>
        <w:t xml:space="preserve">GVHD, or death was </w:t>
      </w:r>
      <w:r w:rsidR="00327C36">
        <w:rPr>
          <w:rFonts w:ascii="Times New Roman" w:hAnsi="Times New Roman" w:cs="Times New Roman"/>
          <w:sz w:val="24"/>
          <w:szCs w:val="24"/>
        </w:rPr>
        <w:t>3.7</w:t>
      </w:r>
      <w:r w:rsidR="00E8072B">
        <w:rPr>
          <w:rFonts w:ascii="Times New Roman" w:hAnsi="Times New Roman" w:cs="Times New Roman"/>
          <w:sz w:val="24"/>
          <w:szCs w:val="24"/>
        </w:rPr>
        <w:t xml:space="preserve"> months</w:t>
      </w:r>
      <w:r w:rsidR="00327C36">
        <w:rPr>
          <w:rFonts w:ascii="Times New Roman" w:hAnsi="Times New Roman" w:cs="Times New Roman"/>
          <w:sz w:val="24"/>
          <w:szCs w:val="24"/>
        </w:rPr>
        <w:t xml:space="preserve"> </w:t>
      </w:r>
      <w:r w:rsidR="00340BFB" w:rsidRPr="000A73E0">
        <w:rPr>
          <w:rFonts w:ascii="Times New Roman" w:hAnsi="Times New Roman" w:cs="Times New Roman"/>
          <w:sz w:val="24"/>
          <w:szCs w:val="24"/>
        </w:rPr>
        <w:t>(95% CI: 1.9, 8.3</w:t>
      </w:r>
      <w:r w:rsidR="00340BFB">
        <w:rPr>
          <w:rFonts w:ascii="Times New Roman" w:hAnsi="Times New Roman" w:cs="Times New Roman"/>
          <w:sz w:val="24"/>
          <w:szCs w:val="24"/>
        </w:rPr>
        <w:t>)</w:t>
      </w:r>
      <w:r w:rsidR="005C3A99" w:rsidRPr="005C3A99">
        <w:rPr>
          <w:rFonts w:ascii="Times New Roman" w:hAnsi="Times New Roman" w:cs="Times New Roman"/>
          <w:sz w:val="24"/>
          <w:szCs w:val="24"/>
        </w:rPr>
        <w:t>.</w:t>
      </w:r>
      <w:r w:rsidR="005C3A99">
        <w:rPr>
          <w:rFonts w:ascii="Times New Roman" w:hAnsi="Times New Roman" w:cs="Times New Roman"/>
          <w:sz w:val="24"/>
          <w:szCs w:val="24"/>
        </w:rPr>
        <w:t xml:space="preserve"> </w:t>
      </w:r>
      <w:r w:rsidR="005C3A99" w:rsidRPr="005C3A99">
        <w:rPr>
          <w:rFonts w:ascii="Times New Roman" w:hAnsi="Times New Roman" w:cs="Times New Roman"/>
          <w:sz w:val="24"/>
          <w:szCs w:val="24"/>
        </w:rPr>
        <w:t>The median duration of response, calculated from first response to progression</w:t>
      </w:r>
      <w:r w:rsidR="00D95A4E">
        <w:rPr>
          <w:rFonts w:ascii="Times New Roman" w:hAnsi="Times New Roman" w:cs="Times New Roman"/>
          <w:sz w:val="24"/>
          <w:szCs w:val="24"/>
        </w:rPr>
        <w:t xml:space="preserve"> </w:t>
      </w:r>
      <w:r w:rsidR="00265065" w:rsidRPr="00F245A2">
        <w:rPr>
          <w:rFonts w:ascii="Times New Roman" w:hAnsi="Times New Roman" w:cs="Times New Roman"/>
          <w:sz w:val="24"/>
          <w:szCs w:val="24"/>
        </w:rPr>
        <w:t xml:space="preserve">from nadir </w:t>
      </w:r>
      <w:r w:rsidR="006B3779" w:rsidRPr="00F245A2">
        <w:rPr>
          <w:rFonts w:ascii="Times New Roman" w:hAnsi="Times New Roman" w:cs="Times New Roman"/>
          <w:sz w:val="24"/>
          <w:szCs w:val="24"/>
        </w:rPr>
        <w:t>in any organ</w:t>
      </w:r>
      <w:r w:rsidR="005C3A99" w:rsidRPr="00F245A2">
        <w:rPr>
          <w:rFonts w:ascii="Times New Roman" w:hAnsi="Times New Roman" w:cs="Times New Roman"/>
          <w:sz w:val="24"/>
          <w:szCs w:val="24"/>
        </w:rPr>
        <w:t>,</w:t>
      </w:r>
      <w:r w:rsidR="005C3A99" w:rsidRPr="005C3A99">
        <w:rPr>
          <w:rFonts w:ascii="Times New Roman" w:hAnsi="Times New Roman" w:cs="Times New Roman"/>
          <w:sz w:val="24"/>
          <w:szCs w:val="24"/>
        </w:rPr>
        <w:t xml:space="preserve"> death, or new systemic therapies for chronic GVHD, was 1.9 months (95% CI: 1.2, 2.9).</w:t>
      </w:r>
      <w:r w:rsidR="001020E3">
        <w:rPr>
          <w:rFonts w:ascii="Times New Roman" w:hAnsi="Times New Roman" w:cs="Times New Roman"/>
          <w:sz w:val="24"/>
          <w:szCs w:val="24"/>
        </w:rPr>
        <w:t xml:space="preserve"> </w:t>
      </w:r>
      <w:r w:rsidR="00BD7299" w:rsidRPr="004074F0">
        <w:rPr>
          <w:rFonts w:ascii="Times New Roman" w:hAnsi="Times New Roman" w:cs="Times New Roman"/>
          <w:sz w:val="24"/>
          <w:szCs w:val="24"/>
        </w:rPr>
        <w:t>The K</w:t>
      </w:r>
      <w:r w:rsidR="003A47D1" w:rsidRPr="00C47869">
        <w:rPr>
          <w:rFonts w:ascii="Times New Roman" w:hAnsi="Times New Roman" w:cs="Times New Roman"/>
          <w:sz w:val="24"/>
          <w:szCs w:val="24"/>
        </w:rPr>
        <w:t>aplan</w:t>
      </w:r>
      <w:r w:rsidR="00BD7299" w:rsidRPr="004074F0">
        <w:rPr>
          <w:rFonts w:ascii="Times New Roman" w:hAnsi="Times New Roman" w:cs="Times New Roman"/>
          <w:sz w:val="24"/>
          <w:szCs w:val="24"/>
        </w:rPr>
        <w:t>-M</w:t>
      </w:r>
      <w:r w:rsidR="003A47D1" w:rsidRPr="00C47869">
        <w:rPr>
          <w:rFonts w:ascii="Times New Roman" w:hAnsi="Times New Roman" w:cs="Times New Roman"/>
          <w:sz w:val="24"/>
          <w:szCs w:val="24"/>
        </w:rPr>
        <w:t>ei</w:t>
      </w:r>
      <w:r w:rsidR="00D66D5F" w:rsidRPr="00C47869">
        <w:rPr>
          <w:rFonts w:ascii="Times New Roman" w:hAnsi="Times New Roman" w:cs="Times New Roman"/>
          <w:sz w:val="24"/>
          <w:szCs w:val="24"/>
        </w:rPr>
        <w:t>e</w:t>
      </w:r>
      <w:r w:rsidR="003A47D1" w:rsidRPr="00C47869">
        <w:rPr>
          <w:rFonts w:ascii="Times New Roman" w:hAnsi="Times New Roman" w:cs="Times New Roman"/>
          <w:sz w:val="24"/>
          <w:szCs w:val="24"/>
        </w:rPr>
        <w:t>r</w:t>
      </w:r>
      <w:r w:rsidR="00BD7299" w:rsidRPr="004074F0">
        <w:rPr>
          <w:rFonts w:ascii="Times New Roman" w:hAnsi="Times New Roman" w:cs="Times New Roman"/>
          <w:sz w:val="24"/>
          <w:szCs w:val="24"/>
        </w:rPr>
        <w:t xml:space="preserve"> </w:t>
      </w:r>
      <w:r w:rsidR="0065670F" w:rsidRPr="00C47869">
        <w:rPr>
          <w:rFonts w:ascii="Times New Roman" w:hAnsi="Times New Roman" w:cs="Times New Roman"/>
          <w:sz w:val="24"/>
          <w:szCs w:val="24"/>
        </w:rPr>
        <w:t>curve for</w:t>
      </w:r>
      <w:r w:rsidR="00BD7299" w:rsidRPr="004074F0">
        <w:rPr>
          <w:rFonts w:ascii="Times New Roman" w:hAnsi="Times New Roman" w:cs="Times New Roman"/>
          <w:sz w:val="24"/>
          <w:szCs w:val="24"/>
        </w:rPr>
        <w:t xml:space="preserve"> DOR </w:t>
      </w:r>
      <w:r w:rsidR="00D3386E" w:rsidRPr="004074F0">
        <w:rPr>
          <w:rFonts w:ascii="Times New Roman" w:hAnsi="Times New Roman" w:cs="Times New Roman"/>
          <w:sz w:val="24"/>
          <w:szCs w:val="24"/>
        </w:rPr>
        <w:t xml:space="preserve">is in Figure 1. </w:t>
      </w:r>
      <w:r w:rsidRPr="00C47869">
        <w:rPr>
          <w:rFonts w:ascii="Times New Roman" w:hAnsi="Times New Roman" w:cs="Times New Roman"/>
          <w:sz w:val="24"/>
          <w:szCs w:val="24"/>
        </w:rPr>
        <w:t xml:space="preserve">The median time to first response was 1.8 months (95% CI: 1.0, 1.9). </w:t>
      </w:r>
      <w:r w:rsidR="004649F3" w:rsidRPr="004074F0">
        <w:rPr>
          <w:rFonts w:ascii="Times New Roman" w:hAnsi="Times New Roman" w:cs="Times New Roman"/>
          <w:sz w:val="24"/>
          <w:szCs w:val="24"/>
        </w:rPr>
        <w:t xml:space="preserve">The median </w:t>
      </w:r>
      <w:r w:rsidR="00994B2C" w:rsidRPr="004074F0">
        <w:rPr>
          <w:rFonts w:ascii="Times New Roman" w:hAnsi="Times New Roman" w:cs="Times New Roman"/>
          <w:sz w:val="24"/>
          <w:szCs w:val="24"/>
        </w:rPr>
        <w:t xml:space="preserve">(range) duration of follow-up for efficacy is </w:t>
      </w:r>
      <w:r w:rsidR="00CE05C4" w:rsidRPr="00C47869">
        <w:rPr>
          <w:rFonts w:ascii="Times New Roman" w:hAnsi="Times New Roman" w:cs="Times New Roman"/>
          <w:sz w:val="24"/>
          <w:szCs w:val="24"/>
        </w:rPr>
        <w:t>13.</w:t>
      </w:r>
      <w:r w:rsidR="00C053AA" w:rsidRPr="00C47869">
        <w:rPr>
          <w:rFonts w:ascii="Times New Roman" w:hAnsi="Times New Roman" w:cs="Times New Roman"/>
          <w:sz w:val="24"/>
          <w:szCs w:val="24"/>
        </w:rPr>
        <w:t>5</w:t>
      </w:r>
      <w:r w:rsidR="00755882" w:rsidRPr="00C47869">
        <w:rPr>
          <w:rFonts w:ascii="Times New Roman" w:hAnsi="Times New Roman" w:cs="Times New Roman"/>
          <w:sz w:val="24"/>
          <w:szCs w:val="24"/>
        </w:rPr>
        <w:t xml:space="preserve"> months</w:t>
      </w:r>
      <w:r w:rsidR="00CE05C4" w:rsidRPr="00C47869">
        <w:rPr>
          <w:rFonts w:ascii="Times New Roman" w:hAnsi="Times New Roman" w:cs="Times New Roman"/>
          <w:sz w:val="24"/>
          <w:szCs w:val="24"/>
        </w:rPr>
        <w:t xml:space="preserve"> (0.6, 21.9)</w:t>
      </w:r>
      <w:r w:rsidR="00994B2C" w:rsidRPr="004074F0">
        <w:rPr>
          <w:rFonts w:ascii="Times New Roman" w:hAnsi="Times New Roman" w:cs="Times New Roman"/>
          <w:sz w:val="24"/>
          <w:szCs w:val="24"/>
        </w:rPr>
        <w:t xml:space="preserve">. </w:t>
      </w:r>
    </w:p>
    <w:p w14:paraId="7698C321" w14:textId="05607333" w:rsidR="00A80512" w:rsidRPr="00C47869" w:rsidRDefault="00764C24" w:rsidP="0006350D">
      <w:pPr>
        <w:keepNext/>
        <w:jc w:val="both"/>
        <w:rPr>
          <w:rFonts w:ascii="Times New Roman" w:hAnsi="Times New Roman" w:cs="Times New Roman"/>
          <w:b/>
          <w:bCs/>
          <w:sz w:val="24"/>
          <w:szCs w:val="24"/>
        </w:rPr>
      </w:pPr>
      <w:r w:rsidRPr="00C47869">
        <w:rPr>
          <w:rFonts w:ascii="Times New Roman" w:hAnsi="Times New Roman" w:cs="Times New Roman"/>
          <w:b/>
          <w:bCs/>
          <w:sz w:val="24"/>
          <w:szCs w:val="24"/>
        </w:rPr>
        <w:lastRenderedPageBreak/>
        <w:t xml:space="preserve">Figure 1: </w:t>
      </w:r>
      <w:r w:rsidR="00A94E00">
        <w:rPr>
          <w:rFonts w:ascii="Times New Roman" w:hAnsi="Times New Roman" w:cs="Times New Roman"/>
          <w:b/>
          <w:bCs/>
          <w:sz w:val="24"/>
          <w:szCs w:val="24"/>
        </w:rPr>
        <w:t>Kaplan-Mei</w:t>
      </w:r>
      <w:r w:rsidR="007F2EC6">
        <w:rPr>
          <w:rFonts w:ascii="Times New Roman" w:hAnsi="Times New Roman" w:cs="Times New Roman"/>
          <w:b/>
          <w:bCs/>
          <w:sz w:val="24"/>
          <w:szCs w:val="24"/>
        </w:rPr>
        <w:t xml:space="preserve">er Curve for </w:t>
      </w:r>
      <w:r w:rsidR="007C0F4B">
        <w:rPr>
          <w:rFonts w:ascii="Times New Roman" w:hAnsi="Times New Roman" w:cs="Times New Roman"/>
          <w:b/>
          <w:bCs/>
          <w:sz w:val="24"/>
          <w:szCs w:val="24"/>
        </w:rPr>
        <w:t>Dura</w:t>
      </w:r>
      <w:r w:rsidR="00BA3771">
        <w:rPr>
          <w:rFonts w:ascii="Times New Roman" w:hAnsi="Times New Roman" w:cs="Times New Roman"/>
          <w:b/>
          <w:bCs/>
          <w:sz w:val="24"/>
          <w:szCs w:val="24"/>
        </w:rPr>
        <w:t>tion</w:t>
      </w:r>
      <w:r w:rsidR="007C0F4B">
        <w:rPr>
          <w:rFonts w:ascii="Times New Roman" w:hAnsi="Times New Roman" w:cs="Times New Roman"/>
          <w:b/>
          <w:bCs/>
          <w:sz w:val="24"/>
          <w:szCs w:val="24"/>
        </w:rPr>
        <w:t xml:space="preserve"> </w:t>
      </w:r>
      <w:r w:rsidR="00980BC8" w:rsidRPr="00C47869">
        <w:rPr>
          <w:rFonts w:ascii="Times New Roman" w:hAnsi="Times New Roman" w:cs="Times New Roman"/>
          <w:b/>
          <w:bCs/>
          <w:sz w:val="24"/>
          <w:szCs w:val="24"/>
        </w:rPr>
        <w:t>of Response</w:t>
      </w:r>
      <w:r w:rsidR="006C33CF">
        <w:rPr>
          <w:rFonts w:ascii="Times New Roman" w:hAnsi="Times New Roman" w:cs="Times New Roman"/>
          <w:b/>
          <w:bCs/>
          <w:sz w:val="24"/>
          <w:szCs w:val="24"/>
        </w:rPr>
        <w:t xml:space="preserve"> in Study KD025-213</w:t>
      </w:r>
    </w:p>
    <w:p w14:paraId="1EA56BF7" w14:textId="688EEC7A" w:rsidR="00A80512" w:rsidRDefault="423359E4" w:rsidP="002403B3">
      <w:pPr>
        <w:jc w:val="both"/>
        <w:rPr>
          <w:rFonts w:ascii="Times New Roman" w:hAnsi="Times New Roman" w:cs="Times New Roman"/>
          <w:sz w:val="24"/>
          <w:szCs w:val="24"/>
        </w:rPr>
      </w:pPr>
      <w:r>
        <w:rPr>
          <w:noProof/>
          <w:lang w:val="en-US"/>
        </w:rPr>
        <w:drawing>
          <wp:inline distT="0" distB="0" distL="0" distR="0" wp14:anchorId="7F2B038C" wp14:editId="476B9124">
            <wp:extent cx="4937760" cy="3919347"/>
            <wp:effectExtent l="0" t="0" r="0" b="5080"/>
            <wp:docPr id="253961999" name="Picture 253961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954096" cy="3932313"/>
                    </a:xfrm>
                    <a:prstGeom prst="rect">
                      <a:avLst/>
                    </a:prstGeom>
                  </pic:spPr>
                </pic:pic>
              </a:graphicData>
            </a:graphic>
          </wp:inline>
        </w:drawing>
      </w:r>
    </w:p>
    <w:p w14:paraId="6BB78E80" w14:textId="60F3E715" w:rsidR="001A3992" w:rsidRPr="002E6CAE" w:rsidRDefault="001A3992" w:rsidP="002403B3">
      <w:pPr>
        <w:pStyle w:val="Heading2"/>
        <w:keepNext/>
        <w:spacing w:before="0" w:after="120"/>
        <w:ind w:left="0" w:firstLine="0"/>
        <w:jc w:val="both"/>
        <w:rPr>
          <w:rFonts w:ascii="Times New Roman" w:hAnsi="Times New Roman" w:cs="Times New Roman"/>
          <w:lang w:val="en-US"/>
        </w:rPr>
      </w:pPr>
      <w:r w:rsidRPr="002E6CAE">
        <w:rPr>
          <w:rFonts w:ascii="Times New Roman" w:hAnsi="Times New Roman" w:cs="Times New Roman"/>
          <w:lang w:val="en-US"/>
        </w:rPr>
        <w:t xml:space="preserve">Pharmacokinetic properties </w:t>
      </w:r>
    </w:p>
    <w:p w14:paraId="7D1CE3E9" w14:textId="3C940518" w:rsidR="00462A17" w:rsidRPr="002E6CAE" w:rsidRDefault="004074F0" w:rsidP="002403B3">
      <w:pPr>
        <w:spacing w:before="120" w:after="120"/>
        <w:jc w:val="both"/>
        <w:rPr>
          <w:rFonts w:ascii="Times New Roman" w:hAnsi="Times New Roman" w:cs="Times New Roman"/>
          <w:sz w:val="24"/>
          <w:szCs w:val="24"/>
        </w:rPr>
      </w:pPr>
      <w:r w:rsidRPr="00C47869">
        <w:rPr>
          <w:rFonts w:ascii="Times New Roman" w:hAnsi="Times New Roman" w:cs="Times New Roman"/>
          <w:sz w:val="24"/>
          <w:szCs w:val="24"/>
        </w:rPr>
        <w:t xml:space="preserve">The following pharmacokinetic parameters are presented for chronic GVHD patients administered </w:t>
      </w:r>
      <w:proofErr w:type="spellStart"/>
      <w:r w:rsidRPr="00C47869">
        <w:rPr>
          <w:rFonts w:ascii="Times New Roman" w:hAnsi="Times New Roman" w:cs="Times New Roman"/>
          <w:sz w:val="24"/>
          <w:szCs w:val="24"/>
        </w:rPr>
        <w:t>belumosudil</w:t>
      </w:r>
      <w:proofErr w:type="spellEnd"/>
      <w:r w:rsidRPr="00C47869">
        <w:rPr>
          <w:rFonts w:ascii="Times New Roman" w:hAnsi="Times New Roman" w:cs="Times New Roman"/>
          <w:sz w:val="24"/>
          <w:szCs w:val="24"/>
        </w:rPr>
        <w:t xml:space="preserve"> 200 mg once daily, unless otherwise specified. The mean (% coefficient of variation, %CV) steady-state AUC and </w:t>
      </w:r>
      <w:proofErr w:type="spellStart"/>
      <w:r w:rsidRPr="00C47869">
        <w:rPr>
          <w:rFonts w:ascii="Times New Roman" w:hAnsi="Times New Roman" w:cs="Times New Roman"/>
          <w:sz w:val="24"/>
          <w:szCs w:val="24"/>
        </w:rPr>
        <w:t>C</w:t>
      </w:r>
      <w:r w:rsidRPr="00C47869">
        <w:rPr>
          <w:rFonts w:ascii="Times New Roman" w:hAnsi="Times New Roman" w:cs="Times New Roman"/>
          <w:sz w:val="24"/>
          <w:szCs w:val="24"/>
          <w:vertAlign w:val="subscript"/>
        </w:rPr>
        <w:t>max</w:t>
      </w:r>
      <w:proofErr w:type="spellEnd"/>
      <w:r w:rsidRPr="00C47869">
        <w:rPr>
          <w:rFonts w:ascii="Times New Roman" w:hAnsi="Times New Roman" w:cs="Times New Roman"/>
          <w:sz w:val="24"/>
          <w:szCs w:val="24"/>
        </w:rPr>
        <w:t xml:space="preserve"> of </w:t>
      </w:r>
      <w:proofErr w:type="spellStart"/>
      <w:r w:rsidRPr="00C47869">
        <w:rPr>
          <w:rFonts w:ascii="Times New Roman" w:hAnsi="Times New Roman" w:cs="Times New Roman"/>
          <w:sz w:val="24"/>
          <w:szCs w:val="24"/>
        </w:rPr>
        <w:t>belumosudil</w:t>
      </w:r>
      <w:proofErr w:type="spellEnd"/>
      <w:r w:rsidRPr="00C47869">
        <w:rPr>
          <w:rFonts w:ascii="Times New Roman" w:hAnsi="Times New Roman" w:cs="Times New Roman"/>
          <w:sz w:val="24"/>
          <w:szCs w:val="24"/>
        </w:rPr>
        <w:t xml:space="preserve"> was 22700 (48%) </w:t>
      </w:r>
      <w:proofErr w:type="spellStart"/>
      <w:r w:rsidRPr="00C47869">
        <w:rPr>
          <w:rFonts w:ascii="Times New Roman" w:hAnsi="Times New Roman" w:cs="Times New Roman"/>
          <w:sz w:val="24"/>
          <w:szCs w:val="24"/>
        </w:rPr>
        <w:t>h•ng</w:t>
      </w:r>
      <w:proofErr w:type="spellEnd"/>
      <w:r w:rsidRPr="00C47869">
        <w:rPr>
          <w:rFonts w:ascii="Times New Roman" w:hAnsi="Times New Roman" w:cs="Times New Roman"/>
          <w:sz w:val="24"/>
          <w:szCs w:val="24"/>
        </w:rPr>
        <w:t xml:space="preserve">/mL and 2390 (44%) ng/mL, respectively. </w:t>
      </w:r>
      <w:proofErr w:type="spellStart"/>
      <w:r w:rsidRPr="00C47869">
        <w:rPr>
          <w:rFonts w:ascii="Times New Roman" w:hAnsi="Times New Roman" w:cs="Times New Roman"/>
          <w:sz w:val="24"/>
          <w:szCs w:val="24"/>
        </w:rPr>
        <w:t>Belumosudil</w:t>
      </w:r>
      <w:proofErr w:type="spellEnd"/>
      <w:r w:rsidRPr="00C47869">
        <w:rPr>
          <w:rFonts w:ascii="Times New Roman" w:hAnsi="Times New Roman" w:cs="Times New Roman"/>
          <w:sz w:val="24"/>
          <w:szCs w:val="24"/>
        </w:rPr>
        <w:t xml:space="preserve"> </w:t>
      </w:r>
      <w:proofErr w:type="spellStart"/>
      <w:r w:rsidRPr="00C47869">
        <w:rPr>
          <w:rFonts w:ascii="Times New Roman" w:hAnsi="Times New Roman" w:cs="Times New Roman"/>
          <w:sz w:val="24"/>
          <w:szCs w:val="24"/>
        </w:rPr>
        <w:t>C</w:t>
      </w:r>
      <w:r w:rsidRPr="00C47869">
        <w:rPr>
          <w:rFonts w:ascii="Times New Roman" w:hAnsi="Times New Roman" w:cs="Times New Roman"/>
          <w:sz w:val="24"/>
          <w:szCs w:val="24"/>
          <w:vertAlign w:val="subscript"/>
        </w:rPr>
        <w:t>max</w:t>
      </w:r>
      <w:proofErr w:type="spellEnd"/>
      <w:r w:rsidRPr="00C47869">
        <w:rPr>
          <w:rFonts w:ascii="Times New Roman" w:hAnsi="Times New Roman" w:cs="Times New Roman"/>
          <w:sz w:val="24"/>
          <w:szCs w:val="24"/>
        </w:rPr>
        <w:t xml:space="preserve"> and AUC increased in an approximately proportional manner over a dosage range of 200 and 400 mg (1 to 2 times once daily recommended dosage). The accumulation ratio of </w:t>
      </w:r>
      <w:proofErr w:type="spellStart"/>
      <w:r w:rsidRPr="00C47869">
        <w:rPr>
          <w:rFonts w:ascii="Times New Roman" w:hAnsi="Times New Roman" w:cs="Times New Roman"/>
          <w:sz w:val="24"/>
          <w:szCs w:val="24"/>
        </w:rPr>
        <w:t>belumosudil</w:t>
      </w:r>
      <w:proofErr w:type="spellEnd"/>
      <w:r w:rsidRPr="00C47869">
        <w:rPr>
          <w:rFonts w:ascii="Times New Roman" w:hAnsi="Times New Roman" w:cs="Times New Roman"/>
          <w:sz w:val="24"/>
          <w:szCs w:val="24"/>
        </w:rPr>
        <w:t xml:space="preserve"> was 1.4</w:t>
      </w:r>
      <w:r w:rsidR="00462A17" w:rsidRPr="00462A17">
        <w:rPr>
          <w:rFonts w:ascii="Times New Roman" w:hAnsi="Times New Roman" w:cs="Times New Roman"/>
          <w:sz w:val="24"/>
          <w:szCs w:val="24"/>
        </w:rPr>
        <w:t>.</w:t>
      </w:r>
    </w:p>
    <w:p w14:paraId="0C18F661" w14:textId="41356CAC" w:rsidR="00F71B87" w:rsidRPr="002E6CAE" w:rsidRDefault="001A3992" w:rsidP="002403B3">
      <w:pPr>
        <w:pStyle w:val="Heading3"/>
        <w:spacing w:before="0" w:after="120"/>
        <w:ind w:left="0"/>
        <w:jc w:val="both"/>
        <w:rPr>
          <w:rFonts w:ascii="Times New Roman" w:hAnsi="Times New Roman" w:cs="Times New Roman"/>
          <w:sz w:val="24"/>
          <w:szCs w:val="24"/>
        </w:rPr>
      </w:pPr>
      <w:r w:rsidRPr="002E6CAE">
        <w:rPr>
          <w:rFonts w:ascii="Times New Roman" w:hAnsi="Times New Roman" w:cs="Times New Roman"/>
          <w:sz w:val="24"/>
          <w:szCs w:val="24"/>
        </w:rPr>
        <w:t>Absorption</w:t>
      </w:r>
      <w:r w:rsidR="00677840" w:rsidRPr="002E6CAE">
        <w:rPr>
          <w:rFonts w:ascii="Times New Roman" w:hAnsi="Times New Roman" w:cs="Times New Roman"/>
          <w:sz w:val="24"/>
          <w:szCs w:val="24"/>
        </w:rPr>
        <w:t xml:space="preserve"> </w:t>
      </w:r>
    </w:p>
    <w:p w14:paraId="5DFA1A44" w14:textId="77777777" w:rsidR="004074F0" w:rsidRDefault="004074F0" w:rsidP="002403B3">
      <w:pPr>
        <w:pStyle w:val="BodyText"/>
        <w:spacing w:after="160" w:line="276" w:lineRule="auto"/>
        <w:jc w:val="both"/>
      </w:pPr>
      <w:r>
        <w:t xml:space="preserve">Median </w:t>
      </w:r>
      <w:proofErr w:type="spellStart"/>
      <w:r>
        <w:t>T</w:t>
      </w:r>
      <w:r>
        <w:rPr>
          <w:vertAlign w:val="subscript"/>
        </w:rPr>
        <w:t>max</w:t>
      </w:r>
      <w:proofErr w:type="spellEnd"/>
      <w:r>
        <w:t xml:space="preserve"> of </w:t>
      </w:r>
      <w:proofErr w:type="spellStart"/>
      <w:r>
        <w:t>belumosudil</w:t>
      </w:r>
      <w:proofErr w:type="spellEnd"/>
      <w:r>
        <w:t xml:space="preserve"> at steady state was 1.26 to 2.53 hours following administration of 200 mg once daily or twice daily in patients. The mean (%CV) bioavailability was 64% (17%) following a single </w:t>
      </w:r>
      <w:proofErr w:type="spellStart"/>
      <w:r>
        <w:t>belumosudil</w:t>
      </w:r>
      <w:proofErr w:type="spellEnd"/>
      <w:r>
        <w:t xml:space="preserve"> dose in healthy subjects.</w:t>
      </w:r>
    </w:p>
    <w:p w14:paraId="01128F97" w14:textId="77777777" w:rsidR="00A06E24" w:rsidRPr="00FD6C0A" w:rsidRDefault="00A06E24" w:rsidP="002403B3">
      <w:pPr>
        <w:spacing w:after="120"/>
        <w:jc w:val="both"/>
        <w:rPr>
          <w:rFonts w:ascii="Times New Roman" w:hAnsi="Times New Roman" w:cs="Times New Roman"/>
          <w:sz w:val="24"/>
          <w:szCs w:val="24"/>
          <w:u w:val="single"/>
        </w:rPr>
      </w:pPr>
      <w:r w:rsidRPr="00FD6C0A">
        <w:rPr>
          <w:rFonts w:ascii="Times New Roman" w:hAnsi="Times New Roman" w:cs="Times New Roman"/>
          <w:sz w:val="24"/>
          <w:szCs w:val="24"/>
          <w:u w:val="single"/>
        </w:rPr>
        <w:t>Effect of Food</w:t>
      </w:r>
    </w:p>
    <w:p w14:paraId="024BDE92" w14:textId="77777777" w:rsidR="004074F0" w:rsidRPr="00C47869" w:rsidRDefault="004074F0" w:rsidP="002403B3">
      <w:pPr>
        <w:jc w:val="both"/>
        <w:rPr>
          <w:rFonts w:ascii="Times New Roman" w:hAnsi="Times New Roman" w:cs="Times New Roman"/>
          <w:sz w:val="24"/>
          <w:szCs w:val="24"/>
          <w:lang w:val="en-US"/>
        </w:rPr>
      </w:pPr>
      <w:proofErr w:type="spellStart"/>
      <w:r w:rsidRPr="00C47869">
        <w:rPr>
          <w:rFonts w:ascii="Times New Roman" w:hAnsi="Times New Roman" w:cs="Times New Roman"/>
          <w:sz w:val="24"/>
          <w:szCs w:val="24"/>
          <w:lang w:val="en-US"/>
        </w:rPr>
        <w:t>Belumosudil</w:t>
      </w:r>
      <w:proofErr w:type="spellEnd"/>
      <w:r w:rsidRPr="00C47869">
        <w:rPr>
          <w:rFonts w:ascii="Times New Roman" w:hAnsi="Times New Roman" w:cs="Times New Roman"/>
          <w:sz w:val="24"/>
          <w:szCs w:val="24"/>
          <w:lang w:val="en-US"/>
        </w:rPr>
        <w:t xml:space="preserve"> </w:t>
      </w:r>
      <w:proofErr w:type="spellStart"/>
      <w:r w:rsidRPr="00C47869">
        <w:rPr>
          <w:rFonts w:ascii="Times New Roman" w:hAnsi="Times New Roman" w:cs="Times New Roman"/>
          <w:sz w:val="24"/>
          <w:szCs w:val="24"/>
          <w:lang w:val="en-US"/>
        </w:rPr>
        <w:t>C</w:t>
      </w:r>
      <w:r w:rsidRPr="00C47869">
        <w:rPr>
          <w:rFonts w:ascii="Times New Roman" w:hAnsi="Times New Roman" w:cs="Times New Roman"/>
          <w:sz w:val="24"/>
          <w:szCs w:val="24"/>
          <w:vertAlign w:val="subscript"/>
          <w:lang w:val="en-US"/>
        </w:rPr>
        <w:t>max</w:t>
      </w:r>
      <w:proofErr w:type="spellEnd"/>
      <w:r w:rsidRPr="00C47869">
        <w:rPr>
          <w:rFonts w:ascii="Times New Roman" w:hAnsi="Times New Roman" w:cs="Times New Roman"/>
          <w:sz w:val="24"/>
          <w:szCs w:val="24"/>
          <w:lang w:val="en-US"/>
        </w:rPr>
        <w:t xml:space="preserve"> and AUC increased 2.2 times and 2 times, respectively, following administration of a single </w:t>
      </w:r>
      <w:proofErr w:type="spellStart"/>
      <w:r w:rsidRPr="00C47869">
        <w:rPr>
          <w:rFonts w:ascii="Times New Roman" w:hAnsi="Times New Roman" w:cs="Times New Roman"/>
          <w:sz w:val="24"/>
          <w:szCs w:val="24"/>
          <w:lang w:val="en-US"/>
        </w:rPr>
        <w:t>belumosudil</w:t>
      </w:r>
      <w:proofErr w:type="spellEnd"/>
      <w:r w:rsidRPr="00C47869">
        <w:rPr>
          <w:rFonts w:ascii="Times New Roman" w:hAnsi="Times New Roman" w:cs="Times New Roman"/>
          <w:sz w:val="24"/>
          <w:szCs w:val="24"/>
          <w:lang w:val="en-US"/>
        </w:rPr>
        <w:t xml:space="preserve"> dose with a high-fat and high-calorie meal (800 to 1,000 calories with approximately 50% of total caloric content of the meal from fat) compared to the fasted state in healthy subjects. Median </w:t>
      </w:r>
      <w:proofErr w:type="spellStart"/>
      <w:r w:rsidRPr="00C47869">
        <w:rPr>
          <w:rFonts w:ascii="Times New Roman" w:hAnsi="Times New Roman" w:cs="Times New Roman"/>
          <w:sz w:val="24"/>
          <w:szCs w:val="24"/>
          <w:lang w:val="en-US"/>
        </w:rPr>
        <w:t>T</w:t>
      </w:r>
      <w:r w:rsidRPr="00C47869">
        <w:rPr>
          <w:rFonts w:ascii="Times New Roman" w:hAnsi="Times New Roman" w:cs="Times New Roman"/>
          <w:sz w:val="24"/>
          <w:szCs w:val="24"/>
          <w:vertAlign w:val="subscript"/>
          <w:lang w:val="en-US"/>
        </w:rPr>
        <w:t>max</w:t>
      </w:r>
      <w:proofErr w:type="spellEnd"/>
      <w:r w:rsidRPr="00C47869">
        <w:rPr>
          <w:rFonts w:ascii="Times New Roman" w:hAnsi="Times New Roman" w:cs="Times New Roman"/>
          <w:sz w:val="24"/>
          <w:szCs w:val="24"/>
          <w:lang w:val="en-US"/>
        </w:rPr>
        <w:t xml:space="preserve"> was delayed 0.5 hours.</w:t>
      </w:r>
    </w:p>
    <w:p w14:paraId="40F25524" w14:textId="48618625" w:rsidR="001A3992" w:rsidRPr="002E6CAE" w:rsidRDefault="001A3992" w:rsidP="002403B3">
      <w:pPr>
        <w:pStyle w:val="Heading3"/>
        <w:spacing w:before="0" w:after="120"/>
        <w:ind w:left="0"/>
        <w:jc w:val="both"/>
        <w:rPr>
          <w:rFonts w:ascii="Times New Roman" w:hAnsi="Times New Roman" w:cs="Times New Roman"/>
          <w:b w:val="0"/>
          <w:sz w:val="24"/>
          <w:szCs w:val="24"/>
        </w:rPr>
      </w:pPr>
      <w:r w:rsidRPr="002E6CAE">
        <w:rPr>
          <w:rFonts w:ascii="Times New Roman" w:hAnsi="Times New Roman" w:cs="Times New Roman"/>
          <w:sz w:val="24"/>
          <w:szCs w:val="24"/>
        </w:rPr>
        <w:lastRenderedPageBreak/>
        <w:t>Distribution</w:t>
      </w:r>
      <w:r w:rsidR="00677840" w:rsidRPr="002E6CAE">
        <w:rPr>
          <w:rFonts w:ascii="Times New Roman" w:hAnsi="Times New Roman" w:cs="Times New Roman"/>
          <w:sz w:val="24"/>
          <w:szCs w:val="24"/>
        </w:rPr>
        <w:t xml:space="preserve"> </w:t>
      </w:r>
    </w:p>
    <w:p w14:paraId="33545D23" w14:textId="77777777" w:rsidR="004074F0" w:rsidRPr="00C47869" w:rsidRDefault="004074F0" w:rsidP="002403B3">
      <w:pPr>
        <w:autoSpaceDE w:val="0"/>
        <w:autoSpaceDN w:val="0"/>
        <w:adjustRightInd w:val="0"/>
        <w:jc w:val="both"/>
        <w:rPr>
          <w:rFonts w:ascii="Times New Roman" w:hAnsi="Times New Roman" w:cs="Times New Roman"/>
          <w:sz w:val="24"/>
          <w:szCs w:val="24"/>
          <w:lang w:val="en-US"/>
        </w:rPr>
      </w:pPr>
      <w:r w:rsidRPr="00C47869">
        <w:rPr>
          <w:rFonts w:ascii="Times New Roman" w:hAnsi="Times New Roman" w:cs="Times New Roman"/>
          <w:sz w:val="24"/>
          <w:szCs w:val="24"/>
          <w:lang w:val="en-US"/>
        </w:rPr>
        <w:t xml:space="preserve">The geometric mean volume of distribution after a single dose of </w:t>
      </w:r>
      <w:proofErr w:type="spellStart"/>
      <w:r w:rsidRPr="00C47869">
        <w:rPr>
          <w:rFonts w:ascii="Times New Roman" w:hAnsi="Times New Roman" w:cs="Times New Roman"/>
          <w:sz w:val="24"/>
          <w:szCs w:val="24"/>
          <w:lang w:val="en-US"/>
        </w:rPr>
        <w:t>belumosudil</w:t>
      </w:r>
      <w:proofErr w:type="spellEnd"/>
      <w:r w:rsidRPr="00C47869">
        <w:rPr>
          <w:rFonts w:ascii="Times New Roman" w:hAnsi="Times New Roman" w:cs="Times New Roman"/>
          <w:sz w:val="24"/>
          <w:szCs w:val="24"/>
          <w:lang w:val="en-US"/>
        </w:rPr>
        <w:t xml:space="preserve"> in healthy subjects was 184 L (geo CV% 67.7%).</w:t>
      </w:r>
    </w:p>
    <w:p w14:paraId="4685D0C5" w14:textId="5066BFDF" w:rsidR="004074F0" w:rsidRDefault="004074F0" w:rsidP="002403B3">
      <w:pPr>
        <w:pStyle w:val="BodyText"/>
        <w:spacing w:line="276" w:lineRule="auto"/>
        <w:jc w:val="both"/>
      </w:pPr>
      <w:proofErr w:type="spellStart"/>
      <w:r>
        <w:t>Belumosudil</w:t>
      </w:r>
      <w:proofErr w:type="spellEnd"/>
      <w:r>
        <w:t xml:space="preserve"> binding to human serum albumin and human </w:t>
      </w:r>
      <w:r w:rsidRPr="00CA70B7">
        <w:rPr>
          <w:rFonts w:ascii="Symbol" w:hAnsi="Symbol"/>
        </w:rPr>
        <w:t></w:t>
      </w:r>
      <w:r w:rsidRPr="00CA70B7">
        <w:rPr>
          <w:vertAlign w:val="subscript"/>
        </w:rPr>
        <w:t>1</w:t>
      </w:r>
      <w:r>
        <w:t>-acid glycoprotein was 99.9% and 98.6%, respectively, in vitro.</w:t>
      </w:r>
    </w:p>
    <w:p w14:paraId="53FFDC2C" w14:textId="77777777" w:rsidR="00E566E7" w:rsidRPr="00C47869" w:rsidRDefault="00E566E7" w:rsidP="002403B3">
      <w:pPr>
        <w:autoSpaceDE w:val="0"/>
        <w:autoSpaceDN w:val="0"/>
        <w:adjustRightInd w:val="0"/>
        <w:jc w:val="both"/>
        <w:rPr>
          <w:rFonts w:ascii="Times New Roman" w:hAnsi="Times New Roman" w:cs="Times New Roman"/>
          <w:sz w:val="24"/>
          <w:szCs w:val="24"/>
          <w:lang w:val="en-US"/>
        </w:rPr>
      </w:pPr>
      <w:r w:rsidRPr="00C47869">
        <w:rPr>
          <w:rFonts w:ascii="Times New Roman" w:hAnsi="Times New Roman" w:cs="Times New Roman"/>
          <w:sz w:val="24"/>
          <w:szCs w:val="24"/>
          <w:lang w:val="en-US"/>
        </w:rPr>
        <w:t xml:space="preserve">The mean (%CV) elimination half-life of </w:t>
      </w:r>
      <w:proofErr w:type="spellStart"/>
      <w:r w:rsidRPr="00C47869">
        <w:rPr>
          <w:rFonts w:ascii="Times New Roman" w:hAnsi="Times New Roman" w:cs="Times New Roman"/>
          <w:sz w:val="24"/>
          <w:szCs w:val="24"/>
          <w:lang w:val="en-US"/>
        </w:rPr>
        <w:t>belumosudil</w:t>
      </w:r>
      <w:proofErr w:type="spellEnd"/>
      <w:r w:rsidRPr="00C47869">
        <w:rPr>
          <w:rFonts w:ascii="Times New Roman" w:hAnsi="Times New Roman" w:cs="Times New Roman"/>
          <w:sz w:val="24"/>
          <w:szCs w:val="24"/>
          <w:lang w:val="en-US"/>
        </w:rPr>
        <w:t xml:space="preserve"> was 19 hours (39%), and clearance was 9.83 L/hours (46%) in patients.</w:t>
      </w:r>
    </w:p>
    <w:p w14:paraId="2BB9259D" w14:textId="0FEF81A6" w:rsidR="001A3992" w:rsidRPr="002E6CAE" w:rsidRDefault="001A3992" w:rsidP="002403B3">
      <w:pPr>
        <w:pStyle w:val="Heading3"/>
        <w:spacing w:before="0" w:after="120"/>
        <w:ind w:left="0"/>
        <w:jc w:val="both"/>
        <w:rPr>
          <w:rFonts w:ascii="Times New Roman" w:hAnsi="Times New Roman" w:cs="Times New Roman"/>
          <w:sz w:val="24"/>
          <w:szCs w:val="24"/>
        </w:rPr>
      </w:pPr>
      <w:r w:rsidRPr="002E6CAE">
        <w:rPr>
          <w:rFonts w:ascii="Times New Roman" w:hAnsi="Times New Roman" w:cs="Times New Roman"/>
          <w:sz w:val="24"/>
          <w:szCs w:val="24"/>
        </w:rPr>
        <w:t>Metabolism</w:t>
      </w:r>
      <w:r w:rsidR="00677840" w:rsidRPr="002E6CAE">
        <w:rPr>
          <w:rFonts w:ascii="Times New Roman" w:hAnsi="Times New Roman" w:cs="Times New Roman"/>
          <w:sz w:val="24"/>
          <w:szCs w:val="24"/>
        </w:rPr>
        <w:t xml:space="preserve"> </w:t>
      </w:r>
    </w:p>
    <w:p w14:paraId="210412F0" w14:textId="0B9AB920" w:rsidR="00BA2B2C" w:rsidRPr="008C669D" w:rsidRDefault="00BA2B2C" w:rsidP="002403B3">
      <w:pPr>
        <w:jc w:val="both"/>
      </w:pPr>
      <w:proofErr w:type="spellStart"/>
      <w:r w:rsidRPr="00376B50">
        <w:rPr>
          <w:rFonts w:ascii="Times New Roman" w:hAnsi="Times New Roman" w:cs="Times New Roman"/>
          <w:sz w:val="24"/>
          <w:szCs w:val="24"/>
        </w:rPr>
        <w:t>Belumosudil</w:t>
      </w:r>
      <w:proofErr w:type="spellEnd"/>
      <w:r w:rsidRPr="00376B50">
        <w:rPr>
          <w:rFonts w:ascii="Times New Roman" w:hAnsi="Times New Roman" w:cs="Times New Roman"/>
          <w:sz w:val="24"/>
          <w:szCs w:val="24"/>
        </w:rPr>
        <w:t xml:space="preserve"> i</w:t>
      </w:r>
      <w:r w:rsidR="004074F0">
        <w:rPr>
          <w:rFonts w:ascii="Times New Roman" w:hAnsi="Times New Roman" w:cs="Times New Roman"/>
          <w:sz w:val="24"/>
          <w:szCs w:val="24"/>
        </w:rPr>
        <w:t>s p</w:t>
      </w:r>
      <w:r w:rsidR="003D3040">
        <w:rPr>
          <w:rFonts w:ascii="Times New Roman" w:hAnsi="Times New Roman" w:cs="Times New Roman"/>
          <w:sz w:val="24"/>
          <w:szCs w:val="24"/>
        </w:rPr>
        <w:t>rimarily</w:t>
      </w:r>
      <w:r w:rsidRPr="00376B50">
        <w:rPr>
          <w:rFonts w:ascii="Times New Roman" w:hAnsi="Times New Roman" w:cs="Times New Roman"/>
          <w:sz w:val="24"/>
          <w:szCs w:val="24"/>
        </w:rPr>
        <w:t xml:space="preserve"> metabolised by CYP3A4, and </w:t>
      </w:r>
      <w:r w:rsidR="770D5786" w:rsidRPr="00376B50">
        <w:rPr>
          <w:rFonts w:ascii="Times New Roman" w:hAnsi="Times New Roman" w:cs="Times New Roman"/>
          <w:sz w:val="24"/>
          <w:szCs w:val="24"/>
        </w:rPr>
        <w:t xml:space="preserve">to </w:t>
      </w:r>
      <w:r w:rsidRPr="00376B50">
        <w:rPr>
          <w:rFonts w:ascii="Times New Roman" w:hAnsi="Times New Roman" w:cs="Times New Roman"/>
          <w:sz w:val="24"/>
          <w:szCs w:val="24"/>
        </w:rPr>
        <w:t>a lesser extent</w:t>
      </w:r>
      <w:r w:rsidR="0BF61C6A" w:rsidRPr="00376B50">
        <w:rPr>
          <w:rFonts w:ascii="Times New Roman" w:hAnsi="Times New Roman" w:cs="Times New Roman"/>
          <w:sz w:val="24"/>
          <w:szCs w:val="24"/>
        </w:rPr>
        <w:t xml:space="preserve"> by</w:t>
      </w:r>
      <w:r w:rsidRPr="00376B50">
        <w:rPr>
          <w:rFonts w:ascii="Times New Roman" w:hAnsi="Times New Roman" w:cs="Times New Roman"/>
          <w:sz w:val="24"/>
          <w:szCs w:val="24"/>
        </w:rPr>
        <w:t xml:space="preserve"> CYP2C8, CYP2D6 and UGT1A9, </w:t>
      </w:r>
      <w:r w:rsidRPr="00376B50">
        <w:rPr>
          <w:rFonts w:ascii="Times New Roman" w:hAnsi="Times New Roman" w:cs="Times New Roman"/>
          <w:i/>
          <w:sz w:val="24"/>
          <w:szCs w:val="24"/>
        </w:rPr>
        <w:t>in vitro</w:t>
      </w:r>
      <w:r w:rsidRPr="00376B50">
        <w:rPr>
          <w:rFonts w:ascii="Times New Roman" w:hAnsi="Times New Roman" w:cs="Times New Roman"/>
          <w:sz w:val="24"/>
          <w:szCs w:val="24"/>
        </w:rPr>
        <w:t>.</w:t>
      </w:r>
    </w:p>
    <w:p w14:paraId="78E4C236" w14:textId="67B21485" w:rsidR="001A3992" w:rsidRPr="002E6CAE" w:rsidRDefault="001A3992" w:rsidP="002403B3">
      <w:pPr>
        <w:pStyle w:val="Heading3"/>
        <w:spacing w:before="0" w:after="120"/>
        <w:ind w:left="0"/>
        <w:jc w:val="both"/>
        <w:rPr>
          <w:rFonts w:ascii="Times New Roman" w:hAnsi="Times New Roman" w:cs="Times New Roman"/>
          <w:b w:val="0"/>
          <w:sz w:val="24"/>
          <w:szCs w:val="24"/>
        </w:rPr>
      </w:pPr>
      <w:r w:rsidRPr="002E6CAE">
        <w:rPr>
          <w:rFonts w:ascii="Times New Roman" w:hAnsi="Times New Roman" w:cs="Times New Roman"/>
          <w:sz w:val="24"/>
          <w:szCs w:val="24"/>
        </w:rPr>
        <w:t>Excretion</w:t>
      </w:r>
      <w:r w:rsidR="00677840" w:rsidRPr="002E6CAE">
        <w:rPr>
          <w:rFonts w:ascii="Times New Roman" w:hAnsi="Times New Roman" w:cs="Times New Roman"/>
          <w:sz w:val="24"/>
          <w:szCs w:val="24"/>
        </w:rPr>
        <w:t xml:space="preserve"> </w:t>
      </w:r>
    </w:p>
    <w:p w14:paraId="19D7E259" w14:textId="50EA5FFA" w:rsidR="000646E8" w:rsidRPr="002E6CAE" w:rsidRDefault="00D65A8E" w:rsidP="002403B3">
      <w:pPr>
        <w:jc w:val="both"/>
        <w:rPr>
          <w:rFonts w:ascii="Times New Roman" w:hAnsi="Times New Roman" w:cs="Times New Roman"/>
          <w:sz w:val="24"/>
          <w:szCs w:val="24"/>
        </w:rPr>
      </w:pPr>
      <w:r w:rsidRPr="00D65A8E">
        <w:rPr>
          <w:rFonts w:ascii="Times New Roman" w:hAnsi="Times New Roman" w:cs="Times New Roman"/>
          <w:sz w:val="24"/>
          <w:szCs w:val="24"/>
        </w:rPr>
        <w:t xml:space="preserve">Following a single oral dose of </w:t>
      </w:r>
      <w:proofErr w:type="spellStart"/>
      <w:r w:rsidRPr="00D65A8E">
        <w:rPr>
          <w:rFonts w:ascii="Times New Roman" w:hAnsi="Times New Roman" w:cs="Times New Roman"/>
          <w:sz w:val="24"/>
          <w:szCs w:val="24"/>
        </w:rPr>
        <w:t>radiolabeled</w:t>
      </w:r>
      <w:proofErr w:type="spellEnd"/>
      <w:r w:rsidRPr="00D65A8E">
        <w:rPr>
          <w:rFonts w:ascii="Times New Roman" w:hAnsi="Times New Roman" w:cs="Times New Roman"/>
          <w:sz w:val="24"/>
          <w:szCs w:val="24"/>
        </w:rPr>
        <w:t xml:space="preserve"> </w:t>
      </w:r>
      <w:proofErr w:type="spellStart"/>
      <w:r w:rsidRPr="00D65A8E">
        <w:rPr>
          <w:rFonts w:ascii="Times New Roman" w:hAnsi="Times New Roman" w:cs="Times New Roman"/>
          <w:sz w:val="24"/>
          <w:szCs w:val="24"/>
        </w:rPr>
        <w:t>belumosudil</w:t>
      </w:r>
      <w:proofErr w:type="spellEnd"/>
      <w:r w:rsidRPr="00D65A8E">
        <w:rPr>
          <w:rFonts w:ascii="Times New Roman" w:hAnsi="Times New Roman" w:cs="Times New Roman"/>
          <w:sz w:val="24"/>
          <w:szCs w:val="24"/>
        </w:rPr>
        <w:t xml:space="preserve">, 85% of radioactivity was recovered in </w:t>
      </w:r>
      <w:r w:rsidR="00873BE7" w:rsidRPr="00D65A8E">
        <w:rPr>
          <w:rFonts w:ascii="Times New Roman" w:hAnsi="Times New Roman" w:cs="Times New Roman"/>
          <w:sz w:val="24"/>
          <w:szCs w:val="24"/>
        </w:rPr>
        <w:t>fa</w:t>
      </w:r>
      <w:r w:rsidR="00873BE7">
        <w:rPr>
          <w:rFonts w:ascii="Times New Roman" w:hAnsi="Times New Roman" w:cs="Times New Roman"/>
          <w:sz w:val="24"/>
          <w:szCs w:val="24"/>
        </w:rPr>
        <w:t>e</w:t>
      </w:r>
      <w:r w:rsidR="00873BE7" w:rsidRPr="00D65A8E">
        <w:rPr>
          <w:rFonts w:ascii="Times New Roman" w:hAnsi="Times New Roman" w:cs="Times New Roman"/>
          <w:sz w:val="24"/>
          <w:szCs w:val="24"/>
        </w:rPr>
        <w:t>ces</w:t>
      </w:r>
      <w:r w:rsidRPr="00D65A8E">
        <w:rPr>
          <w:rFonts w:ascii="Times New Roman" w:hAnsi="Times New Roman" w:cs="Times New Roman"/>
          <w:sz w:val="24"/>
          <w:szCs w:val="24"/>
        </w:rPr>
        <w:t xml:space="preserve"> and less than 5% was recovered in urine. </w:t>
      </w:r>
    </w:p>
    <w:p w14:paraId="51B8250C" w14:textId="72E6D130" w:rsidR="00786843" w:rsidRPr="002E6CAE" w:rsidRDefault="00786843" w:rsidP="002403B3">
      <w:pPr>
        <w:pStyle w:val="Heading3"/>
        <w:spacing w:before="0" w:after="120"/>
        <w:ind w:left="0"/>
        <w:jc w:val="both"/>
        <w:rPr>
          <w:rFonts w:ascii="Times New Roman" w:hAnsi="Times New Roman" w:cs="Times New Roman"/>
          <w:sz w:val="24"/>
          <w:szCs w:val="24"/>
        </w:rPr>
      </w:pPr>
      <w:bookmarkStart w:id="26" w:name="_Pharmacokinetics_in_Specific"/>
      <w:bookmarkEnd w:id="26"/>
      <w:r w:rsidRPr="002E6CAE">
        <w:rPr>
          <w:rFonts w:ascii="Times New Roman" w:hAnsi="Times New Roman" w:cs="Times New Roman"/>
          <w:sz w:val="24"/>
          <w:szCs w:val="24"/>
        </w:rPr>
        <w:t>Pharmacokinetics in Specific Populations</w:t>
      </w:r>
    </w:p>
    <w:p w14:paraId="2979D8A3" w14:textId="0EE44D02" w:rsidR="00556A07" w:rsidRDefault="00556A07" w:rsidP="002403B3">
      <w:pPr>
        <w:spacing w:after="120"/>
        <w:jc w:val="both"/>
        <w:rPr>
          <w:rFonts w:ascii="Times New Roman" w:eastAsia="Tahoma" w:hAnsi="Times New Roman" w:cs="Times New Roman"/>
          <w:sz w:val="24"/>
          <w:szCs w:val="24"/>
        </w:rPr>
      </w:pPr>
      <w:r w:rsidRPr="006A21F4">
        <w:rPr>
          <w:rFonts w:ascii="Times New Roman" w:eastAsia="Tahoma" w:hAnsi="Times New Roman" w:cs="Times New Roman"/>
          <w:sz w:val="24"/>
          <w:szCs w:val="24"/>
        </w:rPr>
        <w:t xml:space="preserve">No clinically relevant differences in </w:t>
      </w:r>
      <w:proofErr w:type="spellStart"/>
      <w:r w:rsidRPr="006A21F4">
        <w:rPr>
          <w:rFonts w:ascii="Times New Roman" w:eastAsia="Tahoma" w:hAnsi="Times New Roman" w:cs="Times New Roman"/>
          <w:sz w:val="24"/>
          <w:szCs w:val="24"/>
        </w:rPr>
        <w:t>belumosudil</w:t>
      </w:r>
      <w:proofErr w:type="spellEnd"/>
      <w:r w:rsidRPr="006A21F4">
        <w:rPr>
          <w:rFonts w:ascii="Times New Roman" w:eastAsia="Tahoma" w:hAnsi="Times New Roman" w:cs="Times New Roman"/>
          <w:sz w:val="24"/>
          <w:szCs w:val="24"/>
        </w:rPr>
        <w:t xml:space="preserve"> pharmacokinetics were observed </w:t>
      </w:r>
      <w:proofErr w:type="gramStart"/>
      <w:r w:rsidRPr="006A21F4">
        <w:rPr>
          <w:rFonts w:ascii="Times New Roman" w:eastAsia="Tahoma" w:hAnsi="Times New Roman" w:cs="Times New Roman"/>
          <w:sz w:val="24"/>
          <w:szCs w:val="24"/>
        </w:rPr>
        <w:t>with regard to</w:t>
      </w:r>
      <w:proofErr w:type="gramEnd"/>
      <w:r w:rsidRPr="006A21F4">
        <w:rPr>
          <w:rFonts w:ascii="Times New Roman" w:eastAsia="Tahoma" w:hAnsi="Times New Roman" w:cs="Times New Roman"/>
          <w:sz w:val="24"/>
          <w:szCs w:val="24"/>
        </w:rPr>
        <w:t xml:space="preserve"> age, race, sex, weight, or renal impairment (mild or moderate</w:t>
      </w:r>
      <w:r w:rsidR="0D15C8B5" w:rsidRPr="3EF34B50">
        <w:rPr>
          <w:rFonts w:ascii="Times New Roman" w:eastAsia="Tahoma" w:hAnsi="Times New Roman" w:cs="Times New Roman"/>
          <w:sz w:val="24"/>
          <w:szCs w:val="24"/>
        </w:rPr>
        <w:t>).</w:t>
      </w:r>
      <w:r w:rsidRPr="3EF34B50">
        <w:rPr>
          <w:rFonts w:ascii="Times New Roman" w:eastAsia="Tahoma" w:hAnsi="Times New Roman" w:cs="Times New Roman"/>
          <w:sz w:val="24"/>
          <w:szCs w:val="24"/>
        </w:rPr>
        <w:t xml:space="preserve"> </w:t>
      </w:r>
      <w:r w:rsidR="6B488F02" w:rsidRPr="3EF34B50">
        <w:rPr>
          <w:rFonts w:ascii="Times New Roman" w:eastAsia="Tahoma" w:hAnsi="Times New Roman" w:cs="Times New Roman"/>
          <w:sz w:val="24"/>
          <w:szCs w:val="24"/>
        </w:rPr>
        <w:t>S</w:t>
      </w:r>
      <w:r w:rsidRPr="3EF34B50">
        <w:rPr>
          <w:rFonts w:ascii="Times New Roman" w:eastAsia="Tahoma" w:hAnsi="Times New Roman" w:cs="Times New Roman"/>
          <w:sz w:val="24"/>
          <w:szCs w:val="24"/>
        </w:rPr>
        <w:t>evere renal</w:t>
      </w:r>
      <w:r w:rsidRPr="006A21F4">
        <w:rPr>
          <w:rFonts w:ascii="Times New Roman" w:eastAsia="Tahoma" w:hAnsi="Times New Roman" w:cs="Times New Roman"/>
          <w:sz w:val="24"/>
          <w:szCs w:val="24"/>
        </w:rPr>
        <w:t xml:space="preserve"> impairment has not been studied.</w:t>
      </w:r>
    </w:p>
    <w:p w14:paraId="676B0EB4" w14:textId="765EA3CF" w:rsidR="00084E05" w:rsidRDefault="00084E05" w:rsidP="002403B3">
      <w:pPr>
        <w:spacing w:after="120"/>
        <w:jc w:val="both"/>
        <w:rPr>
          <w:rFonts w:ascii="Times New Roman" w:eastAsia="Tahoma" w:hAnsi="Times New Roman" w:cs="Times New Roman"/>
          <w:sz w:val="24"/>
          <w:szCs w:val="24"/>
        </w:rPr>
      </w:pPr>
    </w:p>
    <w:p w14:paraId="27BF210E" w14:textId="77777777" w:rsidR="00084E05" w:rsidRPr="006A21F4" w:rsidRDefault="00084E05" w:rsidP="002403B3">
      <w:pPr>
        <w:spacing w:after="120"/>
        <w:jc w:val="both"/>
        <w:rPr>
          <w:rFonts w:ascii="Times New Roman" w:eastAsia="Tahoma" w:hAnsi="Times New Roman" w:cs="Times New Roman"/>
          <w:sz w:val="24"/>
          <w:szCs w:val="24"/>
        </w:rPr>
      </w:pPr>
    </w:p>
    <w:p w14:paraId="77586ACB" w14:textId="77777777" w:rsidR="00F35E53" w:rsidRDefault="00D45DE0" w:rsidP="002403B3">
      <w:pPr>
        <w:pStyle w:val="BodyText"/>
        <w:spacing w:line="276" w:lineRule="auto"/>
        <w:jc w:val="both"/>
        <w:rPr>
          <w:u w:val="single"/>
        </w:rPr>
      </w:pPr>
      <w:r w:rsidRPr="006D17DB">
        <w:rPr>
          <w:u w:val="single"/>
        </w:rPr>
        <w:t>Drug Interaction Studies</w:t>
      </w:r>
    </w:p>
    <w:p w14:paraId="2CD8B06C" w14:textId="49934332" w:rsidR="003B6986" w:rsidRDefault="00F35E53" w:rsidP="002403B3">
      <w:pPr>
        <w:pStyle w:val="BodyText"/>
        <w:spacing w:line="276" w:lineRule="auto"/>
        <w:jc w:val="both"/>
        <w:rPr>
          <w:i/>
          <w:iCs/>
          <w:u w:val="single"/>
        </w:rPr>
      </w:pPr>
      <w:r>
        <w:rPr>
          <w:i/>
          <w:iCs/>
          <w:u w:val="single"/>
        </w:rPr>
        <w:t>Clinical Studies and Model-Informed Approaches</w:t>
      </w:r>
    </w:p>
    <w:p w14:paraId="276E6DB9" w14:textId="3185B2FA" w:rsidR="00AD0A51" w:rsidRPr="006D17DB" w:rsidRDefault="0017434D" w:rsidP="002403B3">
      <w:pPr>
        <w:pStyle w:val="BodyText"/>
        <w:spacing w:line="276" w:lineRule="auto"/>
        <w:jc w:val="both"/>
        <w:rPr>
          <w:u w:val="single"/>
        </w:rPr>
      </w:pPr>
      <w:r w:rsidRPr="00C47869">
        <w:rPr>
          <w:i/>
          <w:iCs/>
        </w:rPr>
        <w:t xml:space="preserve">Effects of Other Drugs on </w:t>
      </w:r>
      <w:proofErr w:type="spellStart"/>
      <w:r w:rsidRPr="00C47869">
        <w:rPr>
          <w:i/>
          <w:iCs/>
        </w:rPr>
        <w:t>Belumosudil</w:t>
      </w:r>
      <w:proofErr w:type="spellEnd"/>
    </w:p>
    <w:p w14:paraId="0468577F" w14:textId="73CC60D7" w:rsidR="00D45DE0" w:rsidRPr="006D17DB" w:rsidRDefault="008D131A" w:rsidP="002403B3">
      <w:pPr>
        <w:pStyle w:val="BodyText"/>
        <w:spacing w:line="276" w:lineRule="auto"/>
        <w:jc w:val="both"/>
        <w:rPr>
          <w:color w:val="000000"/>
        </w:rPr>
      </w:pPr>
      <w:r w:rsidRPr="00C47869">
        <w:t xml:space="preserve">Strong </w:t>
      </w:r>
      <w:r w:rsidR="00D45DE0" w:rsidRPr="00C47869">
        <w:t>CYP3A Inhibitors</w:t>
      </w:r>
      <w:r w:rsidR="00D96683" w:rsidRPr="00C47869">
        <w:rPr>
          <w:iCs/>
        </w:rPr>
        <w:t>:</w:t>
      </w:r>
      <w:r w:rsidR="007908CA">
        <w:rPr>
          <w:iCs/>
        </w:rPr>
        <w:t xml:space="preserve"> </w:t>
      </w:r>
      <w:r w:rsidR="00FC7B1B">
        <w:t>T</w:t>
      </w:r>
      <w:r w:rsidR="00FC7B1B">
        <w:rPr>
          <w:color w:val="000000"/>
        </w:rPr>
        <w:t>here was no clinically meani</w:t>
      </w:r>
      <w:r w:rsidR="00806711">
        <w:rPr>
          <w:color w:val="000000"/>
        </w:rPr>
        <w:t xml:space="preserve">ngful effect on </w:t>
      </w:r>
      <w:proofErr w:type="spellStart"/>
      <w:r w:rsidR="00806711">
        <w:rPr>
          <w:color w:val="000000"/>
        </w:rPr>
        <w:t>belumosudil</w:t>
      </w:r>
      <w:proofErr w:type="spellEnd"/>
      <w:r w:rsidR="00806711">
        <w:rPr>
          <w:color w:val="000000"/>
        </w:rPr>
        <w:t xml:space="preserve"> exposure when </w:t>
      </w:r>
      <w:proofErr w:type="spellStart"/>
      <w:r w:rsidR="00806711">
        <w:rPr>
          <w:color w:val="000000"/>
        </w:rPr>
        <w:t>coadministered</w:t>
      </w:r>
      <w:proofErr w:type="spellEnd"/>
      <w:r w:rsidR="00806711">
        <w:rPr>
          <w:color w:val="000000"/>
        </w:rPr>
        <w:t xml:space="preserve"> with </w:t>
      </w:r>
      <w:r w:rsidR="00D45DE0" w:rsidRPr="006D17DB">
        <w:rPr>
          <w:color w:val="000000"/>
        </w:rPr>
        <w:t>itraconazole (a strong CYP3A inhibitor)</w:t>
      </w:r>
      <w:r w:rsidR="00FC7B1B">
        <w:rPr>
          <w:color w:val="000000"/>
        </w:rPr>
        <w:t xml:space="preserve"> in healthy subjects</w:t>
      </w:r>
      <w:r w:rsidR="00D45DE0" w:rsidRPr="006D17DB">
        <w:t>.</w:t>
      </w:r>
    </w:p>
    <w:p w14:paraId="10053432" w14:textId="4C825B2A" w:rsidR="00D45DE0" w:rsidRDefault="008D131A" w:rsidP="002403B3">
      <w:pPr>
        <w:pStyle w:val="BodyText"/>
        <w:spacing w:line="276" w:lineRule="auto"/>
        <w:jc w:val="both"/>
      </w:pPr>
      <w:r w:rsidRPr="00C47869">
        <w:t xml:space="preserve">Strong </w:t>
      </w:r>
      <w:r w:rsidR="00D45DE0" w:rsidRPr="00C47869">
        <w:t>CYP3A Inducers</w:t>
      </w:r>
      <w:r w:rsidR="00F40562" w:rsidRPr="00C47869">
        <w:rPr>
          <w:iCs/>
        </w:rPr>
        <w:t>:</w:t>
      </w:r>
      <w:r w:rsidR="00995927">
        <w:rPr>
          <w:color w:val="000000"/>
        </w:rPr>
        <w:t xml:space="preserve"> </w:t>
      </w:r>
      <w:r w:rsidR="00D45DE0" w:rsidRPr="006D17DB">
        <w:rPr>
          <w:color w:val="000000"/>
        </w:rPr>
        <w:t xml:space="preserve">The coadministration of </w:t>
      </w:r>
      <w:r w:rsidR="00D45DE0" w:rsidRPr="006D17DB">
        <w:t xml:space="preserve">rifampin (a strong CYP3A4 inducer) decreased </w:t>
      </w:r>
      <w:bookmarkStart w:id="27" w:name="_Hlk45270485"/>
      <w:proofErr w:type="spellStart"/>
      <w:r w:rsidR="00D45DE0" w:rsidRPr="006D17DB">
        <w:t>belumosudil</w:t>
      </w:r>
      <w:bookmarkEnd w:id="27"/>
      <w:proofErr w:type="spellEnd"/>
      <w:r w:rsidR="00D45DE0" w:rsidRPr="006D17DB">
        <w:t xml:space="preserve"> </w:t>
      </w:r>
      <w:proofErr w:type="spellStart"/>
      <w:r w:rsidR="00D45DE0" w:rsidRPr="006D17DB">
        <w:t>C</w:t>
      </w:r>
      <w:r w:rsidR="00D45DE0" w:rsidRPr="006D17DB">
        <w:rPr>
          <w:vertAlign w:val="subscript"/>
        </w:rPr>
        <w:t>max</w:t>
      </w:r>
      <w:proofErr w:type="spellEnd"/>
      <w:r w:rsidR="00D45DE0" w:rsidRPr="006D17DB">
        <w:t xml:space="preserve"> by 59% and AUC by 72%.</w:t>
      </w:r>
    </w:p>
    <w:p w14:paraId="3887182F" w14:textId="46977673" w:rsidR="00F662AA" w:rsidRDefault="00F662AA" w:rsidP="002403B3">
      <w:pPr>
        <w:pStyle w:val="BodyText"/>
        <w:spacing w:line="276" w:lineRule="auto"/>
        <w:jc w:val="both"/>
      </w:pPr>
      <w:r w:rsidRPr="009F4CBB">
        <w:t>Moderate CYP3A Inducers</w:t>
      </w:r>
      <w:r w:rsidR="00303B43" w:rsidRPr="009F4CBB">
        <w:t>:</w:t>
      </w:r>
      <w:r w:rsidR="00303B43">
        <w:rPr>
          <w:i/>
          <w:iCs/>
        </w:rPr>
        <w:t xml:space="preserve"> </w:t>
      </w:r>
      <w:r>
        <w:t>The coadministration of efav</w:t>
      </w:r>
      <w:r w:rsidR="00C10FDE">
        <w:t xml:space="preserve">irenz is predicted to decrease </w:t>
      </w:r>
      <w:proofErr w:type="spellStart"/>
      <w:r w:rsidR="00C10FDE">
        <w:t>belumosudil</w:t>
      </w:r>
      <w:proofErr w:type="spellEnd"/>
      <w:r w:rsidR="00C10FDE">
        <w:t xml:space="preserve"> </w:t>
      </w:r>
      <w:proofErr w:type="spellStart"/>
      <w:r w:rsidR="00C10FDE">
        <w:t>C</w:t>
      </w:r>
      <w:r w:rsidR="00C10FDE" w:rsidRPr="00C47869">
        <w:rPr>
          <w:vertAlign w:val="subscript"/>
        </w:rPr>
        <w:t>max</w:t>
      </w:r>
      <w:proofErr w:type="spellEnd"/>
      <w:r w:rsidR="00C10FDE">
        <w:t xml:space="preserve"> by 32% and AUC by 35% in health subjects.</w:t>
      </w:r>
    </w:p>
    <w:p w14:paraId="4CCC7D3C" w14:textId="3BA7FFD5" w:rsidR="009602CA" w:rsidRPr="006D17DB" w:rsidRDefault="009602CA" w:rsidP="002403B3">
      <w:pPr>
        <w:pStyle w:val="BodyText"/>
        <w:spacing w:line="276" w:lineRule="auto"/>
        <w:jc w:val="both"/>
      </w:pPr>
      <w:r w:rsidRPr="00C47869">
        <w:rPr>
          <w:iCs/>
        </w:rPr>
        <w:t>Proton Pump Inhibitors</w:t>
      </w:r>
      <w:r w:rsidR="00E74A99">
        <w:rPr>
          <w:iCs/>
        </w:rPr>
        <w:t xml:space="preserve">: </w:t>
      </w:r>
      <w:r w:rsidRPr="006D17DB">
        <w:rPr>
          <w:color w:val="000000"/>
        </w:rPr>
        <w:t xml:space="preserve">The coadministration of </w:t>
      </w:r>
      <w:r w:rsidRPr="006D17DB">
        <w:t xml:space="preserve">rabeprazole decreased </w:t>
      </w:r>
      <w:proofErr w:type="spellStart"/>
      <w:r w:rsidRPr="006D17DB">
        <w:t>belumosudil</w:t>
      </w:r>
      <w:proofErr w:type="spellEnd"/>
      <w:r w:rsidRPr="006D17DB" w:rsidDel="00A45CCB">
        <w:t xml:space="preserve"> </w:t>
      </w:r>
      <w:proofErr w:type="spellStart"/>
      <w:r w:rsidRPr="006D17DB">
        <w:t>C</w:t>
      </w:r>
      <w:r w:rsidRPr="006D17DB">
        <w:rPr>
          <w:vertAlign w:val="subscript"/>
        </w:rPr>
        <w:t>max</w:t>
      </w:r>
      <w:proofErr w:type="spellEnd"/>
      <w:r w:rsidRPr="006D17DB">
        <w:t xml:space="preserve"> by 87% and AUC by 80%</w:t>
      </w:r>
      <w:r>
        <w:t xml:space="preserve">, and </w:t>
      </w:r>
      <w:r w:rsidRPr="006D17DB">
        <w:t xml:space="preserve">omeprazole decreased </w:t>
      </w:r>
      <w:proofErr w:type="spellStart"/>
      <w:r w:rsidRPr="006D17DB">
        <w:t>belumosudil</w:t>
      </w:r>
      <w:proofErr w:type="spellEnd"/>
      <w:r w:rsidRPr="006D17DB" w:rsidDel="00A529C1">
        <w:t xml:space="preserve"> </w:t>
      </w:r>
      <w:proofErr w:type="spellStart"/>
      <w:r w:rsidRPr="006D17DB">
        <w:t>C</w:t>
      </w:r>
      <w:r w:rsidRPr="006D17DB">
        <w:rPr>
          <w:vertAlign w:val="subscript"/>
        </w:rPr>
        <w:t>max</w:t>
      </w:r>
      <w:proofErr w:type="spellEnd"/>
      <w:r w:rsidRPr="006D17DB">
        <w:t xml:space="preserve"> by 68% and AUC by 47%</w:t>
      </w:r>
      <w:r>
        <w:t xml:space="preserve"> in healthy subjects</w:t>
      </w:r>
      <w:r w:rsidRPr="006D17DB">
        <w:t>.</w:t>
      </w:r>
    </w:p>
    <w:p w14:paraId="2A061819" w14:textId="22425C1D" w:rsidR="00D626C6" w:rsidRDefault="009A5C4A" w:rsidP="002403B3">
      <w:pPr>
        <w:pStyle w:val="BodyText"/>
        <w:spacing w:line="276" w:lineRule="auto"/>
        <w:jc w:val="both"/>
        <w:rPr>
          <w:i/>
          <w:iCs/>
        </w:rPr>
      </w:pPr>
      <w:r>
        <w:rPr>
          <w:i/>
          <w:iCs/>
        </w:rPr>
        <w:t xml:space="preserve">Effects of </w:t>
      </w:r>
      <w:proofErr w:type="spellStart"/>
      <w:r>
        <w:rPr>
          <w:i/>
          <w:iCs/>
        </w:rPr>
        <w:t>Belumosudil</w:t>
      </w:r>
      <w:proofErr w:type="spellEnd"/>
      <w:r>
        <w:rPr>
          <w:i/>
          <w:iCs/>
        </w:rPr>
        <w:t xml:space="preserve"> on Other Drugs</w:t>
      </w:r>
    </w:p>
    <w:p w14:paraId="32B52F77" w14:textId="11A0B88E" w:rsidR="009A5C4A" w:rsidRDefault="00943FFA" w:rsidP="002403B3">
      <w:pPr>
        <w:pStyle w:val="BodyText"/>
        <w:spacing w:line="276" w:lineRule="auto"/>
        <w:jc w:val="both"/>
      </w:pPr>
      <w:r>
        <w:rPr>
          <w:sz w:val="23"/>
          <w:szCs w:val="23"/>
        </w:rPr>
        <w:t xml:space="preserve">CYP3A Substrates: </w:t>
      </w:r>
      <w:r w:rsidR="001B241A">
        <w:t xml:space="preserve">The coadministration of </w:t>
      </w:r>
      <w:proofErr w:type="spellStart"/>
      <w:r w:rsidR="001B241A">
        <w:t>belumosudil</w:t>
      </w:r>
      <w:proofErr w:type="spellEnd"/>
      <w:r w:rsidR="001B241A">
        <w:t xml:space="preserve"> is predicted </w:t>
      </w:r>
      <w:r w:rsidR="003D63E2">
        <w:t xml:space="preserve">to increase midazolam (a sensitive CYP3A substrate) </w:t>
      </w:r>
      <w:proofErr w:type="spellStart"/>
      <w:r w:rsidR="003D63E2">
        <w:t>C</w:t>
      </w:r>
      <w:r w:rsidR="003D63E2" w:rsidRPr="00C47869">
        <w:rPr>
          <w:vertAlign w:val="subscript"/>
        </w:rPr>
        <w:t>max</w:t>
      </w:r>
      <w:proofErr w:type="spellEnd"/>
      <w:r w:rsidR="003D63E2" w:rsidRPr="00C47869">
        <w:rPr>
          <w:vertAlign w:val="subscript"/>
        </w:rPr>
        <w:t xml:space="preserve"> </w:t>
      </w:r>
      <w:r w:rsidR="003D63E2">
        <w:t xml:space="preserve">and AUC approximately 1.3- and 1.5-fold, respectively. </w:t>
      </w:r>
    </w:p>
    <w:p w14:paraId="5D11E7FA" w14:textId="7A099C77" w:rsidR="003D63E2" w:rsidRDefault="00164BF1" w:rsidP="002403B3">
      <w:pPr>
        <w:pStyle w:val="BodyText"/>
        <w:spacing w:line="276" w:lineRule="auto"/>
        <w:jc w:val="both"/>
      </w:pPr>
      <w:r>
        <w:rPr>
          <w:sz w:val="23"/>
          <w:szCs w:val="23"/>
        </w:rPr>
        <w:lastRenderedPageBreak/>
        <w:t xml:space="preserve">CYP2C9 Substrates: </w:t>
      </w:r>
      <w:r w:rsidR="003D63E2">
        <w:t xml:space="preserve">The coadministration of </w:t>
      </w:r>
      <w:proofErr w:type="spellStart"/>
      <w:r w:rsidR="003D63E2">
        <w:t>belumosudil</w:t>
      </w:r>
      <w:proofErr w:type="spellEnd"/>
      <w:r w:rsidR="003D63E2">
        <w:t xml:space="preserve"> is not expected to have clinically meaningful effect on the exposure of CYP2C9 substrates (such as warfarin).</w:t>
      </w:r>
    </w:p>
    <w:p w14:paraId="728824DA" w14:textId="4337B243" w:rsidR="003D63E2" w:rsidRPr="009A5C4A" w:rsidRDefault="001B5CB6" w:rsidP="002403B3">
      <w:pPr>
        <w:pStyle w:val="BodyText"/>
        <w:spacing w:line="276" w:lineRule="auto"/>
        <w:jc w:val="both"/>
      </w:pPr>
      <w:r>
        <w:rPr>
          <w:sz w:val="23"/>
          <w:szCs w:val="23"/>
        </w:rPr>
        <w:t xml:space="preserve">CYP2C8 Substrates: </w:t>
      </w:r>
      <w:r w:rsidR="003850EC">
        <w:t xml:space="preserve">The coadministration of </w:t>
      </w:r>
      <w:proofErr w:type="spellStart"/>
      <w:r w:rsidR="003850EC">
        <w:t>belumosudil</w:t>
      </w:r>
      <w:proofErr w:type="spellEnd"/>
      <w:r w:rsidR="003850EC">
        <w:t xml:space="preserve"> is not expected to have clinically meaningful effect on the exposure of CYP2C8 substrates that are not an OATP1B1 substrate. </w:t>
      </w:r>
    </w:p>
    <w:p w14:paraId="1606D9B0" w14:textId="506A1FDB" w:rsidR="00D45DE0" w:rsidRDefault="00D45DE0" w:rsidP="002403B3">
      <w:pPr>
        <w:pStyle w:val="BodyText"/>
        <w:spacing w:line="276" w:lineRule="auto"/>
        <w:jc w:val="both"/>
        <w:rPr>
          <w:i/>
        </w:rPr>
      </w:pPr>
      <w:r w:rsidRPr="006D17DB">
        <w:rPr>
          <w:i/>
        </w:rPr>
        <w:t>In Vitro Studies</w:t>
      </w:r>
    </w:p>
    <w:p w14:paraId="44227386" w14:textId="587A0EA8" w:rsidR="00E65012" w:rsidRPr="006D17DB" w:rsidRDefault="00E65012" w:rsidP="002403B3">
      <w:pPr>
        <w:pStyle w:val="BodyText"/>
        <w:spacing w:line="276" w:lineRule="auto"/>
        <w:jc w:val="both"/>
        <w:rPr>
          <w:iCs/>
          <w:u w:val="single"/>
        </w:rPr>
      </w:pPr>
      <w:r w:rsidRPr="006D17DB">
        <w:rPr>
          <w:iCs/>
          <w:u w:val="single"/>
        </w:rPr>
        <w:t xml:space="preserve">Effects of </w:t>
      </w:r>
      <w:proofErr w:type="spellStart"/>
      <w:r w:rsidRPr="006D17DB">
        <w:rPr>
          <w:iCs/>
          <w:u w:val="single"/>
        </w:rPr>
        <w:t>Belumosudil</w:t>
      </w:r>
      <w:proofErr w:type="spellEnd"/>
      <w:r w:rsidRPr="006D17DB">
        <w:rPr>
          <w:iCs/>
          <w:u w:val="single"/>
        </w:rPr>
        <w:t xml:space="preserve"> on </w:t>
      </w:r>
      <w:r w:rsidRPr="001A4A41">
        <w:rPr>
          <w:iCs/>
          <w:u w:val="single"/>
        </w:rPr>
        <w:t>CYP</w:t>
      </w:r>
      <w:r w:rsidR="00A4187B" w:rsidRPr="001A4A41">
        <w:rPr>
          <w:iCs/>
          <w:u w:val="single"/>
        </w:rPr>
        <w:t xml:space="preserve"> and</w:t>
      </w:r>
      <w:r w:rsidR="00A4187B">
        <w:rPr>
          <w:iCs/>
          <w:u w:val="single"/>
        </w:rPr>
        <w:t xml:space="preserve"> UGT enzymes</w:t>
      </w:r>
    </w:p>
    <w:p w14:paraId="78B6B30B" w14:textId="752F8E08" w:rsidR="00E65012" w:rsidRPr="006D17DB" w:rsidRDefault="00E65012" w:rsidP="002403B3">
      <w:pPr>
        <w:pStyle w:val="BodyText"/>
        <w:spacing w:line="276" w:lineRule="auto"/>
        <w:jc w:val="both"/>
      </w:pPr>
      <w:proofErr w:type="spellStart"/>
      <w:r w:rsidRPr="006D17DB">
        <w:t>Belumosudil</w:t>
      </w:r>
      <w:proofErr w:type="spellEnd"/>
      <w:r w:rsidRPr="006D17DB">
        <w:t xml:space="preserve"> inhibits </w:t>
      </w:r>
      <w:r w:rsidR="00C921D7" w:rsidRPr="00C921D7">
        <w:t>CYP2C8, CYP2C9, CYP2C19, CYP3A4, UGT1A1 and UGT1A9</w:t>
      </w:r>
      <w:r w:rsidRPr="006D17DB">
        <w:t xml:space="preserve">. </w:t>
      </w:r>
      <w:r w:rsidR="004E39F4">
        <w:t>RHOLISTIQ</w:t>
      </w:r>
      <w:r w:rsidRPr="006D17DB">
        <w:t xml:space="preserve"> may increase the concentrations of </w:t>
      </w:r>
      <w:r w:rsidR="004E39F4">
        <w:t>co-administered</w:t>
      </w:r>
      <w:r w:rsidRPr="006D17DB">
        <w:t xml:space="preserve"> drugs</w:t>
      </w:r>
      <w:r w:rsidR="004E39F4">
        <w:t xml:space="preserve"> that are </w:t>
      </w:r>
      <w:r w:rsidR="004E39F4" w:rsidRPr="006D17DB">
        <w:t>substrate</w:t>
      </w:r>
      <w:r w:rsidR="004E39F4">
        <w:t>s of these enzymes</w:t>
      </w:r>
      <w:r w:rsidRPr="006D17DB">
        <w:t>.</w:t>
      </w:r>
    </w:p>
    <w:p w14:paraId="13FFA542" w14:textId="77777777" w:rsidR="00E65012" w:rsidRPr="006D17DB" w:rsidRDefault="00E65012" w:rsidP="002403B3">
      <w:pPr>
        <w:pStyle w:val="BodyText"/>
        <w:spacing w:line="276" w:lineRule="auto"/>
        <w:jc w:val="both"/>
        <w:rPr>
          <w:iCs/>
          <w:u w:val="single"/>
        </w:rPr>
      </w:pPr>
      <w:r w:rsidRPr="006D17DB">
        <w:rPr>
          <w:iCs/>
          <w:u w:val="single"/>
        </w:rPr>
        <w:t>Transporters</w:t>
      </w:r>
    </w:p>
    <w:p w14:paraId="5B5A3860" w14:textId="0949A032" w:rsidR="00E65012" w:rsidRPr="00955778" w:rsidRDefault="00E65012" w:rsidP="002403B3">
      <w:pPr>
        <w:spacing w:after="120"/>
        <w:jc w:val="both"/>
        <w:rPr>
          <w:rFonts w:ascii="Times New Roman" w:hAnsi="Times New Roman" w:cs="Times New Roman"/>
          <w:sz w:val="24"/>
          <w:szCs w:val="24"/>
        </w:rPr>
      </w:pPr>
      <w:proofErr w:type="spellStart"/>
      <w:r w:rsidRPr="006D17DB">
        <w:rPr>
          <w:rFonts w:ascii="Times New Roman" w:hAnsi="Times New Roman" w:cs="Times New Roman"/>
          <w:sz w:val="24"/>
          <w:szCs w:val="24"/>
        </w:rPr>
        <w:t>Belumosudil</w:t>
      </w:r>
      <w:proofErr w:type="spellEnd"/>
      <w:r w:rsidRPr="006D17DB">
        <w:rPr>
          <w:rFonts w:ascii="Times New Roman" w:hAnsi="Times New Roman" w:cs="Times New Roman"/>
          <w:sz w:val="24"/>
          <w:szCs w:val="24"/>
        </w:rPr>
        <w:t xml:space="preserve"> is a substrate of P-</w:t>
      </w:r>
      <w:proofErr w:type="spellStart"/>
      <w:r w:rsidRPr="006D17DB">
        <w:rPr>
          <w:rFonts w:ascii="Times New Roman" w:hAnsi="Times New Roman" w:cs="Times New Roman"/>
          <w:sz w:val="24"/>
          <w:szCs w:val="24"/>
        </w:rPr>
        <w:t>gp</w:t>
      </w:r>
      <w:proofErr w:type="spellEnd"/>
      <w:r w:rsidRPr="006D17DB">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955778">
        <w:rPr>
          <w:rFonts w:ascii="Times New Roman" w:hAnsi="Times New Roman" w:cs="Times New Roman"/>
          <w:sz w:val="24"/>
          <w:szCs w:val="24"/>
        </w:rPr>
        <w:t>Belumosudil</w:t>
      </w:r>
      <w:proofErr w:type="spellEnd"/>
      <w:r w:rsidRPr="00955778">
        <w:rPr>
          <w:rFonts w:ascii="Times New Roman" w:hAnsi="Times New Roman" w:cs="Times New Roman"/>
          <w:sz w:val="24"/>
          <w:szCs w:val="24"/>
        </w:rPr>
        <w:t xml:space="preserve"> inhibits BCRP, P-</w:t>
      </w:r>
      <w:proofErr w:type="spellStart"/>
      <w:r w:rsidRPr="00955778">
        <w:rPr>
          <w:rFonts w:ascii="Times New Roman" w:hAnsi="Times New Roman" w:cs="Times New Roman"/>
          <w:sz w:val="24"/>
          <w:szCs w:val="24"/>
        </w:rPr>
        <w:t>gp</w:t>
      </w:r>
      <w:proofErr w:type="spellEnd"/>
      <w:r w:rsidRPr="00955778">
        <w:rPr>
          <w:rFonts w:ascii="Times New Roman" w:hAnsi="Times New Roman" w:cs="Times New Roman"/>
          <w:sz w:val="24"/>
          <w:szCs w:val="24"/>
        </w:rPr>
        <w:t>, OATP1B1</w:t>
      </w:r>
      <w:r w:rsidR="00614CAB" w:rsidRPr="00955778">
        <w:rPr>
          <w:rFonts w:ascii="Times New Roman" w:hAnsi="Times New Roman" w:cs="Times New Roman"/>
          <w:sz w:val="24"/>
          <w:szCs w:val="24"/>
        </w:rPr>
        <w:t>, MATE1 and MATE2-K</w:t>
      </w:r>
      <w:r w:rsidRPr="00955778">
        <w:rPr>
          <w:rFonts w:ascii="Times New Roman" w:hAnsi="Times New Roman" w:cs="Times New Roman"/>
          <w:sz w:val="24"/>
          <w:szCs w:val="24"/>
        </w:rPr>
        <w:t xml:space="preserve">. </w:t>
      </w:r>
      <w:r w:rsidR="00614CAB" w:rsidRPr="00955778">
        <w:rPr>
          <w:rFonts w:ascii="Times New Roman" w:hAnsi="Times New Roman" w:cs="Times New Roman"/>
          <w:sz w:val="24"/>
          <w:szCs w:val="24"/>
        </w:rPr>
        <w:t>RHOLISTIQ</w:t>
      </w:r>
      <w:r w:rsidRPr="00955778">
        <w:rPr>
          <w:rFonts w:ascii="Times New Roman" w:hAnsi="Times New Roman" w:cs="Times New Roman"/>
          <w:sz w:val="24"/>
          <w:szCs w:val="24"/>
        </w:rPr>
        <w:t xml:space="preserve"> may increase the concentrations of </w:t>
      </w:r>
      <w:r w:rsidR="00614CAB" w:rsidRPr="00955778">
        <w:rPr>
          <w:rFonts w:ascii="Times New Roman" w:hAnsi="Times New Roman" w:cs="Times New Roman"/>
          <w:sz w:val="24"/>
          <w:szCs w:val="24"/>
        </w:rPr>
        <w:t xml:space="preserve">co-administered </w:t>
      </w:r>
      <w:r w:rsidRPr="00955778">
        <w:rPr>
          <w:rFonts w:ascii="Times New Roman" w:hAnsi="Times New Roman" w:cs="Times New Roman"/>
          <w:sz w:val="24"/>
          <w:szCs w:val="24"/>
        </w:rPr>
        <w:t>drugs</w:t>
      </w:r>
      <w:r w:rsidR="00614CAB" w:rsidRPr="00955778">
        <w:rPr>
          <w:rFonts w:ascii="Times New Roman" w:hAnsi="Times New Roman" w:cs="Times New Roman"/>
          <w:sz w:val="24"/>
          <w:szCs w:val="24"/>
        </w:rPr>
        <w:t xml:space="preserve"> that are substrates of these transporters</w:t>
      </w:r>
      <w:r w:rsidRPr="00955778">
        <w:rPr>
          <w:rFonts w:ascii="Times New Roman" w:hAnsi="Times New Roman" w:cs="Times New Roman"/>
          <w:sz w:val="24"/>
          <w:szCs w:val="24"/>
        </w:rPr>
        <w:t>.</w:t>
      </w:r>
    </w:p>
    <w:p w14:paraId="1254FC7D" w14:textId="77777777" w:rsidR="009F4CBB" w:rsidRPr="006D17DB" w:rsidRDefault="009F4CBB" w:rsidP="002403B3">
      <w:pPr>
        <w:pStyle w:val="BodyText"/>
        <w:spacing w:after="0" w:line="276" w:lineRule="auto"/>
        <w:jc w:val="both"/>
        <w:rPr>
          <w:i/>
        </w:rPr>
      </w:pPr>
    </w:p>
    <w:p w14:paraId="7AFB8B13" w14:textId="77777777" w:rsidR="001A3992" w:rsidRPr="00294D53" w:rsidRDefault="001A3992" w:rsidP="002403B3">
      <w:pPr>
        <w:pStyle w:val="Heading2"/>
        <w:spacing w:before="0" w:after="120"/>
        <w:ind w:left="0" w:firstLine="0"/>
        <w:jc w:val="both"/>
        <w:rPr>
          <w:rFonts w:ascii="Times New Roman" w:hAnsi="Times New Roman" w:cs="Times New Roman"/>
          <w:lang w:val="en-US"/>
        </w:rPr>
      </w:pPr>
      <w:bookmarkStart w:id="28" w:name="_Preclinical_safety_data"/>
      <w:bookmarkEnd w:id="28"/>
      <w:r w:rsidRPr="00294D53">
        <w:rPr>
          <w:rFonts w:ascii="Times New Roman" w:hAnsi="Times New Roman" w:cs="Times New Roman"/>
          <w:lang w:val="en-US"/>
        </w:rPr>
        <w:t>Preclinical safety data</w:t>
      </w:r>
    </w:p>
    <w:p w14:paraId="1F1342AD" w14:textId="69800313" w:rsidR="001A3992" w:rsidRPr="00BF01E5" w:rsidRDefault="001A3992" w:rsidP="002403B3">
      <w:pPr>
        <w:pStyle w:val="Heading3"/>
        <w:spacing w:before="0" w:after="120"/>
        <w:ind w:left="0"/>
        <w:jc w:val="both"/>
        <w:rPr>
          <w:rFonts w:ascii="Times New Roman" w:hAnsi="Times New Roman" w:cs="Times New Roman"/>
          <w:sz w:val="24"/>
          <w:szCs w:val="24"/>
        </w:rPr>
      </w:pPr>
      <w:r w:rsidRPr="00BF01E5">
        <w:rPr>
          <w:rFonts w:ascii="Times New Roman" w:hAnsi="Times New Roman" w:cs="Times New Roman"/>
          <w:sz w:val="24"/>
          <w:szCs w:val="24"/>
        </w:rPr>
        <w:t>Genotoxicity</w:t>
      </w:r>
    </w:p>
    <w:p w14:paraId="24BFDBE2" w14:textId="06B2159D" w:rsidR="00463893" w:rsidRPr="00463893" w:rsidRDefault="005E6D00" w:rsidP="002403B3">
      <w:pPr>
        <w:jc w:val="both"/>
        <w:rPr>
          <w:rFonts w:ascii="Times New Roman" w:hAnsi="Times New Roman" w:cs="Times New Roman"/>
          <w:sz w:val="24"/>
          <w:szCs w:val="24"/>
        </w:rPr>
      </w:pPr>
      <w:proofErr w:type="spellStart"/>
      <w:r w:rsidRPr="005E6D00">
        <w:rPr>
          <w:rFonts w:ascii="Times New Roman" w:hAnsi="Times New Roman" w:cs="Times New Roman"/>
          <w:sz w:val="24"/>
          <w:szCs w:val="24"/>
        </w:rPr>
        <w:t>Belumosudil</w:t>
      </w:r>
      <w:proofErr w:type="spellEnd"/>
      <w:r>
        <w:rPr>
          <w:rFonts w:ascii="Times New Roman" w:hAnsi="Times New Roman" w:cs="Times New Roman"/>
          <w:sz w:val="24"/>
          <w:szCs w:val="24"/>
        </w:rPr>
        <w:t xml:space="preserve"> </w:t>
      </w:r>
      <w:r w:rsidR="00463893" w:rsidRPr="00463893">
        <w:rPr>
          <w:rFonts w:ascii="Times New Roman" w:hAnsi="Times New Roman" w:cs="Times New Roman"/>
          <w:sz w:val="24"/>
          <w:szCs w:val="24"/>
        </w:rPr>
        <w:t xml:space="preserve">was not mutagenic in an </w:t>
      </w:r>
      <w:r w:rsidR="00463893" w:rsidRPr="003D3E86">
        <w:rPr>
          <w:rFonts w:ascii="Times New Roman" w:hAnsi="Times New Roman" w:cs="Times New Roman"/>
          <w:i/>
          <w:iCs/>
          <w:sz w:val="24"/>
          <w:szCs w:val="24"/>
        </w:rPr>
        <w:t xml:space="preserve">in vitro </w:t>
      </w:r>
      <w:r w:rsidR="00463893" w:rsidRPr="00463893">
        <w:rPr>
          <w:rFonts w:ascii="Times New Roman" w:hAnsi="Times New Roman" w:cs="Times New Roman"/>
          <w:sz w:val="24"/>
          <w:szCs w:val="24"/>
        </w:rPr>
        <w:t>bacterial mutagenicity (Ames) assay</w:t>
      </w:r>
      <w:r w:rsidR="0067218C">
        <w:rPr>
          <w:rFonts w:ascii="Times New Roman" w:hAnsi="Times New Roman" w:cs="Times New Roman"/>
          <w:sz w:val="24"/>
          <w:szCs w:val="24"/>
        </w:rPr>
        <w:t xml:space="preserve"> and </w:t>
      </w:r>
      <w:r w:rsidR="00463893" w:rsidRPr="00463893">
        <w:rPr>
          <w:rFonts w:ascii="Times New Roman" w:hAnsi="Times New Roman" w:cs="Times New Roman"/>
          <w:sz w:val="24"/>
          <w:szCs w:val="24"/>
        </w:rPr>
        <w:t xml:space="preserve">was not clastogenic in either an </w:t>
      </w:r>
      <w:r w:rsidR="00463893" w:rsidRPr="003D3E86">
        <w:rPr>
          <w:rFonts w:ascii="Times New Roman" w:hAnsi="Times New Roman" w:cs="Times New Roman"/>
          <w:i/>
          <w:iCs/>
          <w:sz w:val="24"/>
          <w:szCs w:val="24"/>
        </w:rPr>
        <w:t>in vitro</w:t>
      </w:r>
      <w:r w:rsidR="00463893" w:rsidRPr="00463893">
        <w:rPr>
          <w:rFonts w:ascii="Times New Roman" w:hAnsi="Times New Roman" w:cs="Times New Roman"/>
          <w:sz w:val="24"/>
          <w:szCs w:val="24"/>
        </w:rPr>
        <w:t xml:space="preserve"> chromosome aberration assay </w:t>
      </w:r>
      <w:r w:rsidR="0067218C">
        <w:rPr>
          <w:rFonts w:ascii="Times New Roman" w:hAnsi="Times New Roman" w:cs="Times New Roman"/>
          <w:sz w:val="24"/>
          <w:szCs w:val="24"/>
        </w:rPr>
        <w:t xml:space="preserve">human lymphocytes </w:t>
      </w:r>
      <w:r w:rsidR="00463893" w:rsidRPr="00463893">
        <w:rPr>
          <w:rFonts w:ascii="Times New Roman" w:hAnsi="Times New Roman" w:cs="Times New Roman"/>
          <w:sz w:val="24"/>
          <w:szCs w:val="24"/>
        </w:rPr>
        <w:t xml:space="preserve">or an </w:t>
      </w:r>
      <w:r w:rsidR="00463893" w:rsidRPr="00240DCF">
        <w:rPr>
          <w:rFonts w:ascii="Times New Roman" w:hAnsi="Times New Roman" w:cs="Times New Roman"/>
          <w:i/>
          <w:iCs/>
          <w:sz w:val="24"/>
          <w:szCs w:val="24"/>
        </w:rPr>
        <w:t>in vivo</w:t>
      </w:r>
      <w:r w:rsidR="00463893" w:rsidRPr="00463893">
        <w:rPr>
          <w:rFonts w:ascii="Times New Roman" w:hAnsi="Times New Roman" w:cs="Times New Roman"/>
          <w:sz w:val="24"/>
          <w:szCs w:val="24"/>
        </w:rPr>
        <w:t xml:space="preserve"> </w:t>
      </w:r>
      <w:r w:rsidR="0067218C">
        <w:rPr>
          <w:rFonts w:ascii="Times New Roman" w:hAnsi="Times New Roman" w:cs="Times New Roman"/>
          <w:sz w:val="24"/>
          <w:szCs w:val="24"/>
        </w:rPr>
        <w:t>rat</w:t>
      </w:r>
      <w:r w:rsidR="0067218C" w:rsidRPr="00463893">
        <w:rPr>
          <w:rFonts w:ascii="Times New Roman" w:hAnsi="Times New Roman" w:cs="Times New Roman"/>
          <w:sz w:val="24"/>
          <w:szCs w:val="24"/>
        </w:rPr>
        <w:t xml:space="preserve"> </w:t>
      </w:r>
      <w:r w:rsidR="00463893" w:rsidRPr="00463893">
        <w:rPr>
          <w:rFonts w:ascii="Times New Roman" w:hAnsi="Times New Roman" w:cs="Times New Roman"/>
          <w:sz w:val="24"/>
          <w:szCs w:val="24"/>
        </w:rPr>
        <w:t>bone marrow micronucleus assay.</w:t>
      </w:r>
    </w:p>
    <w:p w14:paraId="40F1BA8B" w14:textId="0E838377" w:rsidR="001A3992" w:rsidRDefault="001A3992" w:rsidP="002403B3">
      <w:pPr>
        <w:pStyle w:val="Heading3"/>
        <w:spacing w:before="0" w:after="120"/>
        <w:ind w:left="0"/>
        <w:jc w:val="both"/>
        <w:rPr>
          <w:rFonts w:ascii="Times New Roman" w:hAnsi="Times New Roman" w:cs="Times New Roman"/>
          <w:sz w:val="24"/>
          <w:szCs w:val="24"/>
          <w:lang w:val="en-US"/>
        </w:rPr>
      </w:pPr>
      <w:proofErr w:type="spellStart"/>
      <w:r w:rsidRPr="00BF01E5">
        <w:rPr>
          <w:rFonts w:ascii="Times New Roman" w:hAnsi="Times New Roman" w:cs="Times New Roman"/>
          <w:sz w:val="24"/>
          <w:szCs w:val="24"/>
        </w:rPr>
        <w:t>Carcin</w:t>
      </w:r>
      <w:r w:rsidRPr="00BF01E5">
        <w:rPr>
          <w:rFonts w:ascii="Times New Roman" w:hAnsi="Times New Roman" w:cs="Times New Roman"/>
          <w:sz w:val="24"/>
          <w:szCs w:val="24"/>
          <w:lang w:val="en-US"/>
        </w:rPr>
        <w:t>ogenicit</w:t>
      </w:r>
      <w:r w:rsidR="00E949BB">
        <w:rPr>
          <w:rFonts w:ascii="Times New Roman" w:hAnsi="Times New Roman" w:cs="Times New Roman"/>
          <w:sz w:val="24"/>
          <w:szCs w:val="24"/>
          <w:lang w:val="en-US"/>
        </w:rPr>
        <w:t>y</w:t>
      </w:r>
      <w:proofErr w:type="spellEnd"/>
    </w:p>
    <w:p w14:paraId="0B96F3DE" w14:textId="140CCA66" w:rsidR="00F23568" w:rsidRPr="00084E05" w:rsidRDefault="00CF08A9" w:rsidP="002403B3">
      <w:pPr>
        <w:jc w:val="both"/>
        <w:rPr>
          <w:rFonts w:ascii="Times New Roman" w:hAnsi="Times New Roman" w:cs="Times New Roman"/>
          <w:sz w:val="24"/>
          <w:szCs w:val="24"/>
        </w:rPr>
      </w:pPr>
      <w:r w:rsidRPr="00463893">
        <w:rPr>
          <w:rFonts w:ascii="Times New Roman" w:hAnsi="Times New Roman" w:cs="Times New Roman"/>
          <w:sz w:val="24"/>
          <w:szCs w:val="24"/>
        </w:rPr>
        <w:t xml:space="preserve">Carcinogenicity studies have not been conducted with </w:t>
      </w:r>
      <w:proofErr w:type="spellStart"/>
      <w:r w:rsidR="00312ED1">
        <w:rPr>
          <w:rFonts w:ascii="Times New Roman" w:hAnsi="Times New Roman" w:cs="Times New Roman"/>
          <w:sz w:val="24"/>
          <w:szCs w:val="24"/>
        </w:rPr>
        <w:t>belumosudil</w:t>
      </w:r>
      <w:proofErr w:type="spellEnd"/>
      <w:r w:rsidRPr="00463893">
        <w:rPr>
          <w:rFonts w:ascii="Times New Roman" w:hAnsi="Times New Roman" w:cs="Times New Roman"/>
          <w:sz w:val="24"/>
          <w:szCs w:val="24"/>
        </w:rPr>
        <w:t>.</w:t>
      </w:r>
    </w:p>
    <w:p w14:paraId="148E3C38" w14:textId="25860F9F" w:rsidR="001A3992" w:rsidRPr="009907EF" w:rsidRDefault="001A3992" w:rsidP="002403B3">
      <w:pPr>
        <w:pStyle w:val="Heading1"/>
        <w:spacing w:before="0" w:after="120"/>
        <w:ind w:left="0" w:firstLine="0"/>
        <w:jc w:val="both"/>
        <w:rPr>
          <w:rFonts w:ascii="Times New Roman" w:hAnsi="Times New Roman" w:cs="Times New Roman"/>
          <w:lang w:val="en-US"/>
        </w:rPr>
      </w:pPr>
      <w:r w:rsidRPr="009907EF">
        <w:rPr>
          <w:rFonts w:ascii="Times New Roman" w:hAnsi="Times New Roman" w:cs="Times New Roman"/>
          <w:lang w:val="en-US"/>
        </w:rPr>
        <w:t>Pharmaceutical particulars</w:t>
      </w:r>
    </w:p>
    <w:p w14:paraId="2FA8DC07" w14:textId="77777777" w:rsidR="001A3992" w:rsidRPr="009907EF" w:rsidRDefault="001A3992" w:rsidP="002403B3">
      <w:pPr>
        <w:pStyle w:val="Heading2"/>
        <w:spacing w:before="0" w:after="120"/>
        <w:ind w:left="0" w:firstLine="0"/>
        <w:jc w:val="both"/>
        <w:rPr>
          <w:rFonts w:ascii="Times New Roman" w:hAnsi="Times New Roman" w:cs="Times New Roman"/>
          <w:lang w:val="en-US"/>
        </w:rPr>
      </w:pPr>
      <w:bookmarkStart w:id="29" w:name="_List_of_excipients"/>
      <w:bookmarkEnd w:id="29"/>
      <w:r w:rsidRPr="009907EF">
        <w:rPr>
          <w:rFonts w:ascii="Times New Roman" w:hAnsi="Times New Roman" w:cs="Times New Roman"/>
          <w:lang w:val="en-US"/>
        </w:rPr>
        <w:t xml:space="preserve">List of excipients </w:t>
      </w:r>
    </w:p>
    <w:p w14:paraId="2E87FB7E" w14:textId="024282FE" w:rsidR="00BC7D27" w:rsidRPr="0004691A" w:rsidRDefault="00800657" w:rsidP="002403B3">
      <w:pPr>
        <w:spacing w:after="60"/>
        <w:jc w:val="both"/>
        <w:rPr>
          <w:rFonts w:ascii="Times New Roman" w:hAnsi="Times New Roman" w:cs="Times New Roman"/>
          <w:sz w:val="24"/>
          <w:szCs w:val="24"/>
        </w:rPr>
      </w:pPr>
      <w:r>
        <w:rPr>
          <w:rFonts w:ascii="Times New Roman" w:hAnsi="Times New Roman" w:cs="Times New Roman"/>
          <w:sz w:val="24"/>
          <w:szCs w:val="24"/>
        </w:rPr>
        <w:t>M</w:t>
      </w:r>
      <w:r w:rsidRPr="0004691A">
        <w:rPr>
          <w:rFonts w:ascii="Times New Roman" w:hAnsi="Times New Roman" w:cs="Times New Roman"/>
          <w:sz w:val="24"/>
          <w:szCs w:val="24"/>
        </w:rPr>
        <w:t xml:space="preserve">icrocrystalline cellulose, </w:t>
      </w:r>
      <w:proofErr w:type="spellStart"/>
      <w:r w:rsidRPr="0004691A">
        <w:rPr>
          <w:rFonts w:ascii="Times New Roman" w:hAnsi="Times New Roman" w:cs="Times New Roman"/>
          <w:sz w:val="24"/>
          <w:szCs w:val="24"/>
        </w:rPr>
        <w:t>hypromellose</w:t>
      </w:r>
      <w:proofErr w:type="spellEnd"/>
      <w:r w:rsidRPr="0004691A">
        <w:rPr>
          <w:rFonts w:ascii="Times New Roman" w:hAnsi="Times New Roman" w:cs="Times New Roman"/>
          <w:sz w:val="24"/>
          <w:szCs w:val="24"/>
        </w:rPr>
        <w:t xml:space="preserve">, croscarmellose sodium, </w:t>
      </w:r>
      <w:r w:rsidR="00C459F8" w:rsidRPr="00C459F8">
        <w:rPr>
          <w:rFonts w:ascii="Times New Roman" w:hAnsi="Times New Roman" w:cs="Times New Roman"/>
          <w:sz w:val="24"/>
          <w:szCs w:val="24"/>
        </w:rPr>
        <w:t>colloidal anhydrous silica</w:t>
      </w:r>
      <w:r w:rsidRPr="0004691A">
        <w:rPr>
          <w:rFonts w:ascii="Times New Roman" w:hAnsi="Times New Roman" w:cs="Times New Roman"/>
          <w:sz w:val="24"/>
          <w:szCs w:val="24"/>
        </w:rPr>
        <w:t>, magnesium stearate</w:t>
      </w:r>
      <w:r w:rsidR="007E3148">
        <w:rPr>
          <w:rFonts w:ascii="Times New Roman" w:hAnsi="Times New Roman" w:cs="Times New Roman"/>
          <w:sz w:val="24"/>
          <w:szCs w:val="24"/>
        </w:rPr>
        <w:t xml:space="preserve"> and </w:t>
      </w:r>
      <w:r w:rsidR="00BC7D27" w:rsidRPr="00BC7D27">
        <w:rPr>
          <w:rFonts w:ascii="Times New Roman" w:hAnsi="Times New Roman" w:cs="Times New Roman"/>
          <w:sz w:val="24"/>
          <w:szCs w:val="24"/>
        </w:rPr>
        <w:t>OPADRY II complete film coating system 85F32410 YELLOW</w:t>
      </w:r>
      <w:r w:rsidR="007E3148">
        <w:rPr>
          <w:rFonts w:ascii="Times New Roman" w:hAnsi="Times New Roman" w:cs="Times New Roman"/>
          <w:sz w:val="24"/>
          <w:szCs w:val="24"/>
        </w:rPr>
        <w:t>.</w:t>
      </w:r>
    </w:p>
    <w:p w14:paraId="38B47221" w14:textId="77777777" w:rsidR="001A3992" w:rsidRPr="009907EF" w:rsidRDefault="001A3992" w:rsidP="002403B3">
      <w:pPr>
        <w:pStyle w:val="Heading2"/>
        <w:keepNext/>
        <w:keepLines/>
        <w:spacing w:before="0" w:after="120"/>
        <w:ind w:left="0" w:firstLine="0"/>
        <w:jc w:val="both"/>
        <w:rPr>
          <w:rFonts w:ascii="Times New Roman" w:hAnsi="Times New Roman" w:cs="Times New Roman"/>
          <w:lang w:val="en-US"/>
        </w:rPr>
      </w:pPr>
      <w:r w:rsidRPr="009907EF">
        <w:rPr>
          <w:rFonts w:ascii="Times New Roman" w:hAnsi="Times New Roman" w:cs="Times New Roman"/>
          <w:lang w:val="en-US"/>
        </w:rPr>
        <w:t xml:space="preserve">Incompatibilities </w:t>
      </w:r>
    </w:p>
    <w:p w14:paraId="7D8B29AF" w14:textId="1E51A3CD" w:rsidR="00497C85" w:rsidRPr="00D941F4" w:rsidRDefault="00B41CB4" w:rsidP="002403B3">
      <w:pPr>
        <w:jc w:val="both"/>
        <w:rPr>
          <w:rFonts w:ascii="Times New Roman" w:hAnsi="Times New Roman" w:cs="Times New Roman"/>
          <w:sz w:val="24"/>
          <w:szCs w:val="24"/>
          <w:lang w:val="en-US"/>
        </w:rPr>
      </w:pPr>
      <w:r>
        <w:rPr>
          <w:rFonts w:ascii="Times New Roman" w:hAnsi="Times New Roman" w:cs="Times New Roman"/>
          <w:sz w:val="24"/>
          <w:szCs w:val="24"/>
          <w:lang w:val="en"/>
        </w:rPr>
        <w:t>Nil.</w:t>
      </w:r>
    </w:p>
    <w:p w14:paraId="6893E438" w14:textId="76FC76D2" w:rsidR="00C14F01" w:rsidRPr="009907EF" w:rsidRDefault="001A3992" w:rsidP="002403B3">
      <w:pPr>
        <w:pStyle w:val="Heading2"/>
        <w:spacing w:before="0" w:after="120"/>
        <w:ind w:left="0" w:firstLine="0"/>
        <w:jc w:val="both"/>
        <w:rPr>
          <w:rFonts w:ascii="Times New Roman" w:hAnsi="Times New Roman" w:cs="Times New Roman"/>
          <w:lang w:val="en-US"/>
        </w:rPr>
      </w:pPr>
      <w:r w:rsidRPr="009907EF">
        <w:rPr>
          <w:rFonts w:ascii="Times New Roman" w:hAnsi="Times New Roman" w:cs="Times New Roman"/>
          <w:lang w:val="en-US"/>
        </w:rPr>
        <w:t>Shelf life</w:t>
      </w:r>
    </w:p>
    <w:p w14:paraId="34C821EA" w14:textId="2A3C6A5A" w:rsidR="00C14F01" w:rsidRPr="00F67BBE" w:rsidRDefault="00F67BBE" w:rsidP="002403B3">
      <w:pPr>
        <w:spacing w:after="120"/>
        <w:jc w:val="both"/>
        <w:rPr>
          <w:rFonts w:ascii="Times New Roman" w:hAnsi="Times New Roman" w:cs="Times New Roman"/>
          <w:sz w:val="24"/>
          <w:szCs w:val="24"/>
        </w:rPr>
      </w:pPr>
      <w:r w:rsidRPr="00F67BBE">
        <w:rPr>
          <w:rFonts w:ascii="Times New Roman" w:hAnsi="Times New Roman" w:cs="Times New Roman"/>
          <w:sz w:val="24"/>
          <w:szCs w:val="24"/>
        </w:rPr>
        <w:t>In Australia, information on the shelf life can be found on the public summary of the Australian Register of Therapeutic Goods (ARTG). The expiry date can be found on the packaging.</w:t>
      </w:r>
    </w:p>
    <w:p w14:paraId="436427E5" w14:textId="403BC6A9" w:rsidR="001A3992" w:rsidRPr="009907EF" w:rsidRDefault="001A3992" w:rsidP="002403B3">
      <w:pPr>
        <w:pStyle w:val="Heading2"/>
        <w:keepNext/>
        <w:keepLines/>
        <w:spacing w:before="0" w:after="120"/>
        <w:ind w:left="0" w:firstLine="0"/>
        <w:jc w:val="both"/>
        <w:rPr>
          <w:rFonts w:ascii="Times New Roman" w:hAnsi="Times New Roman" w:cs="Times New Roman"/>
          <w:lang w:val="en-US"/>
        </w:rPr>
      </w:pPr>
      <w:r w:rsidRPr="009907EF">
        <w:rPr>
          <w:rFonts w:ascii="Times New Roman" w:hAnsi="Times New Roman" w:cs="Times New Roman"/>
          <w:lang w:val="en-US"/>
        </w:rPr>
        <w:t>Special precautions for storage</w:t>
      </w:r>
    </w:p>
    <w:p w14:paraId="50412A38" w14:textId="28138C09" w:rsidR="00C14F01" w:rsidRPr="00F67BBE" w:rsidRDefault="00C14F01" w:rsidP="002403B3">
      <w:pPr>
        <w:jc w:val="both"/>
        <w:rPr>
          <w:rFonts w:ascii="Times New Roman" w:hAnsi="Times New Roman" w:cs="Times New Roman"/>
          <w:sz w:val="24"/>
          <w:szCs w:val="24"/>
        </w:rPr>
      </w:pPr>
      <w:r w:rsidRPr="00F67BBE">
        <w:rPr>
          <w:rFonts w:ascii="Times New Roman" w:hAnsi="Times New Roman" w:cs="Times New Roman"/>
          <w:sz w:val="24"/>
          <w:szCs w:val="24"/>
          <w:lang w:val="en-US"/>
        </w:rPr>
        <w:t xml:space="preserve">Store </w:t>
      </w:r>
      <w:r w:rsidR="00F67BBE" w:rsidRPr="00F67BBE">
        <w:rPr>
          <w:rFonts w:ascii="Times New Roman" w:hAnsi="Times New Roman" w:cs="Times New Roman"/>
          <w:sz w:val="24"/>
          <w:szCs w:val="24"/>
          <w:lang w:val="en-US"/>
        </w:rPr>
        <w:t>below</w:t>
      </w:r>
      <w:r w:rsidRPr="00F67BBE">
        <w:rPr>
          <w:rFonts w:ascii="Times New Roman" w:hAnsi="Times New Roman" w:cs="Times New Roman"/>
          <w:sz w:val="24"/>
          <w:szCs w:val="24"/>
        </w:rPr>
        <w:t xml:space="preserve"> 25ºC</w:t>
      </w:r>
      <w:r w:rsidR="00F67BBE" w:rsidRPr="00F67BBE">
        <w:rPr>
          <w:rFonts w:ascii="Times New Roman" w:hAnsi="Times New Roman" w:cs="Times New Roman"/>
          <w:sz w:val="24"/>
          <w:szCs w:val="24"/>
        </w:rPr>
        <w:t>.</w:t>
      </w:r>
    </w:p>
    <w:p w14:paraId="745B42FF" w14:textId="5E3FC3EB" w:rsidR="001A3992" w:rsidRPr="009907EF" w:rsidRDefault="001A3992" w:rsidP="002403B3">
      <w:pPr>
        <w:pStyle w:val="Heading2"/>
        <w:spacing w:before="0" w:after="120"/>
        <w:ind w:left="0" w:firstLine="0"/>
        <w:jc w:val="both"/>
        <w:rPr>
          <w:rFonts w:ascii="Times New Roman" w:hAnsi="Times New Roman" w:cs="Times New Roman"/>
          <w:lang w:val="en-US"/>
        </w:rPr>
      </w:pPr>
      <w:r w:rsidRPr="009907EF">
        <w:rPr>
          <w:rFonts w:ascii="Times New Roman" w:hAnsi="Times New Roman" w:cs="Times New Roman"/>
          <w:lang w:val="en-US"/>
        </w:rPr>
        <w:t xml:space="preserve">Nature and contents of container </w:t>
      </w:r>
    </w:p>
    <w:p w14:paraId="4F0CF2BD" w14:textId="69E8CED0" w:rsidR="00ED1A0F" w:rsidRPr="00EB44FF" w:rsidRDefault="006D582A" w:rsidP="002403B3">
      <w:pPr>
        <w:spacing w:after="120"/>
        <w:jc w:val="both"/>
        <w:rPr>
          <w:rFonts w:ascii="Times New Roman" w:hAnsi="Times New Roman" w:cs="Times New Roman"/>
          <w:sz w:val="24"/>
          <w:szCs w:val="24"/>
          <w:lang w:val="en-US"/>
        </w:rPr>
      </w:pPr>
      <w:r w:rsidRPr="006D582A">
        <w:rPr>
          <w:rFonts w:ascii="Times New Roman" w:hAnsi="Times New Roman" w:cs="Times New Roman"/>
          <w:sz w:val="24"/>
          <w:szCs w:val="24"/>
          <w:lang w:val="en-US"/>
        </w:rPr>
        <w:lastRenderedPageBreak/>
        <w:t xml:space="preserve">200 mg </w:t>
      </w:r>
      <w:r>
        <w:rPr>
          <w:rFonts w:ascii="Times New Roman" w:hAnsi="Times New Roman" w:cs="Times New Roman"/>
          <w:sz w:val="24"/>
          <w:szCs w:val="24"/>
          <w:lang w:val="en-US"/>
        </w:rPr>
        <w:t>film-</w:t>
      </w:r>
      <w:r w:rsidR="00E67509">
        <w:rPr>
          <w:rFonts w:ascii="Times New Roman" w:hAnsi="Times New Roman" w:cs="Times New Roman"/>
          <w:sz w:val="24"/>
          <w:szCs w:val="24"/>
          <w:lang w:val="en-US"/>
        </w:rPr>
        <w:t xml:space="preserve">coated </w:t>
      </w:r>
      <w:r w:rsidRPr="006D582A">
        <w:rPr>
          <w:rFonts w:ascii="Times New Roman" w:hAnsi="Times New Roman" w:cs="Times New Roman"/>
          <w:sz w:val="24"/>
          <w:szCs w:val="24"/>
          <w:lang w:val="en-US"/>
        </w:rPr>
        <w:t xml:space="preserve">tablets: 30 </w:t>
      </w:r>
      <w:r w:rsidR="00AE34B7">
        <w:rPr>
          <w:rFonts w:ascii="Times New Roman" w:hAnsi="Times New Roman" w:cs="Times New Roman"/>
          <w:sz w:val="24"/>
          <w:szCs w:val="24"/>
          <w:lang w:val="en-US"/>
        </w:rPr>
        <w:t>tablets</w:t>
      </w:r>
      <w:r w:rsidRPr="006D582A">
        <w:rPr>
          <w:rFonts w:ascii="Times New Roman" w:hAnsi="Times New Roman" w:cs="Times New Roman"/>
          <w:sz w:val="24"/>
          <w:szCs w:val="24"/>
          <w:lang w:val="en-US"/>
        </w:rPr>
        <w:t xml:space="preserve"> in </w:t>
      </w:r>
      <w:r w:rsidR="00AE34B7">
        <w:rPr>
          <w:rFonts w:ascii="Times New Roman" w:hAnsi="Times New Roman" w:cs="Times New Roman"/>
          <w:sz w:val="24"/>
          <w:szCs w:val="24"/>
          <w:lang w:val="en-US"/>
        </w:rPr>
        <w:t xml:space="preserve">an HDPE bottle </w:t>
      </w:r>
      <w:r w:rsidR="00CB7B37">
        <w:rPr>
          <w:rFonts w:ascii="Times New Roman" w:hAnsi="Times New Roman" w:cs="Times New Roman"/>
          <w:sz w:val="24"/>
          <w:szCs w:val="24"/>
          <w:lang w:val="en-US"/>
        </w:rPr>
        <w:t>with a child-resistant closure</w:t>
      </w:r>
      <w:r w:rsidR="003326BE">
        <w:rPr>
          <w:rFonts w:ascii="Times New Roman" w:hAnsi="Times New Roman" w:cs="Times New Roman"/>
          <w:sz w:val="24"/>
          <w:szCs w:val="24"/>
          <w:lang w:val="en-US"/>
        </w:rPr>
        <w:t xml:space="preserve"> and a </w:t>
      </w:r>
      <w:r w:rsidR="003326BE" w:rsidRPr="003326BE">
        <w:rPr>
          <w:rFonts w:ascii="Times New Roman" w:hAnsi="Times New Roman" w:cs="Times New Roman"/>
          <w:sz w:val="24"/>
          <w:szCs w:val="24"/>
          <w:lang w:val="en-US"/>
        </w:rPr>
        <w:t>desiccant canister labelled ‘Do not eat’</w:t>
      </w:r>
      <w:r w:rsidR="00CB7B37">
        <w:rPr>
          <w:rFonts w:ascii="Times New Roman" w:hAnsi="Times New Roman" w:cs="Times New Roman"/>
          <w:sz w:val="24"/>
          <w:szCs w:val="24"/>
          <w:lang w:val="en-US"/>
        </w:rPr>
        <w:t>.</w:t>
      </w:r>
    </w:p>
    <w:p w14:paraId="6C26236D" w14:textId="77777777" w:rsidR="001A3992" w:rsidRPr="009907EF" w:rsidRDefault="001A3992" w:rsidP="002403B3">
      <w:pPr>
        <w:pStyle w:val="Heading2"/>
        <w:spacing w:before="0" w:after="120"/>
        <w:ind w:left="0" w:firstLine="0"/>
        <w:jc w:val="both"/>
        <w:rPr>
          <w:rFonts w:ascii="Times New Roman" w:hAnsi="Times New Roman" w:cs="Times New Roman"/>
          <w:lang w:val="en-US"/>
        </w:rPr>
      </w:pPr>
      <w:r w:rsidRPr="009907EF">
        <w:rPr>
          <w:rFonts w:ascii="Times New Roman" w:hAnsi="Times New Roman" w:cs="Times New Roman"/>
          <w:lang w:val="en-US"/>
        </w:rPr>
        <w:t xml:space="preserve">Special precautions for disposal </w:t>
      </w:r>
    </w:p>
    <w:p w14:paraId="7A0C9653" w14:textId="7B4DFE37" w:rsidR="002B424E" w:rsidRPr="002E4571" w:rsidRDefault="002B424E" w:rsidP="002403B3">
      <w:pPr>
        <w:jc w:val="both"/>
        <w:rPr>
          <w:rFonts w:ascii="Times New Roman" w:hAnsi="Times New Roman" w:cs="Times New Roman"/>
          <w:sz w:val="24"/>
          <w:szCs w:val="24"/>
          <w:lang w:val="en-US"/>
        </w:rPr>
      </w:pPr>
      <w:r w:rsidRPr="002E4571">
        <w:rPr>
          <w:rFonts w:ascii="Times New Roman" w:hAnsi="Times New Roman" w:cs="Times New Roman"/>
          <w:sz w:val="24"/>
          <w:szCs w:val="24"/>
          <w:lang w:val="en"/>
        </w:rPr>
        <w:t xml:space="preserve">In Australia, any unused medicine or waste material should be disposed of in accordance with local requirements. </w:t>
      </w:r>
    </w:p>
    <w:p w14:paraId="4FEFF360" w14:textId="77777777" w:rsidR="001A3992" w:rsidRPr="009907EF" w:rsidRDefault="001A3992" w:rsidP="002403B3">
      <w:pPr>
        <w:pStyle w:val="Heading2"/>
        <w:spacing w:before="0" w:after="120"/>
        <w:ind w:left="0" w:firstLine="0"/>
        <w:jc w:val="both"/>
        <w:rPr>
          <w:rFonts w:ascii="Times New Roman" w:hAnsi="Times New Roman" w:cs="Times New Roman"/>
          <w:lang w:val="en-US"/>
        </w:rPr>
      </w:pPr>
      <w:r w:rsidRPr="009907EF">
        <w:rPr>
          <w:rFonts w:ascii="Times New Roman" w:hAnsi="Times New Roman" w:cs="Times New Roman"/>
          <w:lang w:val="en-US"/>
        </w:rPr>
        <w:t>Physicochemical properties</w:t>
      </w:r>
    </w:p>
    <w:p w14:paraId="43ECA382" w14:textId="36607684" w:rsidR="00954657" w:rsidRDefault="00954657" w:rsidP="002403B3">
      <w:pPr>
        <w:spacing w:after="120"/>
        <w:jc w:val="both"/>
        <w:rPr>
          <w:rFonts w:ascii="Times New Roman" w:hAnsi="Times New Roman" w:cs="Times New Roman"/>
          <w:sz w:val="24"/>
          <w:szCs w:val="24"/>
        </w:rPr>
      </w:pPr>
      <w:proofErr w:type="spellStart"/>
      <w:r w:rsidRPr="00954657">
        <w:rPr>
          <w:rFonts w:ascii="Times New Roman" w:hAnsi="Times New Roman" w:cs="Times New Roman"/>
          <w:sz w:val="24"/>
          <w:szCs w:val="24"/>
        </w:rPr>
        <w:t>Belumosudil</w:t>
      </w:r>
      <w:proofErr w:type="spellEnd"/>
      <w:r w:rsidRPr="00954657">
        <w:rPr>
          <w:rFonts w:ascii="Times New Roman" w:hAnsi="Times New Roman" w:cs="Times New Roman"/>
          <w:sz w:val="24"/>
          <w:szCs w:val="24"/>
        </w:rPr>
        <w:t xml:space="preserve"> </w:t>
      </w:r>
      <w:proofErr w:type="spellStart"/>
      <w:r w:rsidRPr="00954657">
        <w:rPr>
          <w:rFonts w:ascii="Times New Roman" w:hAnsi="Times New Roman" w:cs="Times New Roman"/>
          <w:sz w:val="24"/>
          <w:szCs w:val="24"/>
        </w:rPr>
        <w:t>mes</w:t>
      </w:r>
      <w:r w:rsidR="00222C5A">
        <w:rPr>
          <w:rFonts w:ascii="Times New Roman" w:hAnsi="Times New Roman" w:cs="Times New Roman"/>
          <w:sz w:val="24"/>
          <w:szCs w:val="24"/>
        </w:rPr>
        <w:t>i</w:t>
      </w:r>
      <w:r w:rsidRPr="00954657">
        <w:rPr>
          <w:rFonts w:ascii="Times New Roman" w:hAnsi="Times New Roman" w:cs="Times New Roman"/>
          <w:sz w:val="24"/>
          <w:szCs w:val="24"/>
        </w:rPr>
        <w:t>late</w:t>
      </w:r>
      <w:proofErr w:type="spellEnd"/>
      <w:r w:rsidRPr="00954657">
        <w:rPr>
          <w:rFonts w:ascii="Times New Roman" w:hAnsi="Times New Roman" w:cs="Times New Roman"/>
          <w:sz w:val="24"/>
          <w:szCs w:val="24"/>
        </w:rPr>
        <w:t xml:space="preserve"> is a selective Rho-associated, coiled-coil containing protein kinase-2 (ROCK2) inhibitor. The chemical name is 2-{3-[4-(1H-indazol-5-ylamino)-2-</w:t>
      </w:r>
      <w:proofErr w:type="gramStart"/>
      <w:r w:rsidRPr="00954657">
        <w:rPr>
          <w:rFonts w:ascii="Times New Roman" w:hAnsi="Times New Roman" w:cs="Times New Roman"/>
          <w:sz w:val="24"/>
          <w:szCs w:val="24"/>
        </w:rPr>
        <w:t>quinazolinyl]phenoxy</w:t>
      </w:r>
      <w:proofErr w:type="gramEnd"/>
      <w:r w:rsidRPr="00954657">
        <w:rPr>
          <w:rFonts w:ascii="Times New Roman" w:hAnsi="Times New Roman" w:cs="Times New Roman"/>
          <w:sz w:val="24"/>
          <w:szCs w:val="24"/>
        </w:rPr>
        <w:t xml:space="preserve">}-N-(propan-2-yl) acetamide </w:t>
      </w:r>
      <w:proofErr w:type="spellStart"/>
      <w:r w:rsidRPr="00954657">
        <w:rPr>
          <w:rFonts w:ascii="Times New Roman" w:hAnsi="Times New Roman" w:cs="Times New Roman"/>
          <w:sz w:val="24"/>
          <w:szCs w:val="24"/>
        </w:rPr>
        <w:t>methanesulfonate</w:t>
      </w:r>
      <w:proofErr w:type="spellEnd"/>
      <w:r w:rsidRPr="00954657">
        <w:rPr>
          <w:rFonts w:ascii="Times New Roman" w:hAnsi="Times New Roman" w:cs="Times New Roman"/>
          <w:sz w:val="24"/>
          <w:szCs w:val="24"/>
        </w:rPr>
        <w:t xml:space="preserve"> (1:1).  The molecular formula is </w:t>
      </w:r>
      <w:proofErr w:type="gramStart"/>
      <w:r w:rsidRPr="00954657">
        <w:rPr>
          <w:rFonts w:ascii="Times New Roman" w:hAnsi="Times New Roman" w:cs="Times New Roman"/>
          <w:sz w:val="24"/>
          <w:szCs w:val="24"/>
        </w:rPr>
        <w:t>C</w:t>
      </w:r>
      <w:r w:rsidRPr="00954657">
        <w:rPr>
          <w:rFonts w:ascii="Times New Roman" w:hAnsi="Times New Roman" w:cs="Times New Roman"/>
          <w:sz w:val="24"/>
          <w:szCs w:val="24"/>
          <w:vertAlign w:val="subscript"/>
        </w:rPr>
        <w:t>27</w:t>
      </w:r>
      <w:r w:rsidRPr="00954657">
        <w:rPr>
          <w:rFonts w:ascii="Times New Roman" w:hAnsi="Times New Roman" w:cs="Times New Roman"/>
          <w:sz w:val="24"/>
          <w:szCs w:val="24"/>
        </w:rPr>
        <w:t>H</w:t>
      </w:r>
      <w:r w:rsidRPr="00954657">
        <w:rPr>
          <w:rFonts w:ascii="Times New Roman" w:hAnsi="Times New Roman" w:cs="Times New Roman"/>
          <w:sz w:val="24"/>
          <w:szCs w:val="24"/>
          <w:vertAlign w:val="subscript"/>
        </w:rPr>
        <w:t>28</w:t>
      </w:r>
      <w:r w:rsidRPr="00954657">
        <w:rPr>
          <w:rFonts w:ascii="Times New Roman" w:hAnsi="Times New Roman" w:cs="Times New Roman"/>
          <w:sz w:val="24"/>
          <w:szCs w:val="24"/>
        </w:rPr>
        <w:t>N</w:t>
      </w:r>
      <w:r w:rsidRPr="00954657">
        <w:rPr>
          <w:rFonts w:ascii="Times New Roman" w:hAnsi="Times New Roman" w:cs="Times New Roman"/>
          <w:sz w:val="24"/>
          <w:szCs w:val="24"/>
          <w:vertAlign w:val="subscript"/>
        </w:rPr>
        <w:t>6</w:t>
      </w:r>
      <w:r w:rsidRPr="00954657">
        <w:rPr>
          <w:rFonts w:ascii="Times New Roman" w:hAnsi="Times New Roman" w:cs="Times New Roman"/>
          <w:sz w:val="24"/>
          <w:szCs w:val="24"/>
        </w:rPr>
        <w:t>O</w:t>
      </w:r>
      <w:r w:rsidRPr="00954657">
        <w:rPr>
          <w:rFonts w:ascii="Times New Roman" w:hAnsi="Times New Roman" w:cs="Times New Roman"/>
          <w:sz w:val="24"/>
          <w:szCs w:val="24"/>
          <w:vertAlign w:val="subscript"/>
        </w:rPr>
        <w:t>5</w:t>
      </w:r>
      <w:r w:rsidRPr="00954657">
        <w:rPr>
          <w:rFonts w:ascii="Times New Roman" w:hAnsi="Times New Roman" w:cs="Times New Roman"/>
          <w:sz w:val="24"/>
          <w:szCs w:val="24"/>
        </w:rPr>
        <w:t>S</w:t>
      </w:r>
      <w:proofErr w:type="gramEnd"/>
      <w:r w:rsidRPr="00954657">
        <w:rPr>
          <w:rFonts w:ascii="Times New Roman" w:hAnsi="Times New Roman" w:cs="Times New Roman"/>
          <w:sz w:val="24"/>
          <w:szCs w:val="24"/>
        </w:rPr>
        <w:t xml:space="preserve"> and the molecular weight is 548.62 g/mol. </w:t>
      </w:r>
    </w:p>
    <w:p w14:paraId="43588237" w14:textId="37E2F8E9" w:rsidR="001A3992" w:rsidRPr="005A36FB" w:rsidRDefault="001A3992" w:rsidP="002403B3">
      <w:pPr>
        <w:pStyle w:val="Heading3"/>
        <w:spacing w:before="0" w:after="120"/>
        <w:ind w:left="0"/>
        <w:jc w:val="both"/>
        <w:rPr>
          <w:rFonts w:ascii="Times New Roman" w:hAnsi="Times New Roman" w:cs="Times New Roman"/>
          <w:sz w:val="24"/>
          <w:szCs w:val="24"/>
          <w:lang w:val="en-US"/>
        </w:rPr>
      </w:pPr>
      <w:r w:rsidRPr="005A36FB">
        <w:rPr>
          <w:rFonts w:ascii="Times New Roman" w:hAnsi="Times New Roman" w:cs="Times New Roman"/>
          <w:sz w:val="24"/>
          <w:szCs w:val="24"/>
          <w:lang w:val="en-US"/>
        </w:rPr>
        <w:t>Chemical structure</w:t>
      </w:r>
    </w:p>
    <w:p w14:paraId="19C1EDB6" w14:textId="6F97FAA3" w:rsidR="0010588A" w:rsidRPr="009907EF" w:rsidRDefault="0010588A" w:rsidP="002403B3">
      <w:pPr>
        <w:jc w:val="both"/>
        <w:rPr>
          <w:rFonts w:ascii="Times New Roman" w:hAnsi="Times New Roman" w:cs="Times New Roman"/>
          <w:szCs w:val="24"/>
        </w:rPr>
      </w:pPr>
      <w:r w:rsidRPr="005A36FB">
        <w:rPr>
          <w:rFonts w:ascii="Times New Roman" w:hAnsi="Times New Roman" w:cs="Times New Roman"/>
          <w:lang w:val="en-US"/>
        </w:rPr>
        <w:tab/>
      </w:r>
      <w:r w:rsidR="001E1FA8">
        <w:object w:dxaOrig="3552" w:dyaOrig="2148" w14:anchorId="1E604D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121.5pt" o:ole="">
            <v:imagedata r:id="rId14" o:title=""/>
          </v:shape>
          <o:OLEObject Type="Embed" ProgID="ChemDraw.Document.6.0" ShapeID="_x0000_i1025" DrawAspect="Content" ObjectID="_1713683817" r:id="rId15"/>
        </w:object>
      </w:r>
    </w:p>
    <w:p w14:paraId="358857BD" w14:textId="700D232A" w:rsidR="001A3992" w:rsidRDefault="001A3992" w:rsidP="002403B3">
      <w:pPr>
        <w:pStyle w:val="Heading3"/>
        <w:spacing w:before="0" w:after="120"/>
        <w:ind w:left="0"/>
        <w:jc w:val="both"/>
        <w:rPr>
          <w:rFonts w:ascii="Times New Roman" w:hAnsi="Times New Roman" w:cs="Times New Roman"/>
          <w:sz w:val="24"/>
          <w:szCs w:val="24"/>
          <w:lang w:val="en-US"/>
        </w:rPr>
      </w:pPr>
      <w:r w:rsidRPr="002E4571">
        <w:rPr>
          <w:rFonts w:ascii="Times New Roman" w:hAnsi="Times New Roman" w:cs="Times New Roman"/>
          <w:sz w:val="24"/>
          <w:szCs w:val="24"/>
          <w:lang w:val="en-US"/>
        </w:rPr>
        <w:t>CAS number</w:t>
      </w:r>
    </w:p>
    <w:p w14:paraId="31218840" w14:textId="77777777" w:rsidR="00DD4365" w:rsidRPr="00B374EF" w:rsidRDefault="00DD4365" w:rsidP="002403B3">
      <w:pPr>
        <w:spacing w:after="60"/>
        <w:jc w:val="both"/>
        <w:rPr>
          <w:rFonts w:ascii="Times New Roman" w:hAnsi="Times New Roman" w:cs="Times New Roman"/>
          <w:sz w:val="24"/>
          <w:szCs w:val="24"/>
          <w:lang w:val="en-US"/>
        </w:rPr>
      </w:pPr>
      <w:r w:rsidRPr="00CF7DE3">
        <w:rPr>
          <w:rFonts w:ascii="Times New Roman" w:hAnsi="Times New Roman" w:cs="Times New Roman"/>
          <w:sz w:val="24"/>
          <w:szCs w:val="24"/>
          <w:lang w:val="en-US"/>
        </w:rPr>
        <w:t>911417-87-3 (free base)</w:t>
      </w:r>
    </w:p>
    <w:p w14:paraId="531E35D8" w14:textId="5EA4B2CA" w:rsidR="00CF7DE3" w:rsidRPr="00CF7DE3" w:rsidRDefault="00CF7DE3" w:rsidP="002403B3">
      <w:pPr>
        <w:jc w:val="both"/>
        <w:rPr>
          <w:rFonts w:ascii="Times New Roman" w:hAnsi="Times New Roman" w:cs="Times New Roman"/>
          <w:sz w:val="24"/>
          <w:szCs w:val="24"/>
          <w:lang w:val="en-US"/>
        </w:rPr>
      </w:pPr>
      <w:r w:rsidRPr="00CF7DE3">
        <w:rPr>
          <w:rFonts w:ascii="Times New Roman" w:hAnsi="Times New Roman" w:cs="Times New Roman"/>
          <w:sz w:val="24"/>
          <w:szCs w:val="24"/>
          <w:lang w:val="en-US"/>
        </w:rPr>
        <w:t>2109704-99-4 (</w:t>
      </w:r>
      <w:proofErr w:type="spellStart"/>
      <w:r w:rsidRPr="00CF7DE3">
        <w:rPr>
          <w:rFonts w:ascii="Times New Roman" w:hAnsi="Times New Roman" w:cs="Times New Roman"/>
          <w:sz w:val="24"/>
          <w:szCs w:val="24"/>
          <w:lang w:val="en-US"/>
        </w:rPr>
        <w:t>mes</w:t>
      </w:r>
      <w:r w:rsidR="00DD4365">
        <w:rPr>
          <w:rFonts w:ascii="Times New Roman" w:hAnsi="Times New Roman" w:cs="Times New Roman"/>
          <w:sz w:val="24"/>
          <w:szCs w:val="24"/>
          <w:lang w:val="en-US"/>
        </w:rPr>
        <w:t>i</w:t>
      </w:r>
      <w:r w:rsidRPr="00CF7DE3">
        <w:rPr>
          <w:rFonts w:ascii="Times New Roman" w:hAnsi="Times New Roman" w:cs="Times New Roman"/>
          <w:sz w:val="24"/>
          <w:szCs w:val="24"/>
          <w:lang w:val="en-US"/>
        </w:rPr>
        <w:t>late</w:t>
      </w:r>
      <w:proofErr w:type="spellEnd"/>
      <w:r w:rsidRPr="00CF7DE3">
        <w:rPr>
          <w:rFonts w:ascii="Times New Roman" w:hAnsi="Times New Roman" w:cs="Times New Roman"/>
          <w:sz w:val="24"/>
          <w:szCs w:val="24"/>
          <w:lang w:val="en-US"/>
        </w:rPr>
        <w:t xml:space="preserve"> salt)</w:t>
      </w:r>
    </w:p>
    <w:p w14:paraId="4A9ACCBE" w14:textId="551950AB" w:rsidR="001A3992" w:rsidRPr="009907EF" w:rsidRDefault="001A3992" w:rsidP="002403B3">
      <w:pPr>
        <w:pStyle w:val="Heading1"/>
        <w:spacing w:before="0" w:after="120"/>
        <w:ind w:left="0" w:firstLine="0"/>
        <w:jc w:val="both"/>
        <w:rPr>
          <w:rFonts w:ascii="Times New Roman" w:hAnsi="Times New Roman" w:cs="Times New Roman"/>
          <w:lang w:val="en-US"/>
        </w:rPr>
      </w:pPr>
      <w:r w:rsidRPr="009907EF">
        <w:rPr>
          <w:rFonts w:ascii="Times New Roman" w:hAnsi="Times New Roman" w:cs="Times New Roman"/>
          <w:lang w:val="en-US"/>
        </w:rPr>
        <w:t>Medicine schedule (Poisons Standard)</w:t>
      </w:r>
    </w:p>
    <w:p w14:paraId="473885D7" w14:textId="037320E4" w:rsidR="00A262DD" w:rsidRPr="002E4571" w:rsidRDefault="00B374EF" w:rsidP="002403B3">
      <w:pPr>
        <w:jc w:val="both"/>
        <w:rPr>
          <w:rFonts w:ascii="Times New Roman" w:hAnsi="Times New Roman" w:cs="Times New Roman"/>
          <w:sz w:val="24"/>
          <w:szCs w:val="24"/>
          <w:lang w:val="en-US"/>
        </w:rPr>
      </w:pPr>
      <w:r>
        <w:rPr>
          <w:rFonts w:ascii="Times New Roman" w:hAnsi="Times New Roman" w:cs="Times New Roman"/>
          <w:sz w:val="24"/>
          <w:szCs w:val="24"/>
          <w:lang w:val="en-US"/>
        </w:rPr>
        <w:t>Prescription Only Medicine (Schedule 4)</w:t>
      </w:r>
    </w:p>
    <w:p w14:paraId="2FAD821F" w14:textId="77777777" w:rsidR="001A3992" w:rsidRPr="009907EF" w:rsidRDefault="001A3992" w:rsidP="002403B3">
      <w:pPr>
        <w:pStyle w:val="Heading1"/>
        <w:spacing w:before="0" w:after="120"/>
        <w:ind w:left="0" w:firstLine="0"/>
        <w:jc w:val="both"/>
        <w:rPr>
          <w:rFonts w:ascii="Times New Roman" w:hAnsi="Times New Roman" w:cs="Times New Roman"/>
          <w:lang w:val="en-US"/>
        </w:rPr>
      </w:pPr>
      <w:r w:rsidRPr="009907EF">
        <w:rPr>
          <w:rFonts w:ascii="Times New Roman" w:hAnsi="Times New Roman" w:cs="Times New Roman"/>
          <w:lang w:val="en-US"/>
        </w:rPr>
        <w:t>Sponsor</w:t>
      </w:r>
    </w:p>
    <w:p w14:paraId="13992428" w14:textId="08CC7856" w:rsidR="009748A4" w:rsidRDefault="00203795" w:rsidP="002403B3">
      <w:pPr>
        <w:pStyle w:val="paragraph0"/>
        <w:spacing w:before="0" w:beforeAutospacing="0" w:after="0" w:afterAutospacing="0" w:line="276" w:lineRule="auto"/>
        <w:jc w:val="both"/>
        <w:textAlignment w:val="baseline"/>
        <w:rPr>
          <w:rStyle w:val="normaltextrun"/>
          <w:rFonts w:eastAsiaTheme="majorEastAsia"/>
        </w:rPr>
      </w:pPr>
      <w:proofErr w:type="spellStart"/>
      <w:r>
        <w:rPr>
          <w:rStyle w:val="normaltextrun"/>
          <w:rFonts w:eastAsiaTheme="majorEastAsia"/>
        </w:rPr>
        <w:t>Kadmon</w:t>
      </w:r>
      <w:proofErr w:type="spellEnd"/>
      <w:r>
        <w:rPr>
          <w:rStyle w:val="normaltextrun"/>
          <w:rFonts w:eastAsiaTheme="majorEastAsia"/>
        </w:rPr>
        <w:t xml:space="preserve"> Oce</w:t>
      </w:r>
      <w:r w:rsidR="00461A8B">
        <w:rPr>
          <w:rStyle w:val="normaltextrun"/>
          <w:rFonts w:eastAsiaTheme="majorEastAsia"/>
        </w:rPr>
        <w:t>ania Pty Ltd</w:t>
      </w:r>
    </w:p>
    <w:p w14:paraId="78AC15A1" w14:textId="3E4A7DC5" w:rsidR="00121994" w:rsidRDefault="00121994" w:rsidP="002403B3">
      <w:pPr>
        <w:pStyle w:val="paragraph0"/>
        <w:spacing w:before="0" w:beforeAutospacing="0" w:after="0" w:afterAutospacing="0" w:line="276" w:lineRule="auto"/>
        <w:jc w:val="both"/>
        <w:textAlignment w:val="baseline"/>
      </w:pPr>
      <w:r w:rsidRPr="00121994">
        <w:t xml:space="preserve">Level 13, 77 Castlereagh </w:t>
      </w:r>
      <w:r w:rsidR="00B374EF" w:rsidRPr="002F5750">
        <w:t xml:space="preserve">St </w:t>
      </w:r>
    </w:p>
    <w:p w14:paraId="53768CE7" w14:textId="075635BB" w:rsidR="009748A4" w:rsidRDefault="00121994" w:rsidP="002403B3">
      <w:pPr>
        <w:pStyle w:val="paragraph0"/>
        <w:spacing w:before="0" w:beforeAutospacing="0" w:after="0" w:afterAutospacing="0" w:line="276" w:lineRule="auto"/>
        <w:jc w:val="both"/>
        <w:textAlignment w:val="baseline"/>
      </w:pPr>
      <w:r>
        <w:t>Sydney</w:t>
      </w:r>
    </w:p>
    <w:p w14:paraId="04350E90" w14:textId="6DC42A01" w:rsidR="00F22638" w:rsidRDefault="00B374EF" w:rsidP="002403B3">
      <w:pPr>
        <w:pStyle w:val="paragraph0"/>
        <w:spacing w:before="0" w:beforeAutospacing="0" w:after="240" w:afterAutospacing="0" w:line="276" w:lineRule="auto"/>
        <w:jc w:val="both"/>
        <w:textAlignment w:val="baseline"/>
      </w:pPr>
      <w:r w:rsidRPr="002F5750">
        <w:t>NSW 20</w:t>
      </w:r>
      <w:r w:rsidR="00203795">
        <w:t>00</w:t>
      </w:r>
    </w:p>
    <w:p w14:paraId="17B8A5C0" w14:textId="77777777" w:rsidR="005441A8" w:rsidRDefault="001A3992" w:rsidP="002403B3">
      <w:pPr>
        <w:pStyle w:val="Heading1"/>
        <w:spacing w:before="0" w:after="120"/>
        <w:ind w:left="0" w:firstLine="0"/>
        <w:jc w:val="both"/>
        <w:rPr>
          <w:rFonts w:ascii="Times New Roman" w:hAnsi="Times New Roman" w:cs="Times New Roman"/>
          <w:lang w:val="en-US"/>
        </w:rPr>
      </w:pPr>
      <w:r w:rsidRPr="009907EF">
        <w:rPr>
          <w:rFonts w:ascii="Times New Roman" w:hAnsi="Times New Roman" w:cs="Times New Roman"/>
          <w:lang w:val="en-US"/>
        </w:rPr>
        <w:t xml:space="preserve">Date of first approval </w:t>
      </w:r>
    </w:p>
    <w:p w14:paraId="38733F5E" w14:textId="1FCBC383" w:rsidR="005441A8" w:rsidRPr="00964D3C" w:rsidRDefault="00964D3C" w:rsidP="002403B3">
      <w:pPr>
        <w:jc w:val="both"/>
        <w:rPr>
          <w:rFonts w:ascii="Times New Roman" w:hAnsi="Times New Roman" w:cs="Times New Roman"/>
          <w:sz w:val="28"/>
          <w:szCs w:val="28"/>
          <w:lang w:val="en-US"/>
        </w:rPr>
      </w:pPr>
      <w:r w:rsidRPr="00964D3C">
        <w:rPr>
          <w:rFonts w:ascii="Times New Roman" w:hAnsi="Times New Roman" w:cs="Times New Roman"/>
          <w:sz w:val="24"/>
          <w:szCs w:val="24"/>
          <w:lang w:val="en-US"/>
        </w:rPr>
        <w:t>12 November 2021</w:t>
      </w:r>
    </w:p>
    <w:p w14:paraId="769FF1A4" w14:textId="4BC17E5D" w:rsidR="001A3992" w:rsidRDefault="001A3992" w:rsidP="002403B3">
      <w:pPr>
        <w:pStyle w:val="Heading1"/>
        <w:spacing w:before="0" w:after="120"/>
        <w:ind w:left="0" w:firstLine="0"/>
        <w:jc w:val="both"/>
        <w:rPr>
          <w:rFonts w:ascii="Times New Roman" w:hAnsi="Times New Roman" w:cs="Times New Roman"/>
          <w:lang w:val="en-US"/>
        </w:rPr>
      </w:pPr>
      <w:r w:rsidRPr="009907EF">
        <w:rPr>
          <w:rFonts w:ascii="Times New Roman" w:hAnsi="Times New Roman" w:cs="Times New Roman"/>
          <w:lang w:val="en-US"/>
        </w:rPr>
        <w:t xml:space="preserve">Date of revision </w:t>
      </w:r>
    </w:p>
    <w:p w14:paraId="591996E4" w14:textId="7301C3EE" w:rsidR="005441A8" w:rsidRPr="00B374EF" w:rsidRDefault="005441A8" w:rsidP="002403B3">
      <w:pPr>
        <w:jc w:val="both"/>
        <w:rPr>
          <w:rFonts w:ascii="Times New Roman" w:hAnsi="Times New Roman" w:cs="Times New Roman"/>
          <w:sz w:val="24"/>
          <w:szCs w:val="24"/>
          <w:lang w:val="en-US"/>
        </w:rPr>
      </w:pPr>
      <w:r>
        <w:rPr>
          <w:rFonts w:ascii="Times New Roman" w:hAnsi="Times New Roman" w:cs="Times New Roman"/>
          <w:sz w:val="24"/>
          <w:szCs w:val="24"/>
          <w:lang w:val="en-US"/>
        </w:rPr>
        <w:t>N</w:t>
      </w:r>
      <w:r w:rsidR="00B374EF">
        <w:rPr>
          <w:rFonts w:ascii="Times New Roman" w:hAnsi="Times New Roman" w:cs="Times New Roman"/>
          <w:sz w:val="24"/>
          <w:szCs w:val="24"/>
          <w:lang w:val="en-US"/>
        </w:rPr>
        <w:t>ot Applicable</w:t>
      </w:r>
    </w:p>
    <w:p w14:paraId="71061158" w14:textId="77777777" w:rsidR="001A3992" w:rsidRPr="009907EF" w:rsidRDefault="001A3992" w:rsidP="002403B3">
      <w:pPr>
        <w:pStyle w:val="Heading2"/>
        <w:numPr>
          <w:ilvl w:val="0"/>
          <w:numId w:val="0"/>
        </w:numPr>
        <w:spacing w:before="0" w:after="120"/>
        <w:jc w:val="both"/>
        <w:rPr>
          <w:rFonts w:ascii="Times New Roman" w:hAnsi="Times New Roman" w:cs="Times New Roman"/>
          <w:lang w:val="en-US"/>
        </w:rPr>
      </w:pPr>
      <w:r w:rsidRPr="009907EF">
        <w:rPr>
          <w:rFonts w:ascii="Times New Roman" w:hAnsi="Times New Roman" w:cs="Times New Roman"/>
          <w:lang w:val="en-US"/>
        </w:rPr>
        <w:lastRenderedPageBreak/>
        <w:t>Summary table of changes</w:t>
      </w:r>
    </w:p>
    <w:tbl>
      <w:tblPr>
        <w:tblStyle w:val="LightGrid"/>
        <w:tblW w:w="0" w:type="auto"/>
        <w:tblCellMar>
          <w:top w:w="57" w:type="dxa"/>
          <w:bottom w:w="57" w:type="dxa"/>
        </w:tblCellMar>
        <w:tblLook w:val="06A0" w:firstRow="1" w:lastRow="0" w:firstColumn="1" w:lastColumn="0" w:noHBand="1" w:noVBand="1"/>
      </w:tblPr>
      <w:tblGrid>
        <w:gridCol w:w="1371"/>
        <w:gridCol w:w="7635"/>
      </w:tblGrid>
      <w:tr w:rsidR="00ED0937" w:rsidRPr="009907EF" w14:paraId="50CB720A" w14:textId="77777777" w:rsidTr="003350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F2F2F2" w:themeFill="background1" w:themeFillShade="F2"/>
            <w:vAlign w:val="center"/>
          </w:tcPr>
          <w:p w14:paraId="10D45BFA" w14:textId="77777777" w:rsidR="00ED0937" w:rsidRPr="009907EF" w:rsidRDefault="00ED0937" w:rsidP="002403B3">
            <w:pPr>
              <w:spacing w:line="276" w:lineRule="auto"/>
              <w:jc w:val="both"/>
              <w:rPr>
                <w:rFonts w:ascii="Times New Roman" w:hAnsi="Times New Roman" w:cs="Times New Roman"/>
                <w:sz w:val="20"/>
                <w:lang w:val="en-US"/>
              </w:rPr>
            </w:pPr>
            <w:r w:rsidRPr="009907EF">
              <w:rPr>
                <w:rFonts w:ascii="Times New Roman" w:hAnsi="Times New Roman" w:cs="Times New Roman"/>
                <w:sz w:val="20"/>
                <w:lang w:val="en-US"/>
              </w:rPr>
              <w:t>Section Changed</w:t>
            </w:r>
          </w:p>
        </w:tc>
        <w:tc>
          <w:tcPr>
            <w:tcW w:w="7858" w:type="dxa"/>
            <w:shd w:val="clear" w:color="auto" w:fill="F2F2F2" w:themeFill="background1" w:themeFillShade="F2"/>
            <w:vAlign w:val="center"/>
          </w:tcPr>
          <w:p w14:paraId="3DD934CD" w14:textId="77777777" w:rsidR="00ED0937" w:rsidRPr="009907EF" w:rsidRDefault="00ED0937" w:rsidP="002403B3">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sidRPr="009907EF">
              <w:rPr>
                <w:rFonts w:ascii="Times New Roman" w:hAnsi="Times New Roman" w:cs="Times New Roman"/>
                <w:sz w:val="20"/>
                <w:lang w:val="en-US"/>
              </w:rPr>
              <w:t>Summary of new information</w:t>
            </w:r>
          </w:p>
        </w:tc>
      </w:tr>
      <w:tr w:rsidR="00ED0937" w:rsidRPr="00B374EF" w14:paraId="66872F9A" w14:textId="77777777" w:rsidTr="0033503C">
        <w:tc>
          <w:tcPr>
            <w:cnfStyle w:val="001000000000" w:firstRow="0" w:lastRow="0" w:firstColumn="1" w:lastColumn="0" w:oddVBand="0" w:evenVBand="0" w:oddHBand="0" w:evenHBand="0" w:firstRowFirstColumn="0" w:firstRowLastColumn="0" w:lastRowFirstColumn="0" w:lastRowLastColumn="0"/>
            <w:tcW w:w="1384" w:type="dxa"/>
            <w:vAlign w:val="center"/>
          </w:tcPr>
          <w:p w14:paraId="27E2D41C" w14:textId="280E8920" w:rsidR="00ED0937" w:rsidRPr="00B374EF" w:rsidRDefault="00B374EF" w:rsidP="002403B3">
            <w:pPr>
              <w:spacing w:line="276" w:lineRule="auto"/>
              <w:jc w:val="both"/>
              <w:rPr>
                <w:rFonts w:ascii="Times New Roman" w:hAnsi="Times New Roman" w:cs="Times New Roman"/>
                <w:b w:val="0"/>
                <w:bCs w:val="0"/>
                <w:lang w:val="en-US"/>
              </w:rPr>
            </w:pPr>
            <w:r>
              <w:rPr>
                <w:rFonts w:ascii="Times New Roman" w:hAnsi="Times New Roman" w:cs="Times New Roman"/>
                <w:b w:val="0"/>
                <w:bCs w:val="0"/>
                <w:lang w:val="en-US"/>
              </w:rPr>
              <w:t>N/A</w:t>
            </w:r>
          </w:p>
        </w:tc>
        <w:tc>
          <w:tcPr>
            <w:tcW w:w="7858" w:type="dxa"/>
            <w:vAlign w:val="center"/>
          </w:tcPr>
          <w:p w14:paraId="43EFEDEB" w14:textId="1B44EBA1" w:rsidR="00ED0937" w:rsidRPr="00B374EF" w:rsidRDefault="00B374EF" w:rsidP="002403B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New Document</w:t>
            </w:r>
          </w:p>
        </w:tc>
      </w:tr>
    </w:tbl>
    <w:p w14:paraId="5D16C7AB" w14:textId="77777777" w:rsidR="001A3992" w:rsidRPr="009907EF" w:rsidRDefault="001A3992" w:rsidP="002403B3">
      <w:pPr>
        <w:spacing w:after="120"/>
        <w:jc w:val="both"/>
        <w:rPr>
          <w:rFonts w:ascii="Times New Roman" w:hAnsi="Times New Roman" w:cs="Times New Roman"/>
          <w:lang w:val="en-US"/>
        </w:rPr>
      </w:pPr>
    </w:p>
    <w:sectPr w:rsidR="001A3992" w:rsidRPr="009907EF">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9DE72A" w14:textId="77777777" w:rsidR="002E3373" w:rsidRDefault="002E3373" w:rsidP="001A3992">
      <w:pPr>
        <w:spacing w:after="0" w:line="240" w:lineRule="auto"/>
      </w:pPr>
      <w:r>
        <w:separator/>
      </w:r>
    </w:p>
  </w:endnote>
  <w:endnote w:type="continuationSeparator" w:id="0">
    <w:p w14:paraId="1722EDA2" w14:textId="77777777" w:rsidR="002E3373" w:rsidRDefault="002E3373" w:rsidP="001A3992">
      <w:pPr>
        <w:spacing w:after="0" w:line="240" w:lineRule="auto"/>
      </w:pPr>
      <w:r>
        <w:continuationSeparator/>
      </w:r>
    </w:p>
  </w:endnote>
  <w:endnote w:type="continuationNotice" w:id="1">
    <w:p w14:paraId="3C8D5DBB" w14:textId="77777777" w:rsidR="002E3373" w:rsidRDefault="002E33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orBidi">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HelveticaNeueLTStd-LtCn">
    <w:altName w:val="Yu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3163430"/>
      <w:docPartObj>
        <w:docPartGallery w:val="Page Numbers (Bottom of Page)"/>
        <w:docPartUnique/>
      </w:docPartObj>
    </w:sdtPr>
    <w:sdtEndPr>
      <w:rPr>
        <w:noProof/>
        <w:sz w:val="20"/>
      </w:rPr>
    </w:sdtEndPr>
    <w:sdtContent>
      <w:p w14:paraId="20CA7DB8" w14:textId="1AED8102" w:rsidR="00DE6EA0" w:rsidRPr="00B8074A" w:rsidRDefault="00DE6EA0" w:rsidP="0033503C">
        <w:pPr>
          <w:pStyle w:val="Footer"/>
          <w:jc w:val="right"/>
          <w:rPr>
            <w:sz w:val="20"/>
          </w:rPr>
        </w:pPr>
        <w:r w:rsidRPr="00B8074A">
          <w:rPr>
            <w:sz w:val="20"/>
          </w:rPr>
          <w:fldChar w:fldCharType="begin"/>
        </w:r>
        <w:r w:rsidRPr="00B8074A">
          <w:rPr>
            <w:sz w:val="20"/>
          </w:rPr>
          <w:instrText xml:space="preserve"> PAGE   \* MERGEFORMAT </w:instrText>
        </w:r>
        <w:r w:rsidRPr="00B8074A">
          <w:rPr>
            <w:sz w:val="20"/>
          </w:rPr>
          <w:fldChar w:fldCharType="separate"/>
        </w:r>
        <w:r w:rsidR="001245ED">
          <w:rPr>
            <w:noProof/>
            <w:sz w:val="20"/>
          </w:rPr>
          <w:t>16</w:t>
        </w:r>
        <w:r w:rsidRPr="00B8074A">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9C1325" w14:textId="77777777" w:rsidR="002E3373" w:rsidRDefault="002E3373" w:rsidP="001A3992">
      <w:pPr>
        <w:spacing w:after="0" w:line="240" w:lineRule="auto"/>
      </w:pPr>
      <w:r>
        <w:separator/>
      </w:r>
    </w:p>
  </w:footnote>
  <w:footnote w:type="continuationSeparator" w:id="0">
    <w:p w14:paraId="4866C916" w14:textId="77777777" w:rsidR="002E3373" w:rsidRDefault="002E3373" w:rsidP="001A3992">
      <w:pPr>
        <w:spacing w:after="0" w:line="240" w:lineRule="auto"/>
      </w:pPr>
      <w:r>
        <w:continuationSeparator/>
      </w:r>
    </w:p>
  </w:footnote>
  <w:footnote w:type="continuationNotice" w:id="1">
    <w:p w14:paraId="0941CC4D" w14:textId="77777777" w:rsidR="002E3373" w:rsidRDefault="002E33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shd w:val="clear" w:color="auto" w:fill="E4F2E0"/>
      <w:tblLook w:val="04A0" w:firstRow="1" w:lastRow="0" w:firstColumn="1" w:lastColumn="0" w:noHBand="0" w:noVBand="1"/>
    </w:tblPr>
    <w:tblGrid>
      <w:gridCol w:w="8720"/>
    </w:tblGrid>
    <w:tr w:rsidR="00BF2BB4" w14:paraId="74CF7500" w14:textId="77777777" w:rsidTr="00875DFF">
      <w:tc>
        <w:tcPr>
          <w:tcW w:w="8720" w:type="dxa"/>
          <w:shd w:val="clear" w:color="auto" w:fill="E4F2E0"/>
        </w:tcPr>
        <w:p w14:paraId="4B9D83A0" w14:textId="77777777" w:rsidR="00BF2BB4" w:rsidRPr="005051A0" w:rsidRDefault="00BF2BB4" w:rsidP="00BF2BB4">
          <w:pPr>
            <w:spacing w:before="40" w:after="40"/>
            <w:rPr>
              <w:b/>
              <w:sz w:val="18"/>
              <w:szCs w:val="18"/>
            </w:rPr>
          </w:pPr>
          <w:bookmarkStart w:id="30" w:name="_Hlk103070832"/>
          <w:r w:rsidRPr="005051A0">
            <w:rPr>
              <w:b/>
              <w:sz w:val="18"/>
              <w:szCs w:val="18"/>
            </w:rPr>
            <w:t xml:space="preserve">Attachment 1: Product information for </w:t>
          </w:r>
          <w:proofErr w:type="spellStart"/>
          <w:r w:rsidRPr="005051A0">
            <w:rPr>
              <w:b/>
              <w:sz w:val="18"/>
              <w:szCs w:val="18"/>
            </w:rPr>
            <w:t>AusPAR</w:t>
          </w:r>
          <w:proofErr w:type="spellEnd"/>
          <w:r w:rsidRPr="005051A0">
            <w:rPr>
              <w:b/>
              <w:sz w:val="18"/>
              <w:szCs w:val="18"/>
            </w:rPr>
            <w:t xml:space="preserve"> - </w:t>
          </w:r>
          <w:proofErr w:type="spellStart"/>
          <w:r w:rsidRPr="005051A0">
            <w:rPr>
              <w:b/>
              <w:sz w:val="18"/>
              <w:szCs w:val="18"/>
            </w:rPr>
            <w:t>Rholistiq</w:t>
          </w:r>
          <w:proofErr w:type="spellEnd"/>
          <w:r w:rsidRPr="005051A0">
            <w:rPr>
              <w:b/>
              <w:sz w:val="18"/>
              <w:szCs w:val="18"/>
            </w:rPr>
            <w:t xml:space="preserve"> – </w:t>
          </w:r>
          <w:proofErr w:type="spellStart"/>
          <w:r w:rsidRPr="005051A0">
            <w:rPr>
              <w:b/>
              <w:sz w:val="18"/>
              <w:szCs w:val="18"/>
            </w:rPr>
            <w:t>belumosudil</w:t>
          </w:r>
          <w:proofErr w:type="spellEnd"/>
          <w:r w:rsidRPr="005051A0">
            <w:rPr>
              <w:b/>
              <w:sz w:val="18"/>
              <w:szCs w:val="18"/>
            </w:rPr>
            <w:t xml:space="preserve"> - </w:t>
          </w:r>
          <w:proofErr w:type="spellStart"/>
          <w:r w:rsidRPr="005051A0">
            <w:rPr>
              <w:b/>
              <w:sz w:val="18"/>
              <w:szCs w:val="18"/>
            </w:rPr>
            <w:t>Kadmon</w:t>
          </w:r>
          <w:proofErr w:type="spellEnd"/>
          <w:r w:rsidRPr="005051A0">
            <w:rPr>
              <w:b/>
              <w:sz w:val="18"/>
              <w:szCs w:val="18"/>
            </w:rPr>
            <w:t xml:space="preserve"> Oceania Pty Ltd - PM-2020-05433-1-6 FINAL 5 May 2022. This is the Product Information that was approved with the submission described in this </w:t>
          </w:r>
          <w:proofErr w:type="spellStart"/>
          <w:r w:rsidRPr="005051A0">
            <w:rPr>
              <w:b/>
              <w:sz w:val="18"/>
              <w:szCs w:val="18"/>
            </w:rPr>
            <w:t>AusPAR</w:t>
          </w:r>
          <w:proofErr w:type="spellEnd"/>
          <w:r w:rsidRPr="005051A0">
            <w:rPr>
              <w:b/>
              <w:sz w:val="18"/>
              <w:szCs w:val="18"/>
            </w:rPr>
            <w:t>. It may have been superseded. For the most recent PI, please refer to the TGA website at &lt;</w:t>
          </w:r>
          <w:hyperlink r:id="rId1" w:history="1">
            <w:r w:rsidRPr="005051A0">
              <w:rPr>
                <w:rStyle w:val="Hyperlink"/>
                <w:b/>
                <w:sz w:val="18"/>
                <w:szCs w:val="18"/>
              </w:rPr>
              <w:t>https://www.tga.gov.au/product-information-pi</w:t>
            </w:r>
          </w:hyperlink>
          <w:r w:rsidRPr="005051A0">
            <w:rPr>
              <w:b/>
              <w:sz w:val="18"/>
              <w:szCs w:val="18"/>
            </w:rPr>
            <w:t>&gt;</w:t>
          </w:r>
          <w:bookmarkEnd w:id="30"/>
        </w:p>
      </w:tc>
    </w:tr>
  </w:tbl>
  <w:p w14:paraId="158F5950" w14:textId="77777777" w:rsidR="00BF2BB4" w:rsidRDefault="00BF2B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8425FA"/>
    <w:multiLevelType w:val="hybridMultilevel"/>
    <w:tmpl w:val="F03A9CD8"/>
    <w:lvl w:ilvl="0" w:tplc="52306576">
      <w:numFmt w:val="bullet"/>
      <w:lvlText w:val="-"/>
      <w:lvlJc w:val="left"/>
      <w:pPr>
        <w:ind w:left="720" w:hanging="360"/>
      </w:pPr>
      <w:rPr>
        <w:rFonts w:ascii="Arial" w:eastAsia="Calibr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A1768B"/>
    <w:multiLevelType w:val="hybridMultilevel"/>
    <w:tmpl w:val="980C8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3E610F"/>
    <w:multiLevelType w:val="multilevel"/>
    <w:tmpl w:val="E46CB826"/>
    <w:lvl w:ilvl="0">
      <w:start w:val="1"/>
      <w:numFmt w:val="decimal"/>
      <w:lvlText w:val="%1."/>
      <w:lvlJc w:val="left"/>
      <w:pPr>
        <w:tabs>
          <w:tab w:val="num" w:pos="360"/>
        </w:tabs>
        <w:ind w:left="360" w:hanging="360"/>
      </w:pPr>
      <w:rPr>
        <w:rFonts w:hint="default"/>
        <w:b w:val="0"/>
        <w:i w:val="0"/>
        <w:caps w:val="0"/>
        <w:smallCaps w:val="0"/>
        <w:strike w:val="0"/>
        <w:dstrike w:val="0"/>
        <w:vanish w:val="0"/>
        <w:color w:val="000000"/>
        <w:sz w:val="18"/>
        <w:szCs w:val="24"/>
        <w:u w:val="none"/>
        <w:vertAlign w:val="baseline"/>
      </w:rPr>
    </w:lvl>
    <w:lvl w:ilvl="1">
      <w:start w:val="1"/>
      <w:numFmt w:val="none"/>
      <w:suff w:val="nothing"/>
      <w:lvlText w:val=""/>
      <w:lvlJc w:val="left"/>
      <w:pPr>
        <w:ind w:left="360" w:firstLine="0"/>
      </w:pPr>
      <w:rPr>
        <w:rFonts w:hint="default"/>
      </w:rPr>
    </w:lvl>
    <w:lvl w:ilvl="2">
      <w:start w:val="1"/>
      <w:numFmt w:val="none"/>
      <w:lvlText w:val=""/>
      <w:lvlJc w:val="left"/>
      <w:pPr>
        <w:tabs>
          <w:tab w:val="num" w:pos="720"/>
        </w:tabs>
        <w:ind w:left="720" w:firstLine="0"/>
      </w:pPr>
      <w:rPr>
        <w:rFonts w:hint="default"/>
        <w:sz w:val="20"/>
      </w:rPr>
    </w:lvl>
    <w:lvl w:ilvl="3">
      <w:start w:val="1"/>
      <w:numFmt w:val="decimal"/>
      <w:lvlText w:val="%4."/>
      <w:lvlJc w:val="left"/>
      <w:pPr>
        <w:tabs>
          <w:tab w:val="num" w:pos="1872"/>
        </w:tabs>
        <w:ind w:left="1872" w:hanging="360"/>
      </w:pPr>
      <w:rPr>
        <w:rFonts w:hint="default"/>
      </w:rPr>
    </w:lvl>
    <w:lvl w:ilvl="4">
      <w:start w:val="1"/>
      <w:numFmt w:val="lowerLetter"/>
      <w:lvlText w:val="%5."/>
      <w:lvlJc w:val="left"/>
      <w:pPr>
        <w:tabs>
          <w:tab w:val="num" w:pos="2232"/>
        </w:tabs>
        <w:ind w:left="2232" w:hanging="360"/>
      </w:pPr>
      <w:rPr>
        <w:rFonts w:hint="default"/>
      </w:rPr>
    </w:lvl>
    <w:lvl w:ilvl="5">
      <w:start w:val="1"/>
      <w:numFmt w:val="lowerRoman"/>
      <w:lvlText w:val="%6."/>
      <w:lvlJc w:val="right"/>
      <w:pPr>
        <w:tabs>
          <w:tab w:val="num" w:pos="2592"/>
        </w:tabs>
        <w:ind w:left="2592" w:hanging="360"/>
      </w:pPr>
      <w:rPr>
        <w:rFonts w:hint="default"/>
      </w:rPr>
    </w:lvl>
    <w:lvl w:ilvl="6">
      <w:start w:val="1"/>
      <w:numFmt w:val="decimal"/>
      <w:lvlText w:val="%7."/>
      <w:lvlJc w:val="left"/>
      <w:pPr>
        <w:tabs>
          <w:tab w:val="num" w:pos="2952"/>
        </w:tabs>
        <w:ind w:left="2952" w:hanging="360"/>
      </w:pPr>
      <w:rPr>
        <w:rFonts w:hint="default"/>
      </w:rPr>
    </w:lvl>
    <w:lvl w:ilvl="7">
      <w:start w:val="1"/>
      <w:numFmt w:val="lowerLetter"/>
      <w:lvlText w:val="%8."/>
      <w:lvlJc w:val="left"/>
      <w:pPr>
        <w:tabs>
          <w:tab w:val="num" w:pos="3312"/>
        </w:tabs>
        <w:ind w:left="3312" w:hanging="360"/>
      </w:pPr>
      <w:rPr>
        <w:rFonts w:hint="default"/>
      </w:rPr>
    </w:lvl>
    <w:lvl w:ilvl="8">
      <w:start w:val="1"/>
      <w:numFmt w:val="lowerRoman"/>
      <w:lvlText w:val="%9."/>
      <w:lvlJc w:val="right"/>
      <w:pPr>
        <w:tabs>
          <w:tab w:val="num" w:pos="3672"/>
        </w:tabs>
        <w:ind w:left="3672" w:hanging="360"/>
      </w:pPr>
      <w:rPr>
        <w:rFonts w:hint="default"/>
      </w:rPr>
    </w:lvl>
  </w:abstractNum>
  <w:abstractNum w:abstractNumId="5" w15:restartNumberingAfterBreak="0">
    <w:nsid w:val="1DF335C3"/>
    <w:multiLevelType w:val="multilevel"/>
    <w:tmpl w:val="E46CB826"/>
    <w:lvl w:ilvl="0">
      <w:start w:val="1"/>
      <w:numFmt w:val="decimal"/>
      <w:lvlText w:val="%1."/>
      <w:lvlJc w:val="left"/>
      <w:pPr>
        <w:tabs>
          <w:tab w:val="num" w:pos="360"/>
        </w:tabs>
        <w:ind w:left="360" w:hanging="360"/>
      </w:pPr>
      <w:rPr>
        <w:rFonts w:hint="default"/>
        <w:b w:val="0"/>
        <w:i w:val="0"/>
        <w:caps w:val="0"/>
        <w:smallCaps w:val="0"/>
        <w:strike w:val="0"/>
        <w:dstrike w:val="0"/>
        <w:vanish w:val="0"/>
        <w:color w:val="000000"/>
        <w:sz w:val="18"/>
        <w:szCs w:val="24"/>
        <w:u w:val="none"/>
        <w:vertAlign w:val="baseline"/>
      </w:rPr>
    </w:lvl>
    <w:lvl w:ilvl="1">
      <w:start w:val="1"/>
      <w:numFmt w:val="none"/>
      <w:suff w:val="nothing"/>
      <w:lvlText w:val=""/>
      <w:lvlJc w:val="left"/>
      <w:pPr>
        <w:ind w:left="360" w:firstLine="0"/>
      </w:pPr>
      <w:rPr>
        <w:rFonts w:hint="default"/>
      </w:rPr>
    </w:lvl>
    <w:lvl w:ilvl="2">
      <w:start w:val="1"/>
      <w:numFmt w:val="none"/>
      <w:lvlText w:val=""/>
      <w:lvlJc w:val="left"/>
      <w:pPr>
        <w:tabs>
          <w:tab w:val="num" w:pos="720"/>
        </w:tabs>
        <w:ind w:left="720" w:firstLine="0"/>
      </w:pPr>
      <w:rPr>
        <w:rFonts w:hint="default"/>
        <w:sz w:val="20"/>
      </w:rPr>
    </w:lvl>
    <w:lvl w:ilvl="3">
      <w:start w:val="1"/>
      <w:numFmt w:val="decimal"/>
      <w:lvlText w:val="%4."/>
      <w:lvlJc w:val="left"/>
      <w:pPr>
        <w:tabs>
          <w:tab w:val="num" w:pos="1872"/>
        </w:tabs>
        <w:ind w:left="1872" w:hanging="360"/>
      </w:pPr>
      <w:rPr>
        <w:rFonts w:hint="default"/>
      </w:rPr>
    </w:lvl>
    <w:lvl w:ilvl="4">
      <w:start w:val="1"/>
      <w:numFmt w:val="lowerLetter"/>
      <w:lvlText w:val="%5."/>
      <w:lvlJc w:val="left"/>
      <w:pPr>
        <w:tabs>
          <w:tab w:val="num" w:pos="2232"/>
        </w:tabs>
        <w:ind w:left="2232" w:hanging="360"/>
      </w:pPr>
      <w:rPr>
        <w:rFonts w:hint="default"/>
      </w:rPr>
    </w:lvl>
    <w:lvl w:ilvl="5">
      <w:start w:val="1"/>
      <w:numFmt w:val="lowerRoman"/>
      <w:lvlText w:val="%6."/>
      <w:lvlJc w:val="right"/>
      <w:pPr>
        <w:tabs>
          <w:tab w:val="num" w:pos="2592"/>
        </w:tabs>
        <w:ind w:left="2592" w:hanging="360"/>
      </w:pPr>
      <w:rPr>
        <w:rFonts w:hint="default"/>
      </w:rPr>
    </w:lvl>
    <w:lvl w:ilvl="6">
      <w:start w:val="1"/>
      <w:numFmt w:val="decimal"/>
      <w:lvlText w:val="%7."/>
      <w:lvlJc w:val="left"/>
      <w:pPr>
        <w:tabs>
          <w:tab w:val="num" w:pos="2952"/>
        </w:tabs>
        <w:ind w:left="2952" w:hanging="360"/>
      </w:pPr>
      <w:rPr>
        <w:rFonts w:hint="default"/>
      </w:rPr>
    </w:lvl>
    <w:lvl w:ilvl="7">
      <w:start w:val="1"/>
      <w:numFmt w:val="lowerLetter"/>
      <w:lvlText w:val="%8."/>
      <w:lvlJc w:val="left"/>
      <w:pPr>
        <w:tabs>
          <w:tab w:val="num" w:pos="3312"/>
        </w:tabs>
        <w:ind w:left="3312" w:hanging="360"/>
      </w:pPr>
      <w:rPr>
        <w:rFonts w:hint="default"/>
      </w:rPr>
    </w:lvl>
    <w:lvl w:ilvl="8">
      <w:start w:val="1"/>
      <w:numFmt w:val="lowerRoman"/>
      <w:lvlText w:val="%9."/>
      <w:lvlJc w:val="right"/>
      <w:pPr>
        <w:tabs>
          <w:tab w:val="num" w:pos="3672"/>
        </w:tabs>
        <w:ind w:left="3672" w:hanging="360"/>
      </w:pPr>
      <w:rPr>
        <w:rFonts w:hint="default"/>
      </w:rPr>
    </w:lvl>
  </w:abstractNum>
  <w:abstractNum w:abstractNumId="6" w15:restartNumberingAfterBreak="0">
    <w:nsid w:val="1FB76A50"/>
    <w:multiLevelType w:val="multilevel"/>
    <w:tmpl w:val="E46CB826"/>
    <w:lvl w:ilvl="0">
      <w:start w:val="1"/>
      <w:numFmt w:val="decimal"/>
      <w:lvlText w:val="%1."/>
      <w:lvlJc w:val="left"/>
      <w:pPr>
        <w:tabs>
          <w:tab w:val="num" w:pos="360"/>
        </w:tabs>
        <w:ind w:left="360" w:hanging="360"/>
      </w:pPr>
      <w:rPr>
        <w:rFonts w:hint="default"/>
        <w:b w:val="0"/>
        <w:i w:val="0"/>
        <w:caps w:val="0"/>
        <w:smallCaps w:val="0"/>
        <w:strike w:val="0"/>
        <w:dstrike w:val="0"/>
        <w:vanish w:val="0"/>
        <w:color w:val="000000"/>
        <w:sz w:val="18"/>
        <w:szCs w:val="24"/>
        <w:u w:val="none"/>
        <w:vertAlign w:val="baseline"/>
      </w:rPr>
    </w:lvl>
    <w:lvl w:ilvl="1">
      <w:start w:val="1"/>
      <w:numFmt w:val="none"/>
      <w:suff w:val="nothing"/>
      <w:lvlText w:val=""/>
      <w:lvlJc w:val="left"/>
      <w:pPr>
        <w:ind w:left="360" w:firstLine="0"/>
      </w:pPr>
      <w:rPr>
        <w:rFonts w:hint="default"/>
      </w:rPr>
    </w:lvl>
    <w:lvl w:ilvl="2">
      <w:start w:val="1"/>
      <w:numFmt w:val="none"/>
      <w:lvlText w:val=""/>
      <w:lvlJc w:val="left"/>
      <w:pPr>
        <w:tabs>
          <w:tab w:val="num" w:pos="720"/>
        </w:tabs>
        <w:ind w:left="720" w:firstLine="0"/>
      </w:pPr>
      <w:rPr>
        <w:rFonts w:hint="default"/>
        <w:sz w:val="20"/>
      </w:rPr>
    </w:lvl>
    <w:lvl w:ilvl="3">
      <w:start w:val="1"/>
      <w:numFmt w:val="decimal"/>
      <w:lvlText w:val="%4."/>
      <w:lvlJc w:val="left"/>
      <w:pPr>
        <w:tabs>
          <w:tab w:val="num" w:pos="1872"/>
        </w:tabs>
        <w:ind w:left="1872" w:hanging="360"/>
      </w:pPr>
      <w:rPr>
        <w:rFonts w:hint="default"/>
      </w:rPr>
    </w:lvl>
    <w:lvl w:ilvl="4">
      <w:start w:val="1"/>
      <w:numFmt w:val="lowerLetter"/>
      <w:lvlText w:val="%5."/>
      <w:lvlJc w:val="left"/>
      <w:pPr>
        <w:tabs>
          <w:tab w:val="num" w:pos="2232"/>
        </w:tabs>
        <w:ind w:left="2232" w:hanging="360"/>
      </w:pPr>
      <w:rPr>
        <w:rFonts w:hint="default"/>
      </w:rPr>
    </w:lvl>
    <w:lvl w:ilvl="5">
      <w:start w:val="1"/>
      <w:numFmt w:val="lowerRoman"/>
      <w:lvlText w:val="%6."/>
      <w:lvlJc w:val="right"/>
      <w:pPr>
        <w:tabs>
          <w:tab w:val="num" w:pos="2592"/>
        </w:tabs>
        <w:ind w:left="2592" w:hanging="360"/>
      </w:pPr>
      <w:rPr>
        <w:rFonts w:hint="default"/>
      </w:rPr>
    </w:lvl>
    <w:lvl w:ilvl="6">
      <w:start w:val="1"/>
      <w:numFmt w:val="decimal"/>
      <w:lvlText w:val="%7."/>
      <w:lvlJc w:val="left"/>
      <w:pPr>
        <w:tabs>
          <w:tab w:val="num" w:pos="2952"/>
        </w:tabs>
        <w:ind w:left="2952" w:hanging="360"/>
      </w:pPr>
      <w:rPr>
        <w:rFonts w:hint="default"/>
      </w:rPr>
    </w:lvl>
    <w:lvl w:ilvl="7">
      <w:start w:val="1"/>
      <w:numFmt w:val="lowerLetter"/>
      <w:lvlText w:val="%8."/>
      <w:lvlJc w:val="left"/>
      <w:pPr>
        <w:tabs>
          <w:tab w:val="num" w:pos="3312"/>
        </w:tabs>
        <w:ind w:left="3312" w:hanging="360"/>
      </w:pPr>
      <w:rPr>
        <w:rFonts w:hint="default"/>
      </w:rPr>
    </w:lvl>
    <w:lvl w:ilvl="8">
      <w:start w:val="1"/>
      <w:numFmt w:val="lowerRoman"/>
      <w:lvlText w:val="%9."/>
      <w:lvlJc w:val="right"/>
      <w:pPr>
        <w:tabs>
          <w:tab w:val="num" w:pos="3672"/>
        </w:tabs>
        <w:ind w:left="3672" w:hanging="360"/>
      </w:pPr>
      <w:rPr>
        <w:rFonts w:hint="default"/>
      </w:rPr>
    </w:lvl>
  </w:abstractNum>
  <w:abstractNum w:abstractNumId="7"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546855"/>
    <w:multiLevelType w:val="hybridMultilevel"/>
    <w:tmpl w:val="B100E88C"/>
    <w:lvl w:ilvl="0" w:tplc="59F22624">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8A44416"/>
    <w:multiLevelType w:val="hybridMultilevel"/>
    <w:tmpl w:val="79C05F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SimSun" w:hAnsi="SimSun" w:cs="SimSun" w:hint="default"/>
      </w:rPr>
    </w:lvl>
    <w:lvl w:ilvl="2" w:tplc="04090005" w:tentative="1">
      <w:start w:val="1"/>
      <w:numFmt w:val="bullet"/>
      <w:lvlText w:val=""/>
      <w:lvlJc w:val="left"/>
      <w:pPr>
        <w:ind w:left="1800" w:hanging="360"/>
      </w:pPr>
      <w:rPr>
        <w:rFonts w:ascii="Arial" w:hAnsi="Arial" w:hint="default"/>
      </w:rPr>
    </w:lvl>
    <w:lvl w:ilvl="3" w:tplc="04090001" w:tentative="1">
      <w:start w:val="1"/>
      <w:numFmt w:val="bullet"/>
      <w:lvlText w:val=""/>
      <w:lvlJc w:val="left"/>
      <w:pPr>
        <w:ind w:left="2520" w:hanging="360"/>
      </w:pPr>
      <w:rPr>
        <w:rFonts w:ascii="minorBidi" w:hAnsi="minorBidi" w:hint="default"/>
      </w:rPr>
    </w:lvl>
    <w:lvl w:ilvl="4" w:tplc="04090003" w:tentative="1">
      <w:start w:val="1"/>
      <w:numFmt w:val="bullet"/>
      <w:lvlText w:val="o"/>
      <w:lvlJc w:val="left"/>
      <w:pPr>
        <w:ind w:left="3240" w:hanging="360"/>
      </w:pPr>
      <w:rPr>
        <w:rFonts w:ascii="SimSun" w:hAnsi="SimSun" w:cs="SimSun" w:hint="default"/>
      </w:rPr>
    </w:lvl>
    <w:lvl w:ilvl="5" w:tplc="04090005" w:tentative="1">
      <w:start w:val="1"/>
      <w:numFmt w:val="bullet"/>
      <w:lvlText w:val=""/>
      <w:lvlJc w:val="left"/>
      <w:pPr>
        <w:ind w:left="3960" w:hanging="360"/>
      </w:pPr>
      <w:rPr>
        <w:rFonts w:ascii="Arial" w:hAnsi="Arial" w:hint="default"/>
      </w:rPr>
    </w:lvl>
    <w:lvl w:ilvl="6" w:tplc="04090001" w:tentative="1">
      <w:start w:val="1"/>
      <w:numFmt w:val="bullet"/>
      <w:lvlText w:val=""/>
      <w:lvlJc w:val="left"/>
      <w:pPr>
        <w:ind w:left="4680" w:hanging="360"/>
      </w:pPr>
      <w:rPr>
        <w:rFonts w:ascii="minorBidi" w:hAnsi="minorBidi" w:hint="default"/>
      </w:rPr>
    </w:lvl>
    <w:lvl w:ilvl="7" w:tplc="04090003" w:tentative="1">
      <w:start w:val="1"/>
      <w:numFmt w:val="bullet"/>
      <w:lvlText w:val="o"/>
      <w:lvlJc w:val="left"/>
      <w:pPr>
        <w:ind w:left="5400" w:hanging="360"/>
      </w:pPr>
      <w:rPr>
        <w:rFonts w:ascii="SimSun" w:hAnsi="SimSun" w:cs="SimSun" w:hint="default"/>
      </w:rPr>
    </w:lvl>
    <w:lvl w:ilvl="8" w:tplc="04090005" w:tentative="1">
      <w:start w:val="1"/>
      <w:numFmt w:val="bullet"/>
      <w:lvlText w:val=""/>
      <w:lvlJc w:val="left"/>
      <w:pPr>
        <w:ind w:left="6120" w:hanging="360"/>
      </w:pPr>
      <w:rPr>
        <w:rFonts w:ascii="Arial" w:hAnsi="Arial" w:hint="default"/>
      </w:rPr>
    </w:lvl>
  </w:abstractNum>
  <w:abstractNum w:abstractNumId="10" w15:restartNumberingAfterBreak="0">
    <w:nsid w:val="2B6D409E"/>
    <w:multiLevelType w:val="hybridMultilevel"/>
    <w:tmpl w:val="38BA9526"/>
    <w:lvl w:ilvl="0" w:tplc="59F22624">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BA049A0"/>
    <w:multiLevelType w:val="hybridMultilevel"/>
    <w:tmpl w:val="91F28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0F181E"/>
    <w:multiLevelType w:val="hybridMultilevel"/>
    <w:tmpl w:val="CEBEE0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416B4A"/>
    <w:multiLevelType w:val="multilevel"/>
    <w:tmpl w:val="E46CB826"/>
    <w:lvl w:ilvl="0">
      <w:start w:val="1"/>
      <w:numFmt w:val="decimal"/>
      <w:lvlText w:val="%1."/>
      <w:lvlJc w:val="left"/>
      <w:pPr>
        <w:tabs>
          <w:tab w:val="num" w:pos="360"/>
        </w:tabs>
        <w:ind w:left="360" w:hanging="360"/>
      </w:pPr>
      <w:rPr>
        <w:rFonts w:hint="default"/>
        <w:b w:val="0"/>
        <w:i w:val="0"/>
        <w:caps w:val="0"/>
        <w:smallCaps w:val="0"/>
        <w:strike w:val="0"/>
        <w:dstrike w:val="0"/>
        <w:vanish w:val="0"/>
        <w:color w:val="000000"/>
        <w:sz w:val="18"/>
        <w:szCs w:val="24"/>
        <w:u w:val="none"/>
        <w:vertAlign w:val="baseline"/>
      </w:rPr>
    </w:lvl>
    <w:lvl w:ilvl="1">
      <w:start w:val="1"/>
      <w:numFmt w:val="none"/>
      <w:suff w:val="nothing"/>
      <w:lvlText w:val=""/>
      <w:lvlJc w:val="left"/>
      <w:pPr>
        <w:ind w:left="360" w:firstLine="0"/>
      </w:pPr>
      <w:rPr>
        <w:rFonts w:hint="default"/>
      </w:rPr>
    </w:lvl>
    <w:lvl w:ilvl="2">
      <w:start w:val="1"/>
      <w:numFmt w:val="none"/>
      <w:lvlText w:val=""/>
      <w:lvlJc w:val="left"/>
      <w:pPr>
        <w:tabs>
          <w:tab w:val="num" w:pos="720"/>
        </w:tabs>
        <w:ind w:left="720" w:firstLine="0"/>
      </w:pPr>
      <w:rPr>
        <w:rFonts w:hint="default"/>
        <w:sz w:val="20"/>
      </w:rPr>
    </w:lvl>
    <w:lvl w:ilvl="3">
      <w:start w:val="1"/>
      <w:numFmt w:val="decimal"/>
      <w:lvlText w:val="%4."/>
      <w:lvlJc w:val="left"/>
      <w:pPr>
        <w:tabs>
          <w:tab w:val="num" w:pos="1872"/>
        </w:tabs>
        <w:ind w:left="1872" w:hanging="360"/>
      </w:pPr>
      <w:rPr>
        <w:rFonts w:hint="default"/>
      </w:rPr>
    </w:lvl>
    <w:lvl w:ilvl="4">
      <w:start w:val="1"/>
      <w:numFmt w:val="lowerLetter"/>
      <w:lvlText w:val="%5."/>
      <w:lvlJc w:val="left"/>
      <w:pPr>
        <w:tabs>
          <w:tab w:val="num" w:pos="2232"/>
        </w:tabs>
        <w:ind w:left="2232" w:hanging="360"/>
      </w:pPr>
      <w:rPr>
        <w:rFonts w:hint="default"/>
      </w:rPr>
    </w:lvl>
    <w:lvl w:ilvl="5">
      <w:start w:val="1"/>
      <w:numFmt w:val="lowerRoman"/>
      <w:lvlText w:val="%6."/>
      <w:lvlJc w:val="right"/>
      <w:pPr>
        <w:tabs>
          <w:tab w:val="num" w:pos="2592"/>
        </w:tabs>
        <w:ind w:left="2592" w:hanging="360"/>
      </w:pPr>
      <w:rPr>
        <w:rFonts w:hint="default"/>
      </w:rPr>
    </w:lvl>
    <w:lvl w:ilvl="6">
      <w:start w:val="1"/>
      <w:numFmt w:val="decimal"/>
      <w:lvlText w:val="%7."/>
      <w:lvlJc w:val="left"/>
      <w:pPr>
        <w:tabs>
          <w:tab w:val="num" w:pos="2952"/>
        </w:tabs>
        <w:ind w:left="2952" w:hanging="360"/>
      </w:pPr>
      <w:rPr>
        <w:rFonts w:hint="default"/>
      </w:rPr>
    </w:lvl>
    <w:lvl w:ilvl="7">
      <w:start w:val="1"/>
      <w:numFmt w:val="lowerLetter"/>
      <w:lvlText w:val="%8."/>
      <w:lvlJc w:val="left"/>
      <w:pPr>
        <w:tabs>
          <w:tab w:val="num" w:pos="3312"/>
        </w:tabs>
        <w:ind w:left="3312" w:hanging="360"/>
      </w:pPr>
      <w:rPr>
        <w:rFonts w:hint="default"/>
      </w:rPr>
    </w:lvl>
    <w:lvl w:ilvl="8">
      <w:start w:val="1"/>
      <w:numFmt w:val="lowerRoman"/>
      <w:lvlText w:val="%9."/>
      <w:lvlJc w:val="right"/>
      <w:pPr>
        <w:tabs>
          <w:tab w:val="num" w:pos="3672"/>
        </w:tabs>
        <w:ind w:left="3672" w:hanging="360"/>
      </w:pPr>
      <w:rPr>
        <w:rFonts w:hint="default"/>
      </w:rPr>
    </w:lvl>
  </w:abstractNum>
  <w:abstractNum w:abstractNumId="14" w15:restartNumberingAfterBreak="0">
    <w:nsid w:val="4500669F"/>
    <w:multiLevelType w:val="hybridMultilevel"/>
    <w:tmpl w:val="4B02DB64"/>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5" w15:restartNumberingAfterBreak="0">
    <w:nsid w:val="46573118"/>
    <w:multiLevelType w:val="hybridMultilevel"/>
    <w:tmpl w:val="5346FC90"/>
    <w:lvl w:ilvl="0" w:tplc="200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652973"/>
    <w:multiLevelType w:val="hybridMultilevel"/>
    <w:tmpl w:val="980C8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BD7FF0"/>
    <w:multiLevelType w:val="hybridMultilevel"/>
    <w:tmpl w:val="35EAB094"/>
    <w:lvl w:ilvl="0" w:tplc="1A1892B8">
      <w:start w:val="16"/>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B691D73"/>
    <w:multiLevelType w:val="hybridMultilevel"/>
    <w:tmpl w:val="EF622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8B910C7"/>
    <w:multiLevelType w:val="multilevel"/>
    <w:tmpl w:val="E46CB826"/>
    <w:lvl w:ilvl="0">
      <w:start w:val="1"/>
      <w:numFmt w:val="decimal"/>
      <w:lvlText w:val="%1."/>
      <w:lvlJc w:val="left"/>
      <w:pPr>
        <w:tabs>
          <w:tab w:val="num" w:pos="360"/>
        </w:tabs>
        <w:ind w:left="360" w:hanging="360"/>
      </w:pPr>
      <w:rPr>
        <w:rFonts w:hint="default"/>
        <w:b w:val="0"/>
        <w:i w:val="0"/>
        <w:caps w:val="0"/>
        <w:smallCaps w:val="0"/>
        <w:strike w:val="0"/>
        <w:dstrike w:val="0"/>
        <w:vanish w:val="0"/>
        <w:color w:val="000000"/>
        <w:sz w:val="18"/>
        <w:szCs w:val="24"/>
        <w:u w:val="none"/>
        <w:vertAlign w:val="baseline"/>
      </w:rPr>
    </w:lvl>
    <w:lvl w:ilvl="1">
      <w:start w:val="1"/>
      <w:numFmt w:val="none"/>
      <w:suff w:val="nothing"/>
      <w:lvlText w:val=""/>
      <w:lvlJc w:val="left"/>
      <w:pPr>
        <w:ind w:left="360" w:firstLine="0"/>
      </w:pPr>
      <w:rPr>
        <w:rFonts w:hint="default"/>
      </w:rPr>
    </w:lvl>
    <w:lvl w:ilvl="2">
      <w:start w:val="1"/>
      <w:numFmt w:val="none"/>
      <w:lvlText w:val=""/>
      <w:lvlJc w:val="left"/>
      <w:pPr>
        <w:tabs>
          <w:tab w:val="num" w:pos="720"/>
        </w:tabs>
        <w:ind w:left="720" w:firstLine="0"/>
      </w:pPr>
      <w:rPr>
        <w:rFonts w:hint="default"/>
        <w:sz w:val="20"/>
      </w:rPr>
    </w:lvl>
    <w:lvl w:ilvl="3">
      <w:start w:val="1"/>
      <w:numFmt w:val="decimal"/>
      <w:lvlText w:val="%4."/>
      <w:lvlJc w:val="left"/>
      <w:pPr>
        <w:tabs>
          <w:tab w:val="num" w:pos="1872"/>
        </w:tabs>
        <w:ind w:left="1872" w:hanging="360"/>
      </w:pPr>
      <w:rPr>
        <w:rFonts w:hint="default"/>
      </w:rPr>
    </w:lvl>
    <w:lvl w:ilvl="4">
      <w:start w:val="1"/>
      <w:numFmt w:val="lowerLetter"/>
      <w:lvlText w:val="%5."/>
      <w:lvlJc w:val="left"/>
      <w:pPr>
        <w:tabs>
          <w:tab w:val="num" w:pos="2232"/>
        </w:tabs>
        <w:ind w:left="2232" w:hanging="360"/>
      </w:pPr>
      <w:rPr>
        <w:rFonts w:hint="default"/>
      </w:rPr>
    </w:lvl>
    <w:lvl w:ilvl="5">
      <w:start w:val="1"/>
      <w:numFmt w:val="lowerRoman"/>
      <w:lvlText w:val="%6."/>
      <w:lvlJc w:val="right"/>
      <w:pPr>
        <w:tabs>
          <w:tab w:val="num" w:pos="2592"/>
        </w:tabs>
        <w:ind w:left="2592" w:hanging="360"/>
      </w:pPr>
      <w:rPr>
        <w:rFonts w:hint="default"/>
      </w:rPr>
    </w:lvl>
    <w:lvl w:ilvl="6">
      <w:start w:val="1"/>
      <w:numFmt w:val="decimal"/>
      <w:lvlText w:val="%7."/>
      <w:lvlJc w:val="left"/>
      <w:pPr>
        <w:tabs>
          <w:tab w:val="num" w:pos="2952"/>
        </w:tabs>
        <w:ind w:left="2952" w:hanging="360"/>
      </w:pPr>
      <w:rPr>
        <w:rFonts w:hint="default"/>
      </w:rPr>
    </w:lvl>
    <w:lvl w:ilvl="7">
      <w:start w:val="1"/>
      <w:numFmt w:val="lowerLetter"/>
      <w:lvlText w:val="%8."/>
      <w:lvlJc w:val="left"/>
      <w:pPr>
        <w:tabs>
          <w:tab w:val="num" w:pos="3312"/>
        </w:tabs>
        <w:ind w:left="3312" w:hanging="360"/>
      </w:pPr>
      <w:rPr>
        <w:rFonts w:hint="default"/>
      </w:rPr>
    </w:lvl>
    <w:lvl w:ilvl="8">
      <w:start w:val="1"/>
      <w:numFmt w:val="lowerRoman"/>
      <w:lvlText w:val="%9."/>
      <w:lvlJc w:val="right"/>
      <w:pPr>
        <w:tabs>
          <w:tab w:val="num" w:pos="3672"/>
        </w:tabs>
        <w:ind w:left="3672" w:hanging="360"/>
      </w:pPr>
      <w:rPr>
        <w:rFonts w:hint="default"/>
      </w:rPr>
    </w:lvl>
  </w:abstractNum>
  <w:abstractNum w:abstractNumId="26"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2"/>
  </w:num>
  <w:num w:numId="3">
    <w:abstractNumId w:val="0"/>
  </w:num>
  <w:num w:numId="4">
    <w:abstractNumId w:val="18"/>
  </w:num>
  <w:num w:numId="5">
    <w:abstractNumId w:val="26"/>
  </w:num>
  <w:num w:numId="6">
    <w:abstractNumId w:val="23"/>
  </w:num>
  <w:num w:numId="7">
    <w:abstractNumId w:val="21"/>
  </w:num>
  <w:num w:numId="8">
    <w:abstractNumId w:val="24"/>
  </w:num>
  <w:num w:numId="9">
    <w:abstractNumId w:val="7"/>
  </w:num>
  <w:num w:numId="10">
    <w:abstractNumId w:val="20"/>
  </w:num>
  <w:num w:numId="11">
    <w:abstractNumId w:val="16"/>
  </w:num>
  <w:num w:numId="12">
    <w:abstractNumId w:val="3"/>
  </w:num>
  <w:num w:numId="13">
    <w:abstractNumId w:val="17"/>
  </w:num>
  <w:num w:numId="14">
    <w:abstractNumId w:val="14"/>
  </w:num>
  <w:num w:numId="15">
    <w:abstractNumId w:val="25"/>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6"/>
  </w:num>
  <w:num w:numId="22">
    <w:abstractNumId w:val="13"/>
  </w:num>
  <w:num w:numId="23">
    <w:abstractNumId w:val="5"/>
  </w:num>
  <w:num w:numId="24">
    <w:abstractNumId w:val="4"/>
  </w:num>
  <w:num w:numId="25">
    <w:abstractNumId w:val="1"/>
  </w:num>
  <w:num w:numId="26">
    <w:abstractNumId w:val="15"/>
  </w:num>
  <w:num w:numId="27">
    <w:abstractNumId w:val="11"/>
  </w:num>
  <w:num w:numId="28">
    <w:abstractNumId w:val="19"/>
  </w:num>
  <w:num w:numId="29">
    <w:abstractNumId w:val="8"/>
  </w:num>
  <w:num w:numId="30">
    <w:abstractNumId w:val="12"/>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8BF"/>
    <w:rsid w:val="00001246"/>
    <w:rsid w:val="00001438"/>
    <w:rsid w:val="00002472"/>
    <w:rsid w:val="0000396D"/>
    <w:rsid w:val="000042C9"/>
    <w:rsid w:val="00004819"/>
    <w:rsid w:val="00004A0F"/>
    <w:rsid w:val="00004FD2"/>
    <w:rsid w:val="0000751F"/>
    <w:rsid w:val="00007C77"/>
    <w:rsid w:val="00010657"/>
    <w:rsid w:val="0001103B"/>
    <w:rsid w:val="00021572"/>
    <w:rsid w:val="00024396"/>
    <w:rsid w:val="00024585"/>
    <w:rsid w:val="00024B15"/>
    <w:rsid w:val="00026CEE"/>
    <w:rsid w:val="00027607"/>
    <w:rsid w:val="000300BB"/>
    <w:rsid w:val="00035175"/>
    <w:rsid w:val="00035D50"/>
    <w:rsid w:val="00037DF6"/>
    <w:rsid w:val="00037FA0"/>
    <w:rsid w:val="000400A5"/>
    <w:rsid w:val="000412DF"/>
    <w:rsid w:val="00041F6B"/>
    <w:rsid w:val="00042404"/>
    <w:rsid w:val="00042F05"/>
    <w:rsid w:val="00043B25"/>
    <w:rsid w:val="0004691A"/>
    <w:rsid w:val="00046CD9"/>
    <w:rsid w:val="0004710E"/>
    <w:rsid w:val="00047476"/>
    <w:rsid w:val="000514F9"/>
    <w:rsid w:val="0005192A"/>
    <w:rsid w:val="00051E84"/>
    <w:rsid w:val="0005249E"/>
    <w:rsid w:val="00053BCD"/>
    <w:rsid w:val="00054CB5"/>
    <w:rsid w:val="000554F6"/>
    <w:rsid w:val="0005633B"/>
    <w:rsid w:val="00057EA1"/>
    <w:rsid w:val="000601FA"/>
    <w:rsid w:val="0006072F"/>
    <w:rsid w:val="00062256"/>
    <w:rsid w:val="0006350D"/>
    <w:rsid w:val="000646E8"/>
    <w:rsid w:val="00066CFC"/>
    <w:rsid w:val="00072739"/>
    <w:rsid w:val="0007446F"/>
    <w:rsid w:val="0007486C"/>
    <w:rsid w:val="0008036F"/>
    <w:rsid w:val="00080AE5"/>
    <w:rsid w:val="00080E9B"/>
    <w:rsid w:val="000841E3"/>
    <w:rsid w:val="00084D74"/>
    <w:rsid w:val="00084E05"/>
    <w:rsid w:val="000858B6"/>
    <w:rsid w:val="000862EA"/>
    <w:rsid w:val="00086774"/>
    <w:rsid w:val="000932ED"/>
    <w:rsid w:val="000956FF"/>
    <w:rsid w:val="0009660E"/>
    <w:rsid w:val="000A25C9"/>
    <w:rsid w:val="000A2EC2"/>
    <w:rsid w:val="000A38FD"/>
    <w:rsid w:val="000A44F5"/>
    <w:rsid w:val="000A5A34"/>
    <w:rsid w:val="000A729B"/>
    <w:rsid w:val="000A73E0"/>
    <w:rsid w:val="000A7614"/>
    <w:rsid w:val="000B12AC"/>
    <w:rsid w:val="000B1C58"/>
    <w:rsid w:val="000B1F65"/>
    <w:rsid w:val="000B2E9F"/>
    <w:rsid w:val="000B3794"/>
    <w:rsid w:val="000B441B"/>
    <w:rsid w:val="000B5D96"/>
    <w:rsid w:val="000C0A8B"/>
    <w:rsid w:val="000C2C50"/>
    <w:rsid w:val="000C3513"/>
    <w:rsid w:val="000C6889"/>
    <w:rsid w:val="000C6F97"/>
    <w:rsid w:val="000D2DC3"/>
    <w:rsid w:val="000D422C"/>
    <w:rsid w:val="000D6EBE"/>
    <w:rsid w:val="000D79D4"/>
    <w:rsid w:val="000E38EB"/>
    <w:rsid w:val="000E58E5"/>
    <w:rsid w:val="000E60F3"/>
    <w:rsid w:val="000E6B74"/>
    <w:rsid w:val="000F2001"/>
    <w:rsid w:val="000F2C7A"/>
    <w:rsid w:val="000F3F33"/>
    <w:rsid w:val="000F5E33"/>
    <w:rsid w:val="000F6D8D"/>
    <w:rsid w:val="001020E3"/>
    <w:rsid w:val="0010270B"/>
    <w:rsid w:val="00102F6D"/>
    <w:rsid w:val="00104C44"/>
    <w:rsid w:val="001052CF"/>
    <w:rsid w:val="0010588A"/>
    <w:rsid w:val="00105D59"/>
    <w:rsid w:val="00106319"/>
    <w:rsid w:val="00110617"/>
    <w:rsid w:val="0011293C"/>
    <w:rsid w:val="00112B2A"/>
    <w:rsid w:val="00114D17"/>
    <w:rsid w:val="00114F46"/>
    <w:rsid w:val="00115DAB"/>
    <w:rsid w:val="00116AF6"/>
    <w:rsid w:val="00117B69"/>
    <w:rsid w:val="00121557"/>
    <w:rsid w:val="00121994"/>
    <w:rsid w:val="00121EE5"/>
    <w:rsid w:val="0012379C"/>
    <w:rsid w:val="001245ED"/>
    <w:rsid w:val="00125A7F"/>
    <w:rsid w:val="00126EF1"/>
    <w:rsid w:val="001271B9"/>
    <w:rsid w:val="001277E9"/>
    <w:rsid w:val="00127FB8"/>
    <w:rsid w:val="001305A9"/>
    <w:rsid w:val="00130F68"/>
    <w:rsid w:val="0013102D"/>
    <w:rsid w:val="00133862"/>
    <w:rsid w:val="00136174"/>
    <w:rsid w:val="001402C4"/>
    <w:rsid w:val="00141F66"/>
    <w:rsid w:val="00142BA7"/>
    <w:rsid w:val="00144B03"/>
    <w:rsid w:val="00146948"/>
    <w:rsid w:val="0015180B"/>
    <w:rsid w:val="00151C1E"/>
    <w:rsid w:val="00154341"/>
    <w:rsid w:val="00155EFE"/>
    <w:rsid w:val="001600B8"/>
    <w:rsid w:val="00162949"/>
    <w:rsid w:val="00164BF1"/>
    <w:rsid w:val="00170673"/>
    <w:rsid w:val="0017434D"/>
    <w:rsid w:val="00174F31"/>
    <w:rsid w:val="00176061"/>
    <w:rsid w:val="00177992"/>
    <w:rsid w:val="00181882"/>
    <w:rsid w:val="00183121"/>
    <w:rsid w:val="00183265"/>
    <w:rsid w:val="001842B3"/>
    <w:rsid w:val="00185476"/>
    <w:rsid w:val="00185BF0"/>
    <w:rsid w:val="00186BBB"/>
    <w:rsid w:val="001906A1"/>
    <w:rsid w:val="00190B13"/>
    <w:rsid w:val="00191B43"/>
    <w:rsid w:val="0019324F"/>
    <w:rsid w:val="00193FB9"/>
    <w:rsid w:val="00194BC7"/>
    <w:rsid w:val="00196A96"/>
    <w:rsid w:val="001A066D"/>
    <w:rsid w:val="001A3992"/>
    <w:rsid w:val="001A3B5C"/>
    <w:rsid w:val="001A4A41"/>
    <w:rsid w:val="001B06F4"/>
    <w:rsid w:val="001B1257"/>
    <w:rsid w:val="001B1ACA"/>
    <w:rsid w:val="001B241A"/>
    <w:rsid w:val="001B2D9F"/>
    <w:rsid w:val="001B5386"/>
    <w:rsid w:val="001B5CB6"/>
    <w:rsid w:val="001B6913"/>
    <w:rsid w:val="001B6A27"/>
    <w:rsid w:val="001B6AA1"/>
    <w:rsid w:val="001C15DB"/>
    <w:rsid w:val="001C288C"/>
    <w:rsid w:val="001C2D11"/>
    <w:rsid w:val="001C460C"/>
    <w:rsid w:val="001C501F"/>
    <w:rsid w:val="001C5152"/>
    <w:rsid w:val="001C6E2D"/>
    <w:rsid w:val="001D15A8"/>
    <w:rsid w:val="001D1C09"/>
    <w:rsid w:val="001D30AA"/>
    <w:rsid w:val="001D4590"/>
    <w:rsid w:val="001D5C09"/>
    <w:rsid w:val="001D6407"/>
    <w:rsid w:val="001D6B55"/>
    <w:rsid w:val="001D75B7"/>
    <w:rsid w:val="001E1142"/>
    <w:rsid w:val="001E1FA8"/>
    <w:rsid w:val="001E1FAD"/>
    <w:rsid w:val="001E3811"/>
    <w:rsid w:val="001E3C6B"/>
    <w:rsid w:val="001E3DFC"/>
    <w:rsid w:val="001F2BCD"/>
    <w:rsid w:val="001F555F"/>
    <w:rsid w:val="001F5E5F"/>
    <w:rsid w:val="001F61E7"/>
    <w:rsid w:val="001F7FEA"/>
    <w:rsid w:val="002002A7"/>
    <w:rsid w:val="0020077A"/>
    <w:rsid w:val="002031AF"/>
    <w:rsid w:val="00203795"/>
    <w:rsid w:val="00203CFC"/>
    <w:rsid w:val="00204D82"/>
    <w:rsid w:val="00205831"/>
    <w:rsid w:val="002071C3"/>
    <w:rsid w:val="00211DD3"/>
    <w:rsid w:val="00211EBD"/>
    <w:rsid w:val="00214DB7"/>
    <w:rsid w:val="0021516F"/>
    <w:rsid w:val="00215CE2"/>
    <w:rsid w:val="0021695D"/>
    <w:rsid w:val="002210FB"/>
    <w:rsid w:val="00222C5A"/>
    <w:rsid w:val="00224582"/>
    <w:rsid w:val="00224E11"/>
    <w:rsid w:val="00227425"/>
    <w:rsid w:val="0023068A"/>
    <w:rsid w:val="00230BD7"/>
    <w:rsid w:val="00230E11"/>
    <w:rsid w:val="00232854"/>
    <w:rsid w:val="00232C0F"/>
    <w:rsid w:val="002330A5"/>
    <w:rsid w:val="00236D8D"/>
    <w:rsid w:val="00236E98"/>
    <w:rsid w:val="002372D7"/>
    <w:rsid w:val="00237BD9"/>
    <w:rsid w:val="002403B3"/>
    <w:rsid w:val="00240DCF"/>
    <w:rsid w:val="00240EA4"/>
    <w:rsid w:val="002421CF"/>
    <w:rsid w:val="00242360"/>
    <w:rsid w:val="002427AC"/>
    <w:rsid w:val="0024324F"/>
    <w:rsid w:val="002432BA"/>
    <w:rsid w:val="00243B41"/>
    <w:rsid w:val="00244E9C"/>
    <w:rsid w:val="00245417"/>
    <w:rsid w:val="002455F7"/>
    <w:rsid w:val="00246D16"/>
    <w:rsid w:val="0024727D"/>
    <w:rsid w:val="00247A52"/>
    <w:rsid w:val="002508E4"/>
    <w:rsid w:val="0025377F"/>
    <w:rsid w:val="00253EBF"/>
    <w:rsid w:val="00254F52"/>
    <w:rsid w:val="002600E1"/>
    <w:rsid w:val="00261C0C"/>
    <w:rsid w:val="0026316C"/>
    <w:rsid w:val="00263833"/>
    <w:rsid w:val="0026422C"/>
    <w:rsid w:val="00265065"/>
    <w:rsid w:val="00267F15"/>
    <w:rsid w:val="0027067E"/>
    <w:rsid w:val="00270D3A"/>
    <w:rsid w:val="00272D96"/>
    <w:rsid w:val="00277B6B"/>
    <w:rsid w:val="0028151D"/>
    <w:rsid w:val="00281775"/>
    <w:rsid w:val="00282D68"/>
    <w:rsid w:val="002856E0"/>
    <w:rsid w:val="00285CB8"/>
    <w:rsid w:val="00286E4A"/>
    <w:rsid w:val="0029003F"/>
    <w:rsid w:val="002934A9"/>
    <w:rsid w:val="00293E51"/>
    <w:rsid w:val="00294D53"/>
    <w:rsid w:val="002965BE"/>
    <w:rsid w:val="00296BB9"/>
    <w:rsid w:val="002A0E6A"/>
    <w:rsid w:val="002A16B5"/>
    <w:rsid w:val="002A3EEC"/>
    <w:rsid w:val="002A7DBE"/>
    <w:rsid w:val="002B424E"/>
    <w:rsid w:val="002B4E25"/>
    <w:rsid w:val="002B571B"/>
    <w:rsid w:val="002B5725"/>
    <w:rsid w:val="002B5FA1"/>
    <w:rsid w:val="002B6DCB"/>
    <w:rsid w:val="002B7255"/>
    <w:rsid w:val="002C39FD"/>
    <w:rsid w:val="002C7908"/>
    <w:rsid w:val="002D0956"/>
    <w:rsid w:val="002D0AE4"/>
    <w:rsid w:val="002D4CB9"/>
    <w:rsid w:val="002D578E"/>
    <w:rsid w:val="002D6CC1"/>
    <w:rsid w:val="002E1BB8"/>
    <w:rsid w:val="002E277D"/>
    <w:rsid w:val="002E3373"/>
    <w:rsid w:val="002E3624"/>
    <w:rsid w:val="002E4571"/>
    <w:rsid w:val="002E666D"/>
    <w:rsid w:val="002E6CAE"/>
    <w:rsid w:val="002E79DE"/>
    <w:rsid w:val="002E7BB2"/>
    <w:rsid w:val="002F03E2"/>
    <w:rsid w:val="002F30FE"/>
    <w:rsid w:val="002F3532"/>
    <w:rsid w:val="002F398E"/>
    <w:rsid w:val="002F455D"/>
    <w:rsid w:val="002F5330"/>
    <w:rsid w:val="002F693A"/>
    <w:rsid w:val="002F7B4F"/>
    <w:rsid w:val="003000AA"/>
    <w:rsid w:val="00301606"/>
    <w:rsid w:val="00301817"/>
    <w:rsid w:val="00301D81"/>
    <w:rsid w:val="0030260E"/>
    <w:rsid w:val="00302A6D"/>
    <w:rsid w:val="00302CF3"/>
    <w:rsid w:val="00302EB9"/>
    <w:rsid w:val="00303ABD"/>
    <w:rsid w:val="00303B43"/>
    <w:rsid w:val="0030452C"/>
    <w:rsid w:val="00312ED1"/>
    <w:rsid w:val="00314515"/>
    <w:rsid w:val="00314CB0"/>
    <w:rsid w:val="00315D9A"/>
    <w:rsid w:val="00315EF4"/>
    <w:rsid w:val="003167C7"/>
    <w:rsid w:val="00316F31"/>
    <w:rsid w:val="00321BBC"/>
    <w:rsid w:val="00322E28"/>
    <w:rsid w:val="003240D3"/>
    <w:rsid w:val="00325249"/>
    <w:rsid w:val="00326CF2"/>
    <w:rsid w:val="00327C36"/>
    <w:rsid w:val="003303F9"/>
    <w:rsid w:val="003316BF"/>
    <w:rsid w:val="003326BE"/>
    <w:rsid w:val="00333655"/>
    <w:rsid w:val="00333E55"/>
    <w:rsid w:val="00333F17"/>
    <w:rsid w:val="0033503C"/>
    <w:rsid w:val="00335A71"/>
    <w:rsid w:val="00337051"/>
    <w:rsid w:val="0034046A"/>
    <w:rsid w:val="00340BFB"/>
    <w:rsid w:val="00341C62"/>
    <w:rsid w:val="00346284"/>
    <w:rsid w:val="0035088F"/>
    <w:rsid w:val="003519C2"/>
    <w:rsid w:val="0035247A"/>
    <w:rsid w:val="0035308E"/>
    <w:rsid w:val="00354427"/>
    <w:rsid w:val="00355B16"/>
    <w:rsid w:val="0035633E"/>
    <w:rsid w:val="00357E30"/>
    <w:rsid w:val="0036127D"/>
    <w:rsid w:val="00363336"/>
    <w:rsid w:val="003648DD"/>
    <w:rsid w:val="0036628A"/>
    <w:rsid w:val="00370178"/>
    <w:rsid w:val="003723AE"/>
    <w:rsid w:val="003733EB"/>
    <w:rsid w:val="00376B50"/>
    <w:rsid w:val="00377D8F"/>
    <w:rsid w:val="00377DDB"/>
    <w:rsid w:val="003833CA"/>
    <w:rsid w:val="00383D72"/>
    <w:rsid w:val="003850EC"/>
    <w:rsid w:val="003925DA"/>
    <w:rsid w:val="003932CA"/>
    <w:rsid w:val="00393CAF"/>
    <w:rsid w:val="00394009"/>
    <w:rsid w:val="00394BFC"/>
    <w:rsid w:val="00396435"/>
    <w:rsid w:val="00397E9E"/>
    <w:rsid w:val="003A135D"/>
    <w:rsid w:val="003A3030"/>
    <w:rsid w:val="003A47D1"/>
    <w:rsid w:val="003A492D"/>
    <w:rsid w:val="003A6A9F"/>
    <w:rsid w:val="003A7061"/>
    <w:rsid w:val="003A7D97"/>
    <w:rsid w:val="003B0C79"/>
    <w:rsid w:val="003B6986"/>
    <w:rsid w:val="003B6B9E"/>
    <w:rsid w:val="003B738A"/>
    <w:rsid w:val="003B740A"/>
    <w:rsid w:val="003C072E"/>
    <w:rsid w:val="003C63BD"/>
    <w:rsid w:val="003C66D6"/>
    <w:rsid w:val="003C6E07"/>
    <w:rsid w:val="003C72C1"/>
    <w:rsid w:val="003C72EF"/>
    <w:rsid w:val="003D13C1"/>
    <w:rsid w:val="003D257C"/>
    <w:rsid w:val="003D2609"/>
    <w:rsid w:val="003D261C"/>
    <w:rsid w:val="003D3040"/>
    <w:rsid w:val="003D36AD"/>
    <w:rsid w:val="003D36BA"/>
    <w:rsid w:val="003D3779"/>
    <w:rsid w:val="003D38B9"/>
    <w:rsid w:val="003D3E86"/>
    <w:rsid w:val="003D4E16"/>
    <w:rsid w:val="003D5F8D"/>
    <w:rsid w:val="003D63E2"/>
    <w:rsid w:val="003E0322"/>
    <w:rsid w:val="003E31AC"/>
    <w:rsid w:val="003E4492"/>
    <w:rsid w:val="003E5F16"/>
    <w:rsid w:val="003E624C"/>
    <w:rsid w:val="003F195E"/>
    <w:rsid w:val="003F1AEE"/>
    <w:rsid w:val="003F1F2A"/>
    <w:rsid w:val="003F2836"/>
    <w:rsid w:val="003F29E2"/>
    <w:rsid w:val="003F2ACB"/>
    <w:rsid w:val="003F2BF3"/>
    <w:rsid w:val="003F4F4D"/>
    <w:rsid w:val="003F50DD"/>
    <w:rsid w:val="003F65A4"/>
    <w:rsid w:val="003F68E5"/>
    <w:rsid w:val="003F7677"/>
    <w:rsid w:val="003F7AA8"/>
    <w:rsid w:val="003F7C5B"/>
    <w:rsid w:val="00400734"/>
    <w:rsid w:val="004009C4"/>
    <w:rsid w:val="00400C81"/>
    <w:rsid w:val="0040116E"/>
    <w:rsid w:val="00402B02"/>
    <w:rsid w:val="00402E95"/>
    <w:rsid w:val="00403016"/>
    <w:rsid w:val="004032BD"/>
    <w:rsid w:val="00403DFC"/>
    <w:rsid w:val="0040465A"/>
    <w:rsid w:val="0040515C"/>
    <w:rsid w:val="004068C0"/>
    <w:rsid w:val="004074F0"/>
    <w:rsid w:val="00410951"/>
    <w:rsid w:val="00410D88"/>
    <w:rsid w:val="004110D2"/>
    <w:rsid w:val="00411D89"/>
    <w:rsid w:val="00412E07"/>
    <w:rsid w:val="004136A8"/>
    <w:rsid w:val="00413D33"/>
    <w:rsid w:val="004143A2"/>
    <w:rsid w:val="00422DE2"/>
    <w:rsid w:val="004231FE"/>
    <w:rsid w:val="004252B6"/>
    <w:rsid w:val="00426CF9"/>
    <w:rsid w:val="00431ACD"/>
    <w:rsid w:val="00431B55"/>
    <w:rsid w:val="004346B8"/>
    <w:rsid w:val="004346F7"/>
    <w:rsid w:val="004348BC"/>
    <w:rsid w:val="00436A14"/>
    <w:rsid w:val="00440F62"/>
    <w:rsid w:val="00442CDB"/>
    <w:rsid w:val="0044346B"/>
    <w:rsid w:val="0044551D"/>
    <w:rsid w:val="00446C34"/>
    <w:rsid w:val="00447FF3"/>
    <w:rsid w:val="004509DC"/>
    <w:rsid w:val="004520F4"/>
    <w:rsid w:val="00452EF7"/>
    <w:rsid w:val="0045533E"/>
    <w:rsid w:val="00455EB2"/>
    <w:rsid w:val="004572BA"/>
    <w:rsid w:val="00457DE7"/>
    <w:rsid w:val="00461A8B"/>
    <w:rsid w:val="00461B3F"/>
    <w:rsid w:val="00462281"/>
    <w:rsid w:val="004623AD"/>
    <w:rsid w:val="00462A17"/>
    <w:rsid w:val="00463893"/>
    <w:rsid w:val="004649F3"/>
    <w:rsid w:val="00466158"/>
    <w:rsid w:val="00466E9D"/>
    <w:rsid w:val="00471312"/>
    <w:rsid w:val="00473E43"/>
    <w:rsid w:val="00473FBC"/>
    <w:rsid w:val="00480A64"/>
    <w:rsid w:val="0048126A"/>
    <w:rsid w:val="0048196F"/>
    <w:rsid w:val="00482701"/>
    <w:rsid w:val="0048292A"/>
    <w:rsid w:val="004834B0"/>
    <w:rsid w:val="00487705"/>
    <w:rsid w:val="00491ED7"/>
    <w:rsid w:val="004930E8"/>
    <w:rsid w:val="004951A8"/>
    <w:rsid w:val="00496445"/>
    <w:rsid w:val="00497C85"/>
    <w:rsid w:val="004A30EE"/>
    <w:rsid w:val="004A49C5"/>
    <w:rsid w:val="004A68D2"/>
    <w:rsid w:val="004A69BA"/>
    <w:rsid w:val="004B2A23"/>
    <w:rsid w:val="004B3AD0"/>
    <w:rsid w:val="004B4430"/>
    <w:rsid w:val="004B51E7"/>
    <w:rsid w:val="004B5742"/>
    <w:rsid w:val="004B5AC5"/>
    <w:rsid w:val="004B5CB4"/>
    <w:rsid w:val="004B67CE"/>
    <w:rsid w:val="004B7A5E"/>
    <w:rsid w:val="004B7C95"/>
    <w:rsid w:val="004C5AC3"/>
    <w:rsid w:val="004C612C"/>
    <w:rsid w:val="004C6987"/>
    <w:rsid w:val="004C7BAD"/>
    <w:rsid w:val="004D2856"/>
    <w:rsid w:val="004D3942"/>
    <w:rsid w:val="004D43B2"/>
    <w:rsid w:val="004D4BCA"/>
    <w:rsid w:val="004D6DA5"/>
    <w:rsid w:val="004E0B2C"/>
    <w:rsid w:val="004E0D30"/>
    <w:rsid w:val="004E0D61"/>
    <w:rsid w:val="004E29E4"/>
    <w:rsid w:val="004E300D"/>
    <w:rsid w:val="004E3303"/>
    <w:rsid w:val="004E39F4"/>
    <w:rsid w:val="004E4A53"/>
    <w:rsid w:val="004E4C2E"/>
    <w:rsid w:val="004E4D66"/>
    <w:rsid w:val="004E548A"/>
    <w:rsid w:val="004E5C39"/>
    <w:rsid w:val="004E5C90"/>
    <w:rsid w:val="004E7141"/>
    <w:rsid w:val="004E756F"/>
    <w:rsid w:val="004F2545"/>
    <w:rsid w:val="004F4C19"/>
    <w:rsid w:val="004F55CE"/>
    <w:rsid w:val="004F5A0B"/>
    <w:rsid w:val="00503569"/>
    <w:rsid w:val="00505368"/>
    <w:rsid w:val="00505D86"/>
    <w:rsid w:val="00506453"/>
    <w:rsid w:val="00507F04"/>
    <w:rsid w:val="00510027"/>
    <w:rsid w:val="00510A82"/>
    <w:rsid w:val="0051280E"/>
    <w:rsid w:val="00512BA0"/>
    <w:rsid w:val="00514AEA"/>
    <w:rsid w:val="005152A2"/>
    <w:rsid w:val="0052001C"/>
    <w:rsid w:val="00522169"/>
    <w:rsid w:val="005226AD"/>
    <w:rsid w:val="005234B3"/>
    <w:rsid w:val="00526426"/>
    <w:rsid w:val="00530920"/>
    <w:rsid w:val="0053111C"/>
    <w:rsid w:val="00531589"/>
    <w:rsid w:val="0053223A"/>
    <w:rsid w:val="00532B13"/>
    <w:rsid w:val="00540E1F"/>
    <w:rsid w:val="005416AD"/>
    <w:rsid w:val="005441A8"/>
    <w:rsid w:val="00544B11"/>
    <w:rsid w:val="00546DBB"/>
    <w:rsid w:val="00547D73"/>
    <w:rsid w:val="005514C3"/>
    <w:rsid w:val="00552887"/>
    <w:rsid w:val="00553262"/>
    <w:rsid w:val="00556A07"/>
    <w:rsid w:val="00556A79"/>
    <w:rsid w:val="00562015"/>
    <w:rsid w:val="0056224E"/>
    <w:rsid w:val="00564625"/>
    <w:rsid w:val="00565F9C"/>
    <w:rsid w:val="00571081"/>
    <w:rsid w:val="00571FBF"/>
    <w:rsid w:val="00572F09"/>
    <w:rsid w:val="00575ABD"/>
    <w:rsid w:val="00575F43"/>
    <w:rsid w:val="005826E8"/>
    <w:rsid w:val="00583EDE"/>
    <w:rsid w:val="00584BF9"/>
    <w:rsid w:val="00586269"/>
    <w:rsid w:val="0058736C"/>
    <w:rsid w:val="00587738"/>
    <w:rsid w:val="00591A7A"/>
    <w:rsid w:val="00591F32"/>
    <w:rsid w:val="00592420"/>
    <w:rsid w:val="00593C07"/>
    <w:rsid w:val="00593F28"/>
    <w:rsid w:val="005A09B2"/>
    <w:rsid w:val="005A1298"/>
    <w:rsid w:val="005A36FB"/>
    <w:rsid w:val="005A6E52"/>
    <w:rsid w:val="005A7C03"/>
    <w:rsid w:val="005A7EA7"/>
    <w:rsid w:val="005B07D0"/>
    <w:rsid w:val="005B13F9"/>
    <w:rsid w:val="005B3F2C"/>
    <w:rsid w:val="005B63F8"/>
    <w:rsid w:val="005C045C"/>
    <w:rsid w:val="005C0941"/>
    <w:rsid w:val="005C0E7B"/>
    <w:rsid w:val="005C1513"/>
    <w:rsid w:val="005C2B3F"/>
    <w:rsid w:val="005C2CE8"/>
    <w:rsid w:val="005C2E70"/>
    <w:rsid w:val="005C3920"/>
    <w:rsid w:val="005C3A99"/>
    <w:rsid w:val="005C48CB"/>
    <w:rsid w:val="005C5E38"/>
    <w:rsid w:val="005C6E9F"/>
    <w:rsid w:val="005C7E54"/>
    <w:rsid w:val="005D01FF"/>
    <w:rsid w:val="005D073B"/>
    <w:rsid w:val="005D2D33"/>
    <w:rsid w:val="005D69EF"/>
    <w:rsid w:val="005E0B0D"/>
    <w:rsid w:val="005E0FFA"/>
    <w:rsid w:val="005E22C9"/>
    <w:rsid w:val="005E28BF"/>
    <w:rsid w:val="005E3E39"/>
    <w:rsid w:val="005E406A"/>
    <w:rsid w:val="005E5271"/>
    <w:rsid w:val="005E6D00"/>
    <w:rsid w:val="005E704D"/>
    <w:rsid w:val="005E7E1C"/>
    <w:rsid w:val="005F00F9"/>
    <w:rsid w:val="005F219B"/>
    <w:rsid w:val="005F7915"/>
    <w:rsid w:val="005F7D99"/>
    <w:rsid w:val="006033EE"/>
    <w:rsid w:val="0060387A"/>
    <w:rsid w:val="00603963"/>
    <w:rsid w:val="006051C4"/>
    <w:rsid w:val="00610D22"/>
    <w:rsid w:val="00611B6D"/>
    <w:rsid w:val="00613947"/>
    <w:rsid w:val="0061396D"/>
    <w:rsid w:val="006147C2"/>
    <w:rsid w:val="00614CAB"/>
    <w:rsid w:val="00615628"/>
    <w:rsid w:val="0061585B"/>
    <w:rsid w:val="0061600E"/>
    <w:rsid w:val="00617EFE"/>
    <w:rsid w:val="006200D8"/>
    <w:rsid w:val="00623854"/>
    <w:rsid w:val="00624322"/>
    <w:rsid w:val="006261A4"/>
    <w:rsid w:val="00627922"/>
    <w:rsid w:val="00630487"/>
    <w:rsid w:val="00630F72"/>
    <w:rsid w:val="0063179C"/>
    <w:rsid w:val="00632868"/>
    <w:rsid w:val="006343EE"/>
    <w:rsid w:val="006401A3"/>
    <w:rsid w:val="00640892"/>
    <w:rsid w:val="006419A0"/>
    <w:rsid w:val="00643136"/>
    <w:rsid w:val="00645D93"/>
    <w:rsid w:val="00646661"/>
    <w:rsid w:val="0064768D"/>
    <w:rsid w:val="00650791"/>
    <w:rsid w:val="006507E0"/>
    <w:rsid w:val="00650F45"/>
    <w:rsid w:val="00651264"/>
    <w:rsid w:val="00654903"/>
    <w:rsid w:val="00654AA3"/>
    <w:rsid w:val="006556BA"/>
    <w:rsid w:val="0065670F"/>
    <w:rsid w:val="00656C3A"/>
    <w:rsid w:val="006603FF"/>
    <w:rsid w:val="00664AAE"/>
    <w:rsid w:val="00664BA9"/>
    <w:rsid w:val="00670D69"/>
    <w:rsid w:val="006715D1"/>
    <w:rsid w:val="0067218C"/>
    <w:rsid w:val="0067286E"/>
    <w:rsid w:val="00672A59"/>
    <w:rsid w:val="00673208"/>
    <w:rsid w:val="006744AD"/>
    <w:rsid w:val="006746E6"/>
    <w:rsid w:val="006747A9"/>
    <w:rsid w:val="00674E04"/>
    <w:rsid w:val="00675FAC"/>
    <w:rsid w:val="00677255"/>
    <w:rsid w:val="00677840"/>
    <w:rsid w:val="0068186A"/>
    <w:rsid w:val="00682A71"/>
    <w:rsid w:val="00685562"/>
    <w:rsid w:val="00685F79"/>
    <w:rsid w:val="00691D51"/>
    <w:rsid w:val="006923EA"/>
    <w:rsid w:val="006931D5"/>
    <w:rsid w:val="0069374D"/>
    <w:rsid w:val="00695DE1"/>
    <w:rsid w:val="00696A45"/>
    <w:rsid w:val="006A0BEF"/>
    <w:rsid w:val="006A11BB"/>
    <w:rsid w:val="006A21F4"/>
    <w:rsid w:val="006A37EB"/>
    <w:rsid w:val="006A6282"/>
    <w:rsid w:val="006A6D5B"/>
    <w:rsid w:val="006B30D5"/>
    <w:rsid w:val="006B36FD"/>
    <w:rsid w:val="006B3779"/>
    <w:rsid w:val="006B4543"/>
    <w:rsid w:val="006B56C6"/>
    <w:rsid w:val="006B638C"/>
    <w:rsid w:val="006B6F74"/>
    <w:rsid w:val="006B73A5"/>
    <w:rsid w:val="006B7922"/>
    <w:rsid w:val="006B7B26"/>
    <w:rsid w:val="006C0385"/>
    <w:rsid w:val="006C0392"/>
    <w:rsid w:val="006C0630"/>
    <w:rsid w:val="006C0D2F"/>
    <w:rsid w:val="006C2C85"/>
    <w:rsid w:val="006C33CF"/>
    <w:rsid w:val="006C4688"/>
    <w:rsid w:val="006C53DA"/>
    <w:rsid w:val="006C65BB"/>
    <w:rsid w:val="006C7040"/>
    <w:rsid w:val="006C796D"/>
    <w:rsid w:val="006D17DB"/>
    <w:rsid w:val="006D29D6"/>
    <w:rsid w:val="006D3180"/>
    <w:rsid w:val="006D3552"/>
    <w:rsid w:val="006D4886"/>
    <w:rsid w:val="006D4B5E"/>
    <w:rsid w:val="006D5796"/>
    <w:rsid w:val="006D582A"/>
    <w:rsid w:val="006E31B7"/>
    <w:rsid w:val="006E5B39"/>
    <w:rsid w:val="006E7559"/>
    <w:rsid w:val="006F02DF"/>
    <w:rsid w:val="006F167D"/>
    <w:rsid w:val="006F226B"/>
    <w:rsid w:val="006F4E9E"/>
    <w:rsid w:val="006F68D6"/>
    <w:rsid w:val="00700C25"/>
    <w:rsid w:val="00701B98"/>
    <w:rsid w:val="00702B43"/>
    <w:rsid w:val="00702BF2"/>
    <w:rsid w:val="007033B5"/>
    <w:rsid w:val="00703B7D"/>
    <w:rsid w:val="007043D9"/>
    <w:rsid w:val="0070462E"/>
    <w:rsid w:val="00704BA3"/>
    <w:rsid w:val="00704D4C"/>
    <w:rsid w:val="00705E98"/>
    <w:rsid w:val="007063BB"/>
    <w:rsid w:val="007063CD"/>
    <w:rsid w:val="0071053D"/>
    <w:rsid w:val="007116B2"/>
    <w:rsid w:val="00712927"/>
    <w:rsid w:val="007130C4"/>
    <w:rsid w:val="00714214"/>
    <w:rsid w:val="0071487D"/>
    <w:rsid w:val="0071556E"/>
    <w:rsid w:val="00715BA4"/>
    <w:rsid w:val="00715BB7"/>
    <w:rsid w:val="00717C09"/>
    <w:rsid w:val="00720870"/>
    <w:rsid w:val="0072122E"/>
    <w:rsid w:val="00721D99"/>
    <w:rsid w:val="007235A2"/>
    <w:rsid w:val="00723E19"/>
    <w:rsid w:val="00724E0F"/>
    <w:rsid w:val="00730909"/>
    <w:rsid w:val="00730D2B"/>
    <w:rsid w:val="00736442"/>
    <w:rsid w:val="0074194D"/>
    <w:rsid w:val="00741CEE"/>
    <w:rsid w:val="00742F49"/>
    <w:rsid w:val="0074356D"/>
    <w:rsid w:val="00743A2C"/>
    <w:rsid w:val="0074433B"/>
    <w:rsid w:val="007454D5"/>
    <w:rsid w:val="0074631D"/>
    <w:rsid w:val="0075218D"/>
    <w:rsid w:val="00755882"/>
    <w:rsid w:val="00756385"/>
    <w:rsid w:val="0076155E"/>
    <w:rsid w:val="00762757"/>
    <w:rsid w:val="00762F35"/>
    <w:rsid w:val="00763921"/>
    <w:rsid w:val="00764C24"/>
    <w:rsid w:val="00766DC0"/>
    <w:rsid w:val="0076744C"/>
    <w:rsid w:val="00770E00"/>
    <w:rsid w:val="00775944"/>
    <w:rsid w:val="007764DA"/>
    <w:rsid w:val="007764FD"/>
    <w:rsid w:val="00777450"/>
    <w:rsid w:val="00782DDC"/>
    <w:rsid w:val="0078360D"/>
    <w:rsid w:val="00783FB0"/>
    <w:rsid w:val="00784B4A"/>
    <w:rsid w:val="00786843"/>
    <w:rsid w:val="007908CA"/>
    <w:rsid w:val="00793C7F"/>
    <w:rsid w:val="007948B2"/>
    <w:rsid w:val="00794CED"/>
    <w:rsid w:val="0079621A"/>
    <w:rsid w:val="007A1A15"/>
    <w:rsid w:val="007A1E93"/>
    <w:rsid w:val="007A34F0"/>
    <w:rsid w:val="007A410C"/>
    <w:rsid w:val="007A6149"/>
    <w:rsid w:val="007B2ED5"/>
    <w:rsid w:val="007B614E"/>
    <w:rsid w:val="007B6A3F"/>
    <w:rsid w:val="007B6BBA"/>
    <w:rsid w:val="007C04C4"/>
    <w:rsid w:val="007C04D2"/>
    <w:rsid w:val="007C0F4B"/>
    <w:rsid w:val="007C1CBB"/>
    <w:rsid w:val="007C21D7"/>
    <w:rsid w:val="007C25D3"/>
    <w:rsid w:val="007C57D1"/>
    <w:rsid w:val="007C6CDA"/>
    <w:rsid w:val="007D18D8"/>
    <w:rsid w:val="007D3657"/>
    <w:rsid w:val="007D3789"/>
    <w:rsid w:val="007D489B"/>
    <w:rsid w:val="007D51A5"/>
    <w:rsid w:val="007D5491"/>
    <w:rsid w:val="007D6CC5"/>
    <w:rsid w:val="007E2166"/>
    <w:rsid w:val="007E2A5C"/>
    <w:rsid w:val="007E3148"/>
    <w:rsid w:val="007E62C8"/>
    <w:rsid w:val="007E671E"/>
    <w:rsid w:val="007E693C"/>
    <w:rsid w:val="007F02FA"/>
    <w:rsid w:val="007F2EC6"/>
    <w:rsid w:val="00800657"/>
    <w:rsid w:val="00800AE8"/>
    <w:rsid w:val="00801E1F"/>
    <w:rsid w:val="0080296B"/>
    <w:rsid w:val="008041A9"/>
    <w:rsid w:val="008046B9"/>
    <w:rsid w:val="008057FE"/>
    <w:rsid w:val="00806711"/>
    <w:rsid w:val="00812EB9"/>
    <w:rsid w:val="00814F19"/>
    <w:rsid w:val="00817148"/>
    <w:rsid w:val="00824C01"/>
    <w:rsid w:val="00824F0B"/>
    <w:rsid w:val="00826162"/>
    <w:rsid w:val="00826824"/>
    <w:rsid w:val="00830EDF"/>
    <w:rsid w:val="00831CAA"/>
    <w:rsid w:val="00831E2A"/>
    <w:rsid w:val="008331C5"/>
    <w:rsid w:val="0083381E"/>
    <w:rsid w:val="008344A4"/>
    <w:rsid w:val="008350CD"/>
    <w:rsid w:val="00835361"/>
    <w:rsid w:val="0083798C"/>
    <w:rsid w:val="008409F2"/>
    <w:rsid w:val="008422C1"/>
    <w:rsid w:val="00842CBE"/>
    <w:rsid w:val="0084386F"/>
    <w:rsid w:val="00843916"/>
    <w:rsid w:val="008445DD"/>
    <w:rsid w:val="008467B5"/>
    <w:rsid w:val="008469BE"/>
    <w:rsid w:val="00847DC0"/>
    <w:rsid w:val="0085038E"/>
    <w:rsid w:val="00851183"/>
    <w:rsid w:val="00852F57"/>
    <w:rsid w:val="00853232"/>
    <w:rsid w:val="0085758C"/>
    <w:rsid w:val="008602BF"/>
    <w:rsid w:val="008604C2"/>
    <w:rsid w:val="00861873"/>
    <w:rsid w:val="00866295"/>
    <w:rsid w:val="008722B8"/>
    <w:rsid w:val="00873BE7"/>
    <w:rsid w:val="00876100"/>
    <w:rsid w:val="00876A9D"/>
    <w:rsid w:val="008777E4"/>
    <w:rsid w:val="008807B4"/>
    <w:rsid w:val="00883602"/>
    <w:rsid w:val="008842A5"/>
    <w:rsid w:val="008877D7"/>
    <w:rsid w:val="008923C5"/>
    <w:rsid w:val="0089258A"/>
    <w:rsid w:val="00892593"/>
    <w:rsid w:val="008925EB"/>
    <w:rsid w:val="00892F14"/>
    <w:rsid w:val="008A17BE"/>
    <w:rsid w:val="008A28E5"/>
    <w:rsid w:val="008A3DF3"/>
    <w:rsid w:val="008A4F9B"/>
    <w:rsid w:val="008A52F4"/>
    <w:rsid w:val="008A7646"/>
    <w:rsid w:val="008B148B"/>
    <w:rsid w:val="008B24CD"/>
    <w:rsid w:val="008B2D9E"/>
    <w:rsid w:val="008B57D8"/>
    <w:rsid w:val="008B5E4B"/>
    <w:rsid w:val="008B77F1"/>
    <w:rsid w:val="008C057F"/>
    <w:rsid w:val="008C1F78"/>
    <w:rsid w:val="008C3F9E"/>
    <w:rsid w:val="008C4656"/>
    <w:rsid w:val="008C51FE"/>
    <w:rsid w:val="008C669D"/>
    <w:rsid w:val="008C6848"/>
    <w:rsid w:val="008C69DC"/>
    <w:rsid w:val="008C750A"/>
    <w:rsid w:val="008C7C80"/>
    <w:rsid w:val="008C7F9B"/>
    <w:rsid w:val="008D006E"/>
    <w:rsid w:val="008D131A"/>
    <w:rsid w:val="008D158E"/>
    <w:rsid w:val="008D472C"/>
    <w:rsid w:val="008D696C"/>
    <w:rsid w:val="008E0E88"/>
    <w:rsid w:val="008E0F6D"/>
    <w:rsid w:val="008E2EDA"/>
    <w:rsid w:val="008E31A6"/>
    <w:rsid w:val="008E341C"/>
    <w:rsid w:val="008E4342"/>
    <w:rsid w:val="008E4EE2"/>
    <w:rsid w:val="008E6672"/>
    <w:rsid w:val="008E703D"/>
    <w:rsid w:val="008E77BE"/>
    <w:rsid w:val="008E791D"/>
    <w:rsid w:val="008E7CBF"/>
    <w:rsid w:val="008F233E"/>
    <w:rsid w:val="008F2C3D"/>
    <w:rsid w:val="008F7654"/>
    <w:rsid w:val="00901BF7"/>
    <w:rsid w:val="00902348"/>
    <w:rsid w:val="00906443"/>
    <w:rsid w:val="00906D48"/>
    <w:rsid w:val="009074AA"/>
    <w:rsid w:val="009127A6"/>
    <w:rsid w:val="009158B9"/>
    <w:rsid w:val="00920B40"/>
    <w:rsid w:val="00921782"/>
    <w:rsid w:val="00921E83"/>
    <w:rsid w:val="00922EEC"/>
    <w:rsid w:val="00925722"/>
    <w:rsid w:val="0092613F"/>
    <w:rsid w:val="00926217"/>
    <w:rsid w:val="00927F0F"/>
    <w:rsid w:val="009328F3"/>
    <w:rsid w:val="009373A7"/>
    <w:rsid w:val="00940068"/>
    <w:rsid w:val="00941323"/>
    <w:rsid w:val="009413A5"/>
    <w:rsid w:val="00941BBF"/>
    <w:rsid w:val="00942DC5"/>
    <w:rsid w:val="00943FFA"/>
    <w:rsid w:val="009449A6"/>
    <w:rsid w:val="00944E3A"/>
    <w:rsid w:val="00945620"/>
    <w:rsid w:val="00945E6C"/>
    <w:rsid w:val="00946C0C"/>
    <w:rsid w:val="00946DC8"/>
    <w:rsid w:val="0094757F"/>
    <w:rsid w:val="00947580"/>
    <w:rsid w:val="009530A0"/>
    <w:rsid w:val="009537AE"/>
    <w:rsid w:val="009540AD"/>
    <w:rsid w:val="00954657"/>
    <w:rsid w:val="0095509D"/>
    <w:rsid w:val="0095521B"/>
    <w:rsid w:val="009553B4"/>
    <w:rsid w:val="00955763"/>
    <w:rsid w:val="00955778"/>
    <w:rsid w:val="0095590C"/>
    <w:rsid w:val="00955B57"/>
    <w:rsid w:val="00956E7F"/>
    <w:rsid w:val="00956ED8"/>
    <w:rsid w:val="00957226"/>
    <w:rsid w:val="009575DC"/>
    <w:rsid w:val="00957AE7"/>
    <w:rsid w:val="0096025B"/>
    <w:rsid w:val="009602CA"/>
    <w:rsid w:val="0096067B"/>
    <w:rsid w:val="00960CD5"/>
    <w:rsid w:val="0096139C"/>
    <w:rsid w:val="0096447C"/>
    <w:rsid w:val="009649B8"/>
    <w:rsid w:val="00964D3C"/>
    <w:rsid w:val="00971FF0"/>
    <w:rsid w:val="00972BDC"/>
    <w:rsid w:val="00973B47"/>
    <w:rsid w:val="009741D1"/>
    <w:rsid w:val="009748A4"/>
    <w:rsid w:val="00976DEA"/>
    <w:rsid w:val="00980BC8"/>
    <w:rsid w:val="00981DB9"/>
    <w:rsid w:val="00983645"/>
    <w:rsid w:val="009845DB"/>
    <w:rsid w:val="00984622"/>
    <w:rsid w:val="00984D3C"/>
    <w:rsid w:val="009907EF"/>
    <w:rsid w:val="009926B1"/>
    <w:rsid w:val="00992952"/>
    <w:rsid w:val="00992BD0"/>
    <w:rsid w:val="00992F3D"/>
    <w:rsid w:val="009931FF"/>
    <w:rsid w:val="00994B2C"/>
    <w:rsid w:val="00995927"/>
    <w:rsid w:val="009968DD"/>
    <w:rsid w:val="00997501"/>
    <w:rsid w:val="0099792F"/>
    <w:rsid w:val="00997DEF"/>
    <w:rsid w:val="00997EEB"/>
    <w:rsid w:val="009A45FB"/>
    <w:rsid w:val="009A4E26"/>
    <w:rsid w:val="009A5A1F"/>
    <w:rsid w:val="009A5C4A"/>
    <w:rsid w:val="009A7D29"/>
    <w:rsid w:val="009B0FF1"/>
    <w:rsid w:val="009B10B8"/>
    <w:rsid w:val="009B234A"/>
    <w:rsid w:val="009B42F2"/>
    <w:rsid w:val="009B4346"/>
    <w:rsid w:val="009B5BFD"/>
    <w:rsid w:val="009B7C33"/>
    <w:rsid w:val="009C2525"/>
    <w:rsid w:val="009C2DD0"/>
    <w:rsid w:val="009C3AFB"/>
    <w:rsid w:val="009C4BE3"/>
    <w:rsid w:val="009C7804"/>
    <w:rsid w:val="009D12AB"/>
    <w:rsid w:val="009D17D1"/>
    <w:rsid w:val="009D1D07"/>
    <w:rsid w:val="009D3F60"/>
    <w:rsid w:val="009D40B6"/>
    <w:rsid w:val="009D42A6"/>
    <w:rsid w:val="009D5E7A"/>
    <w:rsid w:val="009D655D"/>
    <w:rsid w:val="009E009B"/>
    <w:rsid w:val="009E1866"/>
    <w:rsid w:val="009E1D09"/>
    <w:rsid w:val="009E4A6B"/>
    <w:rsid w:val="009E5139"/>
    <w:rsid w:val="009E666D"/>
    <w:rsid w:val="009E66A8"/>
    <w:rsid w:val="009E71F7"/>
    <w:rsid w:val="009F1DEA"/>
    <w:rsid w:val="009F4019"/>
    <w:rsid w:val="009F4CBB"/>
    <w:rsid w:val="009F5480"/>
    <w:rsid w:val="009F6F80"/>
    <w:rsid w:val="00A01E05"/>
    <w:rsid w:val="00A01F6C"/>
    <w:rsid w:val="00A02DF8"/>
    <w:rsid w:val="00A0348B"/>
    <w:rsid w:val="00A03A30"/>
    <w:rsid w:val="00A03DF5"/>
    <w:rsid w:val="00A059A2"/>
    <w:rsid w:val="00A06E24"/>
    <w:rsid w:val="00A10711"/>
    <w:rsid w:val="00A10B80"/>
    <w:rsid w:val="00A10EA4"/>
    <w:rsid w:val="00A115FD"/>
    <w:rsid w:val="00A12892"/>
    <w:rsid w:val="00A13F1B"/>
    <w:rsid w:val="00A14339"/>
    <w:rsid w:val="00A15292"/>
    <w:rsid w:val="00A16F6D"/>
    <w:rsid w:val="00A2351C"/>
    <w:rsid w:val="00A23B87"/>
    <w:rsid w:val="00A262DD"/>
    <w:rsid w:val="00A2796C"/>
    <w:rsid w:val="00A309AD"/>
    <w:rsid w:val="00A318D0"/>
    <w:rsid w:val="00A32EF3"/>
    <w:rsid w:val="00A33250"/>
    <w:rsid w:val="00A35038"/>
    <w:rsid w:val="00A35EAD"/>
    <w:rsid w:val="00A4187B"/>
    <w:rsid w:val="00A4241B"/>
    <w:rsid w:val="00A43475"/>
    <w:rsid w:val="00A446DE"/>
    <w:rsid w:val="00A44DA7"/>
    <w:rsid w:val="00A5040F"/>
    <w:rsid w:val="00A50FC8"/>
    <w:rsid w:val="00A51EF4"/>
    <w:rsid w:val="00A52C12"/>
    <w:rsid w:val="00A54C7B"/>
    <w:rsid w:val="00A60A01"/>
    <w:rsid w:val="00A61473"/>
    <w:rsid w:val="00A6329B"/>
    <w:rsid w:val="00A634A1"/>
    <w:rsid w:val="00A64A4D"/>
    <w:rsid w:val="00A654D7"/>
    <w:rsid w:val="00A655F4"/>
    <w:rsid w:val="00A67C27"/>
    <w:rsid w:val="00A70996"/>
    <w:rsid w:val="00A70AF1"/>
    <w:rsid w:val="00A710F3"/>
    <w:rsid w:val="00A74B94"/>
    <w:rsid w:val="00A758FD"/>
    <w:rsid w:val="00A75C7A"/>
    <w:rsid w:val="00A76554"/>
    <w:rsid w:val="00A76A80"/>
    <w:rsid w:val="00A80512"/>
    <w:rsid w:val="00A812A4"/>
    <w:rsid w:val="00A81672"/>
    <w:rsid w:val="00A81894"/>
    <w:rsid w:val="00A82285"/>
    <w:rsid w:val="00A822F1"/>
    <w:rsid w:val="00A82702"/>
    <w:rsid w:val="00A833E2"/>
    <w:rsid w:val="00A852E8"/>
    <w:rsid w:val="00A863EA"/>
    <w:rsid w:val="00A923A2"/>
    <w:rsid w:val="00A94E00"/>
    <w:rsid w:val="00A955AC"/>
    <w:rsid w:val="00A96C64"/>
    <w:rsid w:val="00A96D26"/>
    <w:rsid w:val="00A977E7"/>
    <w:rsid w:val="00AA0111"/>
    <w:rsid w:val="00AA052F"/>
    <w:rsid w:val="00AA328D"/>
    <w:rsid w:val="00AA3B4D"/>
    <w:rsid w:val="00AA3BCA"/>
    <w:rsid w:val="00AA411D"/>
    <w:rsid w:val="00AA412C"/>
    <w:rsid w:val="00AA4BFF"/>
    <w:rsid w:val="00AA6D11"/>
    <w:rsid w:val="00AB1C24"/>
    <w:rsid w:val="00AB212D"/>
    <w:rsid w:val="00AB44D1"/>
    <w:rsid w:val="00AC0734"/>
    <w:rsid w:val="00AC0797"/>
    <w:rsid w:val="00AC4781"/>
    <w:rsid w:val="00AC4E6C"/>
    <w:rsid w:val="00AC5793"/>
    <w:rsid w:val="00AC649B"/>
    <w:rsid w:val="00AD00BC"/>
    <w:rsid w:val="00AD0A51"/>
    <w:rsid w:val="00AD1AD9"/>
    <w:rsid w:val="00AD1CCD"/>
    <w:rsid w:val="00AD221B"/>
    <w:rsid w:val="00AD2AA9"/>
    <w:rsid w:val="00AD4698"/>
    <w:rsid w:val="00AE021F"/>
    <w:rsid w:val="00AE29EC"/>
    <w:rsid w:val="00AE2A41"/>
    <w:rsid w:val="00AE34B7"/>
    <w:rsid w:val="00AE3AA4"/>
    <w:rsid w:val="00AE5E30"/>
    <w:rsid w:val="00AE7243"/>
    <w:rsid w:val="00AE7B72"/>
    <w:rsid w:val="00AF00AD"/>
    <w:rsid w:val="00AF00DD"/>
    <w:rsid w:val="00AF0394"/>
    <w:rsid w:val="00AF084C"/>
    <w:rsid w:val="00AF2810"/>
    <w:rsid w:val="00AF4215"/>
    <w:rsid w:val="00AF54C3"/>
    <w:rsid w:val="00AF5E49"/>
    <w:rsid w:val="00AF5EBC"/>
    <w:rsid w:val="00AF67E7"/>
    <w:rsid w:val="00AF7732"/>
    <w:rsid w:val="00B00FEF"/>
    <w:rsid w:val="00B012D7"/>
    <w:rsid w:val="00B0301F"/>
    <w:rsid w:val="00B04961"/>
    <w:rsid w:val="00B05D40"/>
    <w:rsid w:val="00B06EEA"/>
    <w:rsid w:val="00B074FD"/>
    <w:rsid w:val="00B07D7B"/>
    <w:rsid w:val="00B10287"/>
    <w:rsid w:val="00B13A42"/>
    <w:rsid w:val="00B13D75"/>
    <w:rsid w:val="00B14EDA"/>
    <w:rsid w:val="00B15331"/>
    <w:rsid w:val="00B17992"/>
    <w:rsid w:val="00B2125C"/>
    <w:rsid w:val="00B21829"/>
    <w:rsid w:val="00B23FC5"/>
    <w:rsid w:val="00B25CF5"/>
    <w:rsid w:val="00B26A37"/>
    <w:rsid w:val="00B26B51"/>
    <w:rsid w:val="00B26D81"/>
    <w:rsid w:val="00B270FB"/>
    <w:rsid w:val="00B30744"/>
    <w:rsid w:val="00B356CC"/>
    <w:rsid w:val="00B35972"/>
    <w:rsid w:val="00B36064"/>
    <w:rsid w:val="00B36121"/>
    <w:rsid w:val="00B369FC"/>
    <w:rsid w:val="00B374EF"/>
    <w:rsid w:val="00B379DA"/>
    <w:rsid w:val="00B41394"/>
    <w:rsid w:val="00B41CB4"/>
    <w:rsid w:val="00B429B6"/>
    <w:rsid w:val="00B43637"/>
    <w:rsid w:val="00B453F1"/>
    <w:rsid w:val="00B467F9"/>
    <w:rsid w:val="00B510CC"/>
    <w:rsid w:val="00B54CCC"/>
    <w:rsid w:val="00B55223"/>
    <w:rsid w:val="00B560E7"/>
    <w:rsid w:val="00B562B3"/>
    <w:rsid w:val="00B562CD"/>
    <w:rsid w:val="00B5677E"/>
    <w:rsid w:val="00B60AC7"/>
    <w:rsid w:val="00B67433"/>
    <w:rsid w:val="00B67A9D"/>
    <w:rsid w:val="00B71486"/>
    <w:rsid w:val="00B72C0C"/>
    <w:rsid w:val="00B73A2A"/>
    <w:rsid w:val="00B76839"/>
    <w:rsid w:val="00B7731A"/>
    <w:rsid w:val="00B77843"/>
    <w:rsid w:val="00B8015D"/>
    <w:rsid w:val="00B8093C"/>
    <w:rsid w:val="00B835A1"/>
    <w:rsid w:val="00B86E48"/>
    <w:rsid w:val="00B878E6"/>
    <w:rsid w:val="00B87BC3"/>
    <w:rsid w:val="00B9139E"/>
    <w:rsid w:val="00B948AA"/>
    <w:rsid w:val="00B94B10"/>
    <w:rsid w:val="00B95F42"/>
    <w:rsid w:val="00B97507"/>
    <w:rsid w:val="00BA129F"/>
    <w:rsid w:val="00BA2B2C"/>
    <w:rsid w:val="00BA3771"/>
    <w:rsid w:val="00BA492B"/>
    <w:rsid w:val="00BB12A9"/>
    <w:rsid w:val="00BB21F8"/>
    <w:rsid w:val="00BB2B3C"/>
    <w:rsid w:val="00BB444E"/>
    <w:rsid w:val="00BC01DD"/>
    <w:rsid w:val="00BC28EB"/>
    <w:rsid w:val="00BC33BB"/>
    <w:rsid w:val="00BC4715"/>
    <w:rsid w:val="00BC48FD"/>
    <w:rsid w:val="00BC5111"/>
    <w:rsid w:val="00BC59A4"/>
    <w:rsid w:val="00BC5B46"/>
    <w:rsid w:val="00BC7B0A"/>
    <w:rsid w:val="00BC7D27"/>
    <w:rsid w:val="00BD048E"/>
    <w:rsid w:val="00BD1811"/>
    <w:rsid w:val="00BD3BFE"/>
    <w:rsid w:val="00BD5C9B"/>
    <w:rsid w:val="00BD63CD"/>
    <w:rsid w:val="00BD6CAC"/>
    <w:rsid w:val="00BD7299"/>
    <w:rsid w:val="00BD7411"/>
    <w:rsid w:val="00BE1EE1"/>
    <w:rsid w:val="00BE2AEC"/>
    <w:rsid w:val="00BE2B57"/>
    <w:rsid w:val="00BE2F36"/>
    <w:rsid w:val="00BE4A32"/>
    <w:rsid w:val="00BE4FF1"/>
    <w:rsid w:val="00BE56DB"/>
    <w:rsid w:val="00BF01E5"/>
    <w:rsid w:val="00BF1C06"/>
    <w:rsid w:val="00BF1ED2"/>
    <w:rsid w:val="00BF1F4C"/>
    <w:rsid w:val="00BF2BB4"/>
    <w:rsid w:val="00BF3155"/>
    <w:rsid w:val="00BF4272"/>
    <w:rsid w:val="00BF6BA8"/>
    <w:rsid w:val="00BF6EBD"/>
    <w:rsid w:val="00C00FC0"/>
    <w:rsid w:val="00C01086"/>
    <w:rsid w:val="00C03441"/>
    <w:rsid w:val="00C04B52"/>
    <w:rsid w:val="00C053AA"/>
    <w:rsid w:val="00C06EEC"/>
    <w:rsid w:val="00C10FDE"/>
    <w:rsid w:val="00C11775"/>
    <w:rsid w:val="00C12761"/>
    <w:rsid w:val="00C12F14"/>
    <w:rsid w:val="00C14CCD"/>
    <w:rsid w:val="00C14F01"/>
    <w:rsid w:val="00C20720"/>
    <w:rsid w:val="00C20AAF"/>
    <w:rsid w:val="00C20D28"/>
    <w:rsid w:val="00C2112E"/>
    <w:rsid w:val="00C246B4"/>
    <w:rsid w:val="00C24D71"/>
    <w:rsid w:val="00C26441"/>
    <w:rsid w:val="00C27B02"/>
    <w:rsid w:val="00C27E5E"/>
    <w:rsid w:val="00C307A6"/>
    <w:rsid w:val="00C31AAF"/>
    <w:rsid w:val="00C41CFE"/>
    <w:rsid w:val="00C427AA"/>
    <w:rsid w:val="00C441D0"/>
    <w:rsid w:val="00C4434F"/>
    <w:rsid w:val="00C45358"/>
    <w:rsid w:val="00C45725"/>
    <w:rsid w:val="00C459F8"/>
    <w:rsid w:val="00C47869"/>
    <w:rsid w:val="00C47D85"/>
    <w:rsid w:val="00C524E6"/>
    <w:rsid w:val="00C53DD6"/>
    <w:rsid w:val="00C53F3D"/>
    <w:rsid w:val="00C55679"/>
    <w:rsid w:val="00C55894"/>
    <w:rsid w:val="00C62962"/>
    <w:rsid w:val="00C63AE1"/>
    <w:rsid w:val="00C66A64"/>
    <w:rsid w:val="00C703B9"/>
    <w:rsid w:val="00C73DA2"/>
    <w:rsid w:val="00C76B3A"/>
    <w:rsid w:val="00C81767"/>
    <w:rsid w:val="00C841EA"/>
    <w:rsid w:val="00C87592"/>
    <w:rsid w:val="00C901EE"/>
    <w:rsid w:val="00C901FC"/>
    <w:rsid w:val="00C90C80"/>
    <w:rsid w:val="00C921D7"/>
    <w:rsid w:val="00C95387"/>
    <w:rsid w:val="00C954F6"/>
    <w:rsid w:val="00C97526"/>
    <w:rsid w:val="00C9767C"/>
    <w:rsid w:val="00C979E3"/>
    <w:rsid w:val="00C97D62"/>
    <w:rsid w:val="00CA1DC4"/>
    <w:rsid w:val="00CA1EC6"/>
    <w:rsid w:val="00CA1F5D"/>
    <w:rsid w:val="00CA2311"/>
    <w:rsid w:val="00CA2CC3"/>
    <w:rsid w:val="00CA3D24"/>
    <w:rsid w:val="00CA421E"/>
    <w:rsid w:val="00CA5B3F"/>
    <w:rsid w:val="00CA642C"/>
    <w:rsid w:val="00CA6682"/>
    <w:rsid w:val="00CA6CCF"/>
    <w:rsid w:val="00CA70B7"/>
    <w:rsid w:val="00CB02B1"/>
    <w:rsid w:val="00CB04B9"/>
    <w:rsid w:val="00CB0693"/>
    <w:rsid w:val="00CB0976"/>
    <w:rsid w:val="00CB0CD4"/>
    <w:rsid w:val="00CB1463"/>
    <w:rsid w:val="00CB38A4"/>
    <w:rsid w:val="00CB4241"/>
    <w:rsid w:val="00CB5592"/>
    <w:rsid w:val="00CB7B37"/>
    <w:rsid w:val="00CC01BA"/>
    <w:rsid w:val="00CC0729"/>
    <w:rsid w:val="00CC126D"/>
    <w:rsid w:val="00CC3453"/>
    <w:rsid w:val="00CC4AD1"/>
    <w:rsid w:val="00CD079D"/>
    <w:rsid w:val="00CD12A0"/>
    <w:rsid w:val="00CD2368"/>
    <w:rsid w:val="00CD2E29"/>
    <w:rsid w:val="00CD2E48"/>
    <w:rsid w:val="00CD3511"/>
    <w:rsid w:val="00CD6152"/>
    <w:rsid w:val="00CD7E09"/>
    <w:rsid w:val="00CE05C4"/>
    <w:rsid w:val="00CE0613"/>
    <w:rsid w:val="00CE23E9"/>
    <w:rsid w:val="00CE5082"/>
    <w:rsid w:val="00CE6346"/>
    <w:rsid w:val="00CE6351"/>
    <w:rsid w:val="00CE73CF"/>
    <w:rsid w:val="00CE7E11"/>
    <w:rsid w:val="00CF08A9"/>
    <w:rsid w:val="00CF0B90"/>
    <w:rsid w:val="00CF0BE2"/>
    <w:rsid w:val="00CF42BE"/>
    <w:rsid w:val="00CF44EE"/>
    <w:rsid w:val="00CF6C30"/>
    <w:rsid w:val="00CF7DE3"/>
    <w:rsid w:val="00CF7E90"/>
    <w:rsid w:val="00D01409"/>
    <w:rsid w:val="00D0173E"/>
    <w:rsid w:val="00D02095"/>
    <w:rsid w:val="00D040F9"/>
    <w:rsid w:val="00D06152"/>
    <w:rsid w:val="00D06A08"/>
    <w:rsid w:val="00D11638"/>
    <w:rsid w:val="00D12356"/>
    <w:rsid w:val="00D12C07"/>
    <w:rsid w:val="00D13196"/>
    <w:rsid w:val="00D13BD1"/>
    <w:rsid w:val="00D15B88"/>
    <w:rsid w:val="00D17E8C"/>
    <w:rsid w:val="00D21F7B"/>
    <w:rsid w:val="00D22AE1"/>
    <w:rsid w:val="00D30F3E"/>
    <w:rsid w:val="00D3386E"/>
    <w:rsid w:val="00D362B4"/>
    <w:rsid w:val="00D36FB8"/>
    <w:rsid w:val="00D373FE"/>
    <w:rsid w:val="00D37F05"/>
    <w:rsid w:val="00D40C09"/>
    <w:rsid w:val="00D41099"/>
    <w:rsid w:val="00D41779"/>
    <w:rsid w:val="00D43580"/>
    <w:rsid w:val="00D436F5"/>
    <w:rsid w:val="00D43ADE"/>
    <w:rsid w:val="00D44BA0"/>
    <w:rsid w:val="00D4590E"/>
    <w:rsid w:val="00D45DE0"/>
    <w:rsid w:val="00D46289"/>
    <w:rsid w:val="00D46499"/>
    <w:rsid w:val="00D4665E"/>
    <w:rsid w:val="00D46AE1"/>
    <w:rsid w:val="00D507FC"/>
    <w:rsid w:val="00D537CF"/>
    <w:rsid w:val="00D626C6"/>
    <w:rsid w:val="00D65A8E"/>
    <w:rsid w:val="00D66D5F"/>
    <w:rsid w:val="00D7597D"/>
    <w:rsid w:val="00D75E84"/>
    <w:rsid w:val="00D778D2"/>
    <w:rsid w:val="00D80529"/>
    <w:rsid w:val="00D80DB2"/>
    <w:rsid w:val="00D813C4"/>
    <w:rsid w:val="00D85AF7"/>
    <w:rsid w:val="00D86131"/>
    <w:rsid w:val="00D87CF0"/>
    <w:rsid w:val="00D904DF"/>
    <w:rsid w:val="00D941F4"/>
    <w:rsid w:val="00D95102"/>
    <w:rsid w:val="00D95A4E"/>
    <w:rsid w:val="00D96683"/>
    <w:rsid w:val="00D975A3"/>
    <w:rsid w:val="00D97697"/>
    <w:rsid w:val="00DA0691"/>
    <w:rsid w:val="00DA26D6"/>
    <w:rsid w:val="00DA33FF"/>
    <w:rsid w:val="00DA3FAF"/>
    <w:rsid w:val="00DA4A02"/>
    <w:rsid w:val="00DA4C89"/>
    <w:rsid w:val="00DA5F85"/>
    <w:rsid w:val="00DB0212"/>
    <w:rsid w:val="00DB277D"/>
    <w:rsid w:val="00DB3190"/>
    <w:rsid w:val="00DB369E"/>
    <w:rsid w:val="00DB3FDC"/>
    <w:rsid w:val="00DB4F05"/>
    <w:rsid w:val="00DB69A6"/>
    <w:rsid w:val="00DB7591"/>
    <w:rsid w:val="00DC3B7F"/>
    <w:rsid w:val="00DC4A73"/>
    <w:rsid w:val="00DC6680"/>
    <w:rsid w:val="00DC6FFF"/>
    <w:rsid w:val="00DC7F81"/>
    <w:rsid w:val="00DD2493"/>
    <w:rsid w:val="00DD2EBB"/>
    <w:rsid w:val="00DD3751"/>
    <w:rsid w:val="00DD4365"/>
    <w:rsid w:val="00DD44F6"/>
    <w:rsid w:val="00DD4B34"/>
    <w:rsid w:val="00DD5722"/>
    <w:rsid w:val="00DD66E8"/>
    <w:rsid w:val="00DE0B10"/>
    <w:rsid w:val="00DE1096"/>
    <w:rsid w:val="00DE10CE"/>
    <w:rsid w:val="00DE1857"/>
    <w:rsid w:val="00DE1A1C"/>
    <w:rsid w:val="00DE233E"/>
    <w:rsid w:val="00DE2575"/>
    <w:rsid w:val="00DE6EA0"/>
    <w:rsid w:val="00DE7E66"/>
    <w:rsid w:val="00DF04D7"/>
    <w:rsid w:val="00DF1C8B"/>
    <w:rsid w:val="00DF4914"/>
    <w:rsid w:val="00DF4D12"/>
    <w:rsid w:val="00DF53CE"/>
    <w:rsid w:val="00DF5BDB"/>
    <w:rsid w:val="00DF5E99"/>
    <w:rsid w:val="00E011E7"/>
    <w:rsid w:val="00E02998"/>
    <w:rsid w:val="00E033BD"/>
    <w:rsid w:val="00E04356"/>
    <w:rsid w:val="00E05013"/>
    <w:rsid w:val="00E065D0"/>
    <w:rsid w:val="00E12D4F"/>
    <w:rsid w:val="00E13052"/>
    <w:rsid w:val="00E1507F"/>
    <w:rsid w:val="00E156FF"/>
    <w:rsid w:val="00E15A8D"/>
    <w:rsid w:val="00E17402"/>
    <w:rsid w:val="00E178ED"/>
    <w:rsid w:val="00E21AE3"/>
    <w:rsid w:val="00E22C20"/>
    <w:rsid w:val="00E23779"/>
    <w:rsid w:val="00E23988"/>
    <w:rsid w:val="00E25154"/>
    <w:rsid w:val="00E2739D"/>
    <w:rsid w:val="00E310B9"/>
    <w:rsid w:val="00E310D7"/>
    <w:rsid w:val="00E3113D"/>
    <w:rsid w:val="00E31FEC"/>
    <w:rsid w:val="00E32E50"/>
    <w:rsid w:val="00E33638"/>
    <w:rsid w:val="00E4373B"/>
    <w:rsid w:val="00E4405A"/>
    <w:rsid w:val="00E444DE"/>
    <w:rsid w:val="00E46386"/>
    <w:rsid w:val="00E46500"/>
    <w:rsid w:val="00E47BEB"/>
    <w:rsid w:val="00E52035"/>
    <w:rsid w:val="00E53A3D"/>
    <w:rsid w:val="00E55D1B"/>
    <w:rsid w:val="00E566E7"/>
    <w:rsid w:val="00E568D3"/>
    <w:rsid w:val="00E56BF2"/>
    <w:rsid w:val="00E60F52"/>
    <w:rsid w:val="00E6137E"/>
    <w:rsid w:val="00E63B85"/>
    <w:rsid w:val="00E6477F"/>
    <w:rsid w:val="00E64AE9"/>
    <w:rsid w:val="00E65012"/>
    <w:rsid w:val="00E65BA8"/>
    <w:rsid w:val="00E67509"/>
    <w:rsid w:val="00E67A9A"/>
    <w:rsid w:val="00E72954"/>
    <w:rsid w:val="00E73F43"/>
    <w:rsid w:val="00E74A56"/>
    <w:rsid w:val="00E74A99"/>
    <w:rsid w:val="00E776F3"/>
    <w:rsid w:val="00E8072B"/>
    <w:rsid w:val="00E815A7"/>
    <w:rsid w:val="00E81D78"/>
    <w:rsid w:val="00E827A0"/>
    <w:rsid w:val="00E9282F"/>
    <w:rsid w:val="00E9312F"/>
    <w:rsid w:val="00E939DA"/>
    <w:rsid w:val="00E93C23"/>
    <w:rsid w:val="00E949BB"/>
    <w:rsid w:val="00E96589"/>
    <w:rsid w:val="00EA55F3"/>
    <w:rsid w:val="00EA580C"/>
    <w:rsid w:val="00EA6914"/>
    <w:rsid w:val="00EA7E67"/>
    <w:rsid w:val="00EB01DC"/>
    <w:rsid w:val="00EB1B82"/>
    <w:rsid w:val="00EB1CE0"/>
    <w:rsid w:val="00EB44FF"/>
    <w:rsid w:val="00EB4CA9"/>
    <w:rsid w:val="00EB4CB2"/>
    <w:rsid w:val="00EC0DD4"/>
    <w:rsid w:val="00EC2D4F"/>
    <w:rsid w:val="00EC3531"/>
    <w:rsid w:val="00EC4C66"/>
    <w:rsid w:val="00ED05B5"/>
    <w:rsid w:val="00ED0937"/>
    <w:rsid w:val="00ED0986"/>
    <w:rsid w:val="00ED1A0F"/>
    <w:rsid w:val="00ED40EB"/>
    <w:rsid w:val="00ED442E"/>
    <w:rsid w:val="00ED6517"/>
    <w:rsid w:val="00ED6D8B"/>
    <w:rsid w:val="00ED77B3"/>
    <w:rsid w:val="00EE0260"/>
    <w:rsid w:val="00EE0721"/>
    <w:rsid w:val="00EE3FF2"/>
    <w:rsid w:val="00EE583F"/>
    <w:rsid w:val="00EE6212"/>
    <w:rsid w:val="00EE6DED"/>
    <w:rsid w:val="00EF0911"/>
    <w:rsid w:val="00EF1477"/>
    <w:rsid w:val="00EF2981"/>
    <w:rsid w:val="00EF4A1B"/>
    <w:rsid w:val="00EF7464"/>
    <w:rsid w:val="00F00612"/>
    <w:rsid w:val="00F02B30"/>
    <w:rsid w:val="00F036D8"/>
    <w:rsid w:val="00F0410B"/>
    <w:rsid w:val="00F0585A"/>
    <w:rsid w:val="00F063CF"/>
    <w:rsid w:val="00F06454"/>
    <w:rsid w:val="00F10E38"/>
    <w:rsid w:val="00F12959"/>
    <w:rsid w:val="00F1637D"/>
    <w:rsid w:val="00F1705F"/>
    <w:rsid w:val="00F17079"/>
    <w:rsid w:val="00F17467"/>
    <w:rsid w:val="00F178D4"/>
    <w:rsid w:val="00F17E94"/>
    <w:rsid w:val="00F17F2A"/>
    <w:rsid w:val="00F22638"/>
    <w:rsid w:val="00F22C13"/>
    <w:rsid w:val="00F23568"/>
    <w:rsid w:val="00F245A2"/>
    <w:rsid w:val="00F2473C"/>
    <w:rsid w:val="00F25C29"/>
    <w:rsid w:val="00F3024F"/>
    <w:rsid w:val="00F3209A"/>
    <w:rsid w:val="00F3271C"/>
    <w:rsid w:val="00F35319"/>
    <w:rsid w:val="00F35E53"/>
    <w:rsid w:val="00F40562"/>
    <w:rsid w:val="00F41F4C"/>
    <w:rsid w:val="00F42075"/>
    <w:rsid w:val="00F4254A"/>
    <w:rsid w:val="00F42E13"/>
    <w:rsid w:val="00F42E1C"/>
    <w:rsid w:val="00F43D19"/>
    <w:rsid w:val="00F459B0"/>
    <w:rsid w:val="00F472F7"/>
    <w:rsid w:val="00F47B57"/>
    <w:rsid w:val="00F52122"/>
    <w:rsid w:val="00F53064"/>
    <w:rsid w:val="00F56107"/>
    <w:rsid w:val="00F574A5"/>
    <w:rsid w:val="00F624AE"/>
    <w:rsid w:val="00F638C1"/>
    <w:rsid w:val="00F644AB"/>
    <w:rsid w:val="00F64C5F"/>
    <w:rsid w:val="00F64FC3"/>
    <w:rsid w:val="00F65906"/>
    <w:rsid w:val="00F660E6"/>
    <w:rsid w:val="00F662AA"/>
    <w:rsid w:val="00F66405"/>
    <w:rsid w:val="00F668B6"/>
    <w:rsid w:val="00F67BBE"/>
    <w:rsid w:val="00F71B87"/>
    <w:rsid w:val="00F7238E"/>
    <w:rsid w:val="00F734C2"/>
    <w:rsid w:val="00F756AD"/>
    <w:rsid w:val="00F75957"/>
    <w:rsid w:val="00F75F5F"/>
    <w:rsid w:val="00F76D86"/>
    <w:rsid w:val="00F7723C"/>
    <w:rsid w:val="00F81056"/>
    <w:rsid w:val="00F83484"/>
    <w:rsid w:val="00F83C11"/>
    <w:rsid w:val="00F83CDC"/>
    <w:rsid w:val="00F84771"/>
    <w:rsid w:val="00F84C8E"/>
    <w:rsid w:val="00F928C0"/>
    <w:rsid w:val="00F92911"/>
    <w:rsid w:val="00F92F27"/>
    <w:rsid w:val="00F96503"/>
    <w:rsid w:val="00F9713F"/>
    <w:rsid w:val="00FA2C2C"/>
    <w:rsid w:val="00FA44B4"/>
    <w:rsid w:val="00FB010E"/>
    <w:rsid w:val="00FB0551"/>
    <w:rsid w:val="00FB19ED"/>
    <w:rsid w:val="00FB2EB8"/>
    <w:rsid w:val="00FB34FF"/>
    <w:rsid w:val="00FB7F65"/>
    <w:rsid w:val="00FC04DF"/>
    <w:rsid w:val="00FC1569"/>
    <w:rsid w:val="00FC7B1B"/>
    <w:rsid w:val="00FD0E69"/>
    <w:rsid w:val="00FD1703"/>
    <w:rsid w:val="00FD1720"/>
    <w:rsid w:val="00FD2AED"/>
    <w:rsid w:val="00FD4451"/>
    <w:rsid w:val="00FD596C"/>
    <w:rsid w:val="00FD6C0A"/>
    <w:rsid w:val="00FD6E43"/>
    <w:rsid w:val="00FD7A10"/>
    <w:rsid w:val="00FD7C78"/>
    <w:rsid w:val="00FE1E56"/>
    <w:rsid w:val="00FE4EFB"/>
    <w:rsid w:val="00FE58A0"/>
    <w:rsid w:val="00FE5DE5"/>
    <w:rsid w:val="00FE704E"/>
    <w:rsid w:val="00FE747C"/>
    <w:rsid w:val="00FF2E1D"/>
    <w:rsid w:val="00FF3613"/>
    <w:rsid w:val="00FF4258"/>
    <w:rsid w:val="00FF64B3"/>
    <w:rsid w:val="00FF6B28"/>
    <w:rsid w:val="00FF6C6B"/>
    <w:rsid w:val="00FF742E"/>
    <w:rsid w:val="00FF77D5"/>
    <w:rsid w:val="0443821F"/>
    <w:rsid w:val="0AB46A00"/>
    <w:rsid w:val="0BF61C6A"/>
    <w:rsid w:val="0D15C8B5"/>
    <w:rsid w:val="0FDE33E4"/>
    <w:rsid w:val="119D9578"/>
    <w:rsid w:val="13203D7C"/>
    <w:rsid w:val="14BC0DDD"/>
    <w:rsid w:val="15125D8A"/>
    <w:rsid w:val="1694E8A2"/>
    <w:rsid w:val="198F7F00"/>
    <w:rsid w:val="1FFEC084"/>
    <w:rsid w:val="21E0891F"/>
    <w:rsid w:val="2A797FC5"/>
    <w:rsid w:val="2B09B925"/>
    <w:rsid w:val="2B1A8BD1"/>
    <w:rsid w:val="2B4960B1"/>
    <w:rsid w:val="2C5CD6CB"/>
    <w:rsid w:val="2F8ED90D"/>
    <w:rsid w:val="387D50EC"/>
    <w:rsid w:val="3EF34B50"/>
    <w:rsid w:val="40532EC3"/>
    <w:rsid w:val="40B984F4"/>
    <w:rsid w:val="413DB716"/>
    <w:rsid w:val="415257FF"/>
    <w:rsid w:val="4221064E"/>
    <w:rsid w:val="423359E4"/>
    <w:rsid w:val="43AD9416"/>
    <w:rsid w:val="46E534D8"/>
    <w:rsid w:val="48810539"/>
    <w:rsid w:val="4D60A3CF"/>
    <w:rsid w:val="531BAA72"/>
    <w:rsid w:val="536C9C00"/>
    <w:rsid w:val="53B34752"/>
    <w:rsid w:val="5A47DE77"/>
    <w:rsid w:val="5EBF15D8"/>
    <w:rsid w:val="6214725E"/>
    <w:rsid w:val="632B6B81"/>
    <w:rsid w:val="640D331B"/>
    <w:rsid w:val="6897AAD9"/>
    <w:rsid w:val="68F8B768"/>
    <w:rsid w:val="6B488F02"/>
    <w:rsid w:val="6D5C9811"/>
    <w:rsid w:val="6D6DEF82"/>
    <w:rsid w:val="71AA2967"/>
    <w:rsid w:val="72A32EB7"/>
    <w:rsid w:val="770D5786"/>
    <w:rsid w:val="7794D9E2"/>
    <w:rsid w:val="797C05E3"/>
    <w:rsid w:val="7CB66DA2"/>
    <w:rsid w:val="7F54B59D"/>
    <w:rsid w:val="7F6CA33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EA12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ind w:left="578" w:hanging="578"/>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nhideWhenUsed/>
    <w:rsid w:val="001A3992"/>
    <w:rPr>
      <w:sz w:val="16"/>
      <w:szCs w:val="16"/>
    </w:rPr>
  </w:style>
  <w:style w:type="paragraph" w:styleId="CommentText">
    <w:name w:val="annotation text"/>
    <w:basedOn w:val="Normal"/>
    <w:link w:val="CommentTextChar"/>
    <w:uiPriority w:val="99"/>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iPriority w:val="99"/>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uiPriority w:val="99"/>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CCF"/>
  </w:style>
  <w:style w:type="paragraph" w:customStyle="1" w:styleId="Paragraph">
    <w:name w:val="Paragraph"/>
    <w:link w:val="ParagraphChar"/>
    <w:uiPriority w:val="5"/>
    <w:rsid w:val="00240EA4"/>
    <w:pPr>
      <w:tabs>
        <w:tab w:val="left" w:pos="360"/>
        <w:tab w:val="left" w:pos="720"/>
        <w:tab w:val="left" w:pos="1080"/>
      </w:tabs>
      <w:spacing w:after="160"/>
    </w:pPr>
    <w:rPr>
      <w:rFonts w:ascii="Times New Roman" w:eastAsia="Arial" w:hAnsi="Times New Roman" w:cs="Times New Roman"/>
      <w:sz w:val="24"/>
      <w:szCs w:val="24"/>
      <w:lang w:val="en-US"/>
    </w:rPr>
  </w:style>
  <w:style w:type="character" w:customStyle="1" w:styleId="ParagraphChar">
    <w:name w:val="Paragraph Char"/>
    <w:link w:val="Paragraph"/>
    <w:uiPriority w:val="5"/>
    <w:rsid w:val="00240EA4"/>
    <w:rPr>
      <w:rFonts w:ascii="Times New Roman" w:eastAsia="Arial" w:hAnsi="Times New Roman" w:cs="Times New Roman"/>
      <w:sz w:val="24"/>
      <w:szCs w:val="24"/>
      <w:lang w:val="en-US"/>
    </w:rPr>
  </w:style>
  <w:style w:type="paragraph" w:styleId="Caption">
    <w:name w:val="caption"/>
    <w:aliases w:val="CG Caption,Char,Curagen Caption,Caption Char1,Caption Char Char"/>
    <w:basedOn w:val="Normal"/>
    <w:next w:val="Normal"/>
    <w:link w:val="CaptionChar"/>
    <w:uiPriority w:val="35"/>
    <w:unhideWhenUsed/>
    <w:qFormat/>
    <w:rsid w:val="00240EA4"/>
    <w:pPr>
      <w:keepNext/>
      <w:keepLines/>
      <w:tabs>
        <w:tab w:val="left" w:pos="1440"/>
      </w:tabs>
      <w:spacing w:before="120" w:after="120" w:line="240" w:lineRule="auto"/>
      <w:ind w:left="1440" w:hanging="1440"/>
    </w:pPr>
    <w:rPr>
      <w:rFonts w:ascii="Arial Bold" w:eastAsia="Arial" w:hAnsi="Arial Bold" w:cs="Times New Roman"/>
      <w:b/>
      <w:bCs/>
      <w:sz w:val="20"/>
      <w:szCs w:val="20"/>
      <w:lang w:val="en-US"/>
    </w:rPr>
  </w:style>
  <w:style w:type="paragraph" w:customStyle="1" w:styleId="Paragraph10pt">
    <w:name w:val="Paragraph 10 pt"/>
    <w:basedOn w:val="Paragraph"/>
    <w:uiPriority w:val="6"/>
    <w:rsid w:val="00240EA4"/>
    <w:pPr>
      <w:spacing w:after="120" w:line="240" w:lineRule="atLeast"/>
    </w:pPr>
    <w:rPr>
      <w:sz w:val="20"/>
    </w:rPr>
  </w:style>
  <w:style w:type="table" w:styleId="TableGrid">
    <w:name w:val="Table Grid"/>
    <w:basedOn w:val="TableNormal"/>
    <w:uiPriority w:val="59"/>
    <w:rsid w:val="00240EA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aliases w:val="CG Caption Char,Char Char,Curagen Caption Char,Caption Char1 Char,Caption Char Char Char"/>
    <w:basedOn w:val="DefaultParagraphFont"/>
    <w:link w:val="Caption"/>
    <w:uiPriority w:val="35"/>
    <w:rsid w:val="00240EA4"/>
    <w:rPr>
      <w:rFonts w:ascii="Arial Bold" w:eastAsia="Arial" w:hAnsi="Arial Bold"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240EA4"/>
    <w:rPr>
      <w:rFonts w:asciiTheme="minorHAnsi" w:hAnsiTheme="minorHAnsi"/>
      <w:b/>
      <w:bCs/>
    </w:rPr>
  </w:style>
  <w:style w:type="character" w:customStyle="1" w:styleId="CommentSubjectChar">
    <w:name w:val="Comment Subject Char"/>
    <w:basedOn w:val="CommentTextChar"/>
    <w:link w:val="CommentSubject"/>
    <w:uiPriority w:val="99"/>
    <w:semiHidden/>
    <w:rsid w:val="00240EA4"/>
    <w:rPr>
      <w:rFonts w:ascii="Cambria" w:hAnsi="Cambria"/>
      <w:b/>
      <w:bCs/>
      <w:sz w:val="20"/>
      <w:szCs w:val="20"/>
    </w:rPr>
  </w:style>
  <w:style w:type="paragraph" w:customStyle="1" w:styleId="TableFootnoteLetter">
    <w:name w:val="Table Footnote Letter"/>
    <w:basedOn w:val="Normal"/>
    <w:uiPriority w:val="13"/>
    <w:rsid w:val="006603FF"/>
    <w:pPr>
      <w:spacing w:after="20" w:line="240" w:lineRule="auto"/>
    </w:pPr>
    <w:rPr>
      <w:rFonts w:ascii="Times New Roman" w:eastAsia="Times New Roman" w:hAnsi="Times New Roman" w:cs="Times New Roman"/>
      <w:sz w:val="18"/>
      <w:szCs w:val="20"/>
      <w:lang w:val="en-US"/>
    </w:rPr>
  </w:style>
  <w:style w:type="paragraph" w:customStyle="1" w:styleId="TableFootnote">
    <w:name w:val="Table Footnote"/>
    <w:uiPriority w:val="13"/>
    <w:rsid w:val="006603FF"/>
    <w:pPr>
      <w:spacing w:after="0" w:line="240" w:lineRule="auto"/>
    </w:pPr>
    <w:rPr>
      <w:rFonts w:ascii="Times New Roman" w:eastAsia="Times New Roman" w:hAnsi="Times New Roman" w:cs="Times New Roman"/>
      <w:sz w:val="18"/>
      <w:szCs w:val="20"/>
      <w:lang w:val="en-US"/>
    </w:rPr>
  </w:style>
  <w:style w:type="paragraph" w:customStyle="1" w:styleId="TableTextLeft">
    <w:name w:val="TableTextLeft"/>
    <w:basedOn w:val="Normal"/>
    <w:qFormat/>
    <w:rsid w:val="006603FF"/>
    <w:pPr>
      <w:spacing w:before="20" w:after="20" w:line="240" w:lineRule="auto"/>
    </w:pPr>
    <w:rPr>
      <w:rFonts w:ascii="Times New Roman" w:eastAsia="Times New Roman" w:hAnsi="Times New Roman" w:cs="Times New Roman"/>
      <w:sz w:val="20"/>
      <w:szCs w:val="19"/>
      <w:lang w:val="en-US"/>
    </w:rPr>
  </w:style>
  <w:style w:type="paragraph" w:customStyle="1" w:styleId="TableHeadingCenter">
    <w:name w:val="TableHeadingCenter"/>
    <w:basedOn w:val="Normal"/>
    <w:qFormat/>
    <w:rsid w:val="006603FF"/>
    <w:pPr>
      <w:spacing w:before="20" w:after="20" w:line="240" w:lineRule="auto"/>
      <w:jc w:val="center"/>
    </w:pPr>
    <w:rPr>
      <w:rFonts w:ascii="Times New Roman" w:eastAsia="Times New Roman" w:hAnsi="Times New Roman" w:cs="Times New Roman"/>
      <w:b/>
      <w:sz w:val="20"/>
      <w:szCs w:val="19"/>
      <w:lang w:val="en-US"/>
    </w:rPr>
  </w:style>
  <w:style w:type="paragraph" w:customStyle="1" w:styleId="paragraph0">
    <w:name w:val="paragraph"/>
    <w:basedOn w:val="Normal"/>
    <w:rsid w:val="00F2263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F22638"/>
  </w:style>
  <w:style w:type="character" w:customStyle="1" w:styleId="scxw212071287">
    <w:name w:val="scxw212071287"/>
    <w:basedOn w:val="DefaultParagraphFont"/>
    <w:rsid w:val="00F22638"/>
  </w:style>
  <w:style w:type="character" w:customStyle="1" w:styleId="eop">
    <w:name w:val="eop"/>
    <w:basedOn w:val="DefaultParagraphFont"/>
    <w:rsid w:val="00F22638"/>
  </w:style>
  <w:style w:type="paragraph" w:styleId="Revision">
    <w:name w:val="Revision"/>
    <w:hidden/>
    <w:uiPriority w:val="99"/>
    <w:semiHidden/>
    <w:rsid w:val="005441A8"/>
    <w:pPr>
      <w:spacing w:after="0" w:line="240" w:lineRule="auto"/>
    </w:pPr>
  </w:style>
  <w:style w:type="paragraph" w:styleId="NormalWeb">
    <w:name w:val="Normal (Web)"/>
    <w:basedOn w:val="Normal"/>
    <w:uiPriority w:val="99"/>
    <w:unhideWhenUsed/>
    <w:rsid w:val="005F7D99"/>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GridTable1Light-Accent1">
    <w:name w:val="Grid Table 1 Light Accent 1"/>
    <w:basedOn w:val="TableNormal"/>
    <w:uiPriority w:val="46"/>
    <w:rsid w:val="00DD44F6"/>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unhideWhenUsed/>
    <w:qFormat/>
    <w:rsid w:val="00457DE7"/>
    <w:pPr>
      <w:spacing w:after="120" w:line="259" w:lineRule="auto"/>
    </w:pPr>
    <w:rPr>
      <w:rFonts w:ascii="Times New Roman" w:hAnsi="Times New Roman" w:cs="Times New Roman"/>
      <w:sz w:val="24"/>
      <w:szCs w:val="24"/>
      <w:lang w:val="en-US"/>
    </w:rPr>
  </w:style>
  <w:style w:type="character" w:customStyle="1" w:styleId="BodyTextChar">
    <w:name w:val="Body Text Char"/>
    <w:basedOn w:val="DefaultParagraphFont"/>
    <w:link w:val="BodyText"/>
    <w:uiPriority w:val="99"/>
    <w:rsid w:val="00457DE7"/>
    <w:rPr>
      <w:rFonts w:ascii="Times New Roman" w:hAnsi="Times New Roman" w:cs="Times New Roman"/>
      <w:sz w:val="24"/>
      <w:szCs w:val="24"/>
      <w:lang w:val="en-US"/>
    </w:rPr>
  </w:style>
  <w:style w:type="paragraph" w:customStyle="1" w:styleId="Labeltext">
    <w:name w:val="Label text"/>
    <w:basedOn w:val="Normal"/>
    <w:link w:val="LabeltextChar"/>
    <w:qFormat/>
    <w:rsid w:val="003C72EF"/>
    <w:pPr>
      <w:tabs>
        <w:tab w:val="left" w:pos="720"/>
      </w:tabs>
      <w:spacing w:after="120" w:line="240" w:lineRule="auto"/>
    </w:pPr>
    <w:rPr>
      <w:rFonts w:ascii="Times New Roman" w:eastAsia="Calibri" w:hAnsi="Times New Roman" w:cs="Times New Roman"/>
      <w:sz w:val="20"/>
      <w:szCs w:val="20"/>
      <w:lang w:val="en-US"/>
    </w:rPr>
  </w:style>
  <w:style w:type="character" w:customStyle="1" w:styleId="LabeltextChar">
    <w:name w:val="Label text Char"/>
    <w:link w:val="Labeltext"/>
    <w:rsid w:val="003C72EF"/>
    <w:rPr>
      <w:rFonts w:ascii="Times New Roman" w:eastAsia="Calibri" w:hAnsi="Times New Roman" w:cs="Times New Roman"/>
      <w:sz w:val="20"/>
      <w:szCs w:val="20"/>
      <w:lang w:val="en-US"/>
    </w:rPr>
  </w:style>
  <w:style w:type="character" w:styleId="FollowedHyperlink">
    <w:name w:val="FollowedHyperlink"/>
    <w:basedOn w:val="DefaultParagraphFont"/>
    <w:uiPriority w:val="99"/>
    <w:semiHidden/>
    <w:unhideWhenUsed/>
    <w:rsid w:val="007B6A3F"/>
    <w:rPr>
      <w:color w:val="800080" w:themeColor="followedHyperlink"/>
      <w:u w:val="single"/>
    </w:rPr>
  </w:style>
  <w:style w:type="paragraph" w:customStyle="1" w:styleId="Default">
    <w:name w:val="Default"/>
    <w:rsid w:val="001C2D11"/>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UnresolvedMention1">
    <w:name w:val="Unresolved Mention1"/>
    <w:basedOn w:val="DefaultParagraphFont"/>
    <w:uiPriority w:val="99"/>
    <w:semiHidden/>
    <w:unhideWhenUsed/>
    <w:rsid w:val="00A863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1700">
      <w:bodyDiv w:val="1"/>
      <w:marLeft w:val="0"/>
      <w:marRight w:val="0"/>
      <w:marTop w:val="0"/>
      <w:marBottom w:val="0"/>
      <w:divBdr>
        <w:top w:val="none" w:sz="0" w:space="0" w:color="auto"/>
        <w:left w:val="none" w:sz="0" w:space="0" w:color="auto"/>
        <w:bottom w:val="none" w:sz="0" w:space="0" w:color="auto"/>
        <w:right w:val="none" w:sz="0" w:space="0" w:color="auto"/>
      </w:divBdr>
    </w:div>
    <w:div w:id="65567083">
      <w:bodyDiv w:val="1"/>
      <w:marLeft w:val="0"/>
      <w:marRight w:val="0"/>
      <w:marTop w:val="0"/>
      <w:marBottom w:val="0"/>
      <w:divBdr>
        <w:top w:val="none" w:sz="0" w:space="0" w:color="auto"/>
        <w:left w:val="none" w:sz="0" w:space="0" w:color="auto"/>
        <w:bottom w:val="none" w:sz="0" w:space="0" w:color="auto"/>
        <w:right w:val="none" w:sz="0" w:space="0" w:color="auto"/>
      </w:divBdr>
    </w:div>
    <w:div w:id="109055498">
      <w:bodyDiv w:val="1"/>
      <w:marLeft w:val="0"/>
      <w:marRight w:val="0"/>
      <w:marTop w:val="0"/>
      <w:marBottom w:val="0"/>
      <w:divBdr>
        <w:top w:val="none" w:sz="0" w:space="0" w:color="auto"/>
        <w:left w:val="none" w:sz="0" w:space="0" w:color="auto"/>
        <w:bottom w:val="none" w:sz="0" w:space="0" w:color="auto"/>
        <w:right w:val="none" w:sz="0" w:space="0" w:color="auto"/>
      </w:divBdr>
    </w:div>
    <w:div w:id="748842177">
      <w:bodyDiv w:val="1"/>
      <w:marLeft w:val="0"/>
      <w:marRight w:val="0"/>
      <w:marTop w:val="0"/>
      <w:marBottom w:val="0"/>
      <w:divBdr>
        <w:top w:val="none" w:sz="0" w:space="0" w:color="auto"/>
        <w:left w:val="none" w:sz="0" w:space="0" w:color="auto"/>
        <w:bottom w:val="none" w:sz="0" w:space="0" w:color="auto"/>
        <w:right w:val="none" w:sz="0" w:space="0" w:color="auto"/>
      </w:divBdr>
    </w:div>
    <w:div w:id="895582079">
      <w:bodyDiv w:val="1"/>
      <w:marLeft w:val="0"/>
      <w:marRight w:val="0"/>
      <w:marTop w:val="0"/>
      <w:marBottom w:val="0"/>
      <w:divBdr>
        <w:top w:val="none" w:sz="0" w:space="0" w:color="auto"/>
        <w:left w:val="none" w:sz="0" w:space="0" w:color="auto"/>
        <w:bottom w:val="none" w:sz="0" w:space="0" w:color="auto"/>
        <w:right w:val="none" w:sz="0" w:space="0" w:color="auto"/>
      </w:divBdr>
      <w:divsChild>
        <w:div w:id="48966277">
          <w:marLeft w:val="0"/>
          <w:marRight w:val="0"/>
          <w:marTop w:val="0"/>
          <w:marBottom w:val="0"/>
          <w:divBdr>
            <w:top w:val="none" w:sz="0" w:space="0" w:color="auto"/>
            <w:left w:val="none" w:sz="0" w:space="0" w:color="auto"/>
            <w:bottom w:val="none" w:sz="0" w:space="0" w:color="auto"/>
            <w:right w:val="none" w:sz="0" w:space="0" w:color="auto"/>
          </w:divBdr>
        </w:div>
        <w:div w:id="567107567">
          <w:marLeft w:val="0"/>
          <w:marRight w:val="0"/>
          <w:marTop w:val="0"/>
          <w:marBottom w:val="0"/>
          <w:divBdr>
            <w:top w:val="none" w:sz="0" w:space="0" w:color="auto"/>
            <w:left w:val="none" w:sz="0" w:space="0" w:color="auto"/>
            <w:bottom w:val="none" w:sz="0" w:space="0" w:color="auto"/>
            <w:right w:val="none" w:sz="0" w:space="0" w:color="auto"/>
          </w:divBdr>
        </w:div>
      </w:divsChild>
    </w:div>
    <w:div w:id="972949611">
      <w:bodyDiv w:val="1"/>
      <w:marLeft w:val="0"/>
      <w:marRight w:val="0"/>
      <w:marTop w:val="0"/>
      <w:marBottom w:val="0"/>
      <w:divBdr>
        <w:top w:val="none" w:sz="0" w:space="0" w:color="auto"/>
        <w:left w:val="none" w:sz="0" w:space="0" w:color="auto"/>
        <w:bottom w:val="none" w:sz="0" w:space="0" w:color="auto"/>
        <w:right w:val="none" w:sz="0" w:space="0" w:color="auto"/>
      </w:divBdr>
    </w:div>
    <w:div w:id="1012994476">
      <w:bodyDiv w:val="1"/>
      <w:marLeft w:val="0"/>
      <w:marRight w:val="0"/>
      <w:marTop w:val="0"/>
      <w:marBottom w:val="0"/>
      <w:divBdr>
        <w:top w:val="none" w:sz="0" w:space="0" w:color="auto"/>
        <w:left w:val="none" w:sz="0" w:space="0" w:color="auto"/>
        <w:bottom w:val="none" w:sz="0" w:space="0" w:color="auto"/>
        <w:right w:val="none" w:sz="0" w:space="0" w:color="auto"/>
      </w:divBdr>
    </w:div>
    <w:div w:id="1035036724">
      <w:bodyDiv w:val="1"/>
      <w:marLeft w:val="0"/>
      <w:marRight w:val="0"/>
      <w:marTop w:val="0"/>
      <w:marBottom w:val="0"/>
      <w:divBdr>
        <w:top w:val="none" w:sz="0" w:space="0" w:color="auto"/>
        <w:left w:val="none" w:sz="0" w:space="0" w:color="auto"/>
        <w:bottom w:val="none" w:sz="0" w:space="0" w:color="auto"/>
        <w:right w:val="none" w:sz="0" w:space="0" w:color="auto"/>
      </w:divBdr>
      <w:divsChild>
        <w:div w:id="102580433">
          <w:marLeft w:val="0"/>
          <w:marRight w:val="0"/>
          <w:marTop w:val="0"/>
          <w:marBottom w:val="0"/>
          <w:divBdr>
            <w:top w:val="none" w:sz="0" w:space="0" w:color="auto"/>
            <w:left w:val="none" w:sz="0" w:space="0" w:color="auto"/>
            <w:bottom w:val="none" w:sz="0" w:space="0" w:color="auto"/>
            <w:right w:val="none" w:sz="0" w:space="0" w:color="auto"/>
          </w:divBdr>
          <w:divsChild>
            <w:div w:id="166986792">
              <w:marLeft w:val="0"/>
              <w:marRight w:val="0"/>
              <w:marTop w:val="30"/>
              <w:marBottom w:val="30"/>
              <w:divBdr>
                <w:top w:val="none" w:sz="0" w:space="0" w:color="auto"/>
                <w:left w:val="none" w:sz="0" w:space="0" w:color="auto"/>
                <w:bottom w:val="none" w:sz="0" w:space="0" w:color="auto"/>
                <w:right w:val="none" w:sz="0" w:space="0" w:color="auto"/>
              </w:divBdr>
              <w:divsChild>
                <w:div w:id="189877605">
                  <w:marLeft w:val="0"/>
                  <w:marRight w:val="0"/>
                  <w:marTop w:val="0"/>
                  <w:marBottom w:val="0"/>
                  <w:divBdr>
                    <w:top w:val="none" w:sz="0" w:space="0" w:color="auto"/>
                    <w:left w:val="none" w:sz="0" w:space="0" w:color="auto"/>
                    <w:bottom w:val="none" w:sz="0" w:space="0" w:color="auto"/>
                    <w:right w:val="none" w:sz="0" w:space="0" w:color="auto"/>
                  </w:divBdr>
                  <w:divsChild>
                    <w:div w:id="1115439245">
                      <w:marLeft w:val="0"/>
                      <w:marRight w:val="0"/>
                      <w:marTop w:val="0"/>
                      <w:marBottom w:val="0"/>
                      <w:divBdr>
                        <w:top w:val="none" w:sz="0" w:space="0" w:color="auto"/>
                        <w:left w:val="none" w:sz="0" w:space="0" w:color="auto"/>
                        <w:bottom w:val="none" w:sz="0" w:space="0" w:color="auto"/>
                        <w:right w:val="none" w:sz="0" w:space="0" w:color="auto"/>
                      </w:divBdr>
                    </w:div>
                  </w:divsChild>
                </w:div>
                <w:div w:id="194925627">
                  <w:marLeft w:val="0"/>
                  <w:marRight w:val="0"/>
                  <w:marTop w:val="0"/>
                  <w:marBottom w:val="0"/>
                  <w:divBdr>
                    <w:top w:val="none" w:sz="0" w:space="0" w:color="auto"/>
                    <w:left w:val="none" w:sz="0" w:space="0" w:color="auto"/>
                    <w:bottom w:val="none" w:sz="0" w:space="0" w:color="auto"/>
                    <w:right w:val="none" w:sz="0" w:space="0" w:color="auto"/>
                  </w:divBdr>
                  <w:divsChild>
                    <w:div w:id="1055932678">
                      <w:marLeft w:val="0"/>
                      <w:marRight w:val="0"/>
                      <w:marTop w:val="0"/>
                      <w:marBottom w:val="0"/>
                      <w:divBdr>
                        <w:top w:val="none" w:sz="0" w:space="0" w:color="auto"/>
                        <w:left w:val="none" w:sz="0" w:space="0" w:color="auto"/>
                        <w:bottom w:val="none" w:sz="0" w:space="0" w:color="auto"/>
                        <w:right w:val="none" w:sz="0" w:space="0" w:color="auto"/>
                      </w:divBdr>
                    </w:div>
                  </w:divsChild>
                </w:div>
                <w:div w:id="212618727">
                  <w:marLeft w:val="0"/>
                  <w:marRight w:val="0"/>
                  <w:marTop w:val="0"/>
                  <w:marBottom w:val="0"/>
                  <w:divBdr>
                    <w:top w:val="none" w:sz="0" w:space="0" w:color="auto"/>
                    <w:left w:val="none" w:sz="0" w:space="0" w:color="auto"/>
                    <w:bottom w:val="none" w:sz="0" w:space="0" w:color="auto"/>
                    <w:right w:val="none" w:sz="0" w:space="0" w:color="auto"/>
                  </w:divBdr>
                  <w:divsChild>
                    <w:div w:id="359746515">
                      <w:marLeft w:val="0"/>
                      <w:marRight w:val="0"/>
                      <w:marTop w:val="0"/>
                      <w:marBottom w:val="0"/>
                      <w:divBdr>
                        <w:top w:val="none" w:sz="0" w:space="0" w:color="auto"/>
                        <w:left w:val="none" w:sz="0" w:space="0" w:color="auto"/>
                        <w:bottom w:val="none" w:sz="0" w:space="0" w:color="auto"/>
                        <w:right w:val="none" w:sz="0" w:space="0" w:color="auto"/>
                      </w:divBdr>
                    </w:div>
                  </w:divsChild>
                </w:div>
                <w:div w:id="224151379">
                  <w:marLeft w:val="0"/>
                  <w:marRight w:val="0"/>
                  <w:marTop w:val="0"/>
                  <w:marBottom w:val="0"/>
                  <w:divBdr>
                    <w:top w:val="none" w:sz="0" w:space="0" w:color="auto"/>
                    <w:left w:val="none" w:sz="0" w:space="0" w:color="auto"/>
                    <w:bottom w:val="none" w:sz="0" w:space="0" w:color="auto"/>
                    <w:right w:val="none" w:sz="0" w:space="0" w:color="auto"/>
                  </w:divBdr>
                  <w:divsChild>
                    <w:div w:id="1653949935">
                      <w:marLeft w:val="0"/>
                      <w:marRight w:val="0"/>
                      <w:marTop w:val="0"/>
                      <w:marBottom w:val="0"/>
                      <w:divBdr>
                        <w:top w:val="none" w:sz="0" w:space="0" w:color="auto"/>
                        <w:left w:val="none" w:sz="0" w:space="0" w:color="auto"/>
                        <w:bottom w:val="none" w:sz="0" w:space="0" w:color="auto"/>
                        <w:right w:val="none" w:sz="0" w:space="0" w:color="auto"/>
                      </w:divBdr>
                    </w:div>
                  </w:divsChild>
                </w:div>
                <w:div w:id="324556309">
                  <w:marLeft w:val="0"/>
                  <w:marRight w:val="0"/>
                  <w:marTop w:val="0"/>
                  <w:marBottom w:val="0"/>
                  <w:divBdr>
                    <w:top w:val="none" w:sz="0" w:space="0" w:color="auto"/>
                    <w:left w:val="none" w:sz="0" w:space="0" w:color="auto"/>
                    <w:bottom w:val="none" w:sz="0" w:space="0" w:color="auto"/>
                    <w:right w:val="none" w:sz="0" w:space="0" w:color="auto"/>
                  </w:divBdr>
                  <w:divsChild>
                    <w:div w:id="828519221">
                      <w:marLeft w:val="0"/>
                      <w:marRight w:val="0"/>
                      <w:marTop w:val="0"/>
                      <w:marBottom w:val="0"/>
                      <w:divBdr>
                        <w:top w:val="none" w:sz="0" w:space="0" w:color="auto"/>
                        <w:left w:val="none" w:sz="0" w:space="0" w:color="auto"/>
                        <w:bottom w:val="none" w:sz="0" w:space="0" w:color="auto"/>
                        <w:right w:val="none" w:sz="0" w:space="0" w:color="auto"/>
                      </w:divBdr>
                    </w:div>
                  </w:divsChild>
                </w:div>
                <w:div w:id="410852725">
                  <w:marLeft w:val="0"/>
                  <w:marRight w:val="0"/>
                  <w:marTop w:val="0"/>
                  <w:marBottom w:val="0"/>
                  <w:divBdr>
                    <w:top w:val="none" w:sz="0" w:space="0" w:color="auto"/>
                    <w:left w:val="none" w:sz="0" w:space="0" w:color="auto"/>
                    <w:bottom w:val="none" w:sz="0" w:space="0" w:color="auto"/>
                    <w:right w:val="none" w:sz="0" w:space="0" w:color="auto"/>
                  </w:divBdr>
                  <w:divsChild>
                    <w:div w:id="44723925">
                      <w:marLeft w:val="0"/>
                      <w:marRight w:val="0"/>
                      <w:marTop w:val="0"/>
                      <w:marBottom w:val="0"/>
                      <w:divBdr>
                        <w:top w:val="none" w:sz="0" w:space="0" w:color="auto"/>
                        <w:left w:val="none" w:sz="0" w:space="0" w:color="auto"/>
                        <w:bottom w:val="none" w:sz="0" w:space="0" w:color="auto"/>
                        <w:right w:val="none" w:sz="0" w:space="0" w:color="auto"/>
                      </w:divBdr>
                    </w:div>
                  </w:divsChild>
                </w:div>
                <w:div w:id="430008128">
                  <w:marLeft w:val="0"/>
                  <w:marRight w:val="0"/>
                  <w:marTop w:val="0"/>
                  <w:marBottom w:val="0"/>
                  <w:divBdr>
                    <w:top w:val="none" w:sz="0" w:space="0" w:color="auto"/>
                    <w:left w:val="none" w:sz="0" w:space="0" w:color="auto"/>
                    <w:bottom w:val="none" w:sz="0" w:space="0" w:color="auto"/>
                    <w:right w:val="none" w:sz="0" w:space="0" w:color="auto"/>
                  </w:divBdr>
                  <w:divsChild>
                    <w:div w:id="1737624591">
                      <w:marLeft w:val="0"/>
                      <w:marRight w:val="0"/>
                      <w:marTop w:val="0"/>
                      <w:marBottom w:val="0"/>
                      <w:divBdr>
                        <w:top w:val="none" w:sz="0" w:space="0" w:color="auto"/>
                        <w:left w:val="none" w:sz="0" w:space="0" w:color="auto"/>
                        <w:bottom w:val="none" w:sz="0" w:space="0" w:color="auto"/>
                        <w:right w:val="none" w:sz="0" w:space="0" w:color="auto"/>
                      </w:divBdr>
                    </w:div>
                  </w:divsChild>
                </w:div>
                <w:div w:id="441340633">
                  <w:marLeft w:val="0"/>
                  <w:marRight w:val="0"/>
                  <w:marTop w:val="0"/>
                  <w:marBottom w:val="0"/>
                  <w:divBdr>
                    <w:top w:val="none" w:sz="0" w:space="0" w:color="auto"/>
                    <w:left w:val="none" w:sz="0" w:space="0" w:color="auto"/>
                    <w:bottom w:val="none" w:sz="0" w:space="0" w:color="auto"/>
                    <w:right w:val="none" w:sz="0" w:space="0" w:color="auto"/>
                  </w:divBdr>
                  <w:divsChild>
                    <w:div w:id="1049888452">
                      <w:marLeft w:val="0"/>
                      <w:marRight w:val="0"/>
                      <w:marTop w:val="0"/>
                      <w:marBottom w:val="0"/>
                      <w:divBdr>
                        <w:top w:val="none" w:sz="0" w:space="0" w:color="auto"/>
                        <w:left w:val="none" w:sz="0" w:space="0" w:color="auto"/>
                        <w:bottom w:val="none" w:sz="0" w:space="0" w:color="auto"/>
                        <w:right w:val="none" w:sz="0" w:space="0" w:color="auto"/>
                      </w:divBdr>
                    </w:div>
                  </w:divsChild>
                </w:div>
                <w:div w:id="470177579">
                  <w:marLeft w:val="0"/>
                  <w:marRight w:val="0"/>
                  <w:marTop w:val="0"/>
                  <w:marBottom w:val="0"/>
                  <w:divBdr>
                    <w:top w:val="none" w:sz="0" w:space="0" w:color="auto"/>
                    <w:left w:val="none" w:sz="0" w:space="0" w:color="auto"/>
                    <w:bottom w:val="none" w:sz="0" w:space="0" w:color="auto"/>
                    <w:right w:val="none" w:sz="0" w:space="0" w:color="auto"/>
                  </w:divBdr>
                  <w:divsChild>
                    <w:div w:id="506946628">
                      <w:marLeft w:val="0"/>
                      <w:marRight w:val="0"/>
                      <w:marTop w:val="0"/>
                      <w:marBottom w:val="0"/>
                      <w:divBdr>
                        <w:top w:val="none" w:sz="0" w:space="0" w:color="auto"/>
                        <w:left w:val="none" w:sz="0" w:space="0" w:color="auto"/>
                        <w:bottom w:val="none" w:sz="0" w:space="0" w:color="auto"/>
                        <w:right w:val="none" w:sz="0" w:space="0" w:color="auto"/>
                      </w:divBdr>
                    </w:div>
                  </w:divsChild>
                </w:div>
                <w:div w:id="500513104">
                  <w:marLeft w:val="0"/>
                  <w:marRight w:val="0"/>
                  <w:marTop w:val="0"/>
                  <w:marBottom w:val="0"/>
                  <w:divBdr>
                    <w:top w:val="none" w:sz="0" w:space="0" w:color="auto"/>
                    <w:left w:val="none" w:sz="0" w:space="0" w:color="auto"/>
                    <w:bottom w:val="none" w:sz="0" w:space="0" w:color="auto"/>
                    <w:right w:val="none" w:sz="0" w:space="0" w:color="auto"/>
                  </w:divBdr>
                  <w:divsChild>
                    <w:div w:id="476603947">
                      <w:marLeft w:val="0"/>
                      <w:marRight w:val="0"/>
                      <w:marTop w:val="0"/>
                      <w:marBottom w:val="0"/>
                      <w:divBdr>
                        <w:top w:val="none" w:sz="0" w:space="0" w:color="auto"/>
                        <w:left w:val="none" w:sz="0" w:space="0" w:color="auto"/>
                        <w:bottom w:val="none" w:sz="0" w:space="0" w:color="auto"/>
                        <w:right w:val="none" w:sz="0" w:space="0" w:color="auto"/>
                      </w:divBdr>
                    </w:div>
                  </w:divsChild>
                </w:div>
                <w:div w:id="527521699">
                  <w:marLeft w:val="0"/>
                  <w:marRight w:val="0"/>
                  <w:marTop w:val="0"/>
                  <w:marBottom w:val="0"/>
                  <w:divBdr>
                    <w:top w:val="none" w:sz="0" w:space="0" w:color="auto"/>
                    <w:left w:val="none" w:sz="0" w:space="0" w:color="auto"/>
                    <w:bottom w:val="none" w:sz="0" w:space="0" w:color="auto"/>
                    <w:right w:val="none" w:sz="0" w:space="0" w:color="auto"/>
                  </w:divBdr>
                  <w:divsChild>
                    <w:div w:id="589192533">
                      <w:marLeft w:val="0"/>
                      <w:marRight w:val="0"/>
                      <w:marTop w:val="0"/>
                      <w:marBottom w:val="0"/>
                      <w:divBdr>
                        <w:top w:val="none" w:sz="0" w:space="0" w:color="auto"/>
                        <w:left w:val="none" w:sz="0" w:space="0" w:color="auto"/>
                        <w:bottom w:val="none" w:sz="0" w:space="0" w:color="auto"/>
                        <w:right w:val="none" w:sz="0" w:space="0" w:color="auto"/>
                      </w:divBdr>
                    </w:div>
                  </w:divsChild>
                </w:div>
                <w:div w:id="721444702">
                  <w:marLeft w:val="0"/>
                  <w:marRight w:val="0"/>
                  <w:marTop w:val="0"/>
                  <w:marBottom w:val="0"/>
                  <w:divBdr>
                    <w:top w:val="none" w:sz="0" w:space="0" w:color="auto"/>
                    <w:left w:val="none" w:sz="0" w:space="0" w:color="auto"/>
                    <w:bottom w:val="none" w:sz="0" w:space="0" w:color="auto"/>
                    <w:right w:val="none" w:sz="0" w:space="0" w:color="auto"/>
                  </w:divBdr>
                  <w:divsChild>
                    <w:div w:id="688726503">
                      <w:marLeft w:val="0"/>
                      <w:marRight w:val="0"/>
                      <w:marTop w:val="0"/>
                      <w:marBottom w:val="0"/>
                      <w:divBdr>
                        <w:top w:val="none" w:sz="0" w:space="0" w:color="auto"/>
                        <w:left w:val="none" w:sz="0" w:space="0" w:color="auto"/>
                        <w:bottom w:val="none" w:sz="0" w:space="0" w:color="auto"/>
                        <w:right w:val="none" w:sz="0" w:space="0" w:color="auto"/>
                      </w:divBdr>
                    </w:div>
                    <w:div w:id="1147823766">
                      <w:marLeft w:val="0"/>
                      <w:marRight w:val="0"/>
                      <w:marTop w:val="0"/>
                      <w:marBottom w:val="0"/>
                      <w:divBdr>
                        <w:top w:val="none" w:sz="0" w:space="0" w:color="auto"/>
                        <w:left w:val="none" w:sz="0" w:space="0" w:color="auto"/>
                        <w:bottom w:val="none" w:sz="0" w:space="0" w:color="auto"/>
                        <w:right w:val="none" w:sz="0" w:space="0" w:color="auto"/>
                      </w:divBdr>
                    </w:div>
                  </w:divsChild>
                </w:div>
                <w:div w:id="731807605">
                  <w:marLeft w:val="0"/>
                  <w:marRight w:val="0"/>
                  <w:marTop w:val="0"/>
                  <w:marBottom w:val="0"/>
                  <w:divBdr>
                    <w:top w:val="none" w:sz="0" w:space="0" w:color="auto"/>
                    <w:left w:val="none" w:sz="0" w:space="0" w:color="auto"/>
                    <w:bottom w:val="none" w:sz="0" w:space="0" w:color="auto"/>
                    <w:right w:val="none" w:sz="0" w:space="0" w:color="auto"/>
                  </w:divBdr>
                  <w:divsChild>
                    <w:div w:id="687482664">
                      <w:marLeft w:val="0"/>
                      <w:marRight w:val="0"/>
                      <w:marTop w:val="0"/>
                      <w:marBottom w:val="0"/>
                      <w:divBdr>
                        <w:top w:val="none" w:sz="0" w:space="0" w:color="auto"/>
                        <w:left w:val="none" w:sz="0" w:space="0" w:color="auto"/>
                        <w:bottom w:val="none" w:sz="0" w:space="0" w:color="auto"/>
                        <w:right w:val="none" w:sz="0" w:space="0" w:color="auto"/>
                      </w:divBdr>
                    </w:div>
                  </w:divsChild>
                </w:div>
                <w:div w:id="753165505">
                  <w:marLeft w:val="0"/>
                  <w:marRight w:val="0"/>
                  <w:marTop w:val="0"/>
                  <w:marBottom w:val="0"/>
                  <w:divBdr>
                    <w:top w:val="none" w:sz="0" w:space="0" w:color="auto"/>
                    <w:left w:val="none" w:sz="0" w:space="0" w:color="auto"/>
                    <w:bottom w:val="none" w:sz="0" w:space="0" w:color="auto"/>
                    <w:right w:val="none" w:sz="0" w:space="0" w:color="auto"/>
                  </w:divBdr>
                  <w:divsChild>
                    <w:div w:id="1304429119">
                      <w:marLeft w:val="0"/>
                      <w:marRight w:val="0"/>
                      <w:marTop w:val="0"/>
                      <w:marBottom w:val="0"/>
                      <w:divBdr>
                        <w:top w:val="none" w:sz="0" w:space="0" w:color="auto"/>
                        <w:left w:val="none" w:sz="0" w:space="0" w:color="auto"/>
                        <w:bottom w:val="none" w:sz="0" w:space="0" w:color="auto"/>
                        <w:right w:val="none" w:sz="0" w:space="0" w:color="auto"/>
                      </w:divBdr>
                    </w:div>
                  </w:divsChild>
                </w:div>
                <w:div w:id="755396070">
                  <w:marLeft w:val="0"/>
                  <w:marRight w:val="0"/>
                  <w:marTop w:val="0"/>
                  <w:marBottom w:val="0"/>
                  <w:divBdr>
                    <w:top w:val="none" w:sz="0" w:space="0" w:color="auto"/>
                    <w:left w:val="none" w:sz="0" w:space="0" w:color="auto"/>
                    <w:bottom w:val="none" w:sz="0" w:space="0" w:color="auto"/>
                    <w:right w:val="none" w:sz="0" w:space="0" w:color="auto"/>
                  </w:divBdr>
                  <w:divsChild>
                    <w:div w:id="895237883">
                      <w:marLeft w:val="0"/>
                      <w:marRight w:val="0"/>
                      <w:marTop w:val="0"/>
                      <w:marBottom w:val="0"/>
                      <w:divBdr>
                        <w:top w:val="none" w:sz="0" w:space="0" w:color="auto"/>
                        <w:left w:val="none" w:sz="0" w:space="0" w:color="auto"/>
                        <w:bottom w:val="none" w:sz="0" w:space="0" w:color="auto"/>
                        <w:right w:val="none" w:sz="0" w:space="0" w:color="auto"/>
                      </w:divBdr>
                    </w:div>
                  </w:divsChild>
                </w:div>
                <w:div w:id="759374638">
                  <w:marLeft w:val="0"/>
                  <w:marRight w:val="0"/>
                  <w:marTop w:val="0"/>
                  <w:marBottom w:val="0"/>
                  <w:divBdr>
                    <w:top w:val="none" w:sz="0" w:space="0" w:color="auto"/>
                    <w:left w:val="none" w:sz="0" w:space="0" w:color="auto"/>
                    <w:bottom w:val="none" w:sz="0" w:space="0" w:color="auto"/>
                    <w:right w:val="none" w:sz="0" w:space="0" w:color="auto"/>
                  </w:divBdr>
                  <w:divsChild>
                    <w:div w:id="1138764797">
                      <w:marLeft w:val="0"/>
                      <w:marRight w:val="0"/>
                      <w:marTop w:val="0"/>
                      <w:marBottom w:val="0"/>
                      <w:divBdr>
                        <w:top w:val="none" w:sz="0" w:space="0" w:color="auto"/>
                        <w:left w:val="none" w:sz="0" w:space="0" w:color="auto"/>
                        <w:bottom w:val="none" w:sz="0" w:space="0" w:color="auto"/>
                        <w:right w:val="none" w:sz="0" w:space="0" w:color="auto"/>
                      </w:divBdr>
                    </w:div>
                    <w:div w:id="2007399798">
                      <w:marLeft w:val="0"/>
                      <w:marRight w:val="0"/>
                      <w:marTop w:val="0"/>
                      <w:marBottom w:val="0"/>
                      <w:divBdr>
                        <w:top w:val="none" w:sz="0" w:space="0" w:color="auto"/>
                        <w:left w:val="none" w:sz="0" w:space="0" w:color="auto"/>
                        <w:bottom w:val="none" w:sz="0" w:space="0" w:color="auto"/>
                        <w:right w:val="none" w:sz="0" w:space="0" w:color="auto"/>
                      </w:divBdr>
                    </w:div>
                  </w:divsChild>
                </w:div>
                <w:div w:id="791290617">
                  <w:marLeft w:val="0"/>
                  <w:marRight w:val="0"/>
                  <w:marTop w:val="0"/>
                  <w:marBottom w:val="0"/>
                  <w:divBdr>
                    <w:top w:val="none" w:sz="0" w:space="0" w:color="auto"/>
                    <w:left w:val="none" w:sz="0" w:space="0" w:color="auto"/>
                    <w:bottom w:val="none" w:sz="0" w:space="0" w:color="auto"/>
                    <w:right w:val="none" w:sz="0" w:space="0" w:color="auto"/>
                  </w:divBdr>
                  <w:divsChild>
                    <w:div w:id="844788475">
                      <w:marLeft w:val="0"/>
                      <w:marRight w:val="0"/>
                      <w:marTop w:val="0"/>
                      <w:marBottom w:val="0"/>
                      <w:divBdr>
                        <w:top w:val="none" w:sz="0" w:space="0" w:color="auto"/>
                        <w:left w:val="none" w:sz="0" w:space="0" w:color="auto"/>
                        <w:bottom w:val="none" w:sz="0" w:space="0" w:color="auto"/>
                        <w:right w:val="none" w:sz="0" w:space="0" w:color="auto"/>
                      </w:divBdr>
                    </w:div>
                  </w:divsChild>
                </w:div>
                <w:div w:id="828447928">
                  <w:marLeft w:val="0"/>
                  <w:marRight w:val="0"/>
                  <w:marTop w:val="0"/>
                  <w:marBottom w:val="0"/>
                  <w:divBdr>
                    <w:top w:val="none" w:sz="0" w:space="0" w:color="auto"/>
                    <w:left w:val="none" w:sz="0" w:space="0" w:color="auto"/>
                    <w:bottom w:val="none" w:sz="0" w:space="0" w:color="auto"/>
                    <w:right w:val="none" w:sz="0" w:space="0" w:color="auto"/>
                  </w:divBdr>
                  <w:divsChild>
                    <w:div w:id="741608947">
                      <w:marLeft w:val="0"/>
                      <w:marRight w:val="0"/>
                      <w:marTop w:val="0"/>
                      <w:marBottom w:val="0"/>
                      <w:divBdr>
                        <w:top w:val="none" w:sz="0" w:space="0" w:color="auto"/>
                        <w:left w:val="none" w:sz="0" w:space="0" w:color="auto"/>
                        <w:bottom w:val="none" w:sz="0" w:space="0" w:color="auto"/>
                        <w:right w:val="none" w:sz="0" w:space="0" w:color="auto"/>
                      </w:divBdr>
                    </w:div>
                  </w:divsChild>
                </w:div>
                <w:div w:id="849680220">
                  <w:marLeft w:val="0"/>
                  <w:marRight w:val="0"/>
                  <w:marTop w:val="0"/>
                  <w:marBottom w:val="0"/>
                  <w:divBdr>
                    <w:top w:val="none" w:sz="0" w:space="0" w:color="auto"/>
                    <w:left w:val="none" w:sz="0" w:space="0" w:color="auto"/>
                    <w:bottom w:val="none" w:sz="0" w:space="0" w:color="auto"/>
                    <w:right w:val="none" w:sz="0" w:space="0" w:color="auto"/>
                  </w:divBdr>
                  <w:divsChild>
                    <w:div w:id="2131317377">
                      <w:marLeft w:val="0"/>
                      <w:marRight w:val="0"/>
                      <w:marTop w:val="0"/>
                      <w:marBottom w:val="0"/>
                      <w:divBdr>
                        <w:top w:val="none" w:sz="0" w:space="0" w:color="auto"/>
                        <w:left w:val="none" w:sz="0" w:space="0" w:color="auto"/>
                        <w:bottom w:val="none" w:sz="0" w:space="0" w:color="auto"/>
                        <w:right w:val="none" w:sz="0" w:space="0" w:color="auto"/>
                      </w:divBdr>
                    </w:div>
                  </w:divsChild>
                </w:div>
                <w:div w:id="890313859">
                  <w:marLeft w:val="0"/>
                  <w:marRight w:val="0"/>
                  <w:marTop w:val="0"/>
                  <w:marBottom w:val="0"/>
                  <w:divBdr>
                    <w:top w:val="none" w:sz="0" w:space="0" w:color="auto"/>
                    <w:left w:val="none" w:sz="0" w:space="0" w:color="auto"/>
                    <w:bottom w:val="none" w:sz="0" w:space="0" w:color="auto"/>
                    <w:right w:val="none" w:sz="0" w:space="0" w:color="auto"/>
                  </w:divBdr>
                  <w:divsChild>
                    <w:div w:id="866336650">
                      <w:marLeft w:val="0"/>
                      <w:marRight w:val="0"/>
                      <w:marTop w:val="0"/>
                      <w:marBottom w:val="0"/>
                      <w:divBdr>
                        <w:top w:val="none" w:sz="0" w:space="0" w:color="auto"/>
                        <w:left w:val="none" w:sz="0" w:space="0" w:color="auto"/>
                        <w:bottom w:val="none" w:sz="0" w:space="0" w:color="auto"/>
                        <w:right w:val="none" w:sz="0" w:space="0" w:color="auto"/>
                      </w:divBdr>
                    </w:div>
                  </w:divsChild>
                </w:div>
                <w:div w:id="924874852">
                  <w:marLeft w:val="0"/>
                  <w:marRight w:val="0"/>
                  <w:marTop w:val="0"/>
                  <w:marBottom w:val="0"/>
                  <w:divBdr>
                    <w:top w:val="none" w:sz="0" w:space="0" w:color="auto"/>
                    <w:left w:val="none" w:sz="0" w:space="0" w:color="auto"/>
                    <w:bottom w:val="none" w:sz="0" w:space="0" w:color="auto"/>
                    <w:right w:val="none" w:sz="0" w:space="0" w:color="auto"/>
                  </w:divBdr>
                  <w:divsChild>
                    <w:div w:id="1771271971">
                      <w:marLeft w:val="0"/>
                      <w:marRight w:val="0"/>
                      <w:marTop w:val="0"/>
                      <w:marBottom w:val="0"/>
                      <w:divBdr>
                        <w:top w:val="none" w:sz="0" w:space="0" w:color="auto"/>
                        <w:left w:val="none" w:sz="0" w:space="0" w:color="auto"/>
                        <w:bottom w:val="none" w:sz="0" w:space="0" w:color="auto"/>
                        <w:right w:val="none" w:sz="0" w:space="0" w:color="auto"/>
                      </w:divBdr>
                    </w:div>
                  </w:divsChild>
                </w:div>
                <w:div w:id="926502735">
                  <w:marLeft w:val="0"/>
                  <w:marRight w:val="0"/>
                  <w:marTop w:val="0"/>
                  <w:marBottom w:val="0"/>
                  <w:divBdr>
                    <w:top w:val="none" w:sz="0" w:space="0" w:color="auto"/>
                    <w:left w:val="none" w:sz="0" w:space="0" w:color="auto"/>
                    <w:bottom w:val="none" w:sz="0" w:space="0" w:color="auto"/>
                    <w:right w:val="none" w:sz="0" w:space="0" w:color="auto"/>
                  </w:divBdr>
                  <w:divsChild>
                    <w:div w:id="843861582">
                      <w:marLeft w:val="0"/>
                      <w:marRight w:val="0"/>
                      <w:marTop w:val="0"/>
                      <w:marBottom w:val="0"/>
                      <w:divBdr>
                        <w:top w:val="none" w:sz="0" w:space="0" w:color="auto"/>
                        <w:left w:val="none" w:sz="0" w:space="0" w:color="auto"/>
                        <w:bottom w:val="none" w:sz="0" w:space="0" w:color="auto"/>
                        <w:right w:val="none" w:sz="0" w:space="0" w:color="auto"/>
                      </w:divBdr>
                    </w:div>
                  </w:divsChild>
                </w:div>
                <w:div w:id="950747795">
                  <w:marLeft w:val="0"/>
                  <w:marRight w:val="0"/>
                  <w:marTop w:val="0"/>
                  <w:marBottom w:val="0"/>
                  <w:divBdr>
                    <w:top w:val="none" w:sz="0" w:space="0" w:color="auto"/>
                    <w:left w:val="none" w:sz="0" w:space="0" w:color="auto"/>
                    <w:bottom w:val="none" w:sz="0" w:space="0" w:color="auto"/>
                    <w:right w:val="none" w:sz="0" w:space="0" w:color="auto"/>
                  </w:divBdr>
                  <w:divsChild>
                    <w:div w:id="1481381394">
                      <w:marLeft w:val="0"/>
                      <w:marRight w:val="0"/>
                      <w:marTop w:val="0"/>
                      <w:marBottom w:val="0"/>
                      <w:divBdr>
                        <w:top w:val="none" w:sz="0" w:space="0" w:color="auto"/>
                        <w:left w:val="none" w:sz="0" w:space="0" w:color="auto"/>
                        <w:bottom w:val="none" w:sz="0" w:space="0" w:color="auto"/>
                        <w:right w:val="none" w:sz="0" w:space="0" w:color="auto"/>
                      </w:divBdr>
                    </w:div>
                  </w:divsChild>
                </w:div>
                <w:div w:id="952203824">
                  <w:marLeft w:val="0"/>
                  <w:marRight w:val="0"/>
                  <w:marTop w:val="0"/>
                  <w:marBottom w:val="0"/>
                  <w:divBdr>
                    <w:top w:val="none" w:sz="0" w:space="0" w:color="auto"/>
                    <w:left w:val="none" w:sz="0" w:space="0" w:color="auto"/>
                    <w:bottom w:val="none" w:sz="0" w:space="0" w:color="auto"/>
                    <w:right w:val="none" w:sz="0" w:space="0" w:color="auto"/>
                  </w:divBdr>
                  <w:divsChild>
                    <w:div w:id="1730684865">
                      <w:marLeft w:val="0"/>
                      <w:marRight w:val="0"/>
                      <w:marTop w:val="0"/>
                      <w:marBottom w:val="0"/>
                      <w:divBdr>
                        <w:top w:val="none" w:sz="0" w:space="0" w:color="auto"/>
                        <w:left w:val="none" w:sz="0" w:space="0" w:color="auto"/>
                        <w:bottom w:val="none" w:sz="0" w:space="0" w:color="auto"/>
                        <w:right w:val="none" w:sz="0" w:space="0" w:color="auto"/>
                      </w:divBdr>
                    </w:div>
                  </w:divsChild>
                </w:div>
                <w:div w:id="1113987144">
                  <w:marLeft w:val="0"/>
                  <w:marRight w:val="0"/>
                  <w:marTop w:val="0"/>
                  <w:marBottom w:val="0"/>
                  <w:divBdr>
                    <w:top w:val="none" w:sz="0" w:space="0" w:color="auto"/>
                    <w:left w:val="none" w:sz="0" w:space="0" w:color="auto"/>
                    <w:bottom w:val="none" w:sz="0" w:space="0" w:color="auto"/>
                    <w:right w:val="none" w:sz="0" w:space="0" w:color="auto"/>
                  </w:divBdr>
                  <w:divsChild>
                    <w:div w:id="2032223273">
                      <w:marLeft w:val="0"/>
                      <w:marRight w:val="0"/>
                      <w:marTop w:val="0"/>
                      <w:marBottom w:val="0"/>
                      <w:divBdr>
                        <w:top w:val="none" w:sz="0" w:space="0" w:color="auto"/>
                        <w:left w:val="none" w:sz="0" w:space="0" w:color="auto"/>
                        <w:bottom w:val="none" w:sz="0" w:space="0" w:color="auto"/>
                        <w:right w:val="none" w:sz="0" w:space="0" w:color="auto"/>
                      </w:divBdr>
                    </w:div>
                    <w:div w:id="2043241941">
                      <w:marLeft w:val="0"/>
                      <w:marRight w:val="0"/>
                      <w:marTop w:val="0"/>
                      <w:marBottom w:val="0"/>
                      <w:divBdr>
                        <w:top w:val="none" w:sz="0" w:space="0" w:color="auto"/>
                        <w:left w:val="none" w:sz="0" w:space="0" w:color="auto"/>
                        <w:bottom w:val="none" w:sz="0" w:space="0" w:color="auto"/>
                        <w:right w:val="none" w:sz="0" w:space="0" w:color="auto"/>
                      </w:divBdr>
                    </w:div>
                  </w:divsChild>
                </w:div>
                <w:div w:id="1184394184">
                  <w:marLeft w:val="0"/>
                  <w:marRight w:val="0"/>
                  <w:marTop w:val="0"/>
                  <w:marBottom w:val="0"/>
                  <w:divBdr>
                    <w:top w:val="none" w:sz="0" w:space="0" w:color="auto"/>
                    <w:left w:val="none" w:sz="0" w:space="0" w:color="auto"/>
                    <w:bottom w:val="none" w:sz="0" w:space="0" w:color="auto"/>
                    <w:right w:val="none" w:sz="0" w:space="0" w:color="auto"/>
                  </w:divBdr>
                  <w:divsChild>
                    <w:div w:id="104279632">
                      <w:marLeft w:val="0"/>
                      <w:marRight w:val="0"/>
                      <w:marTop w:val="0"/>
                      <w:marBottom w:val="0"/>
                      <w:divBdr>
                        <w:top w:val="none" w:sz="0" w:space="0" w:color="auto"/>
                        <w:left w:val="none" w:sz="0" w:space="0" w:color="auto"/>
                        <w:bottom w:val="none" w:sz="0" w:space="0" w:color="auto"/>
                        <w:right w:val="none" w:sz="0" w:space="0" w:color="auto"/>
                      </w:divBdr>
                    </w:div>
                  </w:divsChild>
                </w:div>
                <w:div w:id="1187715370">
                  <w:marLeft w:val="0"/>
                  <w:marRight w:val="0"/>
                  <w:marTop w:val="0"/>
                  <w:marBottom w:val="0"/>
                  <w:divBdr>
                    <w:top w:val="none" w:sz="0" w:space="0" w:color="auto"/>
                    <w:left w:val="none" w:sz="0" w:space="0" w:color="auto"/>
                    <w:bottom w:val="none" w:sz="0" w:space="0" w:color="auto"/>
                    <w:right w:val="none" w:sz="0" w:space="0" w:color="auto"/>
                  </w:divBdr>
                  <w:divsChild>
                    <w:div w:id="140772611">
                      <w:marLeft w:val="0"/>
                      <w:marRight w:val="0"/>
                      <w:marTop w:val="0"/>
                      <w:marBottom w:val="0"/>
                      <w:divBdr>
                        <w:top w:val="none" w:sz="0" w:space="0" w:color="auto"/>
                        <w:left w:val="none" w:sz="0" w:space="0" w:color="auto"/>
                        <w:bottom w:val="none" w:sz="0" w:space="0" w:color="auto"/>
                        <w:right w:val="none" w:sz="0" w:space="0" w:color="auto"/>
                      </w:divBdr>
                    </w:div>
                  </w:divsChild>
                </w:div>
                <w:div w:id="1614822014">
                  <w:marLeft w:val="0"/>
                  <w:marRight w:val="0"/>
                  <w:marTop w:val="0"/>
                  <w:marBottom w:val="0"/>
                  <w:divBdr>
                    <w:top w:val="none" w:sz="0" w:space="0" w:color="auto"/>
                    <w:left w:val="none" w:sz="0" w:space="0" w:color="auto"/>
                    <w:bottom w:val="none" w:sz="0" w:space="0" w:color="auto"/>
                    <w:right w:val="none" w:sz="0" w:space="0" w:color="auto"/>
                  </w:divBdr>
                  <w:divsChild>
                    <w:div w:id="642656064">
                      <w:marLeft w:val="0"/>
                      <w:marRight w:val="0"/>
                      <w:marTop w:val="0"/>
                      <w:marBottom w:val="0"/>
                      <w:divBdr>
                        <w:top w:val="none" w:sz="0" w:space="0" w:color="auto"/>
                        <w:left w:val="none" w:sz="0" w:space="0" w:color="auto"/>
                        <w:bottom w:val="none" w:sz="0" w:space="0" w:color="auto"/>
                        <w:right w:val="none" w:sz="0" w:space="0" w:color="auto"/>
                      </w:divBdr>
                    </w:div>
                  </w:divsChild>
                </w:div>
                <w:div w:id="1635717948">
                  <w:marLeft w:val="0"/>
                  <w:marRight w:val="0"/>
                  <w:marTop w:val="0"/>
                  <w:marBottom w:val="0"/>
                  <w:divBdr>
                    <w:top w:val="none" w:sz="0" w:space="0" w:color="auto"/>
                    <w:left w:val="none" w:sz="0" w:space="0" w:color="auto"/>
                    <w:bottom w:val="none" w:sz="0" w:space="0" w:color="auto"/>
                    <w:right w:val="none" w:sz="0" w:space="0" w:color="auto"/>
                  </w:divBdr>
                  <w:divsChild>
                    <w:div w:id="779186410">
                      <w:marLeft w:val="0"/>
                      <w:marRight w:val="0"/>
                      <w:marTop w:val="0"/>
                      <w:marBottom w:val="0"/>
                      <w:divBdr>
                        <w:top w:val="none" w:sz="0" w:space="0" w:color="auto"/>
                        <w:left w:val="none" w:sz="0" w:space="0" w:color="auto"/>
                        <w:bottom w:val="none" w:sz="0" w:space="0" w:color="auto"/>
                        <w:right w:val="none" w:sz="0" w:space="0" w:color="auto"/>
                      </w:divBdr>
                    </w:div>
                  </w:divsChild>
                </w:div>
                <w:div w:id="1666009177">
                  <w:marLeft w:val="0"/>
                  <w:marRight w:val="0"/>
                  <w:marTop w:val="0"/>
                  <w:marBottom w:val="0"/>
                  <w:divBdr>
                    <w:top w:val="none" w:sz="0" w:space="0" w:color="auto"/>
                    <w:left w:val="none" w:sz="0" w:space="0" w:color="auto"/>
                    <w:bottom w:val="none" w:sz="0" w:space="0" w:color="auto"/>
                    <w:right w:val="none" w:sz="0" w:space="0" w:color="auto"/>
                  </w:divBdr>
                  <w:divsChild>
                    <w:div w:id="974718365">
                      <w:marLeft w:val="0"/>
                      <w:marRight w:val="0"/>
                      <w:marTop w:val="0"/>
                      <w:marBottom w:val="0"/>
                      <w:divBdr>
                        <w:top w:val="none" w:sz="0" w:space="0" w:color="auto"/>
                        <w:left w:val="none" w:sz="0" w:space="0" w:color="auto"/>
                        <w:bottom w:val="none" w:sz="0" w:space="0" w:color="auto"/>
                        <w:right w:val="none" w:sz="0" w:space="0" w:color="auto"/>
                      </w:divBdr>
                    </w:div>
                  </w:divsChild>
                </w:div>
                <w:div w:id="1696467125">
                  <w:marLeft w:val="0"/>
                  <w:marRight w:val="0"/>
                  <w:marTop w:val="0"/>
                  <w:marBottom w:val="0"/>
                  <w:divBdr>
                    <w:top w:val="none" w:sz="0" w:space="0" w:color="auto"/>
                    <w:left w:val="none" w:sz="0" w:space="0" w:color="auto"/>
                    <w:bottom w:val="none" w:sz="0" w:space="0" w:color="auto"/>
                    <w:right w:val="none" w:sz="0" w:space="0" w:color="auto"/>
                  </w:divBdr>
                  <w:divsChild>
                    <w:div w:id="1823160230">
                      <w:marLeft w:val="0"/>
                      <w:marRight w:val="0"/>
                      <w:marTop w:val="0"/>
                      <w:marBottom w:val="0"/>
                      <w:divBdr>
                        <w:top w:val="none" w:sz="0" w:space="0" w:color="auto"/>
                        <w:left w:val="none" w:sz="0" w:space="0" w:color="auto"/>
                        <w:bottom w:val="none" w:sz="0" w:space="0" w:color="auto"/>
                        <w:right w:val="none" w:sz="0" w:space="0" w:color="auto"/>
                      </w:divBdr>
                    </w:div>
                  </w:divsChild>
                </w:div>
                <w:div w:id="1906719682">
                  <w:marLeft w:val="0"/>
                  <w:marRight w:val="0"/>
                  <w:marTop w:val="0"/>
                  <w:marBottom w:val="0"/>
                  <w:divBdr>
                    <w:top w:val="none" w:sz="0" w:space="0" w:color="auto"/>
                    <w:left w:val="none" w:sz="0" w:space="0" w:color="auto"/>
                    <w:bottom w:val="none" w:sz="0" w:space="0" w:color="auto"/>
                    <w:right w:val="none" w:sz="0" w:space="0" w:color="auto"/>
                  </w:divBdr>
                  <w:divsChild>
                    <w:div w:id="10297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922829">
          <w:marLeft w:val="0"/>
          <w:marRight w:val="0"/>
          <w:marTop w:val="0"/>
          <w:marBottom w:val="0"/>
          <w:divBdr>
            <w:top w:val="none" w:sz="0" w:space="0" w:color="auto"/>
            <w:left w:val="none" w:sz="0" w:space="0" w:color="auto"/>
            <w:bottom w:val="none" w:sz="0" w:space="0" w:color="auto"/>
            <w:right w:val="none" w:sz="0" w:space="0" w:color="auto"/>
          </w:divBdr>
        </w:div>
      </w:divsChild>
    </w:div>
    <w:div w:id="1844314259">
      <w:bodyDiv w:val="1"/>
      <w:marLeft w:val="0"/>
      <w:marRight w:val="0"/>
      <w:marTop w:val="0"/>
      <w:marBottom w:val="0"/>
      <w:divBdr>
        <w:top w:val="none" w:sz="0" w:space="0" w:color="auto"/>
        <w:left w:val="none" w:sz="0" w:space="0" w:color="auto"/>
        <w:bottom w:val="none" w:sz="0" w:space="0" w:color="auto"/>
        <w:right w:val="none" w:sz="0" w:space="0" w:color="auto"/>
      </w:divBdr>
    </w:div>
    <w:div w:id="195841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ga.gov.au/reporting-problem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2c09e45-53eb-446f-8e13-020cf5ff2a0a">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4F16C52568E3A46A61916D910E9CE9B" ma:contentTypeVersion="48" ma:contentTypeDescription="Create a new document." ma:contentTypeScope="" ma:versionID="bf33a4dba829a49afa7a2938656d7c32">
  <xsd:schema xmlns:xsd="http://www.w3.org/2001/XMLSchema" xmlns:xs="http://www.w3.org/2001/XMLSchema" xmlns:p="http://schemas.microsoft.com/office/2006/metadata/properties" xmlns:ns2="3b94f50e-13dc-46a0-9dd1-84dcc6bb3efb" xmlns:ns3="82c09e45-53eb-446f-8e13-020cf5ff2a0a" targetNamespace="http://schemas.microsoft.com/office/2006/metadata/properties" ma:root="true" ma:fieldsID="b822268492e12b0f340cd39fada2e6e4" ns2:_="" ns3:_="">
    <xsd:import namespace="3b94f50e-13dc-46a0-9dd1-84dcc6bb3efb"/>
    <xsd:import namespace="82c09e45-53eb-446f-8e13-020cf5ff2a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94f50e-13dc-46a0-9dd1-84dcc6bb3e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c09e45-53eb-446f-8e13-020cf5ff2a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D64F17-035E-4019-A209-1CACE0A79233}">
  <ds:schemaRefs>
    <ds:schemaRef ds:uri="http://purl.org/dc/terms/"/>
    <ds:schemaRef ds:uri="http://schemas.openxmlformats.org/package/2006/metadata/core-properties"/>
    <ds:schemaRef ds:uri="http://schemas.microsoft.com/office/infopath/2007/PartnerControls"/>
    <ds:schemaRef ds:uri="http://www.w3.org/XML/1998/namespace"/>
    <ds:schemaRef ds:uri="82c09e45-53eb-446f-8e13-020cf5ff2a0a"/>
    <ds:schemaRef ds:uri="http://purl.org/dc/elements/1.1/"/>
    <ds:schemaRef ds:uri="http://schemas.microsoft.com/office/2006/documentManagement/types"/>
    <ds:schemaRef ds:uri="3b94f50e-13dc-46a0-9dd1-84dcc6bb3efb"/>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E47C4EB-58D0-46E9-BC6C-412E8134B46D}">
  <ds:schemaRefs>
    <ds:schemaRef ds:uri="http://schemas.microsoft.com/sharepoint/v3/contenttype/forms"/>
  </ds:schemaRefs>
</ds:datastoreItem>
</file>

<file path=customXml/itemProps3.xml><?xml version="1.0" encoding="utf-8"?>
<ds:datastoreItem xmlns:ds="http://schemas.openxmlformats.org/officeDocument/2006/customXml" ds:itemID="{D2123C48-C7F0-452C-BD7C-B8D8FE3BF569}">
  <ds:schemaRefs>
    <ds:schemaRef ds:uri="http://schemas.openxmlformats.org/officeDocument/2006/bibliography"/>
  </ds:schemaRefs>
</ds:datastoreItem>
</file>

<file path=customXml/itemProps4.xml><?xml version="1.0" encoding="utf-8"?>
<ds:datastoreItem xmlns:ds="http://schemas.openxmlformats.org/officeDocument/2006/customXml" ds:itemID="{94DDE00A-7923-4F55-9669-2F438C9C5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94f50e-13dc-46a0-9dd1-84dcc6bb3efb"/>
    <ds:schemaRef ds:uri="82c09e45-53eb-446f-8e13-020cf5ff2a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4397</Words>
  <Characters>25068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AusPAR Attachment 1: Product Information for belumosudil</vt:lpstr>
    </vt:vector>
  </TitlesOfParts>
  <Company/>
  <LinksUpToDate>false</LinksUpToDate>
  <CharactersWithSpaces>29407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belumosudil</dc:title>
  <dc:subject>Prescription medicines</dc:subject>
  <dc:creator/>
  <cp:keywords>AusPARs</cp:keywords>
  <cp:lastModifiedBy/>
  <dcterms:created xsi:type="dcterms:W3CDTF">2022-04-04T22:54:00Z</dcterms:created>
  <dcterms:modified xsi:type="dcterms:W3CDTF">2022-05-10T00:30:00Z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0x01010014F16C52568E3A46A61916D910E9CE9B</vt:lpwstr>
  </property>
  <property fmtid="{D5CDD505-2E9C-101B-9397-08002B2CF9AE}" pid="3" name="GUID">
    <vt:lpwstr>43bdf38e-defa-4cc0-b52a-06929aa155b0</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MSIP_Label_6ddddc05-6d75-4c89-ae8a-b8ab1a1994bc_Enabled">
    <vt:lpwstr>true</vt:lpwstr>
  </property>
  <property fmtid="{D5CDD505-2E9C-101B-9397-08002B2CF9AE}" pid="11" name="MSIP_Label_6ddddc05-6d75-4c89-ae8a-b8ab1a1994bc_SetDate">
    <vt:lpwstr>2021-11-10T09:59:24Z</vt:lpwstr>
  </property>
  <property fmtid="{D5CDD505-2E9C-101B-9397-08002B2CF9AE}" pid="12" name="MSIP_Label_6ddddc05-6d75-4c89-ae8a-b8ab1a1994bc_Method">
    <vt:lpwstr>Standard</vt:lpwstr>
  </property>
  <property fmtid="{D5CDD505-2E9C-101B-9397-08002B2CF9AE}" pid="13" name="MSIP_Label_6ddddc05-6d75-4c89-ae8a-b8ab1a1994bc_Name">
    <vt:lpwstr>without watermark</vt:lpwstr>
  </property>
  <property fmtid="{D5CDD505-2E9C-101B-9397-08002B2CF9AE}" pid="14" name="MSIP_Label_6ddddc05-6d75-4c89-ae8a-b8ab1a1994bc_SiteId">
    <vt:lpwstr>ff9ac3ce-3c41-41c3-b556-e1b32a662fed</vt:lpwstr>
  </property>
  <property fmtid="{D5CDD505-2E9C-101B-9397-08002B2CF9AE}" pid="15" name="MSIP_Label_6ddddc05-6d75-4c89-ae8a-b8ab1a1994bc_ActionId">
    <vt:lpwstr>432d79f4-d7c0-49a5-9da2-369947910672</vt:lpwstr>
  </property>
  <property fmtid="{D5CDD505-2E9C-101B-9397-08002B2CF9AE}" pid="16" name="MSIP_Label_6ddddc05-6d75-4c89-ae8a-b8ab1a1994bc_ContentBits">
    <vt:lpwstr>0</vt:lpwstr>
  </property>
</Properties>
</file>