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457F979F" w14:textId="77777777" w:rsidTr="00BF1190">
        <w:trPr>
          <w:trHeight w:val="1863"/>
        </w:trPr>
        <w:tc>
          <w:tcPr>
            <w:tcW w:w="3652" w:type="dxa"/>
            <w:tcBorders>
              <w:top w:val="nil"/>
              <w:left w:val="nil"/>
              <w:bottom w:val="nil"/>
              <w:right w:val="nil"/>
            </w:tcBorders>
          </w:tcPr>
          <w:p w14:paraId="72B28405" w14:textId="090CB581" w:rsidR="008E7846" w:rsidRPr="00096AA7" w:rsidRDefault="00753CF5" w:rsidP="00096AA7">
            <w:pPr>
              <w:rPr>
                <w:rFonts w:ascii="Arial" w:hAnsi="Arial" w:cs="Arial"/>
                <w:b/>
                <w:color w:val="002C47"/>
                <w:sz w:val="36"/>
                <w:szCs w:val="36"/>
              </w:rPr>
            </w:pPr>
            <w:r>
              <w:rPr>
                <w:rFonts w:ascii="Arial" w:hAnsi="Arial" w:cs="Arial"/>
                <w:b/>
                <w:color w:val="002C47"/>
                <w:sz w:val="36"/>
                <w:szCs w:val="36"/>
              </w:rPr>
              <w:t>J</w:t>
            </w:r>
            <w:r w:rsidR="00864B20">
              <w:rPr>
                <w:rFonts w:ascii="Arial" w:hAnsi="Arial" w:cs="Arial"/>
                <w:b/>
                <w:color w:val="002C47"/>
                <w:sz w:val="36"/>
                <w:szCs w:val="36"/>
              </w:rPr>
              <w:t>uly</w:t>
            </w:r>
            <w:r>
              <w:rPr>
                <w:rFonts w:ascii="Arial" w:hAnsi="Arial" w:cs="Arial"/>
                <w:b/>
                <w:color w:val="002C47"/>
                <w:sz w:val="36"/>
                <w:szCs w:val="36"/>
              </w:rPr>
              <w:t xml:space="preserve"> </w:t>
            </w:r>
            <w:r w:rsidR="004851FE">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557CD13D" w14:textId="77777777" w:rsidTr="0032583B">
        <w:trPr>
          <w:trHeight w:val="868"/>
        </w:trPr>
        <w:tc>
          <w:tcPr>
            <w:tcW w:w="9079" w:type="dxa"/>
          </w:tcPr>
          <w:p w14:paraId="4AE88681" w14:textId="77777777" w:rsidR="0032583B" w:rsidRPr="00A964D1" w:rsidRDefault="0032583B" w:rsidP="004851FE">
            <w:pPr>
              <w:pStyle w:val="Title"/>
              <w:rPr>
                <w:color w:val="FFFFFF" w:themeColor="background1"/>
              </w:rPr>
            </w:pPr>
            <w:r w:rsidRPr="00A964D1">
              <w:rPr>
                <w:color w:val="FFFFFF" w:themeColor="background1"/>
              </w:rPr>
              <w:t xml:space="preserve">Australian Public Assessment Report for </w:t>
            </w:r>
            <w:r w:rsidR="004851FE">
              <w:rPr>
                <w:color w:val="FFFFFF" w:themeColor="background1"/>
              </w:rPr>
              <w:t>B</w:t>
            </w:r>
            <w:r w:rsidR="004851FE" w:rsidRPr="004851FE">
              <w:rPr>
                <w:color w:val="FFFFFF" w:themeColor="background1"/>
              </w:rPr>
              <w:t>eclometasone dipropionat</w:t>
            </w:r>
            <w:r w:rsidR="004851FE">
              <w:rPr>
                <w:color w:val="FFFFFF" w:themeColor="background1"/>
              </w:rPr>
              <w:t>e/</w:t>
            </w:r>
            <w:proofErr w:type="spellStart"/>
            <w:r w:rsidR="004851FE">
              <w:rPr>
                <w:color w:val="FFFFFF" w:themeColor="background1"/>
              </w:rPr>
              <w:t>formoterol</w:t>
            </w:r>
            <w:proofErr w:type="spellEnd"/>
            <w:r w:rsidR="004851FE">
              <w:rPr>
                <w:color w:val="FFFFFF" w:themeColor="background1"/>
              </w:rPr>
              <w:t xml:space="preserve"> </w:t>
            </w:r>
            <w:r w:rsidR="002E158A" w:rsidRPr="002E158A">
              <w:rPr>
                <w:color w:val="FFFFFF" w:themeColor="background1"/>
              </w:rPr>
              <w:t>(</w:t>
            </w:r>
            <w:proofErr w:type="spellStart"/>
            <w:r w:rsidR="002E158A" w:rsidRPr="002E158A">
              <w:rPr>
                <w:color w:val="FFFFFF" w:themeColor="background1"/>
              </w:rPr>
              <w:t>eformoterol</w:t>
            </w:r>
            <w:proofErr w:type="spellEnd"/>
            <w:r w:rsidR="002E158A" w:rsidRPr="002E158A">
              <w:rPr>
                <w:color w:val="FFFFFF" w:themeColor="background1"/>
              </w:rPr>
              <w:t xml:space="preserve">) </w:t>
            </w:r>
            <w:r w:rsidR="002E158A">
              <w:rPr>
                <w:color w:val="FFFFFF" w:themeColor="background1"/>
              </w:rPr>
              <w:t>fumarate di</w:t>
            </w:r>
            <w:r w:rsidR="004851FE">
              <w:rPr>
                <w:color w:val="FFFFFF" w:themeColor="background1"/>
              </w:rPr>
              <w:t>hydrate</w:t>
            </w:r>
          </w:p>
        </w:tc>
      </w:tr>
      <w:tr w:rsidR="0032583B" w:rsidRPr="00B64760" w14:paraId="6A0570EE" w14:textId="77777777" w:rsidTr="0032583B">
        <w:tc>
          <w:tcPr>
            <w:tcW w:w="9079" w:type="dxa"/>
          </w:tcPr>
          <w:p w14:paraId="3073EADA" w14:textId="77777777" w:rsidR="0032583B" w:rsidRPr="008E7846" w:rsidRDefault="004851FE" w:rsidP="004851FE">
            <w:pPr>
              <w:pStyle w:val="Subtitle"/>
              <w:rPr>
                <w:color w:val="FFFFFF" w:themeColor="background1"/>
              </w:rPr>
            </w:pPr>
            <w:r>
              <w:rPr>
                <w:color w:val="FFFFFF" w:themeColor="background1"/>
              </w:rPr>
              <w:t xml:space="preserve">Proprietary Product Name: </w:t>
            </w:r>
            <w:proofErr w:type="spellStart"/>
            <w:r>
              <w:rPr>
                <w:color w:val="FFFFFF" w:themeColor="background1"/>
              </w:rPr>
              <w:t>Fostair</w:t>
            </w:r>
            <w:proofErr w:type="spellEnd"/>
          </w:p>
        </w:tc>
      </w:tr>
      <w:tr w:rsidR="0032583B" w:rsidRPr="0034036C" w14:paraId="02703233" w14:textId="77777777" w:rsidTr="0032583B">
        <w:trPr>
          <w:trHeight w:val="486"/>
        </w:trPr>
        <w:tc>
          <w:tcPr>
            <w:tcW w:w="9079" w:type="dxa"/>
          </w:tcPr>
          <w:p w14:paraId="6DCA3C17" w14:textId="77777777" w:rsidR="0032583B" w:rsidRPr="00A111B5" w:rsidRDefault="0032583B" w:rsidP="004851FE">
            <w:pPr>
              <w:pStyle w:val="Subtitle"/>
              <w:rPr>
                <w:color w:val="FFFFFF" w:themeColor="background1"/>
              </w:rPr>
            </w:pPr>
            <w:r w:rsidRPr="00A111B5">
              <w:rPr>
                <w:color w:val="FFFFFF" w:themeColor="background1"/>
              </w:rPr>
              <w:t xml:space="preserve">Sponsor: </w:t>
            </w:r>
            <w:proofErr w:type="spellStart"/>
            <w:r w:rsidR="006F0F20" w:rsidRPr="00A111B5">
              <w:rPr>
                <w:color w:val="FFFFFF" w:themeColor="background1"/>
              </w:rPr>
              <w:t>Chiesi</w:t>
            </w:r>
            <w:proofErr w:type="spellEnd"/>
            <w:r w:rsidR="006F0F20" w:rsidRPr="00A111B5">
              <w:rPr>
                <w:color w:val="FFFFFF" w:themeColor="background1"/>
              </w:rPr>
              <w:t xml:space="preserve"> Australia Pty Ltd</w:t>
            </w:r>
          </w:p>
        </w:tc>
      </w:tr>
    </w:tbl>
    <w:p w14:paraId="25427B1D" w14:textId="77777777" w:rsidR="008E7846" w:rsidRPr="00A111B5" w:rsidRDefault="008E7846" w:rsidP="0085156D">
      <w:r w:rsidRPr="00A111B5">
        <w:br w:type="page"/>
      </w:r>
    </w:p>
    <w:p w14:paraId="0279BDF1" w14:textId="77777777" w:rsidR="008E7846" w:rsidRPr="001F6CBA" w:rsidRDefault="008E7846" w:rsidP="008E7846">
      <w:pPr>
        <w:pStyle w:val="NonTOCHeading2"/>
      </w:pPr>
      <w:r w:rsidRPr="001F6CBA">
        <w:lastRenderedPageBreak/>
        <w:t>About the Therapeutic Goods Administration (TGA)</w:t>
      </w:r>
    </w:p>
    <w:p w14:paraId="137865B9"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0CE33345"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03328602"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444BA716"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2555BEDA" w14:textId="43252726"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65878317" w14:textId="77777777" w:rsidR="008E7846" w:rsidRDefault="008E7846" w:rsidP="00875A6B">
      <w:pPr>
        <w:pStyle w:val="NonTOCHeading2"/>
      </w:pPr>
      <w:r>
        <w:t>About AusPARs</w:t>
      </w:r>
    </w:p>
    <w:p w14:paraId="1ABCF7A7"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5E758387" w14:textId="77777777" w:rsidR="008E7846" w:rsidRDefault="008E7846" w:rsidP="008E7846">
      <w:pPr>
        <w:pStyle w:val="ListBullet"/>
        <w:numPr>
          <w:ilvl w:val="0"/>
          <w:numId w:val="3"/>
        </w:numPr>
        <w:ind w:left="357" w:hanging="357"/>
      </w:pPr>
      <w:r>
        <w:t>AusPARs are prepared and published by the TGA.</w:t>
      </w:r>
    </w:p>
    <w:p w14:paraId="5D43C548"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0BF442EF"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34B89441"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281C5BC1" w14:textId="77777777" w:rsidR="00924482" w:rsidRPr="00DF1D7F" w:rsidRDefault="00924482" w:rsidP="00F54B65">
      <w:pPr>
        <w:pStyle w:val="LegalSubheading"/>
        <w:spacing w:before="3120"/>
      </w:pPr>
      <w:r w:rsidRPr="00DF1D7F">
        <w:t>Copyright</w:t>
      </w:r>
    </w:p>
    <w:p w14:paraId="62F8C24B" w14:textId="035BA929" w:rsidR="00924482" w:rsidRDefault="00924482" w:rsidP="00924482">
      <w:pPr>
        <w:pStyle w:val="LegalCopy"/>
      </w:pPr>
      <w:r w:rsidRPr="00191B3B">
        <w:rPr>
          <w:rFonts w:cs="Arial"/>
          <w:lang w:val="en-GB"/>
        </w:rPr>
        <w:t>© Comm</w:t>
      </w:r>
      <w:r w:rsidR="004851FE">
        <w:rPr>
          <w:rFonts w:cs="Arial"/>
          <w:lang w:val="en-GB"/>
        </w:rPr>
        <w:t>onwealth of Australia 2020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7C42A683"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23FAE5AE" w14:textId="77777777" w:rsidR="0089635C" w:rsidRPr="0089635C" w:rsidRDefault="0089635C" w:rsidP="0010788A">
          <w:pPr>
            <w:pStyle w:val="Contents"/>
          </w:pPr>
          <w:r w:rsidRPr="0010788A">
            <w:t>Co</w:t>
          </w:r>
          <w:bookmarkStart w:id="2" w:name="_GoBack"/>
          <w:bookmarkEnd w:id="2"/>
          <w:r w:rsidRPr="0010788A">
            <w:t>ntents</w:t>
          </w:r>
        </w:p>
        <w:p w14:paraId="6832B6D2" w14:textId="512A0278" w:rsidR="009F669C"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47353822" w:history="1">
            <w:r w:rsidR="009F669C" w:rsidRPr="006E53DC">
              <w:rPr>
                <w:rStyle w:val="Hyperlink"/>
                <w:noProof/>
              </w:rPr>
              <w:t>Common abbreviations</w:t>
            </w:r>
            <w:r w:rsidR="009F669C">
              <w:rPr>
                <w:noProof/>
                <w:webHidden/>
              </w:rPr>
              <w:tab/>
            </w:r>
            <w:r w:rsidR="009F669C">
              <w:rPr>
                <w:noProof/>
                <w:webHidden/>
              </w:rPr>
              <w:fldChar w:fldCharType="begin"/>
            </w:r>
            <w:r w:rsidR="009F669C">
              <w:rPr>
                <w:noProof/>
                <w:webHidden/>
              </w:rPr>
              <w:instrText xml:space="preserve"> PAGEREF _Toc47353822 \h </w:instrText>
            </w:r>
            <w:r w:rsidR="009F669C">
              <w:rPr>
                <w:noProof/>
                <w:webHidden/>
              </w:rPr>
            </w:r>
            <w:r w:rsidR="009F669C">
              <w:rPr>
                <w:noProof/>
                <w:webHidden/>
              </w:rPr>
              <w:fldChar w:fldCharType="separate"/>
            </w:r>
            <w:r w:rsidR="009F669C">
              <w:rPr>
                <w:noProof/>
                <w:webHidden/>
              </w:rPr>
              <w:t>4</w:t>
            </w:r>
            <w:r w:rsidR="009F669C">
              <w:rPr>
                <w:noProof/>
                <w:webHidden/>
              </w:rPr>
              <w:fldChar w:fldCharType="end"/>
            </w:r>
          </w:hyperlink>
        </w:p>
        <w:p w14:paraId="7C9C894D" w14:textId="28D635CA" w:rsidR="009F669C" w:rsidRDefault="009F669C">
          <w:pPr>
            <w:pStyle w:val="TOC2"/>
            <w:rPr>
              <w:rFonts w:asciiTheme="minorHAnsi" w:eastAsiaTheme="minorEastAsia" w:hAnsiTheme="minorHAnsi" w:cstheme="minorBidi"/>
              <w:b w:val="0"/>
              <w:noProof/>
              <w:sz w:val="22"/>
              <w:lang w:eastAsia="en-AU"/>
            </w:rPr>
          </w:pPr>
          <w:hyperlink w:anchor="_Toc47353823" w:history="1">
            <w:r w:rsidRPr="006E53DC">
              <w:rPr>
                <w:rStyle w:val="Hyperlink"/>
                <w:noProof/>
              </w:rPr>
              <w:t>I. Introduction to product submission</w:t>
            </w:r>
            <w:r>
              <w:rPr>
                <w:noProof/>
                <w:webHidden/>
              </w:rPr>
              <w:tab/>
            </w:r>
            <w:r>
              <w:rPr>
                <w:noProof/>
                <w:webHidden/>
              </w:rPr>
              <w:fldChar w:fldCharType="begin"/>
            </w:r>
            <w:r>
              <w:rPr>
                <w:noProof/>
                <w:webHidden/>
              </w:rPr>
              <w:instrText xml:space="preserve"> PAGEREF _Toc47353823 \h </w:instrText>
            </w:r>
            <w:r>
              <w:rPr>
                <w:noProof/>
                <w:webHidden/>
              </w:rPr>
            </w:r>
            <w:r>
              <w:rPr>
                <w:noProof/>
                <w:webHidden/>
              </w:rPr>
              <w:fldChar w:fldCharType="separate"/>
            </w:r>
            <w:r>
              <w:rPr>
                <w:noProof/>
                <w:webHidden/>
              </w:rPr>
              <w:t>6</w:t>
            </w:r>
            <w:r>
              <w:rPr>
                <w:noProof/>
                <w:webHidden/>
              </w:rPr>
              <w:fldChar w:fldCharType="end"/>
            </w:r>
          </w:hyperlink>
        </w:p>
        <w:p w14:paraId="1C4C4836" w14:textId="05CF9764" w:rsidR="009F669C" w:rsidRDefault="009F669C">
          <w:pPr>
            <w:pStyle w:val="TOC3"/>
            <w:rPr>
              <w:rFonts w:asciiTheme="minorHAnsi" w:eastAsiaTheme="minorEastAsia" w:hAnsiTheme="minorHAnsi" w:cstheme="minorBidi"/>
              <w:noProof/>
              <w:lang w:eastAsia="en-AU"/>
            </w:rPr>
          </w:pPr>
          <w:hyperlink w:anchor="_Toc47353824" w:history="1">
            <w:r w:rsidRPr="006E53DC">
              <w:rPr>
                <w:rStyle w:val="Hyperlink"/>
                <w:noProof/>
                <w:lang w:eastAsia="en-AU"/>
              </w:rPr>
              <w:t>Submission details</w:t>
            </w:r>
            <w:r>
              <w:rPr>
                <w:noProof/>
                <w:webHidden/>
              </w:rPr>
              <w:tab/>
            </w:r>
            <w:r>
              <w:rPr>
                <w:noProof/>
                <w:webHidden/>
              </w:rPr>
              <w:fldChar w:fldCharType="begin"/>
            </w:r>
            <w:r>
              <w:rPr>
                <w:noProof/>
                <w:webHidden/>
              </w:rPr>
              <w:instrText xml:space="preserve"> PAGEREF _Toc47353824 \h </w:instrText>
            </w:r>
            <w:r>
              <w:rPr>
                <w:noProof/>
                <w:webHidden/>
              </w:rPr>
            </w:r>
            <w:r>
              <w:rPr>
                <w:noProof/>
                <w:webHidden/>
              </w:rPr>
              <w:fldChar w:fldCharType="separate"/>
            </w:r>
            <w:r>
              <w:rPr>
                <w:noProof/>
                <w:webHidden/>
              </w:rPr>
              <w:t>6</w:t>
            </w:r>
            <w:r>
              <w:rPr>
                <w:noProof/>
                <w:webHidden/>
              </w:rPr>
              <w:fldChar w:fldCharType="end"/>
            </w:r>
          </w:hyperlink>
        </w:p>
        <w:p w14:paraId="357AEF33" w14:textId="58C92A22" w:rsidR="009F669C" w:rsidRDefault="009F669C">
          <w:pPr>
            <w:pStyle w:val="TOC3"/>
            <w:rPr>
              <w:rFonts w:asciiTheme="minorHAnsi" w:eastAsiaTheme="minorEastAsia" w:hAnsiTheme="minorHAnsi" w:cstheme="minorBidi"/>
              <w:noProof/>
              <w:lang w:eastAsia="en-AU"/>
            </w:rPr>
          </w:pPr>
          <w:hyperlink w:anchor="_Toc47353825" w:history="1">
            <w:r w:rsidRPr="006E53DC">
              <w:rPr>
                <w:rStyle w:val="Hyperlink"/>
                <w:noProof/>
              </w:rPr>
              <w:t>Product background</w:t>
            </w:r>
            <w:r>
              <w:rPr>
                <w:noProof/>
                <w:webHidden/>
              </w:rPr>
              <w:tab/>
            </w:r>
            <w:r>
              <w:rPr>
                <w:noProof/>
                <w:webHidden/>
              </w:rPr>
              <w:fldChar w:fldCharType="begin"/>
            </w:r>
            <w:r>
              <w:rPr>
                <w:noProof/>
                <w:webHidden/>
              </w:rPr>
              <w:instrText xml:space="preserve"> PAGEREF _Toc47353825 \h </w:instrText>
            </w:r>
            <w:r>
              <w:rPr>
                <w:noProof/>
                <w:webHidden/>
              </w:rPr>
            </w:r>
            <w:r>
              <w:rPr>
                <w:noProof/>
                <w:webHidden/>
              </w:rPr>
              <w:fldChar w:fldCharType="separate"/>
            </w:r>
            <w:r>
              <w:rPr>
                <w:noProof/>
                <w:webHidden/>
              </w:rPr>
              <w:t>7</w:t>
            </w:r>
            <w:r>
              <w:rPr>
                <w:noProof/>
                <w:webHidden/>
              </w:rPr>
              <w:fldChar w:fldCharType="end"/>
            </w:r>
          </w:hyperlink>
        </w:p>
        <w:p w14:paraId="4837381E" w14:textId="6B424876" w:rsidR="009F669C" w:rsidRDefault="009F669C">
          <w:pPr>
            <w:pStyle w:val="TOC3"/>
            <w:rPr>
              <w:rFonts w:asciiTheme="minorHAnsi" w:eastAsiaTheme="minorEastAsia" w:hAnsiTheme="minorHAnsi" w:cstheme="minorBidi"/>
              <w:noProof/>
              <w:lang w:eastAsia="en-AU"/>
            </w:rPr>
          </w:pPr>
          <w:hyperlink w:anchor="_Toc47353826" w:history="1">
            <w:r w:rsidRPr="006E53DC">
              <w:rPr>
                <w:rStyle w:val="Hyperlink"/>
                <w:noProof/>
              </w:rPr>
              <w:t>Regulatory status</w:t>
            </w:r>
            <w:r>
              <w:rPr>
                <w:noProof/>
                <w:webHidden/>
              </w:rPr>
              <w:tab/>
            </w:r>
            <w:r>
              <w:rPr>
                <w:noProof/>
                <w:webHidden/>
              </w:rPr>
              <w:fldChar w:fldCharType="begin"/>
            </w:r>
            <w:r>
              <w:rPr>
                <w:noProof/>
                <w:webHidden/>
              </w:rPr>
              <w:instrText xml:space="preserve"> PAGEREF _Toc47353826 \h </w:instrText>
            </w:r>
            <w:r>
              <w:rPr>
                <w:noProof/>
                <w:webHidden/>
              </w:rPr>
            </w:r>
            <w:r>
              <w:rPr>
                <w:noProof/>
                <w:webHidden/>
              </w:rPr>
              <w:fldChar w:fldCharType="separate"/>
            </w:r>
            <w:r>
              <w:rPr>
                <w:noProof/>
                <w:webHidden/>
              </w:rPr>
              <w:t>9</w:t>
            </w:r>
            <w:r>
              <w:rPr>
                <w:noProof/>
                <w:webHidden/>
              </w:rPr>
              <w:fldChar w:fldCharType="end"/>
            </w:r>
          </w:hyperlink>
        </w:p>
        <w:p w14:paraId="0970A068" w14:textId="752F0330" w:rsidR="009F669C" w:rsidRDefault="009F669C">
          <w:pPr>
            <w:pStyle w:val="TOC3"/>
            <w:rPr>
              <w:rFonts w:asciiTheme="minorHAnsi" w:eastAsiaTheme="minorEastAsia" w:hAnsiTheme="minorHAnsi" w:cstheme="minorBidi"/>
              <w:noProof/>
              <w:lang w:eastAsia="en-AU"/>
            </w:rPr>
          </w:pPr>
          <w:hyperlink w:anchor="_Toc47353827" w:history="1">
            <w:r w:rsidRPr="006E53DC">
              <w:rPr>
                <w:rStyle w:val="Hyperlink"/>
                <w:noProof/>
              </w:rPr>
              <w:t>Product Information</w:t>
            </w:r>
            <w:r>
              <w:rPr>
                <w:noProof/>
                <w:webHidden/>
              </w:rPr>
              <w:tab/>
            </w:r>
            <w:r>
              <w:rPr>
                <w:noProof/>
                <w:webHidden/>
              </w:rPr>
              <w:fldChar w:fldCharType="begin"/>
            </w:r>
            <w:r>
              <w:rPr>
                <w:noProof/>
                <w:webHidden/>
              </w:rPr>
              <w:instrText xml:space="preserve"> PAGEREF _Toc47353827 \h </w:instrText>
            </w:r>
            <w:r>
              <w:rPr>
                <w:noProof/>
                <w:webHidden/>
              </w:rPr>
            </w:r>
            <w:r>
              <w:rPr>
                <w:noProof/>
                <w:webHidden/>
              </w:rPr>
              <w:fldChar w:fldCharType="separate"/>
            </w:r>
            <w:r>
              <w:rPr>
                <w:noProof/>
                <w:webHidden/>
              </w:rPr>
              <w:t>9</w:t>
            </w:r>
            <w:r>
              <w:rPr>
                <w:noProof/>
                <w:webHidden/>
              </w:rPr>
              <w:fldChar w:fldCharType="end"/>
            </w:r>
          </w:hyperlink>
        </w:p>
        <w:p w14:paraId="40C67086" w14:textId="3A9A3117" w:rsidR="009F669C" w:rsidRDefault="009F669C">
          <w:pPr>
            <w:pStyle w:val="TOC2"/>
            <w:rPr>
              <w:rFonts w:asciiTheme="minorHAnsi" w:eastAsiaTheme="minorEastAsia" w:hAnsiTheme="minorHAnsi" w:cstheme="minorBidi"/>
              <w:b w:val="0"/>
              <w:noProof/>
              <w:sz w:val="22"/>
              <w:lang w:eastAsia="en-AU"/>
            </w:rPr>
          </w:pPr>
          <w:hyperlink w:anchor="_Toc47353828" w:history="1">
            <w:r w:rsidRPr="006E53DC">
              <w:rPr>
                <w:rStyle w:val="Hyperlink"/>
                <w:noProof/>
              </w:rPr>
              <w:t>II. Registration timeline</w:t>
            </w:r>
            <w:r>
              <w:rPr>
                <w:noProof/>
                <w:webHidden/>
              </w:rPr>
              <w:tab/>
            </w:r>
            <w:r>
              <w:rPr>
                <w:noProof/>
                <w:webHidden/>
              </w:rPr>
              <w:fldChar w:fldCharType="begin"/>
            </w:r>
            <w:r>
              <w:rPr>
                <w:noProof/>
                <w:webHidden/>
              </w:rPr>
              <w:instrText xml:space="preserve"> PAGEREF _Toc47353828 \h </w:instrText>
            </w:r>
            <w:r>
              <w:rPr>
                <w:noProof/>
                <w:webHidden/>
              </w:rPr>
            </w:r>
            <w:r>
              <w:rPr>
                <w:noProof/>
                <w:webHidden/>
              </w:rPr>
              <w:fldChar w:fldCharType="separate"/>
            </w:r>
            <w:r>
              <w:rPr>
                <w:noProof/>
                <w:webHidden/>
              </w:rPr>
              <w:t>10</w:t>
            </w:r>
            <w:r>
              <w:rPr>
                <w:noProof/>
                <w:webHidden/>
              </w:rPr>
              <w:fldChar w:fldCharType="end"/>
            </w:r>
          </w:hyperlink>
        </w:p>
        <w:p w14:paraId="17D7AE1B" w14:textId="14898BDE" w:rsidR="009F669C" w:rsidRDefault="009F669C">
          <w:pPr>
            <w:pStyle w:val="TOC2"/>
            <w:rPr>
              <w:rFonts w:asciiTheme="minorHAnsi" w:eastAsiaTheme="minorEastAsia" w:hAnsiTheme="minorHAnsi" w:cstheme="minorBidi"/>
              <w:b w:val="0"/>
              <w:noProof/>
              <w:sz w:val="22"/>
              <w:lang w:eastAsia="en-AU"/>
            </w:rPr>
          </w:pPr>
          <w:hyperlink w:anchor="_Toc47353829" w:history="1">
            <w:r w:rsidRPr="006E53DC">
              <w:rPr>
                <w:rStyle w:val="Hyperlink"/>
                <w:noProof/>
              </w:rPr>
              <w:t>III. Submission overview and risk/benefit assessment</w:t>
            </w:r>
            <w:r>
              <w:rPr>
                <w:noProof/>
                <w:webHidden/>
              </w:rPr>
              <w:tab/>
            </w:r>
            <w:r>
              <w:rPr>
                <w:noProof/>
                <w:webHidden/>
              </w:rPr>
              <w:fldChar w:fldCharType="begin"/>
            </w:r>
            <w:r>
              <w:rPr>
                <w:noProof/>
                <w:webHidden/>
              </w:rPr>
              <w:instrText xml:space="preserve"> PAGEREF _Toc47353829 \h </w:instrText>
            </w:r>
            <w:r>
              <w:rPr>
                <w:noProof/>
                <w:webHidden/>
              </w:rPr>
            </w:r>
            <w:r>
              <w:rPr>
                <w:noProof/>
                <w:webHidden/>
              </w:rPr>
              <w:fldChar w:fldCharType="separate"/>
            </w:r>
            <w:r>
              <w:rPr>
                <w:noProof/>
                <w:webHidden/>
              </w:rPr>
              <w:t>10</w:t>
            </w:r>
            <w:r>
              <w:rPr>
                <w:noProof/>
                <w:webHidden/>
              </w:rPr>
              <w:fldChar w:fldCharType="end"/>
            </w:r>
          </w:hyperlink>
        </w:p>
        <w:p w14:paraId="483F0B17" w14:textId="2BABD17D" w:rsidR="009F669C" w:rsidRDefault="009F669C">
          <w:pPr>
            <w:pStyle w:val="TOC3"/>
            <w:rPr>
              <w:rFonts w:asciiTheme="minorHAnsi" w:eastAsiaTheme="minorEastAsia" w:hAnsiTheme="minorHAnsi" w:cstheme="minorBidi"/>
              <w:noProof/>
              <w:lang w:eastAsia="en-AU"/>
            </w:rPr>
          </w:pPr>
          <w:hyperlink w:anchor="_Toc47353830" w:history="1">
            <w:r w:rsidRPr="006E53DC">
              <w:rPr>
                <w:rStyle w:val="Hyperlink"/>
                <w:noProof/>
              </w:rPr>
              <w:t>Quality</w:t>
            </w:r>
            <w:r>
              <w:rPr>
                <w:noProof/>
                <w:webHidden/>
              </w:rPr>
              <w:tab/>
            </w:r>
            <w:r>
              <w:rPr>
                <w:noProof/>
                <w:webHidden/>
              </w:rPr>
              <w:fldChar w:fldCharType="begin"/>
            </w:r>
            <w:r>
              <w:rPr>
                <w:noProof/>
                <w:webHidden/>
              </w:rPr>
              <w:instrText xml:space="preserve"> PAGEREF _Toc47353830 \h </w:instrText>
            </w:r>
            <w:r>
              <w:rPr>
                <w:noProof/>
                <w:webHidden/>
              </w:rPr>
            </w:r>
            <w:r>
              <w:rPr>
                <w:noProof/>
                <w:webHidden/>
              </w:rPr>
              <w:fldChar w:fldCharType="separate"/>
            </w:r>
            <w:r>
              <w:rPr>
                <w:noProof/>
                <w:webHidden/>
              </w:rPr>
              <w:t>10</w:t>
            </w:r>
            <w:r>
              <w:rPr>
                <w:noProof/>
                <w:webHidden/>
              </w:rPr>
              <w:fldChar w:fldCharType="end"/>
            </w:r>
          </w:hyperlink>
        </w:p>
        <w:p w14:paraId="35993D8F" w14:textId="5164DF7D" w:rsidR="009F669C" w:rsidRDefault="009F669C">
          <w:pPr>
            <w:pStyle w:val="TOC3"/>
            <w:rPr>
              <w:rFonts w:asciiTheme="minorHAnsi" w:eastAsiaTheme="minorEastAsia" w:hAnsiTheme="minorHAnsi" w:cstheme="minorBidi"/>
              <w:noProof/>
              <w:lang w:eastAsia="en-AU"/>
            </w:rPr>
          </w:pPr>
          <w:hyperlink w:anchor="_Toc47353831" w:history="1">
            <w:r w:rsidRPr="006E53DC">
              <w:rPr>
                <w:rStyle w:val="Hyperlink"/>
                <w:noProof/>
              </w:rPr>
              <w:t>Nonclinical</w:t>
            </w:r>
            <w:r>
              <w:rPr>
                <w:noProof/>
                <w:webHidden/>
              </w:rPr>
              <w:tab/>
            </w:r>
            <w:r>
              <w:rPr>
                <w:noProof/>
                <w:webHidden/>
              </w:rPr>
              <w:fldChar w:fldCharType="begin"/>
            </w:r>
            <w:r>
              <w:rPr>
                <w:noProof/>
                <w:webHidden/>
              </w:rPr>
              <w:instrText xml:space="preserve"> PAGEREF _Toc47353831 \h </w:instrText>
            </w:r>
            <w:r>
              <w:rPr>
                <w:noProof/>
                <w:webHidden/>
              </w:rPr>
            </w:r>
            <w:r>
              <w:rPr>
                <w:noProof/>
                <w:webHidden/>
              </w:rPr>
              <w:fldChar w:fldCharType="separate"/>
            </w:r>
            <w:r>
              <w:rPr>
                <w:noProof/>
                <w:webHidden/>
              </w:rPr>
              <w:t>12</w:t>
            </w:r>
            <w:r>
              <w:rPr>
                <w:noProof/>
                <w:webHidden/>
              </w:rPr>
              <w:fldChar w:fldCharType="end"/>
            </w:r>
          </w:hyperlink>
        </w:p>
        <w:p w14:paraId="52DB665F" w14:textId="16DC1229" w:rsidR="009F669C" w:rsidRDefault="009F669C">
          <w:pPr>
            <w:pStyle w:val="TOC3"/>
            <w:rPr>
              <w:rFonts w:asciiTheme="minorHAnsi" w:eastAsiaTheme="minorEastAsia" w:hAnsiTheme="minorHAnsi" w:cstheme="minorBidi"/>
              <w:noProof/>
              <w:lang w:eastAsia="en-AU"/>
            </w:rPr>
          </w:pPr>
          <w:hyperlink w:anchor="_Toc47353832" w:history="1">
            <w:r w:rsidRPr="006E53DC">
              <w:rPr>
                <w:rStyle w:val="Hyperlink"/>
                <w:noProof/>
              </w:rPr>
              <w:t>Clinical</w:t>
            </w:r>
            <w:r>
              <w:rPr>
                <w:noProof/>
                <w:webHidden/>
              </w:rPr>
              <w:tab/>
            </w:r>
            <w:r>
              <w:rPr>
                <w:noProof/>
                <w:webHidden/>
              </w:rPr>
              <w:fldChar w:fldCharType="begin"/>
            </w:r>
            <w:r>
              <w:rPr>
                <w:noProof/>
                <w:webHidden/>
              </w:rPr>
              <w:instrText xml:space="preserve"> PAGEREF _Toc47353832 \h </w:instrText>
            </w:r>
            <w:r>
              <w:rPr>
                <w:noProof/>
                <w:webHidden/>
              </w:rPr>
            </w:r>
            <w:r>
              <w:rPr>
                <w:noProof/>
                <w:webHidden/>
              </w:rPr>
              <w:fldChar w:fldCharType="separate"/>
            </w:r>
            <w:r>
              <w:rPr>
                <w:noProof/>
                <w:webHidden/>
              </w:rPr>
              <w:t>13</w:t>
            </w:r>
            <w:r>
              <w:rPr>
                <w:noProof/>
                <w:webHidden/>
              </w:rPr>
              <w:fldChar w:fldCharType="end"/>
            </w:r>
          </w:hyperlink>
        </w:p>
        <w:p w14:paraId="45F33908" w14:textId="6C3A8EB6" w:rsidR="009F669C" w:rsidRDefault="009F669C">
          <w:pPr>
            <w:pStyle w:val="TOC3"/>
            <w:rPr>
              <w:rFonts w:asciiTheme="minorHAnsi" w:eastAsiaTheme="minorEastAsia" w:hAnsiTheme="minorHAnsi" w:cstheme="minorBidi"/>
              <w:noProof/>
              <w:lang w:eastAsia="en-AU"/>
            </w:rPr>
          </w:pPr>
          <w:hyperlink w:anchor="_Toc47353833" w:history="1">
            <w:r w:rsidRPr="006E53DC">
              <w:rPr>
                <w:rStyle w:val="Hyperlink"/>
                <w:noProof/>
                <w:lang w:eastAsia="en-AU"/>
              </w:rPr>
              <w:t>Risk management plan</w:t>
            </w:r>
            <w:r>
              <w:rPr>
                <w:noProof/>
                <w:webHidden/>
              </w:rPr>
              <w:tab/>
            </w:r>
            <w:r>
              <w:rPr>
                <w:noProof/>
                <w:webHidden/>
              </w:rPr>
              <w:fldChar w:fldCharType="begin"/>
            </w:r>
            <w:r>
              <w:rPr>
                <w:noProof/>
                <w:webHidden/>
              </w:rPr>
              <w:instrText xml:space="preserve"> PAGEREF _Toc47353833 \h </w:instrText>
            </w:r>
            <w:r>
              <w:rPr>
                <w:noProof/>
                <w:webHidden/>
              </w:rPr>
            </w:r>
            <w:r>
              <w:rPr>
                <w:noProof/>
                <w:webHidden/>
              </w:rPr>
              <w:fldChar w:fldCharType="separate"/>
            </w:r>
            <w:r>
              <w:rPr>
                <w:noProof/>
                <w:webHidden/>
              </w:rPr>
              <w:t>22</w:t>
            </w:r>
            <w:r>
              <w:rPr>
                <w:noProof/>
                <w:webHidden/>
              </w:rPr>
              <w:fldChar w:fldCharType="end"/>
            </w:r>
          </w:hyperlink>
        </w:p>
        <w:p w14:paraId="1EDFBEAD" w14:textId="38224A14" w:rsidR="009F669C" w:rsidRDefault="009F669C">
          <w:pPr>
            <w:pStyle w:val="TOC3"/>
            <w:rPr>
              <w:rFonts w:asciiTheme="minorHAnsi" w:eastAsiaTheme="minorEastAsia" w:hAnsiTheme="minorHAnsi" w:cstheme="minorBidi"/>
              <w:noProof/>
              <w:lang w:eastAsia="en-AU"/>
            </w:rPr>
          </w:pPr>
          <w:hyperlink w:anchor="_Toc47353834" w:history="1">
            <w:r w:rsidRPr="006E53DC">
              <w:rPr>
                <w:rStyle w:val="Hyperlink"/>
                <w:noProof/>
              </w:rPr>
              <w:t>Risk-benefit analysis</w:t>
            </w:r>
            <w:r>
              <w:rPr>
                <w:noProof/>
                <w:webHidden/>
              </w:rPr>
              <w:tab/>
            </w:r>
            <w:r>
              <w:rPr>
                <w:noProof/>
                <w:webHidden/>
              </w:rPr>
              <w:fldChar w:fldCharType="begin"/>
            </w:r>
            <w:r>
              <w:rPr>
                <w:noProof/>
                <w:webHidden/>
              </w:rPr>
              <w:instrText xml:space="preserve"> PAGEREF _Toc47353834 \h </w:instrText>
            </w:r>
            <w:r>
              <w:rPr>
                <w:noProof/>
                <w:webHidden/>
              </w:rPr>
            </w:r>
            <w:r>
              <w:rPr>
                <w:noProof/>
                <w:webHidden/>
              </w:rPr>
              <w:fldChar w:fldCharType="separate"/>
            </w:r>
            <w:r>
              <w:rPr>
                <w:noProof/>
                <w:webHidden/>
              </w:rPr>
              <w:t>23</w:t>
            </w:r>
            <w:r>
              <w:rPr>
                <w:noProof/>
                <w:webHidden/>
              </w:rPr>
              <w:fldChar w:fldCharType="end"/>
            </w:r>
          </w:hyperlink>
        </w:p>
        <w:p w14:paraId="08A2B35D" w14:textId="60284E34" w:rsidR="009F669C" w:rsidRDefault="009F669C">
          <w:pPr>
            <w:pStyle w:val="TOC3"/>
            <w:rPr>
              <w:rFonts w:asciiTheme="minorHAnsi" w:eastAsiaTheme="minorEastAsia" w:hAnsiTheme="minorHAnsi" w:cstheme="minorBidi"/>
              <w:noProof/>
              <w:lang w:eastAsia="en-AU"/>
            </w:rPr>
          </w:pPr>
          <w:hyperlink w:anchor="_Toc47353835" w:history="1">
            <w:r w:rsidRPr="006E53DC">
              <w:rPr>
                <w:rStyle w:val="Hyperlink"/>
                <w:noProof/>
              </w:rPr>
              <w:t>Outcome</w:t>
            </w:r>
            <w:r>
              <w:rPr>
                <w:noProof/>
                <w:webHidden/>
              </w:rPr>
              <w:tab/>
            </w:r>
            <w:r>
              <w:rPr>
                <w:noProof/>
                <w:webHidden/>
              </w:rPr>
              <w:fldChar w:fldCharType="begin"/>
            </w:r>
            <w:r>
              <w:rPr>
                <w:noProof/>
                <w:webHidden/>
              </w:rPr>
              <w:instrText xml:space="preserve"> PAGEREF _Toc47353835 \h </w:instrText>
            </w:r>
            <w:r>
              <w:rPr>
                <w:noProof/>
                <w:webHidden/>
              </w:rPr>
            </w:r>
            <w:r>
              <w:rPr>
                <w:noProof/>
                <w:webHidden/>
              </w:rPr>
              <w:fldChar w:fldCharType="separate"/>
            </w:r>
            <w:r>
              <w:rPr>
                <w:noProof/>
                <w:webHidden/>
              </w:rPr>
              <w:t>24</w:t>
            </w:r>
            <w:r>
              <w:rPr>
                <w:noProof/>
                <w:webHidden/>
              </w:rPr>
              <w:fldChar w:fldCharType="end"/>
            </w:r>
          </w:hyperlink>
        </w:p>
        <w:p w14:paraId="64C7B952" w14:textId="619C9D99" w:rsidR="009F669C" w:rsidRDefault="009F669C">
          <w:pPr>
            <w:pStyle w:val="TOC2"/>
            <w:rPr>
              <w:rFonts w:asciiTheme="minorHAnsi" w:eastAsiaTheme="minorEastAsia" w:hAnsiTheme="minorHAnsi" w:cstheme="minorBidi"/>
              <w:b w:val="0"/>
              <w:noProof/>
              <w:sz w:val="22"/>
              <w:lang w:eastAsia="en-AU"/>
            </w:rPr>
          </w:pPr>
          <w:hyperlink w:anchor="_Toc47353836" w:history="1">
            <w:r w:rsidRPr="006E53DC">
              <w:rPr>
                <w:rStyle w:val="Hyperlink"/>
                <w:noProof/>
              </w:rPr>
              <w:t>Attachment 1. Product Information</w:t>
            </w:r>
            <w:r>
              <w:rPr>
                <w:noProof/>
                <w:webHidden/>
              </w:rPr>
              <w:tab/>
            </w:r>
            <w:r>
              <w:rPr>
                <w:noProof/>
                <w:webHidden/>
              </w:rPr>
              <w:fldChar w:fldCharType="begin"/>
            </w:r>
            <w:r>
              <w:rPr>
                <w:noProof/>
                <w:webHidden/>
              </w:rPr>
              <w:instrText xml:space="preserve"> PAGEREF _Toc47353836 \h </w:instrText>
            </w:r>
            <w:r>
              <w:rPr>
                <w:noProof/>
                <w:webHidden/>
              </w:rPr>
            </w:r>
            <w:r>
              <w:rPr>
                <w:noProof/>
                <w:webHidden/>
              </w:rPr>
              <w:fldChar w:fldCharType="separate"/>
            </w:r>
            <w:r>
              <w:rPr>
                <w:noProof/>
                <w:webHidden/>
              </w:rPr>
              <w:t>25</w:t>
            </w:r>
            <w:r>
              <w:rPr>
                <w:noProof/>
                <w:webHidden/>
              </w:rPr>
              <w:fldChar w:fldCharType="end"/>
            </w:r>
          </w:hyperlink>
        </w:p>
        <w:p w14:paraId="3119F49E" w14:textId="3E83FAA1" w:rsidR="003A7F6C" w:rsidRPr="00B811C6" w:rsidRDefault="00960520" w:rsidP="00B811C6">
          <w:pPr>
            <w:pStyle w:val="TOC2"/>
          </w:pPr>
          <w:r>
            <w:fldChar w:fldCharType="end"/>
          </w:r>
        </w:p>
      </w:sdtContent>
    </w:sdt>
    <w:bookmarkStart w:id="3" w:name="_Toc314842482" w:displacedByCustomXml="prev"/>
    <w:p w14:paraId="4BCA2073" w14:textId="77777777" w:rsidR="00FD119B" w:rsidRDefault="00FD119B">
      <w:pPr>
        <w:spacing w:before="0" w:after="200" w:line="0" w:lineRule="auto"/>
      </w:pPr>
      <w:r>
        <w:br w:type="page"/>
      </w:r>
    </w:p>
    <w:p w14:paraId="244BA775" w14:textId="77777777" w:rsidR="00C52E24" w:rsidRPr="00C52E24" w:rsidRDefault="00441C3F" w:rsidP="0036060B">
      <w:pPr>
        <w:pStyle w:val="Heading2"/>
      </w:pPr>
      <w:bookmarkStart w:id="4" w:name="_Toc351716269"/>
      <w:bookmarkStart w:id="5" w:name="_Toc351718881"/>
      <w:bookmarkStart w:id="6" w:name="_Toc355338616"/>
      <w:bookmarkStart w:id="7" w:name="_Toc356306144"/>
      <w:bookmarkStart w:id="8" w:name="_Toc47353822"/>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4"/>
        <w:gridCol w:w="6680"/>
      </w:tblGrid>
      <w:tr w:rsidR="00FD119B" w:rsidRPr="00FD119B" w14:paraId="5B6E015D"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0563F884" w14:textId="77777777" w:rsidR="00FD119B" w:rsidRPr="00FD119B" w:rsidRDefault="00FD119B" w:rsidP="003A33E1">
            <w:pPr>
              <w:keepNext w:val="0"/>
              <w:ind w:right="0"/>
              <w:rPr>
                <w:szCs w:val="22"/>
                <w:lang w:eastAsia="en-US"/>
              </w:rPr>
            </w:pPr>
            <w:r w:rsidRPr="00FD119B">
              <w:rPr>
                <w:szCs w:val="22"/>
                <w:lang w:eastAsia="en-US"/>
              </w:rPr>
              <w:t>Abbreviation</w:t>
            </w:r>
          </w:p>
        </w:tc>
        <w:tc>
          <w:tcPr>
            <w:tcW w:w="6911" w:type="dxa"/>
          </w:tcPr>
          <w:p w14:paraId="67419E97" w14:textId="77777777" w:rsidR="00FD119B" w:rsidRPr="00FD119B" w:rsidRDefault="00FD119B" w:rsidP="003A33E1">
            <w:pPr>
              <w:keepNext w:val="0"/>
              <w:ind w:right="0"/>
              <w:rPr>
                <w:szCs w:val="22"/>
                <w:lang w:eastAsia="en-US"/>
              </w:rPr>
            </w:pPr>
            <w:r w:rsidRPr="00FD119B">
              <w:rPr>
                <w:szCs w:val="22"/>
                <w:lang w:eastAsia="en-US"/>
              </w:rPr>
              <w:t>Meaning</w:t>
            </w:r>
          </w:p>
        </w:tc>
      </w:tr>
      <w:tr w:rsidR="00DC3988" w:rsidRPr="00FD119B" w14:paraId="1F8C477C" w14:textId="77777777" w:rsidTr="00FD119B">
        <w:tc>
          <w:tcPr>
            <w:tcW w:w="1809" w:type="dxa"/>
          </w:tcPr>
          <w:p w14:paraId="263725F4" w14:textId="77777777" w:rsidR="00DC3988" w:rsidRPr="004751AB" w:rsidRDefault="00DC3988" w:rsidP="003A33E1">
            <w:pPr>
              <w:rPr>
                <w:rFonts w:eastAsiaTheme="minorHAnsi" w:cs="TimesNewRomanPSMT"/>
                <w:color w:val="000000"/>
              </w:rPr>
            </w:pPr>
            <w:r>
              <w:rPr>
                <w:rFonts w:eastAsiaTheme="minorHAnsi" w:cs="TimesNewRomanPSMT"/>
                <w:color w:val="000000"/>
              </w:rPr>
              <w:t>ACM</w:t>
            </w:r>
          </w:p>
        </w:tc>
        <w:tc>
          <w:tcPr>
            <w:tcW w:w="6911" w:type="dxa"/>
          </w:tcPr>
          <w:p w14:paraId="2CB7BAF6" w14:textId="77777777" w:rsidR="00DC3988" w:rsidRDefault="00DC3988" w:rsidP="009B36BE">
            <w:pPr>
              <w:rPr>
                <w:rFonts w:eastAsiaTheme="minorHAnsi" w:cs="TimesNewRomanPSMT"/>
                <w:color w:val="000000"/>
              </w:rPr>
            </w:pPr>
            <w:r>
              <w:rPr>
                <w:rFonts w:eastAsiaTheme="minorHAnsi" w:cs="TimesNewRomanPSMT"/>
                <w:color w:val="000000"/>
              </w:rPr>
              <w:t>Advisory Committee on Medicines</w:t>
            </w:r>
          </w:p>
        </w:tc>
      </w:tr>
      <w:tr w:rsidR="009B36BE" w:rsidRPr="00FD119B" w14:paraId="13EFDCFA" w14:textId="77777777" w:rsidTr="00FD119B">
        <w:tc>
          <w:tcPr>
            <w:tcW w:w="1809" w:type="dxa"/>
          </w:tcPr>
          <w:p w14:paraId="639F2AE6" w14:textId="77777777" w:rsidR="009B36BE" w:rsidRDefault="009B36BE" w:rsidP="003A33E1">
            <w:r w:rsidRPr="004751AB">
              <w:rPr>
                <w:rFonts w:eastAsiaTheme="minorHAnsi" w:cs="TimesNewRomanPSMT"/>
                <w:color w:val="000000"/>
              </w:rPr>
              <w:t>ACTH</w:t>
            </w:r>
          </w:p>
        </w:tc>
        <w:tc>
          <w:tcPr>
            <w:tcW w:w="6911" w:type="dxa"/>
          </w:tcPr>
          <w:p w14:paraId="6C3DA500" w14:textId="2B8005AB" w:rsidR="009B36BE" w:rsidRDefault="009B36BE" w:rsidP="009B36BE">
            <w:r>
              <w:rPr>
                <w:rFonts w:eastAsiaTheme="minorHAnsi" w:cs="TimesNewRomanPSMT"/>
                <w:color w:val="000000"/>
              </w:rPr>
              <w:t>Adrenocorticotropic hormone</w:t>
            </w:r>
            <w:r w:rsidR="00864B20">
              <w:rPr>
                <w:rFonts w:eastAsiaTheme="minorHAnsi" w:cs="TimesNewRomanPSMT"/>
                <w:color w:val="000000"/>
              </w:rPr>
              <w:t xml:space="preserve">; </w:t>
            </w:r>
            <w:proofErr w:type="spellStart"/>
            <w:r w:rsidR="00864B20">
              <w:rPr>
                <w:rFonts w:eastAsiaTheme="minorHAnsi" w:cs="TimesNewRomanPSMT"/>
                <w:color w:val="000000"/>
              </w:rPr>
              <w:t>adrenocorticotropin</w:t>
            </w:r>
            <w:proofErr w:type="spellEnd"/>
          </w:p>
        </w:tc>
      </w:tr>
      <w:tr w:rsidR="0036060B" w:rsidRPr="00FD119B" w14:paraId="5FF364C2" w14:textId="77777777" w:rsidTr="00FD119B">
        <w:tc>
          <w:tcPr>
            <w:tcW w:w="1809" w:type="dxa"/>
          </w:tcPr>
          <w:p w14:paraId="73FD0C8D" w14:textId="77777777" w:rsidR="0036060B" w:rsidRDefault="0036060B" w:rsidP="003A33E1">
            <w:r>
              <w:t>AE</w:t>
            </w:r>
          </w:p>
        </w:tc>
        <w:tc>
          <w:tcPr>
            <w:tcW w:w="6911" w:type="dxa"/>
          </w:tcPr>
          <w:p w14:paraId="4DD78418" w14:textId="77777777" w:rsidR="0036060B" w:rsidRDefault="0036060B" w:rsidP="003A33E1">
            <w:r>
              <w:t>Adverse event</w:t>
            </w:r>
          </w:p>
        </w:tc>
      </w:tr>
      <w:tr w:rsidR="002B208A" w:rsidRPr="00FD119B" w14:paraId="4AC36F87" w14:textId="77777777" w:rsidTr="00FD119B">
        <w:tc>
          <w:tcPr>
            <w:tcW w:w="1809" w:type="dxa"/>
          </w:tcPr>
          <w:p w14:paraId="176D50BA" w14:textId="77777777" w:rsidR="002B208A" w:rsidRDefault="002B208A" w:rsidP="003A33E1">
            <w:r>
              <w:t>AI</w:t>
            </w:r>
          </w:p>
        </w:tc>
        <w:tc>
          <w:tcPr>
            <w:tcW w:w="6911" w:type="dxa"/>
          </w:tcPr>
          <w:p w14:paraId="57BEB8C6" w14:textId="77777777" w:rsidR="002B208A" w:rsidRDefault="002B208A" w:rsidP="002B208A">
            <w:r>
              <w:t>Adrenal insufficiency</w:t>
            </w:r>
          </w:p>
        </w:tc>
      </w:tr>
      <w:tr w:rsidR="0036060B" w:rsidRPr="00FD119B" w14:paraId="00453882" w14:textId="77777777" w:rsidTr="00FD119B">
        <w:tc>
          <w:tcPr>
            <w:tcW w:w="1809" w:type="dxa"/>
          </w:tcPr>
          <w:p w14:paraId="469A6197" w14:textId="77777777" w:rsidR="0036060B" w:rsidRDefault="0036060B" w:rsidP="003A33E1">
            <w:r>
              <w:t>ANCOVA</w:t>
            </w:r>
          </w:p>
        </w:tc>
        <w:tc>
          <w:tcPr>
            <w:tcW w:w="6911" w:type="dxa"/>
          </w:tcPr>
          <w:p w14:paraId="2B9EA5A3" w14:textId="77777777" w:rsidR="0036060B" w:rsidRDefault="0036060B" w:rsidP="003A33E1">
            <w:r w:rsidRPr="00F07D1F">
              <w:t>Analysis of covariance</w:t>
            </w:r>
          </w:p>
        </w:tc>
      </w:tr>
      <w:tr w:rsidR="004C0940" w:rsidRPr="00FD119B" w14:paraId="5AA6338D" w14:textId="77777777" w:rsidTr="00FD119B">
        <w:tc>
          <w:tcPr>
            <w:tcW w:w="1809" w:type="dxa"/>
          </w:tcPr>
          <w:p w14:paraId="7A9581FB" w14:textId="77777777" w:rsidR="004C0940" w:rsidRDefault="004C0940" w:rsidP="003A33E1">
            <w:r>
              <w:t>ANOVA</w:t>
            </w:r>
          </w:p>
        </w:tc>
        <w:tc>
          <w:tcPr>
            <w:tcW w:w="6911" w:type="dxa"/>
          </w:tcPr>
          <w:p w14:paraId="54A86136" w14:textId="77777777" w:rsidR="004C0940" w:rsidRPr="00F07D1F" w:rsidRDefault="004C0940" w:rsidP="004C0940">
            <w:r>
              <w:t>Analysis of variance</w:t>
            </w:r>
          </w:p>
        </w:tc>
      </w:tr>
      <w:tr w:rsidR="00DC3988" w:rsidRPr="00FD119B" w14:paraId="166BD9AD" w14:textId="77777777" w:rsidTr="00FD119B">
        <w:tc>
          <w:tcPr>
            <w:tcW w:w="1809" w:type="dxa"/>
          </w:tcPr>
          <w:p w14:paraId="35148762" w14:textId="77777777" w:rsidR="00DC3988" w:rsidRDefault="00DC3988" w:rsidP="003A33E1">
            <w:r>
              <w:t>ARTG</w:t>
            </w:r>
          </w:p>
        </w:tc>
        <w:tc>
          <w:tcPr>
            <w:tcW w:w="6911" w:type="dxa"/>
          </w:tcPr>
          <w:p w14:paraId="6F9A884D" w14:textId="77777777" w:rsidR="00DC3988" w:rsidRDefault="00DC3988" w:rsidP="00DC3988">
            <w:r>
              <w:t>Australian Register of Therapeutic Goods</w:t>
            </w:r>
          </w:p>
        </w:tc>
      </w:tr>
      <w:tr w:rsidR="004C0940" w:rsidRPr="00FD119B" w14:paraId="1C18AC2D" w14:textId="77777777" w:rsidTr="00FD119B">
        <w:tc>
          <w:tcPr>
            <w:tcW w:w="1809" w:type="dxa"/>
          </w:tcPr>
          <w:p w14:paraId="428A844F" w14:textId="77777777" w:rsidR="004C0940" w:rsidRDefault="004C0940" w:rsidP="003A33E1">
            <w:r>
              <w:t>AUC</w:t>
            </w:r>
          </w:p>
        </w:tc>
        <w:tc>
          <w:tcPr>
            <w:tcW w:w="6911" w:type="dxa"/>
          </w:tcPr>
          <w:p w14:paraId="5702A8F5" w14:textId="77777777" w:rsidR="004C0940" w:rsidRPr="00F07D1F" w:rsidRDefault="004C0940" w:rsidP="003A33E1">
            <w:r>
              <w:t>Area under the plasma concentration time curve</w:t>
            </w:r>
          </w:p>
        </w:tc>
      </w:tr>
      <w:tr w:rsidR="00864B20" w:rsidRPr="00FD119B" w14:paraId="7E45CE97" w14:textId="77777777" w:rsidTr="00FD119B">
        <w:tc>
          <w:tcPr>
            <w:tcW w:w="1809" w:type="dxa"/>
          </w:tcPr>
          <w:p w14:paraId="1D30EB50" w14:textId="3915C7C7" w:rsidR="00864B20" w:rsidRDefault="00864B20" w:rsidP="003A33E1">
            <w:r>
              <w:t>β</w:t>
            </w:r>
            <w:r w:rsidRPr="00641184">
              <w:rPr>
                <w:vertAlign w:val="subscript"/>
              </w:rPr>
              <w:t>2</w:t>
            </w:r>
          </w:p>
        </w:tc>
        <w:tc>
          <w:tcPr>
            <w:tcW w:w="6911" w:type="dxa"/>
          </w:tcPr>
          <w:p w14:paraId="78C02484" w14:textId="2CB94572" w:rsidR="00864B20" w:rsidRDefault="00864B20" w:rsidP="003A33E1">
            <w:r>
              <w:t>Beta 2 (adrenergic receptor)</w:t>
            </w:r>
          </w:p>
        </w:tc>
      </w:tr>
      <w:tr w:rsidR="0036060B" w:rsidRPr="00FD119B" w14:paraId="0701CC36" w14:textId="77777777" w:rsidTr="00FD119B">
        <w:tc>
          <w:tcPr>
            <w:tcW w:w="1809" w:type="dxa"/>
          </w:tcPr>
          <w:p w14:paraId="799206C5" w14:textId="77777777" w:rsidR="0036060B" w:rsidRDefault="0036060B" w:rsidP="003A33E1">
            <w:r>
              <w:t>BDP</w:t>
            </w:r>
          </w:p>
        </w:tc>
        <w:tc>
          <w:tcPr>
            <w:tcW w:w="6911" w:type="dxa"/>
          </w:tcPr>
          <w:p w14:paraId="721ABE42" w14:textId="77777777" w:rsidR="0036060B" w:rsidRDefault="0036060B" w:rsidP="003A33E1">
            <w:proofErr w:type="spellStart"/>
            <w:r>
              <w:t>Beclomethasone</w:t>
            </w:r>
            <w:proofErr w:type="spellEnd"/>
            <w:r>
              <w:t xml:space="preserve"> dipropionate</w:t>
            </w:r>
          </w:p>
        </w:tc>
      </w:tr>
      <w:tr w:rsidR="0036060B" w:rsidRPr="00FD119B" w14:paraId="6B1DD76E" w14:textId="77777777" w:rsidTr="00FD119B">
        <w:tc>
          <w:tcPr>
            <w:tcW w:w="1809" w:type="dxa"/>
          </w:tcPr>
          <w:p w14:paraId="6B03EC30" w14:textId="22AA51CC" w:rsidR="0036060B" w:rsidRDefault="00864B20" w:rsidP="003A33E1">
            <w:r>
              <w:t>BD</w:t>
            </w:r>
          </w:p>
        </w:tc>
        <w:tc>
          <w:tcPr>
            <w:tcW w:w="6911" w:type="dxa"/>
          </w:tcPr>
          <w:p w14:paraId="1088CC9A" w14:textId="7632DBFE" w:rsidR="0036060B" w:rsidRDefault="00116C0B" w:rsidP="003A33E1">
            <w:r>
              <w:t>Twice daily</w:t>
            </w:r>
            <w:r w:rsidR="00864B20">
              <w:t>;</w:t>
            </w:r>
            <w:r>
              <w:t xml:space="preserve"> Latin: </w:t>
            </w:r>
            <w:proofErr w:type="spellStart"/>
            <w:r w:rsidRPr="00116C0B">
              <w:rPr>
                <w:i/>
              </w:rPr>
              <w:t>bis</w:t>
            </w:r>
            <w:proofErr w:type="spellEnd"/>
            <w:r w:rsidRPr="00116C0B">
              <w:rPr>
                <w:i/>
              </w:rPr>
              <w:t xml:space="preserve"> in die</w:t>
            </w:r>
          </w:p>
        </w:tc>
      </w:tr>
      <w:tr w:rsidR="007B10AB" w:rsidRPr="00FD119B" w14:paraId="39C6AC15" w14:textId="77777777" w:rsidTr="00FD119B">
        <w:tc>
          <w:tcPr>
            <w:tcW w:w="1809" w:type="dxa"/>
          </w:tcPr>
          <w:p w14:paraId="72DE8C98" w14:textId="77777777" w:rsidR="007B10AB" w:rsidRDefault="007B10AB" w:rsidP="003A33E1">
            <w:r w:rsidRPr="007B10AB">
              <w:rPr>
                <w:rFonts w:eastAsia="TimesNewRoman" w:cs="TimesNewRoman"/>
              </w:rPr>
              <w:t>CHF 1535</w:t>
            </w:r>
          </w:p>
        </w:tc>
        <w:tc>
          <w:tcPr>
            <w:tcW w:w="6911" w:type="dxa"/>
          </w:tcPr>
          <w:p w14:paraId="5EC4AA50" w14:textId="77777777" w:rsidR="007B10AB" w:rsidRDefault="00B64011" w:rsidP="003A33E1">
            <w:proofErr w:type="spellStart"/>
            <w:r>
              <w:rPr>
                <w:rFonts w:eastAsia="TimesNewRoman" w:cs="TimesNewRoman"/>
              </w:rPr>
              <w:t>Fostair</w:t>
            </w:r>
            <w:proofErr w:type="spellEnd"/>
            <w:r>
              <w:rPr>
                <w:rFonts w:eastAsia="TimesNewRoman" w:cs="TimesNewRoman"/>
              </w:rPr>
              <w:t xml:space="preserve"> product</w:t>
            </w:r>
            <w:r w:rsidR="007B10AB">
              <w:rPr>
                <w:rFonts w:eastAsia="TimesNewRoman" w:cs="TimesNewRoman"/>
              </w:rPr>
              <w:t xml:space="preserve"> development name</w:t>
            </w:r>
          </w:p>
        </w:tc>
      </w:tr>
      <w:tr w:rsidR="0036060B" w:rsidRPr="00FD119B" w14:paraId="4537E405" w14:textId="77777777" w:rsidTr="00FD119B">
        <w:tc>
          <w:tcPr>
            <w:tcW w:w="1809" w:type="dxa"/>
          </w:tcPr>
          <w:p w14:paraId="15C4867C" w14:textId="77777777" w:rsidR="0036060B" w:rsidRDefault="0036060B" w:rsidP="003A33E1">
            <w:r>
              <w:t>CI</w:t>
            </w:r>
          </w:p>
        </w:tc>
        <w:tc>
          <w:tcPr>
            <w:tcW w:w="6911" w:type="dxa"/>
          </w:tcPr>
          <w:p w14:paraId="2F680942" w14:textId="77777777" w:rsidR="0036060B" w:rsidRDefault="0036060B" w:rsidP="003A33E1">
            <w:r>
              <w:t>Confidence interval</w:t>
            </w:r>
          </w:p>
        </w:tc>
      </w:tr>
      <w:tr w:rsidR="004C0940" w:rsidRPr="00FD119B" w14:paraId="4536CE58" w14:textId="77777777" w:rsidTr="00FD119B">
        <w:tc>
          <w:tcPr>
            <w:tcW w:w="1809" w:type="dxa"/>
          </w:tcPr>
          <w:p w14:paraId="0C3372C1" w14:textId="77777777" w:rsidR="004C0940" w:rsidRDefault="004C0940" w:rsidP="003A33E1">
            <w:proofErr w:type="spellStart"/>
            <w:r w:rsidRPr="007C699E">
              <w:t>C</w:t>
            </w:r>
            <w:r w:rsidRPr="004C0940">
              <w:rPr>
                <w:vertAlign w:val="subscript"/>
              </w:rPr>
              <w:t>max</w:t>
            </w:r>
            <w:proofErr w:type="spellEnd"/>
          </w:p>
        </w:tc>
        <w:tc>
          <w:tcPr>
            <w:tcW w:w="6911" w:type="dxa"/>
          </w:tcPr>
          <w:p w14:paraId="2CC60EE9" w14:textId="77777777" w:rsidR="004C0940" w:rsidRDefault="004C0940" w:rsidP="004C0940">
            <w:r>
              <w:t>Maximum plasma concentration</w:t>
            </w:r>
          </w:p>
        </w:tc>
      </w:tr>
      <w:tr w:rsidR="00F810ED" w:rsidRPr="00FD119B" w14:paraId="58D99F2C" w14:textId="77777777" w:rsidTr="00FD119B">
        <w:tc>
          <w:tcPr>
            <w:tcW w:w="1809" w:type="dxa"/>
          </w:tcPr>
          <w:p w14:paraId="6296EDAB" w14:textId="77777777" w:rsidR="00F810ED" w:rsidRPr="007C699E" w:rsidRDefault="00F810ED" w:rsidP="003A33E1">
            <w:r w:rsidRPr="00CD654D">
              <w:rPr>
                <w:rFonts w:eastAsiaTheme="minorHAnsi" w:cs="Cambria"/>
                <w:color w:val="000000"/>
              </w:rPr>
              <w:t>CNS</w:t>
            </w:r>
          </w:p>
        </w:tc>
        <w:tc>
          <w:tcPr>
            <w:tcW w:w="6911" w:type="dxa"/>
          </w:tcPr>
          <w:p w14:paraId="5328A1F2" w14:textId="77777777" w:rsidR="00F810ED" w:rsidRDefault="00F810ED" w:rsidP="00F810ED">
            <w:r>
              <w:rPr>
                <w:rFonts w:eastAsiaTheme="minorHAnsi" w:cs="Cambria"/>
                <w:color w:val="000000"/>
              </w:rPr>
              <w:t>Central nervous system</w:t>
            </w:r>
          </w:p>
        </w:tc>
      </w:tr>
      <w:tr w:rsidR="0036060B" w:rsidRPr="00FD119B" w14:paraId="6EFD8555" w14:textId="77777777" w:rsidTr="00FD119B">
        <w:tc>
          <w:tcPr>
            <w:tcW w:w="1809" w:type="dxa"/>
          </w:tcPr>
          <w:p w14:paraId="2FBC4828" w14:textId="77777777" w:rsidR="0036060B" w:rsidRDefault="0036060B" w:rsidP="003A33E1">
            <w:r>
              <w:t>COPD</w:t>
            </w:r>
          </w:p>
        </w:tc>
        <w:tc>
          <w:tcPr>
            <w:tcW w:w="6911" w:type="dxa"/>
          </w:tcPr>
          <w:p w14:paraId="6528F2F5" w14:textId="77777777" w:rsidR="0036060B" w:rsidRDefault="0036060B" w:rsidP="003A33E1">
            <w:r w:rsidRPr="00DC48DE">
              <w:t>Chronic obstructive pulmonary disease</w:t>
            </w:r>
          </w:p>
        </w:tc>
      </w:tr>
      <w:tr w:rsidR="004C0940" w:rsidRPr="00FD119B" w14:paraId="36E2FDF3" w14:textId="77777777" w:rsidTr="00FD119B">
        <w:tc>
          <w:tcPr>
            <w:tcW w:w="1809" w:type="dxa"/>
          </w:tcPr>
          <w:p w14:paraId="0EF0F00A" w14:textId="77777777" w:rsidR="004C0940" w:rsidRDefault="004C0940" w:rsidP="003A33E1">
            <w:r w:rsidRPr="007C699E">
              <w:t>CV</w:t>
            </w:r>
          </w:p>
        </w:tc>
        <w:tc>
          <w:tcPr>
            <w:tcW w:w="6911" w:type="dxa"/>
          </w:tcPr>
          <w:p w14:paraId="4C35614F" w14:textId="77777777" w:rsidR="004C0940" w:rsidRPr="00DC48DE" w:rsidRDefault="004C0940" w:rsidP="004C0940">
            <w:r>
              <w:t>Coefficient of variation</w:t>
            </w:r>
          </w:p>
        </w:tc>
      </w:tr>
      <w:tr w:rsidR="00F810ED" w:rsidRPr="00FD119B" w14:paraId="45364BB4" w14:textId="77777777" w:rsidTr="00FD119B">
        <w:tc>
          <w:tcPr>
            <w:tcW w:w="1809" w:type="dxa"/>
          </w:tcPr>
          <w:p w14:paraId="3D351C7C" w14:textId="77777777" w:rsidR="00F810ED" w:rsidRPr="007C699E" w:rsidRDefault="00F810ED" w:rsidP="003A33E1">
            <w:r>
              <w:t>CYP</w:t>
            </w:r>
          </w:p>
        </w:tc>
        <w:tc>
          <w:tcPr>
            <w:tcW w:w="6911" w:type="dxa"/>
          </w:tcPr>
          <w:p w14:paraId="39928648" w14:textId="77777777" w:rsidR="00F810ED" w:rsidRDefault="00F810ED" w:rsidP="00F810ED">
            <w:r>
              <w:t>Cytochrome P450</w:t>
            </w:r>
          </w:p>
        </w:tc>
      </w:tr>
      <w:tr w:rsidR="00F85C55" w:rsidRPr="00FD119B" w14:paraId="146EBC8D" w14:textId="77777777" w:rsidTr="00FD119B">
        <w:tc>
          <w:tcPr>
            <w:tcW w:w="1809" w:type="dxa"/>
          </w:tcPr>
          <w:p w14:paraId="4F03002C" w14:textId="77777777" w:rsidR="00F85C55" w:rsidRDefault="00F85C55" w:rsidP="003A33E1">
            <w:r>
              <w:t>DPI</w:t>
            </w:r>
          </w:p>
        </w:tc>
        <w:tc>
          <w:tcPr>
            <w:tcW w:w="6911" w:type="dxa"/>
          </w:tcPr>
          <w:p w14:paraId="412A7246" w14:textId="77777777" w:rsidR="00F85C55" w:rsidRDefault="00F85C55" w:rsidP="00F810ED">
            <w:r>
              <w:t>Dry powder inhaler</w:t>
            </w:r>
          </w:p>
        </w:tc>
      </w:tr>
      <w:tr w:rsidR="003317BC" w:rsidRPr="00FD119B" w14:paraId="7B6C2D52" w14:textId="77777777" w:rsidTr="00FD119B">
        <w:tc>
          <w:tcPr>
            <w:tcW w:w="1809" w:type="dxa"/>
          </w:tcPr>
          <w:p w14:paraId="77442DE2" w14:textId="77777777" w:rsidR="003317BC" w:rsidRDefault="003317BC" w:rsidP="003A33E1">
            <w:r>
              <w:t>EMA</w:t>
            </w:r>
          </w:p>
        </w:tc>
        <w:tc>
          <w:tcPr>
            <w:tcW w:w="6911" w:type="dxa"/>
          </w:tcPr>
          <w:p w14:paraId="0DA12DF1" w14:textId="6F6B780B" w:rsidR="003317BC" w:rsidRDefault="003317BC" w:rsidP="003317BC">
            <w:r>
              <w:t>European Medicines Agency</w:t>
            </w:r>
            <w:r w:rsidR="00864B20">
              <w:t xml:space="preserve"> (European Union)</w:t>
            </w:r>
          </w:p>
        </w:tc>
      </w:tr>
      <w:tr w:rsidR="0072223F" w:rsidRPr="00FD119B" w14:paraId="49080E67" w14:textId="77777777" w:rsidTr="00FD119B">
        <w:tc>
          <w:tcPr>
            <w:tcW w:w="1809" w:type="dxa"/>
          </w:tcPr>
          <w:p w14:paraId="00139A87" w14:textId="77777777" w:rsidR="0072223F" w:rsidRDefault="0072223F" w:rsidP="003A33E1">
            <w:r>
              <w:t>EU</w:t>
            </w:r>
          </w:p>
        </w:tc>
        <w:tc>
          <w:tcPr>
            <w:tcW w:w="6911" w:type="dxa"/>
          </w:tcPr>
          <w:p w14:paraId="0B1BEAB6" w14:textId="77777777" w:rsidR="0072223F" w:rsidRDefault="0072223F" w:rsidP="003A33E1">
            <w:r>
              <w:t>European Union</w:t>
            </w:r>
          </w:p>
        </w:tc>
      </w:tr>
      <w:tr w:rsidR="004C0940" w:rsidRPr="00FD119B" w14:paraId="3B9EB312" w14:textId="77777777" w:rsidTr="00FD119B">
        <w:tc>
          <w:tcPr>
            <w:tcW w:w="1809" w:type="dxa"/>
          </w:tcPr>
          <w:p w14:paraId="551D5516" w14:textId="77777777" w:rsidR="004C0940" w:rsidRDefault="004C0940" w:rsidP="003A33E1">
            <w:r>
              <w:t>FDC</w:t>
            </w:r>
          </w:p>
        </w:tc>
        <w:tc>
          <w:tcPr>
            <w:tcW w:w="6911" w:type="dxa"/>
          </w:tcPr>
          <w:p w14:paraId="6156022F" w14:textId="77777777" w:rsidR="004C0940" w:rsidRDefault="004C0940" w:rsidP="004C0940">
            <w:r>
              <w:t>Fixed dose combination</w:t>
            </w:r>
          </w:p>
        </w:tc>
      </w:tr>
      <w:tr w:rsidR="0036060B" w:rsidRPr="00FD119B" w14:paraId="567B6CB7" w14:textId="77777777" w:rsidTr="00FD119B">
        <w:tc>
          <w:tcPr>
            <w:tcW w:w="1809" w:type="dxa"/>
          </w:tcPr>
          <w:p w14:paraId="524885E4" w14:textId="77777777" w:rsidR="0036060B" w:rsidRDefault="0036060B" w:rsidP="003A33E1">
            <w:r>
              <w:t>FEV</w:t>
            </w:r>
            <w:r w:rsidRPr="00DC48DE">
              <w:rPr>
                <w:vertAlign w:val="subscript"/>
              </w:rPr>
              <w:t>1</w:t>
            </w:r>
          </w:p>
        </w:tc>
        <w:tc>
          <w:tcPr>
            <w:tcW w:w="6911" w:type="dxa"/>
          </w:tcPr>
          <w:p w14:paraId="43455930" w14:textId="77777777" w:rsidR="0036060B" w:rsidRDefault="0044140B" w:rsidP="003A33E1">
            <w:r>
              <w:t>Forced expiratory volume in one</w:t>
            </w:r>
            <w:r w:rsidR="0036060B">
              <w:t xml:space="preserve"> second</w:t>
            </w:r>
          </w:p>
        </w:tc>
      </w:tr>
      <w:tr w:rsidR="0036060B" w:rsidRPr="00FD119B" w14:paraId="3BCE96A6" w14:textId="77777777" w:rsidTr="00FD119B">
        <w:tc>
          <w:tcPr>
            <w:tcW w:w="1809" w:type="dxa"/>
          </w:tcPr>
          <w:p w14:paraId="58067FFF" w14:textId="77777777" w:rsidR="0036060B" w:rsidRDefault="0036060B" w:rsidP="003A33E1">
            <w:r>
              <w:t>FF</w:t>
            </w:r>
          </w:p>
        </w:tc>
        <w:tc>
          <w:tcPr>
            <w:tcW w:w="6911" w:type="dxa"/>
          </w:tcPr>
          <w:p w14:paraId="0C693979" w14:textId="77777777" w:rsidR="0036060B" w:rsidRDefault="0036060B" w:rsidP="003A33E1">
            <w:r>
              <w:t>Formoterol fumarate</w:t>
            </w:r>
          </w:p>
        </w:tc>
      </w:tr>
      <w:tr w:rsidR="00D463A3" w:rsidRPr="00FD119B" w14:paraId="4470B8D2" w14:textId="77777777" w:rsidTr="00FD119B">
        <w:tc>
          <w:tcPr>
            <w:tcW w:w="1809" w:type="dxa"/>
          </w:tcPr>
          <w:p w14:paraId="7F7620EA" w14:textId="77777777" w:rsidR="00D463A3" w:rsidRDefault="00D463A3" w:rsidP="003A33E1">
            <w:r>
              <w:rPr>
                <w:lang w:eastAsia="ja-JP"/>
              </w:rPr>
              <w:t>GINA</w:t>
            </w:r>
          </w:p>
        </w:tc>
        <w:tc>
          <w:tcPr>
            <w:tcW w:w="6911" w:type="dxa"/>
          </w:tcPr>
          <w:p w14:paraId="71D99D34" w14:textId="77777777" w:rsidR="00D463A3" w:rsidRDefault="00D463A3" w:rsidP="00D463A3">
            <w:r w:rsidRPr="00255886">
              <w:rPr>
                <w:lang w:eastAsia="ja-JP"/>
              </w:rPr>
              <w:t>Global Initiative for Asthma</w:t>
            </w:r>
          </w:p>
        </w:tc>
      </w:tr>
      <w:tr w:rsidR="0036060B" w:rsidRPr="00FD119B" w14:paraId="7FA08026" w14:textId="77777777" w:rsidTr="00FD119B">
        <w:tc>
          <w:tcPr>
            <w:tcW w:w="1809" w:type="dxa"/>
          </w:tcPr>
          <w:p w14:paraId="336F1D8B" w14:textId="77777777" w:rsidR="0036060B" w:rsidRDefault="0036060B" w:rsidP="003A33E1">
            <w:r>
              <w:lastRenderedPageBreak/>
              <w:t>GOLD</w:t>
            </w:r>
          </w:p>
        </w:tc>
        <w:tc>
          <w:tcPr>
            <w:tcW w:w="6911" w:type="dxa"/>
          </w:tcPr>
          <w:p w14:paraId="48CD1B63" w14:textId="77777777" w:rsidR="0036060B" w:rsidRDefault="0036060B" w:rsidP="003A33E1">
            <w:r w:rsidRPr="00DC48DE">
              <w:t>Global Initiative for Chronic Obstructive Lung Disease</w:t>
            </w:r>
          </w:p>
        </w:tc>
      </w:tr>
      <w:tr w:rsidR="007D7616" w:rsidRPr="00FD119B" w14:paraId="1E884947" w14:textId="77777777" w:rsidTr="00FD119B">
        <w:tc>
          <w:tcPr>
            <w:tcW w:w="1809" w:type="dxa"/>
          </w:tcPr>
          <w:p w14:paraId="4B61342E" w14:textId="77777777" w:rsidR="007D7616" w:rsidRDefault="007D7616" w:rsidP="003A33E1">
            <w:r w:rsidRPr="00070339">
              <w:t>HFA</w:t>
            </w:r>
          </w:p>
        </w:tc>
        <w:tc>
          <w:tcPr>
            <w:tcW w:w="6911" w:type="dxa"/>
          </w:tcPr>
          <w:p w14:paraId="6B1BA4A5" w14:textId="77777777" w:rsidR="007D7616" w:rsidRDefault="007D7616" w:rsidP="007D7616">
            <w:proofErr w:type="spellStart"/>
            <w:r>
              <w:t>Hydrofluoroalkane</w:t>
            </w:r>
            <w:proofErr w:type="spellEnd"/>
          </w:p>
        </w:tc>
      </w:tr>
      <w:tr w:rsidR="002B208A" w:rsidRPr="00FD119B" w14:paraId="168F2114" w14:textId="77777777" w:rsidTr="00FD119B">
        <w:tc>
          <w:tcPr>
            <w:tcW w:w="1809" w:type="dxa"/>
          </w:tcPr>
          <w:p w14:paraId="6D6FDBAB" w14:textId="77777777" w:rsidR="002B208A" w:rsidRPr="00070339" w:rsidRDefault="002B208A" w:rsidP="003A33E1">
            <w:r>
              <w:t>HPA</w:t>
            </w:r>
          </w:p>
        </w:tc>
        <w:tc>
          <w:tcPr>
            <w:tcW w:w="6911" w:type="dxa"/>
          </w:tcPr>
          <w:p w14:paraId="774B15C5" w14:textId="77777777" w:rsidR="002B208A" w:rsidRDefault="002B208A" w:rsidP="002B208A">
            <w:r>
              <w:t>Hypothalamic pituitary axis</w:t>
            </w:r>
          </w:p>
        </w:tc>
      </w:tr>
      <w:tr w:rsidR="0036060B" w:rsidRPr="00FD119B" w14:paraId="41407FEE" w14:textId="77777777" w:rsidTr="00FD119B">
        <w:tc>
          <w:tcPr>
            <w:tcW w:w="1809" w:type="dxa"/>
          </w:tcPr>
          <w:p w14:paraId="0BF4AF25" w14:textId="77777777" w:rsidR="0036060B" w:rsidRDefault="0036060B" w:rsidP="003A33E1">
            <w:r>
              <w:t>ICS</w:t>
            </w:r>
          </w:p>
        </w:tc>
        <w:tc>
          <w:tcPr>
            <w:tcW w:w="6911" w:type="dxa"/>
          </w:tcPr>
          <w:p w14:paraId="44EFDEBB" w14:textId="77777777" w:rsidR="0036060B" w:rsidRPr="00DC48DE" w:rsidRDefault="0036060B" w:rsidP="003A33E1">
            <w:r>
              <w:t>Inhaled corticosteroid</w:t>
            </w:r>
          </w:p>
        </w:tc>
      </w:tr>
      <w:tr w:rsidR="0036060B" w:rsidRPr="00FD119B" w14:paraId="0DE418A8" w14:textId="77777777" w:rsidTr="00FD119B">
        <w:tc>
          <w:tcPr>
            <w:tcW w:w="1809" w:type="dxa"/>
          </w:tcPr>
          <w:p w14:paraId="627898B0" w14:textId="77777777" w:rsidR="0036060B" w:rsidRDefault="0036060B" w:rsidP="003A33E1">
            <w:r>
              <w:t>ITT</w:t>
            </w:r>
          </w:p>
        </w:tc>
        <w:tc>
          <w:tcPr>
            <w:tcW w:w="6911" w:type="dxa"/>
          </w:tcPr>
          <w:p w14:paraId="47867FDD" w14:textId="77777777" w:rsidR="0036060B" w:rsidRDefault="0036060B" w:rsidP="003A33E1">
            <w:r>
              <w:t>Inten</w:t>
            </w:r>
            <w:r w:rsidR="0016706A">
              <w:t xml:space="preserve">t to </w:t>
            </w:r>
            <w:r>
              <w:t>treat</w:t>
            </w:r>
          </w:p>
        </w:tc>
      </w:tr>
      <w:tr w:rsidR="0036060B" w:rsidRPr="00FD119B" w14:paraId="3F5C6C89" w14:textId="77777777" w:rsidTr="00FD119B">
        <w:tc>
          <w:tcPr>
            <w:tcW w:w="1809" w:type="dxa"/>
          </w:tcPr>
          <w:p w14:paraId="02929092" w14:textId="77777777" w:rsidR="0036060B" w:rsidRDefault="0036060B" w:rsidP="003A33E1">
            <w:r>
              <w:t>LABA</w:t>
            </w:r>
          </w:p>
        </w:tc>
        <w:tc>
          <w:tcPr>
            <w:tcW w:w="6911" w:type="dxa"/>
          </w:tcPr>
          <w:p w14:paraId="4BC0D29B" w14:textId="131491E8" w:rsidR="0036060B" w:rsidRDefault="0036060B" w:rsidP="003A33E1">
            <w:r>
              <w:t>Long acting beta</w:t>
            </w:r>
            <w:r w:rsidR="00F83233" w:rsidRPr="008647F2">
              <w:rPr>
                <w:vertAlign w:val="subscript"/>
              </w:rPr>
              <w:t>2</w:t>
            </w:r>
            <w:r>
              <w:t xml:space="preserve"> </w:t>
            </w:r>
            <w:r w:rsidR="00864B20">
              <w:t>(β</w:t>
            </w:r>
            <w:r w:rsidR="00864B20" w:rsidRPr="008647F2">
              <w:rPr>
                <w:vertAlign w:val="subscript"/>
              </w:rPr>
              <w:t>2</w:t>
            </w:r>
            <w:r w:rsidR="00864B20">
              <w:t xml:space="preserve">) </w:t>
            </w:r>
            <w:r>
              <w:t>agonist</w:t>
            </w:r>
          </w:p>
        </w:tc>
      </w:tr>
      <w:tr w:rsidR="0056734E" w:rsidRPr="00FD119B" w14:paraId="5587E5B5" w14:textId="77777777" w:rsidTr="00FD119B">
        <w:tc>
          <w:tcPr>
            <w:tcW w:w="1809" w:type="dxa"/>
          </w:tcPr>
          <w:p w14:paraId="57BCA7A6" w14:textId="77777777" w:rsidR="0056734E" w:rsidRDefault="0056734E" w:rsidP="003A33E1">
            <w:r>
              <w:t>MART</w:t>
            </w:r>
          </w:p>
        </w:tc>
        <w:tc>
          <w:tcPr>
            <w:tcW w:w="6911" w:type="dxa"/>
          </w:tcPr>
          <w:p w14:paraId="7B786A03" w14:textId="77777777" w:rsidR="0056734E" w:rsidRDefault="0056734E" w:rsidP="0056734E">
            <w:r>
              <w:t>Maintenance and reliever therapy</w:t>
            </w:r>
          </w:p>
        </w:tc>
      </w:tr>
      <w:tr w:rsidR="0056734E" w:rsidRPr="00FD119B" w14:paraId="2A8DDDC8" w14:textId="77777777" w:rsidTr="00FD119B">
        <w:tc>
          <w:tcPr>
            <w:tcW w:w="1809" w:type="dxa"/>
          </w:tcPr>
          <w:p w14:paraId="59842AE4" w14:textId="77777777" w:rsidR="0056734E" w:rsidRDefault="0056734E" w:rsidP="003A33E1">
            <w:r w:rsidRPr="009B712B">
              <w:t>MDI</w:t>
            </w:r>
          </w:p>
        </w:tc>
        <w:tc>
          <w:tcPr>
            <w:tcW w:w="6911" w:type="dxa"/>
          </w:tcPr>
          <w:p w14:paraId="3E6E5A60" w14:textId="77777777" w:rsidR="0056734E" w:rsidRDefault="0056734E" w:rsidP="0056734E">
            <w:r>
              <w:t>Metered dose inhaler</w:t>
            </w:r>
          </w:p>
        </w:tc>
      </w:tr>
      <w:tr w:rsidR="0056734E" w:rsidRPr="00FD119B" w14:paraId="78E80F59" w14:textId="77777777" w:rsidTr="00FD119B">
        <w:tc>
          <w:tcPr>
            <w:tcW w:w="1809" w:type="dxa"/>
          </w:tcPr>
          <w:p w14:paraId="1F821162" w14:textId="77777777" w:rsidR="0056734E" w:rsidRDefault="0056734E" w:rsidP="003A33E1">
            <w:r>
              <w:t>PD</w:t>
            </w:r>
          </w:p>
        </w:tc>
        <w:tc>
          <w:tcPr>
            <w:tcW w:w="6911" w:type="dxa"/>
          </w:tcPr>
          <w:p w14:paraId="5BE19A44" w14:textId="77777777" w:rsidR="0056734E" w:rsidRPr="00DC48DE" w:rsidRDefault="0056734E" w:rsidP="0056734E">
            <w:r>
              <w:t>Pharmacodynamic(s)</w:t>
            </w:r>
          </w:p>
        </w:tc>
      </w:tr>
      <w:tr w:rsidR="00F85C55" w:rsidRPr="00FD119B" w14:paraId="56684527" w14:textId="77777777" w:rsidTr="00FD119B">
        <w:tc>
          <w:tcPr>
            <w:tcW w:w="1809" w:type="dxa"/>
          </w:tcPr>
          <w:p w14:paraId="79A1B1B4" w14:textId="77777777" w:rsidR="00F85C55" w:rsidRDefault="00F85C55" w:rsidP="003A33E1">
            <w:r>
              <w:rPr>
                <w:rFonts w:asciiTheme="minorHAnsi" w:hAnsiTheme="minorHAnsi"/>
              </w:rPr>
              <w:t>PEF</w:t>
            </w:r>
          </w:p>
        </w:tc>
        <w:tc>
          <w:tcPr>
            <w:tcW w:w="6911" w:type="dxa"/>
          </w:tcPr>
          <w:p w14:paraId="4B2B47A4" w14:textId="77777777" w:rsidR="00F85C55" w:rsidRDefault="00F85C55" w:rsidP="00F85C55">
            <w:r>
              <w:rPr>
                <w:rFonts w:asciiTheme="minorHAnsi" w:hAnsiTheme="minorHAnsi"/>
              </w:rPr>
              <w:t>Peak expiratory flow</w:t>
            </w:r>
          </w:p>
        </w:tc>
      </w:tr>
      <w:tr w:rsidR="0036060B" w:rsidRPr="00FD119B" w14:paraId="2728303D" w14:textId="77777777" w:rsidTr="00FD119B">
        <w:tc>
          <w:tcPr>
            <w:tcW w:w="1809" w:type="dxa"/>
          </w:tcPr>
          <w:p w14:paraId="7931DC8E" w14:textId="77777777" w:rsidR="0036060B" w:rsidRDefault="0036060B" w:rsidP="003A33E1">
            <w:proofErr w:type="spellStart"/>
            <w:r>
              <w:t>pMDI</w:t>
            </w:r>
            <w:proofErr w:type="spellEnd"/>
          </w:p>
        </w:tc>
        <w:tc>
          <w:tcPr>
            <w:tcW w:w="6911" w:type="dxa"/>
          </w:tcPr>
          <w:p w14:paraId="08E7294D" w14:textId="77777777" w:rsidR="0036060B" w:rsidRPr="00DC48DE" w:rsidRDefault="0036060B" w:rsidP="003A33E1">
            <w:r>
              <w:t>Pressurised metered dose inhaler</w:t>
            </w:r>
          </w:p>
        </w:tc>
      </w:tr>
      <w:tr w:rsidR="00F810ED" w:rsidRPr="00FD119B" w14:paraId="1C826528" w14:textId="77777777" w:rsidTr="00FD119B">
        <w:tc>
          <w:tcPr>
            <w:tcW w:w="1809" w:type="dxa"/>
          </w:tcPr>
          <w:p w14:paraId="4BCF4FA7" w14:textId="77777777" w:rsidR="00F810ED" w:rsidRDefault="00F810ED" w:rsidP="003A33E1">
            <w:r>
              <w:rPr>
                <w:rFonts w:eastAsiaTheme="minorHAnsi" w:cs="Cambria"/>
                <w:color w:val="000000"/>
              </w:rPr>
              <w:t>PK</w:t>
            </w:r>
          </w:p>
        </w:tc>
        <w:tc>
          <w:tcPr>
            <w:tcW w:w="6911" w:type="dxa"/>
          </w:tcPr>
          <w:p w14:paraId="6B2F9C0C" w14:textId="77777777" w:rsidR="00F810ED" w:rsidRDefault="00F810ED" w:rsidP="00F810ED">
            <w:r w:rsidRPr="00CD654D">
              <w:rPr>
                <w:rFonts w:eastAsiaTheme="minorHAnsi" w:cs="Cambria"/>
                <w:color w:val="000000"/>
              </w:rPr>
              <w:t>Ph</w:t>
            </w:r>
            <w:r>
              <w:rPr>
                <w:rFonts w:eastAsiaTheme="minorHAnsi" w:cs="Cambria"/>
                <w:color w:val="000000"/>
              </w:rPr>
              <w:t>armacokinetic</w:t>
            </w:r>
            <w:r w:rsidR="00A47515">
              <w:rPr>
                <w:rFonts w:eastAsiaTheme="minorHAnsi" w:cs="Cambria"/>
                <w:color w:val="000000"/>
              </w:rPr>
              <w:t>(s)</w:t>
            </w:r>
          </w:p>
        </w:tc>
      </w:tr>
      <w:tr w:rsidR="00A63A42" w:rsidRPr="00FD119B" w14:paraId="1B64F1E6" w14:textId="77777777" w:rsidTr="00FD119B">
        <w:tc>
          <w:tcPr>
            <w:tcW w:w="1809" w:type="dxa"/>
          </w:tcPr>
          <w:p w14:paraId="516F7F7B" w14:textId="1B71F095" w:rsidR="00A63A42" w:rsidRDefault="00A63A42" w:rsidP="003A33E1">
            <w:pPr>
              <w:rPr>
                <w:rFonts w:eastAsiaTheme="minorHAnsi" w:cs="Cambria"/>
                <w:color w:val="000000"/>
              </w:rPr>
            </w:pPr>
            <w:r w:rsidRPr="007947D6">
              <w:rPr>
                <w:rFonts w:asciiTheme="minorHAnsi" w:hAnsiTheme="minorHAnsi"/>
              </w:rPr>
              <w:t>pp</w:t>
            </w:r>
            <w:r w:rsidR="00512CED">
              <w:rPr>
                <w:rFonts w:asciiTheme="minorHAnsi" w:hAnsiTheme="minorHAnsi"/>
              </w:rPr>
              <w:t xml:space="preserve"> </w:t>
            </w:r>
            <w:r w:rsidRPr="007947D6">
              <w:rPr>
                <w:rFonts w:asciiTheme="minorHAnsi" w:hAnsiTheme="minorHAnsi"/>
              </w:rPr>
              <w:t>FEV</w:t>
            </w:r>
            <w:r w:rsidRPr="00CA4E2F">
              <w:rPr>
                <w:rFonts w:asciiTheme="minorHAnsi" w:hAnsiTheme="minorHAnsi"/>
                <w:vertAlign w:val="subscript"/>
              </w:rPr>
              <w:t>1</w:t>
            </w:r>
          </w:p>
        </w:tc>
        <w:tc>
          <w:tcPr>
            <w:tcW w:w="6911" w:type="dxa"/>
          </w:tcPr>
          <w:p w14:paraId="3D7A6441" w14:textId="77777777" w:rsidR="00A63A42" w:rsidRPr="00CD654D" w:rsidRDefault="00A63A42" w:rsidP="00A63A42">
            <w:pPr>
              <w:rPr>
                <w:rFonts w:eastAsiaTheme="minorHAnsi" w:cs="Cambria"/>
                <w:color w:val="000000"/>
              </w:rPr>
            </w:pPr>
            <w:r>
              <w:rPr>
                <w:rFonts w:asciiTheme="minorHAnsi" w:hAnsiTheme="minorHAnsi"/>
              </w:rPr>
              <w:t xml:space="preserve">Percent predicted </w:t>
            </w:r>
            <w:r>
              <w:t>forced expiratory volume in one second</w:t>
            </w:r>
          </w:p>
        </w:tc>
      </w:tr>
      <w:tr w:rsidR="0044140B" w:rsidRPr="00FD119B" w14:paraId="5357664E" w14:textId="77777777" w:rsidTr="00FD119B">
        <w:tc>
          <w:tcPr>
            <w:tcW w:w="1809" w:type="dxa"/>
          </w:tcPr>
          <w:p w14:paraId="0AA0C7B2" w14:textId="77777777" w:rsidR="0044140B" w:rsidRDefault="0044140B" w:rsidP="003A33E1">
            <w:pPr>
              <w:rPr>
                <w:rFonts w:eastAsiaTheme="minorHAnsi" w:cs="Cambria"/>
                <w:color w:val="000000"/>
              </w:rPr>
            </w:pPr>
            <w:r>
              <w:rPr>
                <w:rFonts w:eastAsiaTheme="minorHAnsi" w:cs="Cambria"/>
                <w:color w:val="000000"/>
              </w:rPr>
              <w:t>PRN</w:t>
            </w:r>
          </w:p>
        </w:tc>
        <w:tc>
          <w:tcPr>
            <w:tcW w:w="6911" w:type="dxa"/>
          </w:tcPr>
          <w:p w14:paraId="5519A18C" w14:textId="4CF28ED9" w:rsidR="0044140B" w:rsidRPr="00CD654D" w:rsidRDefault="0044140B" w:rsidP="0044140B">
            <w:pPr>
              <w:rPr>
                <w:rFonts w:eastAsiaTheme="minorHAnsi" w:cs="Cambria"/>
                <w:color w:val="000000"/>
              </w:rPr>
            </w:pPr>
            <w:r>
              <w:rPr>
                <w:rFonts w:eastAsiaTheme="minorHAnsi" w:cs="Cambria"/>
                <w:color w:val="000000"/>
              </w:rPr>
              <w:t>As needed</w:t>
            </w:r>
            <w:r w:rsidR="00864B20">
              <w:rPr>
                <w:rFonts w:eastAsiaTheme="minorHAnsi" w:cs="Cambria"/>
                <w:color w:val="000000"/>
              </w:rPr>
              <w:t>;</w:t>
            </w:r>
            <w:r>
              <w:rPr>
                <w:rFonts w:eastAsiaTheme="minorHAnsi" w:cs="Cambria"/>
                <w:color w:val="000000"/>
              </w:rPr>
              <w:t xml:space="preserve"> Latin: </w:t>
            </w:r>
            <w:r w:rsidRPr="0044140B">
              <w:rPr>
                <w:rFonts w:eastAsiaTheme="minorHAnsi" w:cs="Cambria"/>
                <w:i/>
                <w:color w:val="000000"/>
              </w:rPr>
              <w:t xml:space="preserve">Pro re </w:t>
            </w:r>
            <w:proofErr w:type="spellStart"/>
            <w:r w:rsidRPr="0044140B">
              <w:rPr>
                <w:rFonts w:eastAsiaTheme="minorHAnsi" w:cs="Cambria"/>
                <w:i/>
                <w:color w:val="000000"/>
              </w:rPr>
              <w:t>nata</w:t>
            </w:r>
            <w:proofErr w:type="spellEnd"/>
          </w:p>
        </w:tc>
      </w:tr>
      <w:tr w:rsidR="0044140B" w:rsidRPr="00FD119B" w14:paraId="7438D3DB" w14:textId="77777777" w:rsidTr="00FD119B">
        <w:tc>
          <w:tcPr>
            <w:tcW w:w="1809" w:type="dxa"/>
          </w:tcPr>
          <w:p w14:paraId="5AFC8E22" w14:textId="77777777" w:rsidR="0044140B" w:rsidRDefault="0044140B" w:rsidP="003A33E1">
            <w:pPr>
              <w:rPr>
                <w:rFonts w:eastAsiaTheme="minorHAnsi" w:cs="Cambria"/>
                <w:color w:val="000000"/>
              </w:rPr>
            </w:pPr>
            <w:r>
              <w:t>RCT</w:t>
            </w:r>
          </w:p>
        </w:tc>
        <w:tc>
          <w:tcPr>
            <w:tcW w:w="6911" w:type="dxa"/>
          </w:tcPr>
          <w:p w14:paraId="25E5995A" w14:textId="77777777" w:rsidR="0044140B" w:rsidRDefault="0044140B" w:rsidP="0044140B">
            <w:pPr>
              <w:rPr>
                <w:rFonts w:eastAsiaTheme="minorHAnsi" w:cs="Cambria"/>
                <w:color w:val="000000"/>
              </w:rPr>
            </w:pPr>
            <w:r>
              <w:t>Randomised controlled trial</w:t>
            </w:r>
          </w:p>
        </w:tc>
      </w:tr>
      <w:tr w:rsidR="0072223F" w:rsidRPr="00FD119B" w14:paraId="0F0A9CF2" w14:textId="77777777" w:rsidTr="00FD119B">
        <w:tc>
          <w:tcPr>
            <w:tcW w:w="1809" w:type="dxa"/>
          </w:tcPr>
          <w:p w14:paraId="4324614F" w14:textId="77777777" w:rsidR="0072223F" w:rsidRDefault="0072223F" w:rsidP="003A33E1">
            <w:r>
              <w:t>RMP</w:t>
            </w:r>
          </w:p>
        </w:tc>
        <w:tc>
          <w:tcPr>
            <w:tcW w:w="6911" w:type="dxa"/>
          </w:tcPr>
          <w:p w14:paraId="65B5EB23" w14:textId="77777777" w:rsidR="0072223F" w:rsidRDefault="0072223F" w:rsidP="0044140B">
            <w:r>
              <w:t>Risk management plan</w:t>
            </w:r>
          </w:p>
        </w:tc>
      </w:tr>
      <w:tr w:rsidR="0036060B" w:rsidRPr="00FD119B" w14:paraId="6E92D68D" w14:textId="77777777" w:rsidTr="00FD119B">
        <w:tc>
          <w:tcPr>
            <w:tcW w:w="1809" w:type="dxa"/>
          </w:tcPr>
          <w:p w14:paraId="2533B3BA" w14:textId="77777777" w:rsidR="0036060B" w:rsidRDefault="0036060B" w:rsidP="003A33E1">
            <w:r>
              <w:t>SABA</w:t>
            </w:r>
          </w:p>
        </w:tc>
        <w:tc>
          <w:tcPr>
            <w:tcW w:w="6911" w:type="dxa"/>
          </w:tcPr>
          <w:p w14:paraId="4B82A8CE" w14:textId="5FB203CF" w:rsidR="0036060B" w:rsidRDefault="0036060B">
            <w:r>
              <w:t>Short acting beta</w:t>
            </w:r>
            <w:r w:rsidR="00A93EF6" w:rsidRPr="008647F2">
              <w:rPr>
                <w:vertAlign w:val="subscript"/>
              </w:rPr>
              <w:t>2</w:t>
            </w:r>
            <w:r>
              <w:t xml:space="preserve"> </w:t>
            </w:r>
            <w:r w:rsidR="00864B20">
              <w:t>(β</w:t>
            </w:r>
            <w:r w:rsidR="00864B20" w:rsidRPr="00641184">
              <w:rPr>
                <w:vertAlign w:val="subscript"/>
              </w:rPr>
              <w:t>2</w:t>
            </w:r>
            <w:r w:rsidR="00864B20">
              <w:t xml:space="preserve">) </w:t>
            </w:r>
            <w:r>
              <w:t>agonist</w:t>
            </w:r>
          </w:p>
        </w:tc>
      </w:tr>
      <w:tr w:rsidR="0036060B" w:rsidRPr="00FD119B" w14:paraId="533A61ED" w14:textId="77777777" w:rsidTr="00FD119B">
        <w:tc>
          <w:tcPr>
            <w:tcW w:w="1809" w:type="dxa"/>
          </w:tcPr>
          <w:p w14:paraId="123DD8C2" w14:textId="77777777" w:rsidR="0036060B" w:rsidRDefault="0036060B" w:rsidP="003A33E1">
            <w:r>
              <w:t>SD</w:t>
            </w:r>
          </w:p>
        </w:tc>
        <w:tc>
          <w:tcPr>
            <w:tcW w:w="6911" w:type="dxa"/>
          </w:tcPr>
          <w:p w14:paraId="69B155ED" w14:textId="77777777" w:rsidR="0036060B" w:rsidRDefault="0036060B" w:rsidP="003A33E1">
            <w:r>
              <w:t>Standard deviation</w:t>
            </w:r>
          </w:p>
        </w:tc>
      </w:tr>
      <w:tr w:rsidR="0016706A" w:rsidRPr="00FD119B" w14:paraId="1B8244FC" w14:textId="77777777" w:rsidTr="00FD119B">
        <w:tc>
          <w:tcPr>
            <w:tcW w:w="1809" w:type="dxa"/>
          </w:tcPr>
          <w:p w14:paraId="01CBB278" w14:textId="77777777" w:rsidR="0016706A" w:rsidRDefault="0016706A" w:rsidP="003A33E1">
            <w:r>
              <w:t>SE</w:t>
            </w:r>
          </w:p>
        </w:tc>
        <w:tc>
          <w:tcPr>
            <w:tcW w:w="6911" w:type="dxa"/>
          </w:tcPr>
          <w:p w14:paraId="7E8A523F" w14:textId="77777777" w:rsidR="0016706A" w:rsidRDefault="0016706A" w:rsidP="003A33E1">
            <w:r>
              <w:t>Standard error</w:t>
            </w:r>
          </w:p>
        </w:tc>
      </w:tr>
      <w:tr w:rsidR="009E259B" w:rsidRPr="00FD119B" w14:paraId="57A1B23F" w14:textId="77777777" w:rsidTr="00FD119B">
        <w:tc>
          <w:tcPr>
            <w:tcW w:w="1809" w:type="dxa"/>
          </w:tcPr>
          <w:p w14:paraId="6F9D38F5" w14:textId="77777777" w:rsidR="009E259B" w:rsidRDefault="009E259B" w:rsidP="003A33E1">
            <w:r>
              <w:t>SGRQ</w:t>
            </w:r>
          </w:p>
        </w:tc>
        <w:tc>
          <w:tcPr>
            <w:tcW w:w="6911" w:type="dxa"/>
          </w:tcPr>
          <w:p w14:paraId="7D9EFECB" w14:textId="77777777" w:rsidR="009E259B" w:rsidRDefault="009E259B" w:rsidP="009E259B">
            <w:r>
              <w:t>St George’s Respiratory Questionnaire</w:t>
            </w:r>
          </w:p>
        </w:tc>
      </w:tr>
    </w:tbl>
    <w:p w14:paraId="71400881" w14:textId="77777777" w:rsidR="00FD119B" w:rsidRDefault="00FD119B" w:rsidP="00FD119B"/>
    <w:p w14:paraId="4093331A" w14:textId="77777777" w:rsidR="00FD119B" w:rsidRPr="00FD119B" w:rsidRDefault="00FD119B" w:rsidP="00FD119B">
      <w:pPr>
        <w:spacing w:before="0" w:after="200" w:line="0" w:lineRule="auto"/>
        <w:rPr>
          <w:b/>
          <w:i/>
          <w:sz w:val="24"/>
          <w:szCs w:val="24"/>
        </w:rPr>
      </w:pPr>
      <w:r w:rsidRPr="00FD119B">
        <w:rPr>
          <w:b/>
          <w:i/>
          <w:sz w:val="24"/>
          <w:szCs w:val="24"/>
        </w:rPr>
        <w:br w:type="page"/>
      </w:r>
    </w:p>
    <w:p w14:paraId="6A1C3832" w14:textId="77777777" w:rsidR="008E7846" w:rsidRDefault="00F53C07" w:rsidP="008E7846">
      <w:pPr>
        <w:pStyle w:val="Heading2"/>
      </w:pPr>
      <w:bookmarkStart w:id="9" w:name="_Toc47353823"/>
      <w:r>
        <w:lastRenderedPageBreak/>
        <w:t>I.</w:t>
      </w:r>
      <w:r w:rsidR="008E7846">
        <w:t xml:space="preserve"> Introduction to product submission</w:t>
      </w:r>
      <w:bookmarkEnd w:id="0"/>
      <w:bookmarkEnd w:id="3"/>
      <w:bookmarkEnd w:id="9"/>
    </w:p>
    <w:p w14:paraId="57A4C881" w14:textId="77777777" w:rsidR="008E7846" w:rsidRDefault="008E7846" w:rsidP="008E7846">
      <w:pPr>
        <w:pStyle w:val="Heading3"/>
        <w:rPr>
          <w:lang w:eastAsia="en-AU"/>
        </w:rPr>
      </w:pPr>
      <w:bookmarkStart w:id="10" w:name="_Toc247691502"/>
      <w:bookmarkStart w:id="11" w:name="_Toc314842483"/>
      <w:bookmarkStart w:id="12" w:name="_Toc47353824"/>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A74331" w14:paraId="0932E5EE" w14:textId="77777777" w:rsidTr="003735BC">
        <w:tc>
          <w:tcPr>
            <w:tcW w:w="2907" w:type="dxa"/>
          </w:tcPr>
          <w:p w14:paraId="67ACDDBE" w14:textId="77777777" w:rsidR="008E7846" w:rsidRPr="00A74331" w:rsidRDefault="001B5C90" w:rsidP="001B5C90">
            <w:pPr>
              <w:rPr>
                <w:i/>
                <w:sz w:val="20"/>
                <w:szCs w:val="20"/>
              </w:rPr>
            </w:pPr>
            <w:r w:rsidRPr="00A74331">
              <w:rPr>
                <w:i/>
                <w:sz w:val="20"/>
                <w:szCs w:val="20"/>
              </w:rPr>
              <w:t>Type of s</w:t>
            </w:r>
            <w:r w:rsidR="008E7846" w:rsidRPr="00A74331">
              <w:rPr>
                <w:i/>
                <w:sz w:val="20"/>
                <w:szCs w:val="20"/>
              </w:rPr>
              <w:t>ubmission</w:t>
            </w:r>
            <w:r w:rsidRPr="00A74331">
              <w:rPr>
                <w:i/>
                <w:sz w:val="20"/>
                <w:szCs w:val="20"/>
              </w:rPr>
              <w:t>:</w:t>
            </w:r>
          </w:p>
        </w:tc>
        <w:tc>
          <w:tcPr>
            <w:tcW w:w="6307" w:type="dxa"/>
          </w:tcPr>
          <w:p w14:paraId="6DC3BCE7" w14:textId="77777777" w:rsidR="008E7846" w:rsidRPr="00A74331" w:rsidRDefault="00BA157E" w:rsidP="001B5C90">
            <w:pPr>
              <w:rPr>
                <w:sz w:val="20"/>
                <w:szCs w:val="20"/>
              </w:rPr>
            </w:pPr>
            <w:r w:rsidRPr="00A74331">
              <w:rPr>
                <w:sz w:val="20"/>
                <w:szCs w:val="20"/>
              </w:rPr>
              <w:t>New fixed dose comb</w:t>
            </w:r>
            <w:r w:rsidR="00DC3988" w:rsidRPr="00A74331">
              <w:rPr>
                <w:sz w:val="20"/>
                <w:szCs w:val="20"/>
              </w:rPr>
              <w:t>ination of previously approved</w:t>
            </w:r>
            <w:r w:rsidRPr="00A74331">
              <w:rPr>
                <w:sz w:val="20"/>
                <w:szCs w:val="20"/>
              </w:rPr>
              <w:t xml:space="preserve"> ingredients</w:t>
            </w:r>
          </w:p>
        </w:tc>
      </w:tr>
      <w:tr w:rsidR="008E7846" w:rsidRPr="00A74331" w14:paraId="6C35E4BD" w14:textId="77777777" w:rsidTr="003735BC">
        <w:tc>
          <w:tcPr>
            <w:tcW w:w="2907" w:type="dxa"/>
          </w:tcPr>
          <w:p w14:paraId="00AB8041" w14:textId="77777777" w:rsidR="008E7846" w:rsidRPr="00A74331" w:rsidRDefault="008E7846" w:rsidP="003D1E62">
            <w:pPr>
              <w:rPr>
                <w:sz w:val="20"/>
                <w:szCs w:val="20"/>
              </w:rPr>
            </w:pPr>
            <w:r w:rsidRPr="00A74331">
              <w:rPr>
                <w:i/>
                <w:sz w:val="20"/>
                <w:szCs w:val="20"/>
              </w:rPr>
              <w:t>Decision</w:t>
            </w:r>
            <w:r w:rsidRPr="00A74331">
              <w:rPr>
                <w:sz w:val="20"/>
                <w:szCs w:val="20"/>
              </w:rPr>
              <w:t>:</w:t>
            </w:r>
          </w:p>
        </w:tc>
        <w:tc>
          <w:tcPr>
            <w:tcW w:w="6307" w:type="dxa"/>
          </w:tcPr>
          <w:p w14:paraId="4E63F835" w14:textId="77777777" w:rsidR="008E7846" w:rsidRPr="00A74331" w:rsidRDefault="00BA157E" w:rsidP="00BA157E">
            <w:pPr>
              <w:rPr>
                <w:sz w:val="20"/>
                <w:szCs w:val="20"/>
              </w:rPr>
            </w:pPr>
            <w:r w:rsidRPr="00A74331">
              <w:rPr>
                <w:sz w:val="20"/>
                <w:szCs w:val="20"/>
              </w:rPr>
              <w:t>Approved</w:t>
            </w:r>
          </w:p>
        </w:tc>
      </w:tr>
      <w:tr w:rsidR="008E7846" w:rsidRPr="00A74331" w14:paraId="0A1478AD" w14:textId="77777777" w:rsidTr="003735BC">
        <w:tc>
          <w:tcPr>
            <w:tcW w:w="2907" w:type="dxa"/>
          </w:tcPr>
          <w:p w14:paraId="6A952A02" w14:textId="77777777" w:rsidR="008E7846" w:rsidRPr="00A74331" w:rsidRDefault="008E7846" w:rsidP="001B5C90">
            <w:pPr>
              <w:rPr>
                <w:i/>
                <w:sz w:val="20"/>
                <w:szCs w:val="20"/>
              </w:rPr>
            </w:pPr>
            <w:r w:rsidRPr="00A74331">
              <w:rPr>
                <w:i/>
                <w:sz w:val="20"/>
                <w:szCs w:val="20"/>
              </w:rPr>
              <w:t xml:space="preserve">Date of </w:t>
            </w:r>
            <w:r w:rsidR="001B5C90" w:rsidRPr="00A74331">
              <w:rPr>
                <w:i/>
                <w:sz w:val="20"/>
                <w:szCs w:val="20"/>
              </w:rPr>
              <w:t>d</w:t>
            </w:r>
            <w:r w:rsidRPr="00A74331">
              <w:rPr>
                <w:i/>
                <w:sz w:val="20"/>
                <w:szCs w:val="20"/>
              </w:rPr>
              <w:t>ecision:</w:t>
            </w:r>
          </w:p>
        </w:tc>
        <w:tc>
          <w:tcPr>
            <w:tcW w:w="6307" w:type="dxa"/>
          </w:tcPr>
          <w:p w14:paraId="77797899" w14:textId="77777777" w:rsidR="008E7846" w:rsidRPr="00A74331" w:rsidRDefault="00BA157E" w:rsidP="001B5C90">
            <w:pPr>
              <w:rPr>
                <w:sz w:val="20"/>
                <w:szCs w:val="20"/>
              </w:rPr>
            </w:pPr>
            <w:r w:rsidRPr="00A74331">
              <w:rPr>
                <w:sz w:val="20"/>
                <w:szCs w:val="20"/>
              </w:rPr>
              <w:t>20 January 2020</w:t>
            </w:r>
          </w:p>
        </w:tc>
      </w:tr>
      <w:tr w:rsidR="00ED2922" w:rsidRPr="00A74331" w14:paraId="00990D0C" w14:textId="77777777" w:rsidTr="003735BC">
        <w:tc>
          <w:tcPr>
            <w:tcW w:w="2907" w:type="dxa"/>
          </w:tcPr>
          <w:p w14:paraId="4E663853" w14:textId="77777777" w:rsidR="00ED2922" w:rsidRPr="00A74331" w:rsidRDefault="00ED2922" w:rsidP="001B5C90">
            <w:pPr>
              <w:rPr>
                <w:i/>
                <w:sz w:val="20"/>
                <w:szCs w:val="20"/>
              </w:rPr>
            </w:pPr>
            <w:r w:rsidRPr="00A74331">
              <w:rPr>
                <w:i/>
                <w:sz w:val="20"/>
                <w:szCs w:val="20"/>
              </w:rPr>
              <w:t>Date of entry onto ARTG</w:t>
            </w:r>
            <w:r w:rsidR="00500337" w:rsidRPr="00A74331">
              <w:rPr>
                <w:i/>
                <w:sz w:val="20"/>
                <w:szCs w:val="20"/>
              </w:rPr>
              <w:t>:</w:t>
            </w:r>
          </w:p>
        </w:tc>
        <w:tc>
          <w:tcPr>
            <w:tcW w:w="6307" w:type="dxa"/>
          </w:tcPr>
          <w:p w14:paraId="428B99D3" w14:textId="77777777" w:rsidR="00ED2922" w:rsidRPr="00A74331" w:rsidRDefault="00BA157E" w:rsidP="00D153D8">
            <w:pPr>
              <w:rPr>
                <w:i/>
                <w:sz w:val="20"/>
                <w:szCs w:val="20"/>
              </w:rPr>
            </w:pPr>
            <w:r w:rsidRPr="00A74331">
              <w:rPr>
                <w:sz w:val="20"/>
                <w:szCs w:val="20"/>
              </w:rPr>
              <w:t>12 February 2020</w:t>
            </w:r>
          </w:p>
        </w:tc>
      </w:tr>
      <w:tr w:rsidR="00500337" w:rsidRPr="00A74331" w14:paraId="5EC51958" w14:textId="77777777" w:rsidTr="003735BC">
        <w:tc>
          <w:tcPr>
            <w:tcW w:w="2907" w:type="dxa"/>
          </w:tcPr>
          <w:p w14:paraId="0A962D3A" w14:textId="77777777" w:rsidR="00500337" w:rsidRPr="00A74331" w:rsidRDefault="00740E30" w:rsidP="001B5C90">
            <w:pPr>
              <w:rPr>
                <w:i/>
                <w:sz w:val="20"/>
                <w:szCs w:val="20"/>
              </w:rPr>
            </w:pPr>
            <w:r w:rsidRPr="00A74331">
              <w:rPr>
                <w:i/>
                <w:sz w:val="20"/>
                <w:szCs w:val="20"/>
              </w:rPr>
              <w:t>ARTG number</w:t>
            </w:r>
            <w:r w:rsidR="00500337" w:rsidRPr="00A74331">
              <w:rPr>
                <w:i/>
                <w:sz w:val="20"/>
                <w:szCs w:val="20"/>
              </w:rPr>
              <w:t>:</w:t>
            </w:r>
          </w:p>
        </w:tc>
        <w:tc>
          <w:tcPr>
            <w:tcW w:w="6307" w:type="dxa"/>
          </w:tcPr>
          <w:p w14:paraId="3E51AF76" w14:textId="77777777" w:rsidR="00500337" w:rsidRPr="00A74331" w:rsidRDefault="00740E30" w:rsidP="00EC463D">
            <w:pPr>
              <w:rPr>
                <w:sz w:val="20"/>
                <w:szCs w:val="20"/>
              </w:rPr>
            </w:pPr>
            <w:r w:rsidRPr="00A74331">
              <w:rPr>
                <w:sz w:val="20"/>
                <w:szCs w:val="20"/>
              </w:rPr>
              <w:t>310360</w:t>
            </w:r>
          </w:p>
        </w:tc>
      </w:tr>
      <w:tr w:rsidR="003735BC" w:rsidRPr="00A74331" w14:paraId="20D41ACE" w14:textId="77777777" w:rsidTr="003735BC">
        <w:tc>
          <w:tcPr>
            <w:tcW w:w="2907" w:type="dxa"/>
          </w:tcPr>
          <w:p w14:paraId="4A6A3476" w14:textId="77777777" w:rsidR="003735BC" w:rsidRPr="00A74331" w:rsidRDefault="00FA5069" w:rsidP="001B5C90">
            <w:pPr>
              <w:rPr>
                <w:i/>
                <w:sz w:val="20"/>
                <w:szCs w:val="20"/>
              </w:rPr>
            </w:pPr>
            <w:r w:rsidRPr="00A74331">
              <w:rPr>
                <w:rFonts w:ascii="Wingdings 3" w:hAnsi="Wingdings 3"/>
                <w:sz w:val="20"/>
                <w:szCs w:val="20"/>
                <w:lang w:eastAsia="en-AU"/>
              </w:rPr>
              <w:t></w:t>
            </w:r>
            <w:r w:rsidR="003735BC" w:rsidRPr="00A74331">
              <w:rPr>
                <w:i/>
                <w:sz w:val="20"/>
                <w:szCs w:val="20"/>
              </w:rPr>
              <w:t>Black Triangle Scheme</w:t>
            </w:r>
          </w:p>
        </w:tc>
        <w:tc>
          <w:tcPr>
            <w:tcW w:w="6307" w:type="dxa"/>
          </w:tcPr>
          <w:p w14:paraId="676B777E" w14:textId="77777777" w:rsidR="003735BC" w:rsidRPr="00A74331" w:rsidRDefault="00740E30" w:rsidP="003735BC">
            <w:pPr>
              <w:rPr>
                <w:sz w:val="20"/>
                <w:szCs w:val="20"/>
              </w:rPr>
            </w:pPr>
            <w:r w:rsidRPr="00A74331">
              <w:rPr>
                <w:sz w:val="20"/>
                <w:szCs w:val="20"/>
              </w:rPr>
              <w:t>No</w:t>
            </w:r>
          </w:p>
        </w:tc>
      </w:tr>
      <w:tr w:rsidR="008E7846" w:rsidRPr="00A74331" w14:paraId="1130271A" w14:textId="77777777" w:rsidTr="00BF1190">
        <w:tc>
          <w:tcPr>
            <w:tcW w:w="2907" w:type="dxa"/>
          </w:tcPr>
          <w:p w14:paraId="384FE056" w14:textId="77777777" w:rsidR="008E7846" w:rsidRPr="00A74331" w:rsidRDefault="00740E30" w:rsidP="00E45619">
            <w:pPr>
              <w:rPr>
                <w:i/>
                <w:sz w:val="20"/>
                <w:szCs w:val="20"/>
              </w:rPr>
            </w:pPr>
            <w:r w:rsidRPr="00A74331">
              <w:rPr>
                <w:i/>
                <w:sz w:val="20"/>
                <w:szCs w:val="20"/>
              </w:rPr>
              <w:t>Active ingredients</w:t>
            </w:r>
            <w:r w:rsidR="001B5C90" w:rsidRPr="00A74331">
              <w:rPr>
                <w:i/>
                <w:sz w:val="20"/>
                <w:szCs w:val="20"/>
              </w:rPr>
              <w:t>:</w:t>
            </w:r>
          </w:p>
        </w:tc>
        <w:tc>
          <w:tcPr>
            <w:tcW w:w="6307" w:type="dxa"/>
          </w:tcPr>
          <w:p w14:paraId="6B5E069A" w14:textId="5AA7947B" w:rsidR="008E7846" w:rsidRPr="00A74331" w:rsidRDefault="00740E30" w:rsidP="00E55CB0">
            <w:pPr>
              <w:rPr>
                <w:sz w:val="20"/>
                <w:szCs w:val="20"/>
              </w:rPr>
            </w:pPr>
            <w:r w:rsidRPr="00A74331">
              <w:rPr>
                <w:sz w:val="20"/>
                <w:szCs w:val="20"/>
              </w:rPr>
              <w:t>Beclometasone dip</w:t>
            </w:r>
            <w:r w:rsidR="00AF0951" w:rsidRPr="00A74331">
              <w:rPr>
                <w:sz w:val="20"/>
                <w:szCs w:val="20"/>
              </w:rPr>
              <w:t>ropionate/</w:t>
            </w:r>
            <w:proofErr w:type="spellStart"/>
            <w:r w:rsidR="00AF0951" w:rsidRPr="00A74331">
              <w:rPr>
                <w:sz w:val="20"/>
                <w:szCs w:val="20"/>
              </w:rPr>
              <w:t>formoterol</w:t>
            </w:r>
            <w:proofErr w:type="spellEnd"/>
            <w:r w:rsidR="00AF0951" w:rsidRPr="00A74331">
              <w:rPr>
                <w:sz w:val="20"/>
                <w:szCs w:val="20"/>
              </w:rPr>
              <w:t xml:space="preserve"> </w:t>
            </w:r>
            <w:r w:rsidR="005B06B9" w:rsidRPr="00A74331">
              <w:rPr>
                <w:sz w:val="20"/>
                <w:szCs w:val="20"/>
              </w:rPr>
              <w:t>(</w:t>
            </w:r>
            <w:proofErr w:type="spellStart"/>
            <w:r w:rsidR="005B06B9" w:rsidRPr="00A74331">
              <w:rPr>
                <w:sz w:val="20"/>
                <w:szCs w:val="20"/>
              </w:rPr>
              <w:t>eformoterol</w:t>
            </w:r>
            <w:proofErr w:type="spellEnd"/>
            <w:r w:rsidR="005B06B9" w:rsidRPr="00A74331">
              <w:rPr>
                <w:sz w:val="20"/>
                <w:szCs w:val="20"/>
              </w:rPr>
              <w:t xml:space="preserve">) </w:t>
            </w:r>
            <w:r w:rsidR="00AF0951" w:rsidRPr="00A74331">
              <w:rPr>
                <w:sz w:val="20"/>
                <w:szCs w:val="20"/>
              </w:rPr>
              <w:t>fumarate di</w:t>
            </w:r>
            <w:r w:rsidRPr="00A74331">
              <w:rPr>
                <w:sz w:val="20"/>
                <w:szCs w:val="20"/>
              </w:rPr>
              <w:t>hydrate</w:t>
            </w:r>
          </w:p>
        </w:tc>
      </w:tr>
      <w:tr w:rsidR="008E7846" w:rsidRPr="00A74331" w14:paraId="630DF113" w14:textId="77777777" w:rsidTr="00BF1190">
        <w:tc>
          <w:tcPr>
            <w:tcW w:w="2907" w:type="dxa"/>
          </w:tcPr>
          <w:p w14:paraId="7F58CC4F" w14:textId="77777777" w:rsidR="008E7846" w:rsidRPr="00A74331" w:rsidRDefault="008E7846" w:rsidP="001B5C90">
            <w:pPr>
              <w:rPr>
                <w:i/>
                <w:sz w:val="20"/>
                <w:szCs w:val="20"/>
              </w:rPr>
            </w:pPr>
            <w:r w:rsidRPr="00A74331">
              <w:rPr>
                <w:i/>
                <w:sz w:val="20"/>
                <w:szCs w:val="20"/>
              </w:rPr>
              <w:t>Product</w:t>
            </w:r>
            <w:r w:rsidR="00740E30" w:rsidRPr="00A74331">
              <w:rPr>
                <w:i/>
                <w:sz w:val="20"/>
                <w:szCs w:val="20"/>
              </w:rPr>
              <w:t xml:space="preserve"> name</w:t>
            </w:r>
            <w:r w:rsidR="001B5C90" w:rsidRPr="00A74331">
              <w:rPr>
                <w:i/>
                <w:sz w:val="20"/>
                <w:szCs w:val="20"/>
              </w:rPr>
              <w:t>:</w:t>
            </w:r>
          </w:p>
        </w:tc>
        <w:tc>
          <w:tcPr>
            <w:tcW w:w="6307" w:type="dxa"/>
          </w:tcPr>
          <w:p w14:paraId="0CA2F7ED" w14:textId="77777777" w:rsidR="008E7846" w:rsidRPr="00A74331" w:rsidRDefault="00740E30" w:rsidP="00E45619">
            <w:pPr>
              <w:rPr>
                <w:sz w:val="20"/>
                <w:szCs w:val="20"/>
              </w:rPr>
            </w:pPr>
            <w:proofErr w:type="spellStart"/>
            <w:r w:rsidRPr="00A74331">
              <w:rPr>
                <w:sz w:val="20"/>
                <w:szCs w:val="20"/>
              </w:rPr>
              <w:t>Fostair</w:t>
            </w:r>
            <w:proofErr w:type="spellEnd"/>
          </w:p>
        </w:tc>
      </w:tr>
      <w:tr w:rsidR="008E7846" w:rsidRPr="00A74331" w14:paraId="5A5640F7" w14:textId="77777777" w:rsidTr="00BF1190">
        <w:tc>
          <w:tcPr>
            <w:tcW w:w="2907" w:type="dxa"/>
          </w:tcPr>
          <w:p w14:paraId="28E645AA" w14:textId="77777777" w:rsidR="008E7846" w:rsidRPr="00A74331" w:rsidRDefault="008E7846" w:rsidP="001B5C90">
            <w:pPr>
              <w:rPr>
                <w:i/>
                <w:sz w:val="20"/>
                <w:szCs w:val="20"/>
              </w:rPr>
            </w:pPr>
            <w:r w:rsidRPr="00A74331">
              <w:rPr>
                <w:i/>
                <w:sz w:val="20"/>
                <w:szCs w:val="20"/>
              </w:rPr>
              <w:t xml:space="preserve">Sponsor’s </w:t>
            </w:r>
            <w:r w:rsidR="001B5C90" w:rsidRPr="00A74331">
              <w:rPr>
                <w:i/>
                <w:sz w:val="20"/>
                <w:szCs w:val="20"/>
              </w:rPr>
              <w:t>n</w:t>
            </w:r>
            <w:r w:rsidRPr="00A74331">
              <w:rPr>
                <w:i/>
                <w:sz w:val="20"/>
                <w:szCs w:val="20"/>
              </w:rPr>
              <w:t xml:space="preserve">ame and </w:t>
            </w:r>
            <w:r w:rsidR="001B5C90" w:rsidRPr="00A74331">
              <w:rPr>
                <w:i/>
                <w:sz w:val="20"/>
                <w:szCs w:val="20"/>
              </w:rPr>
              <w:t>a</w:t>
            </w:r>
            <w:r w:rsidRPr="00A74331">
              <w:rPr>
                <w:i/>
                <w:sz w:val="20"/>
                <w:szCs w:val="20"/>
              </w:rPr>
              <w:t>ddress:</w:t>
            </w:r>
          </w:p>
        </w:tc>
        <w:tc>
          <w:tcPr>
            <w:tcW w:w="6307" w:type="dxa"/>
          </w:tcPr>
          <w:p w14:paraId="7A9FAA54" w14:textId="157F7FCA" w:rsidR="008E7846" w:rsidRPr="00A74331" w:rsidRDefault="00740E30" w:rsidP="00905B74">
            <w:pPr>
              <w:rPr>
                <w:sz w:val="20"/>
                <w:szCs w:val="20"/>
              </w:rPr>
            </w:pPr>
            <w:proofErr w:type="spellStart"/>
            <w:r w:rsidRPr="00A74331">
              <w:rPr>
                <w:sz w:val="20"/>
                <w:szCs w:val="20"/>
              </w:rPr>
              <w:t>Chiesi</w:t>
            </w:r>
            <w:proofErr w:type="spellEnd"/>
            <w:r w:rsidRPr="00A74331">
              <w:rPr>
                <w:sz w:val="20"/>
                <w:szCs w:val="20"/>
              </w:rPr>
              <w:t xml:space="preserve"> Australia Pty Ltd</w:t>
            </w:r>
            <w:r w:rsidR="00905B74" w:rsidRPr="00A74331">
              <w:rPr>
                <w:sz w:val="20"/>
                <w:szCs w:val="20"/>
              </w:rPr>
              <w:br/>
            </w:r>
            <w:r w:rsidRPr="00A74331">
              <w:rPr>
                <w:sz w:val="20"/>
                <w:szCs w:val="20"/>
              </w:rPr>
              <w:t>Suite 3 22 Gillman Street</w:t>
            </w:r>
            <w:r w:rsidR="00905B74" w:rsidRPr="00A74331">
              <w:rPr>
                <w:sz w:val="20"/>
                <w:szCs w:val="20"/>
              </w:rPr>
              <w:br/>
            </w:r>
            <w:r w:rsidR="00BA157E" w:rsidRPr="00A74331">
              <w:rPr>
                <w:sz w:val="20"/>
                <w:szCs w:val="20"/>
              </w:rPr>
              <w:t>Hawthorn East VIC 3123</w:t>
            </w:r>
          </w:p>
        </w:tc>
      </w:tr>
      <w:tr w:rsidR="008E7846" w:rsidRPr="00A74331" w14:paraId="15E23AB3" w14:textId="77777777" w:rsidTr="00BF1190">
        <w:tc>
          <w:tcPr>
            <w:tcW w:w="2907" w:type="dxa"/>
          </w:tcPr>
          <w:p w14:paraId="3A0725AA" w14:textId="77777777" w:rsidR="008E7846" w:rsidRPr="00A74331" w:rsidRDefault="00BA157E" w:rsidP="00E45619">
            <w:pPr>
              <w:rPr>
                <w:i/>
                <w:sz w:val="20"/>
                <w:szCs w:val="20"/>
              </w:rPr>
            </w:pPr>
            <w:r w:rsidRPr="00A74331">
              <w:rPr>
                <w:i/>
                <w:sz w:val="20"/>
                <w:szCs w:val="20"/>
              </w:rPr>
              <w:t>Dose form</w:t>
            </w:r>
            <w:r w:rsidR="001B5C90" w:rsidRPr="00A74331">
              <w:rPr>
                <w:i/>
                <w:sz w:val="20"/>
                <w:szCs w:val="20"/>
              </w:rPr>
              <w:t>:</w:t>
            </w:r>
          </w:p>
        </w:tc>
        <w:tc>
          <w:tcPr>
            <w:tcW w:w="6307" w:type="dxa"/>
          </w:tcPr>
          <w:p w14:paraId="3F3CADBE" w14:textId="77777777" w:rsidR="008E7846" w:rsidRPr="00A74331" w:rsidRDefault="00BA157E" w:rsidP="00E45619">
            <w:pPr>
              <w:rPr>
                <w:sz w:val="20"/>
                <w:szCs w:val="20"/>
              </w:rPr>
            </w:pPr>
            <w:r w:rsidRPr="00A74331">
              <w:rPr>
                <w:sz w:val="20"/>
                <w:szCs w:val="20"/>
              </w:rPr>
              <w:t>Pressurised inhalation solution</w:t>
            </w:r>
          </w:p>
        </w:tc>
      </w:tr>
      <w:tr w:rsidR="008E7846" w:rsidRPr="00A74331" w14:paraId="0609C711" w14:textId="77777777" w:rsidTr="00BF1190">
        <w:tc>
          <w:tcPr>
            <w:tcW w:w="2907" w:type="dxa"/>
          </w:tcPr>
          <w:p w14:paraId="22F2B55A" w14:textId="77777777" w:rsidR="008E7846" w:rsidRPr="00A74331" w:rsidRDefault="00BA157E" w:rsidP="00E45619">
            <w:pPr>
              <w:rPr>
                <w:i/>
                <w:sz w:val="20"/>
                <w:szCs w:val="20"/>
              </w:rPr>
            </w:pPr>
            <w:r w:rsidRPr="00A74331">
              <w:rPr>
                <w:i/>
                <w:sz w:val="20"/>
                <w:szCs w:val="20"/>
              </w:rPr>
              <w:t>Strength</w:t>
            </w:r>
            <w:r w:rsidR="008E7846" w:rsidRPr="00A74331">
              <w:rPr>
                <w:i/>
                <w:sz w:val="20"/>
                <w:szCs w:val="20"/>
              </w:rPr>
              <w:t xml:space="preserve">: </w:t>
            </w:r>
          </w:p>
        </w:tc>
        <w:tc>
          <w:tcPr>
            <w:tcW w:w="6307" w:type="dxa"/>
          </w:tcPr>
          <w:p w14:paraId="54240CBE" w14:textId="77777777" w:rsidR="008E7846" w:rsidRPr="00A74331" w:rsidRDefault="00BA157E" w:rsidP="00BA157E">
            <w:pPr>
              <w:rPr>
                <w:sz w:val="20"/>
                <w:szCs w:val="20"/>
              </w:rPr>
            </w:pPr>
            <w:r w:rsidRPr="00A74331">
              <w:rPr>
                <w:sz w:val="20"/>
                <w:szCs w:val="20"/>
              </w:rPr>
              <w:t xml:space="preserve">Fixed dose combination of 100 µg </w:t>
            </w:r>
            <w:proofErr w:type="spellStart"/>
            <w:r w:rsidRPr="00A74331">
              <w:rPr>
                <w:sz w:val="20"/>
                <w:szCs w:val="20"/>
              </w:rPr>
              <w:t>beclometasone</w:t>
            </w:r>
            <w:proofErr w:type="spellEnd"/>
            <w:r w:rsidRPr="00A74331">
              <w:rPr>
                <w:sz w:val="20"/>
                <w:szCs w:val="20"/>
              </w:rPr>
              <w:t xml:space="preserve"> dipropionate and 6 µg </w:t>
            </w:r>
            <w:proofErr w:type="spellStart"/>
            <w:r w:rsidRPr="00A74331">
              <w:rPr>
                <w:sz w:val="20"/>
                <w:szCs w:val="20"/>
              </w:rPr>
              <w:t>formoterol</w:t>
            </w:r>
            <w:proofErr w:type="spellEnd"/>
            <w:r w:rsidRPr="00A74331">
              <w:rPr>
                <w:sz w:val="20"/>
                <w:szCs w:val="20"/>
              </w:rPr>
              <w:t xml:space="preserve"> </w:t>
            </w:r>
            <w:r w:rsidR="002E158A" w:rsidRPr="00A74331">
              <w:rPr>
                <w:sz w:val="20"/>
                <w:szCs w:val="20"/>
              </w:rPr>
              <w:t>(</w:t>
            </w:r>
            <w:proofErr w:type="spellStart"/>
            <w:r w:rsidR="002E158A" w:rsidRPr="00A74331">
              <w:rPr>
                <w:sz w:val="20"/>
                <w:szCs w:val="20"/>
              </w:rPr>
              <w:t>eformoterol</w:t>
            </w:r>
            <w:proofErr w:type="spellEnd"/>
            <w:r w:rsidR="002E158A" w:rsidRPr="00A74331">
              <w:rPr>
                <w:sz w:val="20"/>
                <w:szCs w:val="20"/>
              </w:rPr>
              <w:t xml:space="preserve">) </w:t>
            </w:r>
            <w:r w:rsidRPr="00A74331">
              <w:rPr>
                <w:sz w:val="20"/>
                <w:szCs w:val="20"/>
              </w:rPr>
              <w:t>fumarate dihydrate</w:t>
            </w:r>
          </w:p>
        </w:tc>
      </w:tr>
      <w:tr w:rsidR="008E7846" w:rsidRPr="00A74331" w14:paraId="2A6A7F69" w14:textId="77777777" w:rsidTr="00BF1190">
        <w:tc>
          <w:tcPr>
            <w:tcW w:w="2907" w:type="dxa"/>
          </w:tcPr>
          <w:p w14:paraId="40269C2F" w14:textId="77777777" w:rsidR="008E7846" w:rsidRPr="00A74331" w:rsidRDefault="00BA157E" w:rsidP="00E45619">
            <w:pPr>
              <w:rPr>
                <w:i/>
                <w:sz w:val="20"/>
                <w:szCs w:val="20"/>
              </w:rPr>
            </w:pPr>
            <w:r w:rsidRPr="00A74331">
              <w:rPr>
                <w:i/>
                <w:sz w:val="20"/>
                <w:szCs w:val="20"/>
              </w:rPr>
              <w:t>Container</w:t>
            </w:r>
            <w:r w:rsidR="008E7846" w:rsidRPr="00A74331">
              <w:rPr>
                <w:i/>
                <w:sz w:val="20"/>
                <w:szCs w:val="20"/>
              </w:rPr>
              <w:t>:</w:t>
            </w:r>
          </w:p>
        </w:tc>
        <w:tc>
          <w:tcPr>
            <w:tcW w:w="6307" w:type="dxa"/>
          </w:tcPr>
          <w:p w14:paraId="24429C14" w14:textId="77777777" w:rsidR="008E7846" w:rsidRPr="00A74331" w:rsidRDefault="00BA157E" w:rsidP="00BA157E">
            <w:pPr>
              <w:rPr>
                <w:sz w:val="20"/>
                <w:szCs w:val="20"/>
              </w:rPr>
            </w:pPr>
            <w:r w:rsidRPr="00A74331">
              <w:rPr>
                <w:sz w:val="20"/>
                <w:szCs w:val="20"/>
              </w:rPr>
              <w:t>Pressurised container with metered dose actuator</w:t>
            </w:r>
          </w:p>
        </w:tc>
      </w:tr>
      <w:tr w:rsidR="008E7846" w:rsidRPr="00A74331" w14:paraId="60D81DB7" w14:textId="77777777" w:rsidTr="00BF1190">
        <w:tc>
          <w:tcPr>
            <w:tcW w:w="2907" w:type="dxa"/>
          </w:tcPr>
          <w:p w14:paraId="52A6B84F" w14:textId="77777777" w:rsidR="008E7846" w:rsidRPr="00A74331" w:rsidRDefault="00BA157E" w:rsidP="00E45619">
            <w:pPr>
              <w:rPr>
                <w:i/>
                <w:sz w:val="20"/>
                <w:szCs w:val="20"/>
              </w:rPr>
            </w:pPr>
            <w:r w:rsidRPr="00A74331">
              <w:rPr>
                <w:i/>
                <w:sz w:val="20"/>
                <w:szCs w:val="20"/>
              </w:rPr>
              <w:t>Pack size</w:t>
            </w:r>
            <w:r w:rsidR="008E7846" w:rsidRPr="00A74331">
              <w:rPr>
                <w:i/>
                <w:sz w:val="20"/>
                <w:szCs w:val="20"/>
              </w:rPr>
              <w:t>:</w:t>
            </w:r>
          </w:p>
        </w:tc>
        <w:tc>
          <w:tcPr>
            <w:tcW w:w="6307" w:type="dxa"/>
          </w:tcPr>
          <w:p w14:paraId="60F98E62" w14:textId="77777777" w:rsidR="008E7846" w:rsidRPr="00A74331" w:rsidRDefault="00BA157E" w:rsidP="00E45619">
            <w:pPr>
              <w:rPr>
                <w:sz w:val="20"/>
                <w:szCs w:val="20"/>
              </w:rPr>
            </w:pPr>
            <w:r w:rsidRPr="00A74331">
              <w:rPr>
                <w:sz w:val="20"/>
                <w:szCs w:val="20"/>
              </w:rPr>
              <w:t>One (120 actuations)</w:t>
            </w:r>
          </w:p>
        </w:tc>
      </w:tr>
      <w:tr w:rsidR="008E7846" w:rsidRPr="00A74331" w14:paraId="1D6E3D25" w14:textId="77777777" w:rsidTr="00BF1190">
        <w:tc>
          <w:tcPr>
            <w:tcW w:w="2907" w:type="dxa"/>
          </w:tcPr>
          <w:p w14:paraId="5DF8E6B2" w14:textId="77777777" w:rsidR="008E7846" w:rsidRPr="00A74331" w:rsidRDefault="008E7846" w:rsidP="001B5C90">
            <w:pPr>
              <w:rPr>
                <w:i/>
                <w:sz w:val="20"/>
                <w:szCs w:val="20"/>
              </w:rPr>
            </w:pPr>
            <w:r w:rsidRPr="00A74331">
              <w:rPr>
                <w:i/>
                <w:sz w:val="20"/>
                <w:szCs w:val="20"/>
              </w:rPr>
              <w:t xml:space="preserve">Approved </w:t>
            </w:r>
            <w:r w:rsidR="001B5C90" w:rsidRPr="00A74331">
              <w:rPr>
                <w:i/>
                <w:sz w:val="20"/>
                <w:szCs w:val="20"/>
              </w:rPr>
              <w:t>t</w:t>
            </w:r>
            <w:r w:rsidRPr="00A74331">
              <w:rPr>
                <w:i/>
                <w:sz w:val="20"/>
                <w:szCs w:val="20"/>
              </w:rPr>
              <w:t>herapeutic use:</w:t>
            </w:r>
          </w:p>
        </w:tc>
        <w:tc>
          <w:tcPr>
            <w:tcW w:w="6307" w:type="dxa"/>
          </w:tcPr>
          <w:p w14:paraId="30B7261D" w14:textId="77777777" w:rsidR="00426CBA" w:rsidRPr="00A74331" w:rsidRDefault="00426CBA" w:rsidP="00426CBA">
            <w:pPr>
              <w:rPr>
                <w:rFonts w:eastAsia="MS Mincho"/>
                <w:i/>
                <w:sz w:val="20"/>
                <w:szCs w:val="20"/>
                <w:lang w:eastAsia="ja-JP"/>
              </w:rPr>
            </w:pPr>
            <w:r w:rsidRPr="00A74331">
              <w:rPr>
                <w:rFonts w:eastAsia="MS Mincho"/>
                <w:i/>
                <w:sz w:val="20"/>
                <w:szCs w:val="20"/>
                <w:lang w:eastAsia="ja-JP"/>
              </w:rPr>
              <w:t>Asthma</w:t>
            </w:r>
          </w:p>
          <w:p w14:paraId="7D3DEC24" w14:textId="77777777" w:rsidR="00426CBA" w:rsidRPr="00A74331" w:rsidRDefault="00426CBA" w:rsidP="00426CBA">
            <w:pPr>
              <w:rPr>
                <w:rFonts w:eastAsia="MS Mincho"/>
                <w:i/>
                <w:sz w:val="20"/>
                <w:szCs w:val="20"/>
                <w:lang w:eastAsia="ja-JP"/>
              </w:rPr>
            </w:pPr>
            <w:proofErr w:type="spellStart"/>
            <w:r w:rsidRPr="00A74331">
              <w:rPr>
                <w:rFonts w:eastAsia="MS Mincho"/>
                <w:i/>
                <w:sz w:val="20"/>
                <w:szCs w:val="20"/>
                <w:lang w:eastAsia="ja-JP"/>
              </w:rPr>
              <w:t>Fostair</w:t>
            </w:r>
            <w:proofErr w:type="spellEnd"/>
            <w:r w:rsidRPr="00A74331">
              <w:rPr>
                <w:rFonts w:eastAsia="MS Mincho"/>
                <w:i/>
                <w:sz w:val="20"/>
                <w:szCs w:val="20"/>
                <w:lang w:eastAsia="ja-JP"/>
              </w:rPr>
              <w:t xml:space="preserve"> is indicated in adults (18 years and older) in the regular treatment of asthma where use of a combination product (inhaled corticosteroid and long-acting beta</w:t>
            </w:r>
            <w:r w:rsidR="002E158A" w:rsidRPr="00A74331">
              <w:rPr>
                <w:rFonts w:eastAsia="MS Mincho"/>
                <w:i/>
                <w:sz w:val="20"/>
                <w:szCs w:val="20"/>
                <w:lang w:eastAsia="ja-JP"/>
              </w:rPr>
              <w:t xml:space="preserve"> </w:t>
            </w:r>
            <w:r w:rsidRPr="00A74331">
              <w:rPr>
                <w:rFonts w:eastAsia="MS Mincho"/>
                <w:i/>
                <w:sz w:val="20"/>
                <w:szCs w:val="20"/>
                <w:lang w:eastAsia="ja-JP"/>
              </w:rPr>
              <w:t>2-agonist) is appropriate:</w:t>
            </w:r>
          </w:p>
          <w:p w14:paraId="4B991777" w14:textId="176B1C4B" w:rsidR="00426CBA" w:rsidRPr="00A74331" w:rsidRDefault="00426CBA" w:rsidP="00B60FD0">
            <w:pPr>
              <w:pStyle w:val="ListBullet"/>
              <w:spacing w:before="0" w:after="0" w:line="120" w:lineRule="atLeast"/>
              <w:ind w:left="357" w:hanging="357"/>
              <w:rPr>
                <w:i/>
                <w:sz w:val="20"/>
                <w:szCs w:val="20"/>
                <w:lang w:eastAsia="ja-JP"/>
              </w:rPr>
            </w:pPr>
            <w:r w:rsidRPr="00A74331">
              <w:rPr>
                <w:i/>
                <w:sz w:val="20"/>
                <w:szCs w:val="20"/>
                <w:lang w:eastAsia="ja-JP"/>
              </w:rPr>
              <w:t>patients not adequately controlled with inhaled corticosteroids (ICS) and 'as needed' inhaled rapid-acting beta</w:t>
            </w:r>
            <w:r w:rsidR="00864B20" w:rsidRPr="00A74331">
              <w:rPr>
                <w:i/>
                <w:sz w:val="20"/>
                <w:szCs w:val="20"/>
                <w:lang w:eastAsia="ja-JP"/>
              </w:rPr>
              <w:t> </w:t>
            </w:r>
            <w:r w:rsidRPr="00A74331">
              <w:rPr>
                <w:i/>
                <w:sz w:val="20"/>
                <w:szCs w:val="20"/>
                <w:lang w:eastAsia="ja-JP"/>
              </w:rPr>
              <w:t>2-agonist or</w:t>
            </w:r>
          </w:p>
          <w:p w14:paraId="4B2609C5" w14:textId="3B041FE5" w:rsidR="00426CBA" w:rsidRPr="00A74331" w:rsidRDefault="00426CBA" w:rsidP="00B60FD0">
            <w:pPr>
              <w:pStyle w:val="ListBullet"/>
              <w:spacing w:before="0" w:after="0" w:line="120" w:lineRule="atLeast"/>
              <w:ind w:left="357" w:hanging="357"/>
              <w:rPr>
                <w:i/>
                <w:sz w:val="20"/>
                <w:szCs w:val="20"/>
                <w:lang w:eastAsia="ja-JP"/>
              </w:rPr>
            </w:pPr>
            <w:r w:rsidRPr="00A74331">
              <w:rPr>
                <w:i/>
                <w:sz w:val="20"/>
                <w:szCs w:val="20"/>
                <w:lang w:eastAsia="ja-JP"/>
              </w:rPr>
              <w:t>patients already adequately controlled on both ICS and long</w:t>
            </w:r>
            <w:r w:rsidR="00864B20" w:rsidRPr="00A74331">
              <w:rPr>
                <w:i/>
                <w:sz w:val="20"/>
                <w:szCs w:val="20"/>
                <w:lang w:eastAsia="ja-JP"/>
              </w:rPr>
              <w:noBreakHyphen/>
            </w:r>
            <w:r w:rsidRPr="00A74331">
              <w:rPr>
                <w:i/>
                <w:sz w:val="20"/>
                <w:szCs w:val="20"/>
                <w:lang w:eastAsia="ja-JP"/>
              </w:rPr>
              <w:t>acting beta</w:t>
            </w:r>
            <w:r w:rsidR="002E158A" w:rsidRPr="00A74331">
              <w:rPr>
                <w:i/>
                <w:sz w:val="20"/>
                <w:szCs w:val="20"/>
                <w:lang w:eastAsia="ja-JP"/>
              </w:rPr>
              <w:t xml:space="preserve"> </w:t>
            </w:r>
            <w:r w:rsidRPr="00A74331">
              <w:rPr>
                <w:i/>
                <w:sz w:val="20"/>
                <w:szCs w:val="20"/>
                <w:lang w:eastAsia="ja-JP"/>
              </w:rPr>
              <w:t>2-agonists (LABA).</w:t>
            </w:r>
          </w:p>
          <w:p w14:paraId="0D51A6BB" w14:textId="77777777" w:rsidR="00426CBA" w:rsidRPr="00A74331" w:rsidRDefault="00426CBA" w:rsidP="00426CBA">
            <w:pPr>
              <w:rPr>
                <w:rFonts w:eastAsia="MS Mincho"/>
                <w:i/>
                <w:sz w:val="20"/>
                <w:szCs w:val="20"/>
                <w:lang w:eastAsia="ja-JP"/>
              </w:rPr>
            </w:pPr>
            <w:r w:rsidRPr="00A74331">
              <w:rPr>
                <w:rFonts w:eastAsia="MS Mincho"/>
                <w:i/>
                <w:sz w:val="20"/>
                <w:szCs w:val="20"/>
                <w:lang w:eastAsia="ja-JP"/>
              </w:rPr>
              <w:t>COPD</w:t>
            </w:r>
          </w:p>
          <w:p w14:paraId="10761772" w14:textId="77777777" w:rsidR="008E7846" w:rsidRPr="00A74331" w:rsidRDefault="00426CBA" w:rsidP="00426CBA">
            <w:pPr>
              <w:rPr>
                <w:rFonts w:eastAsia="MS Mincho"/>
                <w:sz w:val="20"/>
                <w:szCs w:val="20"/>
                <w:lang w:eastAsia="ja-JP"/>
              </w:rPr>
            </w:pPr>
            <w:r w:rsidRPr="00A74331">
              <w:rPr>
                <w:rFonts w:eastAsia="MS Mincho"/>
                <w:i/>
                <w:sz w:val="20"/>
                <w:szCs w:val="20"/>
                <w:lang w:eastAsia="ja-JP"/>
              </w:rPr>
              <w:t>Symptomatic treatment of adults with severe COPD (FEV</w:t>
            </w:r>
            <w:r w:rsidRPr="00A74331">
              <w:rPr>
                <w:rFonts w:eastAsia="MS Mincho"/>
                <w:i/>
                <w:sz w:val="20"/>
                <w:szCs w:val="20"/>
                <w:vertAlign w:val="subscript"/>
                <w:lang w:eastAsia="ja-JP"/>
              </w:rPr>
              <w:t>1</w:t>
            </w:r>
            <w:r w:rsidRPr="00A74331">
              <w:rPr>
                <w:rFonts w:eastAsia="MS Mincho"/>
                <w:i/>
                <w:sz w:val="20"/>
                <w:szCs w:val="20"/>
                <w:lang w:eastAsia="ja-JP"/>
              </w:rPr>
              <w:t xml:space="preserve"> &lt; 50% predicted normal) and a history of repeated exacerbations, who have significant symptoms despite regular therapy with long-acting bronchodilators.</w:t>
            </w:r>
          </w:p>
        </w:tc>
      </w:tr>
      <w:tr w:rsidR="008E7846" w:rsidRPr="00A74331" w14:paraId="11BFA364" w14:textId="77777777" w:rsidTr="00BF1190">
        <w:tc>
          <w:tcPr>
            <w:tcW w:w="2907" w:type="dxa"/>
          </w:tcPr>
          <w:p w14:paraId="292C67EB" w14:textId="77777777" w:rsidR="008E7846" w:rsidRPr="00A74331" w:rsidRDefault="00BA157E" w:rsidP="00E45619">
            <w:pPr>
              <w:rPr>
                <w:i/>
                <w:sz w:val="20"/>
                <w:szCs w:val="20"/>
              </w:rPr>
            </w:pPr>
            <w:r w:rsidRPr="00A74331">
              <w:rPr>
                <w:i/>
                <w:sz w:val="20"/>
                <w:szCs w:val="20"/>
              </w:rPr>
              <w:t>Route</w:t>
            </w:r>
            <w:r w:rsidR="008E7846" w:rsidRPr="00A74331">
              <w:rPr>
                <w:i/>
                <w:sz w:val="20"/>
                <w:szCs w:val="20"/>
              </w:rPr>
              <w:t xml:space="preserve"> of administration:</w:t>
            </w:r>
          </w:p>
        </w:tc>
        <w:tc>
          <w:tcPr>
            <w:tcW w:w="6307" w:type="dxa"/>
          </w:tcPr>
          <w:p w14:paraId="279B740B" w14:textId="77777777" w:rsidR="008E7846" w:rsidRPr="00A74331" w:rsidRDefault="00BA157E" w:rsidP="00E45619">
            <w:pPr>
              <w:rPr>
                <w:sz w:val="20"/>
                <w:szCs w:val="20"/>
              </w:rPr>
            </w:pPr>
            <w:r w:rsidRPr="00A74331">
              <w:rPr>
                <w:sz w:val="20"/>
                <w:szCs w:val="20"/>
              </w:rPr>
              <w:t>Inhalation</w:t>
            </w:r>
          </w:p>
        </w:tc>
      </w:tr>
      <w:tr w:rsidR="008E7846" w:rsidRPr="00A74331" w14:paraId="4431386A" w14:textId="77777777" w:rsidTr="00BF1190">
        <w:tc>
          <w:tcPr>
            <w:tcW w:w="2907" w:type="dxa"/>
          </w:tcPr>
          <w:p w14:paraId="7FEBDB30" w14:textId="77777777" w:rsidR="008E7846" w:rsidRPr="00A74331" w:rsidRDefault="008E7846" w:rsidP="00E45619">
            <w:pPr>
              <w:rPr>
                <w:i/>
                <w:sz w:val="20"/>
                <w:szCs w:val="20"/>
                <w:highlight w:val="yellow"/>
              </w:rPr>
            </w:pPr>
            <w:r w:rsidRPr="00A74331">
              <w:rPr>
                <w:i/>
                <w:sz w:val="20"/>
                <w:szCs w:val="20"/>
              </w:rPr>
              <w:t>Dosage:</w:t>
            </w:r>
          </w:p>
        </w:tc>
        <w:tc>
          <w:tcPr>
            <w:tcW w:w="6307" w:type="dxa"/>
          </w:tcPr>
          <w:p w14:paraId="1644B28E" w14:textId="77777777" w:rsidR="008E7846" w:rsidRPr="00A74331" w:rsidRDefault="002817AE" w:rsidP="002817AE">
            <w:pPr>
              <w:rPr>
                <w:b/>
                <w:sz w:val="20"/>
                <w:szCs w:val="20"/>
              </w:rPr>
            </w:pPr>
            <w:r w:rsidRPr="00A74331">
              <w:rPr>
                <w:b/>
                <w:sz w:val="20"/>
                <w:szCs w:val="20"/>
              </w:rPr>
              <w:t>Asthma (adults 18 years and above)</w:t>
            </w:r>
          </w:p>
          <w:p w14:paraId="6482BDA3" w14:textId="77777777" w:rsidR="002817AE" w:rsidRPr="00A74331" w:rsidRDefault="002817AE" w:rsidP="002817AE">
            <w:pPr>
              <w:rPr>
                <w:i/>
                <w:sz w:val="20"/>
                <w:szCs w:val="20"/>
              </w:rPr>
            </w:pPr>
            <w:r w:rsidRPr="00A74331">
              <w:rPr>
                <w:i/>
                <w:sz w:val="20"/>
                <w:szCs w:val="20"/>
              </w:rPr>
              <w:t>A. Maintenance therapy</w:t>
            </w:r>
          </w:p>
          <w:p w14:paraId="06B1FE12" w14:textId="77777777" w:rsidR="002817AE" w:rsidRPr="00A74331" w:rsidRDefault="002817AE" w:rsidP="002817AE">
            <w:pPr>
              <w:rPr>
                <w:sz w:val="20"/>
                <w:szCs w:val="20"/>
              </w:rPr>
            </w:pPr>
            <w:r w:rsidRPr="00A74331">
              <w:rPr>
                <w:sz w:val="20"/>
                <w:szCs w:val="20"/>
              </w:rPr>
              <w:t>One or two inhalations twice daily.</w:t>
            </w:r>
          </w:p>
          <w:p w14:paraId="756CA292" w14:textId="77777777" w:rsidR="002817AE" w:rsidRPr="00A74331" w:rsidRDefault="002817AE" w:rsidP="002817AE">
            <w:pPr>
              <w:rPr>
                <w:sz w:val="20"/>
                <w:szCs w:val="20"/>
              </w:rPr>
            </w:pPr>
            <w:r w:rsidRPr="00A74331">
              <w:rPr>
                <w:sz w:val="20"/>
                <w:szCs w:val="20"/>
              </w:rPr>
              <w:lastRenderedPageBreak/>
              <w:t>The maximum daily dose is 4 inhalations.</w:t>
            </w:r>
          </w:p>
          <w:p w14:paraId="63A5B76B" w14:textId="77777777" w:rsidR="002817AE" w:rsidRPr="00A74331" w:rsidRDefault="002817AE" w:rsidP="002817AE">
            <w:pPr>
              <w:rPr>
                <w:i/>
                <w:sz w:val="20"/>
                <w:szCs w:val="20"/>
              </w:rPr>
            </w:pPr>
            <w:r w:rsidRPr="00A74331">
              <w:rPr>
                <w:i/>
                <w:sz w:val="20"/>
                <w:szCs w:val="20"/>
              </w:rPr>
              <w:t>B. Maintenance and reliever therapy</w:t>
            </w:r>
          </w:p>
          <w:p w14:paraId="677A71CA" w14:textId="77777777" w:rsidR="002817AE" w:rsidRPr="00A74331" w:rsidRDefault="002817AE" w:rsidP="002817AE">
            <w:pPr>
              <w:rPr>
                <w:sz w:val="20"/>
                <w:szCs w:val="20"/>
              </w:rPr>
            </w:pPr>
            <w:r w:rsidRPr="00A74331">
              <w:rPr>
                <w:sz w:val="20"/>
                <w:szCs w:val="20"/>
              </w:rPr>
              <w:t>The recommended maintenance dose is 1 inhalation twice daily (one inhalation in the morning and one inhalation in the evening).</w:t>
            </w:r>
          </w:p>
          <w:p w14:paraId="5F6C3E21" w14:textId="77777777" w:rsidR="002817AE" w:rsidRPr="00A74331" w:rsidRDefault="002817AE" w:rsidP="002817AE">
            <w:pPr>
              <w:rPr>
                <w:sz w:val="20"/>
                <w:szCs w:val="20"/>
              </w:rPr>
            </w:pPr>
            <w:r w:rsidRPr="00A74331">
              <w:rPr>
                <w:sz w:val="20"/>
                <w:szCs w:val="20"/>
              </w:rPr>
              <w:t>Patients should take 1 additional inhalation as needed in response to symptoms. If symptoms persist after a few minutes, an additional inhalation should be taken. Patients should not take more than 6 inhalations on any single occasion.</w:t>
            </w:r>
          </w:p>
          <w:p w14:paraId="56985978" w14:textId="77777777" w:rsidR="002817AE" w:rsidRPr="00A74331" w:rsidRDefault="002817AE" w:rsidP="002817AE">
            <w:pPr>
              <w:rPr>
                <w:sz w:val="20"/>
                <w:szCs w:val="20"/>
              </w:rPr>
            </w:pPr>
            <w:r w:rsidRPr="00A74331">
              <w:rPr>
                <w:sz w:val="20"/>
                <w:szCs w:val="20"/>
              </w:rPr>
              <w:t>The maximum daily dose is 8 inhalations.</w:t>
            </w:r>
          </w:p>
          <w:p w14:paraId="2DAD367F" w14:textId="77777777" w:rsidR="002817AE" w:rsidRPr="00A74331" w:rsidRDefault="002817AE" w:rsidP="002817AE">
            <w:pPr>
              <w:rPr>
                <w:b/>
                <w:sz w:val="20"/>
                <w:szCs w:val="20"/>
              </w:rPr>
            </w:pPr>
            <w:r w:rsidRPr="00A74331">
              <w:rPr>
                <w:b/>
                <w:sz w:val="20"/>
                <w:szCs w:val="20"/>
              </w:rPr>
              <w:t>COPD (adults 18 years and above)</w:t>
            </w:r>
          </w:p>
          <w:p w14:paraId="6910812C" w14:textId="77777777" w:rsidR="002817AE" w:rsidRPr="00A74331" w:rsidRDefault="002817AE" w:rsidP="002817AE">
            <w:pPr>
              <w:rPr>
                <w:sz w:val="20"/>
                <w:szCs w:val="20"/>
              </w:rPr>
            </w:pPr>
            <w:r w:rsidRPr="00A74331">
              <w:rPr>
                <w:sz w:val="20"/>
                <w:szCs w:val="20"/>
              </w:rPr>
              <w:t>Two inhalations twice daily.</w:t>
            </w:r>
          </w:p>
          <w:p w14:paraId="3938696C" w14:textId="77777777" w:rsidR="002817AE" w:rsidRPr="00A74331" w:rsidRDefault="002817AE" w:rsidP="002817AE">
            <w:pPr>
              <w:rPr>
                <w:sz w:val="20"/>
                <w:szCs w:val="20"/>
                <w:highlight w:val="yellow"/>
              </w:rPr>
            </w:pPr>
            <w:r w:rsidRPr="00A74331">
              <w:rPr>
                <w:sz w:val="20"/>
                <w:szCs w:val="20"/>
              </w:rPr>
              <w:t xml:space="preserve">For further information on </w:t>
            </w:r>
            <w:r w:rsidR="007C699E" w:rsidRPr="00A74331">
              <w:rPr>
                <w:sz w:val="20"/>
                <w:szCs w:val="20"/>
              </w:rPr>
              <w:t>dosage,</w:t>
            </w:r>
            <w:r w:rsidRPr="00A74331">
              <w:rPr>
                <w:sz w:val="20"/>
                <w:szCs w:val="20"/>
              </w:rPr>
              <w:t xml:space="preserve"> refer to the Product Information.</w:t>
            </w:r>
          </w:p>
        </w:tc>
      </w:tr>
    </w:tbl>
    <w:p w14:paraId="2F4E0EBB" w14:textId="77777777" w:rsidR="008E7846" w:rsidRDefault="008E7846" w:rsidP="008E7846">
      <w:pPr>
        <w:pStyle w:val="Heading3"/>
      </w:pPr>
      <w:bookmarkStart w:id="13" w:name="_Toc247691503"/>
      <w:bookmarkStart w:id="14" w:name="_Toc314842484"/>
      <w:bookmarkStart w:id="15" w:name="_Toc47353825"/>
      <w:r>
        <w:lastRenderedPageBreak/>
        <w:t>Product background</w:t>
      </w:r>
      <w:bookmarkEnd w:id="13"/>
      <w:bookmarkEnd w:id="14"/>
      <w:bookmarkEnd w:id="15"/>
    </w:p>
    <w:p w14:paraId="6097D5B4" w14:textId="1356861D" w:rsidR="008E7846" w:rsidRDefault="00940A89" w:rsidP="00426CBA">
      <w:r w:rsidRPr="00940A89">
        <w:t xml:space="preserve">This AusPAR describes the application by </w:t>
      </w:r>
      <w:proofErr w:type="spellStart"/>
      <w:r w:rsidR="005B06B9">
        <w:t>Chiesi</w:t>
      </w:r>
      <w:proofErr w:type="spellEnd"/>
      <w:r w:rsidR="005B06B9">
        <w:t xml:space="preserve"> Australia Pty Ltd</w:t>
      </w:r>
      <w:r w:rsidR="005B06B9" w:rsidRPr="00940A89">
        <w:t xml:space="preserve"> </w:t>
      </w:r>
      <w:r w:rsidR="005B06B9">
        <w:t>(</w:t>
      </w:r>
      <w:r w:rsidRPr="00940A89">
        <w:t>the sponsor</w:t>
      </w:r>
      <w:r w:rsidR="005B06B9">
        <w:t>)</w:t>
      </w:r>
      <w:r w:rsidRPr="00940A89">
        <w:t xml:space="preserve"> to register </w:t>
      </w:r>
      <w:proofErr w:type="spellStart"/>
      <w:r w:rsidR="00871142">
        <w:t>Fostair</w:t>
      </w:r>
      <w:proofErr w:type="spellEnd"/>
      <w:r w:rsidR="00426CBA">
        <w:t xml:space="preserve"> </w:t>
      </w:r>
      <w:r w:rsidR="00871142">
        <w:t>(</w:t>
      </w:r>
      <w:r w:rsidR="0058582C">
        <w:t xml:space="preserve">delivering </w:t>
      </w:r>
      <w:r w:rsidR="002E158A">
        <w:t xml:space="preserve">100 µg </w:t>
      </w:r>
      <w:proofErr w:type="spellStart"/>
      <w:r w:rsidR="00426CBA">
        <w:t>beclometa</w:t>
      </w:r>
      <w:r w:rsidR="002E158A">
        <w:t>sone</w:t>
      </w:r>
      <w:proofErr w:type="spellEnd"/>
      <w:r w:rsidR="002E158A">
        <w:t xml:space="preserve"> dipropionate </w:t>
      </w:r>
      <w:r w:rsidR="00426CBA">
        <w:t xml:space="preserve">and </w:t>
      </w:r>
      <w:r w:rsidR="002E158A">
        <w:t xml:space="preserve">6 µg </w:t>
      </w:r>
      <w:proofErr w:type="spellStart"/>
      <w:r w:rsidR="00426CBA">
        <w:t>formoterol</w:t>
      </w:r>
      <w:proofErr w:type="spellEnd"/>
      <w:r w:rsidR="00426CBA">
        <w:t xml:space="preserve"> (</w:t>
      </w:r>
      <w:proofErr w:type="spellStart"/>
      <w:r w:rsidR="00426CBA">
        <w:t>eformoterol</w:t>
      </w:r>
      <w:proofErr w:type="spellEnd"/>
      <w:r w:rsidR="002E158A">
        <w:t>) fumarate dihydrate</w:t>
      </w:r>
      <w:r w:rsidR="00426CBA">
        <w:t xml:space="preserve"> per actuation</w:t>
      </w:r>
      <w:r w:rsidR="00871142">
        <w:t>)</w:t>
      </w:r>
      <w:r w:rsidR="00426CBA">
        <w:t xml:space="preserve"> pressurised inhalation solution</w:t>
      </w:r>
      <w:r w:rsidRPr="00940A89">
        <w:t xml:space="preserve"> f</w:t>
      </w:r>
      <w:r w:rsidR="00871142">
        <w:t>or the following proposed indication:</w:t>
      </w:r>
    </w:p>
    <w:p w14:paraId="3BEE35F4" w14:textId="77777777" w:rsidR="00871142" w:rsidRPr="00871142" w:rsidRDefault="00871142" w:rsidP="00871142">
      <w:pPr>
        <w:ind w:left="720"/>
        <w:rPr>
          <w:i/>
        </w:rPr>
      </w:pPr>
      <w:r w:rsidRPr="00871142">
        <w:rPr>
          <w:i/>
        </w:rPr>
        <w:t>Asthma</w:t>
      </w:r>
    </w:p>
    <w:p w14:paraId="3C98AA22" w14:textId="77777777" w:rsidR="00871142" w:rsidRPr="00871142" w:rsidRDefault="00871142" w:rsidP="00871142">
      <w:pPr>
        <w:ind w:left="720"/>
        <w:rPr>
          <w:i/>
        </w:rPr>
      </w:pPr>
      <w:proofErr w:type="spellStart"/>
      <w:r w:rsidRPr="00871142">
        <w:rPr>
          <w:i/>
        </w:rPr>
        <w:t>Fostair</w:t>
      </w:r>
      <w:proofErr w:type="spellEnd"/>
      <w:r w:rsidRPr="00871142">
        <w:rPr>
          <w:i/>
        </w:rPr>
        <w:t xml:space="preserve"> is indicated in the regular treatment of asthma where use of a combination product (inhaled corticosteroid and long-acting beta2-agonist) is appropriate:</w:t>
      </w:r>
    </w:p>
    <w:p w14:paraId="47C3A1AF" w14:textId="77777777" w:rsidR="00871142" w:rsidRPr="00871142" w:rsidRDefault="00871142" w:rsidP="00871142">
      <w:pPr>
        <w:pStyle w:val="ListBullet"/>
        <w:ind w:left="1080"/>
        <w:rPr>
          <w:i/>
        </w:rPr>
      </w:pPr>
      <w:r w:rsidRPr="00871142">
        <w:rPr>
          <w:i/>
        </w:rPr>
        <w:t>patients not adequately controlled with inhaled corticosteroids and 'as needed' inhaled rapid-acting beta2-agonist or</w:t>
      </w:r>
    </w:p>
    <w:p w14:paraId="371E8D6B" w14:textId="77777777" w:rsidR="00871142" w:rsidRPr="00871142" w:rsidRDefault="00871142" w:rsidP="00871142">
      <w:pPr>
        <w:pStyle w:val="ListBullet"/>
        <w:ind w:left="1080"/>
        <w:rPr>
          <w:i/>
        </w:rPr>
      </w:pPr>
      <w:r w:rsidRPr="00871142">
        <w:rPr>
          <w:i/>
        </w:rPr>
        <w:t>patients already adequately controlled on both inhaled corticosteroids and long-acting beta2-agonists.</w:t>
      </w:r>
    </w:p>
    <w:p w14:paraId="2A24095B" w14:textId="77777777" w:rsidR="00871142" w:rsidRPr="00871142" w:rsidRDefault="00871142" w:rsidP="00871142">
      <w:pPr>
        <w:ind w:left="720"/>
        <w:rPr>
          <w:i/>
        </w:rPr>
      </w:pPr>
      <w:r w:rsidRPr="00871142">
        <w:rPr>
          <w:i/>
        </w:rPr>
        <w:t>COPD</w:t>
      </w:r>
    </w:p>
    <w:p w14:paraId="4387A679" w14:textId="77777777" w:rsidR="00871142" w:rsidRPr="00871142" w:rsidRDefault="00871142" w:rsidP="00871142">
      <w:pPr>
        <w:ind w:left="720"/>
        <w:rPr>
          <w:i/>
        </w:rPr>
      </w:pPr>
      <w:r w:rsidRPr="00871142">
        <w:rPr>
          <w:i/>
        </w:rPr>
        <w:t>Symptomatic treatment of patients with severe COPD (FEV</w:t>
      </w:r>
      <w:r w:rsidRPr="009C4D36">
        <w:rPr>
          <w:i/>
          <w:vertAlign w:val="subscript"/>
        </w:rPr>
        <w:t>1</w:t>
      </w:r>
      <w:r w:rsidRPr="00871142">
        <w:rPr>
          <w:i/>
        </w:rPr>
        <w:t xml:space="preserve"> &lt; 50% predicted normal) and a history of repeated exacerbations, who have significant symptoms despite regular therapy with long-acting bronchodilators.</w:t>
      </w:r>
    </w:p>
    <w:p w14:paraId="460A558F" w14:textId="2AD5D6C4" w:rsidR="002817AE" w:rsidRDefault="00995E5E" w:rsidP="002817AE">
      <w:pPr>
        <w:rPr>
          <w:lang w:eastAsia="ja-JP"/>
        </w:rPr>
      </w:pPr>
      <w:r>
        <w:rPr>
          <w:lang w:eastAsia="ja-JP"/>
        </w:rPr>
        <w:t>C</w:t>
      </w:r>
      <w:r w:rsidR="002817AE" w:rsidRPr="00255886">
        <w:rPr>
          <w:lang w:eastAsia="ja-JP"/>
        </w:rPr>
        <w:t>hronic obstructive pulmonary disease (COPD)</w:t>
      </w:r>
      <w:r w:rsidR="00827EDF">
        <w:rPr>
          <w:lang w:eastAsia="ja-JP"/>
        </w:rPr>
        <w:t xml:space="preserve"> </w:t>
      </w:r>
      <w:r w:rsidR="00904045">
        <w:rPr>
          <w:lang w:eastAsia="ja-JP"/>
        </w:rPr>
        <w:t xml:space="preserve">and asthma </w:t>
      </w:r>
      <w:r w:rsidR="002817AE" w:rsidRPr="00255886">
        <w:rPr>
          <w:lang w:eastAsia="ja-JP"/>
        </w:rPr>
        <w:t xml:space="preserve">affect </w:t>
      </w:r>
      <w:r>
        <w:rPr>
          <w:lang w:eastAsia="ja-JP"/>
        </w:rPr>
        <w:t xml:space="preserve">an estimated </w:t>
      </w:r>
      <w:r w:rsidR="00AA612F">
        <w:rPr>
          <w:lang w:eastAsia="ja-JP"/>
        </w:rPr>
        <w:t>251</w:t>
      </w:r>
      <w:r w:rsidR="009C4D36">
        <w:rPr>
          <w:lang w:eastAsia="ja-JP"/>
        </w:rPr>
        <w:t>;</w:t>
      </w:r>
      <w:r w:rsidR="009C4D36">
        <w:rPr>
          <w:rStyle w:val="FootnoteReference"/>
          <w:lang w:eastAsia="ja-JP"/>
        </w:rPr>
        <w:footnoteReference w:id="1"/>
      </w:r>
      <w:r w:rsidR="002817AE" w:rsidRPr="00255886">
        <w:rPr>
          <w:lang w:eastAsia="ja-JP"/>
        </w:rPr>
        <w:t xml:space="preserve"> </w:t>
      </w:r>
      <w:r w:rsidR="009C4D36">
        <w:rPr>
          <w:lang w:eastAsia="ja-JP"/>
        </w:rPr>
        <w:t>and 235 million;</w:t>
      </w:r>
      <w:r w:rsidR="00827EDF">
        <w:rPr>
          <w:rStyle w:val="FootnoteReference"/>
          <w:lang w:eastAsia="ja-JP"/>
        </w:rPr>
        <w:footnoteReference w:id="2"/>
      </w:r>
      <w:r w:rsidR="009C4D36">
        <w:rPr>
          <w:lang w:eastAsia="ja-JP"/>
        </w:rPr>
        <w:t xml:space="preserve"> </w:t>
      </w:r>
      <w:r w:rsidR="002817AE" w:rsidRPr="00255886">
        <w:rPr>
          <w:lang w:eastAsia="ja-JP"/>
        </w:rPr>
        <w:t>individuals worldwide</w:t>
      </w:r>
      <w:r w:rsidR="009C4D36">
        <w:rPr>
          <w:lang w:eastAsia="ja-JP"/>
        </w:rPr>
        <w:t>,</w:t>
      </w:r>
      <w:r w:rsidR="00827EDF">
        <w:rPr>
          <w:lang w:eastAsia="ja-JP"/>
        </w:rPr>
        <w:t xml:space="preserve"> respectively.</w:t>
      </w:r>
      <w:r w:rsidR="002817AE">
        <w:rPr>
          <w:lang w:eastAsia="ja-JP"/>
        </w:rPr>
        <w:t xml:space="preserve"> </w:t>
      </w:r>
      <w:r w:rsidR="002817AE" w:rsidRPr="00255886">
        <w:rPr>
          <w:lang w:eastAsia="ja-JP"/>
        </w:rPr>
        <w:t>In 2015, mortality from COPD</w:t>
      </w:r>
      <w:r w:rsidR="002817AE">
        <w:rPr>
          <w:lang w:eastAsia="ja-JP"/>
        </w:rPr>
        <w:t xml:space="preserve"> </w:t>
      </w:r>
      <w:r w:rsidR="002817AE" w:rsidRPr="00255886">
        <w:rPr>
          <w:lang w:eastAsia="ja-JP"/>
        </w:rPr>
        <w:t>exceeded 3</w:t>
      </w:r>
      <w:r w:rsidR="0058582C">
        <w:rPr>
          <w:lang w:eastAsia="ja-JP"/>
        </w:rPr>
        <w:t> </w:t>
      </w:r>
      <w:r w:rsidR="002817AE" w:rsidRPr="00255886">
        <w:rPr>
          <w:lang w:eastAsia="ja-JP"/>
        </w:rPr>
        <w:t>million deaths, while mortality from asthma</w:t>
      </w:r>
      <w:r w:rsidR="002817AE">
        <w:rPr>
          <w:lang w:eastAsia="ja-JP"/>
        </w:rPr>
        <w:t xml:space="preserve"> </w:t>
      </w:r>
      <w:r w:rsidR="002817AE" w:rsidRPr="00255886">
        <w:rPr>
          <w:lang w:eastAsia="ja-JP"/>
        </w:rPr>
        <w:t>include</w:t>
      </w:r>
      <w:r w:rsidR="00AA612F">
        <w:rPr>
          <w:lang w:eastAsia="ja-JP"/>
        </w:rPr>
        <w:t>d approximately 400,000 deaths. One in nine</w:t>
      </w:r>
      <w:r w:rsidR="002817AE">
        <w:rPr>
          <w:lang w:eastAsia="ja-JP"/>
        </w:rPr>
        <w:t xml:space="preserve"> Australians are estimated to be diagnosed with asthma (2.7 million).</w:t>
      </w:r>
      <w:r w:rsidR="00D463A3">
        <w:rPr>
          <w:rStyle w:val="FootnoteReference"/>
          <w:lang w:eastAsia="ja-JP"/>
        </w:rPr>
        <w:footnoteReference w:id="3"/>
      </w:r>
      <w:r w:rsidR="00D463A3">
        <w:rPr>
          <w:lang w:eastAsia="ja-JP"/>
        </w:rPr>
        <w:t xml:space="preserve"> One in twenty</w:t>
      </w:r>
      <w:r w:rsidR="002817AE">
        <w:rPr>
          <w:lang w:eastAsia="ja-JP"/>
        </w:rPr>
        <w:t xml:space="preserve"> Australians aged 45 and above are reported to be diagnosed w</w:t>
      </w:r>
      <w:r w:rsidR="00AA612F">
        <w:rPr>
          <w:lang w:eastAsia="ja-JP"/>
        </w:rPr>
        <w:t xml:space="preserve">ith </w:t>
      </w:r>
      <w:r w:rsidR="00D463A3">
        <w:rPr>
          <w:lang w:eastAsia="ja-JP"/>
        </w:rPr>
        <w:t>COPD</w:t>
      </w:r>
      <w:r w:rsidR="005B06B9">
        <w:rPr>
          <w:lang w:eastAsia="ja-JP"/>
        </w:rPr>
        <w:t>,</w:t>
      </w:r>
      <w:r w:rsidR="002817AE">
        <w:rPr>
          <w:lang w:eastAsia="ja-JP"/>
        </w:rPr>
        <w:t xml:space="preserve"> </w:t>
      </w:r>
      <w:r w:rsidR="00AA612F">
        <w:rPr>
          <w:lang w:eastAsia="ja-JP"/>
        </w:rPr>
        <w:t xml:space="preserve">and </w:t>
      </w:r>
      <w:r w:rsidR="00827EDF">
        <w:rPr>
          <w:lang w:eastAsia="ja-JP"/>
        </w:rPr>
        <w:t xml:space="preserve">COPD </w:t>
      </w:r>
      <w:r w:rsidR="00AA612F">
        <w:rPr>
          <w:lang w:eastAsia="ja-JP"/>
        </w:rPr>
        <w:t>was considered as the fifth</w:t>
      </w:r>
      <w:r w:rsidR="002817AE">
        <w:rPr>
          <w:lang w:eastAsia="ja-JP"/>
        </w:rPr>
        <w:t xml:space="preserve"> leadi</w:t>
      </w:r>
      <w:r w:rsidR="00AA612F">
        <w:rPr>
          <w:lang w:eastAsia="ja-JP"/>
        </w:rPr>
        <w:t>ng cause of death in Australia in 2017.</w:t>
      </w:r>
      <w:r w:rsidR="00AA612F">
        <w:rPr>
          <w:rStyle w:val="FootnoteReference"/>
          <w:lang w:eastAsia="ja-JP"/>
        </w:rPr>
        <w:footnoteReference w:id="4"/>
      </w:r>
    </w:p>
    <w:p w14:paraId="1581347B" w14:textId="5FF505A8" w:rsidR="002817AE" w:rsidRDefault="002817AE" w:rsidP="002817AE">
      <w:pPr>
        <w:rPr>
          <w:lang w:eastAsia="ja-JP"/>
        </w:rPr>
      </w:pPr>
      <w:r>
        <w:rPr>
          <w:lang w:eastAsia="ja-JP"/>
        </w:rPr>
        <w:t xml:space="preserve">Pathophysiology of asthma and COPD </w:t>
      </w:r>
      <w:r w:rsidRPr="00255886">
        <w:rPr>
          <w:lang w:eastAsia="ja-JP"/>
        </w:rPr>
        <w:t>i</w:t>
      </w:r>
      <w:r>
        <w:rPr>
          <w:lang w:eastAsia="ja-JP"/>
        </w:rPr>
        <w:t>s primarily</w:t>
      </w:r>
      <w:r w:rsidR="000B2CEB">
        <w:rPr>
          <w:lang w:eastAsia="ja-JP"/>
        </w:rPr>
        <w:t xml:space="preserve"> caused and maintained by</w:t>
      </w:r>
      <w:r>
        <w:rPr>
          <w:lang w:eastAsia="ja-JP"/>
        </w:rPr>
        <w:t xml:space="preserve"> inflammatory process</w:t>
      </w:r>
      <w:r w:rsidR="007874F9">
        <w:rPr>
          <w:lang w:eastAsia="ja-JP"/>
        </w:rPr>
        <w:t>es</w:t>
      </w:r>
      <w:r>
        <w:rPr>
          <w:lang w:eastAsia="ja-JP"/>
        </w:rPr>
        <w:t>.</w:t>
      </w:r>
      <w:r w:rsidR="00D463A3">
        <w:rPr>
          <w:rStyle w:val="FootnoteReference"/>
          <w:lang w:eastAsia="ja-JP"/>
        </w:rPr>
        <w:footnoteReference w:id="5"/>
      </w:r>
    </w:p>
    <w:p w14:paraId="18C70AE2" w14:textId="0A5287B3" w:rsidR="002817AE" w:rsidRDefault="002817AE" w:rsidP="00871142">
      <w:pPr>
        <w:rPr>
          <w:lang w:eastAsia="ja-JP"/>
        </w:rPr>
      </w:pPr>
      <w:r w:rsidRPr="00255886">
        <w:rPr>
          <w:lang w:eastAsia="ja-JP"/>
        </w:rPr>
        <w:lastRenderedPageBreak/>
        <w:t>The Global Initiative for Asthma</w:t>
      </w:r>
      <w:r w:rsidR="00D463A3">
        <w:rPr>
          <w:lang w:eastAsia="ja-JP"/>
        </w:rPr>
        <w:t xml:space="preserve"> (GINA);</w:t>
      </w:r>
      <w:r w:rsidR="00D463A3">
        <w:rPr>
          <w:rStyle w:val="FootnoteReference"/>
          <w:lang w:eastAsia="ja-JP"/>
        </w:rPr>
        <w:footnoteReference w:id="6"/>
      </w:r>
      <w:r w:rsidRPr="00255886">
        <w:rPr>
          <w:lang w:eastAsia="ja-JP"/>
        </w:rPr>
        <w:t xml:space="preserve"> encourages patients</w:t>
      </w:r>
      <w:r>
        <w:rPr>
          <w:lang w:eastAsia="ja-JP"/>
        </w:rPr>
        <w:t xml:space="preserve"> </w:t>
      </w:r>
      <w:r w:rsidRPr="00255886">
        <w:rPr>
          <w:lang w:eastAsia="ja-JP"/>
        </w:rPr>
        <w:t>with asthma to engage in regular physical activity for</w:t>
      </w:r>
      <w:r>
        <w:rPr>
          <w:lang w:eastAsia="ja-JP"/>
        </w:rPr>
        <w:t xml:space="preserve"> </w:t>
      </w:r>
      <w:r w:rsidRPr="00255886">
        <w:rPr>
          <w:lang w:eastAsia="ja-JP"/>
        </w:rPr>
        <w:t>its general health benefit</w:t>
      </w:r>
      <w:r>
        <w:rPr>
          <w:lang w:eastAsia="ja-JP"/>
        </w:rPr>
        <w:t xml:space="preserve">. </w:t>
      </w:r>
      <w:r w:rsidRPr="00255886">
        <w:rPr>
          <w:lang w:eastAsia="ja-JP"/>
        </w:rPr>
        <w:t>Pharmacologica</w:t>
      </w:r>
      <w:r>
        <w:rPr>
          <w:lang w:eastAsia="ja-JP"/>
        </w:rPr>
        <w:t>l management remains the founda</w:t>
      </w:r>
      <w:r w:rsidRPr="00255886">
        <w:rPr>
          <w:lang w:eastAsia="ja-JP"/>
        </w:rPr>
        <w:t>tion of asthma care</w:t>
      </w:r>
      <w:r w:rsidR="00E96D97">
        <w:rPr>
          <w:lang w:eastAsia="ja-JP"/>
        </w:rPr>
        <w:t>,</w:t>
      </w:r>
      <w:r w:rsidR="00E96D97" w:rsidRPr="007874F9">
        <w:rPr>
          <w:lang w:eastAsia="ja-JP"/>
        </w:rPr>
        <w:t xml:space="preserve"> </w:t>
      </w:r>
      <w:r w:rsidR="00113E41" w:rsidRPr="007874F9">
        <w:rPr>
          <w:lang w:eastAsia="ja-JP"/>
        </w:rPr>
        <w:t>which is based on ma</w:t>
      </w:r>
      <w:r w:rsidR="00113E41" w:rsidRPr="0038621A">
        <w:rPr>
          <w:rFonts w:asciiTheme="minorHAnsi" w:hAnsiTheme="minorHAnsi"/>
          <w:lang w:eastAsia="ja-JP"/>
        </w:rPr>
        <w:t xml:space="preserve">in goals, such as </w:t>
      </w:r>
      <w:r w:rsidR="00113E41" w:rsidRPr="0038621A">
        <w:rPr>
          <w:rFonts w:asciiTheme="minorHAnsi" w:hAnsiTheme="minorHAnsi" w:cs="Arial"/>
          <w:color w:val="000000"/>
          <w:shd w:val="clear" w:color="auto" w:fill="FFFFFF"/>
        </w:rPr>
        <w:t>preventing asthma symptoms, maintaining nearly normal pulmonary function and activity levels, preventing asthmatic exacerbations.</w:t>
      </w:r>
      <w:r>
        <w:rPr>
          <w:lang w:eastAsia="ja-JP"/>
        </w:rPr>
        <w:t xml:space="preserve"> </w:t>
      </w:r>
      <w:r w:rsidRPr="00255886">
        <w:rPr>
          <w:lang w:eastAsia="ja-JP"/>
        </w:rPr>
        <w:t>Smoking cessation is the most important intervention</w:t>
      </w:r>
      <w:r>
        <w:rPr>
          <w:lang w:eastAsia="ja-JP"/>
        </w:rPr>
        <w:t xml:space="preserve"> </w:t>
      </w:r>
      <w:r w:rsidRPr="00255886">
        <w:rPr>
          <w:lang w:eastAsia="ja-JP"/>
        </w:rPr>
        <w:t>for COPD</w:t>
      </w:r>
      <w:r>
        <w:rPr>
          <w:lang w:eastAsia="ja-JP"/>
        </w:rPr>
        <w:t>. Prevention of exacerbations is the key objective of COPD management</w:t>
      </w:r>
      <w:r w:rsidR="00113E41">
        <w:rPr>
          <w:lang w:eastAsia="ja-JP"/>
        </w:rPr>
        <w:t xml:space="preserve"> through pharmacological treatment</w:t>
      </w:r>
      <w:r w:rsidR="007874F9">
        <w:rPr>
          <w:lang w:eastAsia="ja-JP"/>
        </w:rPr>
        <w:t>s</w:t>
      </w:r>
      <w:r>
        <w:rPr>
          <w:lang w:eastAsia="ja-JP"/>
        </w:rPr>
        <w:t>.</w:t>
      </w:r>
      <w:r w:rsidR="00D463A3">
        <w:rPr>
          <w:rStyle w:val="FootnoteReference"/>
          <w:lang w:eastAsia="ja-JP"/>
        </w:rPr>
        <w:footnoteReference w:id="7"/>
      </w:r>
    </w:p>
    <w:p w14:paraId="26F93C6C" w14:textId="77777777" w:rsidR="007C699E" w:rsidRDefault="00426CBA" w:rsidP="00871142">
      <w:r w:rsidRPr="00A97857">
        <w:t xml:space="preserve">Combination therapy with an </w:t>
      </w:r>
      <w:r>
        <w:t>inhaled corticosteroid (ICS) and long acting beta agonist (LABA) is a recognised part of the treatment regimen fo</w:t>
      </w:r>
      <w:r w:rsidR="007D7616">
        <w:t>r both asthma and COPD</w:t>
      </w:r>
      <w:r w:rsidR="005B06B9">
        <w:t>.</w:t>
      </w:r>
      <w:r w:rsidR="005B06B9">
        <w:rPr>
          <w:rStyle w:val="FootnoteReference"/>
        </w:rPr>
        <w:footnoteReference w:id="8"/>
      </w:r>
      <w:r w:rsidR="005B06B9">
        <w:t xml:space="preserve"> </w:t>
      </w:r>
      <w:r w:rsidR="005B06B9">
        <w:rPr>
          <w:rStyle w:val="FootnoteReference"/>
        </w:rPr>
        <w:footnoteReference w:id="9"/>
      </w:r>
      <w:r w:rsidR="007D7616">
        <w:t xml:space="preserve"> </w:t>
      </w:r>
      <w:r w:rsidR="007D7616">
        <w:rPr>
          <w:rStyle w:val="FootnoteReference"/>
        </w:rPr>
        <w:footnoteReference w:id="10"/>
      </w:r>
    </w:p>
    <w:p w14:paraId="428FB72D" w14:textId="2110B293" w:rsidR="007C699E" w:rsidRPr="00070339" w:rsidRDefault="007C699E" w:rsidP="007C699E">
      <w:r w:rsidRPr="00070339">
        <w:t xml:space="preserve">Formoterol fumarate dihydrate is </w:t>
      </w:r>
      <w:r w:rsidR="00113E41">
        <w:t xml:space="preserve">both </w:t>
      </w:r>
      <w:r w:rsidRPr="00070339">
        <w:t xml:space="preserve">a rapid and long acting </w:t>
      </w:r>
      <w:r w:rsidR="0058582C">
        <w:t>beta-2 (</w:t>
      </w:r>
      <w:r>
        <w:t>β</w:t>
      </w:r>
      <w:r w:rsidRPr="00070339">
        <w:rPr>
          <w:vertAlign w:val="subscript"/>
        </w:rPr>
        <w:t>2</w:t>
      </w:r>
      <w:r w:rsidR="0058582C">
        <w:t xml:space="preserve">) </w:t>
      </w:r>
      <w:r w:rsidRPr="00070339">
        <w:t>agonist widely</w:t>
      </w:r>
      <w:r w:rsidR="00113E41">
        <w:t xml:space="preserve"> </w:t>
      </w:r>
      <w:r w:rsidRPr="00070339">
        <w:t xml:space="preserve">used clinically as a bronchodilator and </w:t>
      </w:r>
      <w:r w:rsidR="00113E41">
        <w:t xml:space="preserve">it is contained </w:t>
      </w:r>
      <w:r w:rsidR="007D7616">
        <w:t>many inhalation products.</w:t>
      </w:r>
      <w:r w:rsidRPr="00070339">
        <w:t xml:space="preserve"> It is used in single active products and in combination with glycopyronium, budesonide, aclidinium and fluticasone in various dry powder and pressurised metered dose inhaler dosage forms (3 to 12 µg per actuation).</w:t>
      </w:r>
    </w:p>
    <w:p w14:paraId="1E731F2D" w14:textId="3D72FCB0" w:rsidR="007C699E" w:rsidRDefault="007C699E" w:rsidP="007C699E">
      <w:r w:rsidRPr="00070339">
        <w:t>Beclometasone dipropionate</w:t>
      </w:r>
      <w:r w:rsidR="00113E41">
        <w:t xml:space="preserve"> </w:t>
      </w:r>
      <w:r w:rsidRPr="00070339">
        <w:t xml:space="preserve">is a glucocorticoid with </w:t>
      </w:r>
      <w:r w:rsidR="007D7616">
        <w:t>anti-inflammatory activity. In Australia, i</w:t>
      </w:r>
      <w:r w:rsidRPr="00070339">
        <w:t xml:space="preserve">t is only registered in the single active registered products Beconase nasal spray (50 µg per actuation) and iNova’s </w:t>
      </w:r>
      <w:proofErr w:type="spellStart"/>
      <w:r w:rsidR="007D7616" w:rsidRPr="00070339">
        <w:t>Qvar</w:t>
      </w:r>
      <w:proofErr w:type="spellEnd"/>
      <w:r w:rsidR="007D7616" w:rsidRPr="00070339">
        <w:t xml:space="preserve"> </w:t>
      </w:r>
      <w:r w:rsidRPr="00070339">
        <w:t>pressurised inhalation aerosol cans (50</w:t>
      </w:r>
      <w:r w:rsidR="0058582C">
        <w:t> </w:t>
      </w:r>
      <w:r w:rsidR="00077383">
        <w:t xml:space="preserve">µg and 100 µg per actuation). </w:t>
      </w:r>
      <w:r w:rsidRPr="00070339">
        <w:t>There are no c</w:t>
      </w:r>
      <w:r w:rsidR="00077383">
        <w:t>ombination products registered</w:t>
      </w:r>
      <w:r w:rsidR="00113E41" w:rsidRPr="00113E41">
        <w:t xml:space="preserve"> </w:t>
      </w:r>
      <w:r w:rsidR="00113E41">
        <w:t xml:space="preserve">in </w:t>
      </w:r>
      <w:r w:rsidR="00113E41" w:rsidRPr="00070339">
        <w:t>Australia</w:t>
      </w:r>
      <w:r w:rsidR="00113E41">
        <w:t xml:space="preserve"> containing </w:t>
      </w:r>
      <w:proofErr w:type="spellStart"/>
      <w:r w:rsidR="00722129">
        <w:t>b</w:t>
      </w:r>
      <w:r w:rsidR="00722129" w:rsidRPr="00722129">
        <w:t>eclometasone</w:t>
      </w:r>
      <w:proofErr w:type="spellEnd"/>
      <w:r w:rsidR="00722129" w:rsidRPr="00722129">
        <w:t xml:space="preserve"> dipropionate</w:t>
      </w:r>
      <w:r w:rsidR="00077383">
        <w:t>.</w:t>
      </w:r>
    </w:p>
    <w:p w14:paraId="417FD56B" w14:textId="77777777" w:rsidR="00940A89" w:rsidRDefault="005B06B9" w:rsidP="00871142">
      <w:proofErr w:type="spellStart"/>
      <w:r>
        <w:rPr>
          <w:lang w:eastAsia="en-AU"/>
        </w:rPr>
        <w:t>Fostair</w:t>
      </w:r>
      <w:proofErr w:type="spellEnd"/>
      <w:r w:rsidR="007C699E" w:rsidRPr="00070339">
        <w:rPr>
          <w:lang w:eastAsia="en-AU"/>
        </w:rPr>
        <w:t xml:space="preserve"> is a pressurised metered dose inhaler (</w:t>
      </w:r>
      <w:proofErr w:type="spellStart"/>
      <w:r w:rsidR="007C699E" w:rsidRPr="00070339">
        <w:rPr>
          <w:lang w:eastAsia="en-AU"/>
        </w:rPr>
        <w:t>pMDI</w:t>
      </w:r>
      <w:proofErr w:type="spellEnd"/>
      <w:r w:rsidR="007C699E" w:rsidRPr="00070339">
        <w:rPr>
          <w:lang w:eastAsia="en-AU"/>
        </w:rPr>
        <w:t xml:space="preserve">) containing </w:t>
      </w:r>
      <w:r w:rsidR="004C0940">
        <w:rPr>
          <w:lang w:eastAsia="en-AU"/>
        </w:rPr>
        <w:t xml:space="preserve">a fixed dose combination (FDC) of </w:t>
      </w:r>
      <w:proofErr w:type="spellStart"/>
      <w:r w:rsidR="007C699E" w:rsidRPr="00070339">
        <w:rPr>
          <w:lang w:eastAsia="en-AU"/>
        </w:rPr>
        <w:t>beclometasone</w:t>
      </w:r>
      <w:proofErr w:type="spellEnd"/>
      <w:r w:rsidR="007C699E" w:rsidRPr="00070339">
        <w:rPr>
          <w:lang w:eastAsia="en-AU"/>
        </w:rPr>
        <w:t xml:space="preserve"> dipropionate (100 µg/actuation) and </w:t>
      </w:r>
      <w:proofErr w:type="spellStart"/>
      <w:r w:rsidR="007C699E" w:rsidRPr="00070339">
        <w:rPr>
          <w:lang w:eastAsia="en-AU"/>
        </w:rPr>
        <w:t>formoterol</w:t>
      </w:r>
      <w:proofErr w:type="spellEnd"/>
      <w:r w:rsidR="007C699E" w:rsidRPr="00070339">
        <w:rPr>
          <w:lang w:eastAsia="en-AU"/>
        </w:rPr>
        <w:t xml:space="preserve"> fumarate dihydrate (6 µg/actuation) in acidic </w:t>
      </w:r>
      <w:proofErr w:type="spellStart"/>
      <w:r w:rsidR="007C699E" w:rsidRPr="00070339">
        <w:rPr>
          <w:lang w:eastAsia="en-AU"/>
        </w:rPr>
        <w:t>ethanolic</w:t>
      </w:r>
      <w:proofErr w:type="spellEnd"/>
      <w:r w:rsidR="007C699E" w:rsidRPr="00070339">
        <w:rPr>
          <w:lang w:eastAsia="en-AU"/>
        </w:rPr>
        <w:t xml:space="preserve"> solution propelled by </w:t>
      </w:r>
      <w:proofErr w:type="spellStart"/>
      <w:r w:rsidR="007D7616">
        <w:rPr>
          <w:lang w:eastAsia="en-AU"/>
        </w:rPr>
        <w:t>h</w:t>
      </w:r>
      <w:r w:rsidR="007D7616" w:rsidRPr="007D7616">
        <w:rPr>
          <w:lang w:eastAsia="en-AU"/>
        </w:rPr>
        <w:t>ydrofluoroalkane</w:t>
      </w:r>
      <w:proofErr w:type="spellEnd"/>
      <w:r w:rsidR="007D7616" w:rsidRPr="007D7616">
        <w:rPr>
          <w:lang w:eastAsia="en-AU"/>
        </w:rPr>
        <w:t xml:space="preserve"> </w:t>
      </w:r>
      <w:r w:rsidR="007D7616">
        <w:rPr>
          <w:lang w:eastAsia="en-AU"/>
        </w:rPr>
        <w:t>(</w:t>
      </w:r>
      <w:r w:rsidR="007C699E" w:rsidRPr="00070339">
        <w:rPr>
          <w:lang w:eastAsia="en-AU"/>
        </w:rPr>
        <w:t>HFA</w:t>
      </w:r>
      <w:r w:rsidR="007D7616">
        <w:rPr>
          <w:lang w:eastAsia="en-AU"/>
        </w:rPr>
        <w:t>)</w:t>
      </w:r>
      <w:r w:rsidR="007C699E" w:rsidRPr="00070339">
        <w:rPr>
          <w:lang w:eastAsia="en-AU"/>
        </w:rPr>
        <w:t>-134a (</w:t>
      </w:r>
      <w:proofErr w:type="spellStart"/>
      <w:r w:rsidR="007C699E" w:rsidRPr="00070339">
        <w:rPr>
          <w:lang w:eastAsia="en-AU"/>
        </w:rPr>
        <w:t>norflurane</w:t>
      </w:r>
      <w:proofErr w:type="spellEnd"/>
      <w:r w:rsidR="007C699E" w:rsidRPr="00070339">
        <w:rPr>
          <w:lang w:eastAsia="en-AU"/>
        </w:rPr>
        <w:t>).</w:t>
      </w:r>
    </w:p>
    <w:p w14:paraId="602B3C11" w14:textId="77777777" w:rsidR="008E7846" w:rsidRPr="003F31A2" w:rsidRDefault="00386150" w:rsidP="00A74331">
      <w:pPr>
        <w:pStyle w:val="Heading3"/>
        <w:pageBreakBefore/>
      </w:pPr>
      <w:bookmarkStart w:id="16" w:name="_Toc314842485"/>
      <w:bookmarkStart w:id="17" w:name="_Toc247691504"/>
      <w:bookmarkStart w:id="18" w:name="_Toc47353826"/>
      <w:r w:rsidRPr="004225CE">
        <w:lastRenderedPageBreak/>
        <w:t>Regulatory s</w:t>
      </w:r>
      <w:r w:rsidR="008E7846" w:rsidRPr="004225CE">
        <w:t>tatus</w:t>
      </w:r>
      <w:bookmarkEnd w:id="16"/>
      <w:bookmarkEnd w:id="17"/>
      <w:bookmarkEnd w:id="18"/>
    </w:p>
    <w:p w14:paraId="75AC3BFA" w14:textId="77777777" w:rsidR="00940A89" w:rsidRDefault="00E42ACB" w:rsidP="00940A89">
      <w:bookmarkStart w:id="19" w:name="_Toc247691505"/>
      <w:bookmarkStart w:id="20" w:name="_Toc314842486"/>
      <w:r>
        <w:t>This</w:t>
      </w:r>
      <w:r w:rsidR="00AF0951">
        <w:t xml:space="preserve"> product is considered a new combination of previously registered ingredients for Australian regulatory purposes.</w:t>
      </w:r>
    </w:p>
    <w:p w14:paraId="6B85E3EC" w14:textId="77777777" w:rsidR="00AF0951" w:rsidRDefault="00AF0951" w:rsidP="00940A89">
      <w:r>
        <w:t xml:space="preserve">Beclometasone dipropionate has been registered on the </w:t>
      </w:r>
      <w:r w:rsidR="00DC3988">
        <w:t>Australian Register of Therapeutic Goods (</w:t>
      </w:r>
      <w:r>
        <w:t>ARTG</w:t>
      </w:r>
      <w:r w:rsidR="00DC3988">
        <w:t>)</w:t>
      </w:r>
      <w:r>
        <w:t>, as various</w:t>
      </w:r>
      <w:r w:rsidR="00DC3988">
        <w:t xml:space="preserve"> presentations</w:t>
      </w:r>
      <w:r>
        <w:t>, since the late 1990’s. F</w:t>
      </w:r>
      <w:r w:rsidRPr="00E42ACB">
        <w:t xml:space="preserve">ormoterol fumarate </w:t>
      </w:r>
      <w:r>
        <w:t>dihydrate has also been registered on the ARTG, as various presentations, since the late 1990’s.</w:t>
      </w:r>
    </w:p>
    <w:p w14:paraId="0A85C98D" w14:textId="14500361" w:rsidR="002B208A" w:rsidRDefault="00940A89" w:rsidP="00940A89">
      <w:pPr>
        <w:rPr>
          <w:rFonts w:asciiTheme="minorHAnsi" w:hAnsiTheme="minorHAnsi"/>
        </w:rPr>
      </w:pPr>
      <w:r w:rsidRPr="00940A89">
        <w:t>At the time the TGA considered this app</w:t>
      </w:r>
      <w:r w:rsidR="00E42ACB">
        <w:t>lication, a similar application, under the tradename</w:t>
      </w:r>
      <w:r w:rsidR="002B208A">
        <w:t>s</w:t>
      </w:r>
      <w:r w:rsidR="00E42ACB">
        <w:t xml:space="preserve"> Foster</w:t>
      </w:r>
      <w:r w:rsidR="002B208A">
        <w:t>/</w:t>
      </w:r>
      <w:proofErr w:type="spellStart"/>
      <w:r w:rsidR="002B208A">
        <w:t>Kantos</w:t>
      </w:r>
      <w:proofErr w:type="spellEnd"/>
      <w:r w:rsidR="002B208A">
        <w:t>/</w:t>
      </w:r>
      <w:proofErr w:type="spellStart"/>
      <w:r w:rsidR="002B208A" w:rsidRPr="002B208A">
        <w:t>Kantos</w:t>
      </w:r>
      <w:proofErr w:type="spellEnd"/>
      <w:r w:rsidR="002B208A" w:rsidRPr="002B208A">
        <w:t xml:space="preserve"> Master/</w:t>
      </w:r>
      <w:proofErr w:type="spellStart"/>
      <w:r w:rsidR="002B208A" w:rsidRPr="002B208A">
        <w:t>Inuvair</w:t>
      </w:r>
      <w:proofErr w:type="spellEnd"/>
      <w:r w:rsidR="00E42ACB">
        <w:t xml:space="preserve">, </w:t>
      </w:r>
      <w:r w:rsidRPr="00940A89">
        <w:t xml:space="preserve">had been approved </w:t>
      </w:r>
      <w:r w:rsidR="00E42ACB">
        <w:rPr>
          <w:rFonts w:asciiTheme="minorHAnsi" w:hAnsiTheme="minorHAnsi"/>
        </w:rPr>
        <w:t>by the</w:t>
      </w:r>
      <w:r w:rsidR="007C1841">
        <w:rPr>
          <w:rFonts w:asciiTheme="minorHAnsi" w:hAnsiTheme="minorHAnsi"/>
        </w:rPr>
        <w:t xml:space="preserve"> Mutual Recognition </w:t>
      </w:r>
      <w:r w:rsidR="00E42ACB">
        <w:rPr>
          <w:rFonts w:asciiTheme="minorHAnsi" w:hAnsiTheme="minorHAnsi"/>
        </w:rPr>
        <w:t>procedure in Europe in 2006</w:t>
      </w:r>
      <w:r w:rsidR="002B208A">
        <w:rPr>
          <w:rFonts w:asciiTheme="minorHAnsi" w:hAnsiTheme="minorHAnsi"/>
        </w:rPr>
        <w:t xml:space="preserve"> for use in asthma</w:t>
      </w:r>
      <w:r w:rsidR="00E42ACB">
        <w:rPr>
          <w:rFonts w:asciiTheme="minorHAnsi" w:hAnsiTheme="minorHAnsi"/>
        </w:rPr>
        <w:t>. There have been two variations to the registration in Europe, one to include use of a spacer</w:t>
      </w:r>
      <w:r w:rsidR="002B208A">
        <w:rPr>
          <w:rFonts w:asciiTheme="minorHAnsi" w:hAnsiTheme="minorHAnsi"/>
        </w:rPr>
        <w:t xml:space="preserve"> and the other for use in COPD. At the time the submission </w:t>
      </w:r>
      <w:r w:rsidR="00DC3988">
        <w:rPr>
          <w:rFonts w:asciiTheme="minorHAnsi" w:hAnsiTheme="minorHAnsi"/>
        </w:rPr>
        <w:t xml:space="preserve">discussed in this AusPAR </w:t>
      </w:r>
      <w:r w:rsidR="002B208A">
        <w:rPr>
          <w:rFonts w:asciiTheme="minorHAnsi" w:hAnsiTheme="minorHAnsi"/>
        </w:rPr>
        <w:t xml:space="preserve">was under consideration, the </w:t>
      </w:r>
      <w:r w:rsidR="00DC3988">
        <w:rPr>
          <w:rFonts w:asciiTheme="minorHAnsi" w:hAnsiTheme="minorHAnsi"/>
        </w:rPr>
        <w:t xml:space="preserve">European </w:t>
      </w:r>
      <w:r w:rsidR="00A9453E">
        <w:rPr>
          <w:rFonts w:asciiTheme="minorHAnsi" w:hAnsiTheme="minorHAnsi"/>
        </w:rPr>
        <w:t xml:space="preserve">(European Union; EU) </w:t>
      </w:r>
      <w:r w:rsidR="002B208A">
        <w:rPr>
          <w:rFonts w:asciiTheme="minorHAnsi" w:hAnsiTheme="minorHAnsi"/>
        </w:rPr>
        <w:t>indications were:</w:t>
      </w:r>
    </w:p>
    <w:p w14:paraId="4991E097" w14:textId="77777777" w:rsidR="002B208A" w:rsidRPr="002B208A" w:rsidRDefault="002B208A" w:rsidP="002B208A">
      <w:pPr>
        <w:ind w:left="720"/>
        <w:rPr>
          <w:rFonts w:asciiTheme="minorHAnsi" w:hAnsiTheme="minorHAnsi"/>
          <w:i/>
        </w:rPr>
      </w:pPr>
      <w:r w:rsidRPr="002B208A">
        <w:rPr>
          <w:rFonts w:asciiTheme="minorHAnsi" w:hAnsiTheme="minorHAnsi"/>
          <w:i/>
        </w:rPr>
        <w:t>Asthma</w:t>
      </w:r>
    </w:p>
    <w:p w14:paraId="7C61EDCC" w14:textId="77777777" w:rsidR="002B208A" w:rsidRPr="002B208A" w:rsidRDefault="002B208A" w:rsidP="002B208A">
      <w:pPr>
        <w:ind w:left="720"/>
        <w:rPr>
          <w:rFonts w:asciiTheme="minorHAnsi" w:hAnsiTheme="minorHAnsi"/>
          <w:i/>
        </w:rPr>
      </w:pPr>
      <w:r w:rsidRPr="002B208A">
        <w:rPr>
          <w:rFonts w:asciiTheme="minorHAnsi" w:hAnsiTheme="minorHAnsi"/>
          <w:i/>
        </w:rPr>
        <w:t>Regular treatment of asthma where use of a combination product (inhaled corticosteroid and long-acting beta2-agonist) is appropriate:</w:t>
      </w:r>
    </w:p>
    <w:p w14:paraId="53ECAF5B" w14:textId="77777777" w:rsidR="002B208A" w:rsidRPr="002B208A" w:rsidRDefault="002B208A" w:rsidP="002B208A">
      <w:pPr>
        <w:pStyle w:val="ListBullet"/>
        <w:ind w:left="1080"/>
        <w:rPr>
          <w:i/>
        </w:rPr>
      </w:pPr>
      <w:r w:rsidRPr="002B208A">
        <w:rPr>
          <w:i/>
        </w:rPr>
        <w:t>patients not adequately controlled with inhaled corticosteroids and 'as needed' inhaled short-acting beta2-agonist or</w:t>
      </w:r>
    </w:p>
    <w:p w14:paraId="3A1026D4" w14:textId="77777777" w:rsidR="002B208A" w:rsidRPr="002B208A" w:rsidRDefault="002B208A" w:rsidP="002B208A">
      <w:pPr>
        <w:pStyle w:val="ListBullet"/>
        <w:ind w:left="1080"/>
        <w:rPr>
          <w:i/>
        </w:rPr>
      </w:pPr>
      <w:r w:rsidRPr="002B208A">
        <w:rPr>
          <w:i/>
        </w:rPr>
        <w:t>patients already adequately controlled on both inhaled corticosteroids and long-acting beta2-agonists.</w:t>
      </w:r>
    </w:p>
    <w:p w14:paraId="18AE54A8" w14:textId="77777777" w:rsidR="002B208A" w:rsidRPr="002B208A" w:rsidRDefault="002B208A" w:rsidP="002B208A">
      <w:pPr>
        <w:ind w:left="720"/>
        <w:rPr>
          <w:rFonts w:asciiTheme="minorHAnsi" w:hAnsiTheme="minorHAnsi"/>
          <w:i/>
        </w:rPr>
      </w:pPr>
      <w:r w:rsidRPr="002B208A">
        <w:rPr>
          <w:rFonts w:asciiTheme="minorHAnsi" w:hAnsiTheme="minorHAnsi"/>
          <w:i/>
        </w:rPr>
        <w:t>COPD</w:t>
      </w:r>
    </w:p>
    <w:p w14:paraId="72F26900" w14:textId="77777777" w:rsidR="002B208A" w:rsidRPr="002B208A" w:rsidRDefault="002B208A" w:rsidP="002B208A">
      <w:pPr>
        <w:ind w:left="720"/>
        <w:rPr>
          <w:rFonts w:asciiTheme="minorHAnsi" w:hAnsiTheme="minorHAnsi"/>
          <w:i/>
        </w:rPr>
      </w:pPr>
      <w:r w:rsidRPr="002B208A">
        <w:rPr>
          <w:rFonts w:asciiTheme="minorHAnsi" w:hAnsiTheme="minorHAnsi"/>
          <w:i/>
        </w:rPr>
        <w:t>Symptomatic treatment of patients with severe COPD (FEV</w:t>
      </w:r>
      <w:r w:rsidRPr="002B208A">
        <w:rPr>
          <w:rFonts w:asciiTheme="minorHAnsi" w:hAnsiTheme="minorHAnsi"/>
          <w:i/>
          <w:vertAlign w:val="subscript"/>
        </w:rPr>
        <w:t>1</w:t>
      </w:r>
      <w:r w:rsidRPr="002B208A">
        <w:rPr>
          <w:rFonts w:asciiTheme="minorHAnsi" w:hAnsiTheme="minorHAnsi"/>
          <w:i/>
        </w:rPr>
        <w:t xml:space="preserve"> &lt; 50% predicted normal) and a history of repeated exacerbations, who have significant symptoms despite regular therapy with long-acting bronchodilators.</w:t>
      </w:r>
    </w:p>
    <w:p w14:paraId="58B31923" w14:textId="77777777" w:rsidR="00940A89" w:rsidRPr="002B208A" w:rsidRDefault="00E42ACB" w:rsidP="00940A89">
      <w:pPr>
        <w:rPr>
          <w:rFonts w:asciiTheme="minorHAnsi" w:hAnsiTheme="minorHAnsi"/>
        </w:rPr>
      </w:pPr>
      <w:r>
        <w:rPr>
          <w:rFonts w:asciiTheme="minorHAnsi" w:hAnsiTheme="minorHAnsi"/>
        </w:rPr>
        <w:t>The same data package to support registration in Europe is used to support the current application</w:t>
      </w:r>
      <w:r w:rsidR="00940A89">
        <w:t>.</w:t>
      </w:r>
    </w:p>
    <w:p w14:paraId="69D84288" w14:textId="77777777" w:rsidR="00E42ACB" w:rsidRDefault="007C699E" w:rsidP="00940A89">
      <w:r>
        <w:t>At the time the submission was under consideration</w:t>
      </w:r>
      <w:r w:rsidR="00E42ACB">
        <w:t>, 100</w:t>
      </w:r>
      <w:r w:rsidR="005B06B9">
        <w:t xml:space="preserve"> </w:t>
      </w:r>
      <w:r w:rsidR="00E42ACB">
        <w:t xml:space="preserve">µg </w:t>
      </w:r>
      <w:proofErr w:type="spellStart"/>
      <w:r w:rsidR="00E42ACB">
        <w:t>beclometasone</w:t>
      </w:r>
      <w:proofErr w:type="spellEnd"/>
      <w:r w:rsidR="00E42ACB">
        <w:t xml:space="preserve"> dipropionate/6</w:t>
      </w:r>
      <w:r w:rsidR="005B06B9">
        <w:t xml:space="preserve"> </w:t>
      </w:r>
      <w:r w:rsidR="00E42ACB">
        <w:t xml:space="preserve">µg </w:t>
      </w:r>
      <w:proofErr w:type="spellStart"/>
      <w:r w:rsidR="00E42ACB" w:rsidRPr="00E42ACB">
        <w:t>formoterol</w:t>
      </w:r>
      <w:proofErr w:type="spellEnd"/>
      <w:r w:rsidR="00E42ACB" w:rsidRPr="00E42ACB">
        <w:t xml:space="preserve"> fumarate </w:t>
      </w:r>
      <w:r w:rsidR="00AF0951">
        <w:t>di</w:t>
      </w:r>
      <w:r w:rsidR="00E42ACB">
        <w:t xml:space="preserve">hydrate pressurised inhalation solution had been approved for use in asthma in </w:t>
      </w:r>
      <w:r w:rsidR="00AF0951">
        <w:t>close to</w:t>
      </w:r>
      <w:r w:rsidR="00E42ACB">
        <w:t xml:space="preserve"> 80 countries worldwide, and for COPD in </w:t>
      </w:r>
      <w:r w:rsidR="00AF0951">
        <w:t>almost</w:t>
      </w:r>
      <w:r w:rsidR="00E42ACB">
        <w:t xml:space="preserve"> 60 of these countries.</w:t>
      </w:r>
    </w:p>
    <w:p w14:paraId="287D4E0C" w14:textId="77777777" w:rsidR="008E7846" w:rsidRDefault="008E7846" w:rsidP="00940A89">
      <w:pPr>
        <w:pStyle w:val="Heading3"/>
      </w:pPr>
      <w:bookmarkStart w:id="21" w:name="_Toc47353827"/>
      <w:r>
        <w:t>Product Information</w:t>
      </w:r>
      <w:bookmarkEnd w:id="19"/>
      <w:bookmarkEnd w:id="20"/>
      <w:bookmarkEnd w:id="21"/>
    </w:p>
    <w:p w14:paraId="6A27F8C0" w14:textId="05B72DFF"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1A7EC827" w14:textId="77777777" w:rsidR="00500337" w:rsidRDefault="00426CBA" w:rsidP="00A74331">
      <w:pPr>
        <w:pStyle w:val="Heading2"/>
        <w:pageBreakBefore/>
      </w:pPr>
      <w:bookmarkStart w:id="24" w:name="_Toc504480011"/>
      <w:bookmarkStart w:id="25" w:name="_Toc47353828"/>
      <w:r>
        <w:lastRenderedPageBreak/>
        <w:t>II. Registration time</w:t>
      </w:r>
      <w:r w:rsidR="00500337">
        <w:t>line</w:t>
      </w:r>
      <w:bookmarkEnd w:id="24"/>
      <w:bookmarkEnd w:id="25"/>
    </w:p>
    <w:p w14:paraId="0CD130F3" w14:textId="77777777" w:rsidR="00500337" w:rsidRDefault="00500337" w:rsidP="00500337">
      <w:r>
        <w:t>The following table captures the key steps and dates for this application and which are detailed and discussed in this AusPAR.</w:t>
      </w:r>
    </w:p>
    <w:p w14:paraId="504F9745" w14:textId="37936F18" w:rsidR="00500337" w:rsidRPr="00377BD4" w:rsidRDefault="007D7616" w:rsidP="007D7616">
      <w:pPr>
        <w:pStyle w:val="TableTitle"/>
      </w:pPr>
      <w:r>
        <w:t xml:space="preserve">Table </w:t>
      </w:r>
      <w:r w:rsidR="00E81985">
        <w:rPr>
          <w:noProof/>
        </w:rPr>
        <w:fldChar w:fldCharType="begin"/>
      </w:r>
      <w:r w:rsidR="00E81985">
        <w:rPr>
          <w:noProof/>
        </w:rPr>
        <w:instrText xml:space="preserve"> SEQ Table \* ARABIC </w:instrText>
      </w:r>
      <w:r w:rsidR="00E81985">
        <w:rPr>
          <w:noProof/>
        </w:rPr>
        <w:fldChar w:fldCharType="separate"/>
      </w:r>
      <w:r w:rsidR="00352776">
        <w:rPr>
          <w:noProof/>
        </w:rPr>
        <w:t>1</w:t>
      </w:r>
      <w:r w:rsidR="00E81985">
        <w:rPr>
          <w:noProof/>
        </w:rPr>
        <w:fldChar w:fldCharType="end"/>
      </w:r>
      <w:r>
        <w:t xml:space="preserve">: </w:t>
      </w:r>
      <w:r w:rsidR="006A58A8" w:rsidRPr="006A58A8">
        <w:t>Timeline f</w:t>
      </w:r>
      <w:r w:rsidR="005E66D6">
        <w:t xml:space="preserve">or Submission </w:t>
      </w:r>
      <w:r w:rsidR="005E66D6" w:rsidRPr="004851FE">
        <w:t>PM-2018-03998-1-5</w:t>
      </w:r>
    </w:p>
    <w:tbl>
      <w:tblPr>
        <w:tblStyle w:val="TableTGAblue"/>
        <w:tblW w:w="0" w:type="auto"/>
        <w:tblLook w:val="04A0" w:firstRow="1" w:lastRow="0" w:firstColumn="1" w:lastColumn="0" w:noHBand="0" w:noVBand="1"/>
      </w:tblPr>
      <w:tblGrid>
        <w:gridCol w:w="4250"/>
        <w:gridCol w:w="4234"/>
      </w:tblGrid>
      <w:tr w:rsidR="00500337" w14:paraId="13689220"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186B065D" w14:textId="77777777" w:rsidR="00500337" w:rsidRDefault="00500337" w:rsidP="00500337">
            <w:pPr>
              <w:ind w:left="0" w:right="0"/>
            </w:pPr>
            <w:r>
              <w:t>Description</w:t>
            </w:r>
          </w:p>
        </w:tc>
        <w:tc>
          <w:tcPr>
            <w:tcW w:w="4360" w:type="dxa"/>
          </w:tcPr>
          <w:p w14:paraId="5CDFDE86" w14:textId="77777777" w:rsidR="00500337" w:rsidRDefault="00500337" w:rsidP="00500337">
            <w:pPr>
              <w:ind w:left="0" w:right="0"/>
            </w:pPr>
            <w:r>
              <w:t>Date</w:t>
            </w:r>
          </w:p>
        </w:tc>
      </w:tr>
      <w:tr w:rsidR="00500337" w14:paraId="275503B6" w14:textId="77777777" w:rsidTr="00500337">
        <w:tc>
          <w:tcPr>
            <w:tcW w:w="4360" w:type="dxa"/>
          </w:tcPr>
          <w:p w14:paraId="2DBA8821" w14:textId="77777777" w:rsidR="00500337" w:rsidRDefault="00500337" w:rsidP="00500337">
            <w:pPr>
              <w:ind w:left="0" w:right="0"/>
            </w:pPr>
            <w:r>
              <w:t>Submission dossier accepted and first round evaluation commenced</w:t>
            </w:r>
          </w:p>
        </w:tc>
        <w:tc>
          <w:tcPr>
            <w:tcW w:w="4360" w:type="dxa"/>
          </w:tcPr>
          <w:p w14:paraId="68051DCC" w14:textId="77777777" w:rsidR="00500337" w:rsidRDefault="00426CBA" w:rsidP="00500337">
            <w:pPr>
              <w:ind w:left="0" w:right="0"/>
            </w:pPr>
            <w:r>
              <w:t>31 October 2018</w:t>
            </w:r>
          </w:p>
        </w:tc>
      </w:tr>
      <w:tr w:rsidR="00500337" w14:paraId="4C36944A" w14:textId="77777777" w:rsidTr="00500337">
        <w:tc>
          <w:tcPr>
            <w:tcW w:w="4360" w:type="dxa"/>
          </w:tcPr>
          <w:p w14:paraId="037C267A" w14:textId="77777777" w:rsidR="00500337" w:rsidRDefault="00500337" w:rsidP="00500337">
            <w:pPr>
              <w:ind w:left="0" w:right="0"/>
            </w:pPr>
            <w:r>
              <w:t>First round evaluation completed</w:t>
            </w:r>
          </w:p>
        </w:tc>
        <w:tc>
          <w:tcPr>
            <w:tcW w:w="4360" w:type="dxa"/>
          </w:tcPr>
          <w:p w14:paraId="4CDCC321" w14:textId="77777777" w:rsidR="00500337" w:rsidRDefault="00426CBA" w:rsidP="00500337">
            <w:pPr>
              <w:ind w:left="0" w:right="0"/>
            </w:pPr>
            <w:r>
              <w:t>31 May 2019</w:t>
            </w:r>
          </w:p>
        </w:tc>
      </w:tr>
      <w:tr w:rsidR="00500337" w14:paraId="275B4268" w14:textId="77777777" w:rsidTr="00500337">
        <w:tc>
          <w:tcPr>
            <w:tcW w:w="4360" w:type="dxa"/>
          </w:tcPr>
          <w:p w14:paraId="64E3C9C6" w14:textId="77777777" w:rsidR="00500337" w:rsidRDefault="00500337" w:rsidP="00500337">
            <w:pPr>
              <w:ind w:left="0" w:right="0"/>
            </w:pPr>
            <w:r>
              <w:t>Sponsor provides responses on questions raised in first round evaluation</w:t>
            </w:r>
          </w:p>
        </w:tc>
        <w:tc>
          <w:tcPr>
            <w:tcW w:w="4360" w:type="dxa"/>
          </w:tcPr>
          <w:p w14:paraId="11C0AA8B" w14:textId="77777777" w:rsidR="00500337" w:rsidRDefault="00426CBA" w:rsidP="00500337">
            <w:pPr>
              <w:ind w:left="0" w:right="0"/>
            </w:pPr>
            <w:r>
              <w:t>31 October 2019</w:t>
            </w:r>
          </w:p>
        </w:tc>
      </w:tr>
      <w:tr w:rsidR="00500337" w14:paraId="43DF90FC" w14:textId="77777777" w:rsidTr="00500337">
        <w:tc>
          <w:tcPr>
            <w:tcW w:w="4360" w:type="dxa"/>
          </w:tcPr>
          <w:p w14:paraId="730F5430" w14:textId="77777777" w:rsidR="00500337" w:rsidRDefault="00500337" w:rsidP="00500337">
            <w:pPr>
              <w:ind w:left="0" w:right="0"/>
            </w:pPr>
            <w:r>
              <w:t>Second round evaluation completed</w:t>
            </w:r>
          </w:p>
        </w:tc>
        <w:tc>
          <w:tcPr>
            <w:tcW w:w="4360" w:type="dxa"/>
          </w:tcPr>
          <w:p w14:paraId="2E1DAF6C" w14:textId="77777777" w:rsidR="00500337" w:rsidRDefault="00426CBA" w:rsidP="00500337">
            <w:pPr>
              <w:ind w:left="0" w:right="0"/>
            </w:pPr>
            <w:r>
              <w:t>25 November 2019</w:t>
            </w:r>
          </w:p>
        </w:tc>
      </w:tr>
      <w:tr w:rsidR="00500337" w14:paraId="7B04C209" w14:textId="77777777" w:rsidTr="00500337">
        <w:tc>
          <w:tcPr>
            <w:tcW w:w="4360" w:type="dxa"/>
          </w:tcPr>
          <w:p w14:paraId="72C9E9B6" w14:textId="77777777" w:rsidR="00500337" w:rsidRDefault="00500337" w:rsidP="005E66D6">
            <w:pPr>
              <w:ind w:left="0" w:right="0"/>
            </w:pPr>
            <w:r>
              <w:t xml:space="preserve">Delegate’s </w:t>
            </w:r>
            <w:r w:rsidR="005E66D6">
              <w:t>Overall benefit-risk assessment</w:t>
            </w:r>
          </w:p>
        </w:tc>
        <w:tc>
          <w:tcPr>
            <w:tcW w:w="4360" w:type="dxa"/>
          </w:tcPr>
          <w:p w14:paraId="4717E6F9" w14:textId="77777777" w:rsidR="00500337" w:rsidRDefault="00426CBA" w:rsidP="00500337">
            <w:pPr>
              <w:ind w:left="0" w:right="0"/>
            </w:pPr>
            <w:r>
              <w:t>20 December 201</w:t>
            </w:r>
            <w:r w:rsidR="005E66D6">
              <w:t>9</w:t>
            </w:r>
          </w:p>
        </w:tc>
      </w:tr>
      <w:tr w:rsidR="00500337" w14:paraId="10A4EF73" w14:textId="77777777" w:rsidTr="00500337">
        <w:tc>
          <w:tcPr>
            <w:tcW w:w="4360" w:type="dxa"/>
          </w:tcPr>
          <w:p w14:paraId="0094BC79" w14:textId="77777777" w:rsidR="00500337" w:rsidRDefault="00500337" w:rsidP="00500337">
            <w:pPr>
              <w:ind w:left="0" w:right="0"/>
            </w:pPr>
            <w:r>
              <w:t>Sponsor’s pre-Advisory Committee response</w:t>
            </w:r>
          </w:p>
        </w:tc>
        <w:tc>
          <w:tcPr>
            <w:tcW w:w="4360" w:type="dxa"/>
          </w:tcPr>
          <w:p w14:paraId="650F2254" w14:textId="77777777" w:rsidR="00500337" w:rsidRDefault="005E66D6" w:rsidP="00500337">
            <w:pPr>
              <w:ind w:left="0" w:right="0"/>
            </w:pPr>
            <w:r>
              <w:t>Not applicable</w:t>
            </w:r>
          </w:p>
        </w:tc>
      </w:tr>
      <w:tr w:rsidR="00500337" w14:paraId="3D21A505" w14:textId="77777777" w:rsidTr="00500337">
        <w:tc>
          <w:tcPr>
            <w:tcW w:w="4360" w:type="dxa"/>
          </w:tcPr>
          <w:p w14:paraId="2282C22E" w14:textId="77777777" w:rsidR="00500337" w:rsidRDefault="00500337" w:rsidP="00500337">
            <w:pPr>
              <w:ind w:left="0" w:right="0"/>
            </w:pPr>
            <w:r>
              <w:t>Advisory Committee meeting</w:t>
            </w:r>
          </w:p>
        </w:tc>
        <w:tc>
          <w:tcPr>
            <w:tcW w:w="4360" w:type="dxa"/>
          </w:tcPr>
          <w:p w14:paraId="0D60296B" w14:textId="77777777" w:rsidR="00500337" w:rsidRDefault="005E66D6" w:rsidP="00500337">
            <w:pPr>
              <w:ind w:left="0" w:right="0"/>
            </w:pPr>
            <w:r>
              <w:t>Not applicable</w:t>
            </w:r>
          </w:p>
        </w:tc>
      </w:tr>
      <w:tr w:rsidR="00500337" w14:paraId="17D94447" w14:textId="77777777" w:rsidTr="00500337">
        <w:tc>
          <w:tcPr>
            <w:tcW w:w="4360" w:type="dxa"/>
          </w:tcPr>
          <w:p w14:paraId="4EC47EAB" w14:textId="77777777" w:rsidR="00500337" w:rsidRDefault="00500337" w:rsidP="00500337">
            <w:pPr>
              <w:ind w:left="0" w:right="0"/>
            </w:pPr>
            <w:r>
              <w:t>Registration decision (Outcome)</w:t>
            </w:r>
          </w:p>
        </w:tc>
        <w:tc>
          <w:tcPr>
            <w:tcW w:w="4360" w:type="dxa"/>
          </w:tcPr>
          <w:p w14:paraId="633C3565" w14:textId="77777777" w:rsidR="00500337" w:rsidRDefault="00426CBA" w:rsidP="00500337">
            <w:pPr>
              <w:ind w:left="0" w:right="0"/>
            </w:pPr>
            <w:r>
              <w:t>20 January 2020</w:t>
            </w:r>
          </w:p>
        </w:tc>
      </w:tr>
      <w:tr w:rsidR="00500337" w14:paraId="4569E181" w14:textId="77777777" w:rsidTr="00500337">
        <w:tc>
          <w:tcPr>
            <w:tcW w:w="4360" w:type="dxa"/>
          </w:tcPr>
          <w:p w14:paraId="051D1071" w14:textId="77777777" w:rsidR="00500337" w:rsidRDefault="00500337" w:rsidP="00500337">
            <w:pPr>
              <w:ind w:left="0" w:right="0"/>
            </w:pPr>
            <w:r>
              <w:t>Completion of administrative activities and registration on ARTG</w:t>
            </w:r>
          </w:p>
        </w:tc>
        <w:tc>
          <w:tcPr>
            <w:tcW w:w="4360" w:type="dxa"/>
          </w:tcPr>
          <w:p w14:paraId="470C7ED1" w14:textId="77777777" w:rsidR="00500337" w:rsidRDefault="00426CBA" w:rsidP="00500337">
            <w:pPr>
              <w:ind w:left="0" w:right="0"/>
            </w:pPr>
            <w:r>
              <w:t>12 February 2020</w:t>
            </w:r>
          </w:p>
        </w:tc>
      </w:tr>
      <w:tr w:rsidR="00500337" w14:paraId="1EFC186E" w14:textId="77777777" w:rsidTr="00500337">
        <w:tc>
          <w:tcPr>
            <w:tcW w:w="4360" w:type="dxa"/>
          </w:tcPr>
          <w:p w14:paraId="09FCF9F1" w14:textId="77777777" w:rsidR="00500337" w:rsidRDefault="00500337" w:rsidP="00500337">
            <w:pPr>
              <w:ind w:left="0" w:right="0"/>
            </w:pPr>
            <w:r>
              <w:t>Number of working days from submission dossier acceptance to registration decision*</w:t>
            </w:r>
          </w:p>
        </w:tc>
        <w:tc>
          <w:tcPr>
            <w:tcW w:w="4360" w:type="dxa"/>
          </w:tcPr>
          <w:p w14:paraId="490D517E" w14:textId="77777777" w:rsidR="00500337" w:rsidRDefault="00426CBA" w:rsidP="00500337">
            <w:pPr>
              <w:ind w:left="0" w:right="0"/>
            </w:pPr>
            <w:r>
              <w:t>194</w:t>
            </w:r>
          </w:p>
        </w:tc>
      </w:tr>
    </w:tbl>
    <w:p w14:paraId="4841FCA4" w14:textId="77777777" w:rsidR="00500337" w:rsidRDefault="00500337" w:rsidP="003A33E1">
      <w:pPr>
        <w:pStyle w:val="TableDescription"/>
      </w:pPr>
      <w:r>
        <w:t>*</w:t>
      </w:r>
      <w:r w:rsidR="00BF3774" w:rsidRPr="00BF3774">
        <w:t xml:space="preserve">Statutory </w:t>
      </w:r>
      <w:r>
        <w:t>timeframe for standard applications is 2</w:t>
      </w:r>
      <w:r w:rsidR="00BF3774">
        <w:t>55</w:t>
      </w:r>
      <w:r>
        <w:t xml:space="preserve"> working days</w:t>
      </w:r>
    </w:p>
    <w:p w14:paraId="268600C3" w14:textId="77777777" w:rsidR="008E7846" w:rsidRPr="00792A32" w:rsidRDefault="00456765" w:rsidP="008E7846">
      <w:pPr>
        <w:pStyle w:val="Heading2"/>
      </w:pPr>
      <w:bookmarkStart w:id="26" w:name="_Toc196046504"/>
      <w:bookmarkStart w:id="27" w:name="_Toc247691527"/>
      <w:bookmarkStart w:id="28" w:name="_Toc314842510"/>
      <w:bookmarkStart w:id="29" w:name="_Toc163441390"/>
      <w:bookmarkStart w:id="30" w:name="_Toc47353829"/>
      <w:bookmarkEnd w:id="1"/>
      <w:bookmarkEnd w:id="22"/>
      <w:bookmarkEnd w:id="23"/>
      <w:r>
        <w:t>I</w:t>
      </w:r>
      <w:r w:rsidR="00DA64CB">
        <w:t>I</w:t>
      </w:r>
      <w:r w:rsidR="008E7846">
        <w:t xml:space="preserve">I. </w:t>
      </w:r>
      <w:r w:rsidR="005E66D6">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6"/>
      <w:bookmarkEnd w:id="27"/>
      <w:bookmarkEnd w:id="28"/>
      <w:bookmarkEnd w:id="30"/>
    </w:p>
    <w:p w14:paraId="7DD802DE" w14:textId="77777777" w:rsidR="008E7846" w:rsidRDefault="008E7846" w:rsidP="008E7846">
      <w:bookmarkStart w:id="31" w:name="_Toc247691528"/>
      <w:r>
        <w:t xml:space="preserve">The submission was summarised in the following </w:t>
      </w:r>
      <w:r w:rsidRPr="00EF5C48">
        <w:t xml:space="preserve">Delegate’s </w:t>
      </w:r>
      <w:r>
        <w:t>overview</w:t>
      </w:r>
      <w:r w:rsidRPr="00EF5C48">
        <w:t xml:space="preserve"> and recommendation</w:t>
      </w:r>
      <w:r w:rsidR="005E66D6">
        <w:t>s.</w:t>
      </w:r>
    </w:p>
    <w:p w14:paraId="62F2EA2B" w14:textId="77777777" w:rsidR="00426CBA" w:rsidRDefault="008E7846" w:rsidP="007C699E">
      <w:pPr>
        <w:pStyle w:val="Heading3"/>
      </w:pPr>
      <w:bookmarkStart w:id="32" w:name="_Toc314842511"/>
      <w:bookmarkStart w:id="33" w:name="_Toc47353830"/>
      <w:r w:rsidRPr="00CB5B2F">
        <w:t>Quality</w:t>
      </w:r>
      <w:bookmarkEnd w:id="31"/>
      <w:bookmarkEnd w:id="32"/>
      <w:bookmarkEnd w:id="33"/>
    </w:p>
    <w:p w14:paraId="1C0E66A3" w14:textId="77777777" w:rsidR="007C699E" w:rsidRDefault="007C699E" w:rsidP="007C699E">
      <w:r>
        <w:t xml:space="preserve">The structures of </w:t>
      </w:r>
      <w:proofErr w:type="spellStart"/>
      <w:r w:rsidR="007D7616">
        <w:t>b</w:t>
      </w:r>
      <w:r w:rsidRPr="007C699E">
        <w:t>eclometasone</w:t>
      </w:r>
      <w:proofErr w:type="spellEnd"/>
      <w:r w:rsidRPr="007C699E">
        <w:t xml:space="preserve"> dipropionate</w:t>
      </w:r>
      <w:r>
        <w:t xml:space="preserve"> and </w:t>
      </w:r>
      <w:proofErr w:type="spellStart"/>
      <w:r w:rsidR="007D7616">
        <w:t>f</w:t>
      </w:r>
      <w:r w:rsidRPr="007C699E">
        <w:t>ormoterol</w:t>
      </w:r>
      <w:proofErr w:type="spellEnd"/>
      <w:r w:rsidRPr="007C699E">
        <w:t xml:space="preserve"> (</w:t>
      </w:r>
      <w:proofErr w:type="spellStart"/>
      <w:r w:rsidRPr="007C699E">
        <w:t>eformoterol</w:t>
      </w:r>
      <w:proofErr w:type="spellEnd"/>
      <w:r w:rsidRPr="007C699E">
        <w:t>) fumarate dihydrate</w:t>
      </w:r>
      <w:r w:rsidR="00436476">
        <w:t xml:space="preserve"> are shown below</w:t>
      </w:r>
    </w:p>
    <w:p w14:paraId="6F844E15" w14:textId="784CC1CB" w:rsidR="007C699E" w:rsidRDefault="007D7616" w:rsidP="007D7616">
      <w:pPr>
        <w:pStyle w:val="FigureTitle"/>
      </w:pPr>
      <w:r>
        <w:lastRenderedPageBreak/>
        <w:t xml:space="preserve">Figure </w:t>
      </w:r>
      <w:r w:rsidR="00E81985">
        <w:rPr>
          <w:noProof/>
        </w:rPr>
        <w:fldChar w:fldCharType="begin"/>
      </w:r>
      <w:r w:rsidR="00E81985">
        <w:rPr>
          <w:noProof/>
        </w:rPr>
        <w:instrText xml:space="preserve"> SEQ Figure \* ARABIC </w:instrText>
      </w:r>
      <w:r w:rsidR="00E81985">
        <w:rPr>
          <w:noProof/>
        </w:rPr>
        <w:fldChar w:fldCharType="separate"/>
      </w:r>
      <w:r w:rsidR="00352776">
        <w:rPr>
          <w:noProof/>
        </w:rPr>
        <w:t>1</w:t>
      </w:r>
      <w:r w:rsidR="00E81985">
        <w:rPr>
          <w:noProof/>
        </w:rPr>
        <w:fldChar w:fldCharType="end"/>
      </w:r>
      <w:r>
        <w:t xml:space="preserve">: Structure of </w:t>
      </w:r>
      <w:proofErr w:type="spellStart"/>
      <w:r>
        <w:t>b</w:t>
      </w:r>
      <w:r w:rsidR="007C699E" w:rsidRPr="007C699E">
        <w:t>eclometasone</w:t>
      </w:r>
      <w:proofErr w:type="spellEnd"/>
      <w:r w:rsidR="007C699E" w:rsidRPr="007C699E">
        <w:t xml:space="preserve"> dipropionate</w:t>
      </w:r>
    </w:p>
    <w:p w14:paraId="4364331C" w14:textId="2D0F8BF1" w:rsidR="00437782" w:rsidRDefault="007C699E" w:rsidP="007C699E">
      <w:r w:rsidRPr="007C699E">
        <w:rPr>
          <w:noProof/>
          <w:lang w:eastAsia="en-AU"/>
        </w:rPr>
        <w:drawing>
          <wp:inline distT="0" distB="0" distL="0" distR="0" wp14:anchorId="1144101D" wp14:editId="7B2AD38A">
            <wp:extent cx="2552700" cy="1485900"/>
            <wp:effectExtent l="0" t="0" r="0" b="0"/>
            <wp:docPr id="1" name="Picture 1" descr="Structure of beclometasone dipropiona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to View Imag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2700" cy="1485900"/>
                    </a:xfrm>
                    <a:prstGeom prst="rect">
                      <a:avLst/>
                    </a:prstGeom>
                    <a:noFill/>
                    <a:ln>
                      <a:noFill/>
                    </a:ln>
                  </pic:spPr>
                </pic:pic>
              </a:graphicData>
            </a:graphic>
          </wp:inline>
        </w:drawing>
      </w:r>
    </w:p>
    <w:p w14:paraId="760991E2" w14:textId="2A94EFEA" w:rsidR="007C699E" w:rsidRDefault="007D7616" w:rsidP="007D7616">
      <w:pPr>
        <w:pStyle w:val="FigureTitle"/>
      </w:pPr>
      <w:r>
        <w:t xml:space="preserve">Figure </w:t>
      </w:r>
      <w:r w:rsidR="00E81985">
        <w:rPr>
          <w:noProof/>
        </w:rPr>
        <w:fldChar w:fldCharType="begin"/>
      </w:r>
      <w:r w:rsidR="00E81985">
        <w:rPr>
          <w:noProof/>
        </w:rPr>
        <w:instrText xml:space="preserve"> SEQ Figure \* ARABIC </w:instrText>
      </w:r>
      <w:r w:rsidR="00E81985">
        <w:rPr>
          <w:noProof/>
        </w:rPr>
        <w:fldChar w:fldCharType="separate"/>
      </w:r>
      <w:r w:rsidR="00352776">
        <w:rPr>
          <w:noProof/>
        </w:rPr>
        <w:t>2</w:t>
      </w:r>
      <w:r w:rsidR="00E81985">
        <w:rPr>
          <w:noProof/>
        </w:rPr>
        <w:fldChar w:fldCharType="end"/>
      </w:r>
      <w:r>
        <w:t xml:space="preserve">: Structure of </w:t>
      </w:r>
      <w:proofErr w:type="spellStart"/>
      <w:r>
        <w:t>f</w:t>
      </w:r>
      <w:r w:rsidR="007C699E" w:rsidRPr="007C699E">
        <w:t>ormoterol</w:t>
      </w:r>
      <w:proofErr w:type="spellEnd"/>
      <w:r w:rsidR="007C699E" w:rsidRPr="007C699E">
        <w:t xml:space="preserve"> (</w:t>
      </w:r>
      <w:proofErr w:type="spellStart"/>
      <w:r w:rsidR="007C699E" w:rsidRPr="007C699E">
        <w:t>eformoterol</w:t>
      </w:r>
      <w:proofErr w:type="spellEnd"/>
      <w:r w:rsidR="007C699E" w:rsidRPr="007C699E">
        <w:t>) fumarate dihydrate</w:t>
      </w:r>
    </w:p>
    <w:p w14:paraId="682E8DB3" w14:textId="77777777" w:rsidR="007C699E" w:rsidRDefault="007C699E" w:rsidP="007C699E">
      <w:r w:rsidRPr="008D0430">
        <w:rPr>
          <w:noProof/>
          <w:color w:val="333333"/>
          <w:sz w:val="14"/>
          <w:szCs w:val="14"/>
          <w:lang w:eastAsia="en-AU"/>
        </w:rPr>
        <w:drawing>
          <wp:inline distT="0" distB="0" distL="0" distR="0" wp14:anchorId="35025F60" wp14:editId="3711C4A9">
            <wp:extent cx="2466975" cy="2068661"/>
            <wp:effectExtent l="0" t="0" r="0" b="8255"/>
            <wp:docPr id="3" name="Picture 3" descr="Structure of formoterol (eformoterol) fumarate dihyd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83814-3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8267" cy="2078130"/>
                    </a:xfrm>
                    <a:prstGeom prst="rect">
                      <a:avLst/>
                    </a:prstGeom>
                    <a:noFill/>
                    <a:ln>
                      <a:noFill/>
                    </a:ln>
                  </pic:spPr>
                </pic:pic>
              </a:graphicData>
            </a:graphic>
          </wp:inline>
        </w:drawing>
      </w:r>
    </w:p>
    <w:p w14:paraId="5CFEFCF1" w14:textId="77777777" w:rsidR="00426CBA" w:rsidRDefault="00426CBA" w:rsidP="007C699E">
      <w:r>
        <w:t xml:space="preserve">This product is a HFA based </w:t>
      </w:r>
      <w:proofErr w:type="spellStart"/>
      <w:r w:rsidR="00056528">
        <w:t>pMDI</w:t>
      </w:r>
      <w:proofErr w:type="spellEnd"/>
      <w:r>
        <w:t xml:space="preserve">. The use of </w:t>
      </w:r>
      <w:proofErr w:type="spellStart"/>
      <w:r>
        <w:t>hy</w:t>
      </w:r>
      <w:r w:rsidR="007D7616">
        <w:t>droflurocarbon</w:t>
      </w:r>
      <w:proofErr w:type="spellEnd"/>
      <w:r w:rsidR="007D7616">
        <w:t xml:space="preserve"> as a propellant, </w:t>
      </w:r>
      <w:r>
        <w:t xml:space="preserve">rather than </w:t>
      </w:r>
      <w:r w:rsidR="007D7616">
        <w:t>chlorofluorocarbon (</w:t>
      </w:r>
      <w:r>
        <w:t>CFC</w:t>
      </w:r>
      <w:r w:rsidR="007D7616">
        <w:t>),</w:t>
      </w:r>
      <w:r w:rsidR="00056528">
        <w:t xml:space="preserve"> allows the </w:t>
      </w:r>
      <w:proofErr w:type="spellStart"/>
      <w:r w:rsidR="00056528">
        <w:t>b</w:t>
      </w:r>
      <w:r>
        <w:t>eclomethasone</w:t>
      </w:r>
      <w:proofErr w:type="spellEnd"/>
      <w:r>
        <w:t xml:space="preserve"> to be dispersed as a solution with a finer particle size than u</w:t>
      </w:r>
      <w:r w:rsidR="007D7616">
        <w:t>sed when CFC is the propellant.</w:t>
      </w:r>
    </w:p>
    <w:p w14:paraId="3D3A9F7D" w14:textId="77777777" w:rsidR="00426CBA" w:rsidRDefault="00426CBA" w:rsidP="007C699E">
      <w:r>
        <w:t xml:space="preserve">The metered doses for </w:t>
      </w:r>
      <w:proofErr w:type="spellStart"/>
      <w:r>
        <w:t>beclometasone</w:t>
      </w:r>
      <w:proofErr w:type="spellEnd"/>
      <w:r>
        <w:t xml:space="preserve"> dipropionate and </w:t>
      </w:r>
      <w:proofErr w:type="spellStart"/>
      <w:r>
        <w:t>formoterol</w:t>
      </w:r>
      <w:proofErr w:type="spellEnd"/>
      <w:r>
        <w:t xml:space="preserve"> fumarate are 100 µg and 6 µg, respectively, and which correspond to delivered doses of 84.6 µg and 5 µg, respectively.</w:t>
      </w:r>
    </w:p>
    <w:p w14:paraId="0D055482" w14:textId="77777777" w:rsidR="00426CBA" w:rsidRPr="00436476" w:rsidRDefault="00426CBA" w:rsidP="007C699E">
      <w:pPr>
        <w:rPr>
          <w:rFonts w:asciiTheme="minorHAnsi" w:hAnsiTheme="minorHAnsi"/>
          <w:lang w:val="en-US"/>
        </w:rPr>
      </w:pPr>
      <w:r>
        <w:rPr>
          <w:rFonts w:asciiTheme="minorHAnsi" w:hAnsiTheme="minorHAnsi"/>
          <w:lang w:val="en-US"/>
        </w:rPr>
        <w:t>There was a relatively high amount of alcohol in this solution relative to other inhaled medic</w:t>
      </w:r>
      <w:r w:rsidR="00436476">
        <w:rPr>
          <w:rFonts w:asciiTheme="minorHAnsi" w:hAnsiTheme="minorHAnsi"/>
          <w:lang w:val="en-US"/>
        </w:rPr>
        <w:t>ines.</w:t>
      </w:r>
    </w:p>
    <w:p w14:paraId="2087A764" w14:textId="77777777" w:rsidR="00426CBA" w:rsidRPr="00436476" w:rsidRDefault="00436476" w:rsidP="00436476">
      <w:pPr>
        <w:pStyle w:val="Heading4"/>
      </w:pPr>
      <w:r w:rsidRPr="00436476">
        <w:t>Shelf l</w:t>
      </w:r>
      <w:r>
        <w:t>ife</w:t>
      </w:r>
    </w:p>
    <w:p w14:paraId="0F2D6898" w14:textId="7F2FF7C7" w:rsidR="00426CBA" w:rsidRPr="00F64B29" w:rsidRDefault="004C0940" w:rsidP="007C699E">
      <w:pPr>
        <w:rPr>
          <w:rFonts w:asciiTheme="minorHAnsi" w:hAnsiTheme="minorHAnsi" w:cs="Calibri"/>
        </w:rPr>
      </w:pPr>
      <w:r>
        <w:rPr>
          <w:rFonts w:asciiTheme="minorHAnsi" w:hAnsiTheme="minorHAnsi" w:cs="Calibri"/>
        </w:rPr>
        <w:t xml:space="preserve">Seventeen months when stored between 2 to </w:t>
      </w:r>
      <w:r w:rsidR="00426CBA" w:rsidRPr="00F64B29">
        <w:rPr>
          <w:rFonts w:asciiTheme="minorHAnsi" w:hAnsiTheme="minorHAnsi" w:cs="Calibri"/>
        </w:rPr>
        <w:t>8˚C (refrigerate, do not freeze), inc</w:t>
      </w:r>
      <w:r>
        <w:rPr>
          <w:rFonts w:asciiTheme="minorHAnsi" w:hAnsiTheme="minorHAnsi" w:cs="Calibri"/>
        </w:rPr>
        <w:t xml:space="preserve">luding a maximum of 2 months in </w:t>
      </w:r>
      <w:r w:rsidR="00426CBA" w:rsidRPr="00F64B29">
        <w:rPr>
          <w:rFonts w:asciiTheme="minorHAnsi" w:hAnsiTheme="minorHAnsi" w:cs="Calibri"/>
        </w:rPr>
        <w:t>use period when stored below 30°C</w:t>
      </w:r>
      <w:r>
        <w:rPr>
          <w:rFonts w:asciiTheme="minorHAnsi" w:hAnsiTheme="minorHAnsi" w:cs="Calibri"/>
        </w:rPr>
        <w:t xml:space="preserve"> from the date of dispensing, that is</w:t>
      </w:r>
      <w:r w:rsidR="009C4D36">
        <w:rPr>
          <w:rFonts w:asciiTheme="minorHAnsi" w:hAnsiTheme="minorHAnsi" w:cs="Calibri"/>
        </w:rPr>
        <w:t>,</w:t>
      </w:r>
      <w:r w:rsidR="00426CBA" w:rsidRPr="00F64B29">
        <w:rPr>
          <w:rFonts w:asciiTheme="minorHAnsi" w:hAnsiTheme="minorHAnsi" w:cs="Calibri"/>
        </w:rPr>
        <w:t xml:space="preserve"> 15 mont</w:t>
      </w:r>
      <w:r>
        <w:rPr>
          <w:rFonts w:asciiTheme="minorHAnsi" w:hAnsiTheme="minorHAnsi" w:cs="Calibri"/>
        </w:rPr>
        <w:t xml:space="preserve">hs refrigerated and 2 months in </w:t>
      </w:r>
      <w:r w:rsidR="00426CBA" w:rsidRPr="00F64B29">
        <w:rPr>
          <w:rFonts w:asciiTheme="minorHAnsi" w:hAnsiTheme="minorHAnsi" w:cs="Calibri"/>
        </w:rPr>
        <w:t>use.</w:t>
      </w:r>
    </w:p>
    <w:p w14:paraId="5C124AB6" w14:textId="77777777" w:rsidR="00426CBA" w:rsidRDefault="00426CBA" w:rsidP="007C699E">
      <w:pPr>
        <w:rPr>
          <w:rFonts w:asciiTheme="minorHAnsi" w:hAnsiTheme="minorHAnsi"/>
        </w:rPr>
      </w:pPr>
      <w:r>
        <w:rPr>
          <w:rFonts w:asciiTheme="minorHAnsi" w:hAnsiTheme="minorHAnsi"/>
        </w:rPr>
        <w:t>There were no concerns about quality aspects of the individual com</w:t>
      </w:r>
      <w:r w:rsidR="00436476">
        <w:rPr>
          <w:rFonts w:asciiTheme="minorHAnsi" w:hAnsiTheme="minorHAnsi"/>
        </w:rPr>
        <w:t>ponents or of the drug product.</w:t>
      </w:r>
    </w:p>
    <w:p w14:paraId="44C90A80" w14:textId="77777777" w:rsidR="00426CBA" w:rsidRPr="00436476" w:rsidRDefault="00436476" w:rsidP="00436476">
      <w:pPr>
        <w:pStyle w:val="Heading4"/>
      </w:pPr>
      <w:r>
        <w:t>Pharmacokinetic results</w:t>
      </w:r>
    </w:p>
    <w:p w14:paraId="6FA496EE" w14:textId="3A553934" w:rsidR="00426CBA" w:rsidRPr="00436476" w:rsidRDefault="00426CBA" w:rsidP="007C699E">
      <w:pPr>
        <w:rPr>
          <w:rFonts w:asciiTheme="minorHAnsi" w:hAnsiTheme="minorHAnsi"/>
        </w:rPr>
      </w:pPr>
      <w:proofErr w:type="spellStart"/>
      <w:r>
        <w:rPr>
          <w:rFonts w:asciiTheme="minorHAnsi" w:hAnsiTheme="minorHAnsi"/>
        </w:rPr>
        <w:t>Beclomet</w:t>
      </w:r>
      <w:r w:rsidR="004C0940">
        <w:rPr>
          <w:rFonts w:asciiTheme="minorHAnsi" w:hAnsiTheme="minorHAnsi"/>
        </w:rPr>
        <w:t>hasone</w:t>
      </w:r>
      <w:proofErr w:type="spellEnd"/>
      <w:r w:rsidR="004C0940">
        <w:rPr>
          <w:rFonts w:asciiTheme="minorHAnsi" w:hAnsiTheme="minorHAnsi"/>
        </w:rPr>
        <w:t xml:space="preserve"> is rapidly converted to beclomethasone-17-</w:t>
      </w:r>
      <w:r>
        <w:rPr>
          <w:rFonts w:asciiTheme="minorHAnsi" w:hAnsiTheme="minorHAnsi"/>
        </w:rPr>
        <w:t xml:space="preserve">propionate in the lungs and liver. Thus, </w:t>
      </w:r>
      <w:r w:rsidR="00A67AB3">
        <w:rPr>
          <w:rFonts w:asciiTheme="minorHAnsi" w:hAnsiTheme="minorHAnsi"/>
        </w:rPr>
        <w:t>most</w:t>
      </w:r>
      <w:r>
        <w:rPr>
          <w:rFonts w:asciiTheme="minorHAnsi" w:hAnsiTheme="minorHAnsi"/>
        </w:rPr>
        <w:t xml:space="preserve"> bi</w:t>
      </w:r>
      <w:r w:rsidR="004C0940">
        <w:rPr>
          <w:rFonts w:asciiTheme="minorHAnsi" w:hAnsiTheme="minorHAnsi"/>
        </w:rPr>
        <w:t>oequivalence studies have used b</w:t>
      </w:r>
      <w:r>
        <w:rPr>
          <w:rFonts w:asciiTheme="minorHAnsi" w:hAnsiTheme="minorHAnsi"/>
        </w:rPr>
        <w:t xml:space="preserve">eclomethasone-17-propionate as the main </w:t>
      </w:r>
      <w:proofErr w:type="spellStart"/>
      <w:r>
        <w:rPr>
          <w:rFonts w:asciiTheme="minorHAnsi" w:hAnsiTheme="minorHAnsi"/>
        </w:rPr>
        <w:t>analyt</w:t>
      </w:r>
      <w:r w:rsidR="004C0940">
        <w:rPr>
          <w:rFonts w:asciiTheme="minorHAnsi" w:hAnsiTheme="minorHAnsi"/>
        </w:rPr>
        <w:t>e</w:t>
      </w:r>
      <w:proofErr w:type="spellEnd"/>
      <w:r w:rsidR="004C0940">
        <w:rPr>
          <w:rFonts w:asciiTheme="minorHAnsi" w:hAnsiTheme="minorHAnsi"/>
        </w:rPr>
        <w:t xml:space="preserve"> measured.</w:t>
      </w:r>
    </w:p>
    <w:p w14:paraId="183F1EC7" w14:textId="77777777" w:rsidR="00426CBA" w:rsidRPr="007C699E" w:rsidRDefault="005A6897" w:rsidP="00436476">
      <w:pPr>
        <w:pStyle w:val="Heading5"/>
        <w:rPr>
          <w:rFonts w:eastAsiaTheme="minorHAnsi"/>
        </w:rPr>
      </w:pPr>
      <w:r>
        <w:rPr>
          <w:rFonts w:eastAsiaTheme="minorHAnsi"/>
        </w:rPr>
        <w:t>Study CP02</w:t>
      </w:r>
    </w:p>
    <w:p w14:paraId="488C6493" w14:textId="77777777" w:rsidR="00426CBA" w:rsidRPr="009C4D36" w:rsidRDefault="004C0940" w:rsidP="00436476">
      <w:r>
        <w:t xml:space="preserve">In most subjects, </w:t>
      </w:r>
      <w:r w:rsidR="00E81985">
        <w:t xml:space="preserve">unchanged </w:t>
      </w:r>
      <w:proofErr w:type="spellStart"/>
      <w:r>
        <w:t>b</w:t>
      </w:r>
      <w:r w:rsidR="00426CBA" w:rsidRPr="007C699E">
        <w:t>eclomethasone</w:t>
      </w:r>
      <w:proofErr w:type="spellEnd"/>
      <w:r w:rsidR="00426CBA" w:rsidRPr="007C699E">
        <w:t xml:space="preserve"> </w:t>
      </w:r>
      <w:r w:rsidR="00E81985">
        <w:t xml:space="preserve">dipropionate </w:t>
      </w:r>
      <w:r w:rsidR="00426CBA" w:rsidRPr="007C699E">
        <w:t xml:space="preserve">plasma concentrations </w:t>
      </w:r>
      <w:r>
        <w:t>were only quantifiable up to 45 </w:t>
      </w:r>
      <w:r w:rsidR="00426CBA" w:rsidRPr="007C699E">
        <w:t xml:space="preserve">minutes after administration, therefore the terminal half-life and </w:t>
      </w:r>
      <w:r>
        <w:t>area under the plasma concentration time curve</w:t>
      </w:r>
      <w:r w:rsidRPr="007C699E">
        <w:t xml:space="preserve"> </w:t>
      </w:r>
      <w:r>
        <w:t>(</w:t>
      </w:r>
      <w:r w:rsidR="00426CBA" w:rsidRPr="007C699E">
        <w:t>AUC</w:t>
      </w:r>
      <w:r>
        <w:t>)</w:t>
      </w:r>
      <w:r w:rsidR="00426CBA" w:rsidRPr="007C699E">
        <w:t xml:space="preserve"> could not be established. </w:t>
      </w:r>
      <w:r w:rsidR="007C699E">
        <w:t xml:space="preserve">On average, the </w:t>
      </w:r>
      <w:r w:rsidR="00426CBA" w:rsidRPr="007C699E">
        <w:t>concentration at the first post</w:t>
      </w:r>
      <w:r>
        <w:t xml:space="preserve">-dose sampling time and AUC of </w:t>
      </w:r>
      <w:proofErr w:type="spellStart"/>
      <w:r>
        <w:lastRenderedPageBreak/>
        <w:t>b</w:t>
      </w:r>
      <w:r w:rsidR="00426CBA" w:rsidRPr="007C699E">
        <w:t>eclomethasone</w:t>
      </w:r>
      <w:proofErr w:type="spellEnd"/>
      <w:r w:rsidR="00426CBA" w:rsidRPr="007C699E">
        <w:t xml:space="preserve"> were higher after administration with </w:t>
      </w:r>
      <w:proofErr w:type="spellStart"/>
      <w:r w:rsidRPr="007C699E">
        <w:t>Fostair</w:t>
      </w:r>
      <w:proofErr w:type="spellEnd"/>
      <w:r w:rsidR="00426CBA" w:rsidRPr="007C699E">
        <w:t xml:space="preserve"> than with the CFC combination.</w:t>
      </w:r>
      <w:r w:rsidR="007C699E">
        <w:t xml:space="preserve"> This confirmed the better lung </w:t>
      </w:r>
      <w:r w:rsidR="00426CBA" w:rsidRPr="007C699E">
        <w:t>deposition of the extra fine formulatio</w:t>
      </w:r>
      <w:r>
        <w:t xml:space="preserve">n, despite a lower dose of the </w:t>
      </w:r>
      <w:proofErr w:type="spellStart"/>
      <w:r>
        <w:t>beclomethasone</w:t>
      </w:r>
      <w:proofErr w:type="spellEnd"/>
      <w:r>
        <w:t xml:space="preserve"> (</w:t>
      </w:r>
      <w:r w:rsidR="00426CBA" w:rsidRPr="007C699E">
        <w:t>400 μg)</w:t>
      </w:r>
      <w:r w:rsidR="007C699E">
        <w:t xml:space="preserve"> </w:t>
      </w:r>
      <w:r w:rsidR="00426CBA" w:rsidRPr="007C699E">
        <w:t xml:space="preserve">compared to the reference formulation (1000 μg). </w:t>
      </w:r>
      <w:r w:rsidR="007C699E">
        <w:t xml:space="preserve">The </w:t>
      </w:r>
      <w:r>
        <w:t>analysis of variance (</w:t>
      </w:r>
      <w:r w:rsidR="007C699E">
        <w:t>ANOVA</w:t>
      </w:r>
      <w:r>
        <w:t>) model led to a</w:t>
      </w:r>
      <w:r w:rsidR="007C699E">
        <w:t xml:space="preserve"> 151% </w:t>
      </w:r>
      <w:r w:rsidR="00426CBA" w:rsidRPr="007C699E">
        <w:t xml:space="preserve">estimate of the test versus reference ratio for observed </w:t>
      </w:r>
      <w:r>
        <w:t>maximum plasma concentration (</w:t>
      </w:r>
      <w:proofErr w:type="spellStart"/>
      <w:r w:rsidR="00426CBA" w:rsidRPr="007C699E">
        <w:t>C</w:t>
      </w:r>
      <w:r w:rsidR="00426CBA" w:rsidRPr="004C0940">
        <w:rPr>
          <w:vertAlign w:val="subscript"/>
        </w:rPr>
        <w:t>max</w:t>
      </w:r>
      <w:proofErr w:type="spellEnd"/>
      <w:r>
        <w:t>)</w:t>
      </w:r>
      <w:r w:rsidR="00426CBA" w:rsidRPr="007C699E">
        <w:t>. The d</w:t>
      </w:r>
      <w:r w:rsidR="007C699E">
        <w:t xml:space="preserve">ifference was not statistically </w:t>
      </w:r>
      <w:r w:rsidR="00426CBA" w:rsidRPr="007C699E">
        <w:t xml:space="preserve">significant due to the high intra-subject variability </w:t>
      </w:r>
      <w:r w:rsidR="00426CBA" w:rsidRPr="009C4D36">
        <w:t>(</w:t>
      </w:r>
      <w:r w:rsidRPr="009C4D36">
        <w:t>coefficient of variation (</w:t>
      </w:r>
      <w:r w:rsidR="00426CBA" w:rsidRPr="009C4D36">
        <w:t>CV</w:t>
      </w:r>
      <w:r w:rsidRPr="009C4D36">
        <w:t xml:space="preserve">) </w:t>
      </w:r>
      <w:r w:rsidR="00426CBA" w:rsidRPr="009C4D36">
        <w:t>=</w:t>
      </w:r>
      <w:r w:rsidRPr="009C4D36">
        <w:t xml:space="preserve"> </w:t>
      </w:r>
      <w:r w:rsidR="00426CBA" w:rsidRPr="009C4D36">
        <w:t>69.7%), and the wid</w:t>
      </w:r>
      <w:r w:rsidRPr="009C4D36">
        <w:t xml:space="preserve">e 90% confidence interval (94.1 to </w:t>
      </w:r>
      <w:r w:rsidR="00426CBA" w:rsidRPr="009C4D36">
        <w:t>241.2%).</w:t>
      </w:r>
    </w:p>
    <w:p w14:paraId="4CFB42A7" w14:textId="7AAE0105" w:rsidR="00426CBA" w:rsidRPr="007C699E" w:rsidRDefault="00426CBA" w:rsidP="009C4D36">
      <w:r w:rsidRPr="007C699E">
        <w:t>Overall</w:t>
      </w:r>
      <w:r w:rsidR="004C0940">
        <w:t>,</w:t>
      </w:r>
      <w:r w:rsidRPr="007C699E">
        <w:t xml:space="preserve"> systemic exposure to beclometasone-17-propionate </w:t>
      </w:r>
      <w:r w:rsidR="00E81985">
        <w:t>(</w:t>
      </w:r>
      <w:proofErr w:type="spellStart"/>
      <w:r w:rsidRPr="007C699E">
        <w:t>C</w:t>
      </w:r>
      <w:r w:rsidRPr="004C0940">
        <w:rPr>
          <w:vertAlign w:val="subscript"/>
        </w:rPr>
        <w:t>max</w:t>
      </w:r>
      <w:proofErr w:type="spellEnd"/>
      <w:r w:rsidRPr="007C699E">
        <w:t xml:space="preserve"> and AUC</w:t>
      </w:r>
      <w:r w:rsidR="00E81985">
        <w:t>)</w:t>
      </w:r>
      <w:r w:rsidRPr="007C699E">
        <w:t xml:space="preserve"> were lower after administration of the proposed fixed dose (</w:t>
      </w:r>
      <w:proofErr w:type="spellStart"/>
      <w:r w:rsidR="004C0940" w:rsidRPr="007C699E">
        <w:t>Fostair</w:t>
      </w:r>
      <w:proofErr w:type="spellEnd"/>
      <w:r w:rsidR="004C0940">
        <w:t xml:space="preserve">) product at a dose of 400 µg </w:t>
      </w:r>
      <w:proofErr w:type="spellStart"/>
      <w:r w:rsidR="004C0940">
        <w:t>b</w:t>
      </w:r>
      <w:r w:rsidRPr="007C699E">
        <w:t>eclomethasone</w:t>
      </w:r>
      <w:proofErr w:type="spellEnd"/>
      <w:r w:rsidRPr="007C699E">
        <w:t xml:space="preserve"> and 24 µg </w:t>
      </w:r>
      <w:proofErr w:type="spellStart"/>
      <w:r w:rsidRPr="007C699E">
        <w:t>formoterol</w:t>
      </w:r>
      <w:proofErr w:type="spellEnd"/>
      <w:r w:rsidRPr="007C699E">
        <w:t xml:space="preserve"> as compared to a free combination treatment of </w:t>
      </w:r>
      <w:proofErr w:type="spellStart"/>
      <w:r w:rsidRPr="007C699E">
        <w:t>Becotide</w:t>
      </w:r>
      <w:proofErr w:type="spellEnd"/>
      <w:r w:rsidRPr="007C699E">
        <w:t xml:space="preserve"> Forte (CFC) at a dose of 1000 µg and extra fine </w:t>
      </w:r>
      <w:proofErr w:type="spellStart"/>
      <w:r w:rsidRPr="007C699E">
        <w:t>for</w:t>
      </w:r>
      <w:r w:rsidR="007C699E">
        <w:t>moterol</w:t>
      </w:r>
      <w:proofErr w:type="spellEnd"/>
      <w:r w:rsidR="007C699E">
        <w:t xml:space="preserve"> HFA at a dose of 24</w:t>
      </w:r>
      <w:r w:rsidR="004C0940">
        <w:t xml:space="preserve"> </w:t>
      </w:r>
      <w:r w:rsidR="007C699E">
        <w:t>µg.</w:t>
      </w:r>
    </w:p>
    <w:p w14:paraId="5E38E60B" w14:textId="77777777" w:rsidR="00426CBA" w:rsidRPr="007C699E" w:rsidRDefault="005A6897" w:rsidP="00436476">
      <w:pPr>
        <w:pStyle w:val="Heading5"/>
        <w:rPr>
          <w:rFonts w:eastAsiaTheme="minorHAnsi"/>
        </w:rPr>
      </w:pPr>
      <w:r>
        <w:rPr>
          <w:rFonts w:eastAsiaTheme="minorHAnsi"/>
        </w:rPr>
        <w:t>Study CP07</w:t>
      </w:r>
    </w:p>
    <w:p w14:paraId="47DE2AFB" w14:textId="1CE7DE92" w:rsidR="00426CBA" w:rsidRPr="007C699E" w:rsidRDefault="004C0940" w:rsidP="00436476">
      <w:r>
        <w:t>Study CP07</w:t>
      </w:r>
      <w:r w:rsidR="00426CBA" w:rsidRPr="007C699E">
        <w:t xml:space="preserve"> c</w:t>
      </w:r>
      <w:r>
        <w:t xml:space="preserve">ompared a single dose of 400µg </w:t>
      </w:r>
      <w:proofErr w:type="spellStart"/>
      <w:r>
        <w:t>beclomethasone</w:t>
      </w:r>
      <w:proofErr w:type="spellEnd"/>
      <w:r w:rsidR="00426CBA" w:rsidRPr="007C699E">
        <w:t>/24 µg</w:t>
      </w:r>
      <w:r>
        <w:t xml:space="preserve"> </w:t>
      </w:r>
      <w:proofErr w:type="spellStart"/>
      <w:r>
        <w:t>formoterol</w:t>
      </w:r>
      <w:proofErr w:type="spellEnd"/>
      <w:r>
        <w:t xml:space="preserve"> to single doses of </w:t>
      </w:r>
      <w:proofErr w:type="spellStart"/>
      <w:r>
        <w:t>b</w:t>
      </w:r>
      <w:r w:rsidR="00426CBA" w:rsidRPr="007C699E">
        <w:t>eclomethasone</w:t>
      </w:r>
      <w:proofErr w:type="spellEnd"/>
      <w:r w:rsidR="007B2AC0">
        <w:t xml:space="preserve"> dipropionate </w:t>
      </w:r>
      <w:r w:rsidR="00510B86">
        <w:t xml:space="preserve">HFA </w:t>
      </w:r>
      <w:proofErr w:type="spellStart"/>
      <w:r w:rsidR="00510B86">
        <w:t>pMDI</w:t>
      </w:r>
      <w:proofErr w:type="spellEnd"/>
      <w:r w:rsidR="00510B86">
        <w:t xml:space="preserve"> </w:t>
      </w:r>
      <w:r w:rsidR="007B2AC0">
        <w:t>(</w:t>
      </w:r>
      <w:proofErr w:type="spellStart"/>
      <w:r w:rsidR="00A028DD">
        <w:t>Qvar</w:t>
      </w:r>
      <w:proofErr w:type="spellEnd"/>
      <w:r w:rsidR="007B2AC0">
        <w:t>)</w:t>
      </w:r>
      <w:r w:rsidR="00426CBA" w:rsidRPr="007C699E">
        <w:t xml:space="preserve"> </w:t>
      </w:r>
      <w:r w:rsidR="00A028DD">
        <w:t xml:space="preserve">and </w:t>
      </w:r>
      <w:proofErr w:type="spellStart"/>
      <w:r w:rsidR="00A028DD">
        <w:t>formoterol</w:t>
      </w:r>
      <w:proofErr w:type="spellEnd"/>
      <w:r w:rsidR="00A028DD">
        <w:t xml:space="preserve"> </w:t>
      </w:r>
      <w:r w:rsidR="00510B86">
        <w:t xml:space="preserve">fumarate HFA </w:t>
      </w:r>
      <w:proofErr w:type="spellStart"/>
      <w:r w:rsidR="00510B86">
        <w:t>pMDI</w:t>
      </w:r>
      <w:proofErr w:type="spellEnd"/>
      <w:r w:rsidR="00510B86">
        <w:t xml:space="preserve"> </w:t>
      </w:r>
      <w:r w:rsidR="00A028DD">
        <w:t>(</w:t>
      </w:r>
      <w:proofErr w:type="spellStart"/>
      <w:r w:rsidR="00A028DD">
        <w:t>Atimos</w:t>
      </w:r>
      <w:proofErr w:type="spellEnd"/>
      <w:r w:rsidR="00A028DD">
        <w:t xml:space="preserve">) </w:t>
      </w:r>
      <w:r w:rsidR="00426CBA" w:rsidRPr="007C699E">
        <w:t>using 4 doses of a 100</w:t>
      </w:r>
      <w:r>
        <w:t xml:space="preserve"> </w:t>
      </w:r>
      <w:r w:rsidR="00426CBA" w:rsidRPr="007C699E">
        <w:t>µg strength product and 4 doses of a 6</w:t>
      </w:r>
      <w:r>
        <w:t> </w:t>
      </w:r>
      <w:r w:rsidR="00426CBA" w:rsidRPr="007C699E">
        <w:t>µg product</w:t>
      </w:r>
      <w:r w:rsidR="002020BB">
        <w:t>.</w:t>
      </w:r>
      <w:r w:rsidR="00510B86" w:rsidRPr="00510B86">
        <w:t xml:space="preserve"> </w:t>
      </w:r>
      <w:r w:rsidR="00510B86" w:rsidRPr="007C699E">
        <w:t>These results are not entirely relevant to this submissi</w:t>
      </w:r>
      <w:r w:rsidR="00510B86">
        <w:t>on due to a different dose FDC.</w:t>
      </w:r>
    </w:p>
    <w:p w14:paraId="3123CA1C" w14:textId="77777777" w:rsidR="00426CBA" w:rsidRPr="00436476" w:rsidRDefault="00436476" w:rsidP="00436476">
      <w:pPr>
        <w:pStyle w:val="Heading4"/>
      </w:pPr>
      <w:r w:rsidRPr="00436476">
        <w:t>Device</w:t>
      </w:r>
    </w:p>
    <w:p w14:paraId="450D4F5E" w14:textId="77777777" w:rsidR="00426CBA" w:rsidRDefault="00426CBA" w:rsidP="00436476">
      <w:r>
        <w:rPr>
          <w:rFonts w:asciiTheme="minorHAnsi" w:hAnsiTheme="minorHAnsi"/>
        </w:rPr>
        <w:t xml:space="preserve">The actuator </w:t>
      </w:r>
      <w:r w:rsidR="004C0940">
        <w:rPr>
          <w:rFonts w:asciiTheme="minorHAnsi" w:hAnsiTheme="minorHAnsi"/>
        </w:rPr>
        <w:t>is coupled with a dose counter.</w:t>
      </w:r>
    </w:p>
    <w:p w14:paraId="2AAA8FA8" w14:textId="77777777" w:rsidR="00426CBA" w:rsidRPr="00F808A7" w:rsidRDefault="00426CBA" w:rsidP="00436476">
      <w:r>
        <w:t xml:space="preserve">The aerodynamic performance size distribution comparison of Australian and overseas sourced </w:t>
      </w:r>
      <w:r w:rsidRPr="0034513C">
        <w:t xml:space="preserve">inhalation </w:t>
      </w:r>
      <w:r w:rsidRPr="0034513C">
        <w:rPr>
          <w:iCs/>
        </w:rPr>
        <w:t>reference</w:t>
      </w:r>
      <w:r>
        <w:t xml:space="preserve"> products was performed</w:t>
      </w:r>
      <w:r w:rsidR="00F810ED">
        <w:t>.</w:t>
      </w:r>
    </w:p>
    <w:p w14:paraId="6C55F6F2" w14:textId="77777777" w:rsidR="00E45619" w:rsidRDefault="00426CBA" w:rsidP="00436476">
      <w:r>
        <w:t xml:space="preserve">The chemistry evaluator concluded that the appearances of the Australian and overseas products were the same. The comparison did not completely fulfil the </w:t>
      </w:r>
      <w:r w:rsidR="007C0955">
        <w:t>TGA</w:t>
      </w:r>
      <w:r>
        <w:t xml:space="preserve"> guidance requirements for evidence that the overseas and Australian reference products are identical.</w:t>
      </w:r>
      <w:r w:rsidR="007C0955">
        <w:rPr>
          <w:rStyle w:val="FootnoteReference"/>
        </w:rPr>
        <w:footnoteReference w:id="11"/>
      </w:r>
      <w:r>
        <w:t xml:space="preserve"> However, in this instance, the tomographic data provided was considered more applicable in determining the same valve is in use.</w:t>
      </w:r>
    </w:p>
    <w:p w14:paraId="38EF96BA" w14:textId="77777777" w:rsidR="008E7846" w:rsidRDefault="008E7846" w:rsidP="008E7846">
      <w:pPr>
        <w:pStyle w:val="Heading3"/>
      </w:pPr>
      <w:bookmarkStart w:id="34" w:name="_Toc314842512"/>
      <w:bookmarkStart w:id="35" w:name="_Toc47353831"/>
      <w:r>
        <w:t>Nonclinical</w:t>
      </w:r>
      <w:bookmarkEnd w:id="34"/>
      <w:bookmarkEnd w:id="35"/>
    </w:p>
    <w:p w14:paraId="5A763E4D" w14:textId="77777777" w:rsidR="00426CBA" w:rsidRDefault="00F810ED" w:rsidP="00436476">
      <w:r>
        <w:t>The non</w:t>
      </w:r>
      <w:r w:rsidR="00426CBA" w:rsidRPr="00CD654D">
        <w:t xml:space="preserve">clinical evaluator recommended approval </w:t>
      </w:r>
      <w:r w:rsidR="00426CBA">
        <w:t>after the sponsor made the required changes to the PI.</w:t>
      </w:r>
    </w:p>
    <w:p w14:paraId="0540FCEC" w14:textId="77777777" w:rsidR="00426CBA" w:rsidRPr="00436476" w:rsidRDefault="00436476" w:rsidP="00436476">
      <w:r>
        <w:t>The following points were summarised from the nonclinical evaluation</w:t>
      </w:r>
      <w:r w:rsidRPr="00436476">
        <w:t>:</w:t>
      </w:r>
    </w:p>
    <w:p w14:paraId="2933A142" w14:textId="77777777" w:rsidR="00426CBA" w:rsidRPr="00CD654D" w:rsidRDefault="00426CBA" w:rsidP="00436476">
      <w:pPr>
        <w:pStyle w:val="ListBullet"/>
      </w:pPr>
      <w:r w:rsidRPr="00CD654D">
        <w:t xml:space="preserve">Synergistic </w:t>
      </w:r>
      <w:proofErr w:type="spellStart"/>
      <w:r w:rsidRPr="00CD654D">
        <w:t>bronchodilatory</w:t>
      </w:r>
      <w:proofErr w:type="spellEnd"/>
      <w:r w:rsidRPr="00CD654D">
        <w:t xml:space="preserve"> and pulmonary anti-inflammatory activity was shown with </w:t>
      </w:r>
      <w:proofErr w:type="spellStart"/>
      <w:r w:rsidRPr="00CD654D">
        <w:t>beclometasone</w:t>
      </w:r>
      <w:proofErr w:type="spellEnd"/>
      <w:r w:rsidRPr="00CD654D">
        <w:t xml:space="preserve"> dipropionate and </w:t>
      </w:r>
      <w:proofErr w:type="spellStart"/>
      <w:r w:rsidRPr="00CD654D">
        <w:t>formoterol</w:t>
      </w:r>
      <w:proofErr w:type="spellEnd"/>
      <w:r w:rsidRPr="00CD654D">
        <w:t xml:space="preserve"> fumarate dihydrate in combination in animals, offering support for utility of the produc</w:t>
      </w:r>
      <w:r w:rsidR="00F810ED">
        <w:t>t for the proposed indications.</w:t>
      </w:r>
    </w:p>
    <w:p w14:paraId="3CBE2B4E" w14:textId="77777777" w:rsidR="00426CBA" w:rsidRPr="00CD654D" w:rsidRDefault="00426CBA" w:rsidP="00436476">
      <w:pPr>
        <w:pStyle w:val="ListBullet"/>
        <w:rPr>
          <w:rFonts w:eastAsiaTheme="minorHAnsi" w:cs="Cambria"/>
          <w:color w:val="000000"/>
        </w:rPr>
      </w:pPr>
      <w:r w:rsidRPr="00CD654D">
        <w:rPr>
          <w:rFonts w:eastAsiaTheme="minorHAnsi" w:cs="Cambria"/>
          <w:color w:val="000000"/>
        </w:rPr>
        <w:t xml:space="preserve">Safety pharmacology studies conducted with the combination revealed some effects on </w:t>
      </w:r>
      <w:r w:rsidR="00F810ED">
        <w:rPr>
          <w:rFonts w:eastAsiaTheme="minorHAnsi" w:cs="Cambria"/>
          <w:color w:val="000000"/>
        </w:rPr>
        <w:t>central nervous system (</w:t>
      </w:r>
      <w:r w:rsidRPr="00CD654D">
        <w:rPr>
          <w:rFonts w:eastAsiaTheme="minorHAnsi" w:cs="Cambria"/>
          <w:color w:val="000000"/>
        </w:rPr>
        <w:t>CNS</w:t>
      </w:r>
      <w:r w:rsidR="00F810ED">
        <w:rPr>
          <w:rFonts w:eastAsiaTheme="minorHAnsi" w:cs="Cambria"/>
          <w:color w:val="000000"/>
        </w:rPr>
        <w:t>)</w:t>
      </w:r>
      <w:r w:rsidRPr="00CD654D">
        <w:rPr>
          <w:rFonts w:eastAsiaTheme="minorHAnsi" w:cs="Cambria"/>
          <w:color w:val="000000"/>
        </w:rPr>
        <w:t>, cardiovascular, respiratory and gastrointestinal function, but at doses that are significantly higher than the maximum recommended dose in patients. These are seen to be principally attributab</w:t>
      </w:r>
      <w:r w:rsidR="00F810ED">
        <w:rPr>
          <w:rFonts w:eastAsiaTheme="minorHAnsi" w:cs="Cambria"/>
          <w:color w:val="000000"/>
        </w:rPr>
        <w:t xml:space="preserve">le to the </w:t>
      </w:r>
      <w:proofErr w:type="spellStart"/>
      <w:r w:rsidR="00F810ED">
        <w:rPr>
          <w:rFonts w:eastAsiaTheme="minorHAnsi" w:cs="Cambria"/>
          <w:color w:val="000000"/>
        </w:rPr>
        <w:t>formoterol</w:t>
      </w:r>
      <w:proofErr w:type="spellEnd"/>
      <w:r w:rsidR="00F810ED">
        <w:rPr>
          <w:rFonts w:eastAsiaTheme="minorHAnsi" w:cs="Cambria"/>
          <w:color w:val="000000"/>
        </w:rPr>
        <w:t xml:space="preserve"> component.</w:t>
      </w:r>
    </w:p>
    <w:p w14:paraId="6690305E" w14:textId="77777777" w:rsidR="00426CBA" w:rsidRDefault="00426CBA" w:rsidP="00436476">
      <w:pPr>
        <w:pStyle w:val="ListBullet"/>
        <w:rPr>
          <w:rFonts w:eastAsiaTheme="minorHAnsi" w:cs="Cambria"/>
          <w:color w:val="000000"/>
        </w:rPr>
      </w:pPr>
      <w:r>
        <w:t xml:space="preserve">The metabolic pathways for </w:t>
      </w:r>
      <w:proofErr w:type="spellStart"/>
      <w:r>
        <w:t>beclometasone</w:t>
      </w:r>
      <w:proofErr w:type="spellEnd"/>
      <w:r>
        <w:t xml:space="preserve"> dipropionate and </w:t>
      </w:r>
      <w:proofErr w:type="spellStart"/>
      <w:r>
        <w:t>formoterol</w:t>
      </w:r>
      <w:proofErr w:type="spellEnd"/>
      <w:r>
        <w:t xml:space="preserve"> in humans are distinct, with </w:t>
      </w:r>
      <w:proofErr w:type="spellStart"/>
      <w:r>
        <w:t>beclometasone</w:t>
      </w:r>
      <w:proofErr w:type="spellEnd"/>
      <w:r>
        <w:t xml:space="preserve"> dipropionate metabolised by </w:t>
      </w:r>
      <w:proofErr w:type="spellStart"/>
      <w:r>
        <w:t>esterases</w:t>
      </w:r>
      <w:proofErr w:type="spellEnd"/>
      <w:r>
        <w:t xml:space="preserve"> and </w:t>
      </w:r>
      <w:r w:rsidR="00F810ED">
        <w:t>cytochrome P450 (CYP) enzymes</w:t>
      </w:r>
      <w:r>
        <w:t xml:space="preserve">, and </w:t>
      </w:r>
      <w:proofErr w:type="spellStart"/>
      <w:r>
        <w:t>formoterol</w:t>
      </w:r>
      <w:proofErr w:type="spellEnd"/>
      <w:r>
        <w:t xml:space="preserve"> primarily by direct </w:t>
      </w:r>
      <w:proofErr w:type="spellStart"/>
      <w:r>
        <w:t>glucuronidation</w:t>
      </w:r>
      <w:proofErr w:type="spellEnd"/>
      <w:r>
        <w:rPr>
          <w:rFonts w:eastAsiaTheme="minorHAnsi" w:cs="Cambria"/>
          <w:color w:val="000000"/>
        </w:rPr>
        <w:t>. N</w:t>
      </w:r>
      <w:r w:rsidRPr="00CD654D">
        <w:rPr>
          <w:rFonts w:eastAsiaTheme="minorHAnsi" w:cs="Cambria"/>
          <w:color w:val="000000"/>
        </w:rPr>
        <w:t xml:space="preserve">o pharmacokinetic interaction between </w:t>
      </w:r>
      <w:proofErr w:type="spellStart"/>
      <w:r w:rsidRPr="00CD654D">
        <w:rPr>
          <w:rFonts w:eastAsiaTheme="minorHAnsi" w:cs="Cambria"/>
          <w:color w:val="000000"/>
        </w:rPr>
        <w:t>beclometasone</w:t>
      </w:r>
      <w:proofErr w:type="spellEnd"/>
      <w:r w:rsidRPr="00CD654D">
        <w:rPr>
          <w:rFonts w:eastAsiaTheme="minorHAnsi" w:cs="Cambria"/>
          <w:color w:val="000000"/>
        </w:rPr>
        <w:t xml:space="preserve"> dipropionate and </w:t>
      </w:r>
      <w:proofErr w:type="spellStart"/>
      <w:r w:rsidRPr="00CD654D">
        <w:rPr>
          <w:rFonts w:eastAsiaTheme="minorHAnsi" w:cs="Cambria"/>
          <w:color w:val="000000"/>
        </w:rPr>
        <w:t>formoterol</w:t>
      </w:r>
      <w:proofErr w:type="spellEnd"/>
      <w:r w:rsidRPr="00CD654D">
        <w:rPr>
          <w:rFonts w:eastAsiaTheme="minorHAnsi" w:cs="Cambria"/>
          <w:color w:val="000000"/>
        </w:rPr>
        <w:t xml:space="preserve"> </w:t>
      </w:r>
      <w:r w:rsidRPr="00CD654D">
        <w:rPr>
          <w:rFonts w:eastAsiaTheme="minorHAnsi" w:cs="Cambria"/>
          <w:color w:val="000000"/>
        </w:rPr>
        <w:lastRenderedPageBreak/>
        <w:t>fumarate dihydrate is expected</w:t>
      </w:r>
      <w:r>
        <w:rPr>
          <w:rFonts w:eastAsiaTheme="minorHAnsi" w:cs="Cambria"/>
          <w:color w:val="000000"/>
        </w:rPr>
        <w:t>.</w:t>
      </w:r>
      <w:r w:rsidRPr="00CD654D">
        <w:rPr>
          <w:rFonts w:eastAsiaTheme="minorHAnsi" w:cs="Cambria"/>
          <w:color w:val="000000"/>
        </w:rPr>
        <w:t xml:space="preserve"> Pharmacokinetic </w:t>
      </w:r>
      <w:r w:rsidR="00F810ED">
        <w:rPr>
          <w:rFonts w:eastAsiaTheme="minorHAnsi" w:cs="Cambria"/>
          <w:color w:val="000000"/>
        </w:rPr>
        <w:t xml:space="preserve">(PK) </w:t>
      </w:r>
      <w:r w:rsidRPr="00CD654D">
        <w:rPr>
          <w:rFonts w:eastAsiaTheme="minorHAnsi" w:cs="Cambria"/>
          <w:color w:val="000000"/>
        </w:rPr>
        <w:t>interactions were not investigate</w:t>
      </w:r>
      <w:r w:rsidR="000B5C24">
        <w:rPr>
          <w:rFonts w:eastAsiaTheme="minorHAnsi" w:cs="Cambria"/>
          <w:color w:val="000000"/>
        </w:rPr>
        <w:t>d in laboratory animal species.</w:t>
      </w:r>
    </w:p>
    <w:p w14:paraId="449C689B" w14:textId="77777777" w:rsidR="00426CBA" w:rsidRDefault="000B5C24" w:rsidP="00436476">
      <w:pPr>
        <w:pStyle w:val="ListBullet"/>
        <w:rPr>
          <w:rFonts w:eastAsiaTheme="minorHAnsi" w:cs="Cambria"/>
          <w:color w:val="000000"/>
        </w:rPr>
      </w:pPr>
      <w:r>
        <w:rPr>
          <w:rFonts w:eastAsiaTheme="minorHAnsi" w:cs="Cambria"/>
          <w:color w:val="000000"/>
        </w:rPr>
        <w:t xml:space="preserve">Repeat </w:t>
      </w:r>
      <w:r w:rsidR="00426CBA" w:rsidRPr="00CD654D">
        <w:rPr>
          <w:rFonts w:eastAsiaTheme="minorHAnsi" w:cs="Cambria"/>
          <w:color w:val="000000"/>
        </w:rPr>
        <w:t xml:space="preserve">dose toxicity studies by the inhalational route of up to 13 weeks duration in rats and dogs revealed no novel or obvious exacerbated toxicity with </w:t>
      </w:r>
      <w:proofErr w:type="spellStart"/>
      <w:r w:rsidR="00426CBA" w:rsidRPr="00CD654D">
        <w:rPr>
          <w:rFonts w:eastAsiaTheme="minorHAnsi" w:cs="Cambria"/>
          <w:color w:val="000000"/>
        </w:rPr>
        <w:t>beclometasone</w:t>
      </w:r>
      <w:proofErr w:type="spellEnd"/>
      <w:r w:rsidR="00426CBA" w:rsidRPr="00CD654D">
        <w:rPr>
          <w:rFonts w:eastAsiaTheme="minorHAnsi" w:cs="Cambria"/>
          <w:color w:val="000000"/>
        </w:rPr>
        <w:t xml:space="preserve"> dipropionate and </w:t>
      </w:r>
      <w:proofErr w:type="spellStart"/>
      <w:r w:rsidR="00426CBA" w:rsidRPr="00CD654D">
        <w:rPr>
          <w:rFonts w:eastAsiaTheme="minorHAnsi" w:cs="Cambria"/>
          <w:color w:val="000000"/>
        </w:rPr>
        <w:t>formoterol</w:t>
      </w:r>
      <w:proofErr w:type="spellEnd"/>
      <w:r w:rsidR="00426CBA" w:rsidRPr="00CD654D">
        <w:rPr>
          <w:rFonts w:eastAsiaTheme="minorHAnsi" w:cs="Cambria"/>
          <w:color w:val="000000"/>
        </w:rPr>
        <w:t xml:space="preserve"> fumarate dihydrate in combination (at the clinical dose ratio). Findings represented known class effects of corticosteroids and β</w:t>
      </w:r>
      <w:r w:rsidR="00426CBA" w:rsidRPr="00CD654D">
        <w:rPr>
          <w:rFonts w:eastAsiaTheme="minorHAnsi" w:cs="Cambria"/>
          <w:color w:val="000000"/>
          <w:sz w:val="14"/>
          <w:szCs w:val="14"/>
        </w:rPr>
        <w:t>2</w:t>
      </w:r>
      <w:r>
        <w:rPr>
          <w:rFonts w:eastAsiaTheme="minorHAnsi" w:cs="Cambria"/>
          <w:color w:val="000000"/>
        </w:rPr>
        <w:noBreakHyphen/>
      </w:r>
      <w:r w:rsidR="00426CBA" w:rsidRPr="00CD654D">
        <w:rPr>
          <w:rFonts w:eastAsiaTheme="minorHAnsi" w:cs="Cambria"/>
          <w:color w:val="000000"/>
        </w:rPr>
        <w:t>adren</w:t>
      </w:r>
      <w:r>
        <w:rPr>
          <w:rFonts w:eastAsiaTheme="minorHAnsi" w:cs="Cambria"/>
          <w:color w:val="000000"/>
        </w:rPr>
        <w:t>o</w:t>
      </w:r>
      <w:r w:rsidR="00426CBA" w:rsidRPr="00CD654D">
        <w:rPr>
          <w:rFonts w:eastAsiaTheme="minorHAnsi" w:cs="Cambria"/>
          <w:color w:val="000000"/>
        </w:rPr>
        <w:t>ceptor agonists. Target organs included the thymus, adrenal gland, epidermis, gall bladder and hear</w:t>
      </w:r>
      <w:r>
        <w:rPr>
          <w:rFonts w:eastAsiaTheme="minorHAnsi" w:cs="Cambria"/>
          <w:color w:val="000000"/>
        </w:rPr>
        <w:t>t.</w:t>
      </w:r>
    </w:p>
    <w:p w14:paraId="3F65CFB6" w14:textId="77777777" w:rsidR="00426CBA" w:rsidRDefault="00426CBA" w:rsidP="00436476">
      <w:pPr>
        <w:pStyle w:val="ListBullet"/>
        <w:rPr>
          <w:rFonts w:eastAsiaTheme="minorHAnsi" w:cs="Cambria"/>
          <w:color w:val="000000"/>
        </w:rPr>
      </w:pPr>
      <w:r w:rsidRPr="00CD654D">
        <w:rPr>
          <w:rFonts w:eastAsiaTheme="minorHAnsi" w:cs="Cambria"/>
          <w:color w:val="000000"/>
        </w:rPr>
        <w:t xml:space="preserve">Beclometasone dipropionate and </w:t>
      </w:r>
      <w:proofErr w:type="spellStart"/>
      <w:r w:rsidRPr="00CD654D">
        <w:rPr>
          <w:rFonts w:eastAsiaTheme="minorHAnsi" w:cs="Cambria"/>
          <w:color w:val="000000"/>
        </w:rPr>
        <w:t>formoterol</w:t>
      </w:r>
      <w:proofErr w:type="spellEnd"/>
      <w:r w:rsidRPr="00CD654D">
        <w:rPr>
          <w:rFonts w:eastAsiaTheme="minorHAnsi" w:cs="Cambria"/>
          <w:color w:val="000000"/>
        </w:rPr>
        <w:t xml:space="preserve"> fumarate dihydrate, tested in combination, were not genotoxic. Carcinogenicity studies were not performed with the co</w:t>
      </w:r>
      <w:r w:rsidR="00F925FA">
        <w:rPr>
          <w:rFonts w:eastAsiaTheme="minorHAnsi" w:cs="Cambria"/>
          <w:color w:val="000000"/>
        </w:rPr>
        <w:t>mbination and are not required.</w:t>
      </w:r>
    </w:p>
    <w:p w14:paraId="3FDE44F2" w14:textId="77777777" w:rsidR="008E7846" w:rsidRPr="00436476" w:rsidRDefault="00426CBA" w:rsidP="00436476">
      <w:pPr>
        <w:pStyle w:val="ListBullet"/>
        <w:rPr>
          <w:rFonts w:eastAsiaTheme="minorHAnsi" w:cs="Cambria"/>
          <w:color w:val="000000"/>
        </w:rPr>
      </w:pPr>
      <w:r w:rsidRPr="00CD654D">
        <w:rPr>
          <w:rFonts w:eastAsiaTheme="minorHAnsi" w:cs="Cambria"/>
          <w:color w:val="000000"/>
        </w:rPr>
        <w:t xml:space="preserve">Disruption of oestrus cycling, increased duration of gestation, dystocia, increased litter loss, decreased </w:t>
      </w:r>
      <w:proofErr w:type="spellStart"/>
      <w:r w:rsidRPr="00CD654D">
        <w:rPr>
          <w:rFonts w:eastAsiaTheme="minorHAnsi" w:cs="Cambria"/>
          <w:color w:val="000000"/>
        </w:rPr>
        <w:t>fetal</w:t>
      </w:r>
      <w:proofErr w:type="spellEnd"/>
      <w:r w:rsidRPr="00CD654D">
        <w:rPr>
          <w:rFonts w:eastAsiaTheme="minorHAnsi" w:cs="Cambria"/>
          <w:color w:val="000000"/>
        </w:rPr>
        <w:t xml:space="preserve"> and pup weight, increased </w:t>
      </w:r>
      <w:proofErr w:type="spellStart"/>
      <w:r w:rsidRPr="00CD654D">
        <w:rPr>
          <w:rFonts w:eastAsiaTheme="minorHAnsi" w:cs="Cambria"/>
          <w:color w:val="000000"/>
        </w:rPr>
        <w:t>fetal</w:t>
      </w:r>
      <w:proofErr w:type="spellEnd"/>
      <w:r w:rsidRPr="00CD654D">
        <w:rPr>
          <w:rFonts w:eastAsiaTheme="minorHAnsi" w:cs="Cambria"/>
          <w:color w:val="000000"/>
        </w:rPr>
        <w:t xml:space="preserve"> visceral variations (but not malformations), impaired </w:t>
      </w:r>
      <w:proofErr w:type="spellStart"/>
      <w:r w:rsidRPr="00CD654D">
        <w:rPr>
          <w:rFonts w:eastAsiaTheme="minorHAnsi" w:cs="Cambria"/>
          <w:color w:val="000000"/>
        </w:rPr>
        <w:t>fetal</w:t>
      </w:r>
      <w:proofErr w:type="spellEnd"/>
      <w:r w:rsidRPr="00CD654D">
        <w:rPr>
          <w:rFonts w:eastAsiaTheme="minorHAnsi" w:cs="Cambria"/>
          <w:color w:val="000000"/>
        </w:rPr>
        <w:t xml:space="preserve"> ossification, decreased perinatal survival of pups, and impaired reproductive function of the female offspring were seen with the combination in rats. The </w:t>
      </w:r>
      <w:proofErr w:type="spellStart"/>
      <w:r w:rsidRPr="00CD654D">
        <w:rPr>
          <w:rFonts w:eastAsiaTheme="minorHAnsi" w:cs="Cambria"/>
          <w:color w:val="000000"/>
        </w:rPr>
        <w:t>tocolytic</w:t>
      </w:r>
      <w:proofErr w:type="spellEnd"/>
      <w:r w:rsidRPr="00CD654D">
        <w:rPr>
          <w:rFonts w:eastAsiaTheme="minorHAnsi" w:cs="Cambria"/>
          <w:color w:val="000000"/>
        </w:rPr>
        <w:t xml:space="preserve"> effect of </w:t>
      </w:r>
      <w:proofErr w:type="spellStart"/>
      <w:r w:rsidRPr="00CD654D">
        <w:rPr>
          <w:rFonts w:eastAsiaTheme="minorHAnsi" w:cs="Cambria"/>
          <w:color w:val="000000"/>
        </w:rPr>
        <w:t>formoterol</w:t>
      </w:r>
      <w:proofErr w:type="spellEnd"/>
      <w:r w:rsidRPr="00CD654D">
        <w:rPr>
          <w:rFonts w:eastAsiaTheme="minorHAnsi" w:cs="Cambria"/>
          <w:color w:val="000000"/>
        </w:rPr>
        <w:t xml:space="preserve"> is well known and described in the </w:t>
      </w:r>
      <w:r w:rsidR="000B5C24">
        <w:rPr>
          <w:rFonts w:eastAsiaTheme="minorHAnsi" w:cs="Cambria"/>
          <w:color w:val="000000"/>
        </w:rPr>
        <w:t>PI</w:t>
      </w:r>
      <w:r w:rsidRPr="00CD654D">
        <w:rPr>
          <w:rFonts w:eastAsiaTheme="minorHAnsi" w:cs="Cambria"/>
          <w:color w:val="000000"/>
        </w:rPr>
        <w:t>. Pregnancy Category B3,</w:t>
      </w:r>
      <w:r w:rsidR="000B5C24">
        <w:rPr>
          <w:rStyle w:val="FootnoteReference"/>
          <w:rFonts w:eastAsiaTheme="minorHAnsi" w:cs="Cambria"/>
          <w:color w:val="000000"/>
        </w:rPr>
        <w:footnoteReference w:id="12"/>
      </w:r>
      <w:r w:rsidRPr="00CD654D">
        <w:rPr>
          <w:rFonts w:eastAsiaTheme="minorHAnsi" w:cs="Cambria"/>
          <w:color w:val="000000"/>
        </w:rPr>
        <w:t xml:space="preserve"> as the sp</w:t>
      </w:r>
      <w:r w:rsidR="00436476">
        <w:rPr>
          <w:rFonts w:eastAsiaTheme="minorHAnsi" w:cs="Cambria"/>
          <w:color w:val="000000"/>
        </w:rPr>
        <w:t>onsor proposes, is appropriate.</w:t>
      </w:r>
    </w:p>
    <w:p w14:paraId="4D07CADC" w14:textId="77777777" w:rsidR="008E7846" w:rsidRDefault="008E7846" w:rsidP="008E7846">
      <w:pPr>
        <w:pStyle w:val="Heading3"/>
      </w:pPr>
      <w:bookmarkStart w:id="36" w:name="_Toc247691530"/>
      <w:bookmarkStart w:id="37" w:name="_Toc314842513"/>
      <w:bookmarkStart w:id="38" w:name="_Toc47353832"/>
      <w:r>
        <w:t>Clinical</w:t>
      </w:r>
      <w:bookmarkEnd w:id="36"/>
      <w:bookmarkEnd w:id="37"/>
      <w:bookmarkEnd w:id="38"/>
    </w:p>
    <w:p w14:paraId="3EFE36AF" w14:textId="77777777" w:rsidR="0036060B" w:rsidRDefault="005A6897" w:rsidP="0036060B">
      <w:bookmarkStart w:id="39" w:name="_Toc314842514"/>
      <w:r>
        <w:t>The following p</w:t>
      </w:r>
      <w:r w:rsidR="0036060B">
        <w:t>ivotal efficacy/safety studies</w:t>
      </w:r>
      <w:r>
        <w:t xml:space="preserve"> were included in the clinical dossier:</w:t>
      </w:r>
    </w:p>
    <w:p w14:paraId="3984AC78" w14:textId="5FA4BA30" w:rsidR="0036060B" w:rsidRPr="005A6897" w:rsidRDefault="0036060B" w:rsidP="005A6897">
      <w:pPr>
        <w:pStyle w:val="ListBullet"/>
      </w:pPr>
      <w:r w:rsidRPr="005A6897">
        <w:t>Asthma</w:t>
      </w:r>
      <w:r w:rsidR="00A9453E">
        <w:t xml:space="preserve"> indication</w:t>
      </w:r>
      <w:r w:rsidRPr="005A6897">
        <w:t xml:space="preserve">: </w:t>
      </w:r>
      <w:r w:rsidR="005A6897">
        <w:t xml:space="preserve">Study </w:t>
      </w:r>
      <w:r w:rsidRPr="005A6897">
        <w:t>CT07</w:t>
      </w:r>
      <w:r w:rsidR="00A9453E">
        <w:t xml:space="preserve"> and</w:t>
      </w:r>
      <w:r w:rsidRPr="005A6897">
        <w:t xml:space="preserve"> </w:t>
      </w:r>
      <w:r w:rsidR="005A6897">
        <w:t xml:space="preserve">Study </w:t>
      </w:r>
      <w:r w:rsidR="005A6897" w:rsidRPr="005A6897">
        <w:t>CCD-0605-PR-0021</w:t>
      </w:r>
      <w:r w:rsidR="005A6897">
        <w:t xml:space="preserve"> (s</w:t>
      </w:r>
      <w:r w:rsidRPr="005A6897">
        <w:t>evere asthma study</w:t>
      </w:r>
      <w:r w:rsidR="005A6897">
        <w:t>).</w:t>
      </w:r>
    </w:p>
    <w:p w14:paraId="31D949B7" w14:textId="269EE458" w:rsidR="0036060B" w:rsidRPr="005A6897" w:rsidRDefault="0036060B" w:rsidP="005A6897">
      <w:pPr>
        <w:pStyle w:val="ListBullet"/>
      </w:pPr>
      <w:r w:rsidRPr="005A6897">
        <w:t>COPD</w:t>
      </w:r>
      <w:r w:rsidR="00A9453E">
        <w:t xml:space="preserve"> indication</w:t>
      </w:r>
      <w:r w:rsidRPr="005A6897">
        <w:t xml:space="preserve">: </w:t>
      </w:r>
      <w:r w:rsidR="005A6897">
        <w:t xml:space="preserve">Study </w:t>
      </w:r>
      <w:r w:rsidRPr="005A6897">
        <w:t>CT01</w:t>
      </w:r>
      <w:r w:rsidR="00A9453E">
        <w:t xml:space="preserve"> and</w:t>
      </w:r>
      <w:r w:rsidRPr="005A6897">
        <w:t xml:space="preserve"> </w:t>
      </w:r>
      <w:r w:rsidR="005A6897">
        <w:t xml:space="preserve">Study </w:t>
      </w:r>
      <w:r w:rsidRPr="005A6897">
        <w:t>CT02</w:t>
      </w:r>
      <w:r w:rsidR="005A6897">
        <w:t>.</w:t>
      </w:r>
    </w:p>
    <w:p w14:paraId="77EDCE50" w14:textId="77777777" w:rsidR="00426CBA" w:rsidRPr="0065423B" w:rsidRDefault="00426CBA" w:rsidP="005A6897">
      <w:pPr>
        <w:pStyle w:val="Heading4"/>
      </w:pPr>
      <w:r w:rsidRPr="003F08CF">
        <w:t>Pharmacology</w:t>
      </w:r>
    </w:p>
    <w:p w14:paraId="7910D549" w14:textId="2BE111F4" w:rsidR="00426CBA" w:rsidRDefault="00426CBA" w:rsidP="005A6897">
      <w:r w:rsidRPr="00412091">
        <w:t xml:space="preserve">The </w:t>
      </w:r>
      <w:proofErr w:type="spellStart"/>
      <w:r w:rsidR="005A6897">
        <w:t>Fostair</w:t>
      </w:r>
      <w:proofErr w:type="spellEnd"/>
      <w:r w:rsidRPr="00412091">
        <w:t xml:space="preserve"> </w:t>
      </w:r>
      <w:proofErr w:type="spellStart"/>
      <w:r w:rsidRPr="00412091">
        <w:t>pMDI</w:t>
      </w:r>
      <w:proofErr w:type="spellEnd"/>
      <w:r w:rsidRPr="00412091">
        <w:t xml:space="preserve"> has an extra fine particle size (&lt;</w:t>
      </w:r>
      <w:r w:rsidR="005A6897">
        <w:t xml:space="preserve"> </w:t>
      </w:r>
      <w:r w:rsidRPr="00412091">
        <w:t>1.1</w:t>
      </w:r>
      <w:r w:rsidR="00A9453E">
        <w:t xml:space="preserve"> </w:t>
      </w:r>
      <w:r w:rsidRPr="00412091">
        <w:t xml:space="preserve">µm) fractions for </w:t>
      </w:r>
      <w:proofErr w:type="spellStart"/>
      <w:r w:rsidR="0034513C">
        <w:t>beclometasone</w:t>
      </w:r>
      <w:proofErr w:type="spellEnd"/>
      <w:r w:rsidR="0034513C">
        <w:t xml:space="preserve"> dipropionate</w:t>
      </w:r>
      <w:r w:rsidRPr="00412091">
        <w:t xml:space="preserve"> and </w:t>
      </w:r>
      <w:proofErr w:type="spellStart"/>
      <w:r w:rsidRPr="00412091">
        <w:t>formoterol</w:t>
      </w:r>
      <w:proofErr w:type="spellEnd"/>
      <w:r>
        <w:t xml:space="preserve"> which allows more drug to be delivered to the </w:t>
      </w:r>
      <w:r w:rsidR="008647F2">
        <w:t>lungs</w:t>
      </w:r>
      <w:r w:rsidR="00056528" w:rsidRPr="009C4E99">
        <w:t>,</w:t>
      </w:r>
      <w:r w:rsidR="008647F2">
        <w:t xml:space="preserve"> </w:t>
      </w:r>
      <w:r>
        <w:t>and less delivered to the oropharynx</w:t>
      </w:r>
      <w:r w:rsidR="00056528">
        <w:t>,</w:t>
      </w:r>
      <w:r>
        <w:t xml:space="preserve"> than the CFC formulation. The extra fine formulation was designed to be equipotent to the CFC</w:t>
      </w:r>
      <w:r w:rsidR="0034513C">
        <w:t xml:space="preserve"> formulation in a 1:2.5 ratio, that is, 100 µg</w:t>
      </w:r>
      <w:r>
        <w:t xml:space="preserve"> </w:t>
      </w:r>
      <w:proofErr w:type="spellStart"/>
      <w:r w:rsidR="0034513C">
        <w:t>beclometasone</w:t>
      </w:r>
      <w:proofErr w:type="spellEnd"/>
      <w:r w:rsidR="0034513C">
        <w:t xml:space="preserve"> dipropionate HFA</w:t>
      </w:r>
      <w:r>
        <w:t xml:space="preserve"> equal to 250</w:t>
      </w:r>
      <w:r w:rsidR="00A9453E">
        <w:t> </w:t>
      </w:r>
      <w:r w:rsidR="0034513C">
        <w:t>µg</w:t>
      </w:r>
      <w:r>
        <w:t xml:space="preserve"> </w:t>
      </w:r>
      <w:proofErr w:type="spellStart"/>
      <w:r w:rsidR="0034513C">
        <w:t>beclometasone</w:t>
      </w:r>
      <w:proofErr w:type="spellEnd"/>
      <w:r w:rsidR="0034513C">
        <w:t xml:space="preserve"> dipropionate</w:t>
      </w:r>
      <w:r>
        <w:t xml:space="preserve"> CFC.</w:t>
      </w:r>
    </w:p>
    <w:p w14:paraId="15D34609" w14:textId="239A1D64" w:rsidR="00426CBA" w:rsidRPr="005A6897" w:rsidRDefault="00426CBA" w:rsidP="005A6897">
      <w:pPr>
        <w:rPr>
          <w:rFonts w:asciiTheme="minorHAnsi" w:hAnsiTheme="minorHAnsi"/>
        </w:rPr>
      </w:pPr>
      <w:proofErr w:type="spellStart"/>
      <w:r w:rsidRPr="0034513C">
        <w:rPr>
          <w:rFonts w:asciiTheme="minorHAnsi" w:hAnsiTheme="minorHAnsi"/>
        </w:rPr>
        <w:t>Beclomethasone</w:t>
      </w:r>
      <w:proofErr w:type="spellEnd"/>
      <w:r w:rsidRPr="0034513C">
        <w:rPr>
          <w:rFonts w:asciiTheme="minorHAnsi" w:hAnsiTheme="minorHAnsi"/>
        </w:rPr>
        <w:t xml:space="preserve"> </w:t>
      </w:r>
      <w:r w:rsidR="004D669A">
        <w:rPr>
          <w:rFonts w:asciiTheme="minorHAnsi" w:hAnsiTheme="minorHAnsi"/>
        </w:rPr>
        <w:t xml:space="preserve">dipropionate </w:t>
      </w:r>
      <w:r w:rsidRPr="009B712B">
        <w:rPr>
          <w:rFonts w:asciiTheme="minorHAnsi" w:hAnsiTheme="minorHAnsi"/>
        </w:rPr>
        <w:t>has high pulmonary absorption, low first past metabolism. This makes it more likely to be systemically absorbed than other inhaled st</w:t>
      </w:r>
      <w:r w:rsidR="0034513C">
        <w:rPr>
          <w:rFonts w:asciiTheme="minorHAnsi" w:hAnsiTheme="minorHAnsi"/>
        </w:rPr>
        <w:t xml:space="preserve">eroids. It is metabolised to </w:t>
      </w:r>
      <w:r w:rsidR="0034513C">
        <w:t>beclometasone-17-dipropionate</w:t>
      </w:r>
      <w:r w:rsidRPr="009B712B">
        <w:rPr>
          <w:rFonts w:asciiTheme="minorHAnsi" w:hAnsiTheme="minorHAnsi"/>
        </w:rPr>
        <w:t xml:space="preserve"> in the lung and liver</w:t>
      </w:r>
      <w:r w:rsidR="00056528">
        <w:rPr>
          <w:rFonts w:asciiTheme="minorHAnsi" w:hAnsiTheme="minorHAnsi"/>
        </w:rPr>
        <w:t>,</w:t>
      </w:r>
      <w:r w:rsidRPr="009B712B">
        <w:rPr>
          <w:rFonts w:asciiTheme="minorHAnsi" w:hAnsiTheme="minorHAnsi"/>
        </w:rPr>
        <w:t xml:space="preserve"> which is also active and higher receptor binding than </w:t>
      </w:r>
      <w:proofErr w:type="spellStart"/>
      <w:r w:rsidR="0034513C">
        <w:t>beclometasone</w:t>
      </w:r>
      <w:proofErr w:type="spellEnd"/>
      <w:r w:rsidR="0034513C">
        <w:t xml:space="preserve"> dipropionate</w:t>
      </w:r>
      <w:r w:rsidRPr="009B712B">
        <w:rPr>
          <w:rFonts w:asciiTheme="minorHAnsi" w:hAnsiTheme="minorHAnsi"/>
        </w:rPr>
        <w:t>. The systemic availability of the active met</w:t>
      </w:r>
      <w:r>
        <w:rPr>
          <w:rFonts w:asciiTheme="minorHAnsi" w:hAnsiTheme="minorHAnsi"/>
        </w:rPr>
        <w:t xml:space="preserve">abolite arises from lung </w:t>
      </w:r>
      <w:r w:rsidRPr="009B712B">
        <w:rPr>
          <w:rFonts w:asciiTheme="minorHAnsi" w:hAnsiTheme="minorHAnsi"/>
        </w:rPr>
        <w:t>and from gastrointestinal absorption of the swallowed dose. Th</w:t>
      </w:r>
      <w:r w:rsidR="0034513C">
        <w:rPr>
          <w:rFonts w:asciiTheme="minorHAnsi" w:hAnsiTheme="minorHAnsi"/>
        </w:rPr>
        <w:t xml:space="preserve">e bioavailability of swallowed </w:t>
      </w:r>
      <w:proofErr w:type="spellStart"/>
      <w:r w:rsidR="0034513C">
        <w:rPr>
          <w:rFonts w:asciiTheme="minorHAnsi" w:hAnsiTheme="minorHAnsi"/>
        </w:rPr>
        <w:t>b</w:t>
      </w:r>
      <w:r w:rsidRPr="009B712B">
        <w:rPr>
          <w:rFonts w:asciiTheme="minorHAnsi" w:hAnsiTheme="minorHAnsi"/>
        </w:rPr>
        <w:t>eclomethasone</w:t>
      </w:r>
      <w:proofErr w:type="spellEnd"/>
      <w:r w:rsidRPr="009B712B">
        <w:rPr>
          <w:rFonts w:asciiTheme="minorHAnsi" w:hAnsiTheme="minorHAnsi"/>
        </w:rPr>
        <w:t xml:space="preserve"> dipropionate is negligible</w:t>
      </w:r>
      <w:r w:rsidR="00A9453E">
        <w:rPr>
          <w:rFonts w:asciiTheme="minorHAnsi" w:hAnsiTheme="minorHAnsi"/>
        </w:rPr>
        <w:t>;</w:t>
      </w:r>
      <w:r w:rsidRPr="009B712B">
        <w:rPr>
          <w:rFonts w:asciiTheme="minorHAnsi" w:hAnsiTheme="minorHAnsi"/>
        </w:rPr>
        <w:t xml:space="preserve"> however, pre-systemic conversion to beclometasone-17-monopropionate results in 41% of the dose being absorbed as the active metabolite. There is an approximately linear increase in systemic exposure with increasing inhaled dose. The absolute bioavailability following inhalation is approximately 2% and 62% of the nominal dose for unchanged </w:t>
      </w:r>
      <w:proofErr w:type="spellStart"/>
      <w:r w:rsidRPr="009B712B">
        <w:rPr>
          <w:rFonts w:asciiTheme="minorHAnsi" w:hAnsiTheme="minorHAnsi"/>
        </w:rPr>
        <w:t>beclometasone</w:t>
      </w:r>
      <w:proofErr w:type="spellEnd"/>
      <w:r w:rsidRPr="009B712B">
        <w:rPr>
          <w:rFonts w:asciiTheme="minorHAnsi" w:hAnsiTheme="minorHAnsi"/>
        </w:rPr>
        <w:t xml:space="preserve"> dipropionate and beclometasone-17-monopropionate respectively. The terminal elimination half-lives are 0.5 h</w:t>
      </w:r>
      <w:r w:rsidR="0034513C">
        <w:rPr>
          <w:rFonts w:asciiTheme="minorHAnsi" w:hAnsiTheme="minorHAnsi"/>
        </w:rPr>
        <w:t>ours</w:t>
      </w:r>
      <w:r w:rsidRPr="009B712B">
        <w:rPr>
          <w:rFonts w:asciiTheme="minorHAnsi" w:hAnsiTheme="minorHAnsi"/>
        </w:rPr>
        <w:t xml:space="preserve"> and 2.7 h</w:t>
      </w:r>
      <w:r w:rsidR="0034513C">
        <w:rPr>
          <w:rFonts w:asciiTheme="minorHAnsi" w:hAnsiTheme="minorHAnsi"/>
        </w:rPr>
        <w:t xml:space="preserve">ours for </w:t>
      </w:r>
      <w:proofErr w:type="spellStart"/>
      <w:r w:rsidR="0034513C">
        <w:rPr>
          <w:rFonts w:asciiTheme="minorHAnsi" w:hAnsiTheme="minorHAnsi"/>
        </w:rPr>
        <w:t>b</w:t>
      </w:r>
      <w:r w:rsidRPr="009B712B">
        <w:rPr>
          <w:rFonts w:asciiTheme="minorHAnsi" w:hAnsiTheme="minorHAnsi"/>
        </w:rPr>
        <w:t>eclomethasone</w:t>
      </w:r>
      <w:proofErr w:type="spellEnd"/>
      <w:r w:rsidRPr="009B712B">
        <w:rPr>
          <w:rFonts w:asciiTheme="minorHAnsi" w:hAnsiTheme="minorHAnsi"/>
        </w:rPr>
        <w:t xml:space="preserve"> dipropionate and beclometasone-</w:t>
      </w:r>
      <w:r w:rsidR="005A6897">
        <w:rPr>
          <w:rFonts w:asciiTheme="minorHAnsi" w:hAnsiTheme="minorHAnsi"/>
        </w:rPr>
        <w:t>17-monopropionate</w:t>
      </w:r>
      <w:r w:rsidR="0034513C">
        <w:rPr>
          <w:rFonts w:asciiTheme="minorHAnsi" w:hAnsiTheme="minorHAnsi"/>
        </w:rPr>
        <w:t>,</w:t>
      </w:r>
      <w:r w:rsidR="005A6897">
        <w:rPr>
          <w:rFonts w:asciiTheme="minorHAnsi" w:hAnsiTheme="minorHAnsi"/>
        </w:rPr>
        <w:t xml:space="preserve"> respectively.</w:t>
      </w:r>
    </w:p>
    <w:p w14:paraId="65328C20" w14:textId="3FDFA8C0" w:rsidR="00426CBA" w:rsidRPr="005A6897" w:rsidRDefault="00426CBA" w:rsidP="005A6897">
      <w:pPr>
        <w:rPr>
          <w:rFonts w:ascii="Times New Roman" w:eastAsiaTheme="minorHAnsi" w:hAnsi="Times New Roman"/>
          <w:color w:val="000000"/>
          <w:sz w:val="17"/>
          <w:szCs w:val="17"/>
        </w:rPr>
      </w:pPr>
      <w:proofErr w:type="spellStart"/>
      <w:r>
        <w:rPr>
          <w:rFonts w:asciiTheme="minorHAnsi" w:hAnsiTheme="minorHAnsi"/>
        </w:rPr>
        <w:lastRenderedPageBreak/>
        <w:t>Beclomethasone</w:t>
      </w:r>
      <w:proofErr w:type="spellEnd"/>
      <w:r w:rsidRPr="004D7DDA">
        <w:rPr>
          <w:rFonts w:asciiTheme="minorHAnsi" w:hAnsiTheme="minorHAnsi"/>
        </w:rPr>
        <w:t xml:space="preserve"> </w:t>
      </w:r>
      <w:r w:rsidR="00D03290">
        <w:rPr>
          <w:rFonts w:asciiTheme="minorHAnsi" w:hAnsiTheme="minorHAnsi"/>
        </w:rPr>
        <w:t xml:space="preserve">dipropionate </w:t>
      </w:r>
      <w:r w:rsidRPr="004D7DDA">
        <w:rPr>
          <w:rFonts w:asciiTheme="minorHAnsi" w:hAnsiTheme="minorHAnsi"/>
        </w:rPr>
        <w:t>is ranked second to fluticasone (by 3 fol</w:t>
      </w:r>
      <w:r w:rsidR="0034513C">
        <w:rPr>
          <w:rFonts w:asciiTheme="minorHAnsi" w:hAnsiTheme="minorHAnsi"/>
        </w:rPr>
        <w:t>d) and above budesonide (by 100 </w:t>
      </w:r>
      <w:r w:rsidRPr="004D7DDA">
        <w:rPr>
          <w:rFonts w:asciiTheme="minorHAnsi" w:hAnsiTheme="minorHAnsi"/>
        </w:rPr>
        <w:t>f</w:t>
      </w:r>
      <w:r w:rsidR="0034513C">
        <w:rPr>
          <w:rFonts w:asciiTheme="minorHAnsi" w:hAnsiTheme="minorHAnsi"/>
        </w:rPr>
        <w:t xml:space="preserve">old) in terms of </w:t>
      </w:r>
      <w:proofErr w:type="spellStart"/>
      <w:r w:rsidR="0034513C">
        <w:rPr>
          <w:rFonts w:asciiTheme="minorHAnsi" w:hAnsiTheme="minorHAnsi"/>
        </w:rPr>
        <w:t>lipophilicity</w:t>
      </w:r>
      <w:proofErr w:type="spellEnd"/>
      <w:r w:rsidR="0034513C">
        <w:rPr>
          <w:rFonts w:asciiTheme="minorHAnsi" w:hAnsiTheme="minorHAnsi"/>
        </w:rPr>
        <w:t>.</w:t>
      </w:r>
      <w:r w:rsidRPr="004D7DDA">
        <w:rPr>
          <w:rFonts w:asciiTheme="minorHAnsi" w:hAnsiTheme="minorHAnsi"/>
        </w:rPr>
        <w:t xml:space="preserve"> High </w:t>
      </w:r>
      <w:proofErr w:type="spellStart"/>
      <w:r w:rsidRPr="004D7DDA">
        <w:rPr>
          <w:rFonts w:asciiTheme="minorHAnsi" w:hAnsiTheme="minorHAnsi"/>
        </w:rPr>
        <w:t>lipophilicity</w:t>
      </w:r>
      <w:proofErr w:type="spellEnd"/>
      <w:r w:rsidRPr="004D7DDA">
        <w:rPr>
          <w:rFonts w:asciiTheme="minorHAnsi" w:hAnsiTheme="minorHAnsi"/>
        </w:rPr>
        <w:t xml:space="preserve"> is associated with increased deposition in lung tissue, slow release from the lung lipid compartment, increased affinity for the glucocorticoid receptor, and prolonged glucoco</w:t>
      </w:r>
      <w:r w:rsidR="0056734E">
        <w:rPr>
          <w:rFonts w:asciiTheme="minorHAnsi" w:hAnsiTheme="minorHAnsi"/>
        </w:rPr>
        <w:t>rticoid receptor occupancy</w:t>
      </w:r>
      <w:r w:rsidR="0034513C">
        <w:rPr>
          <w:rFonts w:asciiTheme="minorHAnsi" w:hAnsiTheme="minorHAnsi"/>
        </w:rPr>
        <w:t>.</w:t>
      </w:r>
      <w:bookmarkStart w:id="40" w:name="_Ref39780095"/>
      <w:r w:rsidR="0034513C">
        <w:rPr>
          <w:rStyle w:val="FootnoteReference"/>
          <w:rFonts w:asciiTheme="minorHAnsi" w:hAnsiTheme="minorHAnsi"/>
        </w:rPr>
        <w:footnoteReference w:id="13"/>
      </w:r>
      <w:bookmarkEnd w:id="40"/>
    </w:p>
    <w:p w14:paraId="5F36A50E" w14:textId="42FD0986" w:rsidR="00426CBA" w:rsidRPr="00E321E5" w:rsidRDefault="00426CBA" w:rsidP="005A6897">
      <w:pPr>
        <w:rPr>
          <w:rFonts w:asciiTheme="minorHAnsi" w:hAnsiTheme="minorHAnsi"/>
        </w:rPr>
      </w:pPr>
      <w:r w:rsidRPr="009B712B">
        <w:t xml:space="preserve">Following inhalation, </w:t>
      </w:r>
      <w:proofErr w:type="spellStart"/>
      <w:r w:rsidRPr="0034513C">
        <w:t>formoterol</w:t>
      </w:r>
      <w:proofErr w:type="spellEnd"/>
      <w:r w:rsidRPr="0034513C">
        <w:t xml:space="preserve"> </w:t>
      </w:r>
      <w:r w:rsidRPr="009B712B">
        <w:t>is absorbed both from the lung and from the gastrointestinal tract. The fraction of an inhaled dose that is swallowed after administration with a metered dose inhaler (MDI) may range between 60% and 90%.</w:t>
      </w:r>
      <w:r w:rsidRPr="009B712B">
        <w:rPr>
          <w:rFonts w:asciiTheme="minorHAnsi" w:hAnsiTheme="minorHAnsi"/>
        </w:rPr>
        <w:t xml:space="preserve"> </w:t>
      </w:r>
      <w:r w:rsidRPr="009B712B">
        <w:t>Peak plasma concentrations of unchanged drug occur within 0.5 to 1 hours after oral administration. The elimination half-life determined</w:t>
      </w:r>
      <w:r w:rsidR="0056734E">
        <w:t xml:space="preserve"> after oral administration is 2 to 3 </w:t>
      </w:r>
      <w:r w:rsidRPr="009B712B">
        <w:t xml:space="preserve">hours. Absorption of </w:t>
      </w:r>
      <w:proofErr w:type="spellStart"/>
      <w:r w:rsidRPr="009B712B">
        <w:t>formoterol</w:t>
      </w:r>
      <w:proofErr w:type="spellEnd"/>
      <w:r w:rsidRPr="009B712B">
        <w:t xml:space="preserve"> is linear following inhalation of 12 to 96 μg of </w:t>
      </w:r>
      <w:proofErr w:type="spellStart"/>
      <w:r w:rsidRPr="009B712B">
        <w:t>formoterol</w:t>
      </w:r>
      <w:proofErr w:type="spellEnd"/>
      <w:r w:rsidRPr="009B712B">
        <w:t xml:space="preserve"> fumarate. </w:t>
      </w:r>
      <w:r>
        <w:rPr>
          <w:rFonts w:asciiTheme="minorHAnsi" w:hAnsiTheme="minorHAnsi"/>
        </w:rPr>
        <w:t>It is widely metabolised in the liver. The data on the te</w:t>
      </w:r>
      <w:r w:rsidR="0056734E">
        <w:rPr>
          <w:rFonts w:asciiTheme="minorHAnsi" w:hAnsiTheme="minorHAnsi"/>
        </w:rPr>
        <w:t>rminal elimination half</w:t>
      </w:r>
      <w:r w:rsidR="0038621A">
        <w:rPr>
          <w:rFonts w:asciiTheme="minorHAnsi" w:hAnsiTheme="minorHAnsi"/>
        </w:rPr>
        <w:t>-</w:t>
      </w:r>
      <w:r w:rsidR="0056734E">
        <w:rPr>
          <w:rFonts w:asciiTheme="minorHAnsi" w:hAnsiTheme="minorHAnsi"/>
        </w:rPr>
        <w:t xml:space="preserve">life (2 to </w:t>
      </w:r>
      <w:r>
        <w:rPr>
          <w:rFonts w:asciiTheme="minorHAnsi" w:hAnsiTheme="minorHAnsi"/>
        </w:rPr>
        <w:t>10 hour</w:t>
      </w:r>
      <w:r w:rsidR="0056734E">
        <w:rPr>
          <w:rFonts w:asciiTheme="minorHAnsi" w:hAnsiTheme="minorHAnsi"/>
        </w:rPr>
        <w:t>s</w:t>
      </w:r>
      <w:r w:rsidR="00056528">
        <w:rPr>
          <w:rFonts w:asciiTheme="minorHAnsi" w:hAnsiTheme="minorHAnsi"/>
        </w:rPr>
        <w:t xml:space="preserve">) and renal excretion (6 to </w:t>
      </w:r>
      <w:r>
        <w:rPr>
          <w:rFonts w:asciiTheme="minorHAnsi" w:hAnsiTheme="minorHAnsi"/>
        </w:rPr>
        <w:t>67%) is variable according to route of administration or</w:t>
      </w:r>
      <w:r w:rsidR="005A6897">
        <w:rPr>
          <w:rFonts w:asciiTheme="minorHAnsi" w:hAnsiTheme="minorHAnsi"/>
        </w:rPr>
        <w:t xml:space="preserve"> dose.</w:t>
      </w:r>
    </w:p>
    <w:p w14:paraId="4E66E679" w14:textId="2D46A588" w:rsidR="00426CBA" w:rsidRDefault="00426CBA" w:rsidP="005A6897">
      <w:r>
        <w:t>Six PK/</w:t>
      </w:r>
      <w:r w:rsidR="0056734E">
        <w:t>pharmacodynamic (</w:t>
      </w:r>
      <w:r>
        <w:t>PD</w:t>
      </w:r>
      <w:r w:rsidR="0056734E">
        <w:t>)</w:t>
      </w:r>
      <w:r>
        <w:t xml:space="preserve"> studies were submitted</w:t>
      </w:r>
      <w:r w:rsidR="00414E1B">
        <w:t>; in summary:</w:t>
      </w:r>
    </w:p>
    <w:p w14:paraId="5735F9CB" w14:textId="4B8D345B" w:rsidR="00023C59" w:rsidRDefault="00023C59" w:rsidP="008647F2">
      <w:pPr>
        <w:pStyle w:val="ListBullet"/>
      </w:pPr>
      <w:r w:rsidRPr="0056734E">
        <w:rPr>
          <w:i/>
        </w:rPr>
        <w:t>Study CP02</w:t>
      </w:r>
      <w:r>
        <w:t xml:space="preserve">: this study compared the systemic absorption and PD effect of </w:t>
      </w:r>
      <w:proofErr w:type="spellStart"/>
      <w:r>
        <w:t>Fostair</w:t>
      </w:r>
      <w:proofErr w:type="spellEnd"/>
      <w:r>
        <w:t xml:space="preserve"> versus separately administered </w:t>
      </w:r>
      <w:proofErr w:type="spellStart"/>
      <w:r>
        <w:t>Becotide</w:t>
      </w:r>
      <w:proofErr w:type="spellEnd"/>
      <w:r>
        <w:t xml:space="preserve"> (CFC) and </w:t>
      </w:r>
      <w:proofErr w:type="spellStart"/>
      <w:r>
        <w:t>formoterol</w:t>
      </w:r>
      <w:proofErr w:type="spellEnd"/>
      <w:r>
        <w:t xml:space="preserve">. There was a </w:t>
      </w:r>
      <w:r w:rsidRPr="00C36945">
        <w:t xml:space="preserve">greater </w:t>
      </w:r>
      <w:proofErr w:type="spellStart"/>
      <w:r w:rsidRPr="00C36945">
        <w:t>C</w:t>
      </w:r>
      <w:r w:rsidRPr="0056734E">
        <w:rPr>
          <w:vertAlign w:val="subscript"/>
        </w:rPr>
        <w:t>max</w:t>
      </w:r>
      <w:proofErr w:type="spellEnd"/>
      <w:r w:rsidRPr="00C36945">
        <w:t xml:space="preserve"> and AUC </w:t>
      </w:r>
      <w:r>
        <w:t xml:space="preserve">for </w:t>
      </w:r>
      <w:proofErr w:type="spellStart"/>
      <w:r>
        <w:t>beclom</w:t>
      </w:r>
      <w:r w:rsidR="008647F2">
        <w:t>etasone</w:t>
      </w:r>
      <w:proofErr w:type="spellEnd"/>
      <w:r w:rsidR="008647F2">
        <w:t xml:space="preserve"> dipropionate with </w:t>
      </w:r>
      <w:proofErr w:type="spellStart"/>
      <w:r w:rsidR="008647F2">
        <w:t>Fostair</w:t>
      </w:r>
      <w:proofErr w:type="spellEnd"/>
      <w:r w:rsidRPr="00C36945">
        <w:t xml:space="preserve"> </w:t>
      </w:r>
      <w:r>
        <w:t xml:space="preserve">(despite the lower dose) than CFC </w:t>
      </w:r>
      <w:proofErr w:type="spellStart"/>
      <w:r>
        <w:t>beclometasone</w:t>
      </w:r>
      <w:proofErr w:type="spellEnd"/>
      <w:r>
        <w:t xml:space="preserve"> dipropionate. This is consistent with the greater pulmonary deposition and subsequent absorption of the HFA formulation.</w:t>
      </w:r>
    </w:p>
    <w:p w14:paraId="4CBCB74A" w14:textId="04A5425F" w:rsidR="00023C59" w:rsidRDefault="00023C59" w:rsidP="008647F2">
      <w:pPr>
        <w:pStyle w:val="ListBullet"/>
      </w:pPr>
      <w:r w:rsidRPr="0056734E">
        <w:rPr>
          <w:i/>
        </w:rPr>
        <w:t>Study CP04</w:t>
      </w:r>
      <w:r>
        <w:t xml:space="preserve">: this study showed similar exposure to </w:t>
      </w:r>
      <w:proofErr w:type="spellStart"/>
      <w:r>
        <w:t>becomethasone</w:t>
      </w:r>
      <w:proofErr w:type="spellEnd"/>
      <w:r>
        <w:t xml:space="preserve"> </w:t>
      </w:r>
      <w:r w:rsidR="00790D9D">
        <w:t xml:space="preserve">dipropionate </w:t>
      </w:r>
      <w:r>
        <w:t>with or without charcoal block, indicating low oral absorption and high pulmonary absorption. Absorption was greatly increased by the spacer.</w:t>
      </w:r>
    </w:p>
    <w:p w14:paraId="7ED063DA" w14:textId="77777777" w:rsidR="00023C59" w:rsidRDefault="00023C59" w:rsidP="008647F2">
      <w:pPr>
        <w:pStyle w:val="ListBullet"/>
      </w:pPr>
      <w:r w:rsidRPr="0056734E">
        <w:rPr>
          <w:i/>
        </w:rPr>
        <w:t>Study CP01</w:t>
      </w:r>
      <w:r>
        <w:t xml:space="preserve">: this study showed no evidence of PK interaction between </w:t>
      </w:r>
      <w:proofErr w:type="spellStart"/>
      <w:r>
        <w:t>monocomponents</w:t>
      </w:r>
      <w:proofErr w:type="spellEnd"/>
      <w:r>
        <w:t xml:space="preserve"> and FDC.</w:t>
      </w:r>
    </w:p>
    <w:p w14:paraId="451B615D" w14:textId="0C0B9C99" w:rsidR="00023C59" w:rsidRPr="00414E1B" w:rsidRDefault="00023C59" w:rsidP="008647F2">
      <w:pPr>
        <w:pStyle w:val="ListBullet"/>
      </w:pPr>
      <w:r w:rsidRPr="0056734E">
        <w:rPr>
          <w:i/>
        </w:rPr>
        <w:t>Study CP06</w:t>
      </w:r>
      <w:r>
        <w:t>: examined lung deposition in health volunteers, patients with moderate to severe asthma and stable COPD. There was slightly more distribution of the drugs in the central airways of those with asthma and COPD than there was for healthy volunteers.</w:t>
      </w:r>
    </w:p>
    <w:p w14:paraId="0BF25FA5" w14:textId="77777777" w:rsidR="00426CBA" w:rsidRPr="00C42270" w:rsidRDefault="005A6897" w:rsidP="005A6897">
      <w:pPr>
        <w:pStyle w:val="Heading5"/>
      </w:pPr>
      <w:r>
        <w:t>Doses</w:t>
      </w:r>
    </w:p>
    <w:p w14:paraId="6C4BFA3B" w14:textId="77777777" w:rsidR="00426CBA" w:rsidRDefault="0056734E" w:rsidP="005A6897">
      <w:pPr>
        <w:rPr>
          <w:rFonts w:asciiTheme="minorHAnsi" w:hAnsiTheme="minorHAnsi"/>
        </w:rPr>
      </w:pPr>
      <w:r>
        <w:rPr>
          <w:rFonts w:asciiTheme="minorHAnsi" w:hAnsiTheme="minorHAnsi"/>
        </w:rPr>
        <w:t xml:space="preserve">The dose of </w:t>
      </w:r>
      <w:proofErr w:type="spellStart"/>
      <w:r>
        <w:rPr>
          <w:rFonts w:asciiTheme="minorHAnsi" w:hAnsiTheme="minorHAnsi"/>
        </w:rPr>
        <w:t>b</w:t>
      </w:r>
      <w:r w:rsidR="00426CBA">
        <w:rPr>
          <w:rFonts w:asciiTheme="minorHAnsi" w:hAnsiTheme="minorHAnsi"/>
        </w:rPr>
        <w:t>eclomethasone</w:t>
      </w:r>
      <w:proofErr w:type="spellEnd"/>
      <w:r w:rsidR="00426CBA">
        <w:rPr>
          <w:rFonts w:asciiTheme="minorHAnsi" w:hAnsiTheme="minorHAnsi"/>
        </w:rPr>
        <w:t xml:space="preserve"> was based upon similar doses to other ICS taking into account the local deposition, re</w:t>
      </w:r>
      <w:r w:rsidR="005A6897">
        <w:rPr>
          <w:rFonts w:asciiTheme="minorHAnsi" w:hAnsiTheme="minorHAnsi"/>
        </w:rPr>
        <w:t>lati</w:t>
      </w:r>
      <w:r w:rsidR="00F925FA">
        <w:rPr>
          <w:rFonts w:asciiTheme="minorHAnsi" w:hAnsiTheme="minorHAnsi"/>
        </w:rPr>
        <w:t>ve potency of the steroid.</w:t>
      </w:r>
    </w:p>
    <w:p w14:paraId="39CB999A" w14:textId="2D9319BC" w:rsidR="00426CBA" w:rsidRPr="005A6897" w:rsidRDefault="00426CBA" w:rsidP="005A6897">
      <w:pPr>
        <w:rPr>
          <w:rFonts w:asciiTheme="minorHAnsi" w:hAnsiTheme="minorHAnsi"/>
        </w:rPr>
      </w:pPr>
      <w:r>
        <w:rPr>
          <w:rFonts w:asciiTheme="minorHAnsi" w:hAnsiTheme="minorHAnsi"/>
        </w:rPr>
        <w:t xml:space="preserve">The dose of </w:t>
      </w:r>
      <w:proofErr w:type="spellStart"/>
      <w:r>
        <w:rPr>
          <w:rFonts w:asciiTheme="minorHAnsi" w:hAnsiTheme="minorHAnsi"/>
        </w:rPr>
        <w:t>formoterol</w:t>
      </w:r>
      <w:proofErr w:type="spellEnd"/>
      <w:r>
        <w:rPr>
          <w:rFonts w:asciiTheme="minorHAnsi" w:hAnsiTheme="minorHAnsi"/>
        </w:rPr>
        <w:t xml:space="preserve"> is similar to that in other </w:t>
      </w:r>
      <w:proofErr w:type="spellStart"/>
      <w:r>
        <w:rPr>
          <w:rFonts w:asciiTheme="minorHAnsi" w:hAnsiTheme="minorHAnsi"/>
        </w:rPr>
        <w:t>formoterol</w:t>
      </w:r>
      <w:proofErr w:type="spellEnd"/>
      <w:r>
        <w:rPr>
          <w:rFonts w:asciiTheme="minorHAnsi" w:hAnsiTheme="minorHAnsi"/>
        </w:rPr>
        <w:t xml:space="preserve"> inhaled medicines. The sponsor submitted a number o</w:t>
      </w:r>
      <w:r w:rsidR="00056528">
        <w:rPr>
          <w:rFonts w:asciiTheme="minorHAnsi" w:hAnsiTheme="minorHAnsi"/>
        </w:rPr>
        <w:t xml:space="preserve">f PD studies examining the dose </w:t>
      </w:r>
      <w:r>
        <w:rPr>
          <w:rFonts w:asciiTheme="minorHAnsi" w:hAnsiTheme="minorHAnsi"/>
        </w:rPr>
        <w:t xml:space="preserve">effect of </w:t>
      </w:r>
      <w:proofErr w:type="spellStart"/>
      <w:r>
        <w:rPr>
          <w:rFonts w:asciiTheme="minorHAnsi" w:hAnsiTheme="minorHAnsi"/>
        </w:rPr>
        <w:t>f</w:t>
      </w:r>
      <w:r w:rsidR="00056528">
        <w:rPr>
          <w:rFonts w:asciiTheme="minorHAnsi" w:hAnsiTheme="minorHAnsi"/>
        </w:rPr>
        <w:t>ormoterol</w:t>
      </w:r>
      <w:proofErr w:type="spellEnd"/>
      <w:r w:rsidR="00056528">
        <w:rPr>
          <w:rFonts w:asciiTheme="minorHAnsi" w:hAnsiTheme="minorHAnsi"/>
        </w:rPr>
        <w:t xml:space="preserve"> to demonstrate a dose</w:t>
      </w:r>
      <w:r>
        <w:rPr>
          <w:rFonts w:asciiTheme="minorHAnsi" w:hAnsiTheme="minorHAnsi"/>
        </w:rPr>
        <w:t xml:space="preserve"> dependent eff</w:t>
      </w:r>
      <w:r w:rsidR="0056734E">
        <w:rPr>
          <w:rFonts w:asciiTheme="minorHAnsi" w:hAnsiTheme="minorHAnsi"/>
        </w:rPr>
        <w:t xml:space="preserve">ect. The Delegate </w:t>
      </w:r>
      <w:r>
        <w:rPr>
          <w:rFonts w:asciiTheme="minorHAnsi" w:hAnsiTheme="minorHAnsi"/>
        </w:rPr>
        <w:t>agree</w:t>
      </w:r>
      <w:r w:rsidR="0056734E">
        <w:rPr>
          <w:rFonts w:asciiTheme="minorHAnsi" w:hAnsiTheme="minorHAnsi"/>
        </w:rPr>
        <w:t>s</w:t>
      </w:r>
      <w:r>
        <w:rPr>
          <w:rFonts w:asciiTheme="minorHAnsi" w:hAnsiTheme="minorHAnsi"/>
        </w:rPr>
        <w:t xml:space="preserve"> wit</w:t>
      </w:r>
      <w:r w:rsidR="0056734E">
        <w:rPr>
          <w:rFonts w:asciiTheme="minorHAnsi" w:hAnsiTheme="minorHAnsi"/>
        </w:rPr>
        <w:t>h the evaluator that above a total daily dose</w:t>
      </w:r>
      <w:r>
        <w:rPr>
          <w:rFonts w:asciiTheme="minorHAnsi" w:hAnsiTheme="minorHAnsi"/>
        </w:rPr>
        <w:t xml:space="preserve"> of 12</w:t>
      </w:r>
      <w:r w:rsidR="00414E1B">
        <w:rPr>
          <w:rFonts w:asciiTheme="minorHAnsi" w:hAnsiTheme="minorHAnsi"/>
        </w:rPr>
        <w:t xml:space="preserve"> </w:t>
      </w:r>
      <w:r>
        <w:rPr>
          <w:rFonts w:asciiTheme="minorHAnsi" w:hAnsiTheme="minorHAnsi"/>
        </w:rPr>
        <w:t>µg there is large variability in response</w:t>
      </w:r>
      <w:r w:rsidR="0056734E">
        <w:rPr>
          <w:rFonts w:asciiTheme="minorHAnsi" w:hAnsiTheme="minorHAnsi"/>
        </w:rPr>
        <w:t>,</w:t>
      </w:r>
      <w:r>
        <w:rPr>
          <w:rFonts w:asciiTheme="minorHAnsi" w:hAnsiTheme="minorHAnsi"/>
        </w:rPr>
        <w:t xml:space="preserve"> and a lot of cross over in confidence intervals bet</w:t>
      </w:r>
      <w:r w:rsidR="005A6897">
        <w:rPr>
          <w:rFonts w:asciiTheme="minorHAnsi" w:hAnsiTheme="minorHAnsi"/>
        </w:rPr>
        <w:t>ween the 12, 24 and 48 µg dose.</w:t>
      </w:r>
    </w:p>
    <w:p w14:paraId="52D07FA3" w14:textId="77777777" w:rsidR="00426CBA" w:rsidRDefault="00426CBA" w:rsidP="005A6897">
      <w:pPr>
        <w:pStyle w:val="Heading4"/>
      </w:pPr>
      <w:r w:rsidRPr="003F08CF">
        <w:t>Efficacy</w:t>
      </w:r>
    </w:p>
    <w:p w14:paraId="23BD7020" w14:textId="77777777" w:rsidR="00041BB8" w:rsidRPr="00400CB2" w:rsidRDefault="001F37E0" w:rsidP="001F37E0">
      <w:pPr>
        <w:pStyle w:val="Heading5"/>
      </w:pPr>
      <w:r>
        <w:t>Asthma</w:t>
      </w:r>
    </w:p>
    <w:p w14:paraId="35834249" w14:textId="77777777" w:rsidR="00041BB8" w:rsidRPr="001F37E0" w:rsidRDefault="001F37E0" w:rsidP="001F37E0">
      <w:pPr>
        <w:pStyle w:val="Heading6"/>
      </w:pPr>
      <w:r w:rsidRPr="001F37E0">
        <w:t xml:space="preserve">Study </w:t>
      </w:r>
      <w:r w:rsidR="00041BB8" w:rsidRPr="001F37E0">
        <w:t>CT07</w:t>
      </w:r>
    </w:p>
    <w:p w14:paraId="0792A903" w14:textId="791C5452" w:rsidR="00041BB8" w:rsidRPr="0056734E" w:rsidRDefault="00245C4E" w:rsidP="00041BB8">
      <w:r w:rsidRPr="00245C4E">
        <w:rPr>
          <w:i/>
        </w:rPr>
        <w:t>Study design</w:t>
      </w:r>
      <w:r>
        <w:t xml:space="preserve">: </w:t>
      </w:r>
      <w:r w:rsidR="00056528">
        <w:t>Study CT07</w:t>
      </w:r>
      <w:r w:rsidR="0056734E">
        <w:t xml:space="preserve"> was a 48</w:t>
      </w:r>
      <w:r w:rsidR="00B43FEC">
        <w:t xml:space="preserve"> </w:t>
      </w:r>
      <w:r w:rsidR="0056734E">
        <w:t>week, P</w:t>
      </w:r>
      <w:r w:rsidR="00041BB8" w:rsidRPr="00B8797B">
        <w:t>hase III, double blind, randomised, 2 arm parallel group study in asthmatic patients</w:t>
      </w:r>
      <w:r w:rsidR="00041BB8">
        <w:t xml:space="preserve"> not fully controlled on ICS (with or without LABA). The study was designed to show superiority of </w:t>
      </w:r>
      <w:proofErr w:type="spellStart"/>
      <w:r w:rsidR="00F925FA">
        <w:t>Fostair</w:t>
      </w:r>
      <w:proofErr w:type="spellEnd"/>
      <w:r w:rsidR="00041BB8">
        <w:t xml:space="preserve"> as maintenance plus </w:t>
      </w:r>
      <w:r w:rsidR="00041BB8">
        <w:lastRenderedPageBreak/>
        <w:t xml:space="preserve">reliever therapy compared to </w:t>
      </w:r>
      <w:proofErr w:type="spellStart"/>
      <w:r w:rsidR="0056734E">
        <w:t>Fostair</w:t>
      </w:r>
      <w:proofErr w:type="spellEnd"/>
      <w:r w:rsidR="00041BB8">
        <w:t xml:space="preserve"> as maintenance and salbutamol as reliever therapy. The primary efficacy endpoint was time to first severe </w:t>
      </w:r>
      <w:r w:rsidR="00C13B9A">
        <w:t xml:space="preserve">asthma </w:t>
      </w:r>
      <w:r w:rsidR="00041BB8">
        <w:t>exacerbation.</w:t>
      </w:r>
    </w:p>
    <w:p w14:paraId="206A9E4D" w14:textId="360EC8B3" w:rsidR="00041BB8" w:rsidRPr="00B8797B" w:rsidRDefault="00041BB8" w:rsidP="00A74331">
      <w:pPr>
        <w:ind w:right="-143"/>
      </w:pPr>
      <w:r w:rsidRPr="0056734E">
        <w:rPr>
          <w:i/>
        </w:rPr>
        <w:t>Active treatment</w:t>
      </w:r>
      <w:r w:rsidRPr="00B8797B">
        <w:t xml:space="preserve">: </w:t>
      </w:r>
      <w:proofErr w:type="spellStart"/>
      <w:r w:rsidR="0056734E" w:rsidRPr="00B8797B">
        <w:t>Fost</w:t>
      </w:r>
      <w:r w:rsidR="0056734E">
        <w:t>ai</w:t>
      </w:r>
      <w:r w:rsidR="0056734E" w:rsidRPr="00B8797B">
        <w:t>r</w:t>
      </w:r>
      <w:proofErr w:type="spellEnd"/>
      <w:r w:rsidR="00B43FEC">
        <w:t xml:space="preserve">, </w:t>
      </w:r>
      <w:r w:rsidRPr="00B8797B">
        <w:t xml:space="preserve">1 inhalation twice daily plus </w:t>
      </w:r>
      <w:proofErr w:type="spellStart"/>
      <w:r w:rsidR="0056734E">
        <w:t>Fostair</w:t>
      </w:r>
      <w:proofErr w:type="spellEnd"/>
      <w:r>
        <w:t xml:space="preserve"> </w:t>
      </w:r>
      <w:r w:rsidRPr="00B8797B">
        <w:t>as needed</w:t>
      </w:r>
      <w:r w:rsidR="00056528">
        <w:t xml:space="preserve"> (up to 6</w:t>
      </w:r>
      <w:r w:rsidR="00A74331">
        <w:t xml:space="preserve"> </w:t>
      </w:r>
      <w:r w:rsidR="00056528">
        <w:t xml:space="preserve">inhalations daily), </w:t>
      </w:r>
      <w:r w:rsidR="0056734E">
        <w:t>maintenance and reliever therapy (</w:t>
      </w:r>
      <w:r>
        <w:t>MART</w:t>
      </w:r>
      <w:r w:rsidR="0056734E">
        <w:t>)</w:t>
      </w:r>
      <w:r>
        <w:t xml:space="preserve"> regimen</w:t>
      </w:r>
      <w:r w:rsidR="0044140B">
        <w:t>.</w:t>
      </w:r>
    </w:p>
    <w:p w14:paraId="3547AB04" w14:textId="407E7D24" w:rsidR="00041BB8" w:rsidRDefault="00041BB8" w:rsidP="00041BB8">
      <w:r w:rsidRPr="0044140B">
        <w:rPr>
          <w:i/>
        </w:rPr>
        <w:t>Comparator</w:t>
      </w:r>
      <w:r w:rsidRPr="00B8797B">
        <w:t xml:space="preserve">: </w:t>
      </w:r>
      <w:proofErr w:type="spellStart"/>
      <w:r w:rsidR="0044140B">
        <w:t>Fostair</w:t>
      </w:r>
      <w:proofErr w:type="spellEnd"/>
      <w:r w:rsidR="00414E1B">
        <w:t>,</w:t>
      </w:r>
      <w:r>
        <w:t xml:space="preserve"> </w:t>
      </w:r>
      <w:r w:rsidRPr="00B8797B">
        <w:t xml:space="preserve">1 </w:t>
      </w:r>
      <w:r w:rsidR="00414E1B">
        <w:t xml:space="preserve">inhalation </w:t>
      </w:r>
      <w:r w:rsidRPr="00B8797B">
        <w:t xml:space="preserve">twice daily plus salbutamol </w:t>
      </w:r>
      <w:r w:rsidR="0044140B">
        <w:t>as needed (PRN).</w:t>
      </w:r>
    </w:p>
    <w:p w14:paraId="19789764" w14:textId="050CD4E9" w:rsidR="00041BB8" w:rsidRDefault="00041BB8" w:rsidP="00041BB8">
      <w:r>
        <w:t xml:space="preserve">Patients were included if they had asthma for &gt; 6 months, </w:t>
      </w:r>
      <w:r w:rsidR="0044140B" w:rsidRPr="0044140B">
        <w:t xml:space="preserve">forced expiratory volume in one second </w:t>
      </w:r>
      <w:r w:rsidR="0044140B">
        <w:t>(</w:t>
      </w:r>
      <w:r>
        <w:t>FEV</w:t>
      </w:r>
      <w:r w:rsidRPr="00971634">
        <w:rPr>
          <w:vertAlign w:val="subscript"/>
        </w:rPr>
        <w:t>1</w:t>
      </w:r>
      <w:r w:rsidR="0044140B">
        <w:t>)</w:t>
      </w:r>
      <w:r>
        <w:t xml:space="preserve"> &gt;</w:t>
      </w:r>
      <w:r w:rsidR="0044140B">
        <w:t xml:space="preserve"> </w:t>
      </w:r>
      <w:r>
        <w:t xml:space="preserve">60% of </w:t>
      </w:r>
      <w:r w:rsidR="007874F9">
        <w:t>predicted</w:t>
      </w:r>
      <w:r>
        <w:t xml:space="preserve">, at least one exacerbation </w:t>
      </w:r>
      <w:r w:rsidR="0044140B">
        <w:t xml:space="preserve">per year, </w:t>
      </w:r>
      <w:r w:rsidR="007874F9">
        <w:t xml:space="preserve">and </w:t>
      </w:r>
      <w:r w:rsidR="0044140B">
        <w:t>were on ICS +/- LABA.</w:t>
      </w:r>
    </w:p>
    <w:p w14:paraId="42549020" w14:textId="77777777" w:rsidR="0044140B" w:rsidRDefault="0044140B" w:rsidP="0044140B">
      <w:pPr>
        <w:pStyle w:val="Heading7"/>
      </w:pPr>
      <w:r>
        <w:t>Results</w:t>
      </w:r>
    </w:p>
    <w:p w14:paraId="4129E953" w14:textId="77777777" w:rsidR="00041BB8" w:rsidRDefault="00041BB8" w:rsidP="0044140B">
      <w:r>
        <w:t>Baseline FEV</w:t>
      </w:r>
      <w:r w:rsidRPr="00971634">
        <w:rPr>
          <w:vertAlign w:val="subscript"/>
        </w:rPr>
        <w:t>1</w:t>
      </w:r>
      <w:r>
        <w:t xml:space="preserve"> was 74%</w:t>
      </w:r>
      <w:r w:rsidR="0044140B">
        <w:t>,</w:t>
      </w:r>
      <w:r>
        <w:t xml:space="preserve"> suggestive of mild airway obstruction. The mean ICS dose was 1100 µg/day (high dose range</w:t>
      </w:r>
      <w:r w:rsidR="0044140B">
        <w:t>).</w:t>
      </w:r>
    </w:p>
    <w:p w14:paraId="7FE8FCD9" w14:textId="1553C91C" w:rsidR="00041BB8" w:rsidRDefault="0044140B" w:rsidP="00041BB8">
      <w:proofErr w:type="spellStart"/>
      <w:r>
        <w:t>Fostair</w:t>
      </w:r>
      <w:proofErr w:type="spellEnd"/>
      <w:r w:rsidR="00041BB8">
        <w:t xml:space="preserve"> given as preventer and reliever medication significantly prolonged the time to first severe asthma exacerbation compared to </w:t>
      </w:r>
      <w:proofErr w:type="spellStart"/>
      <w:r w:rsidR="00041BB8">
        <w:t>F</w:t>
      </w:r>
      <w:r>
        <w:t>ostair</w:t>
      </w:r>
      <w:proofErr w:type="spellEnd"/>
      <w:r w:rsidR="00041BB8">
        <w:t xml:space="preserve"> as preventer and Ventolin </w:t>
      </w:r>
      <w:r>
        <w:t xml:space="preserve">(salbutamol) </w:t>
      </w:r>
      <w:r w:rsidR="00041BB8">
        <w:t>as reliever (p</w:t>
      </w:r>
      <w:r>
        <w:t xml:space="preserve"> </w:t>
      </w:r>
      <w:r w:rsidR="00041BB8">
        <w:t>&lt;</w:t>
      </w:r>
      <w:r>
        <w:t xml:space="preserve"> </w:t>
      </w:r>
      <w:r w:rsidR="00041BB8">
        <w:t xml:space="preserve">0.001 between groups). The hazard ratio between </w:t>
      </w:r>
      <w:proofErr w:type="spellStart"/>
      <w:r>
        <w:t>Fostair</w:t>
      </w:r>
      <w:proofErr w:type="spellEnd"/>
      <w:r w:rsidR="00041BB8">
        <w:t xml:space="preserve"> and Ventolin wa</w:t>
      </w:r>
      <w:r>
        <w:t xml:space="preserve">s 0.636 (95% </w:t>
      </w:r>
      <w:r w:rsidR="00056528">
        <w:t>confidence interval (</w:t>
      </w:r>
      <w:r>
        <w:t>CI</w:t>
      </w:r>
      <w:r w:rsidR="00056528">
        <w:t>)</w:t>
      </w:r>
      <w:r>
        <w:t xml:space="preserve"> 0.494 to </w:t>
      </w:r>
      <w:r w:rsidR="00041BB8">
        <w:t>0.820). The rate ratio for sever</w:t>
      </w:r>
      <w:r>
        <w:t xml:space="preserve">e exacerbations was 0.66 (0.546 to </w:t>
      </w:r>
      <w:r w:rsidR="00041BB8">
        <w:t>0.796</w:t>
      </w:r>
      <w:r w:rsidR="00B43FEC">
        <w:t>) favouring the MART treatment.</w:t>
      </w:r>
      <w:r w:rsidR="00790D9D" w:rsidRPr="00790D9D">
        <w:t xml:space="preserve"> </w:t>
      </w:r>
      <w:r w:rsidR="00790D9D">
        <w:t>There was an improvement of around 110 ml in FEV</w:t>
      </w:r>
      <w:r w:rsidR="00790D9D" w:rsidRPr="0044140B">
        <w:rPr>
          <w:vertAlign w:val="subscript"/>
        </w:rPr>
        <w:t>1</w:t>
      </w:r>
      <w:r w:rsidR="00790D9D">
        <w:t xml:space="preserve"> in both treatment groups. There was no significant difference in the amount of reliever medication used in treatment groups.</w:t>
      </w:r>
    </w:p>
    <w:p w14:paraId="28392006" w14:textId="77777777" w:rsidR="00041BB8" w:rsidRPr="001F37E0" w:rsidRDefault="00041BB8" w:rsidP="001F37E0">
      <w:pPr>
        <w:pStyle w:val="Heading6"/>
      </w:pPr>
      <w:r w:rsidRPr="001F37E0">
        <w:t>Study CCD-0605-PR-0021</w:t>
      </w:r>
    </w:p>
    <w:p w14:paraId="328E3E27" w14:textId="140907B2" w:rsidR="00041BB8" w:rsidRDefault="00041BB8" w:rsidP="00041BB8">
      <w:r w:rsidRPr="0044140B">
        <w:rPr>
          <w:i/>
        </w:rPr>
        <w:t>Study design</w:t>
      </w:r>
      <w:r w:rsidR="0044140B">
        <w:t xml:space="preserve">: Phase III, 3 arm parallel </w:t>
      </w:r>
      <w:r>
        <w:t xml:space="preserve">group </w:t>
      </w:r>
      <w:r w:rsidR="0044140B">
        <w:t>randomised controlled trial (</w:t>
      </w:r>
      <w:r>
        <w:t>RCT</w:t>
      </w:r>
      <w:r w:rsidR="0044140B">
        <w:t>)</w:t>
      </w:r>
      <w:r>
        <w:t xml:space="preserve"> in patients with severe persistent symptomatic asthma. The study was performed between 2008 and 2009. This study was included in the dossier to</w:t>
      </w:r>
      <w:r w:rsidR="0044140B">
        <w:t xml:space="preserve"> support safety</w:t>
      </w:r>
      <w:r w:rsidR="00056528">
        <w:t>,</w:t>
      </w:r>
      <w:r w:rsidR="0044140B">
        <w:t xml:space="preserve"> as the dose of </w:t>
      </w:r>
      <w:proofErr w:type="spellStart"/>
      <w:r w:rsidR="0044140B">
        <w:t>b</w:t>
      </w:r>
      <w:r>
        <w:t>eclomethasone</w:t>
      </w:r>
      <w:proofErr w:type="spellEnd"/>
      <w:r>
        <w:t xml:space="preserve"> used was more than</w:t>
      </w:r>
      <w:r w:rsidR="0044140B">
        <w:t xml:space="preserve"> that proposed to be marketed</w:t>
      </w:r>
      <w:r w:rsidR="00B43FEC">
        <w:t>.</w:t>
      </w:r>
    </w:p>
    <w:p w14:paraId="15F32BF2" w14:textId="27A36581" w:rsidR="00041BB8" w:rsidRDefault="00056528" w:rsidP="00041BB8">
      <w:r>
        <w:t>At V</w:t>
      </w:r>
      <w:r w:rsidR="00041BB8">
        <w:t xml:space="preserve">isit 1 (screening visit), patients with </w:t>
      </w:r>
      <w:r w:rsidR="00041BB8" w:rsidRPr="00981FCE">
        <w:t>severe persistent symptomatic asthma</w:t>
      </w:r>
      <w:r w:rsidR="0044140B">
        <w:t xml:space="preserve"> in need of a step </w:t>
      </w:r>
      <w:r w:rsidR="00041BB8" w:rsidRPr="00D66C2E">
        <w:t>up in therapy</w:t>
      </w:r>
      <w:r w:rsidR="0044140B">
        <w:t xml:space="preserve"> were </w:t>
      </w:r>
      <w:r w:rsidR="00041BB8">
        <w:t>selected. It was followed by a 2</w:t>
      </w:r>
      <w:r w:rsidR="00B43FEC">
        <w:t xml:space="preserve"> </w:t>
      </w:r>
      <w:r w:rsidR="00041BB8">
        <w:t>week run in period when all patien</w:t>
      </w:r>
      <w:r w:rsidR="0044140B">
        <w:t xml:space="preserve">ts received </w:t>
      </w:r>
      <w:proofErr w:type="spellStart"/>
      <w:r w:rsidR="0044140B">
        <w:t>beclomethasone</w:t>
      </w:r>
      <w:proofErr w:type="spellEnd"/>
      <w:r w:rsidR="00041BB8">
        <w:t xml:space="preserve"> HFA i</w:t>
      </w:r>
      <w:r w:rsidR="00116C0B">
        <w:t xml:space="preserve">nhaler 250 </w:t>
      </w:r>
      <w:r w:rsidR="00245C4E">
        <w:t>µg 2 inhalations twice daily (BD</w:t>
      </w:r>
      <w:r w:rsidR="00116C0B">
        <w:t>).</w:t>
      </w:r>
    </w:p>
    <w:p w14:paraId="2CE9AB39" w14:textId="77777777" w:rsidR="00041BB8" w:rsidRPr="00AC5334" w:rsidRDefault="00041BB8" w:rsidP="00041BB8">
      <w:r w:rsidRPr="00AC5334">
        <w:t>Treatment groups were:</w:t>
      </w:r>
    </w:p>
    <w:p w14:paraId="1B5A680D" w14:textId="4E7E7C3B" w:rsidR="00041BB8" w:rsidRDefault="00116C0B" w:rsidP="00116C0B">
      <w:pPr>
        <w:pStyle w:val="Numberbullet0"/>
      </w:pPr>
      <w:r>
        <w:t>Beclometasone dipropionate</w:t>
      </w:r>
      <w:r w:rsidR="00041BB8">
        <w:t xml:space="preserve"> 200</w:t>
      </w:r>
      <w:r>
        <w:t xml:space="preserve"> </w:t>
      </w:r>
      <w:r w:rsidR="00041BB8">
        <w:t>µg/</w:t>
      </w:r>
      <w:proofErr w:type="spellStart"/>
      <w:r w:rsidR="00041BB8">
        <w:t>formoterol</w:t>
      </w:r>
      <w:proofErr w:type="spellEnd"/>
      <w:r w:rsidR="00041BB8">
        <w:t xml:space="preserve"> 6</w:t>
      </w:r>
      <w:r>
        <w:t xml:space="preserve"> </w:t>
      </w:r>
      <w:r w:rsidR="00056528">
        <w:t xml:space="preserve">µg, 2 puffs </w:t>
      </w:r>
      <w:r w:rsidR="00245C4E">
        <w:t>BD</w:t>
      </w:r>
      <w:r w:rsidR="00056528">
        <w:t xml:space="preserve"> (</w:t>
      </w:r>
      <w:r w:rsidR="00041BB8">
        <w:t>this higher strength puffer is licenced in Europe</w:t>
      </w:r>
      <w:r w:rsidR="00790D9D">
        <w:t xml:space="preserve"> [Information redacted]</w:t>
      </w:r>
      <w:r w:rsidR="00041BB8">
        <w:t xml:space="preserve">) using </w:t>
      </w:r>
      <w:proofErr w:type="spellStart"/>
      <w:r w:rsidR="00041BB8">
        <w:t>pMDI</w:t>
      </w:r>
      <w:proofErr w:type="spellEnd"/>
      <w:r>
        <w:t>.</w:t>
      </w:r>
    </w:p>
    <w:p w14:paraId="765672FE" w14:textId="77777777" w:rsidR="00041BB8" w:rsidRDefault="00041BB8" w:rsidP="00116C0B">
      <w:pPr>
        <w:pStyle w:val="Numberbullet0"/>
      </w:pPr>
      <w:proofErr w:type="spellStart"/>
      <w:r>
        <w:t>Beclomethasone</w:t>
      </w:r>
      <w:proofErr w:type="spellEnd"/>
      <w:r>
        <w:t xml:space="preserve"> 2000</w:t>
      </w:r>
      <w:r w:rsidR="00116C0B">
        <w:t xml:space="preserve"> </w:t>
      </w:r>
      <w:r>
        <w:t>µg/day HFA</w:t>
      </w:r>
      <w:r w:rsidR="00116C0B">
        <w:t>.</w:t>
      </w:r>
    </w:p>
    <w:p w14:paraId="6D8663EB" w14:textId="34D13BE7" w:rsidR="00041BB8" w:rsidRPr="00752163" w:rsidRDefault="00116C0B" w:rsidP="00116C0B">
      <w:pPr>
        <w:pStyle w:val="Numberbullet0"/>
        <w:rPr>
          <w:lang w:val="it-IT"/>
        </w:rPr>
      </w:pPr>
      <w:r w:rsidRPr="00752163">
        <w:rPr>
          <w:lang w:val="it-IT"/>
        </w:rPr>
        <w:t>Seretide</w:t>
      </w:r>
      <w:r w:rsidR="00041BB8" w:rsidRPr="00752163">
        <w:rPr>
          <w:lang w:val="it-IT"/>
        </w:rPr>
        <w:t xml:space="preserve"> </w:t>
      </w:r>
      <w:r w:rsidRPr="00752163">
        <w:rPr>
          <w:lang w:val="it-IT"/>
        </w:rPr>
        <w:t xml:space="preserve">(fluticasone propionate/salmeterol xinafoate) </w:t>
      </w:r>
      <w:r w:rsidR="00041BB8" w:rsidRPr="00752163">
        <w:rPr>
          <w:lang w:val="it-IT"/>
        </w:rPr>
        <w:t xml:space="preserve">500/50 </w:t>
      </w:r>
      <w:r w:rsidR="00245C4E">
        <w:rPr>
          <w:lang w:val="it-IT"/>
        </w:rPr>
        <w:t>BD</w:t>
      </w:r>
      <w:r w:rsidR="00041BB8" w:rsidRPr="00752163">
        <w:rPr>
          <w:lang w:val="it-IT"/>
        </w:rPr>
        <w:t xml:space="preserve"> via </w:t>
      </w:r>
      <w:r w:rsidR="00414E1B">
        <w:rPr>
          <w:lang w:val="it-IT"/>
        </w:rPr>
        <w:t>A</w:t>
      </w:r>
      <w:r w:rsidR="00041BB8" w:rsidRPr="00752163">
        <w:rPr>
          <w:lang w:val="it-IT"/>
        </w:rPr>
        <w:t>ccuhaler</w:t>
      </w:r>
      <w:r w:rsidRPr="00752163">
        <w:rPr>
          <w:lang w:val="it-IT"/>
        </w:rPr>
        <w:t>.</w:t>
      </w:r>
    </w:p>
    <w:p w14:paraId="57B43311" w14:textId="77777777" w:rsidR="00041BB8" w:rsidRDefault="00041BB8" w:rsidP="001F37E0">
      <w:r>
        <w:t>Patients were treated for 24 weeks.</w:t>
      </w:r>
    </w:p>
    <w:p w14:paraId="37180764" w14:textId="77777777" w:rsidR="00041BB8" w:rsidRDefault="00041BB8" w:rsidP="00116C0B">
      <w:r>
        <w:t xml:space="preserve">The study was designed as a non-inferiority study between </w:t>
      </w:r>
      <w:proofErr w:type="spellStart"/>
      <w:r w:rsidR="00116C0B" w:rsidRPr="004851FE">
        <w:t>beclometasone</w:t>
      </w:r>
      <w:proofErr w:type="spellEnd"/>
      <w:r w:rsidR="00116C0B" w:rsidRPr="004851FE">
        <w:t xml:space="preserve"> dip</w:t>
      </w:r>
      <w:r w:rsidR="00116C0B">
        <w:t>ropionate/</w:t>
      </w:r>
      <w:proofErr w:type="spellStart"/>
      <w:r w:rsidR="00116C0B">
        <w:t>formoterol</w:t>
      </w:r>
      <w:proofErr w:type="spellEnd"/>
      <w:r w:rsidR="00116C0B">
        <w:t xml:space="preserve"> fumarate di</w:t>
      </w:r>
      <w:r w:rsidR="00116C0B" w:rsidRPr="004851FE">
        <w:t xml:space="preserve">hydrate </w:t>
      </w:r>
      <w:r>
        <w:t xml:space="preserve">and </w:t>
      </w:r>
      <w:proofErr w:type="spellStart"/>
      <w:r w:rsidR="00116C0B">
        <w:t>Seretide</w:t>
      </w:r>
      <w:proofErr w:type="spellEnd"/>
      <w:r>
        <w:t xml:space="preserve"> for change in FEV</w:t>
      </w:r>
      <w:r w:rsidRPr="00400CB2">
        <w:rPr>
          <w:vertAlign w:val="subscript"/>
        </w:rPr>
        <w:t>1</w:t>
      </w:r>
      <w:r>
        <w:t xml:space="preserve">, and a superiority study of </w:t>
      </w:r>
      <w:proofErr w:type="spellStart"/>
      <w:r w:rsidR="00116C0B">
        <w:t>beclometasone</w:t>
      </w:r>
      <w:proofErr w:type="spellEnd"/>
      <w:r w:rsidR="00116C0B">
        <w:t xml:space="preserve"> dipropionate/</w:t>
      </w:r>
      <w:proofErr w:type="spellStart"/>
      <w:r w:rsidR="00116C0B">
        <w:t>formoterol</w:t>
      </w:r>
      <w:proofErr w:type="spellEnd"/>
      <w:r w:rsidR="00116C0B">
        <w:t xml:space="preserve"> fumarate dihydrate </w:t>
      </w:r>
      <w:r>
        <w:t xml:space="preserve">versus </w:t>
      </w:r>
      <w:proofErr w:type="spellStart"/>
      <w:r w:rsidR="00116C0B">
        <w:t>beclometasone</w:t>
      </w:r>
      <w:proofErr w:type="spellEnd"/>
      <w:r w:rsidR="00116C0B">
        <w:t xml:space="preserve"> dipropionate</w:t>
      </w:r>
      <w:r>
        <w:t xml:space="preserve"> for symptom scores. It was estimated that a sample size of 191 patients per treatment group was required to as</w:t>
      </w:r>
      <w:r w:rsidR="00116C0B">
        <w:t>sure a power of 90% for the non</w:t>
      </w:r>
      <w:r w:rsidR="00116C0B">
        <w:noBreakHyphen/>
      </w:r>
      <w:r>
        <w:t xml:space="preserve">inferiority testing of </w:t>
      </w:r>
      <w:proofErr w:type="spellStart"/>
      <w:r w:rsidR="00116C0B">
        <w:t>beclometasone</w:t>
      </w:r>
      <w:proofErr w:type="spellEnd"/>
      <w:r w:rsidR="00116C0B">
        <w:t xml:space="preserve"> dipropionate/</w:t>
      </w:r>
      <w:proofErr w:type="spellStart"/>
      <w:r w:rsidR="00116C0B">
        <w:t>formoterol</w:t>
      </w:r>
      <w:proofErr w:type="spellEnd"/>
      <w:r w:rsidR="00116C0B">
        <w:t xml:space="preserve"> fumarate dihydrate </w:t>
      </w:r>
      <w:r>
        <w:t xml:space="preserve">versus </w:t>
      </w:r>
      <w:proofErr w:type="spellStart"/>
      <w:r w:rsidR="00116C0B">
        <w:t>Seretide</w:t>
      </w:r>
      <w:proofErr w:type="spellEnd"/>
      <w:r>
        <w:t xml:space="preserve"> for pre-dose FEV</w:t>
      </w:r>
      <w:r w:rsidRPr="00400CB2">
        <w:rPr>
          <w:vertAlign w:val="subscript"/>
        </w:rPr>
        <w:t>1</w:t>
      </w:r>
      <w:r>
        <w:t xml:space="preserve">. In addition, this sample size was able to provide 90% power for superiority testing of </w:t>
      </w:r>
      <w:proofErr w:type="spellStart"/>
      <w:r w:rsidR="00116C0B">
        <w:t>beclometasone</w:t>
      </w:r>
      <w:proofErr w:type="spellEnd"/>
      <w:r w:rsidR="00116C0B">
        <w:t xml:space="preserve"> dipropionate/</w:t>
      </w:r>
      <w:proofErr w:type="spellStart"/>
      <w:r w:rsidR="00116C0B">
        <w:t>formoterol</w:t>
      </w:r>
      <w:proofErr w:type="spellEnd"/>
      <w:r w:rsidR="00116C0B">
        <w:t xml:space="preserve"> fumarate dihydrate </w:t>
      </w:r>
      <w:r>
        <w:t xml:space="preserve">versus </w:t>
      </w:r>
      <w:proofErr w:type="spellStart"/>
      <w:r w:rsidR="00116C0B">
        <w:t>b</w:t>
      </w:r>
      <w:r w:rsidR="00116C0B" w:rsidRPr="00116C0B">
        <w:t>eclometasone</w:t>
      </w:r>
      <w:proofErr w:type="spellEnd"/>
      <w:r w:rsidR="00116C0B" w:rsidRPr="00116C0B">
        <w:t xml:space="preserve"> dipropionate</w:t>
      </w:r>
      <w:r>
        <w:t xml:space="preserve"> monotherapy, assum</w:t>
      </w:r>
      <w:r w:rsidR="00116C0B">
        <w:t>ing a 10% difference in scores.</w:t>
      </w:r>
    </w:p>
    <w:p w14:paraId="2FE0569B" w14:textId="77777777" w:rsidR="00041BB8" w:rsidRPr="00AC5334" w:rsidRDefault="0044140B" w:rsidP="0044140B">
      <w:pPr>
        <w:pStyle w:val="Heading7"/>
      </w:pPr>
      <w:r>
        <w:t>Results</w:t>
      </w:r>
    </w:p>
    <w:p w14:paraId="4C673287" w14:textId="166A11D9" w:rsidR="00041BB8" w:rsidRPr="00865067" w:rsidRDefault="00041BB8" w:rsidP="001F37E0">
      <w:r>
        <w:t xml:space="preserve">Of 721 patients who were randomised, 603 completed </w:t>
      </w:r>
      <w:r w:rsidR="00116C0B">
        <w:t xml:space="preserve">the study and 118 withdrew. At </w:t>
      </w:r>
      <w:r w:rsidR="00CB4AD1" w:rsidRPr="003A58D6">
        <w:t>screening</w:t>
      </w:r>
      <w:r w:rsidRPr="003A58D6">
        <w:t>,</w:t>
      </w:r>
      <w:r>
        <w:t xml:space="preserve"> 35% were on ICS/LABA, 56% were on ICS.</w:t>
      </w:r>
    </w:p>
    <w:p w14:paraId="2E0A440E" w14:textId="77777777" w:rsidR="00041BB8" w:rsidRDefault="00041BB8" w:rsidP="001F37E0">
      <w:r w:rsidRPr="00116C0B">
        <w:rPr>
          <w:i/>
        </w:rPr>
        <w:lastRenderedPageBreak/>
        <w:t xml:space="preserve">Superiority to </w:t>
      </w:r>
      <w:proofErr w:type="spellStart"/>
      <w:r w:rsidR="00116C0B" w:rsidRPr="00116C0B">
        <w:rPr>
          <w:i/>
        </w:rPr>
        <w:t>beclometasone</w:t>
      </w:r>
      <w:proofErr w:type="spellEnd"/>
      <w:r w:rsidR="00116C0B" w:rsidRPr="00116C0B">
        <w:rPr>
          <w:i/>
        </w:rPr>
        <w:t xml:space="preserve"> dipropionate</w:t>
      </w:r>
      <w:r>
        <w:t>: there was no clinically or statistically significant difference in FEV</w:t>
      </w:r>
      <w:r w:rsidRPr="00400CB2">
        <w:rPr>
          <w:vertAlign w:val="subscript"/>
        </w:rPr>
        <w:t>1</w:t>
      </w:r>
      <w:r>
        <w:t xml:space="preserve"> or % change in symptom score between </w:t>
      </w:r>
      <w:proofErr w:type="spellStart"/>
      <w:r w:rsidR="00F85C55">
        <w:t>beclometasone</w:t>
      </w:r>
      <w:proofErr w:type="spellEnd"/>
      <w:r w:rsidR="00F85C55">
        <w:t xml:space="preserve"> dipropionate/</w:t>
      </w:r>
      <w:proofErr w:type="spellStart"/>
      <w:r w:rsidR="00F85C55">
        <w:t>formoterol</w:t>
      </w:r>
      <w:proofErr w:type="spellEnd"/>
      <w:r w:rsidR="00F85C55">
        <w:t xml:space="preserve"> fumarate dihydrate</w:t>
      </w:r>
      <w:r>
        <w:t xml:space="preserve"> and </w:t>
      </w:r>
      <w:proofErr w:type="spellStart"/>
      <w:r w:rsidR="00F85C55">
        <w:t>beclometasone</w:t>
      </w:r>
      <w:proofErr w:type="spellEnd"/>
      <w:r w:rsidR="00F85C55">
        <w:t xml:space="preserve"> dipropionate. Thus, </w:t>
      </w:r>
      <w:r>
        <w:t>the criter</w:t>
      </w:r>
      <w:r w:rsidR="00F85C55">
        <w:t>ia for superiority was not met.</w:t>
      </w:r>
    </w:p>
    <w:p w14:paraId="5AE18CD9" w14:textId="17B82BBB" w:rsidR="00041BB8" w:rsidRDefault="00041BB8" w:rsidP="001F37E0">
      <w:r w:rsidRPr="00F85C55">
        <w:rPr>
          <w:i/>
        </w:rPr>
        <w:t>Non-inferiority</w:t>
      </w:r>
      <w:r>
        <w:t>: there was no significant difference in FEV</w:t>
      </w:r>
      <w:r w:rsidRPr="00400CB2">
        <w:rPr>
          <w:vertAlign w:val="subscript"/>
        </w:rPr>
        <w:t>1</w:t>
      </w:r>
      <w:r>
        <w:t xml:space="preserve"> between </w:t>
      </w:r>
      <w:proofErr w:type="spellStart"/>
      <w:r w:rsidR="00F85C55">
        <w:t>beclometasone</w:t>
      </w:r>
      <w:proofErr w:type="spellEnd"/>
      <w:r w:rsidR="00F85C55">
        <w:t xml:space="preserve"> dipropionate/</w:t>
      </w:r>
      <w:proofErr w:type="spellStart"/>
      <w:r w:rsidR="00F85C55">
        <w:t>formoterol</w:t>
      </w:r>
      <w:proofErr w:type="spellEnd"/>
      <w:r w:rsidR="00F85C55">
        <w:t xml:space="preserve"> fumarate dihydrate </w:t>
      </w:r>
      <w:r>
        <w:t xml:space="preserve">and </w:t>
      </w:r>
      <w:proofErr w:type="spellStart"/>
      <w:r w:rsidR="00F85C55">
        <w:t>Seretide</w:t>
      </w:r>
      <w:proofErr w:type="spellEnd"/>
      <w:r>
        <w:t>. The criteria for non-inferiority was met</w:t>
      </w:r>
      <w:r w:rsidR="00F34B93">
        <w:t xml:space="preserve"> (although at a higher dose of </w:t>
      </w:r>
      <w:proofErr w:type="spellStart"/>
      <w:r w:rsidR="00F34B93">
        <w:t>beclometasone</w:t>
      </w:r>
      <w:proofErr w:type="spellEnd"/>
      <w:r w:rsidR="00F34B93">
        <w:t xml:space="preserve"> dipropionate than is proposed in </w:t>
      </w:r>
      <w:proofErr w:type="spellStart"/>
      <w:r w:rsidR="00F34B93">
        <w:t>Fostair</w:t>
      </w:r>
      <w:proofErr w:type="spellEnd"/>
      <w:r w:rsidR="00F34B93">
        <w:t>)</w:t>
      </w:r>
      <w:r w:rsidR="00F85C55">
        <w:t>.</w:t>
      </w:r>
    </w:p>
    <w:p w14:paraId="19E550C7" w14:textId="77777777" w:rsidR="00041BB8" w:rsidRDefault="00041BB8" w:rsidP="001F37E0">
      <w:pPr>
        <w:rPr>
          <w:rFonts w:asciiTheme="minorHAnsi" w:hAnsiTheme="minorHAnsi"/>
        </w:rPr>
      </w:pPr>
      <w:r w:rsidRPr="00F85C55">
        <w:rPr>
          <w:rFonts w:asciiTheme="minorHAnsi" w:hAnsiTheme="minorHAnsi"/>
          <w:i/>
        </w:rPr>
        <w:t>Secondary endpoints</w:t>
      </w:r>
      <w:r>
        <w:rPr>
          <w:rFonts w:asciiTheme="minorHAnsi" w:hAnsiTheme="minorHAnsi"/>
        </w:rPr>
        <w:t xml:space="preserve">: There was a greater improvement in morning and evening </w:t>
      </w:r>
      <w:r w:rsidR="00F85C55">
        <w:rPr>
          <w:rFonts w:asciiTheme="minorHAnsi" w:hAnsiTheme="minorHAnsi"/>
        </w:rPr>
        <w:t>peak expiratory flow (</w:t>
      </w:r>
      <w:r>
        <w:rPr>
          <w:rFonts w:asciiTheme="minorHAnsi" w:hAnsiTheme="minorHAnsi"/>
        </w:rPr>
        <w:t>PEF</w:t>
      </w:r>
      <w:r w:rsidR="00F85C55">
        <w:rPr>
          <w:rFonts w:asciiTheme="minorHAnsi" w:hAnsiTheme="minorHAnsi"/>
        </w:rPr>
        <w:t>)</w:t>
      </w:r>
      <w:r>
        <w:rPr>
          <w:rFonts w:asciiTheme="minorHAnsi" w:hAnsiTheme="minorHAnsi"/>
        </w:rPr>
        <w:t xml:space="preserve"> and rescue medication use in the </w:t>
      </w:r>
      <w:proofErr w:type="spellStart"/>
      <w:r w:rsidR="00F85C55">
        <w:t>beclometasone</w:t>
      </w:r>
      <w:proofErr w:type="spellEnd"/>
      <w:r w:rsidR="00F85C55">
        <w:t xml:space="preserve"> dipropionate/</w:t>
      </w:r>
      <w:proofErr w:type="spellStart"/>
      <w:r w:rsidR="00F85C55">
        <w:t>formoterol</w:t>
      </w:r>
      <w:proofErr w:type="spellEnd"/>
      <w:r w:rsidR="00F85C55">
        <w:t xml:space="preserve"> fumarate dihydrate </w:t>
      </w:r>
      <w:r>
        <w:rPr>
          <w:rFonts w:asciiTheme="minorHAnsi" w:hAnsiTheme="minorHAnsi"/>
        </w:rPr>
        <w:t xml:space="preserve">and </w:t>
      </w:r>
      <w:proofErr w:type="spellStart"/>
      <w:r w:rsidR="00F85C55">
        <w:rPr>
          <w:rFonts w:asciiTheme="minorHAnsi" w:hAnsiTheme="minorHAnsi"/>
        </w:rPr>
        <w:t>Seretide</w:t>
      </w:r>
      <w:proofErr w:type="spellEnd"/>
      <w:r>
        <w:rPr>
          <w:rFonts w:asciiTheme="minorHAnsi" w:hAnsiTheme="minorHAnsi"/>
        </w:rPr>
        <w:t xml:space="preserve"> g</w:t>
      </w:r>
      <w:r w:rsidR="00F85C55">
        <w:rPr>
          <w:rFonts w:asciiTheme="minorHAnsi" w:hAnsiTheme="minorHAnsi"/>
        </w:rPr>
        <w:t xml:space="preserve">roup compared to the </w:t>
      </w:r>
      <w:proofErr w:type="spellStart"/>
      <w:r w:rsidR="00F85C55">
        <w:t>beclometasone</w:t>
      </w:r>
      <w:proofErr w:type="spellEnd"/>
      <w:r w:rsidR="00F85C55">
        <w:t xml:space="preserve"> dipropionate</w:t>
      </w:r>
      <w:r w:rsidR="00F85C55">
        <w:rPr>
          <w:rFonts w:asciiTheme="minorHAnsi" w:hAnsiTheme="minorHAnsi"/>
        </w:rPr>
        <w:t xml:space="preserve"> group.</w:t>
      </w:r>
    </w:p>
    <w:p w14:paraId="0D58A402" w14:textId="77777777" w:rsidR="00041BB8" w:rsidRDefault="00041BB8" w:rsidP="001F37E0">
      <w:pPr>
        <w:rPr>
          <w:rFonts w:asciiTheme="minorHAnsi" w:hAnsiTheme="minorHAnsi"/>
        </w:rPr>
      </w:pPr>
      <w:r>
        <w:rPr>
          <w:rFonts w:asciiTheme="minorHAnsi" w:hAnsiTheme="minorHAnsi"/>
        </w:rPr>
        <w:t xml:space="preserve">There was no significant difference in asthma symptom score or asthma exacerbations between the </w:t>
      </w:r>
      <w:proofErr w:type="spellStart"/>
      <w:r w:rsidR="00F85C55">
        <w:t>beclometasone</w:t>
      </w:r>
      <w:proofErr w:type="spellEnd"/>
      <w:r w:rsidR="00F85C55">
        <w:t xml:space="preserve"> dipropionate/</w:t>
      </w:r>
      <w:proofErr w:type="spellStart"/>
      <w:r w:rsidR="00F85C55">
        <w:t>formoterol</w:t>
      </w:r>
      <w:proofErr w:type="spellEnd"/>
      <w:r w:rsidR="00F85C55">
        <w:t xml:space="preserve"> fumarate dihydrate</w:t>
      </w:r>
      <w:r>
        <w:rPr>
          <w:rFonts w:asciiTheme="minorHAnsi" w:hAnsiTheme="minorHAnsi"/>
        </w:rPr>
        <w:t xml:space="preserve"> grou</w:t>
      </w:r>
      <w:r w:rsidR="001F37E0">
        <w:rPr>
          <w:rFonts w:asciiTheme="minorHAnsi" w:hAnsiTheme="minorHAnsi"/>
        </w:rPr>
        <w:t xml:space="preserve">p, </w:t>
      </w:r>
      <w:proofErr w:type="spellStart"/>
      <w:r w:rsidR="00F85C55">
        <w:t>beclometasone</w:t>
      </w:r>
      <w:proofErr w:type="spellEnd"/>
      <w:r w:rsidR="00F85C55">
        <w:t xml:space="preserve"> dipropionate </w:t>
      </w:r>
      <w:r w:rsidR="001F37E0">
        <w:rPr>
          <w:rFonts w:asciiTheme="minorHAnsi" w:hAnsiTheme="minorHAnsi"/>
        </w:rPr>
        <w:t xml:space="preserve">group or </w:t>
      </w:r>
      <w:proofErr w:type="spellStart"/>
      <w:r w:rsidR="00F85C55">
        <w:rPr>
          <w:rFonts w:asciiTheme="minorHAnsi" w:hAnsiTheme="minorHAnsi"/>
        </w:rPr>
        <w:t>Seretide</w:t>
      </w:r>
      <w:proofErr w:type="spellEnd"/>
      <w:r w:rsidR="001F37E0">
        <w:rPr>
          <w:rFonts w:asciiTheme="minorHAnsi" w:hAnsiTheme="minorHAnsi"/>
        </w:rPr>
        <w:t xml:space="preserve"> group.</w:t>
      </w:r>
    </w:p>
    <w:p w14:paraId="1C989FAB" w14:textId="77777777" w:rsidR="00041BB8" w:rsidRPr="001F37E0" w:rsidRDefault="00F85C55" w:rsidP="00041BB8">
      <w:pPr>
        <w:rPr>
          <w:rFonts w:asciiTheme="minorHAnsi" w:hAnsiTheme="minorHAnsi"/>
        </w:rPr>
      </w:pPr>
      <w:r>
        <w:rPr>
          <w:rFonts w:asciiTheme="minorHAnsi" w:hAnsiTheme="minorHAnsi"/>
        </w:rPr>
        <w:t xml:space="preserve">The </w:t>
      </w:r>
      <w:r w:rsidR="00041BB8">
        <w:rPr>
          <w:rFonts w:asciiTheme="minorHAnsi" w:hAnsiTheme="minorHAnsi"/>
        </w:rPr>
        <w:t>Delegate note</w:t>
      </w:r>
      <w:r>
        <w:rPr>
          <w:rFonts w:asciiTheme="minorHAnsi" w:hAnsiTheme="minorHAnsi"/>
        </w:rPr>
        <w:t>d that</w:t>
      </w:r>
      <w:r w:rsidR="00041BB8">
        <w:rPr>
          <w:rFonts w:asciiTheme="minorHAnsi" w:hAnsiTheme="minorHAnsi"/>
        </w:rPr>
        <w:t xml:space="preserve"> the results of this study are difficult to interpret. The lack of superiority is not consistent with known greater efficacy of ICS/LABA for other inhaled steroids. Possible reasons for lack of effect include that study may have been underpowere</w:t>
      </w:r>
      <w:r>
        <w:rPr>
          <w:rFonts w:asciiTheme="minorHAnsi" w:hAnsiTheme="minorHAnsi"/>
        </w:rPr>
        <w:t xml:space="preserve">d, or that at a higher dose of </w:t>
      </w:r>
      <w:proofErr w:type="spellStart"/>
      <w:r>
        <w:rPr>
          <w:rFonts w:asciiTheme="minorHAnsi" w:hAnsiTheme="minorHAnsi"/>
        </w:rPr>
        <w:t>b</w:t>
      </w:r>
      <w:r w:rsidR="00041BB8">
        <w:rPr>
          <w:rFonts w:asciiTheme="minorHAnsi" w:hAnsiTheme="minorHAnsi"/>
        </w:rPr>
        <w:t>eclomethasone</w:t>
      </w:r>
      <w:proofErr w:type="spellEnd"/>
      <w:r w:rsidR="00041BB8">
        <w:rPr>
          <w:rFonts w:asciiTheme="minorHAnsi" w:hAnsiTheme="minorHAnsi"/>
        </w:rPr>
        <w:t xml:space="preserve"> there wa</w:t>
      </w:r>
      <w:r w:rsidR="001F37E0">
        <w:rPr>
          <w:rFonts w:asciiTheme="minorHAnsi" w:hAnsiTheme="minorHAnsi"/>
        </w:rPr>
        <w:t>s no additional effect of LABA.</w:t>
      </w:r>
    </w:p>
    <w:p w14:paraId="26322CC7" w14:textId="77777777" w:rsidR="00426CBA" w:rsidRDefault="00041BB8" w:rsidP="001F37E0">
      <w:pPr>
        <w:pStyle w:val="Heading6"/>
      </w:pPr>
      <w:r>
        <w:t>Study CT03</w:t>
      </w:r>
    </w:p>
    <w:p w14:paraId="6DEC96F9" w14:textId="369262A5" w:rsidR="00F85C55" w:rsidRPr="007B10AB" w:rsidRDefault="00F85C55" w:rsidP="001F37E0">
      <w:r>
        <w:t xml:space="preserve">Study </w:t>
      </w:r>
      <w:r w:rsidR="00426CBA" w:rsidRPr="001F37E0">
        <w:t>CT0</w:t>
      </w:r>
      <w:r>
        <w:t xml:space="preserve">3 was a RCT comparing </w:t>
      </w:r>
      <w:proofErr w:type="spellStart"/>
      <w:r>
        <w:t>Fostair</w:t>
      </w:r>
      <w:proofErr w:type="spellEnd"/>
      <w:r>
        <w:t xml:space="preserve"> (</w:t>
      </w:r>
      <w:r w:rsidR="00D209E3">
        <w:t xml:space="preserve">2 puffs </w:t>
      </w:r>
      <w:r w:rsidR="00245C4E">
        <w:t>BD</w:t>
      </w:r>
      <w:r w:rsidR="00D209E3">
        <w:t xml:space="preserve">) to </w:t>
      </w:r>
      <w:proofErr w:type="spellStart"/>
      <w:r w:rsidR="00D209E3">
        <w:t>beclometasone</w:t>
      </w:r>
      <w:proofErr w:type="spellEnd"/>
      <w:r w:rsidR="00D209E3">
        <w:t xml:space="preserve"> dipropionate</w:t>
      </w:r>
      <w:r w:rsidR="00D209E3" w:rsidRPr="001F37E0">
        <w:t xml:space="preserve"> </w:t>
      </w:r>
      <w:r w:rsidR="00426CBA" w:rsidRPr="001F37E0">
        <w:t>(250</w:t>
      </w:r>
      <w:r w:rsidR="00D209E3">
        <w:t> </w:t>
      </w:r>
      <w:r w:rsidR="00426CBA" w:rsidRPr="001F37E0">
        <w:t xml:space="preserve">µg 2 puffs </w:t>
      </w:r>
      <w:r w:rsidR="00245C4E">
        <w:t>BD</w:t>
      </w:r>
      <w:r w:rsidR="00D209E3">
        <w:t>,</w:t>
      </w:r>
      <w:r w:rsidR="00426CBA" w:rsidRPr="001F37E0">
        <w:t xml:space="preserve"> as </w:t>
      </w:r>
      <w:r>
        <w:t>d</w:t>
      </w:r>
      <w:r w:rsidRPr="00F85C55">
        <w:t xml:space="preserve">ry powder inhaler </w:t>
      </w:r>
      <w:r>
        <w:t>(</w:t>
      </w:r>
      <w:r w:rsidR="00426CBA" w:rsidRPr="001F37E0">
        <w:t>DP</w:t>
      </w:r>
      <w:r w:rsidR="00041BB8" w:rsidRPr="001F37E0">
        <w:t>I</w:t>
      </w:r>
      <w:r>
        <w:t>)</w:t>
      </w:r>
      <w:r w:rsidR="00041BB8" w:rsidRPr="001F37E0">
        <w:t xml:space="preserve">) and </w:t>
      </w:r>
      <w:proofErr w:type="spellStart"/>
      <w:r w:rsidR="00D209E3">
        <w:t>formoterol</w:t>
      </w:r>
      <w:proofErr w:type="spellEnd"/>
      <w:r w:rsidR="00D209E3">
        <w:t xml:space="preserve"> fumarate dihydrate</w:t>
      </w:r>
      <w:r>
        <w:t xml:space="preserve"> </w:t>
      </w:r>
      <w:r w:rsidR="00041BB8" w:rsidRPr="001F37E0">
        <w:t xml:space="preserve">(12µg 1 puff </w:t>
      </w:r>
      <w:r w:rsidR="00245C4E">
        <w:t>BD</w:t>
      </w:r>
      <w:r w:rsidR="00041BB8" w:rsidRPr="001F37E0">
        <w:t>)</w:t>
      </w:r>
      <w:r w:rsidR="00D209E3">
        <w:t>, given separately,</w:t>
      </w:r>
      <w:r w:rsidR="00041BB8" w:rsidRPr="001F37E0">
        <w:t xml:space="preserve"> </w:t>
      </w:r>
      <w:r w:rsidR="00426CBA" w:rsidRPr="001F37E0">
        <w:t xml:space="preserve">tested for non-inferiority and </w:t>
      </w:r>
      <w:proofErr w:type="spellStart"/>
      <w:r w:rsidR="00D209E3">
        <w:t>beclometasone</w:t>
      </w:r>
      <w:proofErr w:type="spellEnd"/>
      <w:r w:rsidR="00D209E3">
        <w:t xml:space="preserve"> dipropionate</w:t>
      </w:r>
      <w:r w:rsidR="00426CBA" w:rsidRPr="001F37E0">
        <w:t xml:space="preserve"> alone tested for superiority. There was a 2 week wash out </w:t>
      </w:r>
      <w:r>
        <w:t>period followed by a 24</w:t>
      </w:r>
      <w:r w:rsidR="00B43FEC">
        <w:t xml:space="preserve"> </w:t>
      </w:r>
      <w:r w:rsidR="00426CBA" w:rsidRPr="001F37E0">
        <w:t>week treatment period. The patient population had moderat</w:t>
      </w:r>
      <w:r w:rsidR="00604628">
        <w:t xml:space="preserve">e to </w:t>
      </w:r>
      <w:r>
        <w:t>severe asthma and were on ICS </w:t>
      </w:r>
      <w:r w:rsidR="00426CBA" w:rsidRPr="001F37E0">
        <w:t>+/- LABA. The primary efficacy endpoint was morning PEF. Other variables were evening PEF, daily PEF variability, pulmonary function tests, and</w:t>
      </w:r>
      <w:r>
        <w:t xml:space="preserve"> symptoms.</w:t>
      </w:r>
    </w:p>
    <w:p w14:paraId="2868AFA4" w14:textId="77777777" w:rsidR="00F85C55" w:rsidRPr="007B10AB" w:rsidRDefault="00F85C55" w:rsidP="00F85C55">
      <w:pPr>
        <w:pStyle w:val="Heading7"/>
      </w:pPr>
      <w:r w:rsidRPr="007B10AB">
        <w:t>Results</w:t>
      </w:r>
    </w:p>
    <w:p w14:paraId="5326F0AE" w14:textId="552F946A" w:rsidR="00426CBA" w:rsidRPr="007B10AB" w:rsidRDefault="00A63A42" w:rsidP="007B10AB">
      <w:r>
        <w:t xml:space="preserve">A total of 645 patients </w:t>
      </w:r>
      <w:r w:rsidRPr="007B10AB">
        <w:t>were randomised.</w:t>
      </w:r>
      <w:r>
        <w:t xml:space="preserve"> </w:t>
      </w:r>
      <w:r w:rsidR="00F85C55" w:rsidRPr="007B10AB">
        <w:t xml:space="preserve">Non inferiority to </w:t>
      </w:r>
      <w:proofErr w:type="spellStart"/>
      <w:r w:rsidR="00F85C55" w:rsidRPr="007B10AB">
        <w:t>b</w:t>
      </w:r>
      <w:r w:rsidR="00426CBA" w:rsidRPr="007B10AB">
        <w:t>eclomethasone</w:t>
      </w:r>
      <w:proofErr w:type="spellEnd"/>
      <w:r w:rsidR="00426CBA" w:rsidRPr="007B10AB">
        <w:t xml:space="preserve"> and </w:t>
      </w:r>
      <w:proofErr w:type="spellStart"/>
      <w:r w:rsidR="00426CBA" w:rsidRPr="007B10AB">
        <w:t>formoterol</w:t>
      </w:r>
      <w:proofErr w:type="spellEnd"/>
      <w:r w:rsidR="00426CBA" w:rsidRPr="007B10AB">
        <w:t xml:space="preserve"> was established. Superiority to </w:t>
      </w:r>
      <w:proofErr w:type="spellStart"/>
      <w:r w:rsidR="00F85C55" w:rsidRPr="007B10AB">
        <w:t>beclometasone</w:t>
      </w:r>
      <w:proofErr w:type="spellEnd"/>
      <w:r w:rsidR="00F85C55" w:rsidRPr="007B10AB">
        <w:t xml:space="preserve"> dipropionate</w:t>
      </w:r>
      <w:r w:rsidR="00426CBA" w:rsidRPr="007B10AB">
        <w:t xml:space="preserve"> alone was also established, the difference in PEF was around 30</w:t>
      </w:r>
      <w:r w:rsidR="00F85C55" w:rsidRPr="007B10AB">
        <w:t xml:space="preserve"> mL</w:t>
      </w:r>
      <w:r w:rsidR="00426CBA" w:rsidRPr="007B10AB">
        <w:t xml:space="preserve"> (10%). The data was supported by a number of secondary measures </w:t>
      </w:r>
      <w:r w:rsidR="00F85C55" w:rsidRPr="007B10AB">
        <w:t>including p</w:t>
      </w:r>
      <w:r w:rsidR="00426CBA" w:rsidRPr="007B10AB">
        <w:t xml:space="preserve">ulmonary function test </w:t>
      </w:r>
      <w:r w:rsidR="00F32A33">
        <w:t>from home monitoring</w:t>
      </w:r>
      <w:r w:rsidR="00F34B93">
        <w:t xml:space="preserve"> (</w:t>
      </w:r>
      <w:proofErr w:type="spellStart"/>
      <w:r w:rsidR="00F34B93">
        <w:t>Spirotel</w:t>
      </w:r>
      <w:proofErr w:type="spellEnd"/>
      <w:r w:rsidR="00F34B93">
        <w:t>)</w:t>
      </w:r>
      <w:r w:rsidR="00426CBA" w:rsidRPr="007B10AB">
        <w:rPr>
          <w:rFonts w:eastAsia="TimesNewRoman" w:cs="TimesNewRoman"/>
        </w:rPr>
        <w:t xml:space="preserve">, percentage of days, nights and complete days free of asthma symptoms and </w:t>
      </w:r>
      <w:r w:rsidR="00F85C55" w:rsidRPr="007B10AB">
        <w:rPr>
          <w:rFonts w:eastAsia="TimesNewRoman" w:cs="TimesNewRoman"/>
        </w:rPr>
        <w:t>short acting beta</w:t>
      </w:r>
      <w:r w:rsidR="00414E1B" w:rsidRPr="00B43FEC">
        <w:rPr>
          <w:rFonts w:eastAsia="TimesNewRoman" w:cs="TimesNewRoman"/>
          <w:vertAlign w:val="subscript"/>
        </w:rPr>
        <w:t>2</w:t>
      </w:r>
      <w:r w:rsidR="00F85C55" w:rsidRPr="007B10AB">
        <w:rPr>
          <w:rFonts w:eastAsia="TimesNewRoman" w:cs="TimesNewRoman"/>
        </w:rPr>
        <w:t xml:space="preserve"> agonist (</w:t>
      </w:r>
      <w:r w:rsidR="00426CBA" w:rsidRPr="007B10AB">
        <w:rPr>
          <w:rFonts w:eastAsia="TimesNewRoman" w:cs="TimesNewRoman"/>
        </w:rPr>
        <w:t>SABA</w:t>
      </w:r>
      <w:r w:rsidR="00F85C55" w:rsidRPr="007B10AB">
        <w:rPr>
          <w:rFonts w:eastAsia="TimesNewRoman" w:cs="TimesNewRoman"/>
        </w:rPr>
        <w:t>)</w:t>
      </w:r>
      <w:r w:rsidR="00426CBA" w:rsidRPr="007B10AB">
        <w:rPr>
          <w:rFonts w:eastAsia="TimesNewRoman" w:cs="TimesNewRoman"/>
        </w:rPr>
        <w:t xml:space="preserve"> consumption (puffs/day). The percentage of patients with one or more than one asthma exacerbation was similar across the CHF 1535 </w:t>
      </w:r>
      <w:r w:rsidR="007B10AB">
        <w:rPr>
          <w:rFonts w:eastAsia="TimesNewRoman" w:cs="TimesNewRoman"/>
        </w:rPr>
        <w:t>(</w:t>
      </w:r>
      <w:proofErr w:type="spellStart"/>
      <w:r w:rsidR="007B10AB">
        <w:rPr>
          <w:rFonts w:eastAsia="TimesNewRoman" w:cs="TimesNewRoman"/>
        </w:rPr>
        <w:t>Fostair</w:t>
      </w:r>
      <w:proofErr w:type="spellEnd"/>
      <w:r w:rsidR="007B10AB">
        <w:rPr>
          <w:rFonts w:eastAsia="TimesNewRoman" w:cs="TimesNewRoman"/>
        </w:rPr>
        <w:t xml:space="preserve"> </w:t>
      </w:r>
      <w:r w:rsidR="00B64011">
        <w:rPr>
          <w:rFonts w:eastAsia="TimesNewRoman" w:cs="TimesNewRoman"/>
        </w:rPr>
        <w:t>product</w:t>
      </w:r>
      <w:r w:rsidR="007B10AB">
        <w:rPr>
          <w:rFonts w:eastAsia="TimesNewRoman" w:cs="TimesNewRoman"/>
        </w:rPr>
        <w:t xml:space="preserve"> development name) </w:t>
      </w:r>
      <w:r w:rsidR="00426CBA" w:rsidRPr="007B10AB">
        <w:rPr>
          <w:rFonts w:eastAsia="TimesNewRoman" w:cs="TimesNewRoman"/>
        </w:rPr>
        <w:t xml:space="preserve">and </w:t>
      </w:r>
      <w:proofErr w:type="spellStart"/>
      <w:r w:rsidR="007B10AB">
        <w:t>beclometasone</w:t>
      </w:r>
      <w:proofErr w:type="spellEnd"/>
      <w:r w:rsidR="007B10AB">
        <w:t xml:space="preserve"> dipropionate</w:t>
      </w:r>
      <w:r w:rsidR="00426CBA" w:rsidRPr="007B10AB">
        <w:rPr>
          <w:rFonts w:eastAsia="TimesNewRoman" w:cs="TimesNewRoman"/>
        </w:rPr>
        <w:t xml:space="preserve"> + </w:t>
      </w:r>
      <w:proofErr w:type="spellStart"/>
      <w:r w:rsidR="007B10AB">
        <w:t>formoterol</w:t>
      </w:r>
      <w:proofErr w:type="spellEnd"/>
      <w:r w:rsidR="007B10AB">
        <w:t xml:space="preserve"> fumarate dihydrate</w:t>
      </w:r>
      <w:r w:rsidR="00426CBA" w:rsidRPr="007B10AB">
        <w:rPr>
          <w:rFonts w:eastAsia="TimesNewRoman" w:cs="TimesNewRoman"/>
        </w:rPr>
        <w:t xml:space="preserve"> treatment groups and higher in the </w:t>
      </w:r>
      <w:proofErr w:type="spellStart"/>
      <w:r w:rsidR="007B10AB">
        <w:t>beclometasone</w:t>
      </w:r>
      <w:proofErr w:type="spellEnd"/>
      <w:r w:rsidR="007B10AB">
        <w:t xml:space="preserve"> dipropionate</w:t>
      </w:r>
      <w:r w:rsidR="00426CBA" w:rsidRPr="007B10AB">
        <w:rPr>
          <w:rFonts w:eastAsia="TimesNewRoman" w:cs="TimesNewRoman"/>
        </w:rPr>
        <w:t xml:space="preserve"> alone treatment group.</w:t>
      </w:r>
    </w:p>
    <w:p w14:paraId="17EC35B4" w14:textId="1785608C" w:rsidR="007B10AB" w:rsidRDefault="007B10AB" w:rsidP="007B10AB">
      <w:pPr>
        <w:pStyle w:val="TableTitle"/>
        <w:rPr>
          <w:rFonts w:asciiTheme="minorHAnsi" w:eastAsia="TimesNewRoman" w:hAnsiTheme="minorHAnsi" w:cs="TimesNewRoman"/>
        </w:rPr>
      </w:pPr>
      <w:r>
        <w:lastRenderedPageBreak/>
        <w:t xml:space="preserve">Table </w:t>
      </w:r>
      <w:r w:rsidR="00E81985">
        <w:rPr>
          <w:noProof/>
        </w:rPr>
        <w:fldChar w:fldCharType="begin"/>
      </w:r>
      <w:r w:rsidR="00E81985">
        <w:rPr>
          <w:noProof/>
        </w:rPr>
        <w:instrText xml:space="preserve"> SEQ Table \* ARABIC </w:instrText>
      </w:r>
      <w:r w:rsidR="00E81985">
        <w:rPr>
          <w:noProof/>
        </w:rPr>
        <w:fldChar w:fldCharType="separate"/>
      </w:r>
      <w:r w:rsidR="00352776">
        <w:rPr>
          <w:noProof/>
        </w:rPr>
        <w:t>2</w:t>
      </w:r>
      <w:r w:rsidR="00E81985">
        <w:rPr>
          <w:noProof/>
        </w:rPr>
        <w:fldChar w:fldCharType="end"/>
      </w:r>
      <w:r>
        <w:t xml:space="preserve">: </w:t>
      </w:r>
      <w:r>
        <w:rPr>
          <w:rFonts w:asciiTheme="minorHAnsi" w:eastAsia="TimesNewRoman" w:hAnsiTheme="minorHAnsi" w:cs="TimesNewRoman"/>
        </w:rPr>
        <w:t xml:space="preserve">Study CT03 </w:t>
      </w:r>
      <w:r w:rsidR="00414E1B">
        <w:rPr>
          <w:rFonts w:asciiTheme="minorHAnsi" w:eastAsia="TimesNewRoman" w:hAnsiTheme="minorHAnsi" w:cs="TimesNewRoman"/>
        </w:rPr>
        <w:t>N</w:t>
      </w:r>
      <w:r>
        <w:rPr>
          <w:rFonts w:asciiTheme="minorHAnsi" w:eastAsia="TimesNewRoman" w:hAnsiTheme="minorHAnsi" w:cs="TimesNewRoman"/>
        </w:rPr>
        <w:t>on-inferiority analysis of CHF 1535 (</w:t>
      </w:r>
      <w:proofErr w:type="spellStart"/>
      <w:r>
        <w:rPr>
          <w:rFonts w:asciiTheme="minorHAnsi" w:eastAsia="TimesNewRoman" w:hAnsiTheme="minorHAnsi" w:cs="TimesNewRoman"/>
        </w:rPr>
        <w:t>Fostair</w:t>
      </w:r>
      <w:proofErr w:type="spellEnd"/>
      <w:r>
        <w:rPr>
          <w:rFonts w:asciiTheme="minorHAnsi" w:eastAsia="TimesNewRoman" w:hAnsiTheme="minorHAnsi" w:cs="TimesNewRoman"/>
        </w:rPr>
        <w:t xml:space="preserve">) versus </w:t>
      </w:r>
      <w:proofErr w:type="spellStart"/>
      <w:r>
        <w:t>beclometasone</w:t>
      </w:r>
      <w:proofErr w:type="spellEnd"/>
      <w:r>
        <w:t xml:space="preserve"> dipropionate + </w:t>
      </w:r>
      <w:proofErr w:type="spellStart"/>
      <w:r>
        <w:t>formoterol</w:t>
      </w:r>
      <w:proofErr w:type="spellEnd"/>
      <w:r>
        <w:t xml:space="preserve"> fumarate dihydrate for morning </w:t>
      </w:r>
      <w:r>
        <w:rPr>
          <w:rFonts w:asciiTheme="minorHAnsi" w:hAnsiTheme="minorHAnsi"/>
        </w:rPr>
        <w:t>peak expiratory flow (L/min)</w:t>
      </w:r>
    </w:p>
    <w:p w14:paraId="5BD502D8" w14:textId="77777777" w:rsidR="007B10AB" w:rsidRDefault="007B10AB" w:rsidP="00426CBA">
      <w:pPr>
        <w:autoSpaceDE w:val="0"/>
        <w:autoSpaceDN w:val="0"/>
        <w:spacing w:before="0" w:after="0" w:line="240" w:lineRule="auto"/>
        <w:rPr>
          <w:rFonts w:asciiTheme="minorHAnsi" w:eastAsia="TimesNewRoman" w:hAnsiTheme="minorHAnsi" w:cs="TimesNewRoman"/>
        </w:rPr>
      </w:pPr>
      <w:r>
        <w:rPr>
          <w:noProof/>
          <w:lang w:eastAsia="en-AU"/>
        </w:rPr>
        <w:drawing>
          <wp:inline distT="0" distB="0" distL="0" distR="0" wp14:anchorId="3FB2589E" wp14:editId="37FE7B58">
            <wp:extent cx="5400040" cy="1924050"/>
            <wp:effectExtent l="0" t="0" r="0" b="0"/>
            <wp:docPr id="4" name="Picture 4" descr="Study CT03 non-inferiority analysis of CHF 1535 (Fostair) versus beclometasone dipropionate + formoterol fumarate dihydrate for morning peak expiratory flow (L/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0040" cy="1924050"/>
                    </a:xfrm>
                    <a:prstGeom prst="rect">
                      <a:avLst/>
                    </a:prstGeom>
                  </pic:spPr>
                </pic:pic>
              </a:graphicData>
            </a:graphic>
          </wp:inline>
        </w:drawing>
      </w:r>
    </w:p>
    <w:p w14:paraId="15DB0B1D" w14:textId="77777777" w:rsidR="007B10AB" w:rsidRDefault="007B10AB" w:rsidP="007B10AB">
      <w:pPr>
        <w:pStyle w:val="TableDescription"/>
      </w:pPr>
      <w:r>
        <w:t xml:space="preserve">BDP = </w:t>
      </w:r>
      <w:proofErr w:type="spellStart"/>
      <w:r>
        <w:t>beclometasone</w:t>
      </w:r>
      <w:proofErr w:type="spellEnd"/>
      <w:r>
        <w:t xml:space="preserve"> dipropionate, CI = confidence interval, FF = </w:t>
      </w:r>
      <w:proofErr w:type="spellStart"/>
      <w:r>
        <w:t>formoterol</w:t>
      </w:r>
      <w:proofErr w:type="spellEnd"/>
      <w:r>
        <w:t xml:space="preserve"> fumarate dihydrate, ITT = intent to treat, LS = least squares, PP = per protocol, SE = standard error.</w:t>
      </w:r>
    </w:p>
    <w:p w14:paraId="0F460791" w14:textId="387D6249" w:rsidR="00B004AA" w:rsidRPr="00B004AA" w:rsidRDefault="00B004AA" w:rsidP="00B004AA">
      <w:pPr>
        <w:pStyle w:val="TableTitle"/>
        <w:rPr>
          <w:rFonts w:eastAsia="TimesNewRoman" w:cs="TimesNewRoman"/>
          <w:noProof/>
          <w:lang w:eastAsia="en-AU"/>
        </w:rPr>
      </w:pPr>
      <w:r>
        <w:t xml:space="preserve">Table </w:t>
      </w:r>
      <w:r w:rsidR="00E81985">
        <w:rPr>
          <w:noProof/>
        </w:rPr>
        <w:fldChar w:fldCharType="begin"/>
      </w:r>
      <w:r w:rsidR="00E81985">
        <w:rPr>
          <w:noProof/>
        </w:rPr>
        <w:instrText xml:space="preserve"> SEQ Table \* ARABIC </w:instrText>
      </w:r>
      <w:r w:rsidR="00E81985">
        <w:rPr>
          <w:noProof/>
        </w:rPr>
        <w:fldChar w:fldCharType="separate"/>
      </w:r>
      <w:r w:rsidR="00352776">
        <w:rPr>
          <w:noProof/>
        </w:rPr>
        <w:t>3</w:t>
      </w:r>
      <w:r w:rsidR="00E81985">
        <w:rPr>
          <w:noProof/>
        </w:rPr>
        <w:fldChar w:fldCharType="end"/>
      </w:r>
      <w:r>
        <w:t xml:space="preserve">: </w:t>
      </w:r>
      <w:r>
        <w:rPr>
          <w:rFonts w:eastAsia="TimesNewRoman" w:cs="TimesNewRoman"/>
          <w:noProof/>
          <w:lang w:eastAsia="en-AU"/>
        </w:rPr>
        <w:t xml:space="preserve">Study CT03 </w:t>
      </w:r>
      <w:r w:rsidR="00414E1B">
        <w:rPr>
          <w:rFonts w:eastAsia="TimesNewRoman" w:cs="TimesNewRoman"/>
          <w:noProof/>
          <w:lang w:eastAsia="en-AU"/>
        </w:rPr>
        <w:t>S</w:t>
      </w:r>
      <w:r>
        <w:rPr>
          <w:rFonts w:eastAsia="TimesNewRoman" w:cs="TimesNewRoman"/>
          <w:noProof/>
          <w:lang w:eastAsia="en-AU"/>
        </w:rPr>
        <w:t xml:space="preserve">uperiority analysis of CHF-1535 (Fostair) versus </w:t>
      </w:r>
      <w:proofErr w:type="spellStart"/>
      <w:r>
        <w:t>beclometasone</w:t>
      </w:r>
      <w:proofErr w:type="spellEnd"/>
      <w:r>
        <w:t xml:space="preserve"> dipropionate monotherapy for morning peak expiratory flow (L/min)</w:t>
      </w:r>
    </w:p>
    <w:p w14:paraId="0C9D09B7" w14:textId="77777777" w:rsidR="00B004AA" w:rsidRPr="00B004AA" w:rsidRDefault="00B004AA" w:rsidP="00B004AA">
      <w:pPr>
        <w:rPr>
          <w:rFonts w:asciiTheme="minorHAnsi" w:hAnsiTheme="minorHAnsi"/>
        </w:rPr>
      </w:pPr>
      <w:r>
        <w:rPr>
          <w:noProof/>
          <w:lang w:eastAsia="en-AU"/>
        </w:rPr>
        <w:drawing>
          <wp:inline distT="0" distB="0" distL="0" distR="0" wp14:anchorId="38CE9F8F" wp14:editId="69CBFA74">
            <wp:extent cx="5196205" cy="1140794"/>
            <wp:effectExtent l="0" t="0" r="4445" b="2540"/>
            <wp:docPr id="6" name="Picture 6" descr="Study CT03 superiority analysis of CHF-1535 (Fostair) versus beclometasone dipropionate monotherapy for morning peak expiratory flow (L/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15369" cy="1145001"/>
                    </a:xfrm>
                    <a:prstGeom prst="rect">
                      <a:avLst/>
                    </a:prstGeom>
                  </pic:spPr>
                </pic:pic>
              </a:graphicData>
            </a:graphic>
          </wp:inline>
        </w:drawing>
      </w:r>
    </w:p>
    <w:p w14:paraId="7F8A6241" w14:textId="77777777" w:rsidR="00426CBA" w:rsidRDefault="00041BB8" w:rsidP="001F37E0">
      <w:pPr>
        <w:pStyle w:val="Heading6"/>
        <w:rPr>
          <w:rFonts w:eastAsia="TimesNewRoman"/>
        </w:rPr>
      </w:pPr>
      <w:r>
        <w:rPr>
          <w:rFonts w:eastAsia="TimesNewRoman"/>
        </w:rPr>
        <w:t>Study CT04</w:t>
      </w:r>
    </w:p>
    <w:p w14:paraId="7AE86154" w14:textId="29E08E8F" w:rsidR="00AB574E" w:rsidRDefault="00D209E3" w:rsidP="001F37E0">
      <w:r>
        <w:t xml:space="preserve">Study </w:t>
      </w:r>
      <w:r w:rsidR="00426CBA" w:rsidRPr="001F37E0">
        <w:t xml:space="preserve">CT04 was a comparative study of </w:t>
      </w:r>
      <w:proofErr w:type="spellStart"/>
      <w:r w:rsidRPr="001F37E0">
        <w:t>Fostair</w:t>
      </w:r>
      <w:proofErr w:type="spellEnd"/>
      <w:r w:rsidR="00426CBA" w:rsidRPr="001F37E0">
        <w:t xml:space="preserve"> (1 puff </w:t>
      </w:r>
      <w:r w:rsidR="00245C4E">
        <w:t>BD</w:t>
      </w:r>
      <w:r w:rsidR="00426CBA" w:rsidRPr="001F37E0">
        <w:t xml:space="preserve">) and </w:t>
      </w:r>
      <w:proofErr w:type="spellStart"/>
      <w:r w:rsidR="00AB574E">
        <w:t>beclometasone</w:t>
      </w:r>
      <w:proofErr w:type="spellEnd"/>
      <w:r w:rsidR="00AB574E">
        <w:t xml:space="preserve"> dipropionate (2 puffs 250 µ</w:t>
      </w:r>
      <w:r w:rsidR="00426CBA" w:rsidRPr="001F37E0">
        <w:t xml:space="preserve">g CFC </w:t>
      </w:r>
      <w:proofErr w:type="spellStart"/>
      <w:r w:rsidR="00426CBA" w:rsidRPr="001F37E0">
        <w:t>pMDI</w:t>
      </w:r>
      <w:proofErr w:type="spellEnd"/>
      <w:r w:rsidR="00426CBA" w:rsidRPr="001F37E0">
        <w:t xml:space="preserve"> twice daily). There was a 2</w:t>
      </w:r>
      <w:r w:rsidR="00B43FEC">
        <w:t xml:space="preserve"> </w:t>
      </w:r>
      <w:r w:rsidR="00426CBA" w:rsidRPr="001F37E0">
        <w:t>week run in period followed by a 12</w:t>
      </w:r>
      <w:r w:rsidR="00B43FEC">
        <w:t xml:space="preserve"> </w:t>
      </w:r>
      <w:r w:rsidR="00426CBA" w:rsidRPr="001F37E0">
        <w:t>week treatment period. Patien</w:t>
      </w:r>
      <w:r w:rsidR="00B004AA">
        <w:t xml:space="preserve">ts had mild to </w:t>
      </w:r>
      <w:r w:rsidR="00426CBA" w:rsidRPr="001F37E0">
        <w:t>modera</w:t>
      </w:r>
      <w:r w:rsidR="00A63A42">
        <w:t>te asthma.</w:t>
      </w:r>
    </w:p>
    <w:p w14:paraId="3FEACE53" w14:textId="77777777" w:rsidR="00AB574E" w:rsidRDefault="00AB574E" w:rsidP="00AB574E">
      <w:pPr>
        <w:pStyle w:val="Heading7"/>
      </w:pPr>
      <w:r>
        <w:t>Results</w:t>
      </w:r>
    </w:p>
    <w:p w14:paraId="2DFA14E7" w14:textId="77777777" w:rsidR="00426CBA" w:rsidRDefault="00A63A42" w:rsidP="001F37E0">
      <w:pPr>
        <w:rPr>
          <w:rFonts w:eastAsia="TimesNewRoman" w:cs="TimesNewRoman"/>
          <w:noProof/>
          <w:lang w:eastAsia="en-AU"/>
        </w:rPr>
      </w:pPr>
      <w:r>
        <w:t xml:space="preserve">A total of 397 patients were randomised. </w:t>
      </w:r>
      <w:r w:rsidR="00426CBA" w:rsidRPr="001F37E0">
        <w:t>There was an improvement in PEF of over 300</w:t>
      </w:r>
      <w:r>
        <w:t> </w:t>
      </w:r>
      <w:r w:rsidR="00426CBA" w:rsidRPr="001F37E0">
        <w:t xml:space="preserve">L/min in both groups. The increase in PEF of </w:t>
      </w:r>
      <w:proofErr w:type="spellStart"/>
      <w:r w:rsidR="00AB574E" w:rsidRPr="001F37E0">
        <w:t>Fostair</w:t>
      </w:r>
      <w:proofErr w:type="spellEnd"/>
      <w:r w:rsidR="00AB574E">
        <w:t xml:space="preserve"> over </w:t>
      </w:r>
      <w:proofErr w:type="spellStart"/>
      <w:r w:rsidR="00AB574E">
        <w:t>b</w:t>
      </w:r>
      <w:r w:rsidR="00426CBA" w:rsidRPr="001F37E0">
        <w:t>eclomethasone</w:t>
      </w:r>
      <w:proofErr w:type="spellEnd"/>
      <w:r w:rsidR="00426CBA" w:rsidRPr="001F37E0">
        <w:t xml:space="preserve"> was 22.8</w:t>
      </w:r>
      <w:r>
        <w:t> </w:t>
      </w:r>
      <w:r w:rsidR="00426CBA" w:rsidRPr="001F37E0">
        <w:t xml:space="preserve">L/min and statistically significant. There was no major difference in asthma symptom scores between groups. There were less exacerbations in the </w:t>
      </w:r>
      <w:proofErr w:type="spellStart"/>
      <w:r w:rsidR="00AB574E" w:rsidRPr="001F37E0">
        <w:t>Fostair</w:t>
      </w:r>
      <w:proofErr w:type="spellEnd"/>
      <w:r w:rsidR="00AB574E">
        <w:t xml:space="preserve"> than the </w:t>
      </w:r>
      <w:proofErr w:type="spellStart"/>
      <w:r w:rsidR="00AB574E">
        <w:t>b</w:t>
      </w:r>
      <w:r w:rsidR="00426CBA" w:rsidRPr="001F37E0">
        <w:t>eclomethasone</w:t>
      </w:r>
      <w:proofErr w:type="spellEnd"/>
      <w:r w:rsidR="00426CBA" w:rsidRPr="001F37E0">
        <w:t xml:space="preserve"> treatment group.</w:t>
      </w:r>
      <w:r w:rsidR="00426CBA" w:rsidRPr="001F37E0">
        <w:rPr>
          <w:rFonts w:eastAsia="TimesNewRoman" w:cs="TimesNewRoman"/>
          <w:noProof/>
          <w:lang w:eastAsia="en-AU"/>
        </w:rPr>
        <w:t xml:space="preserve"> It is important to note in this study that the dose of beclomethasone used in </w:t>
      </w:r>
      <w:r w:rsidR="00AB574E" w:rsidRPr="001F37E0">
        <w:rPr>
          <w:rFonts w:eastAsia="TimesNewRoman" w:cs="TimesNewRoman"/>
          <w:noProof/>
          <w:lang w:eastAsia="en-AU"/>
        </w:rPr>
        <w:t>Fostair</w:t>
      </w:r>
      <w:r w:rsidR="00426CBA" w:rsidRPr="001F37E0">
        <w:rPr>
          <w:rFonts w:eastAsia="TimesNewRoman" w:cs="TimesNewRoman"/>
          <w:noProof/>
          <w:lang w:eastAsia="en-AU"/>
        </w:rPr>
        <w:t xml:space="preserve"> was relatively lower than that in the </w:t>
      </w:r>
      <w:proofErr w:type="spellStart"/>
      <w:r w:rsidR="00AB574E">
        <w:t>beclometasone</w:t>
      </w:r>
      <w:proofErr w:type="spellEnd"/>
      <w:r w:rsidR="00AB574E">
        <w:t xml:space="preserve"> dipropionate</w:t>
      </w:r>
      <w:r w:rsidR="00426CBA" w:rsidRPr="001F37E0">
        <w:rPr>
          <w:rFonts w:eastAsia="TimesNewRoman" w:cs="TimesNewRoman"/>
          <w:noProof/>
          <w:lang w:eastAsia="en-AU"/>
        </w:rPr>
        <w:t xml:space="preserve"> group.</w:t>
      </w:r>
    </w:p>
    <w:p w14:paraId="6E00B815" w14:textId="4FE960C5" w:rsidR="00426CBA" w:rsidRDefault="00B004AA" w:rsidP="00B004AA">
      <w:pPr>
        <w:pStyle w:val="TableTitle"/>
      </w:pPr>
      <w:r>
        <w:lastRenderedPageBreak/>
        <w:t xml:space="preserve">Table </w:t>
      </w:r>
      <w:r w:rsidR="00E81985">
        <w:rPr>
          <w:noProof/>
        </w:rPr>
        <w:fldChar w:fldCharType="begin"/>
      </w:r>
      <w:r w:rsidR="00E81985">
        <w:rPr>
          <w:noProof/>
        </w:rPr>
        <w:instrText xml:space="preserve"> SEQ Table \* ARABIC </w:instrText>
      </w:r>
      <w:r w:rsidR="00E81985">
        <w:rPr>
          <w:noProof/>
        </w:rPr>
        <w:fldChar w:fldCharType="separate"/>
      </w:r>
      <w:r w:rsidR="00352776">
        <w:rPr>
          <w:noProof/>
        </w:rPr>
        <w:t>4</w:t>
      </w:r>
      <w:r w:rsidR="00E81985">
        <w:rPr>
          <w:noProof/>
        </w:rPr>
        <w:fldChar w:fldCharType="end"/>
      </w:r>
      <w:r>
        <w:t xml:space="preserve">: Study CT04 </w:t>
      </w:r>
      <w:r w:rsidR="00414E1B">
        <w:t>M</w:t>
      </w:r>
      <w:r>
        <w:t>orning peak expiratory flow at endpoint, main analysis (intent to treat population)</w:t>
      </w:r>
    </w:p>
    <w:p w14:paraId="2CA2F97D" w14:textId="77777777" w:rsidR="00426CBA" w:rsidRDefault="00B004AA" w:rsidP="00B004AA">
      <w:pPr>
        <w:rPr>
          <w:rFonts w:asciiTheme="minorHAnsi" w:hAnsiTheme="minorHAnsi"/>
        </w:rPr>
      </w:pPr>
      <w:r>
        <w:rPr>
          <w:noProof/>
          <w:lang w:eastAsia="en-AU"/>
        </w:rPr>
        <w:drawing>
          <wp:inline distT="0" distB="0" distL="0" distR="0" wp14:anchorId="5154153F" wp14:editId="21BFFB50">
            <wp:extent cx="4914900" cy="3246354"/>
            <wp:effectExtent l="0" t="0" r="0" b="0"/>
            <wp:docPr id="11" name="Picture 11" descr="Study CT04 morning peak expiratory flow at endpoint, main analysis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20982" cy="3250371"/>
                    </a:xfrm>
                    <a:prstGeom prst="rect">
                      <a:avLst/>
                    </a:prstGeom>
                  </pic:spPr>
                </pic:pic>
              </a:graphicData>
            </a:graphic>
          </wp:inline>
        </w:drawing>
      </w:r>
    </w:p>
    <w:p w14:paraId="0349EDA1" w14:textId="6A0BC84B" w:rsidR="0016706A" w:rsidRPr="00B004AA" w:rsidRDefault="0016706A" w:rsidP="0016706A">
      <w:pPr>
        <w:pStyle w:val="TableDescription"/>
      </w:pPr>
      <w:r>
        <w:t>ANCOVA = analysis of covariance, SD = standard deviation</w:t>
      </w:r>
      <w:r w:rsidR="00A66A7A">
        <w:t xml:space="preserve">; CHF 1535 = </w:t>
      </w:r>
      <w:proofErr w:type="spellStart"/>
      <w:r w:rsidR="00A66A7A">
        <w:t>Fostair</w:t>
      </w:r>
      <w:proofErr w:type="spellEnd"/>
      <w:r w:rsidR="0029512F">
        <w:t xml:space="preserve"> treated</w:t>
      </w:r>
      <w:r w:rsidR="00A66A7A">
        <w:t xml:space="preserve"> population</w:t>
      </w:r>
    </w:p>
    <w:p w14:paraId="462DFC53" w14:textId="77777777" w:rsidR="00426CBA" w:rsidRDefault="00426CBA" w:rsidP="001F37E0">
      <w:pPr>
        <w:pStyle w:val="Heading6"/>
      </w:pPr>
      <w:r>
        <w:t>Supportive studi</w:t>
      </w:r>
      <w:r w:rsidR="00041BB8">
        <w:t>es</w:t>
      </w:r>
    </w:p>
    <w:p w14:paraId="6D35D6E4" w14:textId="77777777" w:rsidR="00426CBA" w:rsidRDefault="0016706A" w:rsidP="0016706A">
      <w:r>
        <w:t xml:space="preserve">Study </w:t>
      </w:r>
      <w:r w:rsidR="00426CBA" w:rsidRPr="00E321E5">
        <w:t>CT01 showed equivale</w:t>
      </w:r>
      <w:r>
        <w:t>nt efficacy in FEV</w:t>
      </w:r>
      <w:r w:rsidRPr="009C4D36">
        <w:rPr>
          <w:vertAlign w:val="subscript"/>
        </w:rPr>
        <w:t>1</w:t>
      </w:r>
      <w:r>
        <w:t xml:space="preserve"> between </w:t>
      </w:r>
      <w:proofErr w:type="spellStart"/>
      <w:r w:rsidR="00D64333">
        <w:t>beclometasone</w:t>
      </w:r>
      <w:proofErr w:type="spellEnd"/>
      <w:r w:rsidR="00D64333">
        <w:t xml:space="preserve"> dipropionate</w:t>
      </w:r>
      <w:r>
        <w:t xml:space="preserve"> HFA 400µg and </w:t>
      </w:r>
      <w:proofErr w:type="spellStart"/>
      <w:r w:rsidR="00D64333">
        <w:t>beclometasone</w:t>
      </w:r>
      <w:proofErr w:type="spellEnd"/>
      <w:r w:rsidR="00D64333">
        <w:t xml:space="preserve"> dipropionate </w:t>
      </w:r>
      <w:r>
        <w:t xml:space="preserve">1000µg </w:t>
      </w:r>
      <w:r w:rsidR="00426CBA" w:rsidRPr="00E321E5">
        <w:t>CFC. There was also no significant difference in FEV</w:t>
      </w:r>
      <w:r w:rsidR="00426CBA" w:rsidRPr="0016706A">
        <w:rPr>
          <w:vertAlign w:val="subscript"/>
        </w:rPr>
        <w:t>1</w:t>
      </w:r>
      <w:r w:rsidR="00426CBA" w:rsidRPr="00E321E5">
        <w:t>, symptom s</w:t>
      </w:r>
      <w:r w:rsidR="001F37E0">
        <w:t>cores or rescue medication use.</w:t>
      </w:r>
    </w:p>
    <w:p w14:paraId="4581D865" w14:textId="337409BD" w:rsidR="00426CBA" w:rsidRPr="0016706A" w:rsidRDefault="0016706A" w:rsidP="0016706A">
      <w:pPr>
        <w:pStyle w:val="TableTitle"/>
      </w:pPr>
      <w:r>
        <w:t xml:space="preserve">Table </w:t>
      </w:r>
      <w:r w:rsidR="00E81985">
        <w:rPr>
          <w:noProof/>
        </w:rPr>
        <w:fldChar w:fldCharType="begin"/>
      </w:r>
      <w:r w:rsidR="00E81985">
        <w:rPr>
          <w:noProof/>
        </w:rPr>
        <w:instrText xml:space="preserve"> SEQ Table \* ARABIC </w:instrText>
      </w:r>
      <w:r w:rsidR="00E81985">
        <w:rPr>
          <w:noProof/>
        </w:rPr>
        <w:fldChar w:fldCharType="separate"/>
      </w:r>
      <w:r w:rsidR="00352776">
        <w:rPr>
          <w:noProof/>
        </w:rPr>
        <w:t>5</w:t>
      </w:r>
      <w:r w:rsidR="00E81985">
        <w:rPr>
          <w:noProof/>
        </w:rPr>
        <w:fldChar w:fldCharType="end"/>
      </w:r>
      <w:r>
        <w:t xml:space="preserve">: Study CT01 </w:t>
      </w:r>
      <w:r w:rsidR="00414E1B">
        <w:t>M</w:t>
      </w:r>
      <w:r>
        <w:t>orning peak expiratory volume, results of analysis of equivalence</w:t>
      </w:r>
    </w:p>
    <w:p w14:paraId="2157865E" w14:textId="77777777" w:rsidR="0016706A" w:rsidRDefault="0016706A" w:rsidP="0016706A">
      <w:pPr>
        <w:rPr>
          <w:rFonts w:asciiTheme="minorHAnsi" w:hAnsiTheme="minorHAnsi"/>
        </w:rPr>
      </w:pPr>
      <w:r>
        <w:rPr>
          <w:noProof/>
          <w:lang w:eastAsia="en-AU"/>
        </w:rPr>
        <w:drawing>
          <wp:inline distT="0" distB="0" distL="0" distR="0" wp14:anchorId="5D18F557" wp14:editId="2188FD2C">
            <wp:extent cx="5400040" cy="2335530"/>
            <wp:effectExtent l="0" t="0" r="0" b="7620"/>
            <wp:docPr id="13" name="Picture 13" descr="Study CT01 morning peak expiratory volume, results of analysis of equiva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00040" cy="2335530"/>
                    </a:xfrm>
                    <a:prstGeom prst="rect">
                      <a:avLst/>
                    </a:prstGeom>
                  </pic:spPr>
                </pic:pic>
              </a:graphicData>
            </a:graphic>
          </wp:inline>
        </w:drawing>
      </w:r>
    </w:p>
    <w:p w14:paraId="35CA784D" w14:textId="77777777" w:rsidR="00426CBA" w:rsidRPr="001F37E0" w:rsidRDefault="00426CBA" w:rsidP="001F37E0">
      <w:r w:rsidRPr="00E321E5">
        <w:t>Study CT02 showed equivalent efficacy</w:t>
      </w:r>
      <w:r w:rsidR="0016706A">
        <w:t xml:space="preserve"> between </w:t>
      </w:r>
      <w:proofErr w:type="spellStart"/>
      <w:r w:rsidR="009E259B">
        <w:t>formoterol</w:t>
      </w:r>
      <w:proofErr w:type="spellEnd"/>
      <w:r w:rsidR="009E259B">
        <w:t xml:space="preserve"> fumarate</w:t>
      </w:r>
      <w:r w:rsidR="0016706A">
        <w:t xml:space="preserve"> HFA 6 µ</w:t>
      </w:r>
      <w:r w:rsidRPr="00E321E5">
        <w:t>g 2 puff</w:t>
      </w:r>
      <w:r w:rsidR="0016706A">
        <w:t xml:space="preserve">s and </w:t>
      </w:r>
      <w:proofErr w:type="spellStart"/>
      <w:r w:rsidR="009E259B">
        <w:t>formoterol</w:t>
      </w:r>
      <w:proofErr w:type="spellEnd"/>
      <w:r w:rsidR="009E259B">
        <w:t xml:space="preserve"> fumarate DPI 12 µ</w:t>
      </w:r>
      <w:r w:rsidR="0016706A">
        <w:t>g 1 puff.</w:t>
      </w:r>
      <w:r w:rsidRPr="00E321E5">
        <w:t xml:space="preserve"> Study CT06 showed equivalence in efficacy between </w:t>
      </w:r>
      <w:r w:rsidR="009E259B" w:rsidRPr="00E321E5">
        <w:t>Foster</w:t>
      </w:r>
      <w:r w:rsidRPr="00E321E5">
        <w:t xml:space="preserve"> and</w:t>
      </w:r>
      <w:r w:rsidR="00E72EDC">
        <w:t xml:space="preserve"> </w:t>
      </w:r>
      <w:proofErr w:type="spellStart"/>
      <w:r w:rsidR="00E72EDC">
        <w:t>S</w:t>
      </w:r>
      <w:r w:rsidRPr="00E321E5">
        <w:t>eretide</w:t>
      </w:r>
      <w:proofErr w:type="spellEnd"/>
      <w:r w:rsidRPr="00E321E5">
        <w:t xml:space="preserve"> </w:t>
      </w:r>
      <w:r w:rsidR="00E72EDC">
        <w:t>(</w:t>
      </w:r>
      <w:r w:rsidRPr="00E321E5">
        <w:t>fluticason</w:t>
      </w:r>
      <w:r w:rsidR="001F37E0">
        <w:t>e 125</w:t>
      </w:r>
      <w:r w:rsidR="009E259B">
        <w:t xml:space="preserve"> µg/</w:t>
      </w:r>
      <w:proofErr w:type="spellStart"/>
      <w:r w:rsidR="009E259B">
        <w:t>salmeterol</w:t>
      </w:r>
      <w:proofErr w:type="spellEnd"/>
      <w:r w:rsidR="009E259B">
        <w:t xml:space="preserve"> 25µg </w:t>
      </w:r>
      <w:proofErr w:type="spellStart"/>
      <w:r w:rsidR="009E259B">
        <w:t>pMDI</w:t>
      </w:r>
      <w:proofErr w:type="spellEnd"/>
      <w:r w:rsidR="009E259B">
        <w:t>).</w:t>
      </w:r>
    </w:p>
    <w:p w14:paraId="3375E5A2" w14:textId="59BC27C9" w:rsidR="00426CBA" w:rsidRPr="001F37E0" w:rsidRDefault="0016706A" w:rsidP="001F37E0">
      <w:r>
        <w:t>Study CT05-spacer</w:t>
      </w:r>
      <w:r w:rsidR="00426CBA" w:rsidRPr="001E0D02">
        <w:t xml:space="preserve"> was a 12</w:t>
      </w:r>
      <w:r w:rsidR="00B43FEC">
        <w:t xml:space="preserve"> </w:t>
      </w:r>
      <w:r w:rsidR="00426CBA" w:rsidRPr="001E0D02">
        <w:t xml:space="preserve">week randomised, </w:t>
      </w:r>
      <w:r w:rsidR="00426CBA">
        <w:t>double blind</w:t>
      </w:r>
      <w:r w:rsidR="00245C4E">
        <w:t>,</w:t>
      </w:r>
      <w:r w:rsidR="00426CBA">
        <w:t xml:space="preserve"> double dummy</w:t>
      </w:r>
      <w:r w:rsidR="00245C4E">
        <w:t>,</w:t>
      </w:r>
      <w:r w:rsidR="00426CBA">
        <w:t xml:space="preserve"> 3 arm parallel group study comparing the efficacy and safety of </w:t>
      </w:r>
      <w:proofErr w:type="spellStart"/>
      <w:r w:rsidR="009E259B">
        <w:t>Fostair</w:t>
      </w:r>
      <w:proofErr w:type="spellEnd"/>
      <w:r w:rsidR="00426CBA">
        <w:t xml:space="preserve"> (administered usual way or in a spacer) to </w:t>
      </w:r>
      <w:proofErr w:type="spellStart"/>
      <w:r w:rsidR="009E259B">
        <w:t>beclometasone</w:t>
      </w:r>
      <w:proofErr w:type="spellEnd"/>
      <w:r w:rsidR="009E259B">
        <w:t xml:space="preserve"> dipropionate</w:t>
      </w:r>
      <w:r w:rsidR="00E72EDC">
        <w:t xml:space="preserve"> HFA </w:t>
      </w:r>
      <w:proofErr w:type="spellStart"/>
      <w:r w:rsidR="00E72EDC">
        <w:t>pMDI</w:t>
      </w:r>
      <w:proofErr w:type="spellEnd"/>
      <w:r w:rsidR="00E72EDC">
        <w:t xml:space="preserve"> 250 µ</w:t>
      </w:r>
      <w:r w:rsidR="00245C4E">
        <w:t>g 2 puffs BD</w:t>
      </w:r>
      <w:r w:rsidR="00426CBA">
        <w:t xml:space="preserve"> in ad</w:t>
      </w:r>
      <w:r w:rsidR="009E259B">
        <w:t xml:space="preserve">olescent patients with moderate to </w:t>
      </w:r>
      <w:r w:rsidR="00426CBA">
        <w:t xml:space="preserve">severe asthma. The primary efficacy variable was PEF, </w:t>
      </w:r>
      <w:r w:rsidR="00426CBA">
        <w:lastRenderedPageBreak/>
        <w:t xml:space="preserve">measured by an electronic meter at home. 448 patients were randomised. The data on the PEF was found to be of poor quality therefore not used in the analysis of results. There was no difference in lung function parameters or symptoms when </w:t>
      </w:r>
      <w:proofErr w:type="spellStart"/>
      <w:r w:rsidR="009E259B">
        <w:t>Fostair</w:t>
      </w:r>
      <w:proofErr w:type="spellEnd"/>
      <w:r w:rsidR="00426CBA">
        <w:t xml:space="preserve"> was used with or without a sp</w:t>
      </w:r>
      <w:r w:rsidR="009E259B">
        <w:t xml:space="preserve">acer, </w:t>
      </w:r>
      <w:r w:rsidR="00426CBA">
        <w:t>but it was not clear if this was a comparison of the same patients using spacer or not</w:t>
      </w:r>
      <w:r w:rsidR="00245C4E">
        <w:t>,</w:t>
      </w:r>
      <w:r w:rsidR="00426CBA">
        <w:t xml:space="preserve"> or a different group of patients in each group.</w:t>
      </w:r>
    </w:p>
    <w:p w14:paraId="4CF75284" w14:textId="421EE48C" w:rsidR="00426CBA" w:rsidRPr="00400CB2" w:rsidRDefault="00426CBA" w:rsidP="001F37E0">
      <w:pPr>
        <w:pStyle w:val="Heading5"/>
      </w:pPr>
      <w:r w:rsidRPr="00400CB2">
        <w:t>C</w:t>
      </w:r>
      <w:r w:rsidR="00A66A7A">
        <w:t>hronic obstructive pulmonary disease</w:t>
      </w:r>
    </w:p>
    <w:p w14:paraId="4725638D" w14:textId="77777777" w:rsidR="00426CBA" w:rsidRPr="00400CB2" w:rsidRDefault="00426CBA" w:rsidP="001F37E0">
      <w:pPr>
        <w:pStyle w:val="Heading6"/>
      </w:pPr>
      <w:r w:rsidRPr="00400CB2">
        <w:t>Study CT01-COPD</w:t>
      </w:r>
    </w:p>
    <w:p w14:paraId="0068EAA6" w14:textId="04392EB8" w:rsidR="00426CBA" w:rsidRDefault="009E259B" w:rsidP="001F37E0">
      <w:r>
        <w:t>This was a 48</w:t>
      </w:r>
      <w:r w:rsidR="00B43FEC">
        <w:t xml:space="preserve"> </w:t>
      </w:r>
      <w:r>
        <w:t xml:space="preserve">week, 3 </w:t>
      </w:r>
      <w:r w:rsidR="00426CBA">
        <w:t>arm</w:t>
      </w:r>
      <w:r>
        <w:t>,</w:t>
      </w:r>
      <w:r w:rsidR="00426CBA">
        <w:t xml:space="preserve"> parallel group RCT of </w:t>
      </w:r>
      <w:proofErr w:type="spellStart"/>
      <w:r>
        <w:t>Fostair</w:t>
      </w:r>
      <w:proofErr w:type="spellEnd"/>
      <w:r>
        <w:t xml:space="preserve"> versus b</w:t>
      </w:r>
      <w:r w:rsidR="00426CBA">
        <w:t xml:space="preserve">udesonide plus </w:t>
      </w:r>
      <w:proofErr w:type="spellStart"/>
      <w:r>
        <w:t>f</w:t>
      </w:r>
      <w:r w:rsidR="00426CBA">
        <w:t>ormoterol</w:t>
      </w:r>
      <w:proofErr w:type="spellEnd"/>
      <w:r w:rsidR="00426CBA">
        <w:t xml:space="preserve"> </w:t>
      </w:r>
      <w:r>
        <w:t>DPI</w:t>
      </w:r>
      <w:r w:rsidR="00426CBA">
        <w:t xml:space="preserve"> (</w:t>
      </w:r>
      <w:proofErr w:type="spellStart"/>
      <w:r>
        <w:t>Symbicort</w:t>
      </w:r>
      <w:proofErr w:type="spellEnd"/>
      <w:r w:rsidR="000A2234">
        <w:t xml:space="preserve">) versus </w:t>
      </w:r>
      <w:proofErr w:type="spellStart"/>
      <w:r w:rsidR="000A2234">
        <w:t>f</w:t>
      </w:r>
      <w:r w:rsidR="00426CBA">
        <w:t>ormoterol</w:t>
      </w:r>
      <w:proofErr w:type="spellEnd"/>
      <w:r w:rsidR="00426CBA">
        <w:t xml:space="preserve"> </w:t>
      </w:r>
      <w:r>
        <w:t>DPI</w:t>
      </w:r>
      <w:r w:rsidR="00426CBA">
        <w:t xml:space="preserve"> in patients with stable severe </w:t>
      </w:r>
      <w:r>
        <w:t>COPD</w:t>
      </w:r>
      <w:r w:rsidR="00426CBA">
        <w:t>. The stu</w:t>
      </w:r>
      <w:r>
        <w:t>dy was performed in 2006 to 2008.</w:t>
      </w:r>
    </w:p>
    <w:p w14:paraId="53FE8E49" w14:textId="06B1CF3F" w:rsidR="00426CBA" w:rsidRDefault="00426CBA" w:rsidP="001F37E0">
      <w:pPr>
        <w:rPr>
          <w:rFonts w:asciiTheme="minorHAnsi" w:hAnsiTheme="minorHAnsi"/>
        </w:rPr>
      </w:pPr>
      <w:r>
        <w:t xml:space="preserve">The primary objective was to demonstrate that </w:t>
      </w:r>
      <w:proofErr w:type="spellStart"/>
      <w:r w:rsidR="009E259B">
        <w:t>Fostair</w:t>
      </w:r>
      <w:proofErr w:type="spellEnd"/>
      <w:r>
        <w:t xml:space="preserve"> was non-inferior to </w:t>
      </w:r>
      <w:proofErr w:type="spellStart"/>
      <w:r w:rsidR="009E259B">
        <w:t>Symbicort</w:t>
      </w:r>
      <w:proofErr w:type="spellEnd"/>
      <w:r>
        <w:t xml:space="preserve"> (endpoint</w:t>
      </w:r>
      <w:r w:rsidR="009E259B">
        <w:t>:</w:t>
      </w:r>
      <w:r>
        <w:t xml:space="preserve"> change in pre-dose FEV</w:t>
      </w:r>
      <w:r w:rsidRPr="007947D6">
        <w:rPr>
          <w:vertAlign w:val="subscript"/>
        </w:rPr>
        <w:t>1</w:t>
      </w:r>
      <w:r>
        <w:t xml:space="preserve"> </w:t>
      </w:r>
      <w:r w:rsidR="00A66A7A">
        <w:t xml:space="preserve">at </w:t>
      </w:r>
      <w:r w:rsidR="00B43FEC">
        <w:t>B</w:t>
      </w:r>
      <w:r>
        <w:t xml:space="preserve">aseline to 48 weeks) and superior to </w:t>
      </w:r>
      <w:proofErr w:type="spellStart"/>
      <w:r>
        <w:t>fo</w:t>
      </w:r>
      <w:r w:rsidR="009E259B">
        <w:t>rmoterol</w:t>
      </w:r>
      <w:proofErr w:type="spellEnd"/>
      <w:r w:rsidR="009E259B">
        <w:t xml:space="preserve"> monotherapy (endpoint: </w:t>
      </w:r>
      <w:r>
        <w:t xml:space="preserve">number of COPD exacerbations). Secondary objectives included changes in </w:t>
      </w:r>
      <w:r w:rsidR="009E259B">
        <w:t>St George’s Respiratory Questionnaire (</w:t>
      </w:r>
      <w:r>
        <w:t>SGRQ</w:t>
      </w:r>
      <w:r w:rsidR="009E259B">
        <w:t>)</w:t>
      </w:r>
      <w:r>
        <w:t>,</w:t>
      </w:r>
      <w:r w:rsidR="009E259B">
        <w:rPr>
          <w:rStyle w:val="FootnoteReference"/>
        </w:rPr>
        <w:footnoteReference w:id="14"/>
      </w:r>
      <w:r>
        <w:t xml:space="preserve"> COPD symptoms, pulmonary function parameters, use of rescue medication, number of moderate and severe exacerbations</w:t>
      </w:r>
    </w:p>
    <w:p w14:paraId="67A57843" w14:textId="53AD6A16" w:rsidR="00426CBA" w:rsidRPr="00216A26" w:rsidRDefault="00A63A42" w:rsidP="001F37E0">
      <w:r>
        <w:t>The t</w:t>
      </w:r>
      <w:r w:rsidR="00426CBA">
        <w:t>reatment period was 48 weeks. The treat</w:t>
      </w:r>
      <w:r>
        <w:t>ment period was preceded by a 4 week run </w:t>
      </w:r>
      <w:r w:rsidR="00426CBA">
        <w:t xml:space="preserve">in period, </w:t>
      </w:r>
      <w:r w:rsidR="00426CBA" w:rsidRPr="00216A26">
        <w:t xml:space="preserve">during which patients discontinued all COPD treatments and were treated with the combination </w:t>
      </w:r>
      <w:r w:rsidR="00426CBA" w:rsidRPr="00A63A42">
        <w:t>ipratropium</w:t>
      </w:r>
      <w:r>
        <w:t xml:space="preserve"> </w:t>
      </w:r>
      <w:r w:rsidR="00426CBA" w:rsidRPr="00A63A42">
        <w:t>20</w:t>
      </w:r>
      <w:r>
        <w:t xml:space="preserve"> </w:t>
      </w:r>
      <w:r w:rsidR="00A66A7A">
        <w:t>µ</w:t>
      </w:r>
      <w:r>
        <w:t>g</w:t>
      </w:r>
      <w:r w:rsidR="00426CBA" w:rsidRPr="00A63A42">
        <w:t>/salbutamol</w:t>
      </w:r>
      <w:r>
        <w:t xml:space="preserve"> </w:t>
      </w:r>
      <w:r w:rsidR="00426CBA" w:rsidRPr="00A63A42">
        <w:t>100</w:t>
      </w:r>
      <w:r>
        <w:t xml:space="preserve"> </w:t>
      </w:r>
      <w:r w:rsidR="00A66A7A">
        <w:t>µ</w:t>
      </w:r>
      <w:r w:rsidR="00426CBA" w:rsidRPr="00A63A42">
        <w:t xml:space="preserve">g, two puffs </w:t>
      </w:r>
      <w:r w:rsidR="00A66A7A" w:rsidRPr="00A63A42">
        <w:t>th</w:t>
      </w:r>
      <w:r w:rsidR="00A66A7A">
        <w:t>ree times</w:t>
      </w:r>
      <w:r w:rsidR="00A66A7A" w:rsidRPr="00A63A42">
        <w:t xml:space="preserve"> </w:t>
      </w:r>
      <w:r w:rsidR="00426CBA" w:rsidRPr="00A63A42">
        <w:t>daily</w:t>
      </w:r>
      <w:r>
        <w:t xml:space="preserve"> and ‘rescue’</w:t>
      </w:r>
      <w:r w:rsidR="00426CBA" w:rsidRPr="00A63A42">
        <w:t xml:space="preserve"> salbutamol given on an as needed basis</w:t>
      </w:r>
      <w:r w:rsidR="00426CBA" w:rsidRPr="00216A26">
        <w:t>.</w:t>
      </w:r>
    </w:p>
    <w:p w14:paraId="52038039" w14:textId="6ECCE61B" w:rsidR="00426CBA" w:rsidRDefault="00426CBA" w:rsidP="001F37E0">
      <w:pPr>
        <w:rPr>
          <w:rFonts w:asciiTheme="minorHAnsi" w:hAnsiTheme="minorHAnsi"/>
        </w:rPr>
      </w:pPr>
      <w:r w:rsidRPr="007947D6">
        <w:rPr>
          <w:rFonts w:asciiTheme="minorHAnsi" w:hAnsiTheme="minorHAnsi"/>
        </w:rPr>
        <w:t xml:space="preserve">The </w:t>
      </w:r>
      <w:r w:rsidR="00A63A42">
        <w:rPr>
          <w:rFonts w:asciiTheme="minorHAnsi" w:hAnsiTheme="minorHAnsi"/>
        </w:rPr>
        <w:t xml:space="preserve">patient population had moderate to </w:t>
      </w:r>
      <w:r w:rsidRPr="007947D6">
        <w:rPr>
          <w:rFonts w:asciiTheme="minorHAnsi" w:hAnsiTheme="minorHAnsi"/>
        </w:rPr>
        <w:t>severe COPD (</w:t>
      </w:r>
      <w:r w:rsidR="00A63A42">
        <w:rPr>
          <w:rFonts w:asciiTheme="minorHAnsi" w:hAnsiTheme="minorHAnsi"/>
        </w:rPr>
        <w:t xml:space="preserve">percent predicted </w:t>
      </w:r>
      <w:r w:rsidR="00A63A42">
        <w:t>forced expiratory volume in one second</w:t>
      </w:r>
      <w:r w:rsidR="00A63A42" w:rsidRPr="007947D6">
        <w:rPr>
          <w:rFonts w:asciiTheme="minorHAnsi" w:hAnsiTheme="minorHAnsi"/>
        </w:rPr>
        <w:t xml:space="preserve"> </w:t>
      </w:r>
      <w:r w:rsidR="00A63A42">
        <w:rPr>
          <w:rFonts w:asciiTheme="minorHAnsi" w:hAnsiTheme="minorHAnsi"/>
        </w:rPr>
        <w:t>(</w:t>
      </w:r>
      <w:r w:rsidRPr="007947D6">
        <w:rPr>
          <w:rFonts w:asciiTheme="minorHAnsi" w:hAnsiTheme="minorHAnsi"/>
        </w:rPr>
        <w:t>pp</w:t>
      </w:r>
      <w:r w:rsidR="009258BA">
        <w:rPr>
          <w:rFonts w:asciiTheme="minorHAnsi" w:hAnsiTheme="minorHAnsi"/>
        </w:rPr>
        <w:t xml:space="preserve"> </w:t>
      </w:r>
      <w:r w:rsidRPr="007947D6">
        <w:rPr>
          <w:rFonts w:asciiTheme="minorHAnsi" w:hAnsiTheme="minorHAnsi"/>
        </w:rPr>
        <w:t>FEV</w:t>
      </w:r>
      <w:r w:rsidRPr="00CA4E2F">
        <w:rPr>
          <w:rFonts w:asciiTheme="minorHAnsi" w:hAnsiTheme="minorHAnsi"/>
          <w:vertAlign w:val="subscript"/>
        </w:rPr>
        <w:t>1</w:t>
      </w:r>
      <w:r w:rsidR="00A63A42">
        <w:rPr>
          <w:rFonts w:asciiTheme="minorHAnsi" w:hAnsiTheme="minorHAnsi"/>
        </w:rPr>
        <w:t xml:space="preserve">) 30 to </w:t>
      </w:r>
      <w:r w:rsidRPr="007947D6">
        <w:rPr>
          <w:rFonts w:asciiTheme="minorHAnsi" w:hAnsiTheme="minorHAnsi"/>
        </w:rPr>
        <w:t xml:space="preserve">50%, at least </w:t>
      </w:r>
      <w:r w:rsidR="00A63A42">
        <w:rPr>
          <w:rFonts w:asciiTheme="minorHAnsi" w:hAnsiTheme="minorHAnsi"/>
        </w:rPr>
        <w:t>one exacerbation in the past 12 </w:t>
      </w:r>
      <w:r w:rsidR="00B43FEC">
        <w:rPr>
          <w:rFonts w:asciiTheme="minorHAnsi" w:hAnsiTheme="minorHAnsi"/>
        </w:rPr>
        <w:t>months).</w:t>
      </w:r>
    </w:p>
    <w:p w14:paraId="6B5AFB66" w14:textId="77777777" w:rsidR="00426CBA" w:rsidRDefault="00426CBA" w:rsidP="001F37E0">
      <w:pPr>
        <w:rPr>
          <w:rFonts w:asciiTheme="minorHAnsi" w:hAnsiTheme="minorHAnsi"/>
        </w:rPr>
      </w:pPr>
      <w:r>
        <w:rPr>
          <w:rFonts w:asciiTheme="minorHAnsi" w:hAnsiTheme="minorHAnsi"/>
        </w:rPr>
        <w:t>The sample size was based on the criteria for superiority and non-inferiority. Using a more conservative logistic regression approach and a binary variable, the study had a power of at least 86% for exacerbations. The study had a pow</w:t>
      </w:r>
      <w:r w:rsidR="00A63A42">
        <w:rPr>
          <w:rFonts w:asciiTheme="minorHAnsi" w:hAnsiTheme="minorHAnsi"/>
        </w:rPr>
        <w:t>er of more than 80% to show non</w:t>
      </w:r>
      <w:r w:rsidR="00A63A42">
        <w:rPr>
          <w:rFonts w:asciiTheme="minorHAnsi" w:hAnsiTheme="minorHAnsi"/>
        </w:rPr>
        <w:noBreakHyphen/>
      </w:r>
      <w:r>
        <w:rPr>
          <w:rFonts w:asciiTheme="minorHAnsi" w:hAnsiTheme="minorHAnsi"/>
        </w:rPr>
        <w:t>inferiority for FEV</w:t>
      </w:r>
      <w:r w:rsidRPr="00CA4E2F">
        <w:rPr>
          <w:rFonts w:asciiTheme="minorHAnsi" w:hAnsiTheme="minorHAnsi"/>
          <w:vertAlign w:val="subscript"/>
        </w:rPr>
        <w:t>1</w:t>
      </w:r>
      <w:r>
        <w:rPr>
          <w:rFonts w:asciiTheme="minorHAnsi" w:hAnsiTheme="minorHAnsi"/>
        </w:rPr>
        <w:t xml:space="preserve"> using a non-inferiority margin of 100</w:t>
      </w:r>
      <w:r w:rsidR="00A63A42">
        <w:rPr>
          <w:rFonts w:asciiTheme="minorHAnsi" w:hAnsiTheme="minorHAnsi"/>
        </w:rPr>
        <w:t xml:space="preserve"> </w:t>
      </w:r>
      <w:proofErr w:type="spellStart"/>
      <w:r w:rsidR="00A63A42">
        <w:rPr>
          <w:rFonts w:asciiTheme="minorHAnsi" w:hAnsiTheme="minorHAnsi"/>
        </w:rPr>
        <w:t>mL</w:t>
      </w:r>
      <w:r>
        <w:rPr>
          <w:rFonts w:asciiTheme="minorHAnsi" w:hAnsiTheme="minorHAnsi"/>
        </w:rPr>
        <w:t>.</w:t>
      </w:r>
      <w:proofErr w:type="spellEnd"/>
    </w:p>
    <w:p w14:paraId="1C6B5917" w14:textId="77777777" w:rsidR="00426CBA" w:rsidRPr="00CA4E2F" w:rsidRDefault="00A63A42" w:rsidP="00A63A42">
      <w:pPr>
        <w:pStyle w:val="Heading7"/>
      </w:pPr>
      <w:r>
        <w:rPr>
          <w:rFonts w:eastAsia="TimesNewRoman"/>
        </w:rPr>
        <w:t>Results</w:t>
      </w:r>
    </w:p>
    <w:p w14:paraId="5D458385" w14:textId="4C2AFEB8" w:rsidR="00426CBA" w:rsidRDefault="00426CBA" w:rsidP="001F37E0">
      <w:pPr>
        <w:rPr>
          <w:rFonts w:asciiTheme="minorHAnsi" w:eastAsia="TimesNewRoman" w:hAnsiTheme="minorHAnsi" w:cs="TimesNewRoman"/>
        </w:rPr>
      </w:pPr>
      <w:r w:rsidRPr="00DC2EDE">
        <w:rPr>
          <w:rFonts w:asciiTheme="minorHAnsi" w:hAnsiTheme="minorHAnsi"/>
        </w:rPr>
        <w:t xml:space="preserve">There were 703 </w:t>
      </w:r>
      <w:r>
        <w:rPr>
          <w:rFonts w:asciiTheme="minorHAnsi" w:hAnsiTheme="minorHAnsi"/>
        </w:rPr>
        <w:t>p</w:t>
      </w:r>
      <w:r w:rsidRPr="00DC2EDE">
        <w:rPr>
          <w:rFonts w:asciiTheme="minorHAnsi" w:hAnsiTheme="minorHAnsi"/>
        </w:rPr>
        <w:t>atients randomised. A</w:t>
      </w:r>
      <w:r>
        <w:rPr>
          <w:rFonts w:asciiTheme="minorHAnsi" w:hAnsiTheme="minorHAnsi"/>
        </w:rPr>
        <w:t>t</w:t>
      </w:r>
      <w:r w:rsidR="00A63A42">
        <w:rPr>
          <w:rFonts w:asciiTheme="minorHAnsi" w:hAnsiTheme="minorHAnsi"/>
        </w:rPr>
        <w:t xml:space="preserve"> B</w:t>
      </w:r>
      <w:r w:rsidRPr="00DC2EDE">
        <w:rPr>
          <w:rFonts w:asciiTheme="minorHAnsi" w:hAnsiTheme="minorHAnsi"/>
        </w:rPr>
        <w:t xml:space="preserve">aseline, the mean age was 63 years, 62% were ex-smokers and 37% were current smokers. </w:t>
      </w:r>
      <w:r w:rsidR="000A2234" w:rsidRPr="009C4E99">
        <w:rPr>
          <w:rFonts w:asciiTheme="minorHAnsi" w:eastAsia="TimesNewRoman" w:hAnsiTheme="minorHAnsi" w:cs="TimesNewRoman"/>
        </w:rPr>
        <w:t xml:space="preserve">Inhaled </w:t>
      </w:r>
      <w:r w:rsidR="00B43FEC">
        <w:rPr>
          <w:rFonts w:asciiTheme="minorHAnsi" w:eastAsia="TimesNewRoman" w:hAnsiTheme="minorHAnsi" w:cs="TimesNewRoman"/>
        </w:rPr>
        <w:t>SABA and LABA</w:t>
      </w:r>
      <w:r w:rsidR="000A2234" w:rsidRPr="009C4E99">
        <w:rPr>
          <w:rFonts w:asciiTheme="minorHAnsi" w:eastAsia="TimesNewRoman" w:hAnsiTheme="minorHAnsi" w:cs="TimesNewRoman"/>
        </w:rPr>
        <w:t>,</w:t>
      </w:r>
      <w:r w:rsidRPr="00DC2EDE">
        <w:rPr>
          <w:rFonts w:asciiTheme="minorHAnsi" w:eastAsia="TimesNewRoman" w:hAnsiTheme="minorHAnsi" w:cs="TimesNewRoman"/>
        </w:rPr>
        <w:t xml:space="preserve"> given as single </w:t>
      </w:r>
      <w:r w:rsidR="000A2234">
        <w:rPr>
          <w:rFonts w:asciiTheme="minorHAnsi" w:eastAsia="TimesNewRoman" w:hAnsiTheme="minorHAnsi" w:cs="TimesNewRoman"/>
        </w:rPr>
        <w:t xml:space="preserve">agents, were used at </w:t>
      </w:r>
      <w:r w:rsidR="004F79E2">
        <w:rPr>
          <w:rFonts w:asciiTheme="minorHAnsi" w:eastAsia="TimesNewRoman" w:hAnsiTheme="minorHAnsi" w:cs="TimesNewRoman"/>
        </w:rPr>
        <w:t>B</w:t>
      </w:r>
      <w:r>
        <w:rPr>
          <w:rFonts w:asciiTheme="minorHAnsi" w:eastAsia="TimesNewRoman" w:hAnsiTheme="minorHAnsi" w:cs="TimesNewRoman"/>
        </w:rPr>
        <w:t>ase</w:t>
      </w:r>
      <w:r w:rsidR="000A2234">
        <w:rPr>
          <w:rFonts w:asciiTheme="minorHAnsi" w:eastAsia="TimesNewRoman" w:hAnsiTheme="minorHAnsi" w:cs="TimesNewRoman"/>
        </w:rPr>
        <w:t>line by around 75% of subjects.</w:t>
      </w:r>
      <w:r w:rsidRPr="00DC2EDE">
        <w:rPr>
          <w:rFonts w:asciiTheme="minorHAnsi" w:eastAsia="TimesNewRoman" w:hAnsiTheme="minorHAnsi" w:cs="TimesNewRoman"/>
        </w:rPr>
        <w:t xml:space="preserve"> </w:t>
      </w:r>
      <w:r w:rsidR="000A2234">
        <w:rPr>
          <w:rFonts w:asciiTheme="minorHAnsi" w:eastAsia="TimesNewRoman" w:hAnsiTheme="minorHAnsi" w:cs="TimesNewRoman"/>
        </w:rPr>
        <w:t>ICS</w:t>
      </w:r>
      <w:r w:rsidRPr="00DC2EDE">
        <w:rPr>
          <w:rFonts w:asciiTheme="minorHAnsi" w:eastAsia="TimesNewRoman" w:hAnsiTheme="minorHAnsi" w:cs="TimesNewRoman"/>
        </w:rPr>
        <w:t xml:space="preserve"> given as single agents or in free combination with bronchodilators were</w:t>
      </w:r>
      <w:r>
        <w:rPr>
          <w:rFonts w:asciiTheme="minorHAnsi" w:eastAsia="TimesNewRoman" w:hAnsiTheme="minorHAnsi" w:cs="TimesNewRoman"/>
        </w:rPr>
        <w:t xml:space="preserve"> used by around 40%, i</w:t>
      </w:r>
      <w:r w:rsidR="000A2234">
        <w:rPr>
          <w:rFonts w:asciiTheme="minorHAnsi" w:eastAsia="TimesNewRoman" w:hAnsiTheme="minorHAnsi" w:cs="TimesNewRoman"/>
        </w:rPr>
        <w:t>nhaled short and long </w:t>
      </w:r>
      <w:r w:rsidRPr="00DC2EDE">
        <w:rPr>
          <w:rFonts w:asciiTheme="minorHAnsi" w:eastAsia="TimesNewRoman" w:hAnsiTheme="minorHAnsi" w:cs="TimesNewRoman"/>
        </w:rPr>
        <w:t>acting anticholinergics given as single agents were</w:t>
      </w:r>
      <w:r w:rsidR="000A2234">
        <w:rPr>
          <w:rFonts w:asciiTheme="minorHAnsi" w:eastAsia="TimesNewRoman" w:hAnsiTheme="minorHAnsi" w:cs="TimesNewRoman"/>
        </w:rPr>
        <w:t xml:space="preserve"> used in around 50%.</w:t>
      </w:r>
    </w:p>
    <w:p w14:paraId="4ED3800C" w14:textId="77777777" w:rsidR="00426CBA" w:rsidRDefault="000A2234" w:rsidP="001F37E0">
      <w:pPr>
        <w:rPr>
          <w:rFonts w:asciiTheme="minorHAnsi" w:hAnsiTheme="minorHAnsi"/>
        </w:rPr>
      </w:pPr>
      <w:proofErr w:type="spellStart"/>
      <w:r>
        <w:rPr>
          <w:rFonts w:asciiTheme="minorHAnsi" w:hAnsiTheme="minorHAnsi"/>
        </w:rPr>
        <w:t>Fostair</w:t>
      </w:r>
      <w:proofErr w:type="spellEnd"/>
      <w:r w:rsidR="00426CBA">
        <w:rPr>
          <w:rFonts w:asciiTheme="minorHAnsi" w:hAnsiTheme="minorHAnsi"/>
        </w:rPr>
        <w:t xml:space="preserve"> was </w:t>
      </w:r>
      <w:r w:rsidR="00E72EDC">
        <w:rPr>
          <w:rFonts w:asciiTheme="minorHAnsi" w:hAnsiTheme="minorHAnsi"/>
        </w:rPr>
        <w:t>non-inferior</w:t>
      </w:r>
      <w:r w:rsidR="00426CBA">
        <w:rPr>
          <w:rFonts w:asciiTheme="minorHAnsi" w:hAnsiTheme="minorHAnsi"/>
        </w:rPr>
        <w:t xml:space="preserve"> to </w:t>
      </w:r>
      <w:proofErr w:type="spellStart"/>
      <w:r>
        <w:rPr>
          <w:rFonts w:asciiTheme="minorHAnsi" w:hAnsiTheme="minorHAnsi"/>
        </w:rPr>
        <w:t>Symbicort</w:t>
      </w:r>
      <w:proofErr w:type="spellEnd"/>
      <w:r w:rsidR="00426CBA">
        <w:rPr>
          <w:rFonts w:asciiTheme="minorHAnsi" w:hAnsiTheme="minorHAnsi"/>
        </w:rPr>
        <w:t xml:space="preserve"> for FEV</w:t>
      </w:r>
      <w:r w:rsidR="00426CBA" w:rsidRPr="000A2234">
        <w:rPr>
          <w:rFonts w:asciiTheme="minorHAnsi" w:hAnsiTheme="minorHAnsi"/>
          <w:vertAlign w:val="subscript"/>
        </w:rPr>
        <w:t>1</w:t>
      </w:r>
      <w:r>
        <w:rPr>
          <w:rFonts w:asciiTheme="minorHAnsi" w:hAnsiTheme="minorHAnsi"/>
        </w:rPr>
        <w:t>.</w:t>
      </w:r>
    </w:p>
    <w:p w14:paraId="22E43A6E" w14:textId="36660DD9" w:rsidR="00426CBA" w:rsidRDefault="00426CBA" w:rsidP="000A2234">
      <w:pPr>
        <w:pStyle w:val="TableTitle"/>
      </w:pPr>
      <w:bookmarkStart w:id="41" w:name="_Toc5000067"/>
      <w:r>
        <w:lastRenderedPageBreak/>
        <w:t xml:space="preserve">Table </w:t>
      </w:r>
      <w:r w:rsidR="00E81985">
        <w:rPr>
          <w:noProof/>
        </w:rPr>
        <w:fldChar w:fldCharType="begin"/>
      </w:r>
      <w:r w:rsidR="00E81985">
        <w:rPr>
          <w:noProof/>
        </w:rPr>
        <w:instrText xml:space="preserve"> SEQ Table \* ARABIC </w:instrText>
      </w:r>
      <w:r w:rsidR="00E81985">
        <w:rPr>
          <w:noProof/>
        </w:rPr>
        <w:fldChar w:fldCharType="separate"/>
      </w:r>
      <w:r w:rsidR="00352776">
        <w:rPr>
          <w:noProof/>
        </w:rPr>
        <w:t>6</w:t>
      </w:r>
      <w:r w:rsidR="00E81985">
        <w:rPr>
          <w:noProof/>
        </w:rPr>
        <w:fldChar w:fldCharType="end"/>
      </w:r>
      <w:r>
        <w:t xml:space="preserve">: </w:t>
      </w:r>
      <w:r w:rsidR="000A2234">
        <w:t xml:space="preserve">Study CT01-COPD </w:t>
      </w:r>
      <w:r w:rsidR="00A66A7A">
        <w:t>P</w:t>
      </w:r>
      <w:r>
        <w:t>rimary efficacy outcomes</w:t>
      </w:r>
      <w:bookmarkEnd w:id="41"/>
      <w:r w:rsidR="00D66FD8">
        <w:t>, change in pre-dose morning forced expiratory volume in one second</w:t>
      </w:r>
    </w:p>
    <w:p w14:paraId="28A26148" w14:textId="77777777" w:rsidR="00426CBA" w:rsidRDefault="00426CBA" w:rsidP="00426CBA">
      <w:r>
        <w:rPr>
          <w:noProof/>
          <w:lang w:eastAsia="en-AU"/>
        </w:rPr>
        <w:drawing>
          <wp:inline distT="0" distB="0" distL="0" distR="0" wp14:anchorId="1F655069" wp14:editId="714F2400">
            <wp:extent cx="5449824" cy="2543763"/>
            <wp:effectExtent l="0" t="0" r="0" b="9525"/>
            <wp:docPr id="34" name="Picture 34" descr="Study CT01-COPD primary efficacy outcomes, change in pre-dose morning forced expiratory volume in one sec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63391" cy="2550095"/>
                    </a:xfrm>
                    <a:prstGeom prst="rect">
                      <a:avLst/>
                    </a:prstGeom>
                    <a:noFill/>
                    <a:ln>
                      <a:noFill/>
                    </a:ln>
                  </pic:spPr>
                </pic:pic>
              </a:graphicData>
            </a:graphic>
          </wp:inline>
        </w:drawing>
      </w:r>
    </w:p>
    <w:p w14:paraId="787AE065" w14:textId="631BDE7F" w:rsidR="000A2234" w:rsidRDefault="000A2234" w:rsidP="000A2234">
      <w:pPr>
        <w:pStyle w:val="TableDescription"/>
      </w:pPr>
      <w:r>
        <w:t xml:space="preserve">BUD/FORM = </w:t>
      </w:r>
      <w:r w:rsidRPr="000A2234">
        <w:t xml:space="preserve">budesonide plus </w:t>
      </w:r>
      <w:proofErr w:type="spellStart"/>
      <w:r w:rsidRPr="000A2234">
        <w:t>formoterol</w:t>
      </w:r>
      <w:proofErr w:type="spellEnd"/>
      <w:r w:rsidRPr="000A2234">
        <w:t xml:space="preserve"> DPI (</w:t>
      </w:r>
      <w:proofErr w:type="spellStart"/>
      <w:r w:rsidRPr="000A2234">
        <w:t>Symbicort</w:t>
      </w:r>
      <w:proofErr w:type="spellEnd"/>
      <w:r w:rsidRPr="000A2234">
        <w:t>)</w:t>
      </w:r>
      <w:r>
        <w:t xml:space="preserve">, FORM = </w:t>
      </w:r>
      <w:proofErr w:type="spellStart"/>
      <w:r>
        <w:t>formoterol</w:t>
      </w:r>
      <w:proofErr w:type="spellEnd"/>
      <w:r w:rsidR="00A66A7A">
        <w:t xml:space="preserve">; CHF 1535 = </w:t>
      </w:r>
      <w:proofErr w:type="spellStart"/>
      <w:r w:rsidR="00A66A7A">
        <w:t>Fostair</w:t>
      </w:r>
      <w:proofErr w:type="spellEnd"/>
      <w:r w:rsidR="00A66A7A">
        <w:t xml:space="preserve"> treated population</w:t>
      </w:r>
    </w:p>
    <w:p w14:paraId="1CFF6958" w14:textId="052B06BF" w:rsidR="00426CBA" w:rsidRDefault="000A2234" w:rsidP="001F37E0">
      <w:proofErr w:type="spellStart"/>
      <w:r>
        <w:t>Fostair</w:t>
      </w:r>
      <w:proofErr w:type="spellEnd"/>
      <w:r w:rsidR="00426CBA">
        <w:t xml:space="preserve"> was not superior to </w:t>
      </w:r>
      <w:proofErr w:type="spellStart"/>
      <w:r>
        <w:t>formoterol</w:t>
      </w:r>
      <w:proofErr w:type="spellEnd"/>
      <w:r w:rsidR="00426CBA">
        <w:t xml:space="preserve"> alone in terms of exacerbations. However, the reduction in exacerbations was much less than anticipated in the power calculations, thus it is likely that the study was</w:t>
      </w:r>
      <w:r w:rsidR="001F37E0">
        <w:t xml:space="preserve"> underpowered for this outcome.</w:t>
      </w:r>
      <w:r w:rsidR="00BE644C">
        <w:rPr>
          <w:rStyle w:val="FootnoteReference"/>
        </w:rPr>
        <w:footnoteReference w:id="15"/>
      </w:r>
    </w:p>
    <w:p w14:paraId="0D79291E" w14:textId="77DCC9FA" w:rsidR="000A2234" w:rsidRDefault="000A2234" w:rsidP="000A2234">
      <w:pPr>
        <w:pStyle w:val="TableTitle"/>
      </w:pPr>
      <w:r>
        <w:t xml:space="preserve">Table </w:t>
      </w:r>
      <w:r w:rsidR="00E81985">
        <w:rPr>
          <w:noProof/>
        </w:rPr>
        <w:fldChar w:fldCharType="begin"/>
      </w:r>
      <w:r w:rsidR="00E81985">
        <w:rPr>
          <w:noProof/>
        </w:rPr>
        <w:instrText xml:space="preserve"> SEQ Table \* ARABIC </w:instrText>
      </w:r>
      <w:r w:rsidR="00E81985">
        <w:rPr>
          <w:noProof/>
        </w:rPr>
        <w:fldChar w:fldCharType="separate"/>
      </w:r>
      <w:r w:rsidR="00352776">
        <w:rPr>
          <w:noProof/>
        </w:rPr>
        <w:t>7</w:t>
      </w:r>
      <w:r w:rsidR="00E81985">
        <w:rPr>
          <w:noProof/>
        </w:rPr>
        <w:fldChar w:fldCharType="end"/>
      </w:r>
      <w:r>
        <w:t xml:space="preserve">: Study CT01-COPD </w:t>
      </w:r>
      <w:r w:rsidR="00A66A7A">
        <w:t>R</w:t>
      </w:r>
      <w:r>
        <w:t>esults of COPD exacerbations in the intent to treat and per protocol population</w:t>
      </w:r>
    </w:p>
    <w:p w14:paraId="7C2B16B2" w14:textId="72C72C90" w:rsidR="00426CBA" w:rsidRDefault="000A2234" w:rsidP="00426CBA">
      <w:r>
        <w:rPr>
          <w:noProof/>
          <w:lang w:eastAsia="en-AU"/>
        </w:rPr>
        <w:drawing>
          <wp:inline distT="0" distB="0" distL="0" distR="0" wp14:anchorId="52A824BD" wp14:editId="17964D8A">
            <wp:extent cx="5400040" cy="2549525"/>
            <wp:effectExtent l="0" t="0" r="0" b="3175"/>
            <wp:docPr id="14" name="Picture 14" descr="Study CT01-COPD results of COPD exacerbations in the intent to treat and per protocol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00040" cy="2549525"/>
                    </a:xfrm>
                    <a:prstGeom prst="rect">
                      <a:avLst/>
                    </a:prstGeom>
                  </pic:spPr>
                </pic:pic>
              </a:graphicData>
            </a:graphic>
          </wp:inline>
        </w:drawing>
      </w:r>
    </w:p>
    <w:p w14:paraId="5E058FB0" w14:textId="199575B4" w:rsidR="00A66A7A" w:rsidRDefault="00A66A7A" w:rsidP="00B43FEC">
      <w:pPr>
        <w:pStyle w:val="TableDescription"/>
      </w:pPr>
      <w:r>
        <w:t xml:space="preserve">CHF 1535 = </w:t>
      </w:r>
      <w:proofErr w:type="spellStart"/>
      <w:r>
        <w:t>Fostair</w:t>
      </w:r>
      <w:proofErr w:type="spellEnd"/>
      <w:r>
        <w:t xml:space="preserve"> treated population</w:t>
      </w:r>
    </w:p>
    <w:p w14:paraId="1C12B0B7" w14:textId="19A06C1D" w:rsidR="00426CBA" w:rsidRDefault="00426CBA" w:rsidP="001F37E0">
      <w:r>
        <w:t>The number of patients with COPD exa</w:t>
      </w:r>
      <w:r w:rsidR="00E72EDC">
        <w:t>cerbations leading to hospitalis</w:t>
      </w:r>
      <w:r>
        <w:t xml:space="preserve">ation was 13 (5.6%) in the </w:t>
      </w:r>
      <w:r w:rsidR="00D66FD8">
        <w:t xml:space="preserve">CHF 1535 </w:t>
      </w:r>
      <w:r w:rsidR="0029512F">
        <w:t>(</w:t>
      </w:r>
      <w:proofErr w:type="spellStart"/>
      <w:r w:rsidR="0029512F">
        <w:t>Fostair</w:t>
      </w:r>
      <w:proofErr w:type="spellEnd"/>
      <w:r w:rsidR="0029512F">
        <w:t xml:space="preserve">) </w:t>
      </w:r>
      <w:r w:rsidR="00D66FD8">
        <w:t>group</w:t>
      </w:r>
      <w:r>
        <w:t xml:space="preserve">, 7 (2.9%) in the </w:t>
      </w:r>
      <w:r w:rsidR="000A2234" w:rsidRPr="000A2234">
        <w:t xml:space="preserve">budesonide plus </w:t>
      </w:r>
      <w:proofErr w:type="spellStart"/>
      <w:r w:rsidR="000A2234" w:rsidRPr="000A2234">
        <w:t>formoterol</w:t>
      </w:r>
      <w:proofErr w:type="spellEnd"/>
      <w:r w:rsidR="000A2234" w:rsidRPr="000A2234">
        <w:t xml:space="preserve"> </w:t>
      </w:r>
      <w:r>
        <w:t xml:space="preserve">group and 8 (3.4%) in the </w:t>
      </w:r>
      <w:proofErr w:type="spellStart"/>
      <w:r w:rsidR="000A2234">
        <w:t>formoterol</w:t>
      </w:r>
      <w:proofErr w:type="spellEnd"/>
      <w:r>
        <w:t xml:space="preserve"> group. The mean rate per pa</w:t>
      </w:r>
      <w:r w:rsidR="00245C4E">
        <w:t>tient/year was 0.074 in the CHF </w:t>
      </w:r>
      <w:r>
        <w:t xml:space="preserve">1535 </w:t>
      </w:r>
      <w:r w:rsidR="0029512F">
        <w:t>(</w:t>
      </w:r>
      <w:proofErr w:type="spellStart"/>
      <w:r w:rsidR="0029512F">
        <w:t>Fostair</w:t>
      </w:r>
      <w:proofErr w:type="spellEnd"/>
      <w:r w:rsidR="0029512F">
        <w:t xml:space="preserve">) </w:t>
      </w:r>
      <w:r>
        <w:t xml:space="preserve">group, 0.033 in the </w:t>
      </w:r>
      <w:r w:rsidR="000A2234">
        <w:t xml:space="preserve">budesonide plus </w:t>
      </w:r>
      <w:proofErr w:type="spellStart"/>
      <w:r w:rsidR="000A2234">
        <w:t>formoterol</w:t>
      </w:r>
      <w:proofErr w:type="spellEnd"/>
      <w:r w:rsidR="000A2234">
        <w:t xml:space="preserve"> </w:t>
      </w:r>
      <w:r>
        <w:t xml:space="preserve">group and 0.040 in the </w:t>
      </w:r>
      <w:proofErr w:type="spellStart"/>
      <w:r w:rsidR="000A2234">
        <w:t>formoterol</w:t>
      </w:r>
      <w:proofErr w:type="spellEnd"/>
      <w:r>
        <w:t xml:space="preserve"> group.</w:t>
      </w:r>
    </w:p>
    <w:p w14:paraId="14120E50" w14:textId="2F2CB9B1" w:rsidR="00426CBA" w:rsidRDefault="007F3F42" w:rsidP="001F37E0">
      <w:r>
        <w:t>There was an increase in pre-</w:t>
      </w:r>
      <w:r w:rsidR="00426CBA">
        <w:t>dose FEV</w:t>
      </w:r>
      <w:r w:rsidR="00426CBA" w:rsidRPr="000A2234">
        <w:rPr>
          <w:vertAlign w:val="subscript"/>
        </w:rPr>
        <w:t>1</w:t>
      </w:r>
      <w:r w:rsidR="00426CBA">
        <w:t xml:space="preserve"> in all treatment groups, more in the </w:t>
      </w:r>
      <w:r w:rsidR="00D66FD8">
        <w:t>CHF 1535</w:t>
      </w:r>
      <w:r w:rsidR="0029512F">
        <w:t xml:space="preserve"> (</w:t>
      </w:r>
      <w:proofErr w:type="spellStart"/>
      <w:r w:rsidR="0029512F">
        <w:t>Fostair</w:t>
      </w:r>
      <w:proofErr w:type="spellEnd"/>
      <w:r w:rsidR="0029512F">
        <w:t>)</w:t>
      </w:r>
      <w:r w:rsidR="00426CBA">
        <w:t xml:space="preserve"> and </w:t>
      </w:r>
      <w:r w:rsidR="00D66FD8" w:rsidRPr="000A2234">
        <w:t xml:space="preserve">budesonide plus </w:t>
      </w:r>
      <w:proofErr w:type="spellStart"/>
      <w:r w:rsidR="00D66FD8" w:rsidRPr="000A2234">
        <w:t>formoterol</w:t>
      </w:r>
      <w:proofErr w:type="spellEnd"/>
      <w:r w:rsidR="00D66FD8" w:rsidRPr="000A2234">
        <w:t xml:space="preserve"> </w:t>
      </w:r>
      <w:r w:rsidR="00426CBA">
        <w:t xml:space="preserve">groups than </w:t>
      </w:r>
      <w:proofErr w:type="spellStart"/>
      <w:r w:rsidR="00426CBA">
        <w:t>formoterol</w:t>
      </w:r>
      <w:proofErr w:type="spellEnd"/>
      <w:r w:rsidR="00426CBA">
        <w:t xml:space="preserve"> group.</w:t>
      </w:r>
    </w:p>
    <w:p w14:paraId="13BBBE86" w14:textId="528E330E" w:rsidR="00EC75BB" w:rsidRDefault="00EC75BB" w:rsidP="00EC75BB">
      <w:pPr>
        <w:pStyle w:val="FigureTitle"/>
      </w:pPr>
      <w:r>
        <w:lastRenderedPageBreak/>
        <w:t xml:space="preserve">Figure </w:t>
      </w:r>
      <w:r w:rsidR="00E81985">
        <w:rPr>
          <w:noProof/>
        </w:rPr>
        <w:fldChar w:fldCharType="begin"/>
      </w:r>
      <w:r w:rsidR="00E81985">
        <w:rPr>
          <w:noProof/>
        </w:rPr>
        <w:instrText xml:space="preserve"> SEQ Figure \* ARABIC </w:instrText>
      </w:r>
      <w:r w:rsidR="00E81985">
        <w:rPr>
          <w:noProof/>
        </w:rPr>
        <w:fldChar w:fldCharType="separate"/>
      </w:r>
      <w:r w:rsidR="00352776">
        <w:rPr>
          <w:noProof/>
        </w:rPr>
        <w:t>3</w:t>
      </w:r>
      <w:r w:rsidR="00E81985">
        <w:rPr>
          <w:noProof/>
        </w:rPr>
        <w:fldChar w:fldCharType="end"/>
      </w:r>
      <w:r>
        <w:t xml:space="preserve">: Study CT01-COPD </w:t>
      </w:r>
      <w:r w:rsidR="00A66A7A">
        <w:t>M</w:t>
      </w:r>
      <w:r w:rsidRPr="00EC75BB">
        <w:t xml:space="preserve">ean changes in </w:t>
      </w:r>
      <w:r>
        <w:t xml:space="preserve">forced expiratory volume in one second </w:t>
      </w:r>
      <w:r w:rsidRPr="00EC75BB">
        <w:t>across treatment groups</w:t>
      </w:r>
    </w:p>
    <w:p w14:paraId="2488DBA5" w14:textId="77777777" w:rsidR="00426CBA" w:rsidRDefault="00426CBA" w:rsidP="00426CBA">
      <w:r>
        <w:rPr>
          <w:b/>
          <w:noProof/>
          <w:lang w:eastAsia="en-AU"/>
        </w:rPr>
        <w:drawing>
          <wp:inline distT="0" distB="0" distL="0" distR="0" wp14:anchorId="7C2969AA" wp14:editId="5BC7AA59">
            <wp:extent cx="5731510" cy="3223801"/>
            <wp:effectExtent l="0" t="0" r="2540" b="0"/>
            <wp:docPr id="49" name="Picture 49" descr="Study CT01-COPD mean changes in forced expiratory volume in one second across treatment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3223801"/>
                    </a:xfrm>
                    <a:prstGeom prst="rect">
                      <a:avLst/>
                    </a:prstGeom>
                    <a:noFill/>
                    <a:ln>
                      <a:noFill/>
                    </a:ln>
                  </pic:spPr>
                </pic:pic>
              </a:graphicData>
            </a:graphic>
          </wp:inline>
        </w:drawing>
      </w:r>
    </w:p>
    <w:p w14:paraId="315F0EED" w14:textId="77777777" w:rsidR="00426CBA" w:rsidRDefault="00426CBA" w:rsidP="001F37E0">
      <w:r>
        <w:t>There was an improvement in SGRQ in all treatment groups, with no significant difference between groups. The BODE index,</w:t>
      </w:r>
      <w:r w:rsidR="00EC75BB">
        <w:rPr>
          <w:rStyle w:val="FootnoteReference"/>
        </w:rPr>
        <w:footnoteReference w:id="16"/>
      </w:r>
      <w:r>
        <w:t xml:space="preserve"> dyspnoea score, and use of rescue medication decreased more in the </w:t>
      </w:r>
      <w:proofErr w:type="spellStart"/>
      <w:r w:rsidR="00C064BF">
        <w:t>Fostair</w:t>
      </w:r>
      <w:proofErr w:type="spellEnd"/>
      <w:r w:rsidR="001F37E0">
        <w:t xml:space="preserve"> and </w:t>
      </w:r>
      <w:proofErr w:type="spellStart"/>
      <w:r w:rsidR="00C064BF">
        <w:t>Symbicort</w:t>
      </w:r>
      <w:proofErr w:type="spellEnd"/>
      <w:r w:rsidR="001F37E0">
        <w:t xml:space="preserve"> groups.</w:t>
      </w:r>
    </w:p>
    <w:p w14:paraId="26CC669A" w14:textId="77777777" w:rsidR="00426CBA" w:rsidRPr="00CA4E2F" w:rsidRDefault="001F37E0" w:rsidP="001F37E0">
      <w:pPr>
        <w:pStyle w:val="Heading6"/>
      </w:pPr>
      <w:r>
        <w:t xml:space="preserve">Study </w:t>
      </w:r>
      <w:r w:rsidR="00426CBA" w:rsidRPr="00CA4E2F">
        <w:t>CT02-COPD</w:t>
      </w:r>
    </w:p>
    <w:p w14:paraId="0A88E6E2" w14:textId="787F70BB" w:rsidR="00426CBA" w:rsidRDefault="00426CBA" w:rsidP="001F37E0">
      <w:r>
        <w:t>This was a 48</w:t>
      </w:r>
      <w:r w:rsidR="00B43FEC">
        <w:t xml:space="preserve"> </w:t>
      </w:r>
      <w:r>
        <w:t xml:space="preserve">week, double blind, 2 arm, randomised controlled parallel group study. The study was performed between 2009 and 2012. The study was designed to show that </w:t>
      </w:r>
      <w:proofErr w:type="spellStart"/>
      <w:r w:rsidR="007F3F42">
        <w:t>Fostai</w:t>
      </w:r>
      <w:r w:rsidR="00C064BF">
        <w:t>r</w:t>
      </w:r>
      <w:proofErr w:type="spellEnd"/>
      <w:r>
        <w:t xml:space="preserve"> was superior to </w:t>
      </w:r>
      <w:proofErr w:type="spellStart"/>
      <w:r>
        <w:t>formoterol</w:t>
      </w:r>
      <w:proofErr w:type="spellEnd"/>
      <w:r>
        <w:t xml:space="preserve"> in terms of COPD exacerbati</w:t>
      </w:r>
      <w:r w:rsidR="00C064BF">
        <w:t>on rate and pulmonary function.</w:t>
      </w:r>
    </w:p>
    <w:p w14:paraId="410E23C6" w14:textId="6489CB5B" w:rsidR="00426CBA" w:rsidRDefault="00426CBA" w:rsidP="001F37E0">
      <w:r>
        <w:t>This study incl</w:t>
      </w:r>
      <w:r w:rsidR="00C064BF">
        <w:t xml:space="preserve">uded </w:t>
      </w:r>
      <w:r w:rsidR="00BE644C">
        <w:t>a pre-screening visit</w:t>
      </w:r>
      <w:r w:rsidR="00B43FEC">
        <w:t xml:space="preserve">, </w:t>
      </w:r>
      <w:r w:rsidR="00C064BF">
        <w:t>a 2</w:t>
      </w:r>
      <w:r w:rsidR="00B43FEC">
        <w:t xml:space="preserve"> </w:t>
      </w:r>
      <w:r w:rsidR="00C064BF">
        <w:t xml:space="preserve">week run in phase and a 48 </w:t>
      </w:r>
      <w:r>
        <w:t>week treatment phas</w:t>
      </w:r>
      <w:r w:rsidR="00C064BF">
        <w:t xml:space="preserve">e. During the 2 week run </w:t>
      </w:r>
      <w:r>
        <w:t xml:space="preserve">in phase, all patients discontinued their usual COPD treatments (except </w:t>
      </w:r>
      <w:proofErr w:type="spellStart"/>
      <w:r>
        <w:t>tiotropium</w:t>
      </w:r>
      <w:proofErr w:type="spellEnd"/>
      <w:r>
        <w:t xml:space="preserve"> and oral theophylline, which could be continued) and began treatment with </w:t>
      </w:r>
      <w:proofErr w:type="spellStart"/>
      <w:r>
        <w:t>formoterol</w:t>
      </w:r>
      <w:proofErr w:type="spellEnd"/>
      <w:r>
        <w:t xml:space="preserve"> (12 μg), one puff, twi</w:t>
      </w:r>
      <w:r w:rsidR="00C064BF">
        <w:t>ce daily. At the end of the run</w:t>
      </w:r>
      <w:r w:rsidR="007F3F42">
        <w:t>-</w:t>
      </w:r>
      <w:r>
        <w:t xml:space="preserve">in phase patients were randomised to either continue </w:t>
      </w:r>
      <w:proofErr w:type="spellStart"/>
      <w:r>
        <w:t>formoterol</w:t>
      </w:r>
      <w:proofErr w:type="spellEnd"/>
      <w:r>
        <w:t xml:space="preserve"> or changed to </w:t>
      </w:r>
      <w:proofErr w:type="spellStart"/>
      <w:r w:rsidR="00C064BF">
        <w:t>Fostair</w:t>
      </w:r>
      <w:proofErr w:type="spellEnd"/>
      <w:r>
        <w:t>.</w:t>
      </w:r>
    </w:p>
    <w:p w14:paraId="567F3B32" w14:textId="77777777" w:rsidR="00426CBA" w:rsidRDefault="00426CBA" w:rsidP="001F37E0">
      <w:r>
        <w:t>The pa</w:t>
      </w:r>
      <w:r w:rsidR="00D66FD8">
        <w:t xml:space="preserve">tient population was similar as </w:t>
      </w:r>
      <w:r>
        <w:t xml:space="preserve">in </w:t>
      </w:r>
      <w:r w:rsidR="00C064BF">
        <w:t xml:space="preserve">Study </w:t>
      </w:r>
      <w:r>
        <w:t xml:space="preserve">CT01-COPD. However, more patients were enrolled to give the study a power of 82.6% to detect a 0.16 improvement in the rate of exacerbations between </w:t>
      </w:r>
      <w:proofErr w:type="spellStart"/>
      <w:r w:rsidR="00C064BF">
        <w:t>Fostair</w:t>
      </w:r>
      <w:proofErr w:type="spellEnd"/>
      <w:r>
        <w:t xml:space="preserve"> and </w:t>
      </w:r>
      <w:proofErr w:type="spellStart"/>
      <w:r>
        <w:t>formoterol</w:t>
      </w:r>
      <w:proofErr w:type="spellEnd"/>
      <w:r>
        <w:t>, and a 50</w:t>
      </w:r>
      <w:r w:rsidR="00C064BF">
        <w:t xml:space="preserve"> mL</w:t>
      </w:r>
      <w:r>
        <w:t xml:space="preserve"> difference in pre-dose morning FEV</w:t>
      </w:r>
      <w:r w:rsidRPr="00CA4E2F">
        <w:rPr>
          <w:vertAlign w:val="subscript"/>
        </w:rPr>
        <w:t>1</w:t>
      </w:r>
      <w:r>
        <w:t>.</w:t>
      </w:r>
    </w:p>
    <w:p w14:paraId="6A0EC5F4" w14:textId="77777777" w:rsidR="00426CBA" w:rsidRPr="00CA4E2F" w:rsidRDefault="00C064BF" w:rsidP="001F37E0">
      <w:r>
        <w:t>At B</w:t>
      </w:r>
      <w:r w:rsidR="00426CBA">
        <w:t xml:space="preserve">aseline, around 60% of patients were on ICS/LABA combination. </w:t>
      </w:r>
      <w:r w:rsidR="00D66FD8">
        <w:t>The m</w:t>
      </w:r>
      <w:r w:rsidR="00426CBA">
        <w:t xml:space="preserve">ajority of patients (around 70%) required SABA as reliever. </w:t>
      </w:r>
      <w:r w:rsidR="00426CBA" w:rsidRPr="00825898">
        <w:t xml:space="preserve">Around 50% of patients in both arms were on </w:t>
      </w:r>
      <w:proofErr w:type="spellStart"/>
      <w:r w:rsidR="00426CBA" w:rsidRPr="00825898">
        <w:t>tiotropium</w:t>
      </w:r>
      <w:proofErr w:type="spellEnd"/>
      <w:r w:rsidR="00426CBA" w:rsidRPr="00825898">
        <w:t xml:space="preserve"> and they continued treatment during study period.</w:t>
      </w:r>
    </w:p>
    <w:p w14:paraId="53CD04D8" w14:textId="77777777" w:rsidR="00426CBA" w:rsidRPr="00FD5A8F" w:rsidRDefault="00C064BF" w:rsidP="00C064BF">
      <w:pPr>
        <w:pStyle w:val="Heading7"/>
      </w:pPr>
      <w:r>
        <w:t>Results: co-p</w:t>
      </w:r>
      <w:r w:rsidR="00426CBA" w:rsidRPr="00FD5A8F">
        <w:t>rimary endpoints</w:t>
      </w:r>
    </w:p>
    <w:p w14:paraId="7B3FBF30" w14:textId="1D09BD84" w:rsidR="00426CBA" w:rsidRDefault="00C064BF" w:rsidP="00A74331">
      <w:pPr>
        <w:ind w:right="-852"/>
      </w:pPr>
      <w:r w:rsidRPr="00D66FD8">
        <w:rPr>
          <w:i/>
        </w:rPr>
        <w:t>COPD exacerbations</w:t>
      </w:r>
      <w:r>
        <w:t>: p</w:t>
      </w:r>
      <w:r w:rsidR="00426CBA">
        <w:t xml:space="preserve">atients treated with </w:t>
      </w:r>
      <w:proofErr w:type="spellStart"/>
      <w:r>
        <w:t>Fostair</w:t>
      </w:r>
      <w:proofErr w:type="spellEnd"/>
      <w:r w:rsidR="00426CBA">
        <w:t xml:space="preserve"> had significantly lower rate of COPD exacerbations, compared to </w:t>
      </w:r>
      <w:proofErr w:type="spellStart"/>
      <w:r w:rsidR="00426CBA">
        <w:t>formoterol</w:t>
      </w:r>
      <w:proofErr w:type="spellEnd"/>
      <w:r w:rsidR="00426CBA">
        <w:t xml:space="preserve"> group </w:t>
      </w:r>
      <w:r w:rsidR="00426CBA" w:rsidRPr="004E6F44">
        <w:t>(</w:t>
      </w:r>
      <w:r w:rsidR="00D66FD8">
        <w:t>rate ratio</w:t>
      </w:r>
      <w:r w:rsidR="00426CBA">
        <w:t xml:space="preserve">= </w:t>
      </w:r>
      <w:r>
        <w:t>0.719 (95% CI: 0.619, 0.837), p</w:t>
      </w:r>
      <w:r w:rsidR="00A74331">
        <w:t xml:space="preserve"> </w:t>
      </w:r>
      <w:r w:rsidR="00426CBA" w:rsidRPr="004E6F44">
        <w:t>&lt; 0.001</w:t>
      </w:r>
      <w:r w:rsidR="007F3F42">
        <w:t>)</w:t>
      </w:r>
      <w:r w:rsidR="00426CBA">
        <w:t xml:space="preserve">. However, the exacerbations tended to be more severe and require emergency treatment or </w:t>
      </w:r>
      <w:r w:rsidR="00426CBA">
        <w:lastRenderedPageBreak/>
        <w:t>hospitalisation in the dual therapy treatment group, but more likely to require antibiotics or st</w:t>
      </w:r>
      <w:r>
        <w:t xml:space="preserve">eroids in the </w:t>
      </w:r>
      <w:proofErr w:type="spellStart"/>
      <w:r>
        <w:t>f</w:t>
      </w:r>
      <w:r w:rsidR="001F37E0">
        <w:t>ormoterol</w:t>
      </w:r>
      <w:proofErr w:type="spellEnd"/>
      <w:r w:rsidR="001F37E0">
        <w:t xml:space="preserve"> group.</w:t>
      </w:r>
    </w:p>
    <w:p w14:paraId="579683C8" w14:textId="77777777" w:rsidR="00426CBA" w:rsidRPr="00B8797B" w:rsidRDefault="00426CBA" w:rsidP="001F37E0">
      <w:r w:rsidRPr="00D017A8">
        <w:t>The mean FEV</w:t>
      </w:r>
      <w:r w:rsidRPr="00CA4E2F">
        <w:rPr>
          <w:vertAlign w:val="subscript"/>
        </w:rPr>
        <w:t>1</w:t>
      </w:r>
      <w:r w:rsidR="00D66FD8">
        <w:t xml:space="preserve"> change from B</w:t>
      </w:r>
      <w:r w:rsidRPr="00D017A8">
        <w:t xml:space="preserve">aseline was higher in the </w:t>
      </w:r>
      <w:proofErr w:type="spellStart"/>
      <w:r w:rsidR="00C064BF">
        <w:t>Fostair</w:t>
      </w:r>
      <w:proofErr w:type="spellEnd"/>
      <w:r w:rsidRPr="00D017A8">
        <w:t xml:space="preserve"> than in the </w:t>
      </w:r>
      <w:proofErr w:type="spellStart"/>
      <w:r>
        <w:t>formoterol</w:t>
      </w:r>
      <w:proofErr w:type="spellEnd"/>
      <w:r>
        <w:t xml:space="preserve"> </w:t>
      </w:r>
      <w:r w:rsidRPr="00D017A8">
        <w:t>group (</w:t>
      </w:r>
      <w:r w:rsidR="00C064BF">
        <w:t>0.085 ± 0.229 L versus</w:t>
      </w:r>
      <w:r w:rsidRPr="00D017A8">
        <w:t xml:space="preserve"> 0.014 ± 0.216 L)</w:t>
      </w:r>
      <w:r>
        <w:t>. The treatment difference was less than 100</w:t>
      </w:r>
      <w:r w:rsidR="00C064BF">
        <w:t xml:space="preserve"> mL</w:t>
      </w:r>
      <w:r>
        <w:t xml:space="preserve"> but statistically significant for </w:t>
      </w:r>
      <w:r w:rsidRPr="00D017A8">
        <w:t>(0.069 L, 95% CI: 0.043, 0.095, p &lt; 0.001).</w:t>
      </w:r>
      <w:r w:rsidR="00C064BF">
        <w:t xml:space="preserve"> </w:t>
      </w:r>
      <w:r>
        <w:t xml:space="preserve">There was an improvement in SGRQ in the </w:t>
      </w:r>
      <w:proofErr w:type="spellStart"/>
      <w:r w:rsidR="00C064BF">
        <w:t>Fostair</w:t>
      </w:r>
      <w:proofErr w:type="spellEnd"/>
      <w:r>
        <w:t xml:space="preserve"> group but not </w:t>
      </w:r>
      <w:proofErr w:type="spellStart"/>
      <w:r>
        <w:t>formoterol</w:t>
      </w:r>
      <w:proofErr w:type="spellEnd"/>
      <w:r>
        <w:t xml:space="preserve"> group.</w:t>
      </w:r>
    </w:p>
    <w:p w14:paraId="444A6680" w14:textId="77777777" w:rsidR="00426CBA" w:rsidRDefault="00426CBA" w:rsidP="001F37E0">
      <w:pPr>
        <w:pStyle w:val="Heading4"/>
      </w:pPr>
      <w:r w:rsidRPr="003F08CF">
        <w:t>Safety</w:t>
      </w:r>
    </w:p>
    <w:p w14:paraId="754B03FB" w14:textId="77777777" w:rsidR="00426CBA" w:rsidRPr="00D63595" w:rsidRDefault="001F37E0" w:rsidP="001F37E0">
      <w:pPr>
        <w:pStyle w:val="Heading5"/>
      </w:pPr>
      <w:r>
        <w:t>Asthma</w:t>
      </w:r>
    </w:p>
    <w:p w14:paraId="59E498F6" w14:textId="77777777" w:rsidR="00426CBA" w:rsidRDefault="00426CBA" w:rsidP="001F37E0">
      <w:r>
        <w:t xml:space="preserve">The adverse events </w:t>
      </w:r>
      <w:r w:rsidR="00C064BF">
        <w:t xml:space="preserve">(AEs) </w:t>
      </w:r>
      <w:r>
        <w:t>noted were consistent with the kno</w:t>
      </w:r>
      <w:r w:rsidR="001F37E0">
        <w:t>wn AE profile of ICS and LABA.</w:t>
      </w:r>
    </w:p>
    <w:p w14:paraId="31CCFB0C" w14:textId="77777777" w:rsidR="001F37E0" w:rsidRPr="001F37E0" w:rsidRDefault="00C064BF" w:rsidP="001F37E0">
      <w:pPr>
        <w:pStyle w:val="Heading6"/>
        <w:rPr>
          <w:rFonts w:eastAsia="Cambria"/>
          <w:b/>
        </w:rPr>
      </w:pPr>
      <w:r>
        <w:t>Cortisol from S</w:t>
      </w:r>
      <w:r w:rsidR="001F37E0" w:rsidRPr="004751AB">
        <w:t>tudy CCD-0605-PR-0021</w:t>
      </w:r>
    </w:p>
    <w:p w14:paraId="1FC7C17F" w14:textId="460F9BE8" w:rsidR="001F37E0" w:rsidRDefault="001F37E0" w:rsidP="001F37E0">
      <w:pPr>
        <w:rPr>
          <w:rFonts w:eastAsiaTheme="minorHAnsi" w:cs="TimesNewRomanPSMT"/>
          <w:color w:val="000000"/>
        </w:rPr>
      </w:pPr>
      <w:r w:rsidRPr="004751AB">
        <w:rPr>
          <w:rFonts w:eastAsiaTheme="minorHAnsi" w:cs="TimesNewRomanPSMT"/>
          <w:color w:val="000000"/>
        </w:rPr>
        <w:t>The mean and median values of</w:t>
      </w:r>
      <w:r w:rsidR="00C064BF">
        <w:rPr>
          <w:rFonts w:eastAsiaTheme="minorHAnsi" w:cs="TimesNewRomanPSMT"/>
          <w:color w:val="000000"/>
        </w:rPr>
        <w:t xml:space="preserve"> morning serum cortisol of the </w:t>
      </w:r>
      <w:proofErr w:type="spellStart"/>
      <w:r w:rsidR="00C064BF">
        <w:rPr>
          <w:rFonts w:eastAsiaTheme="minorHAnsi" w:cs="TimesNewRomanPSMT"/>
          <w:color w:val="000000"/>
        </w:rPr>
        <w:t>b</w:t>
      </w:r>
      <w:r w:rsidRPr="004751AB">
        <w:rPr>
          <w:rFonts w:eastAsiaTheme="minorHAnsi" w:cs="TimesNewRomanPSMT"/>
          <w:color w:val="000000"/>
        </w:rPr>
        <w:t>eclomethasone</w:t>
      </w:r>
      <w:proofErr w:type="spellEnd"/>
      <w:r w:rsidRPr="004751AB">
        <w:rPr>
          <w:rFonts w:eastAsiaTheme="minorHAnsi" w:cs="TimesNewRomanPSMT"/>
          <w:color w:val="000000"/>
        </w:rPr>
        <w:t xml:space="preserve"> monotherapy</w:t>
      </w:r>
      <w:r w:rsidR="00C064BF">
        <w:rPr>
          <w:rFonts w:eastAsiaTheme="minorHAnsi" w:cs="TimesNewRomanPSMT"/>
          <w:color w:val="000000"/>
        </w:rPr>
        <w:t xml:space="preserve"> group decreased slightly from </w:t>
      </w:r>
      <w:r w:rsidR="00B43FEC">
        <w:rPr>
          <w:rFonts w:eastAsiaTheme="minorHAnsi" w:cs="TimesNewRomanPSMT"/>
          <w:color w:val="000000"/>
        </w:rPr>
        <w:t>B</w:t>
      </w:r>
      <w:r w:rsidRPr="004751AB">
        <w:rPr>
          <w:rFonts w:eastAsiaTheme="minorHAnsi" w:cs="TimesNewRomanPSMT"/>
          <w:color w:val="000000"/>
        </w:rPr>
        <w:t xml:space="preserve">aseline while those of the </w:t>
      </w:r>
      <w:proofErr w:type="spellStart"/>
      <w:r w:rsidR="00C064BF" w:rsidRPr="004751AB">
        <w:rPr>
          <w:rFonts w:eastAsiaTheme="minorHAnsi" w:cs="TimesNewRomanPSMT"/>
          <w:color w:val="000000"/>
        </w:rPr>
        <w:t>Fostair</w:t>
      </w:r>
      <w:proofErr w:type="spellEnd"/>
      <w:r w:rsidR="00C064BF">
        <w:rPr>
          <w:rFonts w:eastAsiaTheme="minorHAnsi" w:cs="TimesNewRomanPSMT"/>
          <w:color w:val="000000"/>
        </w:rPr>
        <w:t xml:space="preserve"> and </w:t>
      </w:r>
      <w:proofErr w:type="spellStart"/>
      <w:r w:rsidR="00C064BF">
        <w:rPr>
          <w:rFonts w:eastAsiaTheme="minorHAnsi" w:cs="TimesNewRomanPSMT"/>
          <w:color w:val="000000"/>
        </w:rPr>
        <w:t>Seretide</w:t>
      </w:r>
      <w:proofErr w:type="spellEnd"/>
      <w:r w:rsidRPr="004751AB">
        <w:rPr>
          <w:rFonts w:eastAsiaTheme="minorHAnsi" w:cs="TimesNewRomanPSMT"/>
          <w:color w:val="000000"/>
        </w:rPr>
        <w:t xml:space="preserve"> </w:t>
      </w:r>
      <w:r w:rsidR="00C064BF">
        <w:rPr>
          <w:rFonts w:eastAsiaTheme="minorHAnsi" w:cs="TimesNewRomanPSMT"/>
          <w:color w:val="000000"/>
        </w:rPr>
        <w:t>groups increased slightly from B</w:t>
      </w:r>
      <w:r w:rsidRPr="004751AB">
        <w:rPr>
          <w:rFonts w:eastAsiaTheme="minorHAnsi" w:cs="TimesNewRomanPSMT"/>
          <w:color w:val="000000"/>
        </w:rPr>
        <w:t xml:space="preserve">aseline at </w:t>
      </w:r>
      <w:r w:rsidR="009F669C" w:rsidRPr="004751AB">
        <w:rPr>
          <w:rFonts w:eastAsiaTheme="minorHAnsi" w:cs="TimesNewRomanPSMT"/>
          <w:color w:val="000000"/>
        </w:rPr>
        <w:t>all</w:t>
      </w:r>
      <w:r w:rsidR="009F669C">
        <w:rPr>
          <w:rFonts w:eastAsiaTheme="minorHAnsi" w:cs="TimesNewRomanPSMT"/>
          <w:color w:val="000000"/>
        </w:rPr>
        <w:t xml:space="preserve"> </w:t>
      </w:r>
      <w:r w:rsidR="009F669C" w:rsidRPr="004751AB">
        <w:rPr>
          <w:rFonts w:eastAsiaTheme="minorHAnsi" w:cs="TimesNewRomanPSMT"/>
          <w:color w:val="000000"/>
        </w:rPr>
        <w:t>time</w:t>
      </w:r>
      <w:r w:rsidRPr="004751AB">
        <w:rPr>
          <w:rFonts w:eastAsiaTheme="minorHAnsi" w:cs="TimesNewRomanPSMT"/>
          <w:color w:val="000000"/>
        </w:rPr>
        <w:t xml:space="preserve"> points. However, the difference was small</w:t>
      </w:r>
      <w:r w:rsidR="00BE644C">
        <w:rPr>
          <w:rFonts w:eastAsiaTheme="minorHAnsi" w:cs="TimesNewRomanPSMT"/>
          <w:color w:val="000000"/>
        </w:rPr>
        <w:t xml:space="preserve"> and </w:t>
      </w:r>
      <w:r w:rsidR="007F3F42">
        <w:rPr>
          <w:rFonts w:eastAsiaTheme="minorHAnsi" w:cs="TimesNewRomanPSMT"/>
          <w:color w:val="000000"/>
        </w:rPr>
        <w:t xml:space="preserve">the </w:t>
      </w:r>
      <w:r w:rsidR="00BE644C">
        <w:rPr>
          <w:rFonts w:eastAsiaTheme="minorHAnsi" w:cs="TimesNewRomanPSMT"/>
          <w:color w:val="000000"/>
        </w:rPr>
        <w:t>range large</w:t>
      </w:r>
      <w:r>
        <w:rPr>
          <w:rFonts w:eastAsiaTheme="minorHAnsi" w:cs="TimesNewRomanPSMT"/>
          <w:color w:val="000000"/>
        </w:rPr>
        <w:t>.</w:t>
      </w:r>
    </w:p>
    <w:p w14:paraId="4D56D936" w14:textId="2FFB0882" w:rsidR="001F37E0" w:rsidRPr="00CC5BC4" w:rsidRDefault="00BE644C" w:rsidP="001F37E0">
      <w:pPr>
        <w:rPr>
          <w:rFonts w:eastAsiaTheme="minorHAnsi" w:cs="TimesNewRomanPSMT"/>
          <w:color w:val="000000"/>
        </w:rPr>
      </w:pPr>
      <w:r w:rsidRPr="004751AB">
        <w:rPr>
          <w:rFonts w:eastAsiaTheme="minorHAnsi" w:cs="TimesNewRomanPSMT"/>
          <w:color w:val="000000"/>
        </w:rPr>
        <w:t xml:space="preserve">Only 13% of patients had data available from </w:t>
      </w:r>
      <w:r>
        <w:rPr>
          <w:rFonts w:eastAsiaTheme="minorHAnsi" w:cs="TimesNewRomanPSMT"/>
          <w:color w:val="000000"/>
        </w:rPr>
        <w:t>a</w:t>
      </w:r>
      <w:r w:rsidRPr="009B36BE">
        <w:rPr>
          <w:rFonts w:eastAsiaTheme="minorHAnsi" w:cs="TimesNewRomanPSMT"/>
          <w:color w:val="000000"/>
        </w:rPr>
        <w:t xml:space="preserve">drenocorticotropic hormone </w:t>
      </w:r>
      <w:r>
        <w:rPr>
          <w:rFonts w:eastAsiaTheme="minorHAnsi" w:cs="TimesNewRomanPSMT"/>
          <w:color w:val="000000"/>
        </w:rPr>
        <w:t>(</w:t>
      </w:r>
      <w:r w:rsidRPr="004751AB">
        <w:rPr>
          <w:rFonts w:eastAsiaTheme="minorHAnsi" w:cs="TimesNewRomanPSMT"/>
          <w:color w:val="000000"/>
        </w:rPr>
        <w:t>ACTH</w:t>
      </w:r>
      <w:r>
        <w:rPr>
          <w:rFonts w:eastAsiaTheme="minorHAnsi" w:cs="TimesNewRomanPSMT"/>
          <w:color w:val="000000"/>
        </w:rPr>
        <w:t>)</w:t>
      </w:r>
      <w:r w:rsidRPr="004751AB">
        <w:rPr>
          <w:rFonts w:eastAsiaTheme="minorHAnsi" w:cs="TimesNewRomanPSMT"/>
          <w:color w:val="000000"/>
        </w:rPr>
        <w:t xml:space="preserve"> stimulation tests. The data in the dossier is very difficult to interpret. The most important outcome is how many patients failed to have the predetermined increase in serum cortisol after ACTH. In the dossier, a mean pre and post sti</w:t>
      </w:r>
      <w:r>
        <w:rPr>
          <w:rFonts w:eastAsiaTheme="minorHAnsi" w:cs="TimesNewRomanPSMT"/>
          <w:color w:val="000000"/>
        </w:rPr>
        <w:t xml:space="preserve">mulation cortisol is reported. </w:t>
      </w:r>
      <w:r w:rsidRPr="004751AB">
        <w:rPr>
          <w:rFonts w:eastAsiaTheme="minorHAnsi" w:cs="TimesNewRomanPSMT"/>
          <w:color w:val="000000"/>
        </w:rPr>
        <w:t>It is also not entirely clear if patients stopped ICS prior to the test or if the tests were all performed in the morning. Furthermore, as many patients were on inhaled steroids for months prior to the study, and adrenal suppression can persist for &gt; 3 months after stopping the ICS, it would be difficult to determine if any adrenal suppression seen was from the stu</w:t>
      </w:r>
      <w:r>
        <w:rPr>
          <w:rFonts w:eastAsiaTheme="minorHAnsi" w:cs="TimesNewRomanPSMT"/>
          <w:color w:val="000000"/>
        </w:rPr>
        <w:t>dy drug or previous treatment.</w:t>
      </w:r>
    </w:p>
    <w:p w14:paraId="56A94B27" w14:textId="37539209" w:rsidR="009B48ED" w:rsidRDefault="00426CBA" w:rsidP="00B43FEC">
      <w:pPr>
        <w:pStyle w:val="Heading5"/>
      </w:pPr>
      <w:r w:rsidRPr="00D63595">
        <w:t>COPD</w:t>
      </w:r>
    </w:p>
    <w:p w14:paraId="4D46D845" w14:textId="26D5281F" w:rsidR="00426CBA" w:rsidRPr="00CC5BC4" w:rsidRDefault="009B48ED" w:rsidP="001F37E0">
      <w:r>
        <w:t>The risk of pneumonia associated with ICS when used for COPD is well known.</w:t>
      </w:r>
    </w:p>
    <w:p w14:paraId="31E3A04A" w14:textId="77777777" w:rsidR="00426CBA" w:rsidRDefault="009B36BE" w:rsidP="001F37E0">
      <w:pPr>
        <w:rPr>
          <w:b/>
        </w:rPr>
      </w:pPr>
      <w:r>
        <w:t>In Study CT01, p</w:t>
      </w:r>
      <w:r w:rsidR="00426CBA">
        <w:t>neumonia was reported in relative</w:t>
      </w:r>
      <w:r>
        <w:t>ly</w:t>
      </w:r>
      <w:r w:rsidR="00426CBA">
        <w:t xml:space="preserve"> more patients (2.1%) in the </w:t>
      </w:r>
      <w:proofErr w:type="spellStart"/>
      <w:r>
        <w:t>Fostair</w:t>
      </w:r>
      <w:proofErr w:type="spellEnd"/>
      <w:r>
        <w:t xml:space="preserve"> group and </w:t>
      </w:r>
      <w:r w:rsidR="00426CBA">
        <w:t xml:space="preserve">in the </w:t>
      </w:r>
      <w:r>
        <w:t xml:space="preserve">budesonide plus </w:t>
      </w:r>
      <w:proofErr w:type="spellStart"/>
      <w:r>
        <w:t>formoterol</w:t>
      </w:r>
      <w:proofErr w:type="spellEnd"/>
      <w:r>
        <w:t xml:space="preserve"> group (2.9%) than in the </w:t>
      </w:r>
      <w:proofErr w:type="spellStart"/>
      <w:r>
        <w:t>formoterol</w:t>
      </w:r>
      <w:proofErr w:type="spellEnd"/>
      <w:r w:rsidR="00426CBA">
        <w:t xml:space="preserve"> group</w:t>
      </w:r>
      <w:r>
        <w:t xml:space="preserve"> (0.4%)</w:t>
      </w:r>
      <w:r w:rsidR="00426CBA">
        <w:t>.</w:t>
      </w:r>
    </w:p>
    <w:p w14:paraId="04890CD4" w14:textId="77777777" w:rsidR="00426CBA" w:rsidRPr="001F37E0" w:rsidRDefault="009B36BE" w:rsidP="001F37E0">
      <w:r>
        <w:t>In S</w:t>
      </w:r>
      <w:r w:rsidR="00426CBA" w:rsidRPr="00FD5A8F">
        <w:t>tudy CT02</w:t>
      </w:r>
      <w:r>
        <w:t>,</w:t>
      </w:r>
      <w:r w:rsidR="00426CBA">
        <w:t xml:space="preserve"> a</w:t>
      </w:r>
      <w:r w:rsidR="00426CBA" w:rsidRPr="00DB37BE">
        <w:t xml:space="preserve">n increased proportion of patients in </w:t>
      </w:r>
      <w:r w:rsidR="00426CBA">
        <w:t xml:space="preserve">the </w:t>
      </w:r>
      <w:proofErr w:type="spellStart"/>
      <w:r>
        <w:t>Fostair</w:t>
      </w:r>
      <w:proofErr w:type="spellEnd"/>
      <w:r w:rsidR="00426CBA" w:rsidRPr="00DB37BE">
        <w:t xml:space="preserve"> group developed pneumonia, compared to </w:t>
      </w:r>
      <w:r>
        <w:t xml:space="preserve">the </w:t>
      </w:r>
      <w:proofErr w:type="spellStart"/>
      <w:r>
        <w:t>formoterol</w:t>
      </w:r>
      <w:proofErr w:type="spellEnd"/>
      <w:r>
        <w:t xml:space="preserve"> fumarate</w:t>
      </w:r>
      <w:r w:rsidR="0072223F">
        <w:t xml:space="preserve"> group (23 patients (3.8%) versus 11 </w:t>
      </w:r>
      <w:r w:rsidR="00426CBA" w:rsidRPr="00DB37BE">
        <w:t>patients (1.8%)). An increased incidence of oral candidi</w:t>
      </w:r>
      <w:r w:rsidR="0072223F">
        <w:t xml:space="preserve">asis (18 patients (3.0%) versus </w:t>
      </w:r>
      <w:r w:rsidR="00426CBA" w:rsidRPr="00DB37BE">
        <w:t xml:space="preserve">4 patients (0.7%)), lower respiratory tract </w:t>
      </w:r>
      <w:r w:rsidR="0072223F">
        <w:t>infection (9 patients (1.5%) versus</w:t>
      </w:r>
      <w:r w:rsidR="00426CBA" w:rsidRPr="00DB37BE">
        <w:t xml:space="preserve"> 4 patients (0.7%)) and atrial fi</w:t>
      </w:r>
      <w:r w:rsidR="0072223F">
        <w:t xml:space="preserve">brillation </w:t>
      </w:r>
      <w:r w:rsidR="00D66FD8">
        <w:t>(</w:t>
      </w:r>
      <w:r w:rsidR="0072223F">
        <w:t>7 patients (1.2%) versus</w:t>
      </w:r>
      <w:r w:rsidR="00426CBA" w:rsidRPr="00DB37BE">
        <w:t xml:space="preserve"> 2 patients (0.3%)</w:t>
      </w:r>
      <w:r w:rsidR="00D66FD8">
        <w:t>)</w:t>
      </w:r>
      <w:r w:rsidR="00426CBA" w:rsidRPr="00DB37BE">
        <w:t xml:space="preserve"> was also reported in </w:t>
      </w:r>
      <w:r w:rsidR="00426CBA">
        <w:t xml:space="preserve">the </w:t>
      </w:r>
      <w:proofErr w:type="spellStart"/>
      <w:r w:rsidR="0072223F">
        <w:t>Fostair</w:t>
      </w:r>
      <w:proofErr w:type="spellEnd"/>
      <w:r w:rsidR="00426CBA">
        <w:t xml:space="preserve"> groups </w:t>
      </w:r>
      <w:r w:rsidR="00426CBA" w:rsidRPr="00DB37BE">
        <w:t xml:space="preserve">compared to </w:t>
      </w:r>
      <w:proofErr w:type="spellStart"/>
      <w:r w:rsidR="0072223F">
        <w:t>formoterol</w:t>
      </w:r>
      <w:proofErr w:type="spellEnd"/>
      <w:r w:rsidR="0072223F">
        <w:t xml:space="preserve"> fumarate</w:t>
      </w:r>
      <w:r w:rsidR="00426CBA" w:rsidRPr="00DB37BE">
        <w:t xml:space="preserve"> group</w:t>
      </w:r>
      <w:r w:rsidR="00426CBA">
        <w:t>s</w:t>
      </w:r>
      <w:r w:rsidR="00426CBA" w:rsidRPr="00DB37BE">
        <w:t>.</w:t>
      </w:r>
    </w:p>
    <w:p w14:paraId="18BDE19B" w14:textId="77777777" w:rsidR="008E7846" w:rsidRDefault="00386150" w:rsidP="007B6132">
      <w:pPr>
        <w:pStyle w:val="Heading3"/>
        <w:rPr>
          <w:lang w:eastAsia="en-AU"/>
        </w:rPr>
      </w:pPr>
      <w:bookmarkStart w:id="42" w:name="_Toc47353833"/>
      <w:r w:rsidRPr="00CB5B2F">
        <w:rPr>
          <w:lang w:eastAsia="en-AU"/>
        </w:rPr>
        <w:t>Risk m</w:t>
      </w:r>
      <w:r w:rsidR="008E7846" w:rsidRPr="00CB5B2F">
        <w:rPr>
          <w:lang w:eastAsia="en-AU"/>
        </w:rPr>
        <w:t xml:space="preserve">anagement </w:t>
      </w:r>
      <w:r w:rsidRPr="00CB5B2F">
        <w:rPr>
          <w:lang w:eastAsia="en-AU"/>
        </w:rPr>
        <w:t>p</w:t>
      </w:r>
      <w:r w:rsidR="008E7846" w:rsidRPr="004225CE">
        <w:rPr>
          <w:lang w:eastAsia="en-AU"/>
        </w:rPr>
        <w:t>lan</w:t>
      </w:r>
      <w:bookmarkEnd w:id="39"/>
      <w:bookmarkEnd w:id="42"/>
    </w:p>
    <w:p w14:paraId="4784C0D0" w14:textId="322E6289" w:rsidR="008E7846" w:rsidRDefault="00646401" w:rsidP="008E7846">
      <w:r w:rsidRPr="00B43FEC">
        <w:rPr>
          <w:iCs/>
          <w:lang w:val="en-GB"/>
        </w:rPr>
        <w:t>During the application the risk management plan (RMP) was submitted</w:t>
      </w:r>
      <w:r w:rsidR="007508C4" w:rsidRPr="00B43FEC">
        <w:rPr>
          <w:iCs/>
          <w:lang w:val="en-GB"/>
        </w:rPr>
        <w:t>,</w:t>
      </w:r>
      <w:r w:rsidRPr="00B43FEC">
        <w:rPr>
          <w:iCs/>
          <w:lang w:val="en-GB"/>
        </w:rPr>
        <w:t xml:space="preserve"> however it </w:t>
      </w:r>
      <w:r w:rsidR="00680135" w:rsidRPr="00B43FEC">
        <w:rPr>
          <w:iCs/>
          <w:lang w:val="en-GB"/>
        </w:rPr>
        <w:t>was</w:t>
      </w:r>
      <w:r w:rsidRPr="00B43FEC">
        <w:rPr>
          <w:iCs/>
          <w:lang w:val="en-GB"/>
        </w:rPr>
        <w:t xml:space="preserve"> not</w:t>
      </w:r>
      <w:r w:rsidRPr="00680135">
        <w:rPr>
          <w:rFonts w:asciiTheme="minorHAnsi" w:hAnsiTheme="minorHAnsi"/>
        </w:rPr>
        <w:t xml:space="preserve"> </w:t>
      </w:r>
      <w:r w:rsidR="00426CBA" w:rsidRPr="00680135">
        <w:rPr>
          <w:rFonts w:asciiTheme="minorHAnsi" w:hAnsiTheme="minorHAnsi"/>
        </w:rPr>
        <w:t xml:space="preserve">required </w:t>
      </w:r>
      <w:r w:rsidR="00426CBA">
        <w:rPr>
          <w:rFonts w:asciiTheme="minorHAnsi" w:hAnsiTheme="minorHAnsi"/>
        </w:rPr>
        <w:t>as the application was for a new combination of previously registered products. The combination therapy is standard clinical practice, and no additional risk mitigation measures would be required.</w:t>
      </w:r>
      <w:r w:rsidR="00E62A5D">
        <w:rPr>
          <w:rStyle w:val="FootnoteReference"/>
        </w:rPr>
        <w:footnoteReference w:id="17"/>
      </w:r>
    </w:p>
    <w:p w14:paraId="4AE5CCAB" w14:textId="77777777" w:rsidR="008E7846" w:rsidRDefault="00AA0ED0" w:rsidP="008E7846">
      <w:pPr>
        <w:pStyle w:val="Heading3"/>
      </w:pPr>
      <w:bookmarkStart w:id="43" w:name="_Toc247691531"/>
      <w:bookmarkStart w:id="44" w:name="_Toc314842515"/>
      <w:bookmarkStart w:id="45" w:name="_Toc196046505"/>
      <w:bookmarkStart w:id="46" w:name="_Toc196046949"/>
      <w:bookmarkStart w:id="47" w:name="_Toc47353834"/>
      <w:r>
        <w:lastRenderedPageBreak/>
        <w:t>Risk-benefit a</w:t>
      </w:r>
      <w:r w:rsidR="008E7846">
        <w:t>nalysis</w:t>
      </w:r>
      <w:bookmarkEnd w:id="43"/>
      <w:bookmarkEnd w:id="44"/>
      <w:bookmarkEnd w:id="47"/>
    </w:p>
    <w:p w14:paraId="6CE9A58B" w14:textId="77777777" w:rsidR="00D23139" w:rsidRDefault="001F37E0" w:rsidP="00D23139">
      <w:pPr>
        <w:pStyle w:val="Heading4"/>
      </w:pPr>
      <w:r>
        <w:t>Delegate’s considerations</w:t>
      </w:r>
    </w:p>
    <w:p w14:paraId="5A80B523" w14:textId="5C40F437" w:rsidR="00426CBA" w:rsidRDefault="00426CBA" w:rsidP="001F37E0">
      <w:r>
        <w:t>Treatment of moderate/severe asthma with ICS</w:t>
      </w:r>
      <w:r w:rsidR="0029512F">
        <w:t>/</w:t>
      </w:r>
      <w:r>
        <w:t>LABA is well established, and there are a number of different combinations of ICS/LABA registered for this indication.</w:t>
      </w:r>
    </w:p>
    <w:p w14:paraId="16B1F26F" w14:textId="77777777" w:rsidR="00426CBA" w:rsidRDefault="00426CBA" w:rsidP="001F37E0">
      <w:r>
        <w:t xml:space="preserve">That being said, it is not possible to directly compare the different ICS due to a number of factors that affect efficacy and safety of the drug. These include type of corticosteroid, PK properties of the drug, type of inhaled device (DPI or </w:t>
      </w:r>
      <w:proofErr w:type="spellStart"/>
      <w:r>
        <w:t>pMDI</w:t>
      </w:r>
      <w:proofErr w:type="spellEnd"/>
      <w:r>
        <w:t>), properties of the device, and size of particles in the lungs. In addition, ICS have a flat dose response curve for PK and</w:t>
      </w:r>
      <w:r w:rsidR="0072223F">
        <w:t xml:space="preserve"> efficacy. Added to this is the</w:t>
      </w:r>
      <w:r>
        <w:t xml:space="preserve"> high variability in absorption of the drug and the variable nature of symptoms in both asthma and COPD. The registration of an ICS/LABA combination cannot be justified on the basis of other ICS/LABA being used for this indication without clear understanding of the pharmacology, efficacy and safety o</w:t>
      </w:r>
      <w:r w:rsidR="001F37E0">
        <w:t>f the proposed drug and device.</w:t>
      </w:r>
    </w:p>
    <w:p w14:paraId="43AE4352" w14:textId="77777777" w:rsidR="00426CBA" w:rsidRDefault="00426CBA" w:rsidP="001F37E0">
      <w:r>
        <w:t xml:space="preserve">The clinical trials have demonstrated that </w:t>
      </w:r>
      <w:proofErr w:type="spellStart"/>
      <w:r w:rsidR="0072223F">
        <w:t>Fostair</w:t>
      </w:r>
      <w:proofErr w:type="spellEnd"/>
      <w:r>
        <w:t xml:space="preserve"> (at a total daily dose of 400</w:t>
      </w:r>
      <w:r w:rsidR="0072223F">
        <w:t xml:space="preserve"> µg </w:t>
      </w:r>
      <w:proofErr w:type="spellStart"/>
      <w:r w:rsidR="0072223F">
        <w:t>b</w:t>
      </w:r>
      <w:r>
        <w:t>eclometh</w:t>
      </w:r>
      <w:r w:rsidR="0072223F">
        <w:t>asone</w:t>
      </w:r>
      <w:proofErr w:type="spellEnd"/>
      <w:r>
        <w:t>/24</w:t>
      </w:r>
      <w:r w:rsidR="0072223F">
        <w:t xml:space="preserve"> </w:t>
      </w:r>
      <w:r>
        <w:t xml:space="preserve">µg </w:t>
      </w:r>
      <w:proofErr w:type="spellStart"/>
      <w:r>
        <w:t>formoterol</w:t>
      </w:r>
      <w:proofErr w:type="spellEnd"/>
      <w:r>
        <w:t xml:space="preserve">) has similar efficacy to other ICS/LABA such as </w:t>
      </w:r>
      <w:proofErr w:type="spellStart"/>
      <w:r w:rsidR="0072223F">
        <w:t>Symbicort</w:t>
      </w:r>
      <w:proofErr w:type="spellEnd"/>
      <w:r>
        <w:t xml:space="preserve"> (1000</w:t>
      </w:r>
      <w:r w:rsidR="0072223F">
        <w:t xml:space="preserve"> µg budesonide</w:t>
      </w:r>
      <w:r>
        <w:t>/24</w:t>
      </w:r>
      <w:r w:rsidR="0072223F">
        <w:t xml:space="preserve"> </w:t>
      </w:r>
      <w:r>
        <w:t xml:space="preserve">µg </w:t>
      </w:r>
      <w:proofErr w:type="spellStart"/>
      <w:r>
        <w:t>formoterol</w:t>
      </w:r>
      <w:proofErr w:type="spellEnd"/>
      <w:r>
        <w:t xml:space="preserve">) and </w:t>
      </w:r>
      <w:proofErr w:type="spellStart"/>
      <w:r w:rsidR="0072223F">
        <w:t>Seretide</w:t>
      </w:r>
      <w:proofErr w:type="spellEnd"/>
      <w:r w:rsidR="0072223F">
        <w:t xml:space="preserve"> </w:t>
      </w:r>
      <w:r>
        <w:t>(fluticasone 500</w:t>
      </w:r>
      <w:r w:rsidR="0072223F">
        <w:t> µg/</w:t>
      </w:r>
      <w:proofErr w:type="spellStart"/>
      <w:r w:rsidR="0072223F">
        <w:t>salmeterol</w:t>
      </w:r>
      <w:proofErr w:type="spellEnd"/>
      <w:r w:rsidR="0072223F">
        <w:t xml:space="preserve"> 50µg). The Delegate is</w:t>
      </w:r>
      <w:r>
        <w:t xml:space="preserve"> satisfied with the data submitted that show the international reference products were</w:t>
      </w:r>
      <w:r w:rsidR="001F37E0">
        <w:t xml:space="preserve"> similar to those in Australia.</w:t>
      </w:r>
    </w:p>
    <w:p w14:paraId="0F598712" w14:textId="77777777" w:rsidR="00426CBA" w:rsidRDefault="00426CBA" w:rsidP="001F37E0">
      <w:r>
        <w:t xml:space="preserve">In addition, there is evidence that </w:t>
      </w:r>
      <w:proofErr w:type="spellStart"/>
      <w:r w:rsidR="0072223F">
        <w:t>Fostair</w:t>
      </w:r>
      <w:proofErr w:type="spellEnd"/>
      <w:r>
        <w:t xml:space="preserve"> is more eff</w:t>
      </w:r>
      <w:r w:rsidR="0072223F">
        <w:t xml:space="preserve">icacious than the same dose of </w:t>
      </w:r>
      <w:proofErr w:type="spellStart"/>
      <w:r w:rsidR="0072223F">
        <w:t>b</w:t>
      </w:r>
      <w:r>
        <w:t>e</w:t>
      </w:r>
      <w:r w:rsidR="0072223F">
        <w:t>clomethasone</w:t>
      </w:r>
      <w:proofErr w:type="spellEnd"/>
      <w:r w:rsidR="0072223F">
        <w:t xml:space="preserve"> alone for asthma, a</w:t>
      </w:r>
      <w:r>
        <w:t xml:space="preserve">nd </w:t>
      </w:r>
      <w:proofErr w:type="spellStart"/>
      <w:r w:rsidR="0072223F">
        <w:t>Fostair</w:t>
      </w:r>
      <w:proofErr w:type="spellEnd"/>
      <w:r>
        <w:t xml:space="preserve"> is more efficacious </w:t>
      </w:r>
      <w:r w:rsidR="001F37E0">
        <w:t xml:space="preserve">than </w:t>
      </w:r>
      <w:proofErr w:type="spellStart"/>
      <w:r w:rsidR="001F37E0">
        <w:t>formoterol</w:t>
      </w:r>
      <w:proofErr w:type="spellEnd"/>
      <w:r w:rsidR="001F37E0">
        <w:t xml:space="preserve"> alone for COPD.</w:t>
      </w:r>
    </w:p>
    <w:p w14:paraId="789F6EB0" w14:textId="6C84AD12" w:rsidR="00426CBA" w:rsidRPr="00A54B71" w:rsidRDefault="00426CBA" w:rsidP="001F37E0">
      <w:r>
        <w:t>The sponsor has proposed that a dose o</w:t>
      </w:r>
      <w:r w:rsidR="0072223F">
        <w:t xml:space="preserve">f 200µg </w:t>
      </w:r>
      <w:proofErr w:type="spellStart"/>
      <w:r w:rsidR="0072223F">
        <w:t>b</w:t>
      </w:r>
      <w:r>
        <w:t>eclomethasone</w:t>
      </w:r>
      <w:proofErr w:type="spellEnd"/>
      <w:r>
        <w:t xml:space="preserve">/12 µg </w:t>
      </w:r>
      <w:proofErr w:type="spellStart"/>
      <w:r>
        <w:t>formoterol</w:t>
      </w:r>
      <w:proofErr w:type="spellEnd"/>
      <w:r>
        <w:t xml:space="preserve"> daily would be indicated for mild asthma, and 400</w:t>
      </w:r>
      <w:r w:rsidR="0072223F">
        <w:t xml:space="preserve"> µg </w:t>
      </w:r>
      <w:proofErr w:type="spellStart"/>
      <w:r w:rsidR="0072223F">
        <w:t>b</w:t>
      </w:r>
      <w:r>
        <w:t>eclomethasone</w:t>
      </w:r>
      <w:proofErr w:type="spellEnd"/>
      <w:r>
        <w:t xml:space="preserve">/24µg </w:t>
      </w:r>
      <w:proofErr w:type="spellStart"/>
      <w:r>
        <w:t>formoterol</w:t>
      </w:r>
      <w:proofErr w:type="spellEnd"/>
      <w:r>
        <w:t xml:space="preserve"> for moderate asthma, and that treatment should be steppe</w:t>
      </w:r>
      <w:r w:rsidR="0072223F">
        <w:t>d up if patients do not respond</w:t>
      </w:r>
      <w:r>
        <w:t>. Most clinical trials used the higher dose f</w:t>
      </w:r>
      <w:r w:rsidR="0072223F">
        <w:t xml:space="preserve">or moderate to </w:t>
      </w:r>
      <w:r>
        <w:t>severe asthma, only one study (</w:t>
      </w:r>
      <w:r w:rsidR="0072223F">
        <w:t xml:space="preserve">Study </w:t>
      </w:r>
      <w:r>
        <w:t>CT</w:t>
      </w:r>
      <w:r w:rsidR="0072223F">
        <w:t xml:space="preserve">05) used the lower dose in mild to </w:t>
      </w:r>
      <w:r>
        <w:t xml:space="preserve">moderate asthma. </w:t>
      </w:r>
      <w:r w:rsidR="00680135">
        <w:t>[Information redacted]</w:t>
      </w:r>
      <w:r w:rsidR="00B43FEC">
        <w:t xml:space="preserve"> </w:t>
      </w:r>
      <w:r>
        <w:t>Overall, the dosing recommendations appear reasonable.</w:t>
      </w:r>
      <w:r w:rsidR="00680135" w:rsidRPr="00680135">
        <w:t xml:space="preserve"> </w:t>
      </w:r>
      <w:r w:rsidR="00680135">
        <w:t>However, it is noted that there is on</w:t>
      </w:r>
      <w:r w:rsidR="007F3F42">
        <w:t xml:space="preserve">ly one strength available; thus, </w:t>
      </w:r>
      <w:r w:rsidR="00680135">
        <w:t>the ability of patients to titrate the doses is limited.</w:t>
      </w:r>
    </w:p>
    <w:p w14:paraId="17665C23" w14:textId="1C8401BC" w:rsidR="00426CBA" w:rsidRDefault="00426CBA" w:rsidP="009F669C">
      <w:pPr>
        <w:ind w:right="-285"/>
      </w:pPr>
      <w:r>
        <w:t>There is a range of recognised endocrine safety issues related to long term steroid use. Hypothalamic pituitary axis (HPA) suppression from use of high dose</w:t>
      </w:r>
      <w:r w:rsidR="002B208A">
        <w:t>,</w:t>
      </w:r>
      <w:r>
        <w:t xml:space="preserve"> long term systemic and inhaled steroids and adrenal insufficiency (AI) on cessation of steroids is well described in the clinical community. </w:t>
      </w:r>
      <w:r w:rsidR="00680135">
        <w:t>The data submitted in relation to HPA in this submission is limited and difficult to interpret. The sponsor has measured morning cortisol, which is a helpful screen, however, what is of most value are those levels &lt;</w:t>
      </w:r>
      <w:r w:rsidR="009F669C">
        <w:t xml:space="preserve"> 100 </w:t>
      </w:r>
      <w:proofErr w:type="spellStart"/>
      <w:r w:rsidR="00680135">
        <w:t>nmol</w:t>
      </w:r>
      <w:proofErr w:type="spellEnd"/>
      <w:r w:rsidR="00680135">
        <w:t>/L which is strongly predictive of adrenal insufficiency or &gt;</w:t>
      </w:r>
      <w:r w:rsidR="009F669C">
        <w:t xml:space="preserve"> </w:t>
      </w:r>
      <w:r w:rsidR="00680135">
        <w:t>500</w:t>
      </w:r>
      <w:r w:rsidR="009F669C">
        <w:t xml:space="preserve"> </w:t>
      </w:r>
      <w:proofErr w:type="spellStart"/>
      <w:r w:rsidR="00B43FEC">
        <w:t>nmol</w:t>
      </w:r>
      <w:proofErr w:type="spellEnd"/>
      <w:r w:rsidR="00B43FEC">
        <w:t>/L which excludes it.</w:t>
      </w:r>
      <w:r w:rsidR="00687624">
        <w:t xml:space="preserve"> </w:t>
      </w:r>
      <w:proofErr w:type="spellStart"/>
      <w:r w:rsidR="00687624">
        <w:t>Fostair</w:t>
      </w:r>
      <w:proofErr w:type="spellEnd"/>
      <w:r w:rsidR="00687624">
        <w:t xml:space="preserve"> has a high potential risk of AI due to high pulmonary absorption of </w:t>
      </w:r>
      <w:proofErr w:type="spellStart"/>
      <w:r w:rsidR="00687624">
        <w:t>beclomethasone</w:t>
      </w:r>
      <w:proofErr w:type="spellEnd"/>
      <w:r w:rsidR="00687624">
        <w:t xml:space="preserve"> and relative lipophilicity.</w:t>
      </w:r>
      <w:r w:rsidR="00687624">
        <w:fldChar w:fldCharType="begin"/>
      </w:r>
      <w:r w:rsidR="00687624">
        <w:instrText xml:space="preserve"> NOTEREF _Ref39780095 \f \h </w:instrText>
      </w:r>
      <w:r w:rsidR="00687624">
        <w:fldChar w:fldCharType="separate"/>
      </w:r>
      <w:r w:rsidR="00352776" w:rsidRPr="00352776">
        <w:rPr>
          <w:rStyle w:val="FootnoteReference"/>
        </w:rPr>
        <w:t>13</w:t>
      </w:r>
      <w:r w:rsidR="00687624">
        <w:fldChar w:fldCharType="end"/>
      </w:r>
      <w:r w:rsidR="00687624">
        <w:t xml:space="preserve"> Levels of 400µg daily are listed as having high risk of AI.</w:t>
      </w:r>
      <w:r w:rsidR="00687624">
        <w:rPr>
          <w:rStyle w:val="FootnoteReference"/>
        </w:rPr>
        <w:footnoteReference w:id="18"/>
      </w:r>
      <w:r w:rsidR="00687624">
        <w:t xml:space="preserve"> It is important that the potential risk of adrenal insufficiency be included in the PI.</w:t>
      </w:r>
      <w:r w:rsidR="00687624">
        <w:rPr>
          <w:rStyle w:val="FootnoteReference"/>
        </w:rPr>
        <w:footnoteReference w:id="19"/>
      </w:r>
    </w:p>
    <w:p w14:paraId="4CE96A7A" w14:textId="2029105B" w:rsidR="00456765" w:rsidRPr="00426CBA" w:rsidRDefault="00680135" w:rsidP="001F37E0">
      <w:r>
        <w:t xml:space="preserve">The clinical trials submitted were performed some time ago, and are considerably smaller and with less sensitive efficacy variables than more recent applications. </w:t>
      </w:r>
      <w:r w:rsidR="0071160C">
        <w:t xml:space="preserve">The Delegate </w:t>
      </w:r>
      <w:r w:rsidR="00426CBA">
        <w:t>disagre</w:t>
      </w:r>
      <w:r w:rsidR="00F44F3F">
        <w:t>ed</w:t>
      </w:r>
      <w:r w:rsidR="00426CBA">
        <w:t xml:space="preserve"> with the evaluator that PEF is an un</w:t>
      </w:r>
      <w:r w:rsidR="0071160C">
        <w:t>acceptable measure of efficacy; it</w:t>
      </w:r>
      <w:r w:rsidR="00426CBA">
        <w:t xml:space="preserve"> is accepted in the </w:t>
      </w:r>
      <w:r w:rsidR="003317BC">
        <w:t>European Medicines Agency (</w:t>
      </w:r>
      <w:r w:rsidR="00426CBA">
        <w:t>EMA</w:t>
      </w:r>
      <w:r w:rsidR="003317BC">
        <w:t>)</w:t>
      </w:r>
      <w:r w:rsidR="00426CBA">
        <w:t xml:space="preserve"> guidelines.</w:t>
      </w:r>
      <w:r w:rsidR="00D66FD8">
        <w:rPr>
          <w:rStyle w:val="FootnoteReference"/>
        </w:rPr>
        <w:footnoteReference w:id="20"/>
      </w:r>
      <w:r w:rsidR="00426CBA">
        <w:t xml:space="preserve"> The literature is contradictory as</w:t>
      </w:r>
      <w:r w:rsidR="00FD34D2">
        <w:t xml:space="preserve"> to </w:t>
      </w:r>
      <w:r w:rsidR="00FD34D2">
        <w:lastRenderedPageBreak/>
        <w:t>it</w:t>
      </w:r>
      <w:r w:rsidR="00426CBA">
        <w:t>s correlation with FEV</w:t>
      </w:r>
      <w:r w:rsidR="00426CBA" w:rsidRPr="0071160C">
        <w:rPr>
          <w:vertAlign w:val="subscript"/>
        </w:rPr>
        <w:t>1</w:t>
      </w:r>
      <w:r w:rsidR="00426CBA">
        <w:t>. On the other hand, there is much more variability in this measure</w:t>
      </w:r>
      <w:r w:rsidR="00FD34D2">
        <w:t>,</w:t>
      </w:r>
      <w:r w:rsidR="00426CBA">
        <w:t xml:space="preserve"> thus to establish a consistent difference in this is more difficult than to find a difference in FEV</w:t>
      </w:r>
      <w:r w:rsidR="00426CBA" w:rsidRPr="00A37764">
        <w:rPr>
          <w:vertAlign w:val="subscript"/>
        </w:rPr>
        <w:t>1</w:t>
      </w:r>
      <w:r w:rsidR="00426CBA">
        <w:t>.</w:t>
      </w:r>
      <w:r w:rsidR="00FD34D2">
        <w:rPr>
          <w:rStyle w:val="FootnoteReference"/>
        </w:rPr>
        <w:footnoteReference w:id="21"/>
      </w:r>
      <w:r w:rsidR="0029512F">
        <w:rPr>
          <w:vertAlign w:val="superscript"/>
        </w:rPr>
        <w:t>,</w:t>
      </w:r>
      <w:r w:rsidR="00FD34D2">
        <w:rPr>
          <w:rStyle w:val="FootnoteReference"/>
        </w:rPr>
        <w:footnoteReference w:id="22"/>
      </w:r>
    </w:p>
    <w:p w14:paraId="31A6BA44" w14:textId="77777777" w:rsidR="00D23139" w:rsidRDefault="00D23139" w:rsidP="00D23139">
      <w:pPr>
        <w:pStyle w:val="Heading4"/>
      </w:pPr>
      <w:r w:rsidRPr="00D23139">
        <w:t>Proposed action</w:t>
      </w:r>
    </w:p>
    <w:p w14:paraId="6444846A" w14:textId="77777777" w:rsidR="00426CBA" w:rsidRDefault="00426CBA" w:rsidP="001F37E0">
      <w:r>
        <w:t xml:space="preserve">After reviewing the data from </w:t>
      </w:r>
      <w:r w:rsidR="001F37E0">
        <w:t>the</w:t>
      </w:r>
      <w:r>
        <w:t xml:space="preserve"> submission, </w:t>
      </w:r>
      <w:r w:rsidR="001F37E0">
        <w:t>the Delegate</w:t>
      </w:r>
      <w:r>
        <w:t xml:space="preserve"> recommend</w:t>
      </w:r>
      <w:r w:rsidR="001F37E0">
        <w:t>s</w:t>
      </w:r>
      <w:r>
        <w:t xml:space="preserve"> approval of </w:t>
      </w:r>
      <w:r w:rsidR="00FD34D2">
        <w:t xml:space="preserve">the registration of the FDC of </w:t>
      </w:r>
      <w:proofErr w:type="spellStart"/>
      <w:r w:rsidR="00FD34D2">
        <w:t>beclomethasone</w:t>
      </w:r>
      <w:proofErr w:type="spellEnd"/>
      <w:r w:rsidR="00FD34D2">
        <w:t xml:space="preserve"> and </w:t>
      </w:r>
      <w:proofErr w:type="spellStart"/>
      <w:r w:rsidR="00FD34D2">
        <w:t>f</w:t>
      </w:r>
      <w:r>
        <w:t>ormoterol</w:t>
      </w:r>
      <w:proofErr w:type="spellEnd"/>
      <w:r>
        <w:t xml:space="preserve"> for the proposed indications. The final approval is subject to the recommended amendments to the PI.</w:t>
      </w:r>
    </w:p>
    <w:p w14:paraId="3398BBD0" w14:textId="77777777" w:rsidR="008E7846" w:rsidRDefault="008E7846" w:rsidP="008E7846">
      <w:pPr>
        <w:pStyle w:val="Heading4"/>
      </w:pPr>
      <w:r>
        <w:t>Advisory Committee Considerations</w:t>
      </w:r>
      <w:r w:rsidR="00456765">
        <w:rPr>
          <w:rStyle w:val="FootnoteReference"/>
        </w:rPr>
        <w:footnoteReference w:id="23"/>
      </w:r>
    </w:p>
    <w:p w14:paraId="0569E439" w14:textId="77777777" w:rsidR="00456765" w:rsidRPr="00A322B3" w:rsidRDefault="00456765" w:rsidP="008E7846">
      <w:r>
        <w:rPr>
          <w:bCs/>
        </w:rPr>
        <w:t>The Delegate did not refer this application to the Advisory Committee on Medicines (ACM) for advice.</w:t>
      </w:r>
    </w:p>
    <w:p w14:paraId="4A650106" w14:textId="77777777" w:rsidR="008E7846" w:rsidRPr="002E238E" w:rsidRDefault="008E7846" w:rsidP="008E7846">
      <w:pPr>
        <w:pStyle w:val="Heading3"/>
      </w:pPr>
      <w:bookmarkStart w:id="48" w:name="_Toc247691532"/>
      <w:bookmarkStart w:id="49" w:name="_Toc314842516"/>
      <w:bookmarkStart w:id="50" w:name="_Toc47353835"/>
      <w:bookmarkEnd w:id="29"/>
      <w:bookmarkEnd w:id="45"/>
      <w:bookmarkEnd w:id="46"/>
      <w:r>
        <w:t>Outcome</w:t>
      </w:r>
      <w:bookmarkEnd w:id="48"/>
      <w:bookmarkEnd w:id="49"/>
      <w:bookmarkEnd w:id="50"/>
    </w:p>
    <w:p w14:paraId="1FE5245D" w14:textId="1F3A5F64" w:rsidR="00D23139" w:rsidRPr="00D23139" w:rsidRDefault="00D23139" w:rsidP="00D23139">
      <w:bookmarkStart w:id="51" w:name="_Toc247691533"/>
      <w:bookmarkStart w:id="52" w:name="_Toc314842517"/>
      <w:r w:rsidRPr="00D23139">
        <w:t xml:space="preserve">Based on a review of quality, safety and efficacy, </w:t>
      </w:r>
      <w:r w:rsidR="0029512F">
        <w:t xml:space="preserve">the </w:t>
      </w:r>
      <w:r w:rsidRPr="00D23139">
        <w:t xml:space="preserve">TGA approved the registration of </w:t>
      </w:r>
      <w:proofErr w:type="spellStart"/>
      <w:r w:rsidR="002E158A">
        <w:t>Fostair</w:t>
      </w:r>
      <w:proofErr w:type="spellEnd"/>
      <w:r w:rsidR="002E158A">
        <w:t xml:space="preserve"> (100 µg </w:t>
      </w:r>
      <w:proofErr w:type="spellStart"/>
      <w:r w:rsidR="002E158A">
        <w:t>beclometasone</w:t>
      </w:r>
      <w:proofErr w:type="spellEnd"/>
      <w:r w:rsidR="002E158A">
        <w:t xml:space="preserve"> dipropionate and 6 µg </w:t>
      </w:r>
      <w:proofErr w:type="spellStart"/>
      <w:r w:rsidR="002E158A">
        <w:t>formoterol</w:t>
      </w:r>
      <w:proofErr w:type="spellEnd"/>
      <w:r w:rsidR="002E158A">
        <w:t xml:space="preserve"> (</w:t>
      </w:r>
      <w:proofErr w:type="spellStart"/>
      <w:r w:rsidR="002E158A">
        <w:t>eformoterol</w:t>
      </w:r>
      <w:proofErr w:type="spellEnd"/>
      <w:r w:rsidR="002E158A">
        <w:t>) fumarate dihydrate per actuation) pressurised inhalation solution</w:t>
      </w:r>
      <w:r w:rsidRPr="00D23139">
        <w:t>, indicated for:</w:t>
      </w:r>
    </w:p>
    <w:p w14:paraId="34B0CDD1" w14:textId="77777777" w:rsidR="00426CBA" w:rsidRPr="00426CBA" w:rsidRDefault="00426CBA" w:rsidP="00426CBA">
      <w:pPr>
        <w:ind w:left="720"/>
        <w:rPr>
          <w:rFonts w:eastAsia="MS Mincho"/>
          <w:i/>
          <w:lang w:eastAsia="ja-JP"/>
        </w:rPr>
      </w:pPr>
      <w:r w:rsidRPr="00426CBA">
        <w:rPr>
          <w:rFonts w:eastAsia="MS Mincho"/>
          <w:i/>
          <w:lang w:eastAsia="ja-JP"/>
        </w:rPr>
        <w:t>Asthma</w:t>
      </w:r>
    </w:p>
    <w:p w14:paraId="7DD49015" w14:textId="77777777" w:rsidR="00426CBA" w:rsidRPr="00426CBA" w:rsidRDefault="00426CBA" w:rsidP="00426CBA">
      <w:pPr>
        <w:ind w:left="720"/>
        <w:rPr>
          <w:rFonts w:eastAsia="MS Mincho"/>
          <w:i/>
          <w:lang w:eastAsia="ja-JP"/>
        </w:rPr>
      </w:pPr>
      <w:proofErr w:type="spellStart"/>
      <w:r w:rsidRPr="00426CBA">
        <w:rPr>
          <w:rFonts w:eastAsia="MS Mincho"/>
          <w:i/>
          <w:lang w:eastAsia="ja-JP"/>
        </w:rPr>
        <w:t>Fostair</w:t>
      </w:r>
      <w:proofErr w:type="spellEnd"/>
      <w:r w:rsidRPr="00426CBA">
        <w:rPr>
          <w:rFonts w:eastAsia="MS Mincho"/>
          <w:i/>
          <w:lang w:eastAsia="ja-JP"/>
        </w:rPr>
        <w:t xml:space="preserve"> is indicated in adults (18 years and older) in the regular treatment of asthma where use of a combination product (inhaled corticosteroid and long-acting beta2-agonist) is appropriate:</w:t>
      </w:r>
    </w:p>
    <w:p w14:paraId="5EA86891" w14:textId="77777777" w:rsidR="00426CBA" w:rsidRPr="00426CBA" w:rsidRDefault="00426CBA" w:rsidP="00426CBA">
      <w:pPr>
        <w:pStyle w:val="ListBullet"/>
        <w:numPr>
          <w:ilvl w:val="0"/>
          <w:numId w:val="3"/>
        </w:numPr>
        <w:ind w:left="1080"/>
        <w:rPr>
          <w:i/>
          <w:lang w:eastAsia="ja-JP"/>
        </w:rPr>
      </w:pPr>
      <w:r w:rsidRPr="00426CBA">
        <w:rPr>
          <w:i/>
          <w:lang w:eastAsia="ja-JP"/>
        </w:rPr>
        <w:t>patients not adequately controlled with inhaled corticosteroids (ICS) and 'as needed' inhaled rapid-acting beta2-agonist or</w:t>
      </w:r>
    </w:p>
    <w:p w14:paraId="7DC07516" w14:textId="77777777" w:rsidR="00426CBA" w:rsidRPr="00426CBA" w:rsidRDefault="00426CBA" w:rsidP="00426CBA">
      <w:pPr>
        <w:pStyle w:val="ListBullet"/>
        <w:numPr>
          <w:ilvl w:val="0"/>
          <w:numId w:val="3"/>
        </w:numPr>
        <w:ind w:left="1080"/>
        <w:rPr>
          <w:i/>
          <w:lang w:eastAsia="ja-JP"/>
        </w:rPr>
      </w:pPr>
      <w:r w:rsidRPr="00426CBA">
        <w:rPr>
          <w:i/>
          <w:lang w:eastAsia="ja-JP"/>
        </w:rPr>
        <w:t>patients already adequately controlled on both ICS and long-acting beta2-agonists (LABA).</w:t>
      </w:r>
    </w:p>
    <w:p w14:paraId="5B58DB34" w14:textId="77777777" w:rsidR="00426CBA" w:rsidRPr="00426CBA" w:rsidRDefault="00426CBA" w:rsidP="00426CBA">
      <w:pPr>
        <w:ind w:left="720"/>
        <w:rPr>
          <w:rFonts w:eastAsia="MS Mincho"/>
          <w:i/>
          <w:lang w:eastAsia="ja-JP"/>
        </w:rPr>
      </w:pPr>
      <w:r w:rsidRPr="00426CBA">
        <w:rPr>
          <w:rFonts w:eastAsia="MS Mincho"/>
          <w:i/>
          <w:lang w:eastAsia="ja-JP"/>
        </w:rPr>
        <w:t>COPD</w:t>
      </w:r>
    </w:p>
    <w:p w14:paraId="7ADE50CC" w14:textId="77777777" w:rsidR="00D23139" w:rsidRPr="00D23139" w:rsidRDefault="00426CBA" w:rsidP="001F37E0">
      <w:pPr>
        <w:ind w:left="720"/>
      </w:pPr>
      <w:r w:rsidRPr="00426CBA">
        <w:rPr>
          <w:rFonts w:eastAsia="MS Mincho"/>
          <w:i/>
          <w:lang w:eastAsia="ja-JP"/>
        </w:rPr>
        <w:t>Symptomatic treatment of adults with severe COPD (FEV1 &lt; 50% predicted normal) and a history of repeated exacerbations, who have significant symptoms despite regular therapy with long-acting bronchodilators.</w:t>
      </w:r>
    </w:p>
    <w:p w14:paraId="3DCEAC6D" w14:textId="77777777" w:rsidR="00D23139" w:rsidRPr="00D23139" w:rsidRDefault="00D23139" w:rsidP="00D23139">
      <w:pPr>
        <w:pStyle w:val="Heading4"/>
      </w:pPr>
      <w:r w:rsidRPr="00D23139">
        <w:t>Specific conditions of registration applying to these goods</w:t>
      </w:r>
    </w:p>
    <w:p w14:paraId="3CB9B76D" w14:textId="77777777" w:rsidR="009752A5" w:rsidRDefault="005E66D6" w:rsidP="009752A5">
      <w:r>
        <w:t xml:space="preserve">This approval does not impose any requirement for the submission of Periodic Safety Update reports. </w:t>
      </w:r>
      <w:r w:rsidR="003317BC">
        <w:t>The sponsor</w:t>
      </w:r>
      <w:r>
        <w:t xml:space="preserve"> should note that it is a requirement that all existing </w:t>
      </w:r>
      <w:r>
        <w:lastRenderedPageBreak/>
        <w:t>requirements for the submission of PSURs as a consequence of the initial registration or subsequent changes must be completed.</w:t>
      </w:r>
    </w:p>
    <w:p w14:paraId="3BBEA4AB" w14:textId="77777777" w:rsidR="008E7846" w:rsidRDefault="00A80B5B" w:rsidP="00D23139">
      <w:pPr>
        <w:pStyle w:val="Heading2"/>
      </w:pPr>
      <w:bookmarkStart w:id="53" w:name="_Toc47353836"/>
      <w:r>
        <w:t xml:space="preserve">Attachment 1. </w:t>
      </w:r>
      <w:r w:rsidR="008E7846">
        <w:t xml:space="preserve">Product </w:t>
      </w:r>
      <w:r w:rsidR="00AA0ED0">
        <w:t>I</w:t>
      </w:r>
      <w:r w:rsidR="008E7846">
        <w:t>nformation</w:t>
      </w:r>
      <w:bookmarkEnd w:id="51"/>
      <w:bookmarkEnd w:id="52"/>
      <w:bookmarkEnd w:id="53"/>
    </w:p>
    <w:p w14:paraId="1BC00652" w14:textId="251A1C2A" w:rsidR="00C80137" w:rsidRDefault="006136D7" w:rsidP="00C80137">
      <w:pPr>
        <w:rPr>
          <w:color w:val="000000"/>
          <w:lang w:eastAsia="en-AU"/>
        </w:rPr>
      </w:pPr>
      <w:r w:rsidRPr="002B3624">
        <w:t xml:space="preserve">The </w:t>
      </w:r>
      <w:r>
        <w:t>PI</w:t>
      </w:r>
      <w:r w:rsidRPr="002B3624">
        <w:t xml:space="preserve"> for </w:t>
      </w:r>
      <w:proofErr w:type="spellStart"/>
      <w:r w:rsidR="005E66D6">
        <w:t>Fostair</w:t>
      </w:r>
      <w:proofErr w:type="spellEnd"/>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7" w:history="1">
        <w:r w:rsidR="007C6B9B" w:rsidRPr="007C6B9B">
          <w:rPr>
            <w:rStyle w:val="Hyperlink"/>
          </w:rPr>
          <w:t>https://www.tga.gov.au/product-information-pi</w:t>
        </w:r>
      </w:hyperlink>
      <w:r w:rsidR="005E66D6">
        <w:t>&gt;.</w:t>
      </w:r>
    </w:p>
    <w:p w14:paraId="30BF353B" w14:textId="77777777" w:rsidR="00291957" w:rsidRDefault="00291957" w:rsidP="00FD34D2">
      <w:pPr>
        <w:autoSpaceDE w:val="0"/>
        <w:autoSpaceDN w:val="0"/>
        <w:adjustRightInd w:val="0"/>
        <w:spacing w:after="0"/>
        <w:rPr>
          <w:lang w:eastAsia="ja-JP"/>
        </w:rPr>
      </w:pPr>
    </w:p>
    <w:p w14:paraId="3269F02D" w14:textId="77777777" w:rsidR="00C80137" w:rsidRPr="001D043B" w:rsidRDefault="00C80137" w:rsidP="003A7F6C">
      <w:pPr>
        <w:pStyle w:val="TableTitle"/>
        <w:sectPr w:rsidR="00C80137" w:rsidRPr="001D043B" w:rsidSect="00B452CE">
          <w:headerReference w:type="even" r:id="rId28"/>
          <w:headerReference w:type="default" r:id="rId29"/>
          <w:headerReference w:type="first" r:id="rId30"/>
          <w:footerReference w:type="first" r:id="rId3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3367DEE6" w14:textId="77777777" w:rsidTr="00A05FA4">
        <w:trPr>
          <w:trHeight w:hRule="exact" w:val="704"/>
        </w:trPr>
        <w:tc>
          <w:tcPr>
            <w:tcW w:w="9175" w:type="dxa"/>
          </w:tcPr>
          <w:p w14:paraId="252FBCBA" w14:textId="77777777" w:rsidR="001C32CD" w:rsidRPr="00487162" w:rsidRDefault="001C32CD" w:rsidP="00A05FA4">
            <w:pPr>
              <w:pStyle w:val="TGASignoff"/>
            </w:pPr>
            <w:r w:rsidRPr="00487162">
              <w:lastRenderedPageBreak/>
              <w:t>Therapeutic Goods Administration</w:t>
            </w:r>
          </w:p>
        </w:tc>
      </w:tr>
      <w:tr w:rsidR="001C32CD" w:rsidRPr="004C239D" w14:paraId="5D1D8CC1" w14:textId="77777777" w:rsidTr="00A05FA4">
        <w:trPr>
          <w:trHeight w:val="1221"/>
        </w:trPr>
        <w:tc>
          <w:tcPr>
            <w:tcW w:w="9175" w:type="dxa"/>
            <w:tcMar>
              <w:top w:w="28" w:type="dxa"/>
            </w:tcMar>
          </w:tcPr>
          <w:p w14:paraId="32DEE14A" w14:textId="77777777" w:rsidR="001C32CD" w:rsidRPr="00487162" w:rsidRDefault="001C32CD" w:rsidP="00A05FA4">
            <w:pPr>
              <w:pStyle w:val="Address"/>
            </w:pPr>
            <w:r w:rsidRPr="00487162">
              <w:t>PO Box 100 Woden ACT 2606 Australia</w:t>
            </w:r>
          </w:p>
          <w:p w14:paraId="2B75B584" w14:textId="75B72EB4" w:rsidR="001C32CD" w:rsidRPr="00487162" w:rsidRDefault="001C32CD" w:rsidP="00A05FA4">
            <w:pPr>
              <w:pStyle w:val="Address"/>
            </w:pPr>
            <w:r w:rsidRPr="00487162">
              <w:t xml:space="preserve">Email: </w:t>
            </w:r>
            <w:hyperlink r:id="rId32" w:history="1">
              <w:r w:rsidRPr="004C239D">
                <w:rPr>
                  <w:rStyle w:val="Hyperlink"/>
                </w:rPr>
                <w:t>info@tga.gov.au</w:t>
              </w:r>
            </w:hyperlink>
            <w:r w:rsidRPr="00487162">
              <w:t xml:space="preserve">  Phone: 1800 020 653  Fax: 02 6232 8605</w:t>
            </w:r>
          </w:p>
          <w:p w14:paraId="5DC1566D" w14:textId="0F87991E" w:rsidR="001C32CD" w:rsidRPr="004C239D" w:rsidRDefault="00905B74" w:rsidP="00A05FA4">
            <w:pPr>
              <w:pStyle w:val="Address"/>
              <w:spacing w:line="260" w:lineRule="atLeast"/>
              <w:rPr>
                <w:b/>
                <w:color w:val="0000FF"/>
                <w:u w:val="single"/>
              </w:rPr>
            </w:pPr>
            <w:hyperlink r:id="rId33" w:history="1">
              <w:r w:rsidR="007C6B9B" w:rsidRPr="007C6B9B">
                <w:rPr>
                  <w:rStyle w:val="Hyperlink"/>
                  <w:b/>
                </w:rPr>
                <w:t>https://www.tga.gov.au</w:t>
              </w:r>
            </w:hyperlink>
          </w:p>
        </w:tc>
      </w:tr>
    </w:tbl>
    <w:p w14:paraId="51ADBD4D" w14:textId="77777777" w:rsidR="00774E1D" w:rsidRPr="008A5E0B" w:rsidRDefault="00774E1D" w:rsidP="004C239D"/>
    <w:sectPr w:rsidR="00774E1D" w:rsidRPr="008A5E0B" w:rsidSect="001C32CD">
      <w:headerReference w:type="even" r:id="rId34"/>
      <w:headerReference w:type="default" r:id="rId35"/>
      <w:footerReference w:type="default" r:id="rId36"/>
      <w:headerReference w:type="first" r:id="rId37"/>
      <w:footerReference w:type="first" r:id="rId38"/>
      <w:pgSz w:w="11906" w:h="16838" w:code="9"/>
      <w:pgMar w:top="13467" w:right="1701" w:bottom="426" w:left="1701" w:header="90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0EE1EC" w16cid:durableId="226EB2BB"/>
  <w16cid:commentId w16cid:paraId="15DF0176" w16cid:durableId="226D27E0"/>
  <w16cid:commentId w16cid:paraId="65914458" w16cid:durableId="226E929A"/>
  <w16cid:commentId w16cid:paraId="4567F0E9" w16cid:durableId="226EB359"/>
  <w16cid:commentId w16cid:paraId="06805DD7" w16cid:durableId="226E93AD"/>
  <w16cid:commentId w16cid:paraId="2AA43F35" w16cid:durableId="226E9406"/>
  <w16cid:commentId w16cid:paraId="7085FD7B" w16cid:durableId="226EB568"/>
  <w16cid:commentId w16cid:paraId="31E7E9C6" w16cid:durableId="226E7147"/>
  <w16cid:commentId w16cid:paraId="628B2664" w16cid:durableId="226E94CD"/>
  <w16cid:commentId w16cid:paraId="74276E94" w16cid:durableId="226D0549"/>
  <w16cid:commentId w16cid:paraId="4F24664E" w16cid:durableId="226E9AA8"/>
  <w16cid:commentId w16cid:paraId="44E4B882" w16cid:durableId="226EB14B"/>
  <w16cid:commentId w16cid:paraId="79256318" w16cid:durableId="226EB159"/>
  <w16cid:commentId w16cid:paraId="08FE78E3" w16cid:durableId="226EB2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935EC" w14:textId="77777777" w:rsidR="00905B74" w:rsidRDefault="00905B74" w:rsidP="00C40A36">
      <w:pPr>
        <w:spacing w:after="0"/>
      </w:pPr>
      <w:r>
        <w:separator/>
      </w:r>
    </w:p>
  </w:endnote>
  <w:endnote w:type="continuationSeparator" w:id="0">
    <w:p w14:paraId="4CBEEB45" w14:textId="77777777" w:rsidR="00905B74" w:rsidRDefault="00905B7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Yu Gothic"/>
    <w:panose1 w:val="00000000000000000000"/>
    <w:charset w:val="00"/>
    <w:family w:val="roman"/>
    <w:notTrueType/>
    <w:pitch w:val="default"/>
    <w:sig w:usb0="00000000" w:usb1="09060000" w:usb2="00000010" w:usb3="00000000" w:csb0="00080001" w:csb1="00000000"/>
  </w:font>
  <w:font w:name="TimesNewRoman">
    <w:altName w:val="Yu Gothic UI"/>
    <w:panose1 w:val="00000000000000000000"/>
    <w:charset w:val="A1"/>
    <w:family w:val="auto"/>
    <w:notTrueType/>
    <w:pitch w:val="default"/>
    <w:sig w:usb0="00000083" w:usb1="08070000" w:usb2="00000010" w:usb3="00000000" w:csb0="00020009" w:csb1="00000000"/>
  </w:font>
  <w:font w:name="Wingdings 3">
    <w:panose1 w:val="05040102010807070707"/>
    <w:charset w:val="02"/>
    <w:family w:val="roman"/>
    <w:pitch w:val="variable"/>
    <w:sig w:usb0="00000000" w:usb1="10000000" w:usb2="00000000" w:usb3="00000000" w:csb0="80000000"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F47C6" w14:textId="77777777" w:rsidR="00905B74" w:rsidRDefault="00905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905B74" w:rsidRPr="00487162" w14:paraId="4F6A141B" w14:textId="77777777" w:rsidTr="00DB750B">
      <w:trPr>
        <w:trHeight w:val="269"/>
      </w:trPr>
      <w:tc>
        <w:tcPr>
          <w:tcW w:w="7371" w:type="dxa"/>
          <w:tcMar>
            <w:top w:w="142" w:type="dxa"/>
            <w:bottom w:w="0" w:type="dxa"/>
          </w:tcMar>
        </w:tcPr>
        <w:p w14:paraId="0DD555BC" w14:textId="4EA31F7B" w:rsidR="00905B74" w:rsidRPr="00487162" w:rsidRDefault="00905B74" w:rsidP="009C4D36">
          <w:pPr>
            <w:pStyle w:val="Footer"/>
          </w:pPr>
          <w:r w:rsidRPr="00487162">
            <w:t>AusPA</w:t>
          </w:r>
          <w:r>
            <w:t xml:space="preserve">R - </w:t>
          </w:r>
          <w:r w:rsidRPr="004851FE">
            <w:t xml:space="preserve">FOSTAIR - </w:t>
          </w:r>
          <w:proofErr w:type="spellStart"/>
          <w:r w:rsidRPr="004851FE">
            <w:t>beclometasone</w:t>
          </w:r>
          <w:proofErr w:type="spellEnd"/>
          <w:r w:rsidRPr="004851FE">
            <w:t xml:space="preserve"> dip</w:t>
          </w:r>
          <w:r>
            <w:t>ropionate/</w:t>
          </w:r>
          <w:proofErr w:type="spellStart"/>
          <w:r>
            <w:t>formoterol</w:t>
          </w:r>
          <w:proofErr w:type="spellEnd"/>
          <w:r>
            <w:t xml:space="preserve"> fumarate di</w:t>
          </w:r>
          <w:r w:rsidRPr="004851FE">
            <w:t xml:space="preserve">hydrate - </w:t>
          </w:r>
          <w:proofErr w:type="spellStart"/>
          <w:r>
            <w:t>Chiesi</w:t>
          </w:r>
          <w:proofErr w:type="spellEnd"/>
          <w:r>
            <w:t xml:space="preserve"> Australia Pty Ltd</w:t>
          </w:r>
          <w:r w:rsidRPr="004851FE">
            <w:t xml:space="preserve"> - PM-2018-03998-1-5</w:t>
          </w:r>
          <w:r>
            <w:br/>
            <w:t>FINAL 7 July 2020</w:t>
          </w:r>
        </w:p>
      </w:tc>
      <w:tc>
        <w:tcPr>
          <w:tcW w:w="1490" w:type="dxa"/>
          <w:tcMar>
            <w:top w:w="142" w:type="dxa"/>
            <w:bottom w:w="0" w:type="dxa"/>
          </w:tcMar>
        </w:tcPr>
        <w:p w14:paraId="4C46B3BC" w14:textId="60DC904C" w:rsidR="00905B74" w:rsidRPr="00487162" w:rsidRDefault="00905B74" w:rsidP="00DB750B">
          <w:pPr>
            <w:pStyle w:val="Footer"/>
            <w:jc w:val="right"/>
          </w:pPr>
          <w:r w:rsidRPr="00487162">
            <w:t xml:space="preserve">Page </w:t>
          </w:r>
          <w:r>
            <w:fldChar w:fldCharType="begin"/>
          </w:r>
          <w:r>
            <w:instrText xml:space="preserve"> PAGE  \* Arabic </w:instrText>
          </w:r>
          <w:r>
            <w:fldChar w:fldCharType="separate"/>
          </w:r>
          <w:r w:rsidR="009F669C">
            <w:rPr>
              <w:noProof/>
            </w:rPr>
            <w:t>3</w:t>
          </w:r>
          <w:r>
            <w:fldChar w:fldCharType="end"/>
          </w:r>
          <w:r w:rsidRPr="00487162">
            <w:t xml:space="preserve"> of </w:t>
          </w:r>
          <w:r>
            <w:rPr>
              <w:noProof/>
            </w:rPr>
            <w:fldChar w:fldCharType="begin"/>
          </w:r>
          <w:r>
            <w:rPr>
              <w:noProof/>
            </w:rPr>
            <w:instrText xml:space="preserve"> NUMPAGES  \* Arabic </w:instrText>
          </w:r>
          <w:r>
            <w:rPr>
              <w:noProof/>
            </w:rPr>
            <w:fldChar w:fldCharType="separate"/>
          </w:r>
          <w:r w:rsidR="009F669C">
            <w:rPr>
              <w:noProof/>
            </w:rPr>
            <w:t>26</w:t>
          </w:r>
          <w:r>
            <w:rPr>
              <w:noProof/>
            </w:rPr>
            <w:fldChar w:fldCharType="end"/>
          </w:r>
        </w:p>
      </w:tc>
    </w:tr>
  </w:tbl>
  <w:p w14:paraId="33921D5C" w14:textId="77777777" w:rsidR="00905B74" w:rsidRDefault="00905B74"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B5AE3" w14:textId="77777777" w:rsidR="00905B74" w:rsidRDefault="00905B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905B74" w:rsidRPr="00487162" w14:paraId="60BD3B24" w14:textId="77777777" w:rsidTr="00E45619">
      <w:trPr>
        <w:trHeight w:val="269"/>
      </w:trPr>
      <w:tc>
        <w:tcPr>
          <w:tcW w:w="4519" w:type="dxa"/>
          <w:tcBorders>
            <w:top w:val="single" w:sz="4" w:space="0" w:color="auto"/>
          </w:tcBorders>
          <w:tcMar>
            <w:top w:w="142" w:type="dxa"/>
            <w:bottom w:w="0" w:type="dxa"/>
          </w:tcMar>
        </w:tcPr>
        <w:p w14:paraId="49052A9C" w14:textId="77777777" w:rsidR="00905B74" w:rsidRPr="00487162" w:rsidRDefault="00905B74" w:rsidP="00FE1DEE">
          <w:pPr>
            <w:pStyle w:val="Footer"/>
          </w:pPr>
          <w:r w:rsidRPr="00487162">
            <w:t>Document title, Part #, Section # - Section title</w:t>
          </w:r>
        </w:p>
        <w:p w14:paraId="66406D26" w14:textId="77777777" w:rsidR="00905B74" w:rsidRPr="00487162" w:rsidRDefault="00905B74" w:rsidP="00FE1DEE">
          <w:pPr>
            <w:pStyle w:val="Footer"/>
          </w:pPr>
          <w:r w:rsidRPr="00487162">
            <w:t>V1.0 October 2010</w:t>
          </w:r>
        </w:p>
      </w:tc>
      <w:tc>
        <w:tcPr>
          <w:tcW w:w="4342" w:type="dxa"/>
          <w:tcBorders>
            <w:top w:val="single" w:sz="4" w:space="0" w:color="auto"/>
          </w:tcBorders>
          <w:tcMar>
            <w:top w:w="142" w:type="dxa"/>
            <w:bottom w:w="0" w:type="dxa"/>
          </w:tcMar>
        </w:tcPr>
        <w:p w14:paraId="50A839C6" w14:textId="77777777" w:rsidR="00905B74" w:rsidRPr="00487162" w:rsidRDefault="00905B74"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Pr>
              <w:noProof/>
            </w:rPr>
            <w:fldChar w:fldCharType="begin"/>
          </w:r>
          <w:r>
            <w:rPr>
              <w:noProof/>
            </w:rPr>
            <w:instrText xml:space="preserve"> NUMPAGES  </w:instrText>
          </w:r>
          <w:r>
            <w:rPr>
              <w:noProof/>
            </w:rPr>
            <w:fldChar w:fldCharType="separate"/>
          </w:r>
          <w:r>
            <w:rPr>
              <w:noProof/>
            </w:rPr>
            <w:t>3</w:t>
          </w:r>
          <w:r>
            <w:rPr>
              <w:noProof/>
            </w:rPr>
            <w:fldChar w:fldCharType="end"/>
          </w:r>
        </w:p>
      </w:tc>
    </w:tr>
  </w:tbl>
  <w:p w14:paraId="5692C897" w14:textId="77777777" w:rsidR="00905B74" w:rsidRDefault="00905B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2B2F" w14:textId="77777777" w:rsidR="00905B74" w:rsidRPr="001C32CD" w:rsidRDefault="00905B74"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905B74" w14:paraId="623FB70B" w14:textId="77777777" w:rsidTr="0010601F">
      <w:trPr>
        <w:trHeight w:val="108"/>
      </w:trPr>
      <w:tc>
        <w:tcPr>
          <w:tcW w:w="8875" w:type="dxa"/>
          <w:gridSpan w:val="2"/>
          <w:tcBorders>
            <w:bottom w:val="single" w:sz="4" w:space="0" w:color="auto"/>
          </w:tcBorders>
          <w:tcMar>
            <w:right w:w="284" w:type="dxa"/>
          </w:tcMar>
        </w:tcPr>
        <w:p w14:paraId="6E418C00" w14:textId="77777777" w:rsidR="00905B74" w:rsidRDefault="00905B74" w:rsidP="006E08B3">
          <w:pPr>
            <w:pStyle w:val="Heading3"/>
          </w:pPr>
          <w:r>
            <w:t>Copyright</w:t>
          </w:r>
        </w:p>
        <w:p w14:paraId="63A4E125" w14:textId="77777777" w:rsidR="00905B74" w:rsidRDefault="00905B74" w:rsidP="006E08B3">
          <w:r>
            <w:rPr>
              <w:rFonts w:cs="Arial"/>
            </w:rPr>
            <w:t>©</w:t>
          </w:r>
          <w:r>
            <w:t xml:space="preserve"> Commonwealth of Australia [add year]</w:t>
          </w:r>
        </w:p>
        <w:p w14:paraId="475E401A" w14:textId="77777777" w:rsidR="00905B74" w:rsidRDefault="00905B74" w:rsidP="006E08B3"/>
        <w:p w14:paraId="05CE025C" w14:textId="77777777" w:rsidR="00905B74" w:rsidRDefault="00905B7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B3D3FE3" w14:textId="77777777" w:rsidR="00905B74" w:rsidRDefault="00905B74" w:rsidP="006E08B3"/>
        <w:p w14:paraId="07C8D7B6" w14:textId="77777777" w:rsidR="00905B74" w:rsidRDefault="00905B74" w:rsidP="006E08B3">
          <w:pPr>
            <w:pStyle w:val="Heading3"/>
          </w:pPr>
          <w:r>
            <w:t>Confidentiality</w:t>
          </w:r>
        </w:p>
        <w:p w14:paraId="3F081857" w14:textId="77777777" w:rsidR="00905B74" w:rsidRDefault="00905B7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349A966D" w14:textId="77777777" w:rsidR="00905B74" w:rsidRDefault="00905B74" w:rsidP="006E08B3"/>
        <w:p w14:paraId="29899EC1" w14:textId="77777777" w:rsidR="00905B74" w:rsidRDefault="00905B74" w:rsidP="006E08B3">
          <w:r>
            <w:t>For submission made by individuals, all personal details, other than your name, will be removed from your submission before it is published on the TGA’s Internet site.</w:t>
          </w:r>
        </w:p>
        <w:p w14:paraId="1F9C0CB6" w14:textId="77777777" w:rsidR="00905B74" w:rsidRDefault="00905B74" w:rsidP="006E08B3"/>
        <w:p w14:paraId="40A0573E" w14:textId="77777777" w:rsidR="00905B74" w:rsidRDefault="00905B74"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905B74" w14:paraId="6EC092AA" w14:textId="77777777" w:rsidTr="0010601F">
      <w:trPr>
        <w:trHeight w:val="417"/>
      </w:trPr>
      <w:tc>
        <w:tcPr>
          <w:tcW w:w="4519" w:type="dxa"/>
          <w:tcBorders>
            <w:top w:val="single" w:sz="4" w:space="0" w:color="auto"/>
          </w:tcBorders>
          <w:tcMar>
            <w:top w:w="142" w:type="dxa"/>
            <w:bottom w:w="0" w:type="dxa"/>
          </w:tcMar>
        </w:tcPr>
        <w:p w14:paraId="415E12D0" w14:textId="77777777" w:rsidR="00905B74" w:rsidRDefault="00905B74" w:rsidP="006E08B3">
          <w:r>
            <w:t>Document title, Part #, Section # - Section title</w:t>
          </w:r>
        </w:p>
        <w:p w14:paraId="51048C07" w14:textId="77777777" w:rsidR="00905B74" w:rsidRDefault="00905B74" w:rsidP="006E08B3">
          <w:r>
            <w:t>V1.0 October 2010</w:t>
          </w:r>
        </w:p>
      </w:tc>
      <w:tc>
        <w:tcPr>
          <w:tcW w:w="4356" w:type="dxa"/>
          <w:tcBorders>
            <w:top w:val="single" w:sz="4" w:space="0" w:color="auto"/>
          </w:tcBorders>
          <w:tcMar>
            <w:top w:w="142" w:type="dxa"/>
            <w:bottom w:w="0" w:type="dxa"/>
          </w:tcMar>
        </w:tcPr>
        <w:p w14:paraId="367CD9E9" w14:textId="77777777" w:rsidR="00905B74" w:rsidRDefault="00905B74"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Pr>
              <w:noProof/>
            </w:rPr>
            <w:fldChar w:fldCharType="begin"/>
          </w:r>
          <w:r>
            <w:rPr>
              <w:noProof/>
            </w:rPr>
            <w:instrText xml:space="preserve"> NUMPAGES  \* Arabic </w:instrText>
          </w:r>
          <w:r>
            <w:rPr>
              <w:noProof/>
            </w:rPr>
            <w:fldChar w:fldCharType="separate"/>
          </w:r>
          <w:r>
            <w:rPr>
              <w:noProof/>
            </w:rPr>
            <w:t>3</w:t>
          </w:r>
          <w:r>
            <w:rPr>
              <w:noProof/>
            </w:rPr>
            <w:fldChar w:fldCharType="end"/>
          </w:r>
          <w:r>
            <w:t xml:space="preserve">  </w:t>
          </w:r>
        </w:p>
      </w:tc>
    </w:tr>
  </w:tbl>
  <w:p w14:paraId="6CC7677C" w14:textId="77777777" w:rsidR="00905B74" w:rsidRDefault="00905B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224CD" w14:textId="77777777" w:rsidR="00905B74" w:rsidRDefault="00905B74" w:rsidP="00C40A36">
      <w:pPr>
        <w:spacing w:after="0"/>
      </w:pPr>
      <w:r>
        <w:separator/>
      </w:r>
    </w:p>
  </w:footnote>
  <w:footnote w:type="continuationSeparator" w:id="0">
    <w:p w14:paraId="40DAF36C" w14:textId="77777777" w:rsidR="00905B74" w:rsidRDefault="00905B74" w:rsidP="00C40A36">
      <w:pPr>
        <w:spacing w:after="0"/>
      </w:pPr>
      <w:r>
        <w:continuationSeparator/>
      </w:r>
    </w:p>
  </w:footnote>
  <w:footnote w:id="1">
    <w:p w14:paraId="232F2FA8" w14:textId="77777777" w:rsidR="00905B74" w:rsidRDefault="00905B74" w:rsidP="009C4D36">
      <w:pPr>
        <w:pStyle w:val="FootnoteText"/>
      </w:pPr>
      <w:r>
        <w:rPr>
          <w:rStyle w:val="FootnoteReference"/>
        </w:rPr>
        <w:footnoteRef/>
      </w:r>
      <w:r>
        <w:t xml:space="preserve"> World Health Organization, Fact sheet on COPD. Available from the WHO website. Last updated 1 December</w:t>
      </w:r>
      <w:r w:rsidRPr="00995E5E">
        <w:t xml:space="preserve"> 2017</w:t>
      </w:r>
    </w:p>
  </w:footnote>
  <w:footnote w:id="2">
    <w:p w14:paraId="113D3EDF" w14:textId="77777777" w:rsidR="00905B74" w:rsidRDefault="00905B74" w:rsidP="00827EDF">
      <w:pPr>
        <w:pStyle w:val="FootnoteText"/>
      </w:pPr>
      <w:r>
        <w:rPr>
          <w:rStyle w:val="FootnoteReference"/>
        </w:rPr>
        <w:footnoteRef/>
      </w:r>
      <w:r>
        <w:t xml:space="preserve"> World Health Organization, Fact sheet on Asthma. Available from the WHO website. Last updated </w:t>
      </w:r>
      <w:r w:rsidRPr="00995E5E">
        <w:t>31 August 2017</w:t>
      </w:r>
    </w:p>
  </w:footnote>
  <w:footnote w:id="3">
    <w:p w14:paraId="1CCB80AD" w14:textId="77777777" w:rsidR="00905B74" w:rsidRPr="00D60E71" w:rsidRDefault="00905B74">
      <w:pPr>
        <w:pStyle w:val="FootnoteText"/>
        <w:rPr>
          <w:lang w:val="pt-BR"/>
        </w:rPr>
      </w:pPr>
      <w:r>
        <w:rPr>
          <w:rStyle w:val="FootnoteReference"/>
        </w:rPr>
        <w:footnoteRef/>
      </w:r>
      <w:r>
        <w:t xml:space="preserve"> </w:t>
      </w:r>
      <w:r w:rsidRPr="00D463A3">
        <w:t xml:space="preserve">Australian Institute of Health and Welfare 2019. </w:t>
      </w:r>
      <w:r w:rsidRPr="00D60E71">
        <w:rPr>
          <w:lang w:val="pt-BR"/>
        </w:rPr>
        <w:t>Asthma. Cat. no. ACM 33. Canberra: AIHW.</w:t>
      </w:r>
    </w:p>
  </w:footnote>
  <w:footnote w:id="4">
    <w:p w14:paraId="461438D3" w14:textId="77777777" w:rsidR="00905B74" w:rsidRPr="00D60E71" w:rsidRDefault="00905B74">
      <w:pPr>
        <w:pStyle w:val="FootnoteText"/>
        <w:rPr>
          <w:lang w:val="fr-FR"/>
        </w:rPr>
      </w:pPr>
      <w:r>
        <w:rPr>
          <w:rStyle w:val="FootnoteReference"/>
        </w:rPr>
        <w:footnoteRef/>
      </w:r>
      <w:r>
        <w:t xml:space="preserve"> </w:t>
      </w:r>
      <w:r w:rsidRPr="00AA612F">
        <w:t xml:space="preserve">Australian Institute of Health and Welfare 2019. Chronic obstructive pulmonary disease (COPD). </w:t>
      </w:r>
      <w:r w:rsidRPr="00D60E71">
        <w:rPr>
          <w:lang w:val="fr-FR"/>
        </w:rPr>
        <w:t>Cat. no. ACM 35. Canberra: AIHW.</w:t>
      </w:r>
    </w:p>
  </w:footnote>
  <w:footnote w:id="5">
    <w:p w14:paraId="10D4D78A" w14:textId="77777777" w:rsidR="00905B74" w:rsidRDefault="00905B74">
      <w:pPr>
        <w:pStyle w:val="FootnoteText"/>
      </w:pPr>
      <w:r>
        <w:rPr>
          <w:rStyle w:val="FootnoteReference"/>
        </w:rPr>
        <w:footnoteRef/>
      </w:r>
      <w:r w:rsidRPr="00D60E71">
        <w:rPr>
          <w:lang w:val="fr-FR"/>
        </w:rPr>
        <w:t xml:space="preserve"> Papi, A., et al., </w:t>
      </w:r>
      <w:proofErr w:type="spellStart"/>
      <w:r w:rsidRPr="00D60E71">
        <w:rPr>
          <w:lang w:val="fr-FR"/>
        </w:rPr>
        <w:t>Asthma</w:t>
      </w:r>
      <w:proofErr w:type="spellEnd"/>
      <w:r w:rsidRPr="00D60E71">
        <w:rPr>
          <w:lang w:val="fr-FR"/>
        </w:rPr>
        <w:t xml:space="preserve">. </w:t>
      </w:r>
      <w:r w:rsidRPr="00D60E71">
        <w:rPr>
          <w:i/>
          <w:lang w:val="fr-FR"/>
        </w:rPr>
        <w:t>Lancet</w:t>
      </w:r>
      <w:r w:rsidRPr="00D60E71">
        <w:rPr>
          <w:lang w:val="fr-FR"/>
        </w:rPr>
        <w:t xml:space="preserve">, 2018. </w:t>
      </w:r>
      <w:r>
        <w:t xml:space="preserve">391(10122): </w:t>
      </w:r>
      <w:r w:rsidRPr="00D463A3">
        <w:t>783-800.</w:t>
      </w:r>
    </w:p>
  </w:footnote>
  <w:footnote w:id="6">
    <w:p w14:paraId="505D774A" w14:textId="11F113B9" w:rsidR="00905B74" w:rsidRDefault="00905B74">
      <w:pPr>
        <w:pStyle w:val="FootnoteText"/>
      </w:pPr>
      <w:r>
        <w:rPr>
          <w:rStyle w:val="FootnoteReference"/>
        </w:rPr>
        <w:footnoteRef/>
      </w:r>
      <w:r>
        <w:t xml:space="preserve"> Global Initiative for Asthma (GINA). Global Strategy for Asthma Management and Prevention, 2018. Available from: ginaasthma.org.</w:t>
      </w:r>
    </w:p>
    <w:p w14:paraId="688E5CD2" w14:textId="110913CC" w:rsidR="00905B74" w:rsidRDefault="00905B74">
      <w:pPr>
        <w:pStyle w:val="FootnoteText"/>
      </w:pPr>
      <w:r w:rsidRPr="00357367">
        <w:t xml:space="preserve">The Global Initiative for Asthma (GINA) was established by the World Health Organization and the National Heart Lung and Blood Institute </w:t>
      </w:r>
      <w:r>
        <w:t xml:space="preserve">(USA) </w:t>
      </w:r>
      <w:r w:rsidRPr="00357367">
        <w:t>in 1993, to increase awareness about asthma among health professionals, public health authorities and the community, and to improve asthma prevention and management through a coordinated worldwide effort. GINA prepares scientific reports on asthma, encourages dissemination and implementation of the recommendations, and promotes international collaboration on asthma research.</w:t>
      </w:r>
    </w:p>
  </w:footnote>
  <w:footnote w:id="7">
    <w:p w14:paraId="2CB62787" w14:textId="73DD3D1E" w:rsidR="00905B74" w:rsidRDefault="00905B74" w:rsidP="00D463A3">
      <w:pPr>
        <w:pStyle w:val="FootnoteText"/>
      </w:pPr>
      <w:r>
        <w:rPr>
          <w:rStyle w:val="FootnoteReference"/>
        </w:rPr>
        <w:footnoteRef/>
      </w:r>
      <w:r>
        <w:t xml:space="preserve"> Global Initiative for Chronic Obstructive Lung Disease (GOLD), Pocket Guide to COPD Diagnosis, Management, And Prevention: A Guide for Health Care Professionals, 2017. Available from goldcopd.org.</w:t>
      </w:r>
    </w:p>
    <w:p w14:paraId="097E9419" w14:textId="66CAB895" w:rsidR="00905B74" w:rsidRDefault="00905B74" w:rsidP="00357367">
      <w:pPr>
        <w:pStyle w:val="FootnoteText"/>
      </w:pPr>
      <w:r>
        <w:t>The Global Initiative for Chronic Obstructive Lung Disease (GOLD) was launched in 1997 in collaboration with the National Heart, Lung, and Blood Institute, National Institutes of Health (USA) and the World Health Organization. GOLD’s program is determined and its guidelines for COPD care are shaped by committees made up of leading experts from around the world. GOLD</w:t>
      </w:r>
      <w:r w:rsidRPr="00357367">
        <w:t xml:space="preserve"> prepares scien</w:t>
      </w:r>
      <w:r>
        <w:t>tific reports on COPD</w:t>
      </w:r>
      <w:r w:rsidRPr="00357367">
        <w:t>, encourages dissemination and implementation of the recommendations, and promotes inter</w:t>
      </w:r>
      <w:r>
        <w:t>national collaboration on COPD</w:t>
      </w:r>
      <w:r w:rsidRPr="00357367">
        <w:t xml:space="preserve"> research.</w:t>
      </w:r>
    </w:p>
  </w:footnote>
  <w:footnote w:id="8">
    <w:p w14:paraId="6317311F" w14:textId="77777777" w:rsidR="00905B74" w:rsidRDefault="00905B74">
      <w:pPr>
        <w:pStyle w:val="FootnoteText"/>
      </w:pPr>
      <w:r>
        <w:rPr>
          <w:rStyle w:val="FootnoteReference"/>
        </w:rPr>
        <w:footnoteRef/>
      </w:r>
      <w:r>
        <w:t xml:space="preserve"> </w:t>
      </w:r>
      <w:r>
        <w:rPr>
          <w:rFonts w:asciiTheme="minorHAnsi" w:hAnsiTheme="minorHAnsi"/>
          <w:szCs w:val="22"/>
        </w:rPr>
        <w:t>Global Initiative for Chronic Obstructive Lung Disease. Global Strategy for the Diagnosis, Management and Prevention of COPD. 2018 . Available from goldcopd.org.</w:t>
      </w:r>
    </w:p>
  </w:footnote>
  <w:footnote w:id="9">
    <w:p w14:paraId="0BC44C41" w14:textId="77777777" w:rsidR="00905B74" w:rsidRDefault="00905B74">
      <w:pPr>
        <w:pStyle w:val="FootnoteText"/>
      </w:pPr>
      <w:r>
        <w:rPr>
          <w:rStyle w:val="FootnoteReference"/>
        </w:rPr>
        <w:footnoteRef/>
      </w:r>
      <w:r>
        <w:t xml:space="preserve"> </w:t>
      </w:r>
      <w:r w:rsidRPr="00C42270">
        <w:rPr>
          <w:rFonts w:asciiTheme="minorHAnsi" w:hAnsiTheme="minorHAnsi"/>
          <w:szCs w:val="22"/>
        </w:rPr>
        <w:t xml:space="preserve">Lung Foundation of Australia. The COPD-X plan. Australian and New Zealand Guidelines for the Management of COPD. 2018. </w:t>
      </w:r>
      <w:r>
        <w:rPr>
          <w:rFonts w:asciiTheme="minorHAnsi" w:hAnsiTheme="minorHAnsi"/>
          <w:szCs w:val="22"/>
        </w:rPr>
        <w:t>Available from copdx.org.au.</w:t>
      </w:r>
    </w:p>
  </w:footnote>
  <w:footnote w:id="10">
    <w:p w14:paraId="04AE12DD" w14:textId="77777777" w:rsidR="00905B74" w:rsidRDefault="00905B74">
      <w:pPr>
        <w:pStyle w:val="FootnoteText"/>
      </w:pPr>
      <w:r>
        <w:rPr>
          <w:rStyle w:val="FootnoteReference"/>
        </w:rPr>
        <w:footnoteRef/>
      </w:r>
      <w:r>
        <w:t xml:space="preserve"> </w:t>
      </w:r>
      <w:r>
        <w:rPr>
          <w:rFonts w:asciiTheme="minorHAnsi" w:hAnsiTheme="minorHAnsi"/>
          <w:szCs w:val="22"/>
        </w:rPr>
        <w:t>Global Initiative for Asthma. Pocket Guide for Asthma Management and Prevention. 2019. Available from ginaasthma.org.</w:t>
      </w:r>
    </w:p>
  </w:footnote>
  <w:footnote w:id="11">
    <w:p w14:paraId="25165312" w14:textId="77777777" w:rsidR="00905B74" w:rsidRPr="007C0955" w:rsidRDefault="00905B74" w:rsidP="0034513C">
      <w:pPr>
        <w:pStyle w:val="FootnoteText"/>
      </w:pPr>
      <w:r>
        <w:rPr>
          <w:rStyle w:val="FootnoteReference"/>
        </w:rPr>
        <w:footnoteRef/>
      </w:r>
      <w:r>
        <w:t xml:space="preserve"> TGA guidance on Inhalation and nasal spray registered medicines, Application pathways and data requirements for registration of new generic medicines and variations to existing medicines. Available from the TGA website.</w:t>
      </w:r>
    </w:p>
  </w:footnote>
  <w:footnote w:id="12">
    <w:p w14:paraId="647DA883" w14:textId="77777777" w:rsidR="00905B74" w:rsidRDefault="00905B74" w:rsidP="000B5C24">
      <w:pPr>
        <w:pStyle w:val="FootnoteText"/>
      </w:pPr>
      <w:r>
        <w:rPr>
          <w:rStyle w:val="FootnoteReference"/>
        </w:rPr>
        <w:footnoteRef/>
      </w:r>
      <w:r>
        <w:t xml:space="preserve"> Australian Pregnancy Category B3: 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w:t>
      </w:r>
    </w:p>
    <w:p w14:paraId="43B694AA" w14:textId="77777777" w:rsidR="00905B74" w:rsidRDefault="00905B74" w:rsidP="000B5C24">
      <w:pPr>
        <w:pStyle w:val="FootnoteText"/>
      </w:pPr>
      <w:r>
        <w:t xml:space="preserve">Studies in animals have shown evidence of an increased occurrence of </w:t>
      </w:r>
      <w:proofErr w:type="spellStart"/>
      <w:r>
        <w:t>fetal</w:t>
      </w:r>
      <w:proofErr w:type="spellEnd"/>
      <w:r>
        <w:t xml:space="preserve"> damage, the significance of which is considered uncertain in humans.</w:t>
      </w:r>
    </w:p>
  </w:footnote>
  <w:footnote w:id="13">
    <w:p w14:paraId="4E7206E3" w14:textId="77777777" w:rsidR="00905B74" w:rsidRDefault="00905B74">
      <w:pPr>
        <w:pStyle w:val="FootnoteText"/>
      </w:pPr>
      <w:r>
        <w:rPr>
          <w:rStyle w:val="FootnoteReference"/>
        </w:rPr>
        <w:footnoteRef/>
      </w:r>
      <w:r>
        <w:t xml:space="preserve"> </w:t>
      </w:r>
      <w:r>
        <w:rPr>
          <w:rFonts w:asciiTheme="minorHAnsi" w:hAnsiTheme="minorHAnsi"/>
          <w:szCs w:val="22"/>
        </w:rPr>
        <w:t>Johnson, M. Pharmacodynamics and pharmacokinetics of inhaled glucocorticoids</w:t>
      </w:r>
      <w:r w:rsidRPr="0056734E">
        <w:rPr>
          <w:rFonts w:asciiTheme="minorHAnsi" w:hAnsiTheme="minorHAnsi"/>
          <w:i/>
          <w:szCs w:val="22"/>
        </w:rPr>
        <w:t xml:space="preserve">. J Allergy </w:t>
      </w:r>
      <w:proofErr w:type="spellStart"/>
      <w:r w:rsidRPr="0056734E">
        <w:rPr>
          <w:rFonts w:asciiTheme="minorHAnsi" w:hAnsiTheme="minorHAnsi"/>
          <w:i/>
          <w:szCs w:val="22"/>
        </w:rPr>
        <w:t>Clin</w:t>
      </w:r>
      <w:proofErr w:type="spellEnd"/>
      <w:r w:rsidRPr="0056734E">
        <w:rPr>
          <w:rFonts w:asciiTheme="minorHAnsi" w:hAnsiTheme="minorHAnsi"/>
          <w:i/>
          <w:szCs w:val="22"/>
        </w:rPr>
        <w:t xml:space="preserve"> </w:t>
      </w:r>
      <w:proofErr w:type="spellStart"/>
      <w:r w:rsidRPr="0056734E">
        <w:rPr>
          <w:rFonts w:asciiTheme="minorHAnsi" w:hAnsiTheme="minorHAnsi"/>
          <w:i/>
          <w:szCs w:val="22"/>
        </w:rPr>
        <w:t>Immunol</w:t>
      </w:r>
      <w:proofErr w:type="spellEnd"/>
      <w:r>
        <w:rPr>
          <w:rFonts w:asciiTheme="minorHAnsi" w:hAnsiTheme="minorHAnsi"/>
          <w:szCs w:val="22"/>
        </w:rPr>
        <w:t>; 1996; 97: 169-176.</w:t>
      </w:r>
    </w:p>
  </w:footnote>
  <w:footnote w:id="14">
    <w:p w14:paraId="077F1719" w14:textId="77777777" w:rsidR="00905B74" w:rsidRDefault="00905B74">
      <w:pPr>
        <w:pStyle w:val="FootnoteText"/>
      </w:pPr>
      <w:r>
        <w:rPr>
          <w:rStyle w:val="FootnoteReference"/>
        </w:rPr>
        <w:footnoteRef/>
      </w:r>
      <w:r>
        <w:t xml:space="preserve"> </w:t>
      </w:r>
      <w:r w:rsidRPr="009E259B">
        <w:t xml:space="preserve">St George's Respiratory Questionnaire </w:t>
      </w:r>
      <w:r>
        <w:t>(SGRQ) i</w:t>
      </w:r>
      <w:r w:rsidRPr="009E259B">
        <w:t>s a disease specific quality o</w:t>
      </w:r>
      <w:r>
        <w:t>f life assessment tool used</w:t>
      </w:r>
      <w:r w:rsidRPr="009E259B">
        <w:t xml:space="preserve"> in both COPD and asthma</w:t>
      </w:r>
      <w:r>
        <w:t xml:space="preserve">. The questionnaire contains 50 items and </w:t>
      </w:r>
      <w:r>
        <w:rPr>
          <w:rFonts w:ascii="Open Sans" w:hAnsi="Open Sans" w:cs="Segoe UI"/>
          <w:color w:val="212529"/>
        </w:rPr>
        <w:t>scores range from 0 to 100, with higher scores indicating more limitations.</w:t>
      </w:r>
    </w:p>
  </w:footnote>
  <w:footnote w:id="15">
    <w:p w14:paraId="3DCFB50B" w14:textId="38BA079C" w:rsidR="00905B74" w:rsidRDefault="00905B74">
      <w:pPr>
        <w:pStyle w:val="FootnoteText"/>
      </w:pPr>
      <w:r>
        <w:rPr>
          <w:rStyle w:val="FootnoteReference"/>
        </w:rPr>
        <w:footnoteRef/>
      </w:r>
      <w:r>
        <w:t xml:space="preserve"> Sponsor clarification: </w:t>
      </w:r>
      <w:r>
        <w:rPr>
          <w:rStyle w:val="CommentReference"/>
        </w:rPr>
        <w:t/>
      </w:r>
      <w:r w:rsidRPr="00BE644C">
        <w:t>the number of exacerbations during the study was lower than expected</w:t>
      </w:r>
      <w:r>
        <w:t>.</w:t>
      </w:r>
    </w:p>
  </w:footnote>
  <w:footnote w:id="16">
    <w:p w14:paraId="31A5CB63" w14:textId="77777777" w:rsidR="00905B74" w:rsidRDefault="00905B74">
      <w:pPr>
        <w:pStyle w:val="FootnoteText"/>
      </w:pPr>
      <w:r>
        <w:rPr>
          <w:rStyle w:val="FootnoteReference"/>
        </w:rPr>
        <w:footnoteRef/>
      </w:r>
      <w:r>
        <w:t xml:space="preserve"> </w:t>
      </w:r>
      <w:r w:rsidRPr="00EC75BB">
        <w:t xml:space="preserve">Body-mass index, airflow Obstruction, </w:t>
      </w:r>
      <w:proofErr w:type="spellStart"/>
      <w:r w:rsidRPr="00EC75BB">
        <w:t>Dyspnea</w:t>
      </w:r>
      <w:proofErr w:type="spellEnd"/>
      <w:r w:rsidRPr="00EC75BB">
        <w:t>, and Exercise</w:t>
      </w:r>
      <w:r>
        <w:t xml:space="preserve"> (BODE) index. A tool for survival prediction in patients with COPD. Scores range from </w:t>
      </w:r>
      <w:r w:rsidRPr="00C064BF">
        <w:t>0 to 10 points, with higher scores indicating a greater risk of death.</w:t>
      </w:r>
    </w:p>
  </w:footnote>
  <w:footnote w:id="17">
    <w:p w14:paraId="40785C5F" w14:textId="77777777" w:rsidR="00905B74" w:rsidRDefault="00905B74" w:rsidP="00E62A5D">
      <w:pPr>
        <w:pStyle w:val="FootnoteText"/>
      </w:pPr>
      <w:r>
        <w:rPr>
          <w:rStyle w:val="FootnoteReference"/>
        </w:rPr>
        <w:footnoteRef/>
      </w:r>
      <w:r>
        <w:t xml:space="preserve"> The sponsor </w:t>
      </w:r>
      <w:r w:rsidRPr="006B481F">
        <w:t>must still comply with routine product vigilance and risk minimisation requirements.</w:t>
      </w:r>
    </w:p>
  </w:footnote>
  <w:footnote w:id="18">
    <w:p w14:paraId="1424DD12" w14:textId="2AF9AC13" w:rsidR="00905B74" w:rsidRDefault="00905B74" w:rsidP="00687624">
      <w:pPr>
        <w:pStyle w:val="FootnoteText"/>
      </w:pPr>
      <w:r>
        <w:rPr>
          <w:rStyle w:val="FootnoteReference"/>
        </w:rPr>
        <w:footnoteRef/>
      </w:r>
      <w:r>
        <w:t xml:space="preserve"> Ahmet, A; </w:t>
      </w:r>
      <w:proofErr w:type="spellStart"/>
      <w:r>
        <w:t>M</w:t>
      </w:r>
      <w:r w:rsidRPr="0071160C">
        <w:t>okashi</w:t>
      </w:r>
      <w:proofErr w:type="spellEnd"/>
      <w:r w:rsidRPr="0071160C">
        <w:t xml:space="preserve">, A; Adrenal suppression from </w:t>
      </w:r>
      <w:proofErr w:type="spellStart"/>
      <w:r w:rsidRPr="0071160C">
        <w:t>gluococorticoids</w:t>
      </w:r>
      <w:proofErr w:type="spellEnd"/>
      <w:r w:rsidRPr="0071160C">
        <w:t>: preventing an iatrogenic cause of morbidity and mortality in children</w:t>
      </w:r>
      <w:r w:rsidRPr="0071160C">
        <w:rPr>
          <w:i/>
        </w:rPr>
        <w:t>. BMJ Paediatrics Open</w:t>
      </w:r>
      <w:r>
        <w:t>, 2019</w:t>
      </w:r>
      <w:r w:rsidRPr="0071160C">
        <w:t>;3:e000569. doi:10.1136/bmjpo-2019-000569</w:t>
      </w:r>
    </w:p>
  </w:footnote>
  <w:footnote w:id="19">
    <w:p w14:paraId="3DA7FFF0" w14:textId="2EE55452" w:rsidR="00905B74" w:rsidRDefault="00905B74">
      <w:pPr>
        <w:pStyle w:val="FootnoteText"/>
      </w:pPr>
      <w:r>
        <w:rPr>
          <w:rStyle w:val="FootnoteReference"/>
        </w:rPr>
        <w:footnoteRef/>
      </w:r>
      <w:r>
        <w:t xml:space="preserve"> Sponsor clarification: AI is a class effect of ICS and this issue was ultimately resolved and downgraded in the final approved PI.</w:t>
      </w:r>
    </w:p>
  </w:footnote>
  <w:footnote w:id="20">
    <w:p w14:paraId="7F8D43BD" w14:textId="77777777" w:rsidR="00905B74" w:rsidRDefault="00905B74">
      <w:pPr>
        <w:pStyle w:val="FootnoteText"/>
      </w:pPr>
      <w:r>
        <w:rPr>
          <w:rStyle w:val="FootnoteReference"/>
        </w:rPr>
        <w:footnoteRef/>
      </w:r>
      <w:r>
        <w:t xml:space="preserve"> European Medicines Agency (EMA), </w:t>
      </w:r>
      <w:r w:rsidRPr="003317BC">
        <w:t xml:space="preserve">Committee for Medicinal Products for Human Use (CHMP) </w:t>
      </w:r>
      <w:r w:rsidRPr="00D66FD8">
        <w:t>Guideline on the clinical investigation of medicinal products for the treatment of asthma</w:t>
      </w:r>
      <w:r>
        <w:t xml:space="preserve">, </w:t>
      </w:r>
      <w:r w:rsidRPr="003317BC">
        <w:t>CHMP/EWP/2922/01 Rev.1</w:t>
      </w:r>
      <w:r>
        <w:t>, 22 October 2015.</w:t>
      </w:r>
    </w:p>
  </w:footnote>
  <w:footnote w:id="21">
    <w:p w14:paraId="696CB21A" w14:textId="77777777" w:rsidR="00905B74" w:rsidRPr="00046AE9" w:rsidRDefault="00905B74">
      <w:pPr>
        <w:pStyle w:val="FootnoteText"/>
      </w:pPr>
      <w:r>
        <w:rPr>
          <w:rStyle w:val="FootnoteReference"/>
        </w:rPr>
        <w:footnoteRef/>
      </w:r>
      <w:r w:rsidRPr="009C4D36">
        <w:rPr>
          <w:lang w:val="it-IT"/>
        </w:rPr>
        <w:t xml:space="preserve"> </w:t>
      </w:r>
      <w:r w:rsidRPr="009C4D36">
        <w:rPr>
          <w:lang w:val="it-IT"/>
        </w:rPr>
        <w:t xml:space="preserve">Giannini, D; Paggiario, PL; et al. </w:t>
      </w:r>
      <w:r w:rsidRPr="00FD34D2">
        <w:t xml:space="preserve">Comparison between peak expiratory flow and forced expiratory volume in one second (FEV1) during bronchoconstriction induced by different stimuli. </w:t>
      </w:r>
      <w:r w:rsidRPr="00046AE9">
        <w:rPr>
          <w:i/>
        </w:rPr>
        <w:t>Journal of Asthma</w:t>
      </w:r>
      <w:r w:rsidRPr="00046AE9">
        <w:t>. 1997. 34(2): 105-111.</w:t>
      </w:r>
    </w:p>
  </w:footnote>
  <w:footnote w:id="22">
    <w:p w14:paraId="09F986CF" w14:textId="77777777" w:rsidR="00905B74" w:rsidRDefault="00905B74">
      <w:pPr>
        <w:pStyle w:val="FootnoteText"/>
      </w:pPr>
      <w:r>
        <w:rPr>
          <w:rStyle w:val="FootnoteReference"/>
        </w:rPr>
        <w:footnoteRef/>
      </w:r>
      <w:r w:rsidRPr="00046AE9">
        <w:t xml:space="preserve"> </w:t>
      </w:r>
      <w:proofErr w:type="spellStart"/>
      <w:r w:rsidRPr="00046AE9">
        <w:t>Pino</w:t>
      </w:r>
      <w:proofErr w:type="spellEnd"/>
      <w:r w:rsidRPr="00046AE9">
        <w:t xml:space="preserve">, JM; Garcia-Rio, F; et al. </w:t>
      </w:r>
      <w:r w:rsidRPr="00FD34D2">
        <w:t xml:space="preserve">Value of the peak expiratory flow in </w:t>
      </w:r>
      <w:proofErr w:type="spellStart"/>
      <w:r w:rsidRPr="00FD34D2">
        <w:t>bronchodynamic</w:t>
      </w:r>
      <w:proofErr w:type="spellEnd"/>
      <w:r w:rsidRPr="00FD34D2">
        <w:t xml:space="preserve"> tests. </w:t>
      </w:r>
      <w:proofErr w:type="spellStart"/>
      <w:r w:rsidRPr="00FD34D2">
        <w:rPr>
          <w:i/>
        </w:rPr>
        <w:t>Allergol</w:t>
      </w:r>
      <w:proofErr w:type="spellEnd"/>
      <w:r w:rsidRPr="00FD34D2">
        <w:rPr>
          <w:i/>
        </w:rPr>
        <w:t xml:space="preserve"> </w:t>
      </w:r>
      <w:proofErr w:type="spellStart"/>
      <w:r w:rsidRPr="00FD34D2">
        <w:rPr>
          <w:i/>
        </w:rPr>
        <w:t>Immunopathol</w:t>
      </w:r>
      <w:proofErr w:type="spellEnd"/>
      <w:r w:rsidRPr="00FD34D2">
        <w:rPr>
          <w:i/>
        </w:rPr>
        <w:t xml:space="preserve"> (</w:t>
      </w:r>
      <w:proofErr w:type="spellStart"/>
      <w:r w:rsidRPr="00FD34D2">
        <w:rPr>
          <w:i/>
        </w:rPr>
        <w:t>Madr</w:t>
      </w:r>
      <w:proofErr w:type="spellEnd"/>
      <w:r w:rsidRPr="00FD34D2">
        <w:rPr>
          <w:i/>
        </w:rPr>
        <w:t>)</w:t>
      </w:r>
      <w:r>
        <w:t xml:space="preserve"> 1996</w:t>
      </w:r>
      <w:r w:rsidRPr="00FD34D2">
        <w:t>; 24 (2)</w:t>
      </w:r>
      <w:r>
        <w:t>:</w:t>
      </w:r>
      <w:r w:rsidRPr="00FD34D2">
        <w:t xml:space="preserve"> 54-</w:t>
      </w:r>
      <w:r>
        <w:t>5</w:t>
      </w:r>
      <w:r w:rsidRPr="00FD34D2">
        <w:t>7</w:t>
      </w:r>
      <w:r>
        <w:t>.</w:t>
      </w:r>
    </w:p>
  </w:footnote>
  <w:footnote w:id="23">
    <w:p w14:paraId="44B5743D" w14:textId="77777777" w:rsidR="00905B74" w:rsidRDefault="00905B74"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0039151E" w14:textId="77777777" w:rsidR="00905B74" w:rsidRPr="00456765" w:rsidRDefault="00905B74"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6D8E2" w14:textId="77777777" w:rsidR="00905B74" w:rsidRDefault="00905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53BD" w14:textId="77777777" w:rsidR="00905B74" w:rsidRDefault="00905B74"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4F824" w14:textId="77777777" w:rsidR="00905B74" w:rsidRDefault="00905B74">
    <w:pPr>
      <w:rPr>
        <w:noProof/>
        <w:lang w:eastAsia="en-AU"/>
      </w:rPr>
    </w:pPr>
    <w:r w:rsidRPr="00347824">
      <w:rPr>
        <w:noProof/>
        <w:lang w:eastAsia="en-AU"/>
      </w:rPr>
      <w:drawing>
        <wp:anchor distT="0" distB="0" distL="114300" distR="114300" simplePos="0" relativeHeight="251659264" behindDoc="1" locked="0" layoutInCell="1" allowOverlap="1" wp14:anchorId="29EF3C1E" wp14:editId="59E20E68">
          <wp:simplePos x="0" y="0"/>
          <wp:positionH relativeFrom="column">
            <wp:posOffset>-1089660</wp:posOffset>
          </wp:positionH>
          <wp:positionV relativeFrom="paragraph">
            <wp:posOffset>-585470</wp:posOffset>
          </wp:positionV>
          <wp:extent cx="7572375" cy="10706100"/>
          <wp:effectExtent l="19050" t="0" r="0" b="0"/>
          <wp:wrapNone/>
          <wp:docPr id="8"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07805A98" w14:textId="40C94C8D" w:rsidR="00905B74" w:rsidRDefault="00905B74"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38F08" w14:textId="77777777" w:rsidR="00905B74" w:rsidRDefault="00905B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D0AA3" w14:textId="77777777" w:rsidR="00905B74" w:rsidRDefault="00905B74">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A3CC4" w14:textId="77777777" w:rsidR="00905B74" w:rsidRDefault="00905B74">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5DA76" w14:textId="77777777" w:rsidR="00905B74" w:rsidRDefault="00905B7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7EA" w14:textId="77777777" w:rsidR="00905B74" w:rsidRDefault="00905B74"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AFD3E" w14:textId="77777777" w:rsidR="00905B74" w:rsidRDefault="00905B74" w:rsidP="006E08B3">
    <w:r>
      <w:t>Therapeutic Goods Administration</w:t>
    </w:r>
  </w:p>
  <w:p w14:paraId="250221AC" w14:textId="77777777" w:rsidR="00905B74" w:rsidRDefault="00905B74"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93AA586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2E754BD"/>
    <w:multiLevelType w:val="hybridMultilevel"/>
    <w:tmpl w:val="A6629974"/>
    <w:lvl w:ilvl="0" w:tplc="B6AEEA50">
      <w:start w:val="1"/>
      <w:numFmt w:val="decimal"/>
      <w:lvlText w:val="%1)"/>
      <w:lvlJc w:val="left"/>
      <w:pPr>
        <w:ind w:left="720" w:hanging="360"/>
      </w:pPr>
      <w:rPr>
        <w:rFonts w:eastAsia="MS Mincho"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8F13E9"/>
    <w:multiLevelType w:val="multilevel"/>
    <w:tmpl w:val="BEB6D7EC"/>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BFA638E"/>
    <w:multiLevelType w:val="hybridMultilevel"/>
    <w:tmpl w:val="08BC89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440EB1"/>
    <w:multiLevelType w:val="hybridMultilevel"/>
    <w:tmpl w:val="A89AA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4"/>
  </w:num>
  <w:num w:numId="17">
    <w:abstractNumId w:val="4"/>
  </w:num>
  <w:num w:numId="18">
    <w:abstractNumId w:val="4"/>
  </w:num>
  <w:num w:numId="19">
    <w:abstractNumId w:val="6"/>
  </w:num>
  <w:num w:numId="20">
    <w:abstractNumId w:val="6"/>
  </w:num>
  <w:num w:numId="21">
    <w:abstractNumId w:val="6"/>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9"/>
  </w:num>
  <w:num w:numId="28">
    <w:abstractNumId w:val="10"/>
  </w:num>
  <w:num w:numId="29">
    <w:abstractNumId w:val="8"/>
  </w:num>
  <w:num w:numId="30">
    <w:abstractNumId w:val="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1FE"/>
    <w:rsid w:val="0000023A"/>
    <w:rsid w:val="00002031"/>
    <w:rsid w:val="00004734"/>
    <w:rsid w:val="00006B22"/>
    <w:rsid w:val="0001276A"/>
    <w:rsid w:val="00023C59"/>
    <w:rsid w:val="000246AE"/>
    <w:rsid w:val="00025C67"/>
    <w:rsid w:val="00041BB8"/>
    <w:rsid w:val="00044772"/>
    <w:rsid w:val="0004541C"/>
    <w:rsid w:val="00046AE9"/>
    <w:rsid w:val="00054B57"/>
    <w:rsid w:val="0005559E"/>
    <w:rsid w:val="00056528"/>
    <w:rsid w:val="0005769B"/>
    <w:rsid w:val="000604D6"/>
    <w:rsid w:val="000734D8"/>
    <w:rsid w:val="00077383"/>
    <w:rsid w:val="00077775"/>
    <w:rsid w:val="00090471"/>
    <w:rsid w:val="00096AA7"/>
    <w:rsid w:val="000A2234"/>
    <w:rsid w:val="000A3AED"/>
    <w:rsid w:val="000B2CEB"/>
    <w:rsid w:val="000B3532"/>
    <w:rsid w:val="000B3A75"/>
    <w:rsid w:val="000B5C24"/>
    <w:rsid w:val="000C00C2"/>
    <w:rsid w:val="000C4397"/>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13E41"/>
    <w:rsid w:val="00116C0B"/>
    <w:rsid w:val="00124ACD"/>
    <w:rsid w:val="00125318"/>
    <w:rsid w:val="001305A2"/>
    <w:rsid w:val="00133238"/>
    <w:rsid w:val="00133A1B"/>
    <w:rsid w:val="0014197B"/>
    <w:rsid w:val="001447CD"/>
    <w:rsid w:val="001516B1"/>
    <w:rsid w:val="00154EBB"/>
    <w:rsid w:val="00156316"/>
    <w:rsid w:val="00161181"/>
    <w:rsid w:val="00162D14"/>
    <w:rsid w:val="00163780"/>
    <w:rsid w:val="00165389"/>
    <w:rsid w:val="0016706A"/>
    <w:rsid w:val="001673CA"/>
    <w:rsid w:val="0017693F"/>
    <w:rsid w:val="00177EDA"/>
    <w:rsid w:val="0018110E"/>
    <w:rsid w:val="00181684"/>
    <w:rsid w:val="001843C6"/>
    <w:rsid w:val="001850E0"/>
    <w:rsid w:val="00195F87"/>
    <w:rsid w:val="001A03AF"/>
    <w:rsid w:val="001A2158"/>
    <w:rsid w:val="001A525F"/>
    <w:rsid w:val="001B0215"/>
    <w:rsid w:val="001B09F9"/>
    <w:rsid w:val="001B5C90"/>
    <w:rsid w:val="001B6448"/>
    <w:rsid w:val="001C32CD"/>
    <w:rsid w:val="001D2984"/>
    <w:rsid w:val="001D2CDD"/>
    <w:rsid w:val="001E07CF"/>
    <w:rsid w:val="001E59F1"/>
    <w:rsid w:val="001E7AA8"/>
    <w:rsid w:val="001F2CEE"/>
    <w:rsid w:val="001F37E0"/>
    <w:rsid w:val="001F49EB"/>
    <w:rsid w:val="001F6CBA"/>
    <w:rsid w:val="00201D4E"/>
    <w:rsid w:val="002020BB"/>
    <w:rsid w:val="00203D35"/>
    <w:rsid w:val="002076C9"/>
    <w:rsid w:val="00220B8A"/>
    <w:rsid w:val="00222BB5"/>
    <w:rsid w:val="002257F3"/>
    <w:rsid w:val="00233456"/>
    <w:rsid w:val="002339A5"/>
    <w:rsid w:val="00245C4E"/>
    <w:rsid w:val="00257848"/>
    <w:rsid w:val="002578E8"/>
    <w:rsid w:val="0027084A"/>
    <w:rsid w:val="00280265"/>
    <w:rsid w:val="002817AE"/>
    <w:rsid w:val="00286434"/>
    <w:rsid w:val="00286C59"/>
    <w:rsid w:val="00291957"/>
    <w:rsid w:val="002942D1"/>
    <w:rsid w:val="0029501A"/>
    <w:rsid w:val="0029512F"/>
    <w:rsid w:val="002A2C7B"/>
    <w:rsid w:val="002A3721"/>
    <w:rsid w:val="002B1638"/>
    <w:rsid w:val="002B208A"/>
    <w:rsid w:val="002B3624"/>
    <w:rsid w:val="002D0952"/>
    <w:rsid w:val="002E158A"/>
    <w:rsid w:val="002E2BD3"/>
    <w:rsid w:val="002E40B3"/>
    <w:rsid w:val="002E4C9A"/>
    <w:rsid w:val="002F11F8"/>
    <w:rsid w:val="002F3F56"/>
    <w:rsid w:val="002F44B5"/>
    <w:rsid w:val="002F5122"/>
    <w:rsid w:val="00311AC0"/>
    <w:rsid w:val="00315C6B"/>
    <w:rsid w:val="00316A85"/>
    <w:rsid w:val="003176FC"/>
    <w:rsid w:val="0032583B"/>
    <w:rsid w:val="00327883"/>
    <w:rsid w:val="003317BC"/>
    <w:rsid w:val="00335504"/>
    <w:rsid w:val="0034036C"/>
    <w:rsid w:val="00340C18"/>
    <w:rsid w:val="003442FD"/>
    <w:rsid w:val="0034513C"/>
    <w:rsid w:val="00347824"/>
    <w:rsid w:val="00350567"/>
    <w:rsid w:val="003521E8"/>
    <w:rsid w:val="00352776"/>
    <w:rsid w:val="00357367"/>
    <w:rsid w:val="0036060B"/>
    <w:rsid w:val="00370CE3"/>
    <w:rsid w:val="003728F3"/>
    <w:rsid w:val="003735BC"/>
    <w:rsid w:val="0037496E"/>
    <w:rsid w:val="00383221"/>
    <w:rsid w:val="00386150"/>
    <w:rsid w:val="0038621A"/>
    <w:rsid w:val="003874CE"/>
    <w:rsid w:val="00390900"/>
    <w:rsid w:val="003A33E1"/>
    <w:rsid w:val="003A58D6"/>
    <w:rsid w:val="003A7F6C"/>
    <w:rsid w:val="003B4D60"/>
    <w:rsid w:val="003B7E39"/>
    <w:rsid w:val="003C58DC"/>
    <w:rsid w:val="003C637B"/>
    <w:rsid w:val="003D1E62"/>
    <w:rsid w:val="003E0B99"/>
    <w:rsid w:val="003E2486"/>
    <w:rsid w:val="003E3208"/>
    <w:rsid w:val="003F0B04"/>
    <w:rsid w:val="0040134E"/>
    <w:rsid w:val="0040754E"/>
    <w:rsid w:val="00414E1B"/>
    <w:rsid w:val="00420325"/>
    <w:rsid w:val="004225CE"/>
    <w:rsid w:val="00426CBA"/>
    <w:rsid w:val="004334C7"/>
    <w:rsid w:val="00436476"/>
    <w:rsid w:val="00437782"/>
    <w:rsid w:val="00440A2D"/>
    <w:rsid w:val="0044140B"/>
    <w:rsid w:val="00441C3F"/>
    <w:rsid w:val="00444D1A"/>
    <w:rsid w:val="0045186A"/>
    <w:rsid w:val="004564A7"/>
    <w:rsid w:val="00456765"/>
    <w:rsid w:val="004617BF"/>
    <w:rsid w:val="00463658"/>
    <w:rsid w:val="004637A0"/>
    <w:rsid w:val="004722CC"/>
    <w:rsid w:val="004851FE"/>
    <w:rsid w:val="00490483"/>
    <w:rsid w:val="004936E4"/>
    <w:rsid w:val="00494E60"/>
    <w:rsid w:val="00497487"/>
    <w:rsid w:val="004A2771"/>
    <w:rsid w:val="004A6189"/>
    <w:rsid w:val="004A7390"/>
    <w:rsid w:val="004B08E9"/>
    <w:rsid w:val="004B19AA"/>
    <w:rsid w:val="004B7B76"/>
    <w:rsid w:val="004C0940"/>
    <w:rsid w:val="004C19D2"/>
    <w:rsid w:val="004C239D"/>
    <w:rsid w:val="004C2DCA"/>
    <w:rsid w:val="004C61D2"/>
    <w:rsid w:val="004D669A"/>
    <w:rsid w:val="004E5868"/>
    <w:rsid w:val="004F0C4A"/>
    <w:rsid w:val="004F0F38"/>
    <w:rsid w:val="004F47D6"/>
    <w:rsid w:val="004F79E2"/>
    <w:rsid w:val="00500337"/>
    <w:rsid w:val="00501921"/>
    <w:rsid w:val="00510B86"/>
    <w:rsid w:val="00512CED"/>
    <w:rsid w:val="00530354"/>
    <w:rsid w:val="0053625B"/>
    <w:rsid w:val="005434C6"/>
    <w:rsid w:val="00543B39"/>
    <w:rsid w:val="00546154"/>
    <w:rsid w:val="00550096"/>
    <w:rsid w:val="00551E55"/>
    <w:rsid w:val="00555280"/>
    <w:rsid w:val="00557FF9"/>
    <w:rsid w:val="00562327"/>
    <w:rsid w:val="00562F89"/>
    <w:rsid w:val="0056734E"/>
    <w:rsid w:val="005711D5"/>
    <w:rsid w:val="00576378"/>
    <w:rsid w:val="00577130"/>
    <w:rsid w:val="00577945"/>
    <w:rsid w:val="00577E38"/>
    <w:rsid w:val="00585322"/>
    <w:rsid w:val="005857C6"/>
    <w:rsid w:val="0058582C"/>
    <w:rsid w:val="00592F6E"/>
    <w:rsid w:val="00593AD1"/>
    <w:rsid w:val="00595144"/>
    <w:rsid w:val="005A6897"/>
    <w:rsid w:val="005A68B6"/>
    <w:rsid w:val="005B06B9"/>
    <w:rsid w:val="005C1DBD"/>
    <w:rsid w:val="005C5570"/>
    <w:rsid w:val="005C79A4"/>
    <w:rsid w:val="005D5442"/>
    <w:rsid w:val="005D6D0B"/>
    <w:rsid w:val="005E66D6"/>
    <w:rsid w:val="005F5AB2"/>
    <w:rsid w:val="00603F32"/>
    <w:rsid w:val="00604628"/>
    <w:rsid w:val="00605AD4"/>
    <w:rsid w:val="006136D7"/>
    <w:rsid w:val="00614A46"/>
    <w:rsid w:val="00625A6E"/>
    <w:rsid w:val="00632398"/>
    <w:rsid w:val="00640FC3"/>
    <w:rsid w:val="00642020"/>
    <w:rsid w:val="006430EE"/>
    <w:rsid w:val="00646401"/>
    <w:rsid w:val="0065337B"/>
    <w:rsid w:val="0065419D"/>
    <w:rsid w:val="006603BC"/>
    <w:rsid w:val="006604D8"/>
    <w:rsid w:val="00664A5B"/>
    <w:rsid w:val="0066735C"/>
    <w:rsid w:val="006763D2"/>
    <w:rsid w:val="00680135"/>
    <w:rsid w:val="00680C08"/>
    <w:rsid w:val="00685E07"/>
    <w:rsid w:val="00687624"/>
    <w:rsid w:val="006916A0"/>
    <w:rsid w:val="006931B1"/>
    <w:rsid w:val="006A15C0"/>
    <w:rsid w:val="006A58A8"/>
    <w:rsid w:val="006B0B74"/>
    <w:rsid w:val="006C3E2A"/>
    <w:rsid w:val="006C642F"/>
    <w:rsid w:val="006D03E5"/>
    <w:rsid w:val="006D5D3E"/>
    <w:rsid w:val="006E08B3"/>
    <w:rsid w:val="006F0F20"/>
    <w:rsid w:val="006F17AC"/>
    <w:rsid w:val="006F25B8"/>
    <w:rsid w:val="006F572E"/>
    <w:rsid w:val="007046D6"/>
    <w:rsid w:val="00705DB0"/>
    <w:rsid w:val="0071160C"/>
    <w:rsid w:val="00711B42"/>
    <w:rsid w:val="00722129"/>
    <w:rsid w:val="0072223F"/>
    <w:rsid w:val="00722B57"/>
    <w:rsid w:val="0072379C"/>
    <w:rsid w:val="00730F8A"/>
    <w:rsid w:val="00735A8C"/>
    <w:rsid w:val="00740E30"/>
    <w:rsid w:val="0074253D"/>
    <w:rsid w:val="0074429B"/>
    <w:rsid w:val="007508C4"/>
    <w:rsid w:val="00752163"/>
    <w:rsid w:val="00753CF5"/>
    <w:rsid w:val="00760CE7"/>
    <w:rsid w:val="007615BC"/>
    <w:rsid w:val="00762F05"/>
    <w:rsid w:val="007652FF"/>
    <w:rsid w:val="00770CAC"/>
    <w:rsid w:val="00770EF1"/>
    <w:rsid w:val="00773EF7"/>
    <w:rsid w:val="00774989"/>
    <w:rsid w:val="00774E1D"/>
    <w:rsid w:val="007765D8"/>
    <w:rsid w:val="0077675A"/>
    <w:rsid w:val="00780355"/>
    <w:rsid w:val="007819FD"/>
    <w:rsid w:val="00785717"/>
    <w:rsid w:val="00785721"/>
    <w:rsid w:val="007874F9"/>
    <w:rsid w:val="00790D9D"/>
    <w:rsid w:val="00793A59"/>
    <w:rsid w:val="007A46F5"/>
    <w:rsid w:val="007A6505"/>
    <w:rsid w:val="007B10AB"/>
    <w:rsid w:val="007B2AC0"/>
    <w:rsid w:val="007B6132"/>
    <w:rsid w:val="007B6E9F"/>
    <w:rsid w:val="007C0955"/>
    <w:rsid w:val="007C1216"/>
    <w:rsid w:val="007C1841"/>
    <w:rsid w:val="007C1AF7"/>
    <w:rsid w:val="007C699E"/>
    <w:rsid w:val="007C6B9B"/>
    <w:rsid w:val="007D0DBB"/>
    <w:rsid w:val="007D7616"/>
    <w:rsid w:val="007F1F04"/>
    <w:rsid w:val="007F3F42"/>
    <w:rsid w:val="007F5251"/>
    <w:rsid w:val="00805D27"/>
    <w:rsid w:val="00805D8C"/>
    <w:rsid w:val="00806DCB"/>
    <w:rsid w:val="00813BBF"/>
    <w:rsid w:val="00817506"/>
    <w:rsid w:val="00821776"/>
    <w:rsid w:val="00827EDF"/>
    <w:rsid w:val="008315A6"/>
    <w:rsid w:val="008321F5"/>
    <w:rsid w:val="00832369"/>
    <w:rsid w:val="00834660"/>
    <w:rsid w:val="00836BC2"/>
    <w:rsid w:val="0085156D"/>
    <w:rsid w:val="00852B28"/>
    <w:rsid w:val="0085641B"/>
    <w:rsid w:val="00857136"/>
    <w:rsid w:val="00862837"/>
    <w:rsid w:val="008647F2"/>
    <w:rsid w:val="00864B20"/>
    <w:rsid w:val="00871142"/>
    <w:rsid w:val="00875A6B"/>
    <w:rsid w:val="00885B11"/>
    <w:rsid w:val="00886D15"/>
    <w:rsid w:val="00887DD8"/>
    <w:rsid w:val="00891BA9"/>
    <w:rsid w:val="00896018"/>
    <w:rsid w:val="008960DD"/>
    <w:rsid w:val="0089635C"/>
    <w:rsid w:val="008A2B9D"/>
    <w:rsid w:val="008A3D9F"/>
    <w:rsid w:val="008A5E0B"/>
    <w:rsid w:val="008A6D59"/>
    <w:rsid w:val="008B1CF3"/>
    <w:rsid w:val="008B4B03"/>
    <w:rsid w:val="008B596F"/>
    <w:rsid w:val="008C159F"/>
    <w:rsid w:val="008C1623"/>
    <w:rsid w:val="008C1850"/>
    <w:rsid w:val="008C2D26"/>
    <w:rsid w:val="008C51A9"/>
    <w:rsid w:val="008E7846"/>
    <w:rsid w:val="008F02E5"/>
    <w:rsid w:val="008F1CCC"/>
    <w:rsid w:val="008F2967"/>
    <w:rsid w:val="008F4E76"/>
    <w:rsid w:val="008F6943"/>
    <w:rsid w:val="00902A21"/>
    <w:rsid w:val="00904045"/>
    <w:rsid w:val="00905B74"/>
    <w:rsid w:val="0091523F"/>
    <w:rsid w:val="00920330"/>
    <w:rsid w:val="0092159B"/>
    <w:rsid w:val="009219D7"/>
    <w:rsid w:val="00922D53"/>
    <w:rsid w:val="00923B70"/>
    <w:rsid w:val="00924482"/>
    <w:rsid w:val="009258BA"/>
    <w:rsid w:val="00930237"/>
    <w:rsid w:val="00937C17"/>
    <w:rsid w:val="00940A89"/>
    <w:rsid w:val="00941F77"/>
    <w:rsid w:val="00946EA5"/>
    <w:rsid w:val="00960520"/>
    <w:rsid w:val="00963C08"/>
    <w:rsid w:val="009752A5"/>
    <w:rsid w:val="0098585A"/>
    <w:rsid w:val="00995E5E"/>
    <w:rsid w:val="00997BD5"/>
    <w:rsid w:val="009A4CED"/>
    <w:rsid w:val="009A690D"/>
    <w:rsid w:val="009B18A2"/>
    <w:rsid w:val="009B1D12"/>
    <w:rsid w:val="009B36BE"/>
    <w:rsid w:val="009B416B"/>
    <w:rsid w:val="009B48ED"/>
    <w:rsid w:val="009C4BD5"/>
    <w:rsid w:val="009C4D36"/>
    <w:rsid w:val="009C4E99"/>
    <w:rsid w:val="009C5B08"/>
    <w:rsid w:val="009D037B"/>
    <w:rsid w:val="009D7B77"/>
    <w:rsid w:val="009E0BB0"/>
    <w:rsid w:val="009E259B"/>
    <w:rsid w:val="009E3FBB"/>
    <w:rsid w:val="009F669C"/>
    <w:rsid w:val="009F7353"/>
    <w:rsid w:val="00A028DD"/>
    <w:rsid w:val="00A04F85"/>
    <w:rsid w:val="00A05FA4"/>
    <w:rsid w:val="00A102E4"/>
    <w:rsid w:val="00A111B5"/>
    <w:rsid w:val="00A1219C"/>
    <w:rsid w:val="00A12C42"/>
    <w:rsid w:val="00A14DF7"/>
    <w:rsid w:val="00A22D57"/>
    <w:rsid w:val="00A23605"/>
    <w:rsid w:val="00A3246D"/>
    <w:rsid w:val="00A342CD"/>
    <w:rsid w:val="00A36FA7"/>
    <w:rsid w:val="00A44DDB"/>
    <w:rsid w:val="00A47515"/>
    <w:rsid w:val="00A475B7"/>
    <w:rsid w:val="00A47AF7"/>
    <w:rsid w:val="00A47C3E"/>
    <w:rsid w:val="00A50226"/>
    <w:rsid w:val="00A54B71"/>
    <w:rsid w:val="00A60BAD"/>
    <w:rsid w:val="00A63A42"/>
    <w:rsid w:val="00A66A7A"/>
    <w:rsid w:val="00A67AB3"/>
    <w:rsid w:val="00A70B41"/>
    <w:rsid w:val="00A74331"/>
    <w:rsid w:val="00A77F87"/>
    <w:rsid w:val="00A80B5B"/>
    <w:rsid w:val="00A84E36"/>
    <w:rsid w:val="00A853FA"/>
    <w:rsid w:val="00A93EF6"/>
    <w:rsid w:val="00A9453E"/>
    <w:rsid w:val="00A964D1"/>
    <w:rsid w:val="00AA0ED0"/>
    <w:rsid w:val="00AA3329"/>
    <w:rsid w:val="00AA612F"/>
    <w:rsid w:val="00AB574E"/>
    <w:rsid w:val="00AC04D1"/>
    <w:rsid w:val="00AC2B40"/>
    <w:rsid w:val="00AC2BB2"/>
    <w:rsid w:val="00AC2C3C"/>
    <w:rsid w:val="00AC512D"/>
    <w:rsid w:val="00AD0083"/>
    <w:rsid w:val="00AD3935"/>
    <w:rsid w:val="00AE65EB"/>
    <w:rsid w:val="00AE67A7"/>
    <w:rsid w:val="00AF0951"/>
    <w:rsid w:val="00AF1D94"/>
    <w:rsid w:val="00AF60C5"/>
    <w:rsid w:val="00B00440"/>
    <w:rsid w:val="00B004AA"/>
    <w:rsid w:val="00B009C6"/>
    <w:rsid w:val="00B01548"/>
    <w:rsid w:val="00B071C6"/>
    <w:rsid w:val="00B130C5"/>
    <w:rsid w:val="00B13EBD"/>
    <w:rsid w:val="00B21D29"/>
    <w:rsid w:val="00B25034"/>
    <w:rsid w:val="00B33588"/>
    <w:rsid w:val="00B33863"/>
    <w:rsid w:val="00B37D17"/>
    <w:rsid w:val="00B40950"/>
    <w:rsid w:val="00B4175E"/>
    <w:rsid w:val="00B41C85"/>
    <w:rsid w:val="00B43FEC"/>
    <w:rsid w:val="00B452CE"/>
    <w:rsid w:val="00B54C25"/>
    <w:rsid w:val="00B60FD0"/>
    <w:rsid w:val="00B64011"/>
    <w:rsid w:val="00B72E9E"/>
    <w:rsid w:val="00B76B91"/>
    <w:rsid w:val="00B77EB1"/>
    <w:rsid w:val="00B811C6"/>
    <w:rsid w:val="00B855B0"/>
    <w:rsid w:val="00B92E08"/>
    <w:rsid w:val="00BA157E"/>
    <w:rsid w:val="00BA39E8"/>
    <w:rsid w:val="00BC622A"/>
    <w:rsid w:val="00BE0A78"/>
    <w:rsid w:val="00BE11A8"/>
    <w:rsid w:val="00BE644C"/>
    <w:rsid w:val="00BE79F0"/>
    <w:rsid w:val="00BF046D"/>
    <w:rsid w:val="00BF1190"/>
    <w:rsid w:val="00BF3774"/>
    <w:rsid w:val="00BF5D04"/>
    <w:rsid w:val="00C009AA"/>
    <w:rsid w:val="00C064BF"/>
    <w:rsid w:val="00C1164D"/>
    <w:rsid w:val="00C13B9A"/>
    <w:rsid w:val="00C16861"/>
    <w:rsid w:val="00C346AB"/>
    <w:rsid w:val="00C404A6"/>
    <w:rsid w:val="00C40A36"/>
    <w:rsid w:val="00C41200"/>
    <w:rsid w:val="00C44419"/>
    <w:rsid w:val="00C45E7B"/>
    <w:rsid w:val="00C471B1"/>
    <w:rsid w:val="00C52E24"/>
    <w:rsid w:val="00C5563A"/>
    <w:rsid w:val="00C6316B"/>
    <w:rsid w:val="00C634A9"/>
    <w:rsid w:val="00C64586"/>
    <w:rsid w:val="00C70D53"/>
    <w:rsid w:val="00C73D0B"/>
    <w:rsid w:val="00C74F5C"/>
    <w:rsid w:val="00C772FF"/>
    <w:rsid w:val="00C80137"/>
    <w:rsid w:val="00C801AF"/>
    <w:rsid w:val="00C80256"/>
    <w:rsid w:val="00C94CD4"/>
    <w:rsid w:val="00C9747E"/>
    <w:rsid w:val="00CB4AD1"/>
    <w:rsid w:val="00CB5B2F"/>
    <w:rsid w:val="00CB6BC0"/>
    <w:rsid w:val="00CC0E61"/>
    <w:rsid w:val="00CC1B7C"/>
    <w:rsid w:val="00CC5BC4"/>
    <w:rsid w:val="00CC727F"/>
    <w:rsid w:val="00CF15C3"/>
    <w:rsid w:val="00CF2B6F"/>
    <w:rsid w:val="00CF2F3E"/>
    <w:rsid w:val="00CF58B6"/>
    <w:rsid w:val="00D0062D"/>
    <w:rsid w:val="00D017ED"/>
    <w:rsid w:val="00D03290"/>
    <w:rsid w:val="00D040D3"/>
    <w:rsid w:val="00D04C65"/>
    <w:rsid w:val="00D153D8"/>
    <w:rsid w:val="00D201D2"/>
    <w:rsid w:val="00D209E3"/>
    <w:rsid w:val="00D224FE"/>
    <w:rsid w:val="00D23139"/>
    <w:rsid w:val="00D316DA"/>
    <w:rsid w:val="00D425BB"/>
    <w:rsid w:val="00D4296F"/>
    <w:rsid w:val="00D453FA"/>
    <w:rsid w:val="00D463A3"/>
    <w:rsid w:val="00D60E71"/>
    <w:rsid w:val="00D64333"/>
    <w:rsid w:val="00D6493E"/>
    <w:rsid w:val="00D66FD8"/>
    <w:rsid w:val="00D7195D"/>
    <w:rsid w:val="00D7301E"/>
    <w:rsid w:val="00D83AE1"/>
    <w:rsid w:val="00D855D4"/>
    <w:rsid w:val="00D87821"/>
    <w:rsid w:val="00D902C9"/>
    <w:rsid w:val="00D93466"/>
    <w:rsid w:val="00D97905"/>
    <w:rsid w:val="00DA1124"/>
    <w:rsid w:val="00DA64CB"/>
    <w:rsid w:val="00DB06B8"/>
    <w:rsid w:val="00DB6124"/>
    <w:rsid w:val="00DB750B"/>
    <w:rsid w:val="00DB75B7"/>
    <w:rsid w:val="00DC0A2F"/>
    <w:rsid w:val="00DC1948"/>
    <w:rsid w:val="00DC3988"/>
    <w:rsid w:val="00DC6E02"/>
    <w:rsid w:val="00DD28CD"/>
    <w:rsid w:val="00DE02AE"/>
    <w:rsid w:val="00DE39D1"/>
    <w:rsid w:val="00DF1D7F"/>
    <w:rsid w:val="00DF4BE4"/>
    <w:rsid w:val="00E02382"/>
    <w:rsid w:val="00E02FB4"/>
    <w:rsid w:val="00E06B23"/>
    <w:rsid w:val="00E13FC7"/>
    <w:rsid w:val="00E20571"/>
    <w:rsid w:val="00E235F7"/>
    <w:rsid w:val="00E23659"/>
    <w:rsid w:val="00E239D4"/>
    <w:rsid w:val="00E26130"/>
    <w:rsid w:val="00E33F4F"/>
    <w:rsid w:val="00E40B22"/>
    <w:rsid w:val="00E42ACB"/>
    <w:rsid w:val="00E44ED1"/>
    <w:rsid w:val="00E45619"/>
    <w:rsid w:val="00E4588F"/>
    <w:rsid w:val="00E46DA3"/>
    <w:rsid w:val="00E51BB1"/>
    <w:rsid w:val="00E55CB0"/>
    <w:rsid w:val="00E624A5"/>
    <w:rsid w:val="00E62A5D"/>
    <w:rsid w:val="00E64BA4"/>
    <w:rsid w:val="00E72EDC"/>
    <w:rsid w:val="00E7344E"/>
    <w:rsid w:val="00E81985"/>
    <w:rsid w:val="00E82665"/>
    <w:rsid w:val="00E96D97"/>
    <w:rsid w:val="00EB0798"/>
    <w:rsid w:val="00EB40AD"/>
    <w:rsid w:val="00EB586E"/>
    <w:rsid w:val="00EB5FC8"/>
    <w:rsid w:val="00EC463D"/>
    <w:rsid w:val="00EC75BB"/>
    <w:rsid w:val="00EC7A85"/>
    <w:rsid w:val="00ED2922"/>
    <w:rsid w:val="00ED3CAD"/>
    <w:rsid w:val="00ED5A41"/>
    <w:rsid w:val="00EE1DE8"/>
    <w:rsid w:val="00EE27C2"/>
    <w:rsid w:val="00EE37EA"/>
    <w:rsid w:val="00EF4BAD"/>
    <w:rsid w:val="00EF59DC"/>
    <w:rsid w:val="00F033EC"/>
    <w:rsid w:val="00F04F68"/>
    <w:rsid w:val="00F12670"/>
    <w:rsid w:val="00F14B27"/>
    <w:rsid w:val="00F3148D"/>
    <w:rsid w:val="00F325C5"/>
    <w:rsid w:val="00F32A33"/>
    <w:rsid w:val="00F32FE0"/>
    <w:rsid w:val="00F34B93"/>
    <w:rsid w:val="00F35298"/>
    <w:rsid w:val="00F44F3F"/>
    <w:rsid w:val="00F47333"/>
    <w:rsid w:val="00F47E37"/>
    <w:rsid w:val="00F53C07"/>
    <w:rsid w:val="00F54B65"/>
    <w:rsid w:val="00F640B6"/>
    <w:rsid w:val="00F66154"/>
    <w:rsid w:val="00F664F9"/>
    <w:rsid w:val="00F66DF2"/>
    <w:rsid w:val="00F74809"/>
    <w:rsid w:val="00F80E40"/>
    <w:rsid w:val="00F810ED"/>
    <w:rsid w:val="00F83233"/>
    <w:rsid w:val="00F840C2"/>
    <w:rsid w:val="00F848D9"/>
    <w:rsid w:val="00F84B14"/>
    <w:rsid w:val="00F85C55"/>
    <w:rsid w:val="00F925FA"/>
    <w:rsid w:val="00F959A1"/>
    <w:rsid w:val="00FA5069"/>
    <w:rsid w:val="00FA5B82"/>
    <w:rsid w:val="00FA639E"/>
    <w:rsid w:val="00FB7EEA"/>
    <w:rsid w:val="00FC1FCA"/>
    <w:rsid w:val="00FC25E4"/>
    <w:rsid w:val="00FC4EF7"/>
    <w:rsid w:val="00FD0824"/>
    <w:rsid w:val="00FD119B"/>
    <w:rsid w:val="00FD1EDC"/>
    <w:rsid w:val="00FD34D2"/>
    <w:rsid w:val="00FD59F3"/>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95111C"/>
  <w15:docId w15:val="{74A02D8B-8791-42E5-B308-88EBDD80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6CBA"/>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905B74"/>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rsid w:val="00426CBA"/>
    <w:pPr>
      <w:adjustRightInd w:val="0"/>
      <w:snapToGrid w:val="0"/>
      <w:spacing w:before="180" w:after="180"/>
      <w:ind w:left="720"/>
      <w:contextualSpacing/>
    </w:pPr>
    <w:rPr>
      <w:rFonts w:eastAsia="MS Mincho"/>
      <w:szCs w:val="20"/>
      <w:lang w:eastAsia="ja-JP"/>
    </w:rPr>
  </w:style>
  <w:style w:type="paragraph" w:customStyle="1" w:styleId="Default">
    <w:name w:val="Default"/>
    <w:rsid w:val="00426C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68342">
      <w:bodyDiv w:val="1"/>
      <w:marLeft w:val="0"/>
      <w:marRight w:val="0"/>
      <w:marTop w:val="0"/>
      <w:marBottom w:val="0"/>
      <w:divBdr>
        <w:top w:val="none" w:sz="0" w:space="0" w:color="auto"/>
        <w:left w:val="none" w:sz="0" w:space="0" w:color="auto"/>
        <w:bottom w:val="none" w:sz="0" w:space="0" w:color="auto"/>
        <w:right w:val="none" w:sz="0" w:space="0" w:color="auto"/>
      </w:divBdr>
      <w:divsChild>
        <w:div w:id="667514685">
          <w:marLeft w:val="0"/>
          <w:marRight w:val="0"/>
          <w:marTop w:val="0"/>
          <w:marBottom w:val="0"/>
          <w:divBdr>
            <w:top w:val="none" w:sz="0" w:space="0" w:color="auto"/>
            <w:left w:val="none" w:sz="0" w:space="0" w:color="auto"/>
            <w:bottom w:val="none" w:sz="0" w:space="0" w:color="auto"/>
            <w:right w:val="none" w:sz="0" w:space="0" w:color="auto"/>
          </w:divBdr>
          <w:divsChild>
            <w:div w:id="1952122251">
              <w:marLeft w:val="0"/>
              <w:marRight w:val="0"/>
              <w:marTop w:val="0"/>
              <w:marBottom w:val="0"/>
              <w:divBdr>
                <w:top w:val="none" w:sz="0" w:space="0" w:color="auto"/>
                <w:left w:val="none" w:sz="0" w:space="0" w:color="auto"/>
                <w:bottom w:val="none" w:sz="0" w:space="0" w:color="auto"/>
                <w:right w:val="none" w:sz="0" w:space="0" w:color="auto"/>
              </w:divBdr>
              <w:divsChild>
                <w:div w:id="1602832862">
                  <w:marLeft w:val="0"/>
                  <w:marRight w:val="0"/>
                  <w:marTop w:val="0"/>
                  <w:marBottom w:val="0"/>
                  <w:divBdr>
                    <w:top w:val="none" w:sz="0" w:space="0" w:color="auto"/>
                    <w:left w:val="none" w:sz="0" w:space="0" w:color="auto"/>
                    <w:bottom w:val="none" w:sz="0" w:space="0" w:color="auto"/>
                    <w:right w:val="none" w:sz="0" w:space="0" w:color="auto"/>
                  </w:divBdr>
                  <w:divsChild>
                    <w:div w:id="18392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83601">
      <w:bodyDiv w:val="1"/>
      <w:marLeft w:val="0"/>
      <w:marRight w:val="0"/>
      <w:marTop w:val="0"/>
      <w:marBottom w:val="0"/>
      <w:divBdr>
        <w:top w:val="none" w:sz="0" w:space="0" w:color="auto"/>
        <w:left w:val="none" w:sz="0" w:space="0" w:color="auto"/>
        <w:bottom w:val="none" w:sz="0" w:space="0" w:color="auto"/>
        <w:right w:val="none" w:sz="0" w:space="0" w:color="auto"/>
      </w:divBdr>
    </w:div>
    <w:div w:id="466364112">
      <w:bodyDiv w:val="1"/>
      <w:marLeft w:val="0"/>
      <w:marRight w:val="0"/>
      <w:marTop w:val="0"/>
      <w:marBottom w:val="0"/>
      <w:divBdr>
        <w:top w:val="none" w:sz="0" w:space="0" w:color="auto"/>
        <w:left w:val="none" w:sz="0" w:space="0" w:color="auto"/>
        <w:bottom w:val="none" w:sz="0" w:space="0" w:color="auto"/>
        <w:right w:val="none" w:sz="0" w:space="0" w:color="auto"/>
      </w:divBdr>
    </w:div>
    <w:div w:id="950547959">
      <w:bodyDiv w:val="1"/>
      <w:marLeft w:val="0"/>
      <w:marRight w:val="0"/>
      <w:marTop w:val="0"/>
      <w:marBottom w:val="0"/>
      <w:divBdr>
        <w:top w:val="none" w:sz="0" w:space="0" w:color="auto"/>
        <w:left w:val="none" w:sz="0" w:space="0" w:color="auto"/>
        <w:bottom w:val="none" w:sz="0" w:space="0" w:color="auto"/>
        <w:right w:val="none" w:sz="0" w:space="0" w:color="auto"/>
      </w:divBdr>
      <w:divsChild>
        <w:div w:id="1534884914">
          <w:marLeft w:val="0"/>
          <w:marRight w:val="0"/>
          <w:marTop w:val="0"/>
          <w:marBottom w:val="0"/>
          <w:divBdr>
            <w:top w:val="none" w:sz="0" w:space="0" w:color="auto"/>
            <w:left w:val="none" w:sz="0" w:space="0" w:color="auto"/>
            <w:bottom w:val="none" w:sz="0" w:space="0" w:color="auto"/>
            <w:right w:val="none" w:sz="0" w:space="0" w:color="auto"/>
          </w:divBdr>
          <w:divsChild>
            <w:div w:id="2068988518">
              <w:marLeft w:val="0"/>
              <w:marRight w:val="0"/>
              <w:marTop w:val="0"/>
              <w:marBottom w:val="0"/>
              <w:divBdr>
                <w:top w:val="none" w:sz="0" w:space="0" w:color="auto"/>
                <w:left w:val="none" w:sz="0" w:space="0" w:color="auto"/>
                <w:bottom w:val="none" w:sz="0" w:space="0" w:color="auto"/>
                <w:right w:val="none" w:sz="0" w:space="0" w:color="auto"/>
              </w:divBdr>
              <w:divsChild>
                <w:div w:id="245657271">
                  <w:marLeft w:val="0"/>
                  <w:marRight w:val="0"/>
                  <w:marTop w:val="0"/>
                  <w:marBottom w:val="0"/>
                  <w:divBdr>
                    <w:top w:val="none" w:sz="0" w:space="0" w:color="auto"/>
                    <w:left w:val="none" w:sz="0" w:space="0" w:color="auto"/>
                    <w:bottom w:val="none" w:sz="0" w:space="0" w:color="auto"/>
                    <w:right w:val="none" w:sz="0" w:space="0" w:color="auto"/>
                  </w:divBdr>
                  <w:divsChild>
                    <w:div w:id="2029257718">
                      <w:marLeft w:val="0"/>
                      <w:marRight w:val="0"/>
                      <w:marTop w:val="0"/>
                      <w:marBottom w:val="0"/>
                      <w:divBdr>
                        <w:top w:val="none" w:sz="0" w:space="0" w:color="auto"/>
                        <w:left w:val="none" w:sz="0" w:space="0" w:color="auto"/>
                        <w:bottom w:val="none" w:sz="0" w:space="0" w:color="auto"/>
                        <w:right w:val="none" w:sz="0" w:space="0" w:color="auto"/>
                      </w:divBdr>
                      <w:divsChild>
                        <w:div w:id="508639666">
                          <w:marLeft w:val="0"/>
                          <w:marRight w:val="0"/>
                          <w:marTop w:val="0"/>
                          <w:marBottom w:val="0"/>
                          <w:divBdr>
                            <w:top w:val="none" w:sz="0" w:space="0" w:color="auto"/>
                            <w:left w:val="none" w:sz="0" w:space="0" w:color="auto"/>
                            <w:bottom w:val="none" w:sz="0" w:space="0" w:color="auto"/>
                            <w:right w:val="none" w:sz="0" w:space="0" w:color="auto"/>
                          </w:divBdr>
                          <w:divsChild>
                            <w:div w:id="370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818355">
      <w:bodyDiv w:val="1"/>
      <w:marLeft w:val="0"/>
      <w:marRight w:val="0"/>
      <w:marTop w:val="0"/>
      <w:marBottom w:val="0"/>
      <w:divBdr>
        <w:top w:val="none" w:sz="0" w:space="0" w:color="auto"/>
        <w:left w:val="none" w:sz="0" w:space="0" w:color="auto"/>
        <w:bottom w:val="none" w:sz="0" w:space="0" w:color="auto"/>
        <w:right w:val="none" w:sz="0" w:space="0" w:color="auto"/>
      </w:divBdr>
    </w:div>
    <w:div w:id="1188444763">
      <w:bodyDiv w:val="1"/>
      <w:marLeft w:val="0"/>
      <w:marRight w:val="0"/>
      <w:marTop w:val="0"/>
      <w:marBottom w:val="0"/>
      <w:divBdr>
        <w:top w:val="none" w:sz="0" w:space="0" w:color="auto"/>
        <w:left w:val="none" w:sz="0" w:space="0" w:color="auto"/>
        <w:bottom w:val="none" w:sz="0" w:space="0" w:color="auto"/>
        <w:right w:val="none" w:sz="0" w:space="0" w:color="auto"/>
      </w:divBdr>
    </w:div>
    <w:div w:id="1397164587">
      <w:bodyDiv w:val="1"/>
      <w:marLeft w:val="0"/>
      <w:marRight w:val="0"/>
      <w:marTop w:val="0"/>
      <w:marBottom w:val="0"/>
      <w:divBdr>
        <w:top w:val="none" w:sz="0" w:space="0" w:color="auto"/>
        <w:left w:val="none" w:sz="0" w:space="0" w:color="auto"/>
        <w:bottom w:val="none" w:sz="0" w:space="0" w:color="auto"/>
        <w:right w:val="none" w:sz="0" w:space="0" w:color="auto"/>
      </w:divBdr>
    </w:div>
    <w:div w:id="1455320286">
      <w:bodyDiv w:val="1"/>
      <w:marLeft w:val="0"/>
      <w:marRight w:val="0"/>
      <w:marTop w:val="0"/>
      <w:marBottom w:val="0"/>
      <w:divBdr>
        <w:top w:val="none" w:sz="0" w:space="0" w:color="auto"/>
        <w:left w:val="none" w:sz="0" w:space="0" w:color="auto"/>
        <w:bottom w:val="none" w:sz="0" w:space="0" w:color="auto"/>
        <w:right w:val="none" w:sz="0" w:space="0" w:color="auto"/>
      </w:divBdr>
      <w:divsChild>
        <w:div w:id="640505020">
          <w:marLeft w:val="0"/>
          <w:marRight w:val="0"/>
          <w:marTop w:val="0"/>
          <w:marBottom w:val="0"/>
          <w:divBdr>
            <w:top w:val="none" w:sz="0" w:space="0" w:color="auto"/>
            <w:left w:val="none" w:sz="0" w:space="0" w:color="auto"/>
            <w:bottom w:val="none" w:sz="0" w:space="0" w:color="auto"/>
            <w:right w:val="none" w:sz="0" w:space="0" w:color="auto"/>
          </w:divBdr>
          <w:divsChild>
            <w:div w:id="15106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50064">
      <w:bodyDiv w:val="1"/>
      <w:marLeft w:val="0"/>
      <w:marRight w:val="0"/>
      <w:marTop w:val="0"/>
      <w:marBottom w:val="0"/>
      <w:divBdr>
        <w:top w:val="none" w:sz="0" w:space="0" w:color="auto"/>
        <w:left w:val="none" w:sz="0" w:space="0" w:color="auto"/>
        <w:bottom w:val="none" w:sz="0" w:space="0" w:color="auto"/>
        <w:right w:val="none" w:sz="0" w:space="0" w:color="auto"/>
      </w:divBdr>
    </w:div>
    <w:div w:id="1669090670">
      <w:bodyDiv w:val="1"/>
      <w:marLeft w:val="0"/>
      <w:marRight w:val="0"/>
      <w:marTop w:val="0"/>
      <w:marBottom w:val="0"/>
      <w:divBdr>
        <w:top w:val="none" w:sz="0" w:space="0" w:color="auto"/>
        <w:left w:val="none" w:sz="0" w:space="0" w:color="auto"/>
        <w:bottom w:val="none" w:sz="0" w:space="0" w:color="auto"/>
        <w:right w:val="none" w:sz="0" w:space="0" w:color="auto"/>
      </w:divBdr>
    </w:div>
    <w:div w:id="172564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10.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javascript:modelesswin('imageViewer?doc='+parent.myTitle+'&amp;img=uspnf/pub/images/v28230/g-66.gif',500,500);" TargetMode="External"/><Relationship Id="rId25" Type="http://schemas.openxmlformats.org/officeDocument/2006/relationships/image" Target="media/image9.png"/><Relationship Id="rId33" Type="http://schemas.openxmlformats.org/officeDocument/2006/relationships/hyperlink" Target="https://www.tga.gov.au" TargetMode="Externa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4.png"/><Relationship Id="rId29" Type="http://schemas.openxmlformats.org/officeDocument/2006/relationships/header" Target="header5.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emf"/><Relationship Id="rId32" Type="http://schemas.openxmlformats.org/officeDocument/2006/relationships/hyperlink" Target="mailto:info@tga.gov.au"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header" Target="header4.xml"/><Relationship Id="rId36"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hyperlink" Target="https://www.tga.gov.au/product-information-pi" TargetMode="External"/><Relationship Id="rId30" Type="http://schemas.openxmlformats.org/officeDocument/2006/relationships/header" Target="header6.xml"/><Relationship Id="rId35" Type="http://schemas.openxmlformats.org/officeDocument/2006/relationships/header" Target="header8.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19352\t0QEH4RA.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A3279-E78C-48B6-A7A6-3EABF7B20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t0QEH4RA.DOTX</Template>
  <TotalTime>91</TotalTime>
  <Pages>26</Pages>
  <Words>6975</Words>
  <Characters>40457</Characters>
  <Application>Microsoft Office Word</Application>
  <DocSecurity>0</DocSecurity>
  <Lines>1064</Lines>
  <Paragraphs>632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Australian public assessment report for Beclometasone dipropionate/formoterol (eformoterol) fumarate dihydrate</vt:lpstr>
      <vt:lpstr>Australian public assessment report for</vt:lpstr>
    </vt:vector>
  </TitlesOfParts>
  <Company>Department of Health Therapeutic Goods Administration</Company>
  <LinksUpToDate>false</LinksUpToDate>
  <CharactersWithSpaces>46800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Beclometasone dipropionate/formoterol (eformoterol) fumarate dihydrate</dc:title>
  <dc:subject>prescription medicines</dc:subject>
  <dc:creator>Therapeutic Goods Administration</dc:creator>
  <cp:keywords/>
  <cp:lastPrinted>2019-08-14T04:30:00Z</cp:lastPrinted>
  <dcterms:created xsi:type="dcterms:W3CDTF">2020-08-03T01:54:00Z</dcterms:created>
  <dcterms:modified xsi:type="dcterms:W3CDTF">2020-08-03T03:30:00Z</dcterms:modified>
  <cp:category/>
</cp:coreProperties>
</file>