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C781C" w14:textId="77777777" w:rsidR="00375DF3" w:rsidRPr="00625B9E" w:rsidRDefault="00375DF3" w:rsidP="006018AE">
      <w:pPr>
        <w:tabs>
          <w:tab w:val="left" w:pos="284"/>
        </w:tabs>
        <w:spacing w:after="480" w:line="240" w:lineRule="auto"/>
        <w:rPr>
          <w:rFonts w:asciiTheme="majorHAnsi" w:hAnsiTheme="majorHAnsi"/>
        </w:rPr>
      </w:pPr>
      <w:bookmarkStart w:id="0" w:name="_Hlk22306388"/>
      <w:bookmarkEnd w:id="0"/>
      <w:r w:rsidRPr="00625B9E">
        <w:rPr>
          <w:noProof/>
          <w:lang w:eastAsia="en-AU"/>
        </w:rPr>
        <mc:AlternateContent>
          <mc:Choice Requires="wps">
            <w:drawing>
              <wp:inline distT="0" distB="0" distL="0" distR="0" wp14:anchorId="136A924E" wp14:editId="7A7B851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D1536" w14:textId="77777777" w:rsidR="0083768C" w:rsidRPr="00BE2A26" w:rsidRDefault="0083768C"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36A924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5E5D1536" w14:textId="77777777" w:rsidR="0083768C" w:rsidRPr="00BE2A26" w:rsidRDefault="0083768C"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625B9E">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00593CD6" w:rsidRPr="00625B9E">
          <w:rPr>
            <w:rStyle w:val="Hyperlink"/>
            <w:rFonts w:asciiTheme="majorHAnsi" w:hAnsiTheme="majorHAnsi"/>
          </w:rPr>
          <w:t>https://www.tga.gov.au/reporting-problems</w:t>
        </w:r>
      </w:hyperlink>
      <w:r w:rsidRPr="00625B9E">
        <w:rPr>
          <w:rFonts w:asciiTheme="majorHAnsi" w:hAnsiTheme="majorHAnsi"/>
        </w:rPr>
        <w:t>.</w:t>
      </w:r>
    </w:p>
    <w:p w14:paraId="0B0805BF" w14:textId="4DD11C4B" w:rsidR="009733DC" w:rsidRPr="009733DC" w:rsidRDefault="006018AE" w:rsidP="009733DC">
      <w:pPr>
        <w:pStyle w:val="Heading1"/>
        <w:numPr>
          <w:ilvl w:val="0"/>
          <w:numId w:val="0"/>
        </w:numPr>
        <w:spacing w:after="240"/>
        <w:rPr>
          <w:rFonts w:eastAsia="SimSun"/>
        </w:rPr>
      </w:pPr>
      <w:r w:rsidRPr="00625B9E">
        <w:rPr>
          <w:rFonts w:eastAsia="SimSun"/>
        </w:rPr>
        <w:t xml:space="preserve">Australian PI – </w:t>
      </w:r>
      <w:r w:rsidR="00F21BF8" w:rsidRPr="00625B9E">
        <w:rPr>
          <w:rFonts w:eastAsia="SimSun"/>
        </w:rPr>
        <w:t>OLUMIANT</w:t>
      </w:r>
      <w:r w:rsidR="00AF238D" w:rsidRPr="00625B9E">
        <w:rPr>
          <w:rFonts w:eastAsia="SimSun"/>
        </w:rPr>
        <w:t xml:space="preserve"> </w:t>
      </w:r>
      <w:r w:rsidRPr="00625B9E">
        <w:rPr>
          <w:rFonts w:eastAsia="SimSun"/>
        </w:rPr>
        <w:t>(</w:t>
      </w:r>
      <w:r w:rsidR="00F21BF8" w:rsidRPr="00625B9E">
        <w:rPr>
          <w:rFonts w:eastAsia="SimSun"/>
        </w:rPr>
        <w:t>baricitinib</w:t>
      </w:r>
      <w:r w:rsidRPr="00625B9E">
        <w:rPr>
          <w:rFonts w:eastAsia="SimSun"/>
        </w:rPr>
        <w:t>)</w:t>
      </w:r>
    </w:p>
    <w:p w14:paraId="56030877" w14:textId="77777777" w:rsidR="001A3992" w:rsidRPr="00625B9E" w:rsidRDefault="001A3992" w:rsidP="001A3992">
      <w:pPr>
        <w:pStyle w:val="Heading1"/>
        <w:spacing w:before="0" w:after="120"/>
      </w:pPr>
      <w:r w:rsidRPr="00625B9E">
        <w:t>Name of the medicine</w:t>
      </w:r>
    </w:p>
    <w:p w14:paraId="15E7172D" w14:textId="5FE5F73F" w:rsidR="0050671E" w:rsidRPr="00625B9E" w:rsidRDefault="0050671E" w:rsidP="00F21BF8">
      <w:r>
        <w:t>Baricitinib</w:t>
      </w:r>
    </w:p>
    <w:p w14:paraId="43134135" w14:textId="77777777" w:rsidR="001A3992" w:rsidRPr="00625B9E" w:rsidRDefault="001A3992" w:rsidP="001A3992">
      <w:pPr>
        <w:pStyle w:val="Heading1"/>
        <w:spacing w:before="0" w:after="120"/>
      </w:pPr>
      <w:bookmarkStart w:id="1" w:name="_Qualitative_and_quantitative"/>
      <w:bookmarkEnd w:id="1"/>
      <w:r w:rsidRPr="00625B9E">
        <w:t>Qualitative and quantitative composition</w:t>
      </w:r>
    </w:p>
    <w:p w14:paraId="54B96AA4" w14:textId="77777777" w:rsidR="00F21BF8" w:rsidRPr="00625B9E" w:rsidRDefault="00F21BF8" w:rsidP="00F21BF8">
      <w:r w:rsidRPr="00625B9E">
        <w:rPr>
          <w:u w:val="single"/>
        </w:rPr>
        <w:t>OLUMIANT 2</w:t>
      </w:r>
      <w:r w:rsidR="001A09AD" w:rsidRPr="00625B9E">
        <w:rPr>
          <w:u w:val="single"/>
        </w:rPr>
        <w:t> </w:t>
      </w:r>
      <w:r w:rsidRPr="00625B9E">
        <w:rPr>
          <w:u w:val="single"/>
        </w:rPr>
        <w:t>mg film-coated tablets</w:t>
      </w:r>
      <w:r w:rsidRPr="00625B9E">
        <w:rPr>
          <w:u w:val="single"/>
        </w:rPr>
        <w:br/>
      </w:r>
      <w:r w:rsidRPr="00625B9E">
        <w:t>Each film-coated tablet contains 2</w:t>
      </w:r>
      <w:r w:rsidR="001A09AD" w:rsidRPr="00625B9E">
        <w:t> </w:t>
      </w:r>
      <w:r w:rsidRPr="00625B9E">
        <w:t>mg baricitinib</w:t>
      </w:r>
    </w:p>
    <w:p w14:paraId="683CEDFE" w14:textId="77777777" w:rsidR="00F21BF8" w:rsidRPr="00625B9E" w:rsidRDefault="00F21BF8" w:rsidP="00F21BF8">
      <w:r w:rsidRPr="00625B9E">
        <w:rPr>
          <w:u w:val="single"/>
        </w:rPr>
        <w:t>OLUMIANT 4</w:t>
      </w:r>
      <w:r w:rsidR="001A09AD" w:rsidRPr="00625B9E">
        <w:rPr>
          <w:u w:val="single"/>
        </w:rPr>
        <w:t> </w:t>
      </w:r>
      <w:r w:rsidRPr="00625B9E">
        <w:rPr>
          <w:u w:val="single"/>
        </w:rPr>
        <w:t>mg film-coated tablets</w:t>
      </w:r>
      <w:r w:rsidRPr="00625B9E">
        <w:rPr>
          <w:u w:val="single"/>
        </w:rPr>
        <w:br/>
      </w:r>
      <w:r w:rsidRPr="00625B9E">
        <w:t>Each film-coated tablet contains 4</w:t>
      </w:r>
      <w:r w:rsidR="001A09AD" w:rsidRPr="00625B9E">
        <w:t> </w:t>
      </w:r>
      <w:r w:rsidRPr="00625B9E">
        <w:t>mg baricitinib</w:t>
      </w:r>
    </w:p>
    <w:p w14:paraId="04831001" w14:textId="77777777" w:rsidR="00F21BF8" w:rsidRPr="00625B9E" w:rsidRDefault="00F21BF8" w:rsidP="00F21BF8">
      <w:r w:rsidRPr="00625B9E">
        <w:t>For the full list of excipients, see section 6.1</w:t>
      </w:r>
      <w:r w:rsidR="006E62C2">
        <w:t xml:space="preserve"> </w:t>
      </w:r>
      <w:hyperlink w:anchor="_List_of_excipients" w:history="1">
        <w:r w:rsidR="004D435B" w:rsidRPr="004D435B">
          <w:rPr>
            <w:rStyle w:val="Hyperlink"/>
          </w:rPr>
          <w:t>List of excipients</w:t>
        </w:r>
      </w:hyperlink>
      <w:r w:rsidR="004D435B">
        <w:t xml:space="preserve"> </w:t>
      </w:r>
    </w:p>
    <w:p w14:paraId="3309AAF7" w14:textId="77777777" w:rsidR="001A3992" w:rsidRPr="00625B9E" w:rsidRDefault="001A3992" w:rsidP="001A3992">
      <w:pPr>
        <w:pStyle w:val="Heading1"/>
        <w:spacing w:before="0" w:after="120"/>
      </w:pPr>
      <w:r w:rsidRPr="00625B9E">
        <w:t>Pharmaceutical form</w:t>
      </w:r>
    </w:p>
    <w:p w14:paraId="14F08CD7" w14:textId="77777777" w:rsidR="00F21BF8" w:rsidRPr="00625B9E" w:rsidRDefault="00F21BF8" w:rsidP="00F21BF8">
      <w:r w:rsidRPr="00625B9E">
        <w:t>Film-coated tablet (tablet).</w:t>
      </w:r>
    </w:p>
    <w:p w14:paraId="6B57D60A" w14:textId="77777777" w:rsidR="00F21BF8" w:rsidRPr="00625B9E" w:rsidRDefault="00F21BF8" w:rsidP="00F21BF8">
      <w:r w:rsidRPr="00625B9E">
        <w:rPr>
          <w:u w:val="single"/>
        </w:rPr>
        <w:t>OLUMIANT 2</w:t>
      </w:r>
      <w:r w:rsidR="001A09AD" w:rsidRPr="00625B9E">
        <w:rPr>
          <w:u w:val="single"/>
        </w:rPr>
        <w:t> </w:t>
      </w:r>
      <w:r w:rsidRPr="00625B9E">
        <w:rPr>
          <w:u w:val="single"/>
        </w:rPr>
        <w:t>mg film-coated tablets</w:t>
      </w:r>
      <w:r w:rsidRPr="00625B9E">
        <w:rPr>
          <w:u w:val="single"/>
        </w:rPr>
        <w:br/>
      </w:r>
      <w:r w:rsidRPr="00625B9E">
        <w:t>Light pink, oblong, debossed with “Lilly” script on one side and “2” on the other.</w:t>
      </w:r>
    </w:p>
    <w:p w14:paraId="23BB37D8" w14:textId="77777777" w:rsidR="00F21BF8" w:rsidRPr="00625B9E" w:rsidRDefault="00F21BF8" w:rsidP="00F21BF8">
      <w:r w:rsidRPr="00625B9E">
        <w:rPr>
          <w:u w:val="single"/>
        </w:rPr>
        <w:t>OLUMIANT 4</w:t>
      </w:r>
      <w:r w:rsidR="001A09AD" w:rsidRPr="00625B9E">
        <w:rPr>
          <w:u w:val="single"/>
        </w:rPr>
        <w:t> </w:t>
      </w:r>
      <w:r w:rsidRPr="00625B9E">
        <w:rPr>
          <w:u w:val="single"/>
        </w:rPr>
        <w:t>mg film-coated tablets</w:t>
      </w:r>
      <w:r w:rsidRPr="00625B9E">
        <w:rPr>
          <w:u w:val="single"/>
        </w:rPr>
        <w:br/>
      </w:r>
      <w:r w:rsidRPr="00625B9E">
        <w:t xml:space="preserve">Medium pink, round, debossed with “Lilly” script on one side and “4” on the other. </w:t>
      </w:r>
    </w:p>
    <w:p w14:paraId="605A16D5" w14:textId="77777777" w:rsidR="00F21BF8" w:rsidRPr="00625B9E" w:rsidRDefault="00F21BF8" w:rsidP="00F21BF8">
      <w:r w:rsidRPr="00625B9E">
        <w:t>The tablets contain a recessed area on each face of the tablet surface.</w:t>
      </w:r>
    </w:p>
    <w:p w14:paraId="7B2AE083" w14:textId="77777777" w:rsidR="001A3992" w:rsidRPr="00625B9E" w:rsidRDefault="001A3992" w:rsidP="001A3992">
      <w:pPr>
        <w:pStyle w:val="Heading1"/>
        <w:spacing w:before="0" w:after="120"/>
      </w:pPr>
      <w:r w:rsidRPr="00625B9E">
        <w:t>Clinical particulars</w:t>
      </w:r>
    </w:p>
    <w:p w14:paraId="36F3FA73" w14:textId="77777777" w:rsidR="001A3992" w:rsidRPr="00625B9E" w:rsidRDefault="001A3992" w:rsidP="001A3992">
      <w:pPr>
        <w:pStyle w:val="Heading2"/>
        <w:spacing w:before="0" w:after="120"/>
      </w:pPr>
      <w:r w:rsidRPr="00625B9E">
        <w:t xml:space="preserve">Therapeutic indications </w:t>
      </w:r>
    </w:p>
    <w:p w14:paraId="5F62427A" w14:textId="43AB0428" w:rsidR="00015DC5" w:rsidRPr="00015DC5" w:rsidRDefault="00015DC5" w:rsidP="00F21BF8">
      <w:pPr>
        <w:rPr>
          <w:b/>
          <w:u w:val="single"/>
        </w:rPr>
      </w:pPr>
      <w:r>
        <w:rPr>
          <w:b/>
          <w:u w:val="single"/>
        </w:rPr>
        <w:t>Rheumatoid Arthritis</w:t>
      </w:r>
    </w:p>
    <w:p w14:paraId="48DBE72B" w14:textId="1C72137C" w:rsidR="00F21BF8" w:rsidRPr="00625B9E" w:rsidRDefault="00F21BF8" w:rsidP="00F21BF8">
      <w:r w:rsidRPr="00625B9E">
        <w:t>OLUMIANT is indicated for the treatment of moderate to severe active rheumatoid arthritis (RA) in adult patients who have responded inadequately, or who are intolerant, to one or more DMARDs.</w:t>
      </w:r>
    </w:p>
    <w:p w14:paraId="37402AD9" w14:textId="12CB4C86" w:rsidR="00F21BF8" w:rsidRDefault="00F21BF8" w:rsidP="00F21BF8">
      <w:r w:rsidRPr="00625B9E">
        <w:t xml:space="preserve">OLUMIANT can be taken as monotherapy or in combination with </w:t>
      </w:r>
      <w:proofErr w:type="spellStart"/>
      <w:r w:rsidRPr="00625B9E">
        <w:t>cDMARDs</w:t>
      </w:r>
      <w:proofErr w:type="spellEnd"/>
      <w:r w:rsidRPr="00625B9E">
        <w:t>, including methotrexate (MTX).</w:t>
      </w:r>
    </w:p>
    <w:p w14:paraId="1C4369ED" w14:textId="6EDAB2F1" w:rsidR="00015DC5" w:rsidRDefault="00015DC5" w:rsidP="00F21BF8">
      <w:pPr>
        <w:rPr>
          <w:b/>
          <w:u w:val="single"/>
        </w:rPr>
      </w:pPr>
      <w:r>
        <w:rPr>
          <w:b/>
          <w:u w:val="single"/>
        </w:rPr>
        <w:t>Atopic Dermatitis</w:t>
      </w:r>
    </w:p>
    <w:p w14:paraId="570FAD3A" w14:textId="3ED3457C" w:rsidR="00015DC5" w:rsidRPr="00F72B16" w:rsidRDefault="00015DC5" w:rsidP="00F21BF8">
      <w:r w:rsidRPr="00F72B16">
        <w:t>OLUMIANT is indicated for the treatment of moderate to severe atopic dermatitis</w:t>
      </w:r>
      <w:r w:rsidR="00584E16">
        <w:t xml:space="preserve"> in adult patients who are candidates for systemic therapy</w:t>
      </w:r>
      <w:r w:rsidRPr="00F72B16">
        <w:t>.</w:t>
      </w:r>
    </w:p>
    <w:p w14:paraId="33B89296" w14:textId="367A9049" w:rsidR="001A3992" w:rsidRPr="00625B9E" w:rsidRDefault="000C4E6C" w:rsidP="001A3992">
      <w:pPr>
        <w:pStyle w:val="Heading2"/>
        <w:spacing w:before="0" w:after="120"/>
      </w:pPr>
      <w:bookmarkStart w:id="2" w:name="_Dose_and_method"/>
      <w:bookmarkEnd w:id="2"/>
      <w:r w:rsidRPr="00F72B16">
        <w:lastRenderedPageBreak/>
        <w:t>Dose and method of administration</w:t>
      </w:r>
      <w:r w:rsidR="001A3992" w:rsidRPr="00625B9E">
        <w:t xml:space="preserve"> </w:t>
      </w:r>
    </w:p>
    <w:p w14:paraId="483D921A" w14:textId="4DCDB1F9" w:rsidR="00015DC5" w:rsidRPr="00F72B16" w:rsidRDefault="00015DC5" w:rsidP="00F21BF8">
      <w:pPr>
        <w:rPr>
          <w:b/>
          <w:u w:val="single"/>
        </w:rPr>
      </w:pPr>
      <w:r>
        <w:rPr>
          <w:b/>
          <w:u w:val="single"/>
        </w:rPr>
        <w:t>Rheumatoid Arthritis</w:t>
      </w:r>
    </w:p>
    <w:p w14:paraId="4ADC5078" w14:textId="50181DD7" w:rsidR="00F21BF8" w:rsidRPr="00625B9E" w:rsidRDefault="00F21BF8" w:rsidP="00F21BF8">
      <w:r w:rsidRPr="00625B9E">
        <w:t>Therapy with OLUMIANT should be initiated and monitored by a rheumatologist or specialist physician with expertise in the management of rheumatoid arthritis.</w:t>
      </w:r>
    </w:p>
    <w:p w14:paraId="0107EC7B" w14:textId="77777777" w:rsidR="003179CC" w:rsidRDefault="00F21BF8" w:rsidP="00F21BF8">
      <w:r w:rsidRPr="00625B9E">
        <w:t>The recommended dose of OLUMIANT is 4</w:t>
      </w:r>
      <w:r w:rsidR="001A09AD" w:rsidRPr="00625B9E">
        <w:t> </w:t>
      </w:r>
      <w:r w:rsidRPr="00625B9E">
        <w:t xml:space="preserve">mg once daily. OLUMIANT may be used as monotherapy or in combination with </w:t>
      </w:r>
      <w:proofErr w:type="spellStart"/>
      <w:r w:rsidRPr="00625B9E">
        <w:t>cDMARDS</w:t>
      </w:r>
      <w:proofErr w:type="spellEnd"/>
      <w:r w:rsidRPr="00625B9E">
        <w:t xml:space="preserve">. </w:t>
      </w:r>
    </w:p>
    <w:p w14:paraId="2807D8D7" w14:textId="144B1012" w:rsidR="00F21BF8" w:rsidRPr="00625B9E" w:rsidRDefault="003179CC" w:rsidP="00F21BF8">
      <w:r>
        <w:t xml:space="preserve">A dose of 2 mg once daily may be acceptable for </w:t>
      </w:r>
      <w:r w:rsidR="00F21BF8" w:rsidRPr="00625B9E">
        <w:t xml:space="preserve">patients with an inadequate response to </w:t>
      </w:r>
      <w:proofErr w:type="spellStart"/>
      <w:r w:rsidR="00F21BF8" w:rsidRPr="00625B9E">
        <w:t>cDMARDs</w:t>
      </w:r>
      <w:proofErr w:type="spellEnd"/>
      <w:r w:rsidR="00F21BF8" w:rsidRPr="00625B9E">
        <w:t xml:space="preserve"> who have moderate disease severity, limited risk </w:t>
      </w:r>
      <w:r>
        <w:t>of</w:t>
      </w:r>
      <w:r w:rsidR="00F21BF8" w:rsidRPr="00625B9E">
        <w:t xml:space="preserve"> progressive joint damage</w:t>
      </w:r>
      <w:r>
        <w:t xml:space="preserve"> and moderate impairment of </w:t>
      </w:r>
      <w:r w:rsidR="00F21BF8" w:rsidRPr="00625B9E">
        <w:t xml:space="preserve">physical function (see </w:t>
      </w:r>
      <w:r w:rsidR="003D7771" w:rsidRPr="00625B9E">
        <w:t xml:space="preserve">section </w:t>
      </w:r>
      <w:r w:rsidR="005B7AB9" w:rsidRPr="00625B9E">
        <w:t>5</w:t>
      </w:r>
      <w:r w:rsidR="004D435B">
        <w:t xml:space="preserve"> </w:t>
      </w:r>
      <w:r w:rsidR="001109EE">
        <w:t xml:space="preserve">PHARMACOLOGICAL PROPERTIES / PHARMACODYNAMIC PROPERTIES / </w:t>
      </w:r>
      <w:hyperlink w:anchor="_Clinical_trials" w:history="1">
        <w:r w:rsidR="004D435B" w:rsidRPr="004D435B">
          <w:rPr>
            <w:rStyle w:val="Hyperlink"/>
          </w:rPr>
          <w:t>Clinical trials</w:t>
        </w:r>
      </w:hyperlink>
      <w:r w:rsidR="00170588" w:rsidRPr="00625B9E">
        <w:t>;</w:t>
      </w:r>
      <w:r w:rsidR="005B7AB9" w:rsidRPr="00625B9E">
        <w:t xml:space="preserve"> section 4.4 </w:t>
      </w:r>
      <w:r w:rsidR="001109EE">
        <w:t xml:space="preserve">SPECIAL WARNINGS AND PRECAUTIONS / </w:t>
      </w:r>
      <w:hyperlink w:anchor="_Use_in_hepatic" w:history="1">
        <w:r w:rsidR="001109EE" w:rsidRPr="001109EE">
          <w:rPr>
            <w:rStyle w:val="Hyperlink"/>
          </w:rPr>
          <w:t>Use in hepatic impairment</w:t>
        </w:r>
      </w:hyperlink>
      <w:r w:rsidR="001109EE">
        <w:t xml:space="preserve">, </w:t>
      </w:r>
      <w:hyperlink w:anchor="_Use_in_renal" w:history="1">
        <w:r w:rsidR="001109EE" w:rsidRPr="001109EE">
          <w:rPr>
            <w:rStyle w:val="Hyperlink"/>
          </w:rPr>
          <w:t>Use in renal impairment</w:t>
        </w:r>
      </w:hyperlink>
      <w:r w:rsidR="001109EE">
        <w:t xml:space="preserve">, </w:t>
      </w:r>
      <w:hyperlink w:anchor="_Effects_on_laboratory" w:history="1">
        <w:r w:rsidR="001109EE" w:rsidRPr="001109EE">
          <w:rPr>
            <w:rStyle w:val="Hyperlink"/>
          </w:rPr>
          <w:t>Effects on laboratory tests</w:t>
        </w:r>
      </w:hyperlink>
      <w:r w:rsidR="000C1180">
        <w:t>)</w:t>
      </w:r>
      <w:r w:rsidR="00914511">
        <w:t>.</w:t>
      </w:r>
    </w:p>
    <w:p w14:paraId="501685C0" w14:textId="77777777" w:rsidR="00F21BF8" w:rsidRPr="00625B9E" w:rsidRDefault="00F21BF8" w:rsidP="00F21BF8">
      <w:r w:rsidRPr="00625B9E">
        <w:t>A dose of 2</w:t>
      </w:r>
      <w:r w:rsidR="001A09AD" w:rsidRPr="00625B9E">
        <w:t> </w:t>
      </w:r>
      <w:r w:rsidRPr="00625B9E">
        <w:t>mg once daily may also be considered for patients who have achieved sustained control of disease activity with 4</w:t>
      </w:r>
      <w:r w:rsidR="001A09AD" w:rsidRPr="00625B9E">
        <w:t> </w:t>
      </w:r>
      <w:r w:rsidRPr="00625B9E">
        <w:t>mg once daily and are eligible for dose tapering.</w:t>
      </w:r>
    </w:p>
    <w:p w14:paraId="0B15ED55" w14:textId="77777777" w:rsidR="00F21BF8" w:rsidRPr="00625B9E" w:rsidRDefault="00F21BF8" w:rsidP="00F21BF8">
      <w:r w:rsidRPr="00625B9E">
        <w:t>Combination with other JAK inhibitors has not been studied and is not recommended.</w:t>
      </w:r>
    </w:p>
    <w:p w14:paraId="7235B3B3" w14:textId="068BF92F" w:rsidR="00015DC5" w:rsidRPr="00EC003A" w:rsidRDefault="00015DC5" w:rsidP="00F21BF8">
      <w:pPr>
        <w:rPr>
          <w:b/>
          <w:u w:val="single"/>
        </w:rPr>
      </w:pPr>
      <w:bookmarkStart w:id="3" w:name="_Hlk59543604"/>
      <w:bookmarkStart w:id="4" w:name="_Hlk23932404"/>
      <w:r w:rsidRPr="00EC003A">
        <w:rPr>
          <w:b/>
          <w:u w:val="single"/>
        </w:rPr>
        <w:t>Atopic Dermatitis</w:t>
      </w:r>
    </w:p>
    <w:p w14:paraId="42E3356C" w14:textId="26FB15EC" w:rsidR="00015DC5" w:rsidRPr="00015DC5" w:rsidRDefault="00015DC5" w:rsidP="00F21BF8">
      <w:bookmarkStart w:id="5" w:name="_Hlk62479830"/>
      <w:r w:rsidRPr="00F72B16">
        <w:t>The</w:t>
      </w:r>
      <w:r>
        <w:t xml:space="preserve">rapy with OLUMIANT should be initiated and supervised by a dermatologist or </w:t>
      </w:r>
      <w:r w:rsidR="00584E16">
        <w:t>physician</w:t>
      </w:r>
      <w:r w:rsidR="00527837">
        <w:t xml:space="preserve"> with expertise in the management of atopic dermatitis.</w:t>
      </w:r>
    </w:p>
    <w:p w14:paraId="67B9A7C0" w14:textId="50C2955E" w:rsidR="00527837" w:rsidRPr="00E84DB9" w:rsidRDefault="00527837" w:rsidP="004A52EF">
      <w:r w:rsidRPr="00584E16">
        <w:t>The recommended dos</w:t>
      </w:r>
      <w:r w:rsidR="00550F77">
        <w:t>e</w:t>
      </w:r>
      <w:r w:rsidRPr="00584E16">
        <w:t xml:space="preserve"> of </w:t>
      </w:r>
      <w:r w:rsidR="00FF1B29">
        <w:t>OLUMIANT</w:t>
      </w:r>
      <w:r w:rsidRPr="00584E16">
        <w:t xml:space="preserve"> </w:t>
      </w:r>
      <w:r w:rsidR="00550F77">
        <w:t>is</w:t>
      </w:r>
      <w:r w:rsidR="004C107A">
        <w:t xml:space="preserve"> 2</w:t>
      </w:r>
      <w:r w:rsidR="009437C2">
        <w:t xml:space="preserve"> </w:t>
      </w:r>
      <w:r w:rsidR="004C107A">
        <w:t xml:space="preserve">mg </w:t>
      </w:r>
      <w:r w:rsidRPr="00200B6D">
        <w:t>once daily</w:t>
      </w:r>
      <w:r w:rsidRPr="00584E16">
        <w:t xml:space="preserve"> </w:t>
      </w:r>
      <w:r w:rsidR="00E4039E" w:rsidRPr="00E84DB9">
        <w:t xml:space="preserve">(see section 5 PHARMACOLOGICAL PROPERTIES / PHARMACODYNAMIC PROPERTIES / </w:t>
      </w:r>
      <w:hyperlink w:anchor="_Clinical_trials" w:history="1">
        <w:r w:rsidR="00FF1B29" w:rsidRPr="00E84DB9">
          <w:rPr>
            <w:rStyle w:val="Hyperlink"/>
          </w:rPr>
          <w:t>Clinical trials</w:t>
        </w:r>
      </w:hyperlink>
      <w:r w:rsidR="00E84DB9">
        <w:rPr>
          <w:rStyle w:val="Hyperlink"/>
        </w:rPr>
        <w:t xml:space="preserve"> on Atopic Dermatitis</w:t>
      </w:r>
      <w:r w:rsidR="00E4039E" w:rsidRPr="00E84DB9">
        <w:t>; section 4.4 SPECIAL WARNINGS AND PRECAUTIONS /</w:t>
      </w:r>
      <w:r w:rsidR="00FF1B29" w:rsidRPr="00E84DB9">
        <w:t xml:space="preserve"> </w:t>
      </w:r>
      <w:hyperlink w:anchor="_Use_in_hepatic" w:history="1">
        <w:r w:rsidR="00FF1B29" w:rsidRPr="00E84DB9">
          <w:rPr>
            <w:rStyle w:val="Hyperlink"/>
          </w:rPr>
          <w:t>Use in hepatic impairment</w:t>
        </w:r>
      </w:hyperlink>
      <w:hyperlink w:anchor="_Use_in_hepatic" w:history="1"/>
      <w:r w:rsidR="00E4039E" w:rsidRPr="00E84DB9">
        <w:t>,</w:t>
      </w:r>
      <w:r w:rsidR="00FF1B29" w:rsidRPr="00E84DB9">
        <w:t xml:space="preserve"> </w:t>
      </w:r>
      <w:hyperlink w:anchor="_Use_in_renal" w:history="1">
        <w:r w:rsidR="00FF1B29" w:rsidRPr="00E84DB9">
          <w:rPr>
            <w:rStyle w:val="Hyperlink"/>
          </w:rPr>
          <w:t>Use in renal impairment</w:t>
        </w:r>
      </w:hyperlink>
      <w:r w:rsidR="00FF1B29" w:rsidRPr="00E84DB9">
        <w:rPr>
          <w:rStyle w:val="Hyperlink"/>
        </w:rPr>
        <w:t>,</w:t>
      </w:r>
      <w:r w:rsidR="00FF1B29" w:rsidRPr="00E84DB9">
        <w:t xml:space="preserve"> </w:t>
      </w:r>
      <w:hyperlink w:anchor="_Effects_on_laboratory" w:history="1">
        <w:r w:rsidR="00FF1B29" w:rsidRPr="00E84DB9">
          <w:rPr>
            <w:rStyle w:val="Hyperlink"/>
          </w:rPr>
          <w:t>Effects on laboratory tests</w:t>
        </w:r>
      </w:hyperlink>
      <w:r w:rsidR="00E4039E" w:rsidRPr="00E84DB9">
        <w:t>)</w:t>
      </w:r>
      <w:r w:rsidR="00550F77" w:rsidRPr="00E84DB9">
        <w:t>.</w:t>
      </w:r>
    </w:p>
    <w:p w14:paraId="33080E3D" w14:textId="5509BF16" w:rsidR="00914511" w:rsidRDefault="00914511" w:rsidP="00914511">
      <w:r w:rsidRPr="00E84DB9">
        <w:t>A dose of </w:t>
      </w:r>
      <w:r w:rsidR="00E84DB9">
        <w:t xml:space="preserve">4 </w:t>
      </w:r>
      <w:r w:rsidRPr="00E84DB9">
        <w:t xml:space="preserve">mg once daily may also be considered for patients who have </w:t>
      </w:r>
      <w:r w:rsidR="00E84DB9">
        <w:t xml:space="preserve">not </w:t>
      </w:r>
      <w:r w:rsidRPr="00E84DB9">
        <w:t xml:space="preserve">achieved sustained control of disease activity with </w:t>
      </w:r>
      <w:r w:rsidR="00E84DB9">
        <w:t>2</w:t>
      </w:r>
      <w:r w:rsidRPr="00E84DB9">
        <w:t> mg once daily.</w:t>
      </w:r>
      <w:r w:rsidR="00CB5BAB">
        <w:t xml:space="preserve"> Dose tapering to 2 mg </w:t>
      </w:r>
      <w:r w:rsidR="00200B6D">
        <w:t xml:space="preserve">once </w:t>
      </w:r>
      <w:r w:rsidR="00CB5BAB">
        <w:t>daily should be considered once the patient ha</w:t>
      </w:r>
      <w:r w:rsidR="00200B6D">
        <w:t>s</w:t>
      </w:r>
      <w:r w:rsidR="00CB5BAB">
        <w:t xml:space="preserve"> </w:t>
      </w:r>
      <w:r w:rsidR="00A025E7">
        <w:t xml:space="preserve">achieved </w:t>
      </w:r>
      <w:r w:rsidR="00CB5BAB">
        <w:t>sustained control of disease with 4 mg once daily.</w:t>
      </w:r>
    </w:p>
    <w:p w14:paraId="5B44BF59" w14:textId="71F4A048" w:rsidR="00557167" w:rsidRPr="00625B9E" w:rsidRDefault="00CB5BAB" w:rsidP="00914511">
      <w:r>
        <w:rPr>
          <w:lang w:val="en-US"/>
        </w:rPr>
        <w:t xml:space="preserve">Treatment should be discontinued </w:t>
      </w:r>
      <w:r w:rsidR="00557167" w:rsidRPr="00E916AB">
        <w:rPr>
          <w:lang w:val="en-US"/>
        </w:rPr>
        <w:t>in patients who show no evidence of therapeutic benefit after 8 weeks of treatment</w:t>
      </w:r>
      <w:r w:rsidR="00645E8F">
        <w:rPr>
          <w:lang w:val="en-US"/>
        </w:rPr>
        <w:t xml:space="preserve"> </w:t>
      </w:r>
      <w:r w:rsidR="00645E8F" w:rsidRPr="0039617C">
        <w:rPr>
          <w:lang w:val="en-US"/>
        </w:rPr>
        <w:t>with 4</w:t>
      </w:r>
      <w:r w:rsidR="00A025E7">
        <w:rPr>
          <w:lang w:val="en-US"/>
        </w:rPr>
        <w:t xml:space="preserve"> </w:t>
      </w:r>
      <w:r w:rsidR="00645E8F" w:rsidRPr="0039617C">
        <w:rPr>
          <w:lang w:val="en-US"/>
        </w:rPr>
        <w:t>mg</w:t>
      </w:r>
      <w:r w:rsidR="00557167" w:rsidRPr="00E916AB">
        <w:rPr>
          <w:lang w:val="en-US"/>
        </w:rPr>
        <w:t>.</w:t>
      </w:r>
    </w:p>
    <w:p w14:paraId="07E5F030" w14:textId="3519B028" w:rsidR="00F72B16" w:rsidRPr="00F72B16" w:rsidRDefault="00FF1B29" w:rsidP="00F72B16">
      <w:pPr>
        <w:rPr>
          <w:lang w:val="en-US"/>
        </w:rPr>
      </w:pPr>
      <w:r>
        <w:rPr>
          <w:lang w:val="en-US"/>
        </w:rPr>
        <w:t>OLUMIANT</w:t>
      </w:r>
      <w:r w:rsidR="00F72B16" w:rsidRPr="00F72B16">
        <w:rPr>
          <w:lang w:val="en-US"/>
        </w:rPr>
        <w:t xml:space="preserve"> may be used as monotherapy or in combination with topical corticosteroids. Topical </w:t>
      </w:r>
      <w:proofErr w:type="spellStart"/>
      <w:r w:rsidR="00F72B16" w:rsidRPr="00F72B16">
        <w:rPr>
          <w:lang w:val="en-US"/>
        </w:rPr>
        <w:t>calcineurin</w:t>
      </w:r>
      <w:proofErr w:type="spellEnd"/>
      <w:r w:rsidR="00F72B16" w:rsidRPr="00F72B16">
        <w:rPr>
          <w:lang w:val="en-US"/>
        </w:rPr>
        <w:t xml:space="preserve"> inhibitors may be used.</w:t>
      </w:r>
    </w:p>
    <w:p w14:paraId="1B3C1B49" w14:textId="77777777" w:rsidR="00F72B16" w:rsidRPr="00F72B16" w:rsidRDefault="00F72B16" w:rsidP="00F72B16">
      <w:pPr>
        <w:rPr>
          <w:lang w:val="en-US"/>
        </w:rPr>
      </w:pPr>
      <w:r w:rsidRPr="00F72B16">
        <w:rPr>
          <w:lang w:val="en-US"/>
        </w:rPr>
        <w:t>Combination with biologic immunomodulators, other JAK inhibitors, cyclosporine or other potent immunosuppressants has not been studied in patients with atopic dermatitis and is not recommended.</w:t>
      </w:r>
    </w:p>
    <w:bookmarkEnd w:id="5"/>
    <w:p w14:paraId="633E981D" w14:textId="074F445D" w:rsidR="00F21BF8" w:rsidRPr="00625B9E" w:rsidRDefault="00F21BF8" w:rsidP="00F21BF8">
      <w:r w:rsidRPr="00625B9E">
        <w:t>OLUMIANT is given orally with or without food.</w:t>
      </w:r>
    </w:p>
    <w:bookmarkEnd w:id="3"/>
    <w:p w14:paraId="735E8040" w14:textId="77777777" w:rsidR="00335873" w:rsidRPr="00625B9E" w:rsidRDefault="00335873" w:rsidP="00094A0C">
      <w:pPr>
        <w:pStyle w:val="Heading3"/>
      </w:pPr>
      <w:r w:rsidRPr="00625B9E">
        <w:lastRenderedPageBreak/>
        <w:t>Dose Modifications in Patients with Renal Impairment</w:t>
      </w:r>
    </w:p>
    <w:p w14:paraId="0B6B10CA" w14:textId="77777777" w:rsidR="00335873" w:rsidRPr="00625B9E" w:rsidRDefault="00335873" w:rsidP="00335873">
      <w:r w:rsidRPr="00625B9E">
        <w:t>The recommended dose of OLUMIANT in patients with moderate, Stage 3 renal impairment, (estimated glomerular filtration rate (GFR) 30</w:t>
      </w:r>
      <w:r w:rsidR="00C80D6A" w:rsidRPr="00625B9E">
        <w:t> </w:t>
      </w:r>
      <w:r w:rsidRPr="00625B9E">
        <w:t>-</w:t>
      </w:r>
      <w:r w:rsidR="00C80D6A" w:rsidRPr="00625B9E">
        <w:t> </w:t>
      </w:r>
      <w:r w:rsidRPr="00625B9E">
        <w:t>≤60 mL/min/1.73</w:t>
      </w:r>
      <w:r w:rsidR="00C80D6A" w:rsidRPr="00625B9E">
        <w:t> </w:t>
      </w:r>
      <w:r w:rsidRPr="00625B9E">
        <w:t>m</w:t>
      </w:r>
      <w:r w:rsidRPr="00625B9E">
        <w:rPr>
          <w:vertAlign w:val="superscript"/>
        </w:rPr>
        <w:t>2</w:t>
      </w:r>
      <w:r w:rsidRPr="00625B9E">
        <w:t>) is 2 mg once daily. OLUMIANT is not recommended for use in patients with severe and end stage renal impairment Stage 4 &amp; 5 (estimated GFR of &lt;30</w:t>
      </w:r>
      <w:r w:rsidR="00C80D6A" w:rsidRPr="00625B9E">
        <w:t> </w:t>
      </w:r>
      <w:r w:rsidRPr="00625B9E">
        <w:t>mL/min/1.73</w:t>
      </w:r>
      <w:r w:rsidR="00C80D6A" w:rsidRPr="00625B9E">
        <w:t> </w:t>
      </w:r>
      <w:r w:rsidRPr="00625B9E">
        <w:t>m</w:t>
      </w:r>
      <w:r w:rsidRPr="00625B9E">
        <w:rPr>
          <w:vertAlign w:val="superscript"/>
        </w:rPr>
        <w:t>2</w:t>
      </w:r>
      <w:r w:rsidRPr="00625B9E">
        <w:t>) (see</w:t>
      </w:r>
      <w:r w:rsidR="003D7771" w:rsidRPr="00625B9E">
        <w:t xml:space="preserve"> section</w:t>
      </w:r>
      <w:r w:rsidR="00625B9E">
        <w:t xml:space="preserve"> 4.4</w:t>
      </w:r>
      <w:r w:rsidR="004D435B">
        <w:t xml:space="preserve"> </w:t>
      </w:r>
      <w:r w:rsidR="001109EE">
        <w:t>SPECIAL WARNINGS AND PRECAUTIONS</w:t>
      </w:r>
      <w:r w:rsidR="00DB2D5C">
        <w:t xml:space="preserve"> FOR USE</w:t>
      </w:r>
      <w:r w:rsidR="001109EE">
        <w:t xml:space="preserve"> / </w:t>
      </w:r>
      <w:hyperlink w:anchor="_Use_in_renal" w:history="1">
        <w:r w:rsidR="004D435B" w:rsidRPr="004D435B">
          <w:rPr>
            <w:rStyle w:val="Hyperlink"/>
          </w:rPr>
          <w:t>Use in renal impairment</w:t>
        </w:r>
      </w:hyperlink>
      <w:r w:rsidRPr="00625B9E">
        <w:t>).</w:t>
      </w:r>
    </w:p>
    <w:p w14:paraId="256FBA79" w14:textId="77777777" w:rsidR="00335873" w:rsidRPr="00625B9E" w:rsidRDefault="00335873" w:rsidP="00335873">
      <w:r w:rsidRPr="00625B9E">
        <w:t>Subjects with creatinine clearance of &lt;40</w:t>
      </w:r>
      <w:r w:rsidR="00C80D6A" w:rsidRPr="00625B9E">
        <w:t> </w:t>
      </w:r>
      <w:r w:rsidRPr="00625B9E">
        <w:t>mL/min at baseline were excluded from participating in the Phase 3 baricitinib studies.</w:t>
      </w:r>
    </w:p>
    <w:p w14:paraId="4A518A6D" w14:textId="77777777" w:rsidR="00335873" w:rsidRPr="00625B9E" w:rsidRDefault="00335873" w:rsidP="00094A0C">
      <w:pPr>
        <w:pStyle w:val="Heading3"/>
      </w:pPr>
      <w:r w:rsidRPr="00625B9E">
        <w:t>Dose Modifications Due to Drug Interactions</w:t>
      </w:r>
    </w:p>
    <w:p w14:paraId="79268C83" w14:textId="1EB43066" w:rsidR="00335873" w:rsidRPr="00625B9E" w:rsidRDefault="00335873" w:rsidP="00335873">
      <w:r w:rsidRPr="00625B9E">
        <w:t>The recommended dose of OLUMIANT in patients taking OAT3 inhibitors with a strong inhibition potential, such as probenecid, is 2</w:t>
      </w:r>
      <w:r w:rsidR="00C80D6A" w:rsidRPr="00625B9E">
        <w:t> </w:t>
      </w:r>
      <w:r w:rsidRPr="00625B9E">
        <w:t>mg once daily (see</w:t>
      </w:r>
      <w:r w:rsidR="003D7771" w:rsidRPr="00625B9E">
        <w:t xml:space="preserve"> s</w:t>
      </w:r>
      <w:r w:rsidR="003D7771" w:rsidRPr="004E5E12">
        <w:t>ection</w:t>
      </w:r>
      <w:r w:rsidR="00625B9E" w:rsidRPr="004E5E12">
        <w:t xml:space="preserve"> 4.5</w:t>
      </w:r>
      <w:r w:rsidR="001453C5">
        <w:t xml:space="preserve"> </w:t>
      </w:r>
      <w:hyperlink w:anchor="_Interactions_with_other" w:history="1">
        <w:r w:rsidR="004E5E12" w:rsidRPr="004E5E12">
          <w:rPr>
            <w:rStyle w:val="Hyperlink"/>
          </w:rPr>
          <w:t>Interactions with other medicines and other forms of interactions</w:t>
        </w:r>
      </w:hyperlink>
      <w:r w:rsidRPr="00625B9E">
        <w:t xml:space="preserve">). </w:t>
      </w:r>
      <w:bookmarkEnd w:id="4"/>
    </w:p>
    <w:p w14:paraId="4A5FE0F7" w14:textId="77777777" w:rsidR="00335873" w:rsidRPr="00625B9E" w:rsidRDefault="00335873" w:rsidP="00094A0C">
      <w:pPr>
        <w:pStyle w:val="Heading3"/>
      </w:pPr>
      <w:r w:rsidRPr="00625B9E">
        <w:t xml:space="preserve">Managing Dose Interruptions or Adjustments </w:t>
      </w:r>
      <w:bookmarkStart w:id="6" w:name="_Ref473210406"/>
      <w:bookmarkStart w:id="7" w:name="_Toc473214898"/>
      <w:bookmarkStart w:id="8" w:name="_Toc473274805"/>
      <w:bookmarkStart w:id="9" w:name="_Toc473275253"/>
      <w:bookmarkStart w:id="10" w:name="_Toc473279680"/>
      <w:bookmarkStart w:id="11" w:name="_Toc473298059"/>
      <w:bookmarkStart w:id="12" w:name="_Toc473294674"/>
      <w:bookmarkStart w:id="13" w:name="_Toc473298345"/>
      <w:bookmarkStart w:id="14" w:name="_Toc473537041"/>
      <w:bookmarkStart w:id="15" w:name="_Toc473535790"/>
      <w:bookmarkStart w:id="16" w:name="_Toc473540778"/>
      <w:bookmarkStart w:id="17" w:name="_Toc473549262"/>
      <w:bookmarkStart w:id="18" w:name="_Toc473549885"/>
      <w:bookmarkStart w:id="19" w:name="_Toc473550108"/>
      <w:bookmarkStart w:id="20" w:name="_Toc473555298"/>
      <w:bookmarkStart w:id="21" w:name="_Toc473553445"/>
      <w:bookmarkStart w:id="22" w:name="_Toc473577223"/>
      <w:bookmarkStart w:id="23" w:name="_Toc473875688"/>
      <w:bookmarkStart w:id="24" w:name="_Toc473897772"/>
      <w:bookmarkStart w:id="25" w:name="_Toc473901567"/>
      <w:bookmarkStart w:id="26" w:name="_Toc473902060"/>
      <w:bookmarkStart w:id="27" w:name="_Toc473899700"/>
      <w:bookmarkStart w:id="28" w:name="_Toc473908634"/>
      <w:bookmarkStart w:id="29" w:name="_Toc473968810"/>
      <w:bookmarkStart w:id="30" w:name="_Toc474235271"/>
      <w:bookmarkStart w:id="31" w:name="_Toc474229548"/>
      <w:bookmarkStart w:id="32" w:name="_Toc474234915"/>
      <w:bookmarkStart w:id="33" w:name="_Toc474253975"/>
      <w:bookmarkStart w:id="34" w:name="_Toc474301594"/>
      <w:bookmarkStart w:id="35" w:name="_Toc474246909"/>
      <w:bookmarkStart w:id="36" w:name="_Toc474247030"/>
      <w:bookmarkStart w:id="37" w:name="_Toc474250431"/>
      <w:bookmarkStart w:id="38" w:name="_Toc474250658"/>
      <w:bookmarkStart w:id="39" w:name="_Toc474341749"/>
      <w:bookmarkStart w:id="40" w:name="_Toc474334230"/>
      <w:bookmarkStart w:id="41" w:name="_Toc474334699"/>
      <w:bookmarkStart w:id="42" w:name="_Toc474334842"/>
      <w:bookmarkStart w:id="43" w:name="_Toc474362303"/>
      <w:bookmarkStart w:id="44" w:name="_Toc474397287"/>
      <w:bookmarkStart w:id="45" w:name="_Toc474402788"/>
      <w:bookmarkStart w:id="46" w:name="_Toc474411717"/>
      <w:bookmarkStart w:id="47" w:name="_Toc474412766"/>
      <w:bookmarkStart w:id="48" w:name="_Toc474439564"/>
      <w:bookmarkStart w:id="49" w:name="_Toc474505906"/>
      <w:bookmarkStart w:id="50" w:name="_Toc474514131"/>
      <w:bookmarkStart w:id="51" w:name="_Toc474496370"/>
      <w:bookmarkStart w:id="52" w:name="_Toc474501296"/>
      <w:bookmarkStart w:id="53" w:name="_Toc474501730"/>
      <w:bookmarkStart w:id="54" w:name="_Toc474502639"/>
      <w:bookmarkStart w:id="55" w:name="_Toc474507329"/>
      <w:bookmarkStart w:id="56" w:name="_Toc474515085"/>
      <w:bookmarkStart w:id="57" w:name="_Toc474608154"/>
      <w:bookmarkStart w:id="58" w:name="_Toc474610557"/>
      <w:bookmarkStart w:id="59" w:name="_Toc474682505"/>
      <w:bookmarkStart w:id="60" w:name="_Toc474745583"/>
    </w:p>
    <w:p w14:paraId="5B464775" w14:textId="77777777" w:rsidR="00335873" w:rsidRPr="00DC7636" w:rsidRDefault="00335873" w:rsidP="00335873">
      <w:pPr>
        <w:rPr>
          <w:b/>
        </w:rPr>
      </w:pPr>
      <w:r w:rsidRPr="00DC7636">
        <w:rPr>
          <w:b/>
        </w:rPr>
        <w:t xml:space="preserve">Table </w:t>
      </w:r>
      <w:bookmarkEnd w:id="6"/>
      <w:r w:rsidR="005B7AB9" w:rsidRPr="00DC7636">
        <w:rPr>
          <w:b/>
        </w:rPr>
        <w:t>1</w:t>
      </w:r>
      <w:r w:rsidRPr="00DC7636">
        <w:rPr>
          <w:b/>
        </w:rPr>
        <w:t xml:space="preserve"> Laboratory Measures and Monitoring Guidance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0"/>
        <w:gridCol w:w="3060"/>
      </w:tblGrid>
      <w:tr w:rsidR="00335873" w:rsidRPr="002708A9" w14:paraId="7DA15D99" w14:textId="77777777" w:rsidTr="007F7D04">
        <w:tc>
          <w:tcPr>
            <w:tcW w:w="2808" w:type="dxa"/>
            <w:shd w:val="clear" w:color="auto" w:fill="auto"/>
          </w:tcPr>
          <w:p w14:paraId="32304AA4" w14:textId="77777777" w:rsidR="00335873" w:rsidRPr="005E4AB6" w:rsidRDefault="00335873" w:rsidP="00335873">
            <w:pPr>
              <w:keepNext/>
              <w:keepLines/>
              <w:spacing w:after="0" w:line="240" w:lineRule="auto"/>
              <w:rPr>
                <w:rFonts w:eastAsia="Times New Roman" w:cstheme="minorHAnsi"/>
                <w:b/>
                <w:sz w:val="20"/>
                <w:szCs w:val="24"/>
                <w:lang w:eastAsia="en-GB"/>
              </w:rPr>
            </w:pPr>
            <w:r w:rsidRPr="005E4AB6">
              <w:rPr>
                <w:rFonts w:eastAsia="Times New Roman" w:cstheme="minorHAnsi"/>
                <w:b/>
                <w:sz w:val="20"/>
                <w:szCs w:val="24"/>
                <w:lang w:eastAsia="en-GB"/>
              </w:rPr>
              <w:t>Laboratory Measure</w:t>
            </w:r>
          </w:p>
        </w:tc>
        <w:tc>
          <w:tcPr>
            <w:tcW w:w="3420" w:type="dxa"/>
            <w:shd w:val="clear" w:color="auto" w:fill="auto"/>
          </w:tcPr>
          <w:p w14:paraId="01AC4814" w14:textId="77777777" w:rsidR="00335873" w:rsidRPr="005E4AB6" w:rsidRDefault="00335873" w:rsidP="00335873">
            <w:pPr>
              <w:keepNext/>
              <w:keepLines/>
              <w:spacing w:after="0" w:line="240" w:lineRule="auto"/>
              <w:rPr>
                <w:rFonts w:eastAsia="Times New Roman" w:cstheme="minorHAnsi"/>
                <w:b/>
                <w:sz w:val="20"/>
                <w:szCs w:val="24"/>
                <w:lang w:eastAsia="en-GB"/>
              </w:rPr>
            </w:pPr>
            <w:r w:rsidRPr="005E4AB6">
              <w:rPr>
                <w:rFonts w:eastAsia="Times New Roman" w:cstheme="minorHAnsi"/>
                <w:b/>
                <w:sz w:val="20"/>
                <w:szCs w:val="24"/>
                <w:lang w:eastAsia="en-GB"/>
              </w:rPr>
              <w:t>Action</w:t>
            </w:r>
          </w:p>
        </w:tc>
        <w:tc>
          <w:tcPr>
            <w:tcW w:w="3060" w:type="dxa"/>
            <w:shd w:val="clear" w:color="auto" w:fill="auto"/>
          </w:tcPr>
          <w:p w14:paraId="4955DA37" w14:textId="77777777" w:rsidR="00335873" w:rsidRPr="005E4AB6" w:rsidRDefault="00335873" w:rsidP="00335873">
            <w:pPr>
              <w:keepNext/>
              <w:keepLines/>
              <w:spacing w:after="0" w:line="240" w:lineRule="auto"/>
              <w:rPr>
                <w:rFonts w:eastAsia="Times New Roman" w:cstheme="minorHAnsi"/>
                <w:b/>
                <w:sz w:val="20"/>
                <w:szCs w:val="24"/>
                <w:lang w:eastAsia="en-GB"/>
              </w:rPr>
            </w:pPr>
            <w:r w:rsidRPr="005E4AB6">
              <w:rPr>
                <w:rFonts w:eastAsia="Times New Roman" w:cstheme="minorHAnsi"/>
                <w:b/>
                <w:sz w:val="20"/>
                <w:szCs w:val="24"/>
                <w:lang w:eastAsia="en-GB"/>
              </w:rPr>
              <w:t>Monitoring Guidance</w:t>
            </w:r>
          </w:p>
        </w:tc>
      </w:tr>
      <w:tr w:rsidR="00335873" w:rsidRPr="002708A9" w14:paraId="219DC2B3" w14:textId="77777777" w:rsidTr="007F7D04">
        <w:tc>
          <w:tcPr>
            <w:tcW w:w="2808" w:type="dxa"/>
            <w:shd w:val="clear" w:color="auto" w:fill="auto"/>
          </w:tcPr>
          <w:p w14:paraId="3290C3D3"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Lipid parameters</w:t>
            </w:r>
          </w:p>
        </w:tc>
        <w:tc>
          <w:tcPr>
            <w:tcW w:w="3420" w:type="dxa"/>
            <w:shd w:val="clear" w:color="auto" w:fill="auto"/>
          </w:tcPr>
          <w:p w14:paraId="76B53843"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Patients should be managed according to local clinical guidelines for hyperlipidaemia</w:t>
            </w:r>
          </w:p>
        </w:tc>
        <w:tc>
          <w:tcPr>
            <w:tcW w:w="3060" w:type="dxa"/>
            <w:shd w:val="clear" w:color="auto" w:fill="auto"/>
          </w:tcPr>
          <w:p w14:paraId="213C4E8A" w14:textId="711AC962" w:rsidR="00335873" w:rsidRPr="005E4AB6" w:rsidRDefault="00D42A58" w:rsidP="00335873">
            <w:pPr>
              <w:keepNext/>
              <w:keepLines/>
              <w:spacing w:after="0" w:line="240" w:lineRule="auto"/>
              <w:rPr>
                <w:rFonts w:eastAsia="Times New Roman" w:cstheme="minorHAnsi"/>
                <w:sz w:val="20"/>
                <w:szCs w:val="24"/>
                <w:lang w:eastAsia="en-GB"/>
              </w:rPr>
            </w:pPr>
            <w:r>
              <w:rPr>
                <w:rFonts w:eastAsia="Times New Roman" w:cstheme="minorHAnsi"/>
                <w:sz w:val="20"/>
                <w:szCs w:val="24"/>
                <w:lang w:eastAsia="en-GB"/>
              </w:rPr>
              <w:t xml:space="preserve">Week 0 and </w:t>
            </w:r>
            <w:r w:rsidR="00335873" w:rsidRPr="005E4AB6">
              <w:rPr>
                <w:rFonts w:eastAsia="Times New Roman" w:cstheme="minorHAnsi"/>
                <w:sz w:val="20"/>
                <w:szCs w:val="24"/>
                <w:lang w:eastAsia="en-GB"/>
              </w:rPr>
              <w:t>12 weeks after initiation of treatment and thereafter according to local clinical guidelines for hyperlipidaemia</w:t>
            </w:r>
          </w:p>
        </w:tc>
      </w:tr>
      <w:tr w:rsidR="00335873" w:rsidRPr="002708A9" w14:paraId="3D737BAB" w14:textId="77777777" w:rsidTr="007F7D04">
        <w:tc>
          <w:tcPr>
            <w:tcW w:w="2808" w:type="dxa"/>
            <w:shd w:val="clear" w:color="auto" w:fill="auto"/>
          </w:tcPr>
          <w:p w14:paraId="3C431A34"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Absolute neutrophil count (ANC)</w:t>
            </w:r>
          </w:p>
        </w:tc>
        <w:tc>
          <w:tcPr>
            <w:tcW w:w="3420" w:type="dxa"/>
            <w:shd w:val="clear" w:color="auto" w:fill="auto"/>
          </w:tcPr>
          <w:p w14:paraId="75511A2C"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Treatment should be interrupted if ANC &lt;1x 10</w:t>
            </w:r>
            <w:r w:rsidRPr="005E4AB6">
              <w:rPr>
                <w:rFonts w:eastAsia="Times New Roman" w:cstheme="minorHAnsi"/>
                <w:sz w:val="20"/>
                <w:szCs w:val="24"/>
                <w:vertAlign w:val="superscript"/>
                <w:lang w:eastAsia="en-GB"/>
              </w:rPr>
              <w:t>9</w:t>
            </w:r>
            <w:r w:rsidRPr="005E4AB6">
              <w:rPr>
                <w:rFonts w:eastAsia="Times New Roman" w:cstheme="minorHAnsi"/>
                <w:sz w:val="20"/>
                <w:szCs w:val="24"/>
                <w:lang w:eastAsia="en-GB"/>
              </w:rPr>
              <w:t> cells/L and may be restarted once ANC returns above this value</w:t>
            </w:r>
          </w:p>
        </w:tc>
        <w:tc>
          <w:tcPr>
            <w:tcW w:w="3060" w:type="dxa"/>
            <w:vMerge w:val="restart"/>
            <w:shd w:val="clear" w:color="auto" w:fill="auto"/>
            <w:vAlign w:val="center"/>
          </w:tcPr>
          <w:p w14:paraId="43660FA8"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Before treatment initiation and thereafter according to routine patient management</w:t>
            </w:r>
          </w:p>
        </w:tc>
      </w:tr>
      <w:tr w:rsidR="00335873" w:rsidRPr="002708A9" w14:paraId="7417B79C" w14:textId="77777777" w:rsidTr="007F7D04">
        <w:tc>
          <w:tcPr>
            <w:tcW w:w="2808" w:type="dxa"/>
            <w:shd w:val="clear" w:color="auto" w:fill="auto"/>
          </w:tcPr>
          <w:p w14:paraId="125C2E95"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Absolute lymphocyte count (ALC)</w:t>
            </w:r>
          </w:p>
        </w:tc>
        <w:tc>
          <w:tcPr>
            <w:tcW w:w="3420" w:type="dxa"/>
            <w:shd w:val="clear" w:color="auto" w:fill="auto"/>
          </w:tcPr>
          <w:p w14:paraId="7573CD56"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Treatment should be interrupted if ALC &lt;0.5x 10</w:t>
            </w:r>
            <w:r w:rsidRPr="005E4AB6">
              <w:rPr>
                <w:rFonts w:eastAsia="Times New Roman" w:cstheme="minorHAnsi"/>
                <w:sz w:val="20"/>
                <w:szCs w:val="24"/>
                <w:vertAlign w:val="superscript"/>
                <w:lang w:eastAsia="en-GB"/>
              </w:rPr>
              <w:t>9 </w:t>
            </w:r>
            <w:r w:rsidRPr="005E4AB6">
              <w:rPr>
                <w:rFonts w:eastAsia="Times New Roman" w:cstheme="minorHAnsi"/>
                <w:sz w:val="20"/>
                <w:szCs w:val="24"/>
                <w:lang w:eastAsia="en-GB"/>
              </w:rPr>
              <w:t>cells/L and may be restarted once ALC returns above this value</w:t>
            </w:r>
          </w:p>
        </w:tc>
        <w:tc>
          <w:tcPr>
            <w:tcW w:w="3060" w:type="dxa"/>
            <w:vMerge/>
            <w:shd w:val="clear" w:color="auto" w:fill="auto"/>
          </w:tcPr>
          <w:p w14:paraId="769959D2" w14:textId="77777777" w:rsidR="00335873" w:rsidRPr="005E4AB6" w:rsidRDefault="00335873" w:rsidP="00335873">
            <w:pPr>
              <w:keepNext/>
              <w:keepLines/>
              <w:spacing w:after="0" w:line="240" w:lineRule="auto"/>
              <w:rPr>
                <w:rFonts w:eastAsia="Times New Roman" w:cstheme="minorHAnsi"/>
                <w:sz w:val="20"/>
                <w:szCs w:val="24"/>
                <w:lang w:eastAsia="en-GB"/>
              </w:rPr>
            </w:pPr>
          </w:p>
        </w:tc>
      </w:tr>
      <w:tr w:rsidR="00335873" w:rsidRPr="002708A9" w14:paraId="1C4DD6EA" w14:textId="77777777" w:rsidTr="007F7D04">
        <w:tc>
          <w:tcPr>
            <w:tcW w:w="2808" w:type="dxa"/>
            <w:shd w:val="clear" w:color="auto" w:fill="auto"/>
          </w:tcPr>
          <w:p w14:paraId="4CEBD248"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Haemoglobin (</w:t>
            </w:r>
            <w:proofErr w:type="spellStart"/>
            <w:r w:rsidRPr="005E4AB6">
              <w:rPr>
                <w:rFonts w:eastAsia="Times New Roman" w:cstheme="minorHAnsi"/>
                <w:sz w:val="20"/>
                <w:szCs w:val="24"/>
                <w:lang w:eastAsia="en-GB"/>
              </w:rPr>
              <w:t>Hb</w:t>
            </w:r>
            <w:proofErr w:type="spellEnd"/>
            <w:r w:rsidRPr="005E4AB6">
              <w:rPr>
                <w:rFonts w:eastAsia="Times New Roman" w:cstheme="minorHAnsi"/>
                <w:sz w:val="20"/>
                <w:szCs w:val="24"/>
                <w:lang w:eastAsia="en-GB"/>
              </w:rPr>
              <w:t>)</w:t>
            </w:r>
          </w:p>
        </w:tc>
        <w:tc>
          <w:tcPr>
            <w:tcW w:w="3420" w:type="dxa"/>
            <w:shd w:val="clear" w:color="auto" w:fill="auto"/>
          </w:tcPr>
          <w:p w14:paraId="0DEF02AE"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 xml:space="preserve">Treatment should be interrupted if </w:t>
            </w:r>
            <w:proofErr w:type="spellStart"/>
            <w:r w:rsidRPr="005E4AB6">
              <w:rPr>
                <w:rFonts w:eastAsia="Times New Roman" w:cstheme="minorHAnsi"/>
                <w:sz w:val="20"/>
                <w:szCs w:val="24"/>
                <w:lang w:eastAsia="en-GB"/>
              </w:rPr>
              <w:t>Hb</w:t>
            </w:r>
            <w:proofErr w:type="spellEnd"/>
            <w:r w:rsidRPr="005E4AB6">
              <w:rPr>
                <w:rFonts w:eastAsia="Times New Roman" w:cstheme="minorHAnsi"/>
                <w:sz w:val="20"/>
                <w:szCs w:val="24"/>
                <w:lang w:eastAsia="en-GB"/>
              </w:rPr>
              <w:t xml:space="preserve"> &lt;8</w:t>
            </w:r>
            <w:r w:rsidRPr="005E4AB6">
              <w:rPr>
                <w:rFonts w:eastAsia="Times New Roman" w:cstheme="minorHAnsi"/>
                <w:sz w:val="20"/>
                <w:szCs w:val="24"/>
                <w:vertAlign w:val="superscript"/>
                <w:lang w:eastAsia="en-GB"/>
              </w:rPr>
              <w:t> </w:t>
            </w:r>
            <w:r w:rsidRPr="005E4AB6">
              <w:rPr>
                <w:rFonts w:eastAsia="Times New Roman" w:cstheme="minorHAnsi"/>
                <w:sz w:val="20"/>
                <w:szCs w:val="24"/>
                <w:lang w:eastAsia="en-GB"/>
              </w:rPr>
              <w:t>g/</w:t>
            </w:r>
            <w:proofErr w:type="spellStart"/>
            <w:r w:rsidRPr="005E4AB6">
              <w:rPr>
                <w:rFonts w:eastAsia="Times New Roman" w:cstheme="minorHAnsi"/>
                <w:sz w:val="20"/>
                <w:szCs w:val="24"/>
                <w:lang w:eastAsia="en-GB"/>
              </w:rPr>
              <w:t>dL</w:t>
            </w:r>
            <w:proofErr w:type="spellEnd"/>
            <w:r w:rsidRPr="005E4AB6">
              <w:rPr>
                <w:rFonts w:eastAsia="Times New Roman" w:cstheme="minorHAnsi"/>
                <w:sz w:val="20"/>
                <w:szCs w:val="24"/>
                <w:lang w:eastAsia="en-GB"/>
              </w:rPr>
              <w:t xml:space="preserve"> and may be restarted once </w:t>
            </w:r>
            <w:proofErr w:type="spellStart"/>
            <w:r w:rsidRPr="005E4AB6">
              <w:rPr>
                <w:rFonts w:eastAsia="Times New Roman" w:cstheme="minorHAnsi"/>
                <w:sz w:val="20"/>
                <w:szCs w:val="24"/>
                <w:lang w:eastAsia="en-GB"/>
              </w:rPr>
              <w:t>Hb</w:t>
            </w:r>
            <w:proofErr w:type="spellEnd"/>
            <w:r w:rsidRPr="005E4AB6">
              <w:rPr>
                <w:rFonts w:eastAsia="Times New Roman" w:cstheme="minorHAnsi"/>
                <w:sz w:val="20"/>
                <w:szCs w:val="24"/>
                <w:lang w:eastAsia="en-GB"/>
              </w:rPr>
              <w:t xml:space="preserve"> returns above this value</w:t>
            </w:r>
          </w:p>
        </w:tc>
        <w:tc>
          <w:tcPr>
            <w:tcW w:w="3060" w:type="dxa"/>
            <w:vMerge/>
            <w:shd w:val="clear" w:color="auto" w:fill="auto"/>
          </w:tcPr>
          <w:p w14:paraId="25467D9E" w14:textId="77777777" w:rsidR="00335873" w:rsidRPr="005E4AB6" w:rsidRDefault="00335873" w:rsidP="00335873">
            <w:pPr>
              <w:keepNext/>
              <w:keepLines/>
              <w:spacing w:after="0" w:line="240" w:lineRule="auto"/>
              <w:rPr>
                <w:rFonts w:eastAsia="Times New Roman" w:cstheme="minorHAnsi"/>
                <w:sz w:val="20"/>
                <w:szCs w:val="24"/>
                <w:lang w:eastAsia="en-GB"/>
              </w:rPr>
            </w:pPr>
          </w:p>
        </w:tc>
      </w:tr>
      <w:tr w:rsidR="00335873" w:rsidRPr="002708A9" w14:paraId="356480BA" w14:textId="77777777" w:rsidTr="007F7D04">
        <w:tc>
          <w:tcPr>
            <w:tcW w:w="2808" w:type="dxa"/>
            <w:shd w:val="clear" w:color="auto" w:fill="auto"/>
          </w:tcPr>
          <w:p w14:paraId="713A918B"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Hepatic transaminases</w:t>
            </w:r>
          </w:p>
        </w:tc>
        <w:tc>
          <w:tcPr>
            <w:tcW w:w="3420" w:type="dxa"/>
            <w:shd w:val="clear" w:color="auto" w:fill="auto"/>
          </w:tcPr>
          <w:p w14:paraId="6EEE66B9" w14:textId="77777777" w:rsidR="00335873" w:rsidRPr="005E4AB6" w:rsidRDefault="00335873" w:rsidP="00335873">
            <w:pPr>
              <w:keepNext/>
              <w:keepLines/>
              <w:spacing w:after="0" w:line="240" w:lineRule="auto"/>
              <w:rPr>
                <w:rFonts w:eastAsia="Times New Roman" w:cstheme="minorHAnsi"/>
                <w:sz w:val="20"/>
                <w:szCs w:val="24"/>
                <w:lang w:eastAsia="en-GB"/>
              </w:rPr>
            </w:pPr>
            <w:r w:rsidRPr="005E4AB6">
              <w:rPr>
                <w:rFonts w:eastAsia="Times New Roman" w:cstheme="minorHAnsi"/>
                <w:sz w:val="20"/>
                <w:szCs w:val="24"/>
                <w:lang w:eastAsia="en-GB"/>
              </w:rPr>
              <w:t>Treatment should be temporarily interrupted if drug-induced liver injury is suspected</w:t>
            </w:r>
          </w:p>
        </w:tc>
        <w:tc>
          <w:tcPr>
            <w:tcW w:w="3060" w:type="dxa"/>
            <w:vMerge/>
            <w:shd w:val="clear" w:color="auto" w:fill="auto"/>
          </w:tcPr>
          <w:p w14:paraId="4AE7B055" w14:textId="77777777" w:rsidR="00335873" w:rsidRPr="005E4AB6" w:rsidRDefault="00335873" w:rsidP="00335873">
            <w:pPr>
              <w:keepNext/>
              <w:keepLines/>
              <w:spacing w:after="0" w:line="240" w:lineRule="auto"/>
              <w:rPr>
                <w:rFonts w:eastAsia="Times New Roman" w:cstheme="minorHAnsi"/>
                <w:sz w:val="20"/>
                <w:szCs w:val="24"/>
                <w:lang w:eastAsia="en-GB"/>
              </w:rPr>
            </w:pPr>
          </w:p>
        </w:tc>
      </w:tr>
    </w:tbl>
    <w:p w14:paraId="6BAB1CDC" w14:textId="77777777" w:rsidR="00335873" w:rsidRDefault="00335873" w:rsidP="00F21BF8"/>
    <w:p w14:paraId="0C328D0D" w14:textId="77777777" w:rsidR="001A3992" w:rsidRPr="00625B9E" w:rsidRDefault="001A3992" w:rsidP="001A3992">
      <w:pPr>
        <w:pStyle w:val="Heading2"/>
        <w:spacing w:before="0" w:after="120"/>
      </w:pPr>
      <w:r w:rsidRPr="00625B9E">
        <w:t>Contraindications</w:t>
      </w:r>
    </w:p>
    <w:p w14:paraId="0A59E545" w14:textId="77777777" w:rsidR="00335873" w:rsidRPr="00625B9E" w:rsidRDefault="00335873" w:rsidP="00335873">
      <w:r w:rsidRPr="00625B9E">
        <w:t>OLUMIANT is contraindicated in patients with known hypersensitivity to baricitinib or any of the excipients in the product.</w:t>
      </w:r>
    </w:p>
    <w:p w14:paraId="35BD4EBA" w14:textId="1C0CA1B0" w:rsidR="00335873" w:rsidRDefault="00335873" w:rsidP="00335873">
      <w:r w:rsidRPr="00625B9E">
        <w:t xml:space="preserve">OLUMIANT must not be used in combination with </w:t>
      </w:r>
      <w:proofErr w:type="spellStart"/>
      <w:r w:rsidRPr="00625B9E">
        <w:t>bDMARDs</w:t>
      </w:r>
      <w:proofErr w:type="spellEnd"/>
      <w:r w:rsidRPr="00625B9E">
        <w:t>.</w:t>
      </w:r>
    </w:p>
    <w:p w14:paraId="2BA395F6" w14:textId="6C9F0CAC" w:rsidR="00C31422" w:rsidRDefault="00C31422" w:rsidP="00335873"/>
    <w:p w14:paraId="3A81F410" w14:textId="77777777" w:rsidR="001A3992" w:rsidRPr="00625B9E" w:rsidRDefault="00E74A56" w:rsidP="001A3992">
      <w:pPr>
        <w:pStyle w:val="Heading2"/>
        <w:spacing w:before="0" w:after="120"/>
      </w:pPr>
      <w:r w:rsidRPr="00625B9E">
        <w:lastRenderedPageBreak/>
        <w:t>Special warnings and p</w:t>
      </w:r>
      <w:r w:rsidR="001A3992" w:rsidRPr="00625B9E">
        <w:t xml:space="preserve">recautions </w:t>
      </w:r>
      <w:r w:rsidRPr="00625B9E">
        <w:t>for use</w:t>
      </w:r>
    </w:p>
    <w:p w14:paraId="027E36A5" w14:textId="3D39409F" w:rsidR="00335873" w:rsidRPr="00625B9E" w:rsidRDefault="00335873" w:rsidP="00567E45">
      <w:pPr>
        <w:pStyle w:val="Heading4"/>
      </w:pPr>
      <w:bookmarkStart w:id="61" w:name="_Identified_precautions"/>
      <w:bookmarkEnd w:id="61"/>
      <w:r w:rsidRPr="00625B9E">
        <w:t>Infections</w:t>
      </w:r>
    </w:p>
    <w:p w14:paraId="3F0310BD" w14:textId="77777777" w:rsidR="00335873" w:rsidRPr="00625B9E" w:rsidRDefault="00335873" w:rsidP="00335873">
      <w:r w:rsidRPr="00625B9E">
        <w:t>OLUMIANT treatment is associated with an increased rate of infections such as upper respiratory tract infections. OLUMIANT should be used with caution in patients with clinically important chronic, active, or recurrent infection. If an infection develops, monitor carefully and interrupt OLUMIANT therapy if the patient is not responding to standard therapy; do not resume OLUMIANT until the infection resolves.</w:t>
      </w:r>
    </w:p>
    <w:p w14:paraId="73A5F05C" w14:textId="77777777" w:rsidR="00335873" w:rsidRPr="00625B9E" w:rsidRDefault="00335873" w:rsidP="00567E45">
      <w:pPr>
        <w:pStyle w:val="Heading4"/>
      </w:pPr>
      <w:r w:rsidRPr="00625B9E">
        <w:t>Serious Infections</w:t>
      </w:r>
    </w:p>
    <w:p w14:paraId="4002F820" w14:textId="7D7F296E" w:rsidR="00335873" w:rsidRPr="00625B9E" w:rsidRDefault="00335873" w:rsidP="00335873">
      <w:r w:rsidRPr="00625B9E">
        <w:t xml:space="preserve">Serious and sometimes fatal infections have been reported in patients receiving immunosuppressive agents including OLUMIANT (see </w:t>
      </w:r>
      <w:r w:rsidR="003D7771" w:rsidRPr="00625B9E">
        <w:t>s</w:t>
      </w:r>
      <w:r w:rsidR="003D7771" w:rsidRPr="004E5E12">
        <w:t xml:space="preserve">ection </w:t>
      </w:r>
      <w:r w:rsidR="00170588" w:rsidRPr="004E5E12">
        <w:t>4.8</w:t>
      </w:r>
      <w:r w:rsidR="004E5E12" w:rsidRPr="004E5E12">
        <w:t xml:space="preserve"> </w:t>
      </w:r>
      <w:hyperlink w:anchor="_Adverse_effects_(Undesirable" w:history="1">
        <w:r w:rsidR="004E5E12" w:rsidRPr="004E5E12">
          <w:rPr>
            <w:rStyle w:val="Hyperlink"/>
          </w:rPr>
          <w:t>Adverse effects (Undesirable effects)</w:t>
        </w:r>
      </w:hyperlink>
      <w:r w:rsidR="001109EE">
        <w:t xml:space="preserve"> / Adverse Reactions / </w:t>
      </w:r>
      <w:hyperlink w:anchor="_Infections" w:history="1">
        <w:r w:rsidR="001109EE" w:rsidRPr="000C1180">
          <w:rPr>
            <w:rStyle w:val="Hyperlink"/>
          </w:rPr>
          <w:t>Infections</w:t>
        </w:r>
      </w:hyperlink>
      <w:r w:rsidR="0031486F">
        <w:t>)</w:t>
      </w:r>
      <w:r w:rsidRPr="004E5E12">
        <w:t>.</w:t>
      </w:r>
      <w:r w:rsidRPr="00625B9E">
        <w:t xml:space="preserve"> </w:t>
      </w:r>
    </w:p>
    <w:p w14:paraId="4CF5C375" w14:textId="77777777" w:rsidR="00335873" w:rsidRPr="00625B9E" w:rsidRDefault="00335873" w:rsidP="00335873">
      <w:r w:rsidRPr="00625B9E">
        <w:t>The most common serious infections reported with OLUMIANT included herpes zoster and cellulitis. Among opportunistic infections, oesophageal candidiasis and pneumocystis pneumonia were reported with OLUMIANT.</w:t>
      </w:r>
    </w:p>
    <w:p w14:paraId="0B58458F" w14:textId="77777777" w:rsidR="00335873" w:rsidRPr="00625B9E" w:rsidRDefault="00335873" w:rsidP="00335873">
      <w:r w:rsidRPr="00625B9E">
        <w:t xml:space="preserve">Patients should be closely monitored for the development of signs and symptoms of infection during and after treatment with OLUMIANT. </w:t>
      </w:r>
    </w:p>
    <w:p w14:paraId="5471418F" w14:textId="77777777" w:rsidR="00335873" w:rsidRPr="00625B9E" w:rsidRDefault="00335873" w:rsidP="00335873">
      <w:r w:rsidRPr="00625B9E">
        <w:t>Caution should be used when treating the elderly</w:t>
      </w:r>
      <w:r w:rsidR="001A09AD" w:rsidRPr="00625B9E">
        <w:t xml:space="preserve"> and</w:t>
      </w:r>
      <w:r w:rsidRPr="00625B9E">
        <w:t xml:space="preserve"> patients with diabetes</w:t>
      </w:r>
      <w:r w:rsidR="001A09AD" w:rsidRPr="00625B9E">
        <w:t>.</w:t>
      </w:r>
    </w:p>
    <w:p w14:paraId="17ECF726" w14:textId="77777777" w:rsidR="00335873" w:rsidRPr="00625B9E" w:rsidRDefault="00335873" w:rsidP="00335873">
      <w:r w:rsidRPr="00625B9E">
        <w:t>A patient who develops a new infection during treatment with OLUMIANT should undergo prompt and complete diagnostic testing appropriate for an immunocompromised patient, appropriate antimicrobial therapy should be initiated and the patient should be closely monitored.</w:t>
      </w:r>
    </w:p>
    <w:p w14:paraId="78D22B5E" w14:textId="77777777" w:rsidR="00335873" w:rsidRPr="00625B9E" w:rsidRDefault="00335873" w:rsidP="00335873">
      <w:r w:rsidRPr="00625B9E">
        <w:t>If a patient develops a serious infection, administration of OLUMIANT should be interrupted until the infection is controlled.</w:t>
      </w:r>
    </w:p>
    <w:p w14:paraId="31D6A8B0" w14:textId="77777777" w:rsidR="003D7771" w:rsidRPr="004468BE" w:rsidRDefault="003D7771" w:rsidP="004468BE">
      <w:pPr>
        <w:pStyle w:val="Heading4"/>
      </w:pPr>
      <w:r w:rsidRPr="004468BE">
        <w:t>Tuberculosis</w:t>
      </w:r>
    </w:p>
    <w:p w14:paraId="13124560" w14:textId="77777777" w:rsidR="003D7771" w:rsidRPr="00625B9E" w:rsidRDefault="003D7771" w:rsidP="00335873">
      <w:r w:rsidRPr="00625B9E">
        <w:t>Patients should be screened for tuberculosis (TB) before starting OLUMIANT therapy. OLUMIANT should not be given to patients with active TB. Anti-TB therapy should be considered prior to initiation of OLUMIANT in patients with previously untreated latent TB.</w:t>
      </w:r>
    </w:p>
    <w:p w14:paraId="3EFC3AC2" w14:textId="77777777" w:rsidR="003D7771" w:rsidRPr="00625B9E" w:rsidRDefault="003D7771" w:rsidP="00567E45">
      <w:pPr>
        <w:pStyle w:val="Heading4"/>
      </w:pPr>
      <w:r w:rsidRPr="00625B9E">
        <w:t>Viral Reactivation</w:t>
      </w:r>
    </w:p>
    <w:p w14:paraId="6D66F7DF" w14:textId="77777777" w:rsidR="003D7771" w:rsidRPr="00625B9E" w:rsidRDefault="003D7771" w:rsidP="003D7771">
      <w:r w:rsidRPr="00625B9E">
        <w:t xml:space="preserve">Viral reactivation, including cases of herpes virus reactivation (e.g. herpes zoster including cases that were disseminated beyond the primary or adjacent dermatomes) were reported in clinical studies with OLUMIANT. If a patient develops herpes zoster, OLUMIANT treatment should be interrupted until the episode resolves. </w:t>
      </w:r>
    </w:p>
    <w:p w14:paraId="22400639" w14:textId="77777777" w:rsidR="003D7771" w:rsidRPr="00625B9E" w:rsidRDefault="003D7771" w:rsidP="003D7771">
      <w:r w:rsidRPr="00625B9E">
        <w:t xml:space="preserve">The impact of OLUMIANT on chronic viral hepatitis reactivation is unknown. Patients with evidence of active hepatitis B or C infection were excluded from clinical trials. Patients who were positive for hepatitis C antibody but negative for hepatitis C virus RNA, were permitted to enrol. Patients with </w:t>
      </w:r>
      <w:r w:rsidRPr="00625B9E">
        <w:lastRenderedPageBreak/>
        <w:t xml:space="preserve">hepatitis B surface antibody and hepatitis B core antibody, without hepatitis B surface antigen, were permitted to enrol; such patients should be monitored for expression of hepatitis B virus (HBV) DNA. Should HBV DNA be detected, consult with a </w:t>
      </w:r>
      <w:proofErr w:type="spellStart"/>
      <w:r w:rsidRPr="00625B9E">
        <w:t>hepatologist</w:t>
      </w:r>
      <w:proofErr w:type="spellEnd"/>
      <w:r w:rsidRPr="00625B9E">
        <w:t xml:space="preserve">. </w:t>
      </w:r>
    </w:p>
    <w:p w14:paraId="3ECB8B88" w14:textId="5870DD57" w:rsidR="00C53BDC" w:rsidRPr="00625B9E" w:rsidRDefault="003D7771" w:rsidP="003D7771">
      <w:r w:rsidRPr="00625B9E">
        <w:t>Screening for viral hepatitis should be performed in accordance with clinical guidelines before starting therapy with OLUMIANT.</w:t>
      </w:r>
    </w:p>
    <w:p w14:paraId="43F33758" w14:textId="74200A83" w:rsidR="00CC216D" w:rsidRDefault="00D10EEE" w:rsidP="00C53BDC">
      <w:pPr>
        <w:pStyle w:val="Heading4"/>
      </w:pPr>
      <w:bookmarkStart w:id="62" w:name="_Venous_Thromboembolism"/>
      <w:bookmarkEnd w:id="62"/>
      <w:r w:rsidRPr="00CC216D">
        <w:t>Thrombosis</w:t>
      </w:r>
    </w:p>
    <w:p w14:paraId="32542C18" w14:textId="127C41C1" w:rsidR="001A09AD" w:rsidRPr="00625B9E" w:rsidRDefault="001A09AD" w:rsidP="001A09AD">
      <w:r w:rsidRPr="00625B9E">
        <w:t>Events of deep venous thrombosis (DVT)</w:t>
      </w:r>
      <w:r w:rsidR="00D10EEE">
        <w:t>, arterial thrombosis</w:t>
      </w:r>
      <w:r w:rsidRPr="00625B9E">
        <w:t xml:space="preserve"> and pulmonary embolism (PE) have been reported in patients receiving OLUMIANT. </w:t>
      </w:r>
    </w:p>
    <w:p w14:paraId="622C680A" w14:textId="5F5A4749" w:rsidR="001A09AD" w:rsidRDefault="001A09AD" w:rsidP="001A09AD">
      <w:r w:rsidRPr="00625B9E">
        <w:t xml:space="preserve">For venous thromboembolism (VTE), including deep vein thrombosis (DVT) and pulmonary embolism (PE), 5 patients (0.5%) treated with baricitinib 4 mg reported events during the 24-week, randomised, placebo-controlled time period of the 6 Phase 2 and Phase 3 RA studies; no events were reported with the 2 mg dose or placebo during this time period. </w:t>
      </w:r>
      <w:r w:rsidR="008E1E58" w:rsidRPr="008E1E58">
        <w:t>During the 0 to 52 week treatment period, venous thromboses were reported in 2 patients (0.6 per 100 patient years) treated with baricitinib 2 mg and 7 patients (0.8 per 100 patient</w:t>
      </w:r>
      <w:r w:rsidR="00DA14FF">
        <w:t xml:space="preserve"> </w:t>
      </w:r>
      <w:r w:rsidR="008E1E58" w:rsidRPr="008E1E58">
        <w:t xml:space="preserve">years) treated with baricitinib 4 mg.  </w:t>
      </w:r>
      <w:r w:rsidRPr="00625B9E">
        <w:t xml:space="preserve">In an analysis of extended data from the all baricitinib </w:t>
      </w:r>
      <w:r w:rsidR="00EE4C8B">
        <w:t xml:space="preserve">RA </w:t>
      </w:r>
      <w:r w:rsidRPr="00625B9E">
        <w:t xml:space="preserve">exposure population, </w:t>
      </w:r>
      <w:r w:rsidR="008E1E58">
        <w:t>3770</w:t>
      </w:r>
      <w:r w:rsidR="008E1E58" w:rsidRPr="00625B9E">
        <w:t xml:space="preserve"> </w:t>
      </w:r>
      <w:r w:rsidRPr="00625B9E">
        <w:t>patients (</w:t>
      </w:r>
      <w:r w:rsidR="00BA672B">
        <w:t>12151</w:t>
      </w:r>
      <w:r w:rsidR="00BA672B" w:rsidRPr="00625B9E">
        <w:t xml:space="preserve"> </w:t>
      </w:r>
      <w:r w:rsidRPr="00625B9E">
        <w:t>patient</w:t>
      </w:r>
      <w:r w:rsidR="005309BF">
        <w:t xml:space="preserve"> </w:t>
      </w:r>
      <w:r w:rsidRPr="00625B9E">
        <w:t xml:space="preserve">years of observation) with RA, </w:t>
      </w:r>
      <w:r w:rsidR="00BA672B">
        <w:t>57</w:t>
      </w:r>
      <w:r w:rsidRPr="00625B9E">
        <w:t xml:space="preserve"> patients experienced a VTE with an exposure-adjusted IR of </w:t>
      </w:r>
      <w:r w:rsidR="00BA672B">
        <w:t>0.47</w:t>
      </w:r>
      <w:r w:rsidRPr="00625B9E">
        <w:t xml:space="preserve"> per 100 PY.</w:t>
      </w:r>
    </w:p>
    <w:p w14:paraId="27549C6A" w14:textId="2C294130" w:rsidR="004D2E6D" w:rsidRPr="00625B9E" w:rsidRDefault="004D2E6D" w:rsidP="001A09AD">
      <w:r w:rsidRPr="004D2E6D">
        <w:t xml:space="preserve">During the 16-week placebo-controlled period of atopic dermatitis studies, 1 patient treated with baricitinib 4 mg reported a VTE. In an analysis of extended data from </w:t>
      </w:r>
      <w:r w:rsidR="004D4B35">
        <w:t>all the</w:t>
      </w:r>
      <w:r w:rsidRPr="004D2E6D">
        <w:t xml:space="preserve"> baricitinib AD exposure </w:t>
      </w:r>
      <w:r w:rsidRPr="005D315F">
        <w:t>population, including 2531 patients (2247 patient</w:t>
      </w:r>
      <w:r w:rsidR="00DA14FF">
        <w:t xml:space="preserve"> </w:t>
      </w:r>
      <w:r w:rsidRPr="005D315F">
        <w:t>years of observation) with AD, a</w:t>
      </w:r>
      <w:r w:rsidR="007113B3" w:rsidRPr="005D315F">
        <w:t>n additional</w:t>
      </w:r>
      <w:r w:rsidRPr="005D315F">
        <w:t xml:space="preserve"> </w:t>
      </w:r>
      <w:r w:rsidR="007113B3" w:rsidRPr="005D315F">
        <w:t>2</w:t>
      </w:r>
      <w:r w:rsidRPr="005D315F">
        <w:t xml:space="preserve"> patients reported VTE</w:t>
      </w:r>
      <w:r w:rsidR="00C37A5E">
        <w:t xml:space="preserve"> (one patient receiving 4 mg reported PE and one patient receiving 2 mg reported DVT)</w:t>
      </w:r>
      <w:r w:rsidR="007113B3" w:rsidRPr="005D315F">
        <w:t xml:space="preserve">. The overall </w:t>
      </w:r>
      <w:r w:rsidRPr="005D315F">
        <w:t xml:space="preserve">IR </w:t>
      </w:r>
      <w:r w:rsidR="007113B3" w:rsidRPr="005D315F">
        <w:t>was</w:t>
      </w:r>
      <w:r w:rsidRPr="005D315F">
        <w:t xml:space="preserve"> 0.13 per 100 PY.</w:t>
      </w:r>
    </w:p>
    <w:p w14:paraId="5CA020DF" w14:textId="77777777" w:rsidR="001A09AD" w:rsidRPr="00625B9E" w:rsidRDefault="001A09AD" w:rsidP="001A09AD">
      <w:r w:rsidRPr="00625B9E">
        <w:t xml:space="preserve">OLUMIANT should be used with caution in patients with risk factors for deep vein thrombosis or pulmonary embolism (DVT/PE) such as older age, obesity, a medical history of DVT/PE, or patients undergoing surgery and immobilisation. Patients with multiple risk factors should be closely monitored and consideration should be given to appropriate VTE prophylaxis. If clinical features of DVT/PE occur, interrupt OLUMIANT, evaluate promptly, and institute appropriate treatment. OLUMIANT should only be recommenced once the patient is established on appropriate treatment. Recurrent events of VTE have been reported in some patients recommencing treatment with OLUMIANT. </w:t>
      </w:r>
    </w:p>
    <w:p w14:paraId="0619F1AB" w14:textId="77777777" w:rsidR="003D7771" w:rsidRPr="00625B9E" w:rsidRDefault="003D7771" w:rsidP="00567E45">
      <w:pPr>
        <w:pStyle w:val="Heading4"/>
      </w:pPr>
      <w:r w:rsidRPr="00625B9E">
        <w:t>Malignancy</w:t>
      </w:r>
    </w:p>
    <w:p w14:paraId="2C58DAC1" w14:textId="77777777" w:rsidR="003D7771" w:rsidRPr="00625B9E" w:rsidRDefault="003D7771" w:rsidP="003D7771">
      <w:r w:rsidRPr="00625B9E">
        <w:t>The risk of malignancy, including lymphoma, is increased in patients with rheumatoid arthritis. Immunomodulatory medicinal products may increase the risk of malignancy.</w:t>
      </w:r>
    </w:p>
    <w:p w14:paraId="67CCE957" w14:textId="77777777" w:rsidR="001A09AD" w:rsidRPr="00625B9E" w:rsidRDefault="001A09AD" w:rsidP="001A09AD">
      <w:r w:rsidRPr="00625B9E">
        <w:t xml:space="preserve">In the placebo-controlled phase 2/3 clinical studies in rheumatoid arthritis patients, with data up to 24 weeks, 2 malignancies (excluding NMSC) were diagnosed in 2 patients receiving baricitinib 4 mg, compared to 2 malignancies (excluding NMSC) in patients in the placebo group. There were no cases of </w:t>
      </w:r>
      <w:r w:rsidRPr="00625B9E" w:rsidDel="00C5658B">
        <w:t>l</w:t>
      </w:r>
      <w:r w:rsidRPr="00625B9E">
        <w:t xml:space="preserve">ymphoma reported during the placebo-controlled studies. In the all baricitinib exposure </w:t>
      </w:r>
      <w:r w:rsidRPr="00625B9E">
        <w:lastRenderedPageBreak/>
        <w:t>population of 3464 patients (4214 patient-years of exposure) with RA, 31 patients were diagnosed with malignancies (excluding NMSC), with an exposure-adjusted IR of 0.7 per 100 PY.</w:t>
      </w:r>
    </w:p>
    <w:p w14:paraId="3B209688" w14:textId="77777777" w:rsidR="003D7771" w:rsidRPr="00625B9E" w:rsidRDefault="003D7771" w:rsidP="00567E45">
      <w:pPr>
        <w:pStyle w:val="Heading4"/>
      </w:pPr>
      <w:r w:rsidRPr="00625B9E">
        <w:t>Immunisations</w:t>
      </w:r>
    </w:p>
    <w:p w14:paraId="3BB96C1B" w14:textId="77777777" w:rsidR="008C3667" w:rsidRDefault="003D7771" w:rsidP="008C3667">
      <w:r w:rsidRPr="00625B9E">
        <w:t xml:space="preserve">No data are available on the response to vaccination with live vaccines in patients receiving OLUMIANT. </w:t>
      </w:r>
    </w:p>
    <w:p w14:paraId="4402F9ED" w14:textId="46B32858" w:rsidR="008C3667" w:rsidRPr="00625B9E" w:rsidRDefault="008C3667" w:rsidP="008C3667">
      <w:r w:rsidRPr="00625B9E">
        <w:t xml:space="preserve">Use with live, attenuated vaccines during, or immediately prior to, OLUMIANT therapy is not recommended. </w:t>
      </w:r>
      <w:r w:rsidR="00926DEC">
        <w:t xml:space="preserve">Prior to initiating OLUMIANT, it is recommended that all patients be brought up to date with all immunisations in agreement with current immunisation guidelines. </w:t>
      </w:r>
      <w:r w:rsidRPr="00625B9E">
        <w:t>The interval between live vaccinations and initiation of OLUMIANT therapy should be in accordance with current vaccination guidelines regarding immunosuppressive agents.</w:t>
      </w:r>
    </w:p>
    <w:p w14:paraId="271B6284" w14:textId="1458A25E" w:rsidR="00F02429" w:rsidRDefault="00F02429" w:rsidP="003D7771">
      <w:r>
        <w:t xml:space="preserve">The influence of baricitinib on the humoral response to non-live vaccines was evaluated in 106 RA patients under stable treatment with baricitinib 2 or 4 mg, receiving inactivated pneumococcal </w:t>
      </w:r>
      <w:r w:rsidR="0033609E">
        <w:t xml:space="preserve">13-valent </w:t>
      </w:r>
      <w:r w:rsidR="003A57A6">
        <w:t>conjugate</w:t>
      </w:r>
      <w:r w:rsidR="006B5ABB">
        <w:t xml:space="preserve"> vaccine </w:t>
      </w:r>
      <w:r>
        <w:t xml:space="preserve">or tetanus vaccination. The majority of these patients (n=94) were co-treated with methotrexate. For the total population, </w:t>
      </w:r>
      <w:r w:rsidR="00701095">
        <w:t xml:space="preserve">excluding </w:t>
      </w:r>
      <w:r w:rsidR="00444B73">
        <w:t>one</w:t>
      </w:r>
      <w:r w:rsidR="00701095">
        <w:t xml:space="preserve"> patient who had pneumococcal </w:t>
      </w:r>
      <w:r w:rsidR="0033609E">
        <w:t xml:space="preserve">13-valent </w:t>
      </w:r>
      <w:r w:rsidR="003A57A6">
        <w:t xml:space="preserve">conjugate </w:t>
      </w:r>
      <w:r w:rsidR="00701095">
        <w:t>vaccine</w:t>
      </w:r>
      <w:r w:rsidR="00444B73">
        <w:t xml:space="preserve"> </w:t>
      </w:r>
      <w:r w:rsidR="00701095">
        <w:t xml:space="preserve">prior to entry to the study, </w:t>
      </w:r>
      <w:r>
        <w:t xml:space="preserve">pneumococcal </w:t>
      </w:r>
      <w:r w:rsidR="003A57A6">
        <w:t xml:space="preserve">conjugate </w:t>
      </w:r>
      <w:r>
        <w:t>vaccination resulted in a satisfactory IgG immune response</w:t>
      </w:r>
      <w:r w:rsidR="003A57A6">
        <w:t xml:space="preserve"> (a ≥2-fold increase from baseline in ≥6 pneumococcal serotypes)</w:t>
      </w:r>
      <w:r>
        <w:t xml:space="preserve"> in </w:t>
      </w:r>
      <w:r w:rsidR="00701095">
        <w:t xml:space="preserve">68.6% </w:t>
      </w:r>
      <w:r>
        <w:t>(95% CI:</w:t>
      </w:r>
      <w:r w:rsidR="00701095">
        <w:t xml:space="preserve"> 59.1%, 76.8%</w:t>
      </w:r>
      <w:r>
        <w:t xml:space="preserve">) of the patients. In </w:t>
      </w:r>
      <w:r w:rsidR="003A57A6">
        <w:t>43.1%</w:t>
      </w:r>
      <w:r>
        <w:t>(95% CI:</w:t>
      </w:r>
      <w:r w:rsidR="000A31E2">
        <w:t xml:space="preserve"> </w:t>
      </w:r>
      <w:r w:rsidR="003A57A6">
        <w:t>34.0%,52.8%</w:t>
      </w:r>
      <w:r>
        <w:t xml:space="preserve">) of the patients, a satisfactory IgG immune response </w:t>
      </w:r>
      <w:r w:rsidR="007A218C">
        <w:t xml:space="preserve">(a ≥4-fold increase from baseline in patients with a baseline anti-tetanus IgG concentration ≥0.1 IU/mL) </w:t>
      </w:r>
      <w:r>
        <w:t>to tetanus vaccination was achieved.</w:t>
      </w:r>
    </w:p>
    <w:p w14:paraId="49DF9BD3" w14:textId="11B5C4D0" w:rsidR="001A3992" w:rsidRPr="00625B9E" w:rsidRDefault="000C4E6C" w:rsidP="001A3992">
      <w:pPr>
        <w:pStyle w:val="Heading3"/>
        <w:spacing w:after="120"/>
      </w:pPr>
      <w:bookmarkStart w:id="63" w:name="_Use_in_hepatic"/>
      <w:bookmarkEnd w:id="63"/>
      <w:r w:rsidRPr="004468BE">
        <w:t>Use in hepatic impairmen</w:t>
      </w:r>
      <w:r w:rsidR="001A3992" w:rsidRPr="00625B9E">
        <w:t>t</w:t>
      </w:r>
    </w:p>
    <w:p w14:paraId="2269DC06" w14:textId="77777777" w:rsidR="003D7771" w:rsidRPr="00625B9E" w:rsidRDefault="003D7771" w:rsidP="003D7771">
      <w:r w:rsidRPr="00625B9E">
        <w:t>No dose adjustment is necessary in patients with mild or moderate hepatic impairment</w:t>
      </w:r>
      <w:r w:rsidR="00D740B5" w:rsidRPr="00625B9E">
        <w:t>. The use of OLUMIANT has not been studied in patients with severe hepatic impairment and is therefore not recommended.</w:t>
      </w:r>
    </w:p>
    <w:p w14:paraId="522A9B02" w14:textId="054C0D7F" w:rsidR="001A3992" w:rsidRPr="00625B9E" w:rsidRDefault="000C4E6C" w:rsidP="001A3992">
      <w:pPr>
        <w:pStyle w:val="Heading3"/>
        <w:spacing w:after="120"/>
      </w:pPr>
      <w:bookmarkStart w:id="64" w:name="_Use_in_renal"/>
      <w:bookmarkEnd w:id="64"/>
      <w:r w:rsidRPr="004468BE">
        <w:t>Use in renal impairment</w:t>
      </w:r>
      <w:r w:rsidR="001A3992" w:rsidRPr="00625B9E">
        <w:t xml:space="preserve"> </w:t>
      </w:r>
    </w:p>
    <w:p w14:paraId="47898AD8" w14:textId="77777777" w:rsidR="00C80D6A" w:rsidRPr="00625B9E" w:rsidRDefault="00C80D6A" w:rsidP="00C80D6A">
      <w:r w:rsidRPr="00625B9E">
        <w:t>Renal function was found to significantly affect OLUMIANT</w:t>
      </w:r>
      <w:r w:rsidRPr="00625B9E" w:rsidDel="00B70F42">
        <w:t xml:space="preserve"> </w:t>
      </w:r>
      <w:r w:rsidRPr="00625B9E">
        <w:t>exposure. The recommended dose of OLUMIANT</w:t>
      </w:r>
      <w:r w:rsidRPr="00625B9E" w:rsidDel="00B70F42">
        <w:t xml:space="preserve"> </w:t>
      </w:r>
      <w:r w:rsidRPr="00625B9E">
        <w:t>in patients with moderate, Stage 3 renal impairment, (estimated GFR 30 - ≤60 mL/min/1.73 m</w:t>
      </w:r>
      <w:r w:rsidRPr="00625B9E">
        <w:rPr>
          <w:vertAlign w:val="superscript"/>
        </w:rPr>
        <w:t>2</w:t>
      </w:r>
      <w:r w:rsidRPr="00625B9E">
        <w:t>) is 2 mg once daily. OLUMIANT</w:t>
      </w:r>
      <w:r w:rsidRPr="00625B9E" w:rsidDel="00B70F42">
        <w:t xml:space="preserve"> </w:t>
      </w:r>
      <w:r w:rsidRPr="00625B9E">
        <w:t>is not recommended for use in patients with Stage 4 &amp; 5 severe &amp; end stage renal impairment (estimated GFR of &lt;30 mL/min/1.73 m</w:t>
      </w:r>
      <w:r w:rsidRPr="00625B9E">
        <w:rPr>
          <w:vertAlign w:val="superscript"/>
        </w:rPr>
        <w:t>2</w:t>
      </w:r>
      <w:r w:rsidRPr="00625B9E">
        <w:t>).</w:t>
      </w:r>
      <w:r w:rsidRPr="00625B9E" w:rsidDel="00E33728">
        <w:t xml:space="preserve"> </w:t>
      </w:r>
      <w:r w:rsidRPr="00625B9E">
        <w:t xml:space="preserve">(See Table </w:t>
      </w:r>
      <w:r w:rsidR="005B7AB9" w:rsidRPr="00625B9E">
        <w:t xml:space="preserve">1 </w:t>
      </w:r>
      <w:r w:rsidR="005B7AB9" w:rsidRPr="004E5E12">
        <w:t>section 4.2</w:t>
      </w:r>
      <w:r w:rsidR="001453C5" w:rsidRPr="004E5E12">
        <w:t xml:space="preserve"> </w:t>
      </w:r>
      <w:hyperlink w:anchor="_Dose_and_method" w:history="1">
        <w:r w:rsidR="004E5E12" w:rsidRPr="004E5E12">
          <w:rPr>
            <w:rStyle w:val="Hyperlink"/>
          </w:rPr>
          <w:t>Dose and method of administration</w:t>
        </w:r>
      </w:hyperlink>
      <w:r w:rsidRPr="00625B9E">
        <w:t>). Patients with a creatinine clearance &lt;40 mL/min were excluded from the Phase 3 studies therefore caution is advised in patients with creatinine clearance 30 - &lt;40 mL/min.</w:t>
      </w:r>
    </w:p>
    <w:p w14:paraId="02A068A0" w14:textId="77777777" w:rsidR="001A3992" w:rsidRPr="00625B9E" w:rsidRDefault="001A3992" w:rsidP="001A3992">
      <w:pPr>
        <w:pStyle w:val="Heading3"/>
        <w:spacing w:after="120"/>
      </w:pPr>
      <w:r w:rsidRPr="00625B9E">
        <w:t>Use in the elderly</w:t>
      </w:r>
    </w:p>
    <w:p w14:paraId="5EDA61AB" w14:textId="77777777" w:rsidR="00DF15A1" w:rsidRDefault="00DF15A1" w:rsidP="00DF15A1">
      <w:r w:rsidRPr="00625B9E">
        <w:t>Age of ≥65 years or ≥75 years has no effect on OLUMIANT exposure (</w:t>
      </w:r>
      <w:proofErr w:type="spellStart"/>
      <w:r w:rsidRPr="00625B9E">
        <w:t>C</w:t>
      </w:r>
      <w:r w:rsidRPr="00625B9E">
        <w:rPr>
          <w:vertAlign w:val="subscript"/>
        </w:rPr>
        <w:t>max</w:t>
      </w:r>
      <w:proofErr w:type="spellEnd"/>
      <w:r w:rsidRPr="00625B9E">
        <w:t xml:space="preserve"> and AUC).</w:t>
      </w:r>
    </w:p>
    <w:p w14:paraId="7AE1C904" w14:textId="77777777" w:rsidR="00A66D1C" w:rsidRPr="00625B9E" w:rsidRDefault="00A66D1C" w:rsidP="00DF15A1">
      <w:r>
        <w:t>Safety information in patients ≥75 years is limited compared to younger patients and this should be taken into consideration when choosing the dose for these patients.</w:t>
      </w:r>
    </w:p>
    <w:p w14:paraId="42E9A4E0" w14:textId="77777777" w:rsidR="001A3992" w:rsidRPr="00625B9E" w:rsidRDefault="001A3992" w:rsidP="001A3992">
      <w:pPr>
        <w:pStyle w:val="Heading3"/>
        <w:spacing w:after="120"/>
      </w:pPr>
      <w:r w:rsidRPr="00625B9E">
        <w:lastRenderedPageBreak/>
        <w:t>Paediatric use</w:t>
      </w:r>
    </w:p>
    <w:p w14:paraId="1866FA1F" w14:textId="77777777" w:rsidR="00DF15A1" w:rsidRPr="00625B9E" w:rsidRDefault="00DF15A1" w:rsidP="00DF15A1">
      <w:r w:rsidRPr="00625B9E">
        <w:t>The safety and effectiveness of OLUMIANT have not been established in patients under 18 years of age.</w:t>
      </w:r>
    </w:p>
    <w:p w14:paraId="41963B72" w14:textId="51AE81E0" w:rsidR="001A3992" w:rsidRPr="00625B9E" w:rsidRDefault="000C4E6C" w:rsidP="001A3992">
      <w:pPr>
        <w:pStyle w:val="Heading3"/>
        <w:spacing w:after="120"/>
      </w:pPr>
      <w:bookmarkStart w:id="65" w:name="_Effects_on_laboratory"/>
      <w:bookmarkEnd w:id="65"/>
      <w:r w:rsidRPr="004468BE">
        <w:t>Effects on laboratory tests</w:t>
      </w:r>
    </w:p>
    <w:p w14:paraId="3B73697E" w14:textId="77777777" w:rsidR="00DF15A1" w:rsidRPr="00625B9E" w:rsidRDefault="00DF15A1" w:rsidP="00567E45">
      <w:pPr>
        <w:pStyle w:val="Heading4"/>
      </w:pPr>
      <w:r w:rsidRPr="00625B9E">
        <w:t>Neutropenia</w:t>
      </w:r>
    </w:p>
    <w:p w14:paraId="55A2E1E3" w14:textId="77777777" w:rsidR="00DF15A1" w:rsidRPr="00625B9E" w:rsidRDefault="00DF15A1" w:rsidP="00DF15A1">
      <w:r w:rsidRPr="00625B9E">
        <w:t>Absolute neutrophil counts (ANC) &lt;1000</w:t>
      </w:r>
      <w:r w:rsidR="00C80D6A" w:rsidRPr="00625B9E">
        <w:t> </w:t>
      </w:r>
      <w:r w:rsidRPr="00625B9E">
        <w:t>cells/mm</w:t>
      </w:r>
      <w:r w:rsidRPr="00625B9E">
        <w:rPr>
          <w:vertAlign w:val="superscript"/>
        </w:rPr>
        <w:t>3</w:t>
      </w:r>
      <w:r w:rsidRPr="00625B9E">
        <w:t xml:space="preserve"> were uncommonly reported in clinical trials. Avoid initiation or interrupt OLUMIANT treatment in patients with an ANC&lt;1000</w:t>
      </w:r>
      <w:r w:rsidR="00C80D6A" w:rsidRPr="00625B9E">
        <w:t> </w:t>
      </w:r>
      <w:r w:rsidRPr="00625B9E">
        <w:t>cells/mm</w:t>
      </w:r>
      <w:r w:rsidRPr="00625B9E">
        <w:rPr>
          <w:vertAlign w:val="superscript"/>
        </w:rPr>
        <w:t>3</w:t>
      </w:r>
      <w:r w:rsidRPr="00625B9E">
        <w:t xml:space="preserve"> (See </w:t>
      </w:r>
      <w:r w:rsidR="005B7AB9" w:rsidRPr="00625B9E">
        <w:t>Table 1</w:t>
      </w:r>
      <w:r w:rsidRPr="00625B9E">
        <w:t xml:space="preserve"> </w:t>
      </w:r>
      <w:r w:rsidR="005B7AB9" w:rsidRPr="00625B9E">
        <w:t>sectio</w:t>
      </w:r>
      <w:r w:rsidR="005B7AB9" w:rsidRPr="009B199C">
        <w:t>n 4.2</w:t>
      </w:r>
      <w:r w:rsidR="001453C5" w:rsidRPr="009B199C">
        <w:t xml:space="preserve"> </w:t>
      </w:r>
      <w:hyperlink w:anchor="_Dose_and_method" w:history="1">
        <w:r w:rsidR="009B199C" w:rsidRPr="009B199C">
          <w:rPr>
            <w:rStyle w:val="Hyperlink"/>
          </w:rPr>
          <w:t>Dose and method of administration</w:t>
        </w:r>
      </w:hyperlink>
      <w:r w:rsidR="005B7AB9" w:rsidRPr="00625B9E">
        <w:t>)</w:t>
      </w:r>
      <w:r w:rsidRPr="00625B9E">
        <w:t xml:space="preserve">. </w:t>
      </w:r>
    </w:p>
    <w:p w14:paraId="64C09682" w14:textId="77777777" w:rsidR="00DF15A1" w:rsidRPr="00625B9E" w:rsidRDefault="00DF15A1" w:rsidP="00567E45">
      <w:pPr>
        <w:pStyle w:val="Heading4"/>
      </w:pPr>
      <w:proofErr w:type="spellStart"/>
      <w:r w:rsidRPr="00625B9E">
        <w:t>Lymphopenia</w:t>
      </w:r>
      <w:proofErr w:type="spellEnd"/>
    </w:p>
    <w:p w14:paraId="4B5AD949" w14:textId="77777777" w:rsidR="00DF15A1" w:rsidRPr="00625B9E" w:rsidRDefault="00DF15A1" w:rsidP="00DF15A1">
      <w:r w:rsidRPr="00625B9E">
        <w:t>Absolute lymphocyte counts (ALC) &lt;500</w:t>
      </w:r>
      <w:r w:rsidR="00C80D6A" w:rsidRPr="00625B9E">
        <w:t> </w:t>
      </w:r>
      <w:r w:rsidRPr="00625B9E">
        <w:t>cells/mm</w:t>
      </w:r>
      <w:r w:rsidRPr="00625B9E">
        <w:rPr>
          <w:vertAlign w:val="superscript"/>
        </w:rPr>
        <w:t>3</w:t>
      </w:r>
      <w:r w:rsidRPr="00625B9E">
        <w:t xml:space="preserve"> were uncommonly reported in clinical trials. Avoid initiation or interrupt OLUMIANT treatment in patients with an ALC &lt;500</w:t>
      </w:r>
      <w:r w:rsidR="00C80D6A" w:rsidRPr="00625B9E">
        <w:t> </w:t>
      </w:r>
      <w:r w:rsidRPr="00625B9E">
        <w:t>cells/mm</w:t>
      </w:r>
      <w:r w:rsidRPr="00625B9E">
        <w:rPr>
          <w:vertAlign w:val="superscript"/>
        </w:rPr>
        <w:t>3</w:t>
      </w:r>
      <w:r w:rsidRPr="00625B9E">
        <w:t xml:space="preserve"> (See Table </w:t>
      </w:r>
      <w:r w:rsidR="005B7AB9" w:rsidRPr="00625B9E">
        <w:t>1 sect</w:t>
      </w:r>
      <w:r w:rsidR="005B7AB9" w:rsidRPr="009B199C">
        <w:t>ion 4.2</w:t>
      </w:r>
      <w:r w:rsidR="009B199C">
        <w:t xml:space="preserve"> </w:t>
      </w:r>
      <w:hyperlink w:anchor="_Dose_and_method" w:history="1">
        <w:r w:rsidR="009B199C" w:rsidRPr="009B199C">
          <w:rPr>
            <w:rStyle w:val="Hyperlink"/>
          </w:rPr>
          <w:t>Dose and method of administration</w:t>
        </w:r>
      </w:hyperlink>
      <w:r w:rsidRPr="009B199C">
        <w:t>)</w:t>
      </w:r>
      <w:r w:rsidRPr="00625B9E">
        <w:t>.</w:t>
      </w:r>
    </w:p>
    <w:p w14:paraId="774E9A1C" w14:textId="77777777" w:rsidR="00DF15A1" w:rsidRPr="00625B9E" w:rsidRDefault="00DF15A1" w:rsidP="00567E45">
      <w:pPr>
        <w:pStyle w:val="Heading4"/>
      </w:pPr>
      <w:r w:rsidRPr="00625B9E">
        <w:t>Haemoglobin</w:t>
      </w:r>
    </w:p>
    <w:p w14:paraId="1D7B2726" w14:textId="77777777" w:rsidR="00DF15A1" w:rsidRPr="00625B9E" w:rsidRDefault="00DF15A1" w:rsidP="00DF15A1">
      <w:r w:rsidRPr="00625B9E">
        <w:t>Decreases in haemoglobin levels to &lt;8</w:t>
      </w:r>
      <w:r w:rsidR="00C80D6A" w:rsidRPr="00625B9E">
        <w:t> </w:t>
      </w:r>
      <w:r w:rsidRPr="00625B9E">
        <w:t>g/</w:t>
      </w:r>
      <w:proofErr w:type="spellStart"/>
      <w:r w:rsidRPr="00625B9E">
        <w:t>dL</w:t>
      </w:r>
      <w:proofErr w:type="spellEnd"/>
      <w:r w:rsidRPr="00625B9E">
        <w:t xml:space="preserve"> were reported uncommonly with baricitinib treatment. Avoid use of OLUMIANT treatment in patients with haemoglobin &lt;8</w:t>
      </w:r>
      <w:r w:rsidR="00C80D6A" w:rsidRPr="00625B9E">
        <w:t> </w:t>
      </w:r>
      <w:r w:rsidRPr="00625B9E">
        <w:t>g/</w:t>
      </w:r>
      <w:proofErr w:type="spellStart"/>
      <w:r w:rsidRPr="00625B9E">
        <w:t>dL</w:t>
      </w:r>
      <w:proofErr w:type="spellEnd"/>
      <w:r w:rsidRPr="00625B9E">
        <w:t xml:space="preserve"> (</w:t>
      </w:r>
      <w:r w:rsidR="005B7AB9" w:rsidRPr="00625B9E">
        <w:t>See Table 1 section 4.2</w:t>
      </w:r>
      <w:r w:rsidR="009B199C">
        <w:t xml:space="preserve"> </w:t>
      </w:r>
      <w:hyperlink w:anchor="_Dose_and_method" w:history="1">
        <w:r w:rsidR="009B199C" w:rsidRPr="009B199C">
          <w:rPr>
            <w:rStyle w:val="Hyperlink"/>
          </w:rPr>
          <w:t>Dose and method of administration</w:t>
        </w:r>
      </w:hyperlink>
      <w:r w:rsidRPr="00625B9E">
        <w:t xml:space="preserve">). </w:t>
      </w:r>
    </w:p>
    <w:p w14:paraId="1899A3C4" w14:textId="77777777" w:rsidR="00DF15A1" w:rsidRPr="00625B9E" w:rsidRDefault="00DF15A1" w:rsidP="00567E45">
      <w:pPr>
        <w:pStyle w:val="Heading4"/>
      </w:pPr>
      <w:r w:rsidRPr="00625B9E">
        <w:t>Lipids</w:t>
      </w:r>
    </w:p>
    <w:p w14:paraId="592C4A34" w14:textId="77777777" w:rsidR="00C80D6A" w:rsidRPr="00625B9E" w:rsidRDefault="00C80D6A" w:rsidP="00C80D6A">
      <w:r w:rsidRPr="00625B9E">
        <w:t>Increases in lipid parameters were very common in the OLUMIANT</w:t>
      </w:r>
      <w:r w:rsidRPr="00625B9E" w:rsidDel="00B70F42">
        <w:t xml:space="preserve"> </w:t>
      </w:r>
      <w:r w:rsidRPr="00625B9E">
        <w:t>treated patients in clinical trials. Elevations in low-density lipoprotein (LDL) cholesterol decreased to pre-treatment levels in response to statin therapy. Lipid parameters should be assessed approximately 12 weeks following initiation of OLUMIANT therapy. During 12 weeks of treatment, 33.7% of patients treated with OLUMIANT 4 mg, 20.3 % of patients treated with OLUMIANT 2 mg and 11.3 % of patients treated with placebo developed LDL-C ≥3.36 </w:t>
      </w:r>
      <w:proofErr w:type="spellStart"/>
      <w:r w:rsidRPr="00625B9E">
        <w:t>mmol</w:t>
      </w:r>
      <w:proofErr w:type="spellEnd"/>
      <w:r w:rsidRPr="00625B9E">
        <w:t>/L (see</w:t>
      </w:r>
      <w:r w:rsidR="009B199C">
        <w:t xml:space="preserve"> </w:t>
      </w:r>
      <w:r w:rsidR="000C1180">
        <w:t xml:space="preserve">section 4.8 </w:t>
      </w:r>
      <w:r w:rsidR="009B199C" w:rsidRPr="000C1180">
        <w:t>A</w:t>
      </w:r>
      <w:r w:rsidR="00567E45">
        <w:t>DVERSE EFFECTS</w:t>
      </w:r>
      <w:r w:rsidR="009B199C" w:rsidRPr="000C1180">
        <w:t xml:space="preserve"> (U</w:t>
      </w:r>
      <w:r w:rsidR="00567E45">
        <w:t>NDESIRABLE EFFECTS</w:t>
      </w:r>
      <w:r w:rsidR="009B199C" w:rsidRPr="000C1180">
        <w:t>)</w:t>
      </w:r>
      <w:r w:rsidR="00AD3F5C">
        <w:t xml:space="preserve"> </w:t>
      </w:r>
      <w:r w:rsidR="000C1180">
        <w:t xml:space="preserve">/ </w:t>
      </w:r>
      <w:r w:rsidR="00AD3F5C">
        <w:t xml:space="preserve">Adverse Reactions / </w:t>
      </w:r>
      <w:hyperlink w:anchor="_Lipids" w:history="1">
        <w:r w:rsidR="000C1180" w:rsidRPr="00567E45">
          <w:rPr>
            <w:rStyle w:val="Hyperlink"/>
          </w:rPr>
          <w:t>Lipids</w:t>
        </w:r>
      </w:hyperlink>
      <w:r w:rsidR="000C1180">
        <w:t>).</w:t>
      </w:r>
      <w:r w:rsidRPr="00625B9E">
        <w:t xml:space="preserve"> Patients should be managed according to local clinical guidelines for hyperlipidaemia (See Table </w:t>
      </w:r>
      <w:r w:rsidR="00170588" w:rsidRPr="00625B9E">
        <w:t>1</w:t>
      </w:r>
      <w:r w:rsidRPr="00625B9E">
        <w:t xml:space="preserve"> </w:t>
      </w:r>
      <w:r w:rsidR="00170588" w:rsidRPr="00625B9E">
        <w:t>section 4.2</w:t>
      </w:r>
      <w:r w:rsidR="009B199C">
        <w:t xml:space="preserve"> </w:t>
      </w:r>
      <w:hyperlink w:anchor="_Dose_and_method" w:history="1">
        <w:r w:rsidR="009B199C" w:rsidRPr="009B199C">
          <w:rPr>
            <w:rStyle w:val="Hyperlink"/>
          </w:rPr>
          <w:t>Dose and method of administration</w:t>
        </w:r>
      </w:hyperlink>
      <w:r w:rsidR="00625B9E">
        <w:t>)</w:t>
      </w:r>
      <w:r w:rsidRPr="00625B9E">
        <w:t>. The effect of these lipid parameter elevations on long-term cardiovascular morbidity and mortality has not been determined.</w:t>
      </w:r>
    </w:p>
    <w:p w14:paraId="132788FB" w14:textId="77777777" w:rsidR="00DF15A1" w:rsidRPr="00625B9E" w:rsidRDefault="007078D0" w:rsidP="00567E45">
      <w:pPr>
        <w:pStyle w:val="Heading4"/>
      </w:pPr>
      <w:r w:rsidRPr="00625B9E">
        <w:t>Aminotransferases</w:t>
      </w:r>
    </w:p>
    <w:p w14:paraId="6EBEC1B9" w14:textId="77777777" w:rsidR="007078D0" w:rsidRPr="00625B9E" w:rsidRDefault="007078D0" w:rsidP="00DF15A1">
      <w:r w:rsidRPr="00625B9E">
        <w:t xml:space="preserve">Increases to ≥5 and ≥10x upper limit of normal (ULN) were uncommonly observed for both alanine transaminase (ALT) and aspartate transaminase (AST) in patients treated with OLUMIANT in clinical trials. If increases in ALT or AST are observed, and drug induced liver injury is suspected, OLUMIANT should be interrupted until this diagnosis is excluded (See Table </w:t>
      </w:r>
      <w:r w:rsidR="005B7AB9" w:rsidRPr="00625B9E">
        <w:t>1 se</w:t>
      </w:r>
      <w:r w:rsidR="005B7AB9" w:rsidRPr="009B199C">
        <w:t>ction 4.2</w:t>
      </w:r>
      <w:r w:rsidR="009B199C">
        <w:t xml:space="preserve"> </w:t>
      </w:r>
      <w:hyperlink w:anchor="_Dose_and_method" w:history="1">
        <w:r w:rsidR="009B199C" w:rsidRPr="009B199C">
          <w:rPr>
            <w:rStyle w:val="Hyperlink"/>
          </w:rPr>
          <w:t>Dose and method of administration</w:t>
        </w:r>
      </w:hyperlink>
      <w:r w:rsidRPr="009B199C">
        <w:t>)</w:t>
      </w:r>
      <w:r w:rsidRPr="00625B9E">
        <w:t>.</w:t>
      </w:r>
    </w:p>
    <w:p w14:paraId="271ACD6B" w14:textId="2EB945D1" w:rsidR="001A3992" w:rsidRPr="00625B9E" w:rsidRDefault="000C4E6C" w:rsidP="001A3992">
      <w:pPr>
        <w:pStyle w:val="Heading2"/>
        <w:keepNext/>
        <w:keepLines/>
        <w:spacing w:before="0" w:after="120"/>
      </w:pPr>
      <w:bookmarkStart w:id="66" w:name="_Interactions_with_other"/>
      <w:bookmarkEnd w:id="66"/>
      <w:r w:rsidRPr="004468BE">
        <w:lastRenderedPageBreak/>
        <w:t>Interactions with other medicines and other forms of interaction</w:t>
      </w:r>
      <w:r w:rsidR="001A3992" w:rsidRPr="00625B9E">
        <w:t>s</w:t>
      </w:r>
    </w:p>
    <w:p w14:paraId="4A475B69" w14:textId="77777777" w:rsidR="007078D0" w:rsidRPr="00625B9E" w:rsidRDefault="007078D0" w:rsidP="00094A0C">
      <w:pPr>
        <w:pStyle w:val="Heading3"/>
      </w:pPr>
      <w:r w:rsidRPr="00625B9E">
        <w:t>Potential for OLUMIANT to affect other drugs</w:t>
      </w:r>
    </w:p>
    <w:p w14:paraId="2E8AA74F" w14:textId="77777777" w:rsidR="007078D0" w:rsidRPr="00625B9E" w:rsidRDefault="007078D0" w:rsidP="00567E45">
      <w:pPr>
        <w:pStyle w:val="Heading4"/>
      </w:pPr>
      <w:r w:rsidRPr="00625B9E">
        <w:t>Cytochrome P450 Enzymes</w:t>
      </w:r>
    </w:p>
    <w:p w14:paraId="1F252185" w14:textId="3ADE35C9" w:rsidR="00C46258" w:rsidRPr="00625B9E" w:rsidRDefault="007078D0" w:rsidP="007078D0">
      <w:r w:rsidRPr="00625B9E">
        <w:t xml:space="preserve">In vitro, baricitinib did not significantly inhibit or induce the activity of cytochrome P450 enzymes (CYPs 3A, 1A2, 2B6, 2C8, 2C9, 2C19, and 2D6). In clinical pharmacology studies, </w:t>
      </w:r>
      <w:proofErr w:type="spellStart"/>
      <w:r w:rsidRPr="00625B9E">
        <w:t>coadministration</w:t>
      </w:r>
      <w:proofErr w:type="spellEnd"/>
      <w:r w:rsidRPr="00625B9E">
        <w:t xml:space="preserve"> of baricitinib with the CYP3A substrates simvastatin, </w:t>
      </w:r>
      <w:proofErr w:type="spellStart"/>
      <w:r w:rsidRPr="00625B9E">
        <w:t>ethinyl</w:t>
      </w:r>
      <w:proofErr w:type="spellEnd"/>
      <w:r w:rsidRPr="00625B9E">
        <w:t xml:space="preserve"> estradiol, or </w:t>
      </w:r>
      <w:proofErr w:type="spellStart"/>
      <w:r w:rsidRPr="00625B9E">
        <w:t>levonorgestrel</w:t>
      </w:r>
      <w:proofErr w:type="spellEnd"/>
      <w:r w:rsidRPr="00625B9E">
        <w:t xml:space="preserve"> resulted in no clinically meaningful changes </w:t>
      </w:r>
      <w:r w:rsidR="00110965" w:rsidRPr="00F24529">
        <w:t xml:space="preserve">in </w:t>
      </w:r>
      <w:r w:rsidR="00833C3C">
        <w:t xml:space="preserve">the </w:t>
      </w:r>
      <w:r w:rsidR="00110965" w:rsidRPr="00F24529">
        <w:t>pharmacokinetics</w:t>
      </w:r>
      <w:r w:rsidR="00C46258">
        <w:t xml:space="preserve"> (</w:t>
      </w:r>
      <w:proofErr w:type="spellStart"/>
      <w:r w:rsidR="00C46258">
        <w:t>C</w:t>
      </w:r>
      <w:r w:rsidR="00C46258" w:rsidRPr="00C46258">
        <w:rPr>
          <w:vertAlign w:val="subscript"/>
        </w:rPr>
        <w:t>max</w:t>
      </w:r>
      <w:proofErr w:type="spellEnd"/>
      <w:r w:rsidR="00C46258">
        <w:t xml:space="preserve"> and AUC</w:t>
      </w:r>
      <w:r w:rsidR="00C46258" w:rsidRPr="00C46258">
        <w:rPr>
          <w:vertAlign w:val="subscript"/>
        </w:rPr>
        <w:t>(0-∞)</w:t>
      </w:r>
      <w:r w:rsidR="00C46258">
        <w:t>)</w:t>
      </w:r>
      <w:r w:rsidR="00110965" w:rsidRPr="00F24529">
        <w:t xml:space="preserve"> </w:t>
      </w:r>
      <w:r w:rsidR="00833C3C">
        <w:t>of</w:t>
      </w:r>
      <w:r w:rsidR="00833C3C" w:rsidRPr="00625B9E">
        <w:t xml:space="preserve"> </w:t>
      </w:r>
      <w:r w:rsidRPr="00625B9E">
        <w:t xml:space="preserve">these drugs. </w:t>
      </w:r>
      <w:r w:rsidR="00C46258">
        <w:t xml:space="preserve"> </w:t>
      </w:r>
    </w:p>
    <w:p w14:paraId="1B08F559" w14:textId="77777777" w:rsidR="007078D0" w:rsidRPr="00625B9E" w:rsidRDefault="007078D0" w:rsidP="00567E45">
      <w:pPr>
        <w:pStyle w:val="Heading4"/>
      </w:pPr>
      <w:r w:rsidRPr="00625B9E">
        <w:t>Transporters</w:t>
      </w:r>
    </w:p>
    <w:p w14:paraId="41B90ACF" w14:textId="77EE3F7E" w:rsidR="007078D0" w:rsidRPr="00625B9E" w:rsidRDefault="007078D0" w:rsidP="007078D0">
      <w:r w:rsidRPr="00833C3C">
        <w:t>In vitro, baricitinib did not inhibit the transporters P-glycoprotein (</w:t>
      </w:r>
      <w:proofErr w:type="spellStart"/>
      <w:r w:rsidRPr="00833C3C">
        <w:t>Pgp</w:t>
      </w:r>
      <w:proofErr w:type="spellEnd"/>
      <w:r w:rsidRPr="00833C3C">
        <w:t>) or organic anion transporting polypeptide (OATP) 1B1. In vitro, baricitinib</w:t>
      </w:r>
      <w:r w:rsidR="00E70427">
        <w:t xml:space="preserve"> </w:t>
      </w:r>
      <w:r w:rsidRPr="00833C3C">
        <w:t xml:space="preserve">does inhibit organic anionic transporter (OAT) 1, </w:t>
      </w:r>
      <w:r w:rsidR="00110965" w:rsidRPr="00833C3C">
        <w:t xml:space="preserve">OAT2, </w:t>
      </w:r>
      <w:r w:rsidRPr="00833C3C">
        <w:t xml:space="preserve">OAT3, organic cationic transporter (OCT)1, OCT2, OATP1B3, breast cancer resistance protein (BRCP) and multidrug and toxic extrusion protein (MATE)1 and MATE2-K, but clinically meaningful changes to drugs that are substrates for these transporters are unlikely. In clinical pharmacology studies there were no clinically meaningful effects when baricitinib was </w:t>
      </w:r>
      <w:proofErr w:type="spellStart"/>
      <w:r w:rsidRPr="00833C3C">
        <w:t>coadministered</w:t>
      </w:r>
      <w:proofErr w:type="spellEnd"/>
      <w:r w:rsidRPr="00833C3C">
        <w:t xml:space="preserve"> with digoxin (</w:t>
      </w:r>
      <w:proofErr w:type="spellStart"/>
      <w:r w:rsidRPr="00833C3C">
        <w:t>Pgp</w:t>
      </w:r>
      <w:proofErr w:type="spellEnd"/>
      <w:r w:rsidRPr="00833C3C">
        <w:t xml:space="preserve"> substrate) or methotrexate (substrate of several transporters).</w:t>
      </w:r>
    </w:p>
    <w:p w14:paraId="72E078DE" w14:textId="77777777" w:rsidR="007078D0" w:rsidRPr="00625B9E" w:rsidRDefault="007078D0" w:rsidP="00094A0C">
      <w:pPr>
        <w:pStyle w:val="Heading3"/>
      </w:pPr>
      <w:r w:rsidRPr="00625B9E">
        <w:t>Potential for other drugs to affect OLUMIANT</w:t>
      </w:r>
    </w:p>
    <w:p w14:paraId="2889DC67" w14:textId="77777777" w:rsidR="007078D0" w:rsidRPr="00625B9E" w:rsidRDefault="007078D0" w:rsidP="00567E45">
      <w:pPr>
        <w:pStyle w:val="Heading4"/>
      </w:pPr>
      <w:r w:rsidRPr="00625B9E">
        <w:t>Cytochrome P450 Enzymes</w:t>
      </w:r>
    </w:p>
    <w:p w14:paraId="4BD929B8" w14:textId="20B5324A" w:rsidR="007078D0" w:rsidRPr="00625B9E" w:rsidRDefault="007078D0" w:rsidP="007078D0">
      <w:r w:rsidRPr="00833C3C">
        <w:t xml:space="preserve">In vitro, baricitinib is a CYP3A4 substrate. In clinical pharmacology studies, </w:t>
      </w:r>
      <w:proofErr w:type="spellStart"/>
      <w:r w:rsidRPr="00833C3C">
        <w:t>coadministration</w:t>
      </w:r>
      <w:proofErr w:type="spellEnd"/>
      <w:r w:rsidRPr="00833C3C">
        <w:t xml:space="preserve"> of baricitinib with ketoconazole (CYP3A inhibitor) resulted in no clinically meaningful effect. </w:t>
      </w:r>
      <w:proofErr w:type="spellStart"/>
      <w:r w:rsidRPr="00833C3C">
        <w:t>Coadministration</w:t>
      </w:r>
      <w:proofErr w:type="spellEnd"/>
      <w:r w:rsidRPr="00833C3C">
        <w:t xml:space="preserve"> of baricitinib with fluconazole (CYP3A/</w:t>
      </w:r>
      <w:r w:rsidR="00110965" w:rsidRPr="00833C3C">
        <w:t>CYP2C19/</w:t>
      </w:r>
      <w:r w:rsidRPr="00833C3C">
        <w:t>CYP2C9 inhibitor) or rifampicin (CYP3A inducer) resulted in no clinically meaningful changes</w:t>
      </w:r>
      <w:r w:rsidR="00110965" w:rsidRPr="00713CA3">
        <w:t xml:space="preserve"> in </w:t>
      </w:r>
      <w:r w:rsidR="007D3D0F">
        <w:t xml:space="preserve">the </w:t>
      </w:r>
      <w:r w:rsidR="00110965" w:rsidRPr="00713CA3">
        <w:t>pharmacokinetics</w:t>
      </w:r>
      <w:r w:rsidRPr="00713CA3">
        <w:t xml:space="preserve"> </w:t>
      </w:r>
      <w:r w:rsidR="00833C3C" w:rsidRPr="00833C3C">
        <w:t>(</w:t>
      </w:r>
      <w:proofErr w:type="spellStart"/>
      <w:r w:rsidR="00833C3C" w:rsidRPr="00833C3C">
        <w:t>C</w:t>
      </w:r>
      <w:r w:rsidR="00833C3C" w:rsidRPr="00FA4779">
        <w:rPr>
          <w:vertAlign w:val="subscript"/>
        </w:rPr>
        <w:t>max</w:t>
      </w:r>
      <w:proofErr w:type="spellEnd"/>
      <w:r w:rsidR="00833C3C" w:rsidRPr="00833C3C">
        <w:t xml:space="preserve"> and AUC(</w:t>
      </w:r>
      <w:r w:rsidR="00833C3C" w:rsidRPr="00FA4779">
        <w:rPr>
          <w:vertAlign w:val="subscript"/>
        </w:rPr>
        <w:t>0-∞</w:t>
      </w:r>
      <w:r w:rsidR="00833C3C" w:rsidRPr="00833C3C">
        <w:t>)) of</w:t>
      </w:r>
      <w:r w:rsidR="00B07377">
        <w:t xml:space="preserve"> </w:t>
      </w:r>
      <w:r w:rsidR="008250C8">
        <w:t>baricitinib</w:t>
      </w:r>
      <w:r w:rsidRPr="00833C3C">
        <w:t>.</w:t>
      </w:r>
    </w:p>
    <w:p w14:paraId="65224A90" w14:textId="77777777" w:rsidR="007078D0" w:rsidRPr="00625B9E" w:rsidRDefault="007078D0" w:rsidP="00567E45">
      <w:pPr>
        <w:pStyle w:val="Heading4"/>
      </w:pPr>
      <w:r w:rsidRPr="00625B9E">
        <w:t>Transporters</w:t>
      </w:r>
    </w:p>
    <w:p w14:paraId="6F936488" w14:textId="7E3D6079" w:rsidR="007078D0" w:rsidRPr="00625B9E" w:rsidRDefault="007078D0" w:rsidP="007078D0">
      <w:r w:rsidRPr="00625B9E">
        <w:t xml:space="preserve">In vitro, baricitinib is a substrate for OAT3, </w:t>
      </w:r>
      <w:proofErr w:type="spellStart"/>
      <w:r w:rsidRPr="00625B9E">
        <w:t>Pgp</w:t>
      </w:r>
      <w:proofErr w:type="spellEnd"/>
      <w:r w:rsidRPr="00625B9E">
        <w:t>, BCRP and MATE2-K. In a clinical pharmacology study, probenecid (OAT3 inhibitor with strong inhibition potential) dosing resulted in approximately a 2-fold increase in AUC</w:t>
      </w:r>
      <w:r w:rsidRPr="00625B9E">
        <w:rPr>
          <w:vertAlign w:val="subscript"/>
        </w:rPr>
        <w:t>(0-∞)</w:t>
      </w:r>
      <w:r w:rsidRPr="00625B9E">
        <w:t xml:space="preserve"> with no</w:t>
      </w:r>
      <w:r w:rsidRPr="00F24529">
        <w:t xml:space="preserve"> </w:t>
      </w:r>
      <w:r w:rsidR="00110965" w:rsidRPr="00F24529">
        <w:t xml:space="preserve">effect on </w:t>
      </w:r>
      <w:proofErr w:type="spellStart"/>
      <w:r w:rsidRPr="00F24529">
        <w:t>C</w:t>
      </w:r>
      <w:r w:rsidRPr="00F24529">
        <w:rPr>
          <w:vertAlign w:val="subscript"/>
        </w:rPr>
        <w:t>max</w:t>
      </w:r>
      <w:proofErr w:type="spellEnd"/>
      <w:r w:rsidRPr="00F24529">
        <w:t xml:space="preserve"> </w:t>
      </w:r>
      <w:r w:rsidR="00110965" w:rsidRPr="00F24529">
        <w:t xml:space="preserve">or </w:t>
      </w:r>
      <w:proofErr w:type="spellStart"/>
      <w:r w:rsidR="00110965" w:rsidRPr="00F24529">
        <w:t>T</w:t>
      </w:r>
      <w:r w:rsidR="00110965" w:rsidRPr="00F24529">
        <w:rPr>
          <w:vertAlign w:val="subscript"/>
        </w:rPr>
        <w:t>max</w:t>
      </w:r>
      <w:proofErr w:type="spellEnd"/>
      <w:r w:rsidR="00110965" w:rsidRPr="00F24529">
        <w:t xml:space="preserve"> </w:t>
      </w:r>
      <w:r w:rsidRPr="00F24529">
        <w:t>of</w:t>
      </w:r>
      <w:r w:rsidRPr="00625B9E">
        <w:t xml:space="preserve"> baricitinib. Simulations with diclofenac and ibuprofen (OAT3 inhibitors with less inhibition potential) predicted </w:t>
      </w:r>
      <w:r w:rsidR="00EB2D0F">
        <w:t xml:space="preserve">minimal </w:t>
      </w:r>
      <w:r w:rsidRPr="00625B9E">
        <w:t xml:space="preserve">effect on baricitinib exposure. </w:t>
      </w:r>
      <w:proofErr w:type="spellStart"/>
      <w:r w:rsidRPr="00625B9E">
        <w:t>Coadministration</w:t>
      </w:r>
      <w:proofErr w:type="spellEnd"/>
      <w:r w:rsidRPr="00625B9E">
        <w:t xml:space="preserve"> of baricitinib with cyclosporine (</w:t>
      </w:r>
      <w:proofErr w:type="spellStart"/>
      <w:r w:rsidRPr="00625B9E">
        <w:t>Pgp</w:t>
      </w:r>
      <w:proofErr w:type="spellEnd"/>
      <w:r w:rsidRPr="00625B9E">
        <w:t>/BCRP inhibitor) or methotrexate (substrate of several transporters) resulted in no clinically meaningful effects on baricitinib exposure.</w:t>
      </w:r>
    </w:p>
    <w:p w14:paraId="048496AB" w14:textId="77777777" w:rsidR="007078D0" w:rsidRPr="00625B9E" w:rsidRDefault="007078D0" w:rsidP="00094A0C">
      <w:pPr>
        <w:pStyle w:val="Heading3"/>
      </w:pPr>
      <w:r w:rsidRPr="00625B9E">
        <w:t xml:space="preserve">Medicines used for VTE </w:t>
      </w:r>
    </w:p>
    <w:p w14:paraId="6D94C8E7" w14:textId="77777777" w:rsidR="007078D0" w:rsidRPr="00625B9E" w:rsidRDefault="007078D0" w:rsidP="007078D0">
      <w:r w:rsidRPr="00625B9E">
        <w:t xml:space="preserve">No clinical drug-drug interaction (DDI) studies with anticoagulants have been conducted. Based on the low DDI potential of baricitinib via enzymes and transporters, clinically meaningful DDI are not anticipated for </w:t>
      </w:r>
      <w:proofErr w:type="spellStart"/>
      <w:r w:rsidRPr="00625B9E">
        <w:t>coadministration</w:t>
      </w:r>
      <w:proofErr w:type="spellEnd"/>
      <w:r w:rsidRPr="00625B9E">
        <w:t xml:space="preserve"> of baricitinib with medicines commonly used for prophylaxis or treatment of VTE.</w:t>
      </w:r>
    </w:p>
    <w:p w14:paraId="7FEC3B41" w14:textId="77777777" w:rsidR="001A3992" w:rsidRPr="00625B9E" w:rsidRDefault="001A3992" w:rsidP="0083768C">
      <w:pPr>
        <w:pStyle w:val="Heading2"/>
        <w:pageBreakBefore/>
        <w:spacing w:before="0" w:after="120"/>
      </w:pPr>
      <w:r w:rsidRPr="00625B9E">
        <w:lastRenderedPageBreak/>
        <w:t xml:space="preserve">Fertility, pregnancy and lactation </w:t>
      </w:r>
    </w:p>
    <w:p w14:paraId="24AA17D6" w14:textId="77777777" w:rsidR="001A3992" w:rsidRPr="00625B9E" w:rsidRDefault="001A3992" w:rsidP="001A3992">
      <w:pPr>
        <w:pStyle w:val="Heading3"/>
        <w:spacing w:after="120"/>
      </w:pPr>
      <w:r w:rsidRPr="00625B9E">
        <w:t>Effects on fertility</w:t>
      </w:r>
    </w:p>
    <w:p w14:paraId="2C6143E3" w14:textId="77777777" w:rsidR="007078D0" w:rsidRPr="00625B9E" w:rsidRDefault="007078D0" w:rsidP="007078D0">
      <w:r w:rsidRPr="00625B9E">
        <w:t xml:space="preserve">In a combined male/female rat fertility study, baricitinib decreased overall mating performance and male copulation index following dosing at approximately 56x the maximum recommended human exposure (AUC) and induced a dose-related trend towards reduced male fertility index following dosing at approximately 12x the maximum recommended human exposure (AUC). </w:t>
      </w:r>
    </w:p>
    <w:p w14:paraId="2A761875" w14:textId="77777777" w:rsidR="007078D0" w:rsidRPr="00625B9E" w:rsidRDefault="007078D0" w:rsidP="007078D0">
      <w:r w:rsidRPr="00625B9E">
        <w:t xml:space="preserve">Baricitinib treatment also significantly decreased female conception index following dosing at approximately 85x human exposure at the maximum recommended dose (AUC) and induced a dose related trend towards decreased fertility index following dosing at approximately 24x the maximum recommended human exposure (AUC).  In female rats there were decreased numbers of corpora </w:t>
      </w:r>
      <w:proofErr w:type="spellStart"/>
      <w:r w:rsidRPr="00625B9E">
        <w:t>lutea</w:t>
      </w:r>
      <w:proofErr w:type="spellEnd"/>
      <w:r w:rsidRPr="00625B9E">
        <w:t xml:space="preserve"> and implantation sites and increased pre-implantation loss following dosing at approximately 85x human exposure at the maximum recommended dose (AUC). Following dosing at approximately 24x the maximum recommended human exposure (AUC), reduced mean number of viable embryos/dam, reduced mean viable embryos and increased mean post-implantation loss occurred. The no-observed-effects-level (NOEL) for fertility and impaired early embryonic development was approximately 4x human exposure at the maximum recommended dose (AUC). </w:t>
      </w:r>
    </w:p>
    <w:p w14:paraId="0F9514CD" w14:textId="77777777" w:rsidR="007078D0" w:rsidRPr="00625B9E" w:rsidRDefault="007078D0" w:rsidP="007078D0">
      <w:r w:rsidRPr="00625B9E">
        <w:t xml:space="preserve">Since there were no effects on spermatogenesis (as assessed by histopathology) or semen/sperm endpoints in male rats or mating indices in either sex, the decreased overall mating performance was likely the result of effects on female fertility and/or early pre-implantation embryonic development. </w:t>
      </w:r>
    </w:p>
    <w:p w14:paraId="654BBD35" w14:textId="77777777" w:rsidR="007078D0" w:rsidRPr="00625B9E" w:rsidRDefault="007078D0" w:rsidP="007078D0">
      <w:r w:rsidRPr="00625B9E">
        <w:t>Women of childbearing potential should take appropriate precautions to avoid becoming pregnant during treatment with OLUMIANT and for at least 1 week after the final treatment.</w:t>
      </w:r>
    </w:p>
    <w:p w14:paraId="25A6980F" w14:textId="77777777" w:rsidR="001A3992" w:rsidRPr="00625B9E" w:rsidRDefault="001A3992" w:rsidP="001A3992">
      <w:pPr>
        <w:pStyle w:val="Heading3"/>
        <w:spacing w:after="120"/>
      </w:pPr>
      <w:r w:rsidRPr="00625B9E">
        <w:t xml:space="preserve">Use in pregnancy </w:t>
      </w:r>
    </w:p>
    <w:p w14:paraId="03245051" w14:textId="77777777" w:rsidR="007078D0" w:rsidRPr="00625B9E" w:rsidRDefault="007078D0" w:rsidP="007078D0">
      <w:pPr>
        <w:rPr>
          <w:u w:val="single"/>
        </w:rPr>
      </w:pPr>
      <w:r w:rsidRPr="00625B9E">
        <w:rPr>
          <w:u w:val="single"/>
        </w:rPr>
        <w:t>Pregnancy Category D</w:t>
      </w:r>
    </w:p>
    <w:p w14:paraId="2329F73D" w14:textId="77777777" w:rsidR="007078D0" w:rsidRPr="00625B9E" w:rsidRDefault="007078D0" w:rsidP="007078D0">
      <w:r w:rsidRPr="00625B9E">
        <w:t>Effects on human foetal development are not known. Based on limited data in rats, baricitinib-associated radioactivity readily crosses the placenta (</w:t>
      </w:r>
      <w:proofErr w:type="spellStart"/>
      <w:r w:rsidRPr="00625B9E">
        <w:t>foetal:maternal</w:t>
      </w:r>
      <w:proofErr w:type="spellEnd"/>
      <w:r w:rsidRPr="00625B9E">
        <w:t xml:space="preserve"> ratio approximately 2; n=1). In a rat </w:t>
      </w:r>
      <w:proofErr w:type="spellStart"/>
      <w:r w:rsidRPr="00625B9E">
        <w:t>embryofoetal</w:t>
      </w:r>
      <w:proofErr w:type="spellEnd"/>
      <w:r w:rsidRPr="00625B9E">
        <w:t xml:space="preserve"> development study, dosing with baricitinib at </w:t>
      </w:r>
      <w:proofErr w:type="spellStart"/>
      <w:r w:rsidRPr="00625B9E">
        <w:t>maternotoxic</w:t>
      </w:r>
      <w:proofErr w:type="spellEnd"/>
      <w:r w:rsidRPr="00625B9E">
        <w:t xml:space="preserve"> doses (approximately ≥10x the human maximum recommended dose; AUC) caused increased incidences of adverse malformations (bent limb bones, rib malformations). An increased incidence of foetal rib variations were also noted at even higher maternal exposures (approximately 55x human exposure at the maximum recommended human dose; AUC). In a rabbit </w:t>
      </w:r>
      <w:proofErr w:type="spellStart"/>
      <w:r w:rsidRPr="00625B9E">
        <w:t>embryofoetal</w:t>
      </w:r>
      <w:proofErr w:type="spellEnd"/>
      <w:r w:rsidRPr="00625B9E">
        <w:t xml:space="preserve"> development study, dosing of rabbits at ≤30x human exposure at the maximum recommended dose (AUC comparison) was not associated with foetal malformations or variations. However, maternal dosing at approximately 30x human exposure at the maximum recommended dose (AUC comparison) was associated with a decreased mean number of live foetuses/litter (7% decrease), an increased number of late in utero deaths, and decreased foetal weight. </w:t>
      </w:r>
    </w:p>
    <w:p w14:paraId="1BFEA167" w14:textId="77777777" w:rsidR="007078D0" w:rsidRPr="00625B9E" w:rsidRDefault="007078D0" w:rsidP="007078D0">
      <w:r w:rsidRPr="00625B9E">
        <w:t xml:space="preserve">Although the human relevance of the findings in animal studies is uncertain, the JAK/STAT pathway is involved in cell adhesion and cell polarity, which can affect early embryonic development. </w:t>
      </w:r>
    </w:p>
    <w:p w14:paraId="1282A66A" w14:textId="77777777" w:rsidR="007078D0" w:rsidRPr="00625B9E" w:rsidRDefault="007078D0" w:rsidP="007078D0">
      <w:r w:rsidRPr="00625B9E">
        <w:lastRenderedPageBreak/>
        <w:t xml:space="preserve">OLUMIANT should only be used during pregnancy if the potential benefit justifies the potential risk to the foetus. </w:t>
      </w:r>
    </w:p>
    <w:p w14:paraId="3936FA9D" w14:textId="77777777" w:rsidR="007078D0" w:rsidRPr="00625B9E" w:rsidRDefault="007078D0" w:rsidP="007078D0">
      <w:r w:rsidRPr="00625B9E">
        <w:t>Women of childbearing potential should take appropriate precautions to avoid becoming pregnant during treatment with OLUMIANT and for at least 1 week after the final treatment.</w:t>
      </w:r>
    </w:p>
    <w:p w14:paraId="0D39252A" w14:textId="75F62F83" w:rsidR="001A3992" w:rsidRPr="00625B9E" w:rsidRDefault="001A3992" w:rsidP="001A3992">
      <w:pPr>
        <w:pStyle w:val="Heading3"/>
        <w:spacing w:after="120"/>
      </w:pPr>
      <w:r w:rsidRPr="00625B9E">
        <w:t xml:space="preserve">Use in lactation </w:t>
      </w:r>
    </w:p>
    <w:p w14:paraId="645384B6" w14:textId="77777777" w:rsidR="00322DC5" w:rsidRPr="00625B9E" w:rsidRDefault="00322DC5" w:rsidP="00322DC5">
      <w:r w:rsidRPr="00625B9E">
        <w:t>It is unknown whether baricitinib is present in human milk. Baricitinib was detected in the milk of lactating rats. Following maternal PO dosing at 2-22x human exposure at the maximum recommended dose (AUC), the maximum plasma levels in pups occurred at 8 hours (last time point measured) post-dose of the dam.</w:t>
      </w:r>
    </w:p>
    <w:p w14:paraId="73172CC1" w14:textId="77777777" w:rsidR="00322DC5" w:rsidRPr="00625B9E" w:rsidRDefault="00322DC5" w:rsidP="00322DC5">
      <w:r w:rsidRPr="00625B9E">
        <w:t>Breastfeeding is not recommended during OLUMIANT treatment.</w:t>
      </w:r>
    </w:p>
    <w:p w14:paraId="5B1CE4DE" w14:textId="77777777" w:rsidR="001A3992" w:rsidRPr="00625B9E" w:rsidRDefault="001A3992" w:rsidP="001A3992">
      <w:pPr>
        <w:pStyle w:val="Heading2"/>
        <w:spacing w:before="0" w:after="120"/>
      </w:pPr>
      <w:r w:rsidRPr="00625B9E">
        <w:t xml:space="preserve">Effects on ability to drive and use machines </w:t>
      </w:r>
    </w:p>
    <w:p w14:paraId="7E85031E" w14:textId="77777777" w:rsidR="00322DC5" w:rsidRPr="00625B9E" w:rsidRDefault="00322DC5" w:rsidP="00322DC5">
      <w:r w:rsidRPr="00625B9E">
        <w:t>No specific studies have been conducted to assess driving ability or sedation. There are no known effects on the ability to drive and use machines associated with the use of OLUMIANT.</w:t>
      </w:r>
    </w:p>
    <w:p w14:paraId="4FD59A5F" w14:textId="14B83BCB" w:rsidR="001A3992" w:rsidRPr="00625B9E" w:rsidRDefault="000C4E6C" w:rsidP="001A3992">
      <w:pPr>
        <w:pStyle w:val="Heading2"/>
        <w:keepNext/>
        <w:keepLines/>
        <w:spacing w:before="0" w:after="120"/>
      </w:pPr>
      <w:bookmarkStart w:id="67" w:name="_Adverse_effects_(Undesirable"/>
      <w:bookmarkEnd w:id="67"/>
      <w:r w:rsidRPr="004468BE">
        <w:t>Adverse effects (Undesirable effects)</w:t>
      </w:r>
    </w:p>
    <w:p w14:paraId="50900DBF" w14:textId="762CC91B" w:rsidR="00322DC5" w:rsidRDefault="00322DC5" w:rsidP="00094A0C">
      <w:pPr>
        <w:pStyle w:val="Heading3"/>
      </w:pPr>
      <w:r w:rsidRPr="00625B9E">
        <w:t xml:space="preserve">Adverse Events Reported in Clinical Trials </w:t>
      </w:r>
    </w:p>
    <w:p w14:paraId="2F2C168F" w14:textId="5B2E06AF" w:rsidR="00FD7193" w:rsidRPr="0008595D" w:rsidRDefault="00FD7193" w:rsidP="00FD7193">
      <w:pPr>
        <w:rPr>
          <w:b/>
          <w:u w:val="single"/>
        </w:rPr>
      </w:pPr>
      <w:r w:rsidRPr="0008595D">
        <w:rPr>
          <w:b/>
          <w:u w:val="single"/>
        </w:rPr>
        <w:t>Rheumatoid Arthritis</w:t>
      </w:r>
    </w:p>
    <w:p w14:paraId="416C2D0E" w14:textId="77777777" w:rsidR="00322DC5" w:rsidRPr="00625B9E" w:rsidRDefault="00322DC5" w:rsidP="00322DC5">
      <w:r w:rsidRPr="00625B9E">
        <w:t>The safety of OLUMIANT in patients with rheumatoid arthritis (RA) was evaluated in a clinical program consisting of one phase 1 multi-dose study (n=53), three phase 2 multi-dose studies (n=573), four phase 3 multicentre, randomised, double-blind, controlled studies (n=3100), and an ongoing long term extension study.</w:t>
      </w:r>
    </w:p>
    <w:p w14:paraId="772843F4" w14:textId="1B40EFFF" w:rsidR="00CC2B14" w:rsidRDefault="00322DC5">
      <w:r w:rsidRPr="00625B9E">
        <w:t>Table</w:t>
      </w:r>
      <w:r w:rsidR="00A66D1C">
        <w:t>s</w:t>
      </w:r>
      <w:r w:rsidRPr="00625B9E">
        <w:t xml:space="preserve"> </w:t>
      </w:r>
      <w:r w:rsidR="00170588" w:rsidRPr="00625B9E">
        <w:t>2</w:t>
      </w:r>
      <w:r w:rsidR="00A66D1C">
        <w:t xml:space="preserve"> and 3</w:t>
      </w:r>
      <w:r w:rsidR="00170588" w:rsidRPr="00625B9E">
        <w:t xml:space="preserve"> </w:t>
      </w:r>
      <w:r w:rsidRPr="00625B9E">
        <w:t xml:space="preserve">list the adverse events (regardless of causality) occurring in ≥1% of patients treated with OLUMIANT during the double-blind, </w:t>
      </w:r>
      <w:r w:rsidR="00561274">
        <w:t xml:space="preserve">RA </w:t>
      </w:r>
      <w:r w:rsidRPr="00625B9E">
        <w:t>controlled studies.</w:t>
      </w:r>
    </w:p>
    <w:p w14:paraId="5EC3E8BE" w14:textId="3C532FF8" w:rsidR="00322DC5" w:rsidRPr="0083768C" w:rsidRDefault="00322DC5" w:rsidP="0083768C">
      <w:pPr>
        <w:rPr>
          <w:b/>
        </w:rPr>
      </w:pPr>
      <w:r w:rsidRPr="0083768C">
        <w:rPr>
          <w:b/>
        </w:rPr>
        <w:t xml:space="preserve">Table </w:t>
      </w:r>
      <w:r w:rsidR="00170588" w:rsidRPr="0083768C">
        <w:rPr>
          <w:b/>
        </w:rPr>
        <w:t xml:space="preserve">2 </w:t>
      </w:r>
      <w:r w:rsidRPr="0083768C">
        <w:rPr>
          <w:b/>
        </w:rPr>
        <w:t>Summary of Adverse Events reported by ≥</w:t>
      </w:r>
      <w:r w:rsidR="00E343FA" w:rsidRPr="0083768C">
        <w:rPr>
          <w:b/>
        </w:rPr>
        <w:t>0.</w:t>
      </w:r>
      <w:r w:rsidRPr="0083768C">
        <w:rPr>
          <w:b/>
        </w:rPr>
        <w:t>1% of patients treated with OLUMIANT (all causalities) – double-blind, placebo-controlled studies up to 1</w:t>
      </w:r>
      <w:r w:rsidR="00A66D1C" w:rsidRPr="0083768C">
        <w:rPr>
          <w:b/>
        </w:rPr>
        <w:t>6</w:t>
      </w:r>
      <w:r w:rsidRPr="0083768C">
        <w:rPr>
          <w:b/>
        </w:rPr>
        <w:t xml:space="preserve"> weeks.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417"/>
        <w:gridCol w:w="1560"/>
        <w:gridCol w:w="1417"/>
        <w:gridCol w:w="1418"/>
      </w:tblGrid>
      <w:tr w:rsidR="00A66D1C" w:rsidRPr="000C4E6C" w:rsidDel="00DB33A8" w14:paraId="3A9362FB" w14:textId="77777777" w:rsidTr="0083768C">
        <w:trPr>
          <w:tblHeader/>
        </w:trPr>
        <w:tc>
          <w:tcPr>
            <w:tcW w:w="2268" w:type="dxa"/>
            <w:vMerge w:val="restart"/>
            <w:tcBorders>
              <w:right w:val="single" w:sz="2" w:space="0" w:color="auto"/>
            </w:tcBorders>
            <w:vAlign w:val="bottom"/>
          </w:tcPr>
          <w:p w14:paraId="1CC499AB" w14:textId="77777777" w:rsidR="00A66D1C" w:rsidRPr="000C4E6C" w:rsidDel="00DB33A8" w:rsidRDefault="00A66D1C" w:rsidP="0083768C">
            <w:pPr>
              <w:spacing w:after="0" w:line="720" w:lineRule="auto"/>
              <w:rPr>
                <w:rFonts w:eastAsia="Times New Roman" w:cstheme="minorHAnsi"/>
                <w:b/>
                <w:sz w:val="18"/>
                <w:szCs w:val="18"/>
                <w:lang w:val="en-US"/>
              </w:rPr>
            </w:pPr>
            <w:r w:rsidRPr="000C4E6C">
              <w:rPr>
                <w:rFonts w:eastAsia="Times New Roman" w:cstheme="minorHAnsi"/>
                <w:b/>
                <w:sz w:val="18"/>
                <w:szCs w:val="18"/>
                <w:lang w:val="en-US"/>
              </w:rPr>
              <w:t>Events</w:t>
            </w:r>
          </w:p>
        </w:tc>
        <w:tc>
          <w:tcPr>
            <w:tcW w:w="2835" w:type="dxa"/>
            <w:gridSpan w:val="2"/>
            <w:tcBorders>
              <w:top w:val="single" w:sz="2" w:space="0" w:color="auto"/>
              <w:left w:val="single" w:sz="2" w:space="0" w:color="auto"/>
              <w:bottom w:val="single" w:sz="2" w:space="0" w:color="auto"/>
              <w:right w:val="single" w:sz="12" w:space="0" w:color="auto"/>
            </w:tcBorders>
            <w:vAlign w:val="bottom"/>
          </w:tcPr>
          <w:p w14:paraId="3D47E407"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Trials Evaluating</w:t>
            </w:r>
          </w:p>
          <w:p w14:paraId="0A03AF25"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 4 mg</w:t>
            </w:r>
          </w:p>
          <w:p w14:paraId="4A62E6AC"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(6 Trials)</w:t>
            </w:r>
          </w:p>
          <w:p w14:paraId="4F383238" w14:textId="77777777" w:rsidR="00A66D1C" w:rsidRPr="000C4E6C" w:rsidDel="00DB33A8"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(up to 16 weeks)</w:t>
            </w:r>
          </w:p>
        </w:tc>
        <w:tc>
          <w:tcPr>
            <w:tcW w:w="4395" w:type="dxa"/>
            <w:gridSpan w:val="3"/>
            <w:tcBorders>
              <w:top w:val="single" w:sz="2" w:space="0" w:color="auto"/>
              <w:left w:val="single" w:sz="12" w:space="0" w:color="auto"/>
              <w:bottom w:val="single" w:sz="2" w:space="0" w:color="auto"/>
              <w:right w:val="single" w:sz="2" w:space="0" w:color="auto"/>
            </w:tcBorders>
            <w:vAlign w:val="bottom"/>
          </w:tcPr>
          <w:p w14:paraId="39EB711A"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Trials Evaluating</w:t>
            </w:r>
          </w:p>
          <w:p w14:paraId="185EB55C"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 2 mg and OLUMIANT 4 mg</w:t>
            </w:r>
          </w:p>
          <w:p w14:paraId="046045C5"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(4 Trials)</w:t>
            </w:r>
          </w:p>
          <w:p w14:paraId="7C6144A5" w14:textId="77777777" w:rsidR="00A66D1C" w:rsidRPr="000C4E6C" w:rsidDel="00DB33A8"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(up to 16 weeks)</w:t>
            </w:r>
          </w:p>
        </w:tc>
      </w:tr>
      <w:tr w:rsidR="00A66D1C" w:rsidRPr="000C4E6C" w:rsidDel="00DB33A8" w14:paraId="6C8F7C35" w14:textId="77777777" w:rsidTr="0083768C">
        <w:trPr>
          <w:tblHeader/>
        </w:trPr>
        <w:tc>
          <w:tcPr>
            <w:tcW w:w="2268" w:type="dxa"/>
            <w:vMerge/>
            <w:vAlign w:val="center"/>
          </w:tcPr>
          <w:p w14:paraId="43490688" w14:textId="77777777" w:rsidR="00A66D1C" w:rsidRPr="000C4E6C" w:rsidDel="00DB33A8" w:rsidRDefault="00A66D1C" w:rsidP="00A66D1C">
            <w:pPr>
              <w:spacing w:after="0" w:line="240" w:lineRule="auto"/>
              <w:rPr>
                <w:rFonts w:eastAsia="Times New Roman" w:cstheme="minorHAnsi"/>
                <w:sz w:val="18"/>
                <w:szCs w:val="18"/>
                <w:lang w:val="en-US"/>
              </w:rPr>
            </w:pPr>
          </w:p>
        </w:tc>
        <w:tc>
          <w:tcPr>
            <w:tcW w:w="1418" w:type="dxa"/>
            <w:tcBorders>
              <w:top w:val="single" w:sz="2" w:space="0" w:color="auto"/>
            </w:tcBorders>
            <w:vAlign w:val="bottom"/>
          </w:tcPr>
          <w:p w14:paraId="638C76F5"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Placebo</w:t>
            </w:r>
            <w:r w:rsidRPr="000C4E6C">
              <w:rPr>
                <w:rFonts w:eastAsia="Calibri" w:cstheme="minorHAnsi"/>
                <w:b/>
                <w:color w:val="000000"/>
                <w:sz w:val="18"/>
                <w:szCs w:val="18"/>
                <w:lang w:val="en-US"/>
              </w:rPr>
              <w:br/>
              <w:t xml:space="preserve">+ </w:t>
            </w:r>
            <w:proofErr w:type="spellStart"/>
            <w:r w:rsidRPr="000C4E6C">
              <w:rPr>
                <w:rFonts w:eastAsia="Calibri" w:cstheme="minorHAnsi"/>
                <w:b/>
                <w:color w:val="000000"/>
                <w:sz w:val="18"/>
                <w:szCs w:val="18"/>
                <w:lang w:val="en-US"/>
              </w:rPr>
              <w:t>cDMARDs</w:t>
            </w:r>
            <w:proofErr w:type="spellEnd"/>
            <w:r w:rsidRPr="000C4E6C">
              <w:rPr>
                <w:rFonts w:eastAsia="Calibri" w:cstheme="minorHAnsi"/>
                <w:b/>
                <w:color w:val="000000"/>
                <w:sz w:val="18"/>
                <w:szCs w:val="18"/>
                <w:lang w:val="en-US"/>
              </w:rPr>
              <w:br/>
            </w:r>
            <w:r w:rsidRPr="000C4E6C">
              <w:rPr>
                <w:rFonts w:eastAsia="Calibri" w:cstheme="minorHAnsi"/>
                <w:b/>
                <w:color w:val="000000"/>
                <w:sz w:val="18"/>
                <w:szCs w:val="18"/>
                <w:lang w:val="en-US"/>
              </w:rPr>
              <w:br/>
              <w:t>n=1070</w:t>
            </w:r>
            <w:r w:rsidRPr="000C4E6C">
              <w:rPr>
                <w:rFonts w:eastAsia="Calibri" w:cstheme="minorHAnsi"/>
                <w:b/>
                <w:color w:val="000000"/>
                <w:sz w:val="18"/>
                <w:szCs w:val="18"/>
                <w:lang w:val="en-US"/>
              </w:rPr>
              <w:br/>
              <w:t>(%)</w:t>
            </w:r>
          </w:p>
        </w:tc>
        <w:tc>
          <w:tcPr>
            <w:tcW w:w="1417" w:type="dxa"/>
            <w:tcBorders>
              <w:top w:val="single" w:sz="2" w:space="0" w:color="auto"/>
              <w:right w:val="single" w:sz="12" w:space="0" w:color="auto"/>
            </w:tcBorders>
            <w:vAlign w:val="bottom"/>
          </w:tcPr>
          <w:p w14:paraId="1EBC6FE5"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w:t>
            </w:r>
            <w:r w:rsidRPr="000C4E6C">
              <w:rPr>
                <w:rFonts w:eastAsia="Calibri" w:cstheme="minorHAnsi"/>
                <w:b/>
                <w:color w:val="000000"/>
                <w:sz w:val="18"/>
                <w:szCs w:val="18"/>
                <w:lang w:val="en-US"/>
              </w:rPr>
              <w:br/>
              <w:t>4 mg</w:t>
            </w:r>
            <w:r w:rsidRPr="000C4E6C">
              <w:rPr>
                <w:rFonts w:eastAsia="Calibri" w:cstheme="minorHAnsi"/>
                <w:b/>
                <w:color w:val="000000"/>
                <w:sz w:val="18"/>
                <w:szCs w:val="18"/>
                <w:lang w:val="en-US"/>
              </w:rPr>
              <w:br/>
              <w:t xml:space="preserve">+ </w:t>
            </w:r>
            <w:proofErr w:type="spellStart"/>
            <w:r w:rsidRPr="000C4E6C">
              <w:rPr>
                <w:rFonts w:eastAsia="Calibri" w:cstheme="minorHAnsi"/>
                <w:b/>
                <w:color w:val="000000"/>
                <w:sz w:val="18"/>
                <w:szCs w:val="18"/>
                <w:lang w:val="en-US"/>
              </w:rPr>
              <w:t>cDMARDs</w:t>
            </w:r>
            <w:proofErr w:type="spellEnd"/>
            <w:r w:rsidRPr="000C4E6C">
              <w:rPr>
                <w:rFonts w:eastAsia="Calibri" w:cstheme="minorHAnsi"/>
                <w:b/>
                <w:color w:val="000000"/>
                <w:sz w:val="18"/>
                <w:szCs w:val="18"/>
                <w:lang w:val="en-US"/>
              </w:rPr>
              <w:br/>
              <w:t>n=997</w:t>
            </w:r>
            <w:r w:rsidRPr="000C4E6C">
              <w:rPr>
                <w:rFonts w:eastAsia="Calibri" w:cstheme="minorHAnsi"/>
                <w:b/>
                <w:color w:val="000000"/>
                <w:sz w:val="18"/>
                <w:szCs w:val="18"/>
                <w:lang w:val="en-US"/>
              </w:rPr>
              <w:br/>
              <w:t>(%)</w:t>
            </w:r>
          </w:p>
        </w:tc>
        <w:tc>
          <w:tcPr>
            <w:tcW w:w="1560" w:type="dxa"/>
            <w:tcBorders>
              <w:top w:val="single" w:sz="2" w:space="0" w:color="auto"/>
              <w:left w:val="single" w:sz="12" w:space="0" w:color="auto"/>
            </w:tcBorders>
            <w:vAlign w:val="bottom"/>
          </w:tcPr>
          <w:p w14:paraId="3E1D6455"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Placebo</w:t>
            </w:r>
            <w:r w:rsidRPr="000C4E6C">
              <w:rPr>
                <w:rFonts w:eastAsia="Calibri" w:cstheme="minorHAnsi"/>
                <w:b/>
                <w:color w:val="000000"/>
                <w:sz w:val="18"/>
                <w:szCs w:val="18"/>
                <w:lang w:val="en-US"/>
              </w:rPr>
              <w:br/>
              <w:t xml:space="preserve">+ </w:t>
            </w:r>
            <w:proofErr w:type="spellStart"/>
            <w:r w:rsidRPr="000C4E6C">
              <w:rPr>
                <w:rFonts w:eastAsia="Calibri" w:cstheme="minorHAnsi"/>
                <w:b/>
                <w:color w:val="000000"/>
                <w:sz w:val="18"/>
                <w:szCs w:val="18"/>
                <w:lang w:val="en-US"/>
              </w:rPr>
              <w:t>cDMARDs</w:t>
            </w:r>
            <w:proofErr w:type="spellEnd"/>
            <w:r w:rsidRPr="000C4E6C">
              <w:rPr>
                <w:rFonts w:eastAsia="Calibri" w:cstheme="minorHAnsi"/>
                <w:b/>
                <w:color w:val="000000"/>
                <w:sz w:val="18"/>
                <w:szCs w:val="18"/>
                <w:lang w:val="en-US"/>
              </w:rPr>
              <w:br/>
            </w:r>
            <w:r w:rsidRPr="000C4E6C">
              <w:rPr>
                <w:rFonts w:eastAsia="Calibri" w:cstheme="minorHAnsi"/>
                <w:b/>
                <w:color w:val="000000"/>
                <w:sz w:val="18"/>
                <w:szCs w:val="18"/>
                <w:lang w:val="en-US"/>
              </w:rPr>
              <w:br/>
              <w:t>n=551</w:t>
            </w:r>
            <w:r w:rsidRPr="000C4E6C">
              <w:rPr>
                <w:rFonts w:eastAsia="Calibri" w:cstheme="minorHAnsi"/>
                <w:b/>
                <w:color w:val="000000"/>
                <w:sz w:val="18"/>
                <w:szCs w:val="18"/>
                <w:lang w:val="en-US"/>
              </w:rPr>
              <w:br/>
              <w:t>(%)</w:t>
            </w:r>
          </w:p>
        </w:tc>
        <w:tc>
          <w:tcPr>
            <w:tcW w:w="1417" w:type="dxa"/>
            <w:tcBorders>
              <w:top w:val="single" w:sz="2" w:space="0" w:color="auto"/>
            </w:tcBorders>
            <w:vAlign w:val="bottom"/>
          </w:tcPr>
          <w:p w14:paraId="089ED6F1"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w:t>
            </w:r>
            <w:r w:rsidRPr="000C4E6C">
              <w:rPr>
                <w:rFonts w:eastAsia="Calibri" w:cstheme="minorHAnsi"/>
                <w:b/>
                <w:color w:val="000000"/>
                <w:sz w:val="18"/>
                <w:szCs w:val="18"/>
                <w:lang w:val="en-US"/>
              </w:rPr>
              <w:br/>
              <w:t>2 mg</w:t>
            </w:r>
            <w:r w:rsidRPr="000C4E6C">
              <w:rPr>
                <w:rFonts w:eastAsia="Calibri" w:cstheme="minorHAnsi"/>
                <w:b/>
                <w:color w:val="000000"/>
                <w:sz w:val="18"/>
                <w:szCs w:val="18"/>
                <w:lang w:val="en-US"/>
              </w:rPr>
              <w:br/>
              <w:t xml:space="preserve">+ </w:t>
            </w:r>
            <w:proofErr w:type="spellStart"/>
            <w:r w:rsidRPr="000C4E6C">
              <w:rPr>
                <w:rFonts w:eastAsia="Calibri" w:cstheme="minorHAnsi"/>
                <w:b/>
                <w:color w:val="000000"/>
                <w:sz w:val="18"/>
                <w:szCs w:val="18"/>
                <w:lang w:val="en-US"/>
              </w:rPr>
              <w:t>cDMARDs</w:t>
            </w:r>
            <w:proofErr w:type="spellEnd"/>
            <w:r w:rsidRPr="000C4E6C">
              <w:rPr>
                <w:rFonts w:eastAsia="Calibri" w:cstheme="minorHAnsi"/>
                <w:b/>
                <w:color w:val="000000"/>
                <w:sz w:val="18"/>
                <w:szCs w:val="18"/>
                <w:lang w:val="en-US"/>
              </w:rPr>
              <w:br/>
              <w:t>n=479</w:t>
            </w:r>
            <w:r w:rsidRPr="000C4E6C">
              <w:rPr>
                <w:rFonts w:eastAsia="Calibri" w:cstheme="minorHAnsi"/>
                <w:b/>
                <w:color w:val="000000"/>
                <w:sz w:val="18"/>
                <w:szCs w:val="18"/>
                <w:lang w:val="en-US"/>
              </w:rPr>
              <w:br/>
              <w:t>(%)</w:t>
            </w:r>
          </w:p>
        </w:tc>
        <w:tc>
          <w:tcPr>
            <w:tcW w:w="1418" w:type="dxa"/>
            <w:tcBorders>
              <w:top w:val="single" w:sz="2" w:space="0" w:color="auto"/>
            </w:tcBorders>
            <w:vAlign w:val="bottom"/>
          </w:tcPr>
          <w:p w14:paraId="50A888A8"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w:t>
            </w:r>
            <w:r w:rsidRPr="000C4E6C">
              <w:rPr>
                <w:rFonts w:eastAsia="Calibri" w:cstheme="minorHAnsi"/>
                <w:b/>
                <w:color w:val="000000"/>
                <w:sz w:val="18"/>
                <w:szCs w:val="18"/>
                <w:lang w:val="en-US"/>
              </w:rPr>
              <w:br/>
              <w:t>4 mg</w:t>
            </w:r>
            <w:r w:rsidRPr="000C4E6C">
              <w:rPr>
                <w:rFonts w:eastAsia="Calibri" w:cstheme="minorHAnsi"/>
                <w:b/>
                <w:color w:val="000000"/>
                <w:sz w:val="18"/>
                <w:szCs w:val="18"/>
                <w:lang w:val="en-US"/>
              </w:rPr>
              <w:br/>
              <w:t xml:space="preserve">+ </w:t>
            </w:r>
            <w:proofErr w:type="spellStart"/>
            <w:r w:rsidRPr="000C4E6C">
              <w:rPr>
                <w:rFonts w:eastAsia="Calibri" w:cstheme="minorHAnsi"/>
                <w:b/>
                <w:color w:val="000000"/>
                <w:sz w:val="18"/>
                <w:szCs w:val="18"/>
                <w:lang w:val="en-US"/>
              </w:rPr>
              <w:t>cDMARDs</w:t>
            </w:r>
            <w:proofErr w:type="spellEnd"/>
            <w:r w:rsidRPr="000C4E6C">
              <w:rPr>
                <w:rFonts w:eastAsia="Calibri" w:cstheme="minorHAnsi"/>
                <w:b/>
                <w:color w:val="000000"/>
                <w:sz w:val="18"/>
                <w:szCs w:val="18"/>
                <w:lang w:val="en-US"/>
              </w:rPr>
              <w:br/>
              <w:t>n=479</w:t>
            </w:r>
            <w:r w:rsidRPr="000C4E6C">
              <w:rPr>
                <w:rFonts w:eastAsia="Calibri" w:cstheme="minorHAnsi"/>
                <w:b/>
                <w:color w:val="000000"/>
                <w:sz w:val="18"/>
                <w:szCs w:val="18"/>
                <w:lang w:val="en-US"/>
              </w:rPr>
              <w:br/>
              <w:t>(%)</w:t>
            </w:r>
          </w:p>
        </w:tc>
      </w:tr>
      <w:tr w:rsidR="00A66D1C" w:rsidRPr="000C4E6C" w:rsidDel="00DB33A8" w14:paraId="37A3DD81" w14:textId="77777777" w:rsidTr="00A66D1C">
        <w:tc>
          <w:tcPr>
            <w:tcW w:w="9498" w:type="dxa"/>
            <w:gridSpan w:val="6"/>
            <w:vAlign w:val="center"/>
          </w:tcPr>
          <w:p w14:paraId="579CDBAA" w14:textId="77777777" w:rsidR="00A66D1C" w:rsidRPr="000C4E6C" w:rsidDel="00DB33A8" w:rsidRDefault="00A66D1C" w:rsidP="00A66D1C">
            <w:pPr>
              <w:spacing w:after="0" w:line="240" w:lineRule="auto"/>
              <w:rPr>
                <w:rFonts w:eastAsia="Times New Roman" w:cstheme="minorHAnsi"/>
                <w:sz w:val="18"/>
                <w:szCs w:val="18"/>
                <w:lang w:val="en-US"/>
              </w:rPr>
            </w:pPr>
            <w:r w:rsidRPr="000C4E6C">
              <w:rPr>
                <w:rFonts w:eastAsia="Times New Roman" w:cstheme="minorHAnsi"/>
                <w:b/>
                <w:sz w:val="18"/>
                <w:szCs w:val="18"/>
                <w:lang w:val="en-US"/>
              </w:rPr>
              <w:t>Blood and lymphatic system disorders</w:t>
            </w:r>
          </w:p>
        </w:tc>
      </w:tr>
      <w:tr w:rsidR="00A66D1C" w:rsidRPr="000C4E6C" w:rsidDel="00DB33A8" w14:paraId="5AA50C2F" w14:textId="77777777" w:rsidTr="00A66D1C">
        <w:tc>
          <w:tcPr>
            <w:tcW w:w="2268" w:type="dxa"/>
            <w:vAlign w:val="center"/>
          </w:tcPr>
          <w:p w14:paraId="2475620D" w14:textId="77777777" w:rsidR="00A66D1C" w:rsidRPr="000C4E6C" w:rsidDel="00DB33A8"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Anaemia</w:t>
            </w:r>
            <w:proofErr w:type="spellEnd"/>
          </w:p>
        </w:tc>
        <w:tc>
          <w:tcPr>
            <w:tcW w:w="1418" w:type="dxa"/>
            <w:vAlign w:val="center"/>
          </w:tcPr>
          <w:p w14:paraId="463F4B70" w14:textId="77777777" w:rsidR="00A66D1C" w:rsidRPr="000C4E6C" w:rsidDel="00DB33A8" w:rsidRDefault="00A66D1C" w:rsidP="00A66D1C">
            <w:pPr>
              <w:keepNext/>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22 (2.1)</w:t>
            </w:r>
          </w:p>
        </w:tc>
        <w:tc>
          <w:tcPr>
            <w:tcW w:w="1417" w:type="dxa"/>
            <w:tcBorders>
              <w:right w:val="single" w:sz="12" w:space="0" w:color="auto"/>
            </w:tcBorders>
            <w:vAlign w:val="center"/>
          </w:tcPr>
          <w:p w14:paraId="053DE2CE"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20 (2.0)</w:t>
            </w:r>
          </w:p>
        </w:tc>
        <w:tc>
          <w:tcPr>
            <w:tcW w:w="1560" w:type="dxa"/>
            <w:tcBorders>
              <w:left w:val="single" w:sz="12" w:space="0" w:color="auto"/>
            </w:tcBorders>
            <w:vAlign w:val="center"/>
          </w:tcPr>
          <w:p w14:paraId="3232A784"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(1.5)</w:t>
            </w:r>
          </w:p>
        </w:tc>
        <w:tc>
          <w:tcPr>
            <w:tcW w:w="1417" w:type="dxa"/>
            <w:vAlign w:val="center"/>
          </w:tcPr>
          <w:p w14:paraId="5C515303"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(1.7)</w:t>
            </w:r>
          </w:p>
        </w:tc>
        <w:tc>
          <w:tcPr>
            <w:tcW w:w="1418" w:type="dxa"/>
            <w:vAlign w:val="center"/>
          </w:tcPr>
          <w:p w14:paraId="36EA6EAF"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r>
      <w:tr w:rsidR="00A66D1C" w:rsidRPr="000C4E6C" w:rsidDel="00DB33A8" w14:paraId="619F810E" w14:textId="77777777" w:rsidTr="00A66D1C">
        <w:tc>
          <w:tcPr>
            <w:tcW w:w="9498" w:type="dxa"/>
            <w:gridSpan w:val="6"/>
            <w:vAlign w:val="center"/>
          </w:tcPr>
          <w:p w14:paraId="08D15466" w14:textId="77777777" w:rsidR="00A66D1C" w:rsidRPr="000C4E6C" w:rsidDel="00DB33A8" w:rsidRDefault="00A66D1C" w:rsidP="00A66D1C">
            <w:pPr>
              <w:spacing w:after="0" w:line="240" w:lineRule="auto"/>
              <w:rPr>
                <w:rFonts w:eastAsia="Times New Roman" w:cstheme="minorHAnsi"/>
                <w:sz w:val="20"/>
                <w:szCs w:val="20"/>
                <w:lang w:val="en-US"/>
              </w:rPr>
            </w:pPr>
            <w:r w:rsidRPr="000C4E6C">
              <w:rPr>
                <w:rFonts w:eastAsia="Times New Roman" w:cstheme="minorHAnsi"/>
                <w:b/>
                <w:sz w:val="18"/>
                <w:szCs w:val="18"/>
                <w:lang w:val="en-US"/>
              </w:rPr>
              <w:t>Gastrointestinal disorders</w:t>
            </w:r>
          </w:p>
        </w:tc>
      </w:tr>
      <w:tr w:rsidR="00A66D1C" w:rsidRPr="000C4E6C" w:rsidDel="00DB33A8" w14:paraId="2E1D6B06" w14:textId="77777777" w:rsidTr="00A66D1C">
        <w:tc>
          <w:tcPr>
            <w:tcW w:w="2268" w:type="dxa"/>
            <w:vAlign w:val="center"/>
          </w:tcPr>
          <w:p w14:paraId="3F26D22C" w14:textId="77777777" w:rsidR="00A66D1C" w:rsidRPr="000C4E6C" w:rsidDel="00DB33A8"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Nausea</w:t>
            </w:r>
          </w:p>
        </w:tc>
        <w:tc>
          <w:tcPr>
            <w:tcW w:w="1418" w:type="dxa"/>
            <w:vAlign w:val="center"/>
          </w:tcPr>
          <w:p w14:paraId="4F59C4E4"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17 (1.6)</w:t>
            </w:r>
          </w:p>
        </w:tc>
        <w:tc>
          <w:tcPr>
            <w:tcW w:w="1417" w:type="dxa"/>
            <w:tcBorders>
              <w:right w:val="single" w:sz="12" w:space="0" w:color="auto"/>
            </w:tcBorders>
            <w:vAlign w:val="center"/>
          </w:tcPr>
          <w:p w14:paraId="41E32FAD"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28 (2.8)</w:t>
            </w:r>
          </w:p>
        </w:tc>
        <w:tc>
          <w:tcPr>
            <w:tcW w:w="1560" w:type="dxa"/>
            <w:tcBorders>
              <w:left w:val="single" w:sz="12" w:space="0" w:color="auto"/>
            </w:tcBorders>
            <w:vAlign w:val="center"/>
          </w:tcPr>
          <w:p w14:paraId="43A8D950"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(2.0)</w:t>
            </w:r>
          </w:p>
        </w:tc>
        <w:tc>
          <w:tcPr>
            <w:tcW w:w="1417" w:type="dxa"/>
            <w:vAlign w:val="center"/>
          </w:tcPr>
          <w:p w14:paraId="3FA5A742"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13 (2.7)</w:t>
            </w:r>
          </w:p>
        </w:tc>
        <w:tc>
          <w:tcPr>
            <w:tcW w:w="1418" w:type="dxa"/>
            <w:vAlign w:val="center"/>
          </w:tcPr>
          <w:p w14:paraId="510E569B"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(2.9)</w:t>
            </w:r>
          </w:p>
        </w:tc>
      </w:tr>
      <w:tr w:rsidR="00A66D1C" w:rsidRPr="000C4E6C" w:rsidDel="00DB33A8" w14:paraId="3005E712" w14:textId="77777777" w:rsidTr="00A66D1C">
        <w:tc>
          <w:tcPr>
            <w:tcW w:w="2268" w:type="dxa"/>
            <w:vAlign w:val="center"/>
          </w:tcPr>
          <w:p w14:paraId="399FA28B" w14:textId="77777777" w:rsidR="00A66D1C" w:rsidRPr="000C4E6C" w:rsidDel="00DB33A8"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lastRenderedPageBreak/>
              <w:t>Diarrhoea</w:t>
            </w:r>
            <w:proofErr w:type="spellEnd"/>
          </w:p>
        </w:tc>
        <w:tc>
          <w:tcPr>
            <w:tcW w:w="1418" w:type="dxa"/>
            <w:vAlign w:val="center"/>
          </w:tcPr>
          <w:p w14:paraId="3C2B6E69"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35 (3.3)</w:t>
            </w:r>
          </w:p>
        </w:tc>
        <w:tc>
          <w:tcPr>
            <w:tcW w:w="1417" w:type="dxa"/>
            <w:tcBorders>
              <w:right w:val="single" w:sz="12" w:space="0" w:color="auto"/>
            </w:tcBorders>
            <w:vAlign w:val="center"/>
          </w:tcPr>
          <w:p w14:paraId="693789A9"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24 (2.4)</w:t>
            </w:r>
          </w:p>
        </w:tc>
        <w:tc>
          <w:tcPr>
            <w:tcW w:w="1560" w:type="dxa"/>
            <w:tcBorders>
              <w:left w:val="single" w:sz="12" w:space="0" w:color="auto"/>
            </w:tcBorders>
            <w:vAlign w:val="center"/>
          </w:tcPr>
          <w:p w14:paraId="12A8F83B"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21 (3.8)</w:t>
            </w:r>
          </w:p>
        </w:tc>
        <w:tc>
          <w:tcPr>
            <w:tcW w:w="1417" w:type="dxa"/>
            <w:vAlign w:val="center"/>
          </w:tcPr>
          <w:p w14:paraId="7747AF1F"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(3.3)</w:t>
            </w:r>
          </w:p>
        </w:tc>
        <w:tc>
          <w:tcPr>
            <w:tcW w:w="1418" w:type="dxa"/>
            <w:vAlign w:val="center"/>
          </w:tcPr>
          <w:p w14:paraId="1416213D"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12 (2.5)</w:t>
            </w:r>
          </w:p>
        </w:tc>
      </w:tr>
      <w:tr w:rsidR="00A66D1C" w:rsidRPr="000C4E6C" w:rsidDel="00DB33A8" w14:paraId="2B39EE3B" w14:textId="77777777" w:rsidTr="00A66D1C">
        <w:trPr>
          <w:trHeight w:val="43"/>
        </w:trPr>
        <w:tc>
          <w:tcPr>
            <w:tcW w:w="2268" w:type="dxa"/>
            <w:vAlign w:val="center"/>
          </w:tcPr>
          <w:p w14:paraId="6D7E6312" w14:textId="77777777" w:rsidR="00A66D1C" w:rsidRPr="000C4E6C" w:rsidDel="00DB33A8"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Dyspepsia</w:t>
            </w:r>
          </w:p>
        </w:tc>
        <w:tc>
          <w:tcPr>
            <w:tcW w:w="1418" w:type="dxa"/>
            <w:vAlign w:val="center"/>
          </w:tcPr>
          <w:p w14:paraId="24AB98F6"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(0.7)</w:t>
            </w:r>
          </w:p>
        </w:tc>
        <w:tc>
          <w:tcPr>
            <w:tcW w:w="1417" w:type="dxa"/>
            <w:tcBorders>
              <w:right w:val="single" w:sz="12" w:space="0" w:color="auto"/>
            </w:tcBorders>
            <w:vAlign w:val="center"/>
          </w:tcPr>
          <w:p w14:paraId="6617CCBD"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(1.4)</w:t>
            </w:r>
          </w:p>
        </w:tc>
        <w:tc>
          <w:tcPr>
            <w:tcW w:w="1560" w:type="dxa"/>
            <w:tcBorders>
              <w:left w:val="single" w:sz="12" w:space="0" w:color="auto"/>
            </w:tcBorders>
            <w:vAlign w:val="center"/>
          </w:tcPr>
          <w:p w14:paraId="3A16516B"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p>
        </w:tc>
        <w:tc>
          <w:tcPr>
            <w:tcW w:w="1417" w:type="dxa"/>
            <w:vAlign w:val="center"/>
          </w:tcPr>
          <w:p w14:paraId="053E38C9"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p>
        </w:tc>
        <w:tc>
          <w:tcPr>
            <w:tcW w:w="1418" w:type="dxa"/>
            <w:vAlign w:val="center"/>
          </w:tcPr>
          <w:p w14:paraId="3F15325D"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p>
        </w:tc>
      </w:tr>
      <w:tr w:rsidR="00A66D1C" w:rsidRPr="000C4E6C" w14:paraId="0301959D"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B8B5A9B"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Constipation</w:t>
            </w:r>
          </w:p>
        </w:tc>
        <w:tc>
          <w:tcPr>
            <w:tcW w:w="1418" w:type="dxa"/>
            <w:tcBorders>
              <w:top w:val="single" w:sz="4" w:space="0" w:color="auto"/>
              <w:left w:val="single" w:sz="4" w:space="0" w:color="auto"/>
              <w:bottom w:val="single" w:sz="4" w:space="0" w:color="auto"/>
              <w:right w:val="single" w:sz="4" w:space="0" w:color="auto"/>
            </w:tcBorders>
            <w:vAlign w:val="center"/>
          </w:tcPr>
          <w:p w14:paraId="6C1FC79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15 (1.4)</w:t>
            </w:r>
          </w:p>
        </w:tc>
        <w:tc>
          <w:tcPr>
            <w:tcW w:w="1417" w:type="dxa"/>
            <w:tcBorders>
              <w:top w:val="single" w:sz="4" w:space="0" w:color="auto"/>
              <w:left w:val="single" w:sz="4" w:space="0" w:color="auto"/>
              <w:bottom w:val="single" w:sz="4" w:space="0" w:color="auto"/>
              <w:right w:val="single" w:sz="12" w:space="0" w:color="auto"/>
            </w:tcBorders>
            <w:vAlign w:val="center"/>
          </w:tcPr>
          <w:p w14:paraId="1A380F0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(1.1)</w:t>
            </w:r>
          </w:p>
        </w:tc>
        <w:tc>
          <w:tcPr>
            <w:tcW w:w="1560" w:type="dxa"/>
            <w:tcBorders>
              <w:top w:val="single" w:sz="4" w:space="0" w:color="auto"/>
              <w:left w:val="single" w:sz="12" w:space="0" w:color="auto"/>
              <w:bottom w:val="single" w:sz="4" w:space="0" w:color="auto"/>
              <w:right w:val="single" w:sz="4" w:space="0" w:color="auto"/>
            </w:tcBorders>
            <w:vAlign w:val="center"/>
          </w:tcPr>
          <w:p w14:paraId="73A50AB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(1.6)</w:t>
            </w:r>
          </w:p>
        </w:tc>
        <w:tc>
          <w:tcPr>
            <w:tcW w:w="1417" w:type="dxa"/>
            <w:tcBorders>
              <w:top w:val="single" w:sz="4" w:space="0" w:color="auto"/>
              <w:left w:val="single" w:sz="4" w:space="0" w:color="auto"/>
              <w:bottom w:val="single" w:sz="4" w:space="0" w:color="auto"/>
              <w:right w:val="single" w:sz="4" w:space="0" w:color="auto"/>
            </w:tcBorders>
            <w:vAlign w:val="center"/>
          </w:tcPr>
          <w:p w14:paraId="1D989E1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(1.7)</w:t>
            </w:r>
          </w:p>
        </w:tc>
        <w:tc>
          <w:tcPr>
            <w:tcW w:w="1418" w:type="dxa"/>
            <w:tcBorders>
              <w:top w:val="single" w:sz="4" w:space="0" w:color="auto"/>
              <w:left w:val="single" w:sz="4" w:space="0" w:color="auto"/>
              <w:bottom w:val="single" w:sz="4" w:space="0" w:color="auto"/>
              <w:right w:val="single" w:sz="4" w:space="0" w:color="auto"/>
            </w:tcBorders>
            <w:vAlign w:val="center"/>
          </w:tcPr>
          <w:p w14:paraId="02F4C3A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r>
      <w:tr w:rsidR="00A66D1C" w:rsidRPr="000C4E6C" w14:paraId="0A6070AB"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ED55C43"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Vomiting</w:t>
            </w:r>
          </w:p>
        </w:tc>
        <w:tc>
          <w:tcPr>
            <w:tcW w:w="1418" w:type="dxa"/>
            <w:tcBorders>
              <w:top w:val="single" w:sz="4" w:space="0" w:color="auto"/>
              <w:left w:val="single" w:sz="4" w:space="0" w:color="auto"/>
              <w:bottom w:val="single" w:sz="4" w:space="0" w:color="auto"/>
              <w:right w:val="single" w:sz="4" w:space="0" w:color="auto"/>
            </w:tcBorders>
            <w:vAlign w:val="center"/>
          </w:tcPr>
          <w:p w14:paraId="0A4157F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(0.6)</w:t>
            </w:r>
          </w:p>
        </w:tc>
        <w:tc>
          <w:tcPr>
            <w:tcW w:w="1417" w:type="dxa"/>
            <w:tcBorders>
              <w:top w:val="single" w:sz="4" w:space="0" w:color="auto"/>
              <w:left w:val="single" w:sz="4" w:space="0" w:color="auto"/>
              <w:bottom w:val="single" w:sz="4" w:space="0" w:color="auto"/>
              <w:right w:val="single" w:sz="12" w:space="0" w:color="auto"/>
            </w:tcBorders>
            <w:vAlign w:val="center"/>
          </w:tcPr>
          <w:p w14:paraId="07D88B0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13 (1.3)</w:t>
            </w:r>
          </w:p>
        </w:tc>
        <w:tc>
          <w:tcPr>
            <w:tcW w:w="1560" w:type="dxa"/>
            <w:tcBorders>
              <w:top w:val="single" w:sz="4" w:space="0" w:color="auto"/>
              <w:left w:val="single" w:sz="12" w:space="0" w:color="auto"/>
              <w:bottom w:val="single" w:sz="4" w:space="0" w:color="auto"/>
              <w:right w:val="single" w:sz="4" w:space="0" w:color="auto"/>
            </w:tcBorders>
            <w:vAlign w:val="center"/>
          </w:tcPr>
          <w:p w14:paraId="19596AE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14:paraId="1666C29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(2.3)</w:t>
            </w:r>
          </w:p>
        </w:tc>
        <w:tc>
          <w:tcPr>
            <w:tcW w:w="1418" w:type="dxa"/>
            <w:tcBorders>
              <w:top w:val="single" w:sz="4" w:space="0" w:color="auto"/>
              <w:left w:val="single" w:sz="4" w:space="0" w:color="auto"/>
              <w:bottom w:val="single" w:sz="4" w:space="0" w:color="auto"/>
              <w:right w:val="single" w:sz="4" w:space="0" w:color="auto"/>
            </w:tcBorders>
            <w:vAlign w:val="center"/>
          </w:tcPr>
          <w:p w14:paraId="7F44B85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r>
      <w:tr w:rsidR="00E343FA" w:rsidRPr="000C4E6C" w14:paraId="64B05AA7" w14:textId="77777777" w:rsidTr="00E343FA">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0CF173B" w14:textId="0089B89E" w:rsidR="00E343FA" w:rsidRPr="000C4E6C" w:rsidRDefault="00E343FA" w:rsidP="00E343FA">
            <w:pPr>
              <w:spacing w:after="0" w:line="240" w:lineRule="auto"/>
              <w:rPr>
                <w:rFonts w:eastAsia="Times New Roman" w:cstheme="minorHAnsi"/>
                <w:sz w:val="18"/>
                <w:szCs w:val="18"/>
                <w:lang w:val="en-US"/>
              </w:rPr>
            </w:pPr>
            <w:r w:rsidRPr="00E343FA">
              <w:rPr>
                <w:rFonts w:eastAsia="Times New Roman" w:cstheme="minorHAnsi"/>
                <w:sz w:val="18"/>
                <w:szCs w:val="18"/>
                <w:lang w:val="en-US"/>
              </w:rPr>
              <w:t xml:space="preserve">Abdominal </w:t>
            </w:r>
            <w:proofErr w:type="spellStart"/>
            <w:r w:rsidRPr="00E343FA">
              <w:rPr>
                <w:rFonts w:eastAsia="Times New Roman" w:cstheme="minorHAnsi"/>
                <w:sz w:val="18"/>
                <w:szCs w:val="18"/>
                <w:lang w:val="en-US"/>
              </w:rPr>
              <w:t>pain</w:t>
            </w:r>
            <w:r w:rsidRPr="00E343FA">
              <w:rPr>
                <w:rFonts w:eastAsia="Times New Roman" w:cstheme="minorHAnsi"/>
                <w:sz w:val="18"/>
                <w:szCs w:val="18"/>
                <w:vertAlign w:val="superscript"/>
                <w:lang w:val="en-US"/>
              </w:rPr>
              <w:t>a</w:t>
            </w:r>
            <w:proofErr w:type="spellEnd"/>
            <w:r w:rsidRPr="00E343FA">
              <w:rPr>
                <w:rFonts w:eastAsia="Times New Roman" w:cstheme="minorHAnsi"/>
                <w:sz w:val="18"/>
                <w:szCs w:val="18"/>
                <w:vertAlign w:val="superscript"/>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13BAF460" w14:textId="70B7ED3B" w:rsidR="00E343FA" w:rsidRPr="00E343FA" w:rsidRDefault="00E343FA" w:rsidP="00E343FA">
            <w:pPr>
              <w:spacing w:before="40" w:after="40" w:line="240" w:lineRule="auto"/>
              <w:jc w:val="center"/>
              <w:rPr>
                <w:rFonts w:eastAsia="Times New Roman" w:cstheme="minorHAnsi"/>
                <w:sz w:val="18"/>
                <w:szCs w:val="18"/>
                <w:lang w:val="en-US"/>
              </w:rPr>
            </w:pPr>
            <w:r w:rsidRPr="00E343FA">
              <w:rPr>
                <w:rFonts w:eastAsia="Times New Roman" w:cstheme="minorHAnsi"/>
                <w:sz w:val="18"/>
                <w:szCs w:val="18"/>
                <w:lang w:val="en-US"/>
              </w:rPr>
              <w:t>15 (1.4)</w:t>
            </w:r>
          </w:p>
        </w:tc>
        <w:tc>
          <w:tcPr>
            <w:tcW w:w="1417" w:type="dxa"/>
            <w:tcBorders>
              <w:top w:val="single" w:sz="4" w:space="0" w:color="auto"/>
              <w:left w:val="single" w:sz="4" w:space="0" w:color="auto"/>
              <w:bottom w:val="single" w:sz="4" w:space="0" w:color="auto"/>
              <w:right w:val="single" w:sz="12" w:space="0" w:color="auto"/>
            </w:tcBorders>
          </w:tcPr>
          <w:p w14:paraId="063DB45C" w14:textId="5B14E35F" w:rsidR="00E343FA" w:rsidRPr="00E343FA" w:rsidRDefault="00E343FA" w:rsidP="00E343FA">
            <w:pPr>
              <w:spacing w:before="40" w:after="40" w:line="240" w:lineRule="auto"/>
              <w:jc w:val="center"/>
              <w:rPr>
                <w:rFonts w:eastAsia="Times New Roman" w:cstheme="minorHAnsi"/>
                <w:sz w:val="18"/>
                <w:szCs w:val="18"/>
                <w:lang w:val="en-US"/>
              </w:rPr>
            </w:pPr>
            <w:r w:rsidRPr="00E343FA">
              <w:rPr>
                <w:rFonts w:eastAsia="Times New Roman" w:cstheme="minorHAnsi"/>
                <w:sz w:val="18"/>
                <w:szCs w:val="18"/>
                <w:lang w:val="en-US"/>
              </w:rPr>
              <w:t>21 (2.1)</w:t>
            </w:r>
          </w:p>
        </w:tc>
        <w:tc>
          <w:tcPr>
            <w:tcW w:w="1560" w:type="dxa"/>
            <w:tcBorders>
              <w:top w:val="single" w:sz="4" w:space="0" w:color="auto"/>
              <w:left w:val="single" w:sz="12" w:space="0" w:color="auto"/>
              <w:bottom w:val="single" w:sz="4" w:space="0" w:color="auto"/>
              <w:right w:val="single" w:sz="4" w:space="0" w:color="auto"/>
            </w:tcBorders>
          </w:tcPr>
          <w:p w14:paraId="083CEAB8" w14:textId="3E7C3AF9" w:rsidR="00E343FA" w:rsidRPr="00E343FA" w:rsidRDefault="00E343FA" w:rsidP="00E343FA">
            <w:pPr>
              <w:spacing w:before="40" w:after="40" w:line="240" w:lineRule="auto"/>
              <w:jc w:val="center"/>
              <w:rPr>
                <w:rFonts w:eastAsia="Times New Roman" w:cstheme="minorHAnsi"/>
                <w:sz w:val="18"/>
                <w:szCs w:val="18"/>
                <w:lang w:val="en-US"/>
              </w:rPr>
            </w:pPr>
            <w:r w:rsidRPr="00E343FA">
              <w:rPr>
                <w:rFonts w:eastAsia="Times New Roman" w:cstheme="minorHAnsi"/>
                <w:sz w:val="18"/>
                <w:szCs w:val="18"/>
                <w:lang w:val="en-US"/>
              </w:rPr>
              <w:t>8 (1.5)</w:t>
            </w:r>
          </w:p>
        </w:tc>
        <w:tc>
          <w:tcPr>
            <w:tcW w:w="1417" w:type="dxa"/>
            <w:tcBorders>
              <w:top w:val="single" w:sz="4" w:space="0" w:color="auto"/>
              <w:left w:val="single" w:sz="4" w:space="0" w:color="auto"/>
              <w:bottom w:val="single" w:sz="4" w:space="0" w:color="auto"/>
              <w:right w:val="single" w:sz="4" w:space="0" w:color="auto"/>
            </w:tcBorders>
          </w:tcPr>
          <w:p w14:paraId="24053849" w14:textId="3EEF376D" w:rsidR="00E343FA" w:rsidRPr="00E343FA" w:rsidRDefault="00E343FA" w:rsidP="00E343FA">
            <w:pPr>
              <w:spacing w:before="40" w:after="40" w:line="240" w:lineRule="auto"/>
              <w:jc w:val="center"/>
              <w:rPr>
                <w:rFonts w:eastAsia="Times New Roman" w:cstheme="minorHAnsi"/>
                <w:sz w:val="18"/>
                <w:szCs w:val="18"/>
                <w:lang w:val="en-US"/>
              </w:rPr>
            </w:pPr>
            <w:r w:rsidRPr="00E343FA">
              <w:rPr>
                <w:rFonts w:eastAsia="Times New Roman" w:cstheme="minorHAnsi"/>
                <w:sz w:val="18"/>
                <w:szCs w:val="18"/>
                <w:lang w:val="en-US"/>
              </w:rPr>
              <w:t>18 (3.8)</w:t>
            </w:r>
          </w:p>
        </w:tc>
        <w:tc>
          <w:tcPr>
            <w:tcW w:w="1418" w:type="dxa"/>
            <w:tcBorders>
              <w:top w:val="single" w:sz="4" w:space="0" w:color="auto"/>
              <w:left w:val="single" w:sz="4" w:space="0" w:color="auto"/>
              <w:bottom w:val="single" w:sz="4" w:space="0" w:color="auto"/>
              <w:right w:val="single" w:sz="4" w:space="0" w:color="auto"/>
            </w:tcBorders>
          </w:tcPr>
          <w:p w14:paraId="774D1F22" w14:textId="7A2E3526" w:rsidR="00E343FA" w:rsidRPr="00E343FA" w:rsidRDefault="00E343FA" w:rsidP="00E343FA">
            <w:pPr>
              <w:spacing w:before="40" w:after="40" w:line="240" w:lineRule="auto"/>
              <w:jc w:val="center"/>
              <w:rPr>
                <w:rFonts w:eastAsia="Times New Roman" w:cstheme="minorHAnsi"/>
                <w:sz w:val="18"/>
                <w:szCs w:val="18"/>
                <w:lang w:val="en-US"/>
              </w:rPr>
            </w:pPr>
            <w:r w:rsidRPr="00E343FA">
              <w:rPr>
                <w:rFonts w:eastAsia="Times New Roman" w:cstheme="minorHAnsi"/>
                <w:sz w:val="18"/>
                <w:szCs w:val="18"/>
                <w:lang w:val="en-US"/>
              </w:rPr>
              <w:t>9 (1.9)</w:t>
            </w:r>
          </w:p>
        </w:tc>
      </w:tr>
      <w:tr w:rsidR="00A66D1C" w:rsidRPr="000C4E6C" w14:paraId="018C2E8E"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5C92A9E2"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General disorders and administration site conditions</w:t>
            </w:r>
          </w:p>
        </w:tc>
      </w:tr>
      <w:tr w:rsidR="00A66D1C" w:rsidRPr="000C4E6C" w14:paraId="30745437"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9E29CD4"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Fatigue</w:t>
            </w:r>
          </w:p>
        </w:tc>
        <w:tc>
          <w:tcPr>
            <w:tcW w:w="1418" w:type="dxa"/>
            <w:tcBorders>
              <w:top w:val="single" w:sz="4" w:space="0" w:color="auto"/>
              <w:left w:val="single" w:sz="4" w:space="0" w:color="auto"/>
              <w:bottom w:val="single" w:sz="4" w:space="0" w:color="auto"/>
              <w:right w:val="single" w:sz="4" w:space="0" w:color="auto"/>
            </w:tcBorders>
            <w:vAlign w:val="center"/>
          </w:tcPr>
          <w:p w14:paraId="05A7676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(1.3)</w:t>
            </w:r>
          </w:p>
        </w:tc>
        <w:tc>
          <w:tcPr>
            <w:tcW w:w="1417" w:type="dxa"/>
            <w:tcBorders>
              <w:top w:val="single" w:sz="4" w:space="0" w:color="auto"/>
              <w:left w:val="single" w:sz="4" w:space="0" w:color="auto"/>
              <w:bottom w:val="single" w:sz="4" w:space="0" w:color="auto"/>
              <w:right w:val="single" w:sz="12" w:space="0" w:color="auto"/>
            </w:tcBorders>
            <w:vAlign w:val="center"/>
          </w:tcPr>
          <w:p w14:paraId="0236BF8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(1.1)</w:t>
            </w:r>
          </w:p>
        </w:tc>
        <w:tc>
          <w:tcPr>
            <w:tcW w:w="1560" w:type="dxa"/>
            <w:tcBorders>
              <w:top w:val="single" w:sz="4" w:space="0" w:color="auto"/>
              <w:left w:val="single" w:sz="12" w:space="0" w:color="auto"/>
              <w:bottom w:val="single" w:sz="4" w:space="0" w:color="auto"/>
              <w:right w:val="single" w:sz="4" w:space="0" w:color="auto"/>
            </w:tcBorders>
            <w:vAlign w:val="center"/>
          </w:tcPr>
          <w:p w14:paraId="095D464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(1.5)</w:t>
            </w:r>
          </w:p>
        </w:tc>
        <w:tc>
          <w:tcPr>
            <w:tcW w:w="1417" w:type="dxa"/>
            <w:tcBorders>
              <w:top w:val="single" w:sz="4" w:space="0" w:color="auto"/>
              <w:left w:val="single" w:sz="4" w:space="0" w:color="auto"/>
              <w:bottom w:val="single" w:sz="4" w:space="0" w:color="auto"/>
              <w:right w:val="single" w:sz="4" w:space="0" w:color="auto"/>
            </w:tcBorders>
            <w:vAlign w:val="center"/>
          </w:tcPr>
          <w:p w14:paraId="5A5CDA4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14:paraId="372F664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(1.7)</w:t>
            </w:r>
          </w:p>
        </w:tc>
      </w:tr>
      <w:tr w:rsidR="00A66D1C" w:rsidRPr="000C4E6C" w14:paraId="36B17174"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9CF9D51"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Pyrexia</w:t>
            </w:r>
          </w:p>
        </w:tc>
        <w:tc>
          <w:tcPr>
            <w:tcW w:w="1418" w:type="dxa"/>
            <w:tcBorders>
              <w:top w:val="single" w:sz="4" w:space="0" w:color="auto"/>
              <w:left w:val="single" w:sz="4" w:space="0" w:color="auto"/>
              <w:bottom w:val="single" w:sz="4" w:space="0" w:color="auto"/>
              <w:right w:val="single" w:sz="4" w:space="0" w:color="auto"/>
            </w:tcBorders>
            <w:vAlign w:val="center"/>
          </w:tcPr>
          <w:p w14:paraId="2CD31660"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390E34B8"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71095A7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14:paraId="0EE1AA4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14:paraId="024F490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r>
      <w:tr w:rsidR="00A66D1C" w:rsidRPr="000C4E6C" w14:paraId="0C392D7F"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05A35CD"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Oedema</w:t>
            </w:r>
            <w:proofErr w:type="spellEnd"/>
            <w:r w:rsidRPr="000C4E6C">
              <w:rPr>
                <w:rFonts w:eastAsia="Times New Roman" w:cstheme="minorHAnsi"/>
                <w:sz w:val="18"/>
                <w:szCs w:val="18"/>
                <w:lang w:val="en-US"/>
              </w:rPr>
              <w:t xml:space="preserve"> peripheral</w:t>
            </w:r>
          </w:p>
        </w:tc>
        <w:tc>
          <w:tcPr>
            <w:tcW w:w="1418" w:type="dxa"/>
            <w:tcBorders>
              <w:top w:val="single" w:sz="4" w:space="0" w:color="auto"/>
              <w:left w:val="single" w:sz="4" w:space="0" w:color="auto"/>
              <w:bottom w:val="single" w:sz="4" w:space="0" w:color="auto"/>
              <w:right w:val="single" w:sz="4" w:space="0" w:color="auto"/>
            </w:tcBorders>
            <w:vAlign w:val="center"/>
          </w:tcPr>
          <w:p w14:paraId="2FCECEF8"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2BE6BD3D"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4DF6890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(1.5)</w:t>
            </w:r>
          </w:p>
        </w:tc>
        <w:tc>
          <w:tcPr>
            <w:tcW w:w="1417" w:type="dxa"/>
            <w:tcBorders>
              <w:top w:val="single" w:sz="4" w:space="0" w:color="auto"/>
              <w:left w:val="single" w:sz="4" w:space="0" w:color="auto"/>
              <w:bottom w:val="single" w:sz="4" w:space="0" w:color="auto"/>
              <w:right w:val="single" w:sz="4" w:space="0" w:color="auto"/>
            </w:tcBorders>
            <w:vAlign w:val="center"/>
          </w:tcPr>
          <w:p w14:paraId="05F3B06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70C3379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r>
      <w:tr w:rsidR="00A66D1C" w:rsidRPr="000C4E6C" w14:paraId="0F90056E"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0893221A" w14:textId="77777777" w:rsidR="00A66D1C" w:rsidRPr="000C4E6C" w:rsidRDefault="00A66D1C" w:rsidP="00A66D1C">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Hepatobiliary disorders</w:t>
            </w:r>
          </w:p>
        </w:tc>
      </w:tr>
      <w:tr w:rsidR="00A66D1C" w:rsidRPr="000C4E6C" w14:paraId="3AD5C6C6"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32D197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Hepatic function abnormal</w:t>
            </w:r>
          </w:p>
        </w:tc>
        <w:tc>
          <w:tcPr>
            <w:tcW w:w="1418" w:type="dxa"/>
            <w:tcBorders>
              <w:top w:val="single" w:sz="4" w:space="0" w:color="auto"/>
              <w:left w:val="single" w:sz="4" w:space="0" w:color="auto"/>
              <w:bottom w:val="single" w:sz="4" w:space="0" w:color="auto"/>
              <w:right w:val="single" w:sz="4" w:space="0" w:color="auto"/>
            </w:tcBorders>
            <w:vAlign w:val="center"/>
          </w:tcPr>
          <w:p w14:paraId="1436AF2B"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10EABC4C"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1846618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(0.2)</w:t>
            </w:r>
          </w:p>
        </w:tc>
        <w:tc>
          <w:tcPr>
            <w:tcW w:w="1417" w:type="dxa"/>
            <w:tcBorders>
              <w:top w:val="single" w:sz="4" w:space="0" w:color="auto"/>
              <w:left w:val="single" w:sz="4" w:space="0" w:color="auto"/>
              <w:bottom w:val="single" w:sz="4" w:space="0" w:color="auto"/>
              <w:right w:val="single" w:sz="4" w:space="0" w:color="auto"/>
            </w:tcBorders>
            <w:vAlign w:val="center"/>
          </w:tcPr>
          <w:p w14:paraId="5F17B76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2BE2E77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r>
      <w:tr w:rsidR="00A66D1C" w:rsidRPr="000C4E6C" w14:paraId="05DA5B57"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363762E9"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Infections and infestations</w:t>
            </w:r>
          </w:p>
        </w:tc>
      </w:tr>
      <w:tr w:rsidR="00A66D1C" w:rsidRPr="000C4E6C" w14:paraId="0808734B"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4EED22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Nasopharyngitis</w:t>
            </w:r>
          </w:p>
        </w:tc>
        <w:tc>
          <w:tcPr>
            <w:tcW w:w="1418" w:type="dxa"/>
            <w:tcBorders>
              <w:top w:val="single" w:sz="4" w:space="0" w:color="auto"/>
              <w:left w:val="single" w:sz="4" w:space="0" w:color="auto"/>
              <w:bottom w:val="single" w:sz="4" w:space="0" w:color="auto"/>
              <w:right w:val="single" w:sz="4" w:space="0" w:color="auto"/>
            </w:tcBorders>
            <w:vAlign w:val="center"/>
          </w:tcPr>
          <w:p w14:paraId="7900E8D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51 (4.8)</w:t>
            </w:r>
          </w:p>
        </w:tc>
        <w:tc>
          <w:tcPr>
            <w:tcW w:w="1417" w:type="dxa"/>
            <w:tcBorders>
              <w:top w:val="single" w:sz="4" w:space="0" w:color="auto"/>
              <w:left w:val="single" w:sz="4" w:space="0" w:color="auto"/>
              <w:bottom w:val="single" w:sz="4" w:space="0" w:color="auto"/>
              <w:right w:val="single" w:sz="12" w:space="0" w:color="auto"/>
            </w:tcBorders>
            <w:vAlign w:val="center"/>
          </w:tcPr>
          <w:p w14:paraId="32F0CB8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53 (5.3)</w:t>
            </w:r>
          </w:p>
        </w:tc>
        <w:tc>
          <w:tcPr>
            <w:tcW w:w="1560" w:type="dxa"/>
            <w:tcBorders>
              <w:top w:val="single" w:sz="4" w:space="0" w:color="auto"/>
              <w:left w:val="single" w:sz="12" w:space="0" w:color="auto"/>
              <w:bottom w:val="single" w:sz="4" w:space="0" w:color="auto"/>
              <w:right w:val="single" w:sz="4" w:space="0" w:color="auto"/>
            </w:tcBorders>
            <w:vAlign w:val="center"/>
          </w:tcPr>
          <w:p w14:paraId="5ABC009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26 (4.7)</w:t>
            </w:r>
          </w:p>
        </w:tc>
        <w:tc>
          <w:tcPr>
            <w:tcW w:w="1417" w:type="dxa"/>
            <w:tcBorders>
              <w:top w:val="single" w:sz="4" w:space="0" w:color="auto"/>
              <w:left w:val="single" w:sz="4" w:space="0" w:color="auto"/>
              <w:bottom w:val="single" w:sz="4" w:space="0" w:color="auto"/>
              <w:right w:val="single" w:sz="4" w:space="0" w:color="auto"/>
            </w:tcBorders>
            <w:vAlign w:val="center"/>
          </w:tcPr>
          <w:p w14:paraId="796F437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(3.3)</w:t>
            </w:r>
          </w:p>
        </w:tc>
        <w:tc>
          <w:tcPr>
            <w:tcW w:w="1418" w:type="dxa"/>
            <w:tcBorders>
              <w:top w:val="single" w:sz="4" w:space="0" w:color="auto"/>
              <w:left w:val="single" w:sz="4" w:space="0" w:color="auto"/>
              <w:bottom w:val="single" w:sz="4" w:space="0" w:color="auto"/>
              <w:right w:val="single" w:sz="4" w:space="0" w:color="auto"/>
            </w:tcBorders>
            <w:vAlign w:val="center"/>
          </w:tcPr>
          <w:p w14:paraId="3C7C4FA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25 (5.2)</w:t>
            </w:r>
          </w:p>
        </w:tc>
      </w:tr>
      <w:tr w:rsidR="00A66D1C" w:rsidRPr="000C4E6C" w14:paraId="26D4F023"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73BAB8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Upper respiratory tract infection</w:t>
            </w:r>
          </w:p>
        </w:tc>
        <w:tc>
          <w:tcPr>
            <w:tcW w:w="1418" w:type="dxa"/>
            <w:tcBorders>
              <w:top w:val="single" w:sz="4" w:space="0" w:color="auto"/>
              <w:left w:val="single" w:sz="4" w:space="0" w:color="auto"/>
              <w:bottom w:val="single" w:sz="4" w:space="0" w:color="auto"/>
              <w:right w:val="single" w:sz="4" w:space="0" w:color="auto"/>
            </w:tcBorders>
            <w:vAlign w:val="center"/>
          </w:tcPr>
          <w:p w14:paraId="572F7AF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39 (3.6)</w:t>
            </w:r>
          </w:p>
        </w:tc>
        <w:tc>
          <w:tcPr>
            <w:tcW w:w="1417" w:type="dxa"/>
            <w:tcBorders>
              <w:top w:val="single" w:sz="4" w:space="0" w:color="auto"/>
              <w:left w:val="single" w:sz="4" w:space="0" w:color="auto"/>
              <w:bottom w:val="single" w:sz="4" w:space="0" w:color="auto"/>
              <w:right w:val="single" w:sz="12" w:space="0" w:color="auto"/>
            </w:tcBorders>
            <w:vAlign w:val="center"/>
          </w:tcPr>
          <w:p w14:paraId="538CF5F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46 (4.6)</w:t>
            </w:r>
          </w:p>
        </w:tc>
        <w:tc>
          <w:tcPr>
            <w:tcW w:w="1560" w:type="dxa"/>
            <w:tcBorders>
              <w:top w:val="single" w:sz="4" w:space="0" w:color="auto"/>
              <w:left w:val="single" w:sz="12" w:space="0" w:color="auto"/>
              <w:bottom w:val="single" w:sz="4" w:space="0" w:color="auto"/>
              <w:right w:val="single" w:sz="4" w:space="0" w:color="auto"/>
            </w:tcBorders>
            <w:vAlign w:val="center"/>
          </w:tcPr>
          <w:p w14:paraId="61C4492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25 (4.5)</w:t>
            </w:r>
          </w:p>
        </w:tc>
        <w:tc>
          <w:tcPr>
            <w:tcW w:w="1417" w:type="dxa"/>
            <w:tcBorders>
              <w:top w:val="single" w:sz="4" w:space="0" w:color="auto"/>
              <w:left w:val="single" w:sz="4" w:space="0" w:color="auto"/>
              <w:bottom w:val="single" w:sz="4" w:space="0" w:color="auto"/>
              <w:right w:val="single" w:sz="4" w:space="0" w:color="auto"/>
            </w:tcBorders>
            <w:vAlign w:val="center"/>
          </w:tcPr>
          <w:p w14:paraId="42379A9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27 (5.6)</w:t>
            </w:r>
          </w:p>
        </w:tc>
        <w:tc>
          <w:tcPr>
            <w:tcW w:w="1418" w:type="dxa"/>
            <w:tcBorders>
              <w:top w:val="single" w:sz="4" w:space="0" w:color="auto"/>
              <w:left w:val="single" w:sz="4" w:space="0" w:color="auto"/>
              <w:bottom w:val="single" w:sz="4" w:space="0" w:color="auto"/>
              <w:right w:val="single" w:sz="4" w:space="0" w:color="auto"/>
            </w:tcBorders>
            <w:vAlign w:val="center"/>
          </w:tcPr>
          <w:p w14:paraId="6A324D8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31 (6.5)</w:t>
            </w:r>
          </w:p>
        </w:tc>
      </w:tr>
      <w:tr w:rsidR="00A66D1C" w:rsidRPr="000C4E6C" w14:paraId="60F0B841"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20D3C1D"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Bronchitis</w:t>
            </w:r>
          </w:p>
        </w:tc>
        <w:tc>
          <w:tcPr>
            <w:tcW w:w="1418" w:type="dxa"/>
            <w:tcBorders>
              <w:top w:val="single" w:sz="4" w:space="0" w:color="auto"/>
              <w:left w:val="single" w:sz="4" w:space="0" w:color="auto"/>
              <w:bottom w:val="single" w:sz="4" w:space="0" w:color="auto"/>
              <w:right w:val="single" w:sz="4" w:space="0" w:color="auto"/>
            </w:tcBorders>
            <w:vAlign w:val="center"/>
          </w:tcPr>
          <w:p w14:paraId="60C816B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30 (2.8)</w:t>
            </w:r>
          </w:p>
        </w:tc>
        <w:tc>
          <w:tcPr>
            <w:tcW w:w="1417" w:type="dxa"/>
            <w:tcBorders>
              <w:top w:val="single" w:sz="4" w:space="0" w:color="auto"/>
              <w:left w:val="single" w:sz="4" w:space="0" w:color="auto"/>
              <w:bottom w:val="single" w:sz="4" w:space="0" w:color="auto"/>
              <w:right w:val="single" w:sz="12" w:space="0" w:color="auto"/>
            </w:tcBorders>
            <w:vAlign w:val="center"/>
          </w:tcPr>
          <w:p w14:paraId="771CB08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31 (3.1)</w:t>
            </w:r>
          </w:p>
        </w:tc>
        <w:tc>
          <w:tcPr>
            <w:tcW w:w="1560" w:type="dxa"/>
            <w:tcBorders>
              <w:top w:val="single" w:sz="4" w:space="0" w:color="auto"/>
              <w:left w:val="single" w:sz="12" w:space="0" w:color="auto"/>
              <w:bottom w:val="single" w:sz="4" w:space="0" w:color="auto"/>
              <w:right w:val="single" w:sz="4" w:space="0" w:color="auto"/>
            </w:tcBorders>
            <w:vAlign w:val="center"/>
          </w:tcPr>
          <w:p w14:paraId="22AC94B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19 (3.4)</w:t>
            </w:r>
          </w:p>
        </w:tc>
        <w:tc>
          <w:tcPr>
            <w:tcW w:w="1417" w:type="dxa"/>
            <w:tcBorders>
              <w:top w:val="single" w:sz="4" w:space="0" w:color="auto"/>
              <w:left w:val="single" w:sz="4" w:space="0" w:color="auto"/>
              <w:bottom w:val="single" w:sz="4" w:space="0" w:color="auto"/>
              <w:right w:val="single" w:sz="4" w:space="0" w:color="auto"/>
            </w:tcBorders>
            <w:vAlign w:val="center"/>
          </w:tcPr>
          <w:p w14:paraId="51D2058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12 (2.5)</w:t>
            </w:r>
          </w:p>
        </w:tc>
        <w:tc>
          <w:tcPr>
            <w:tcW w:w="1418" w:type="dxa"/>
            <w:tcBorders>
              <w:top w:val="single" w:sz="4" w:space="0" w:color="auto"/>
              <w:left w:val="single" w:sz="4" w:space="0" w:color="auto"/>
              <w:bottom w:val="single" w:sz="4" w:space="0" w:color="auto"/>
              <w:right w:val="single" w:sz="4" w:space="0" w:color="auto"/>
            </w:tcBorders>
            <w:vAlign w:val="center"/>
          </w:tcPr>
          <w:p w14:paraId="012AC5B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(2.9)</w:t>
            </w:r>
          </w:p>
        </w:tc>
      </w:tr>
      <w:tr w:rsidR="00A66D1C" w:rsidRPr="000C4E6C" w14:paraId="16FEECFA"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DD9723B"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Urinary tract infection</w:t>
            </w:r>
          </w:p>
        </w:tc>
        <w:tc>
          <w:tcPr>
            <w:tcW w:w="1418" w:type="dxa"/>
            <w:tcBorders>
              <w:top w:val="single" w:sz="4" w:space="0" w:color="auto"/>
              <w:left w:val="single" w:sz="4" w:space="0" w:color="auto"/>
              <w:bottom w:val="single" w:sz="4" w:space="0" w:color="auto"/>
              <w:right w:val="single" w:sz="4" w:space="0" w:color="auto"/>
            </w:tcBorders>
            <w:vAlign w:val="center"/>
          </w:tcPr>
          <w:p w14:paraId="69FFED7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29 (2.7)</w:t>
            </w:r>
          </w:p>
        </w:tc>
        <w:tc>
          <w:tcPr>
            <w:tcW w:w="1417" w:type="dxa"/>
            <w:tcBorders>
              <w:top w:val="single" w:sz="4" w:space="0" w:color="auto"/>
              <w:left w:val="single" w:sz="4" w:space="0" w:color="auto"/>
              <w:bottom w:val="single" w:sz="4" w:space="0" w:color="auto"/>
              <w:right w:val="single" w:sz="12" w:space="0" w:color="auto"/>
            </w:tcBorders>
            <w:vAlign w:val="center"/>
          </w:tcPr>
          <w:p w14:paraId="1A46CD1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34 (3.4)</w:t>
            </w:r>
          </w:p>
        </w:tc>
        <w:tc>
          <w:tcPr>
            <w:tcW w:w="1560" w:type="dxa"/>
            <w:tcBorders>
              <w:top w:val="single" w:sz="4" w:space="0" w:color="auto"/>
              <w:left w:val="single" w:sz="12" w:space="0" w:color="auto"/>
              <w:bottom w:val="single" w:sz="4" w:space="0" w:color="auto"/>
              <w:right w:val="single" w:sz="4" w:space="0" w:color="auto"/>
            </w:tcBorders>
            <w:vAlign w:val="center"/>
          </w:tcPr>
          <w:p w14:paraId="2937E9A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(2.5)</w:t>
            </w:r>
          </w:p>
        </w:tc>
        <w:tc>
          <w:tcPr>
            <w:tcW w:w="1417" w:type="dxa"/>
            <w:tcBorders>
              <w:top w:val="single" w:sz="4" w:space="0" w:color="auto"/>
              <w:left w:val="single" w:sz="4" w:space="0" w:color="auto"/>
              <w:bottom w:val="single" w:sz="4" w:space="0" w:color="auto"/>
              <w:right w:val="single" w:sz="4" w:space="0" w:color="auto"/>
            </w:tcBorders>
            <w:vAlign w:val="center"/>
          </w:tcPr>
          <w:p w14:paraId="610B081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17 (3.5)</w:t>
            </w:r>
          </w:p>
        </w:tc>
        <w:tc>
          <w:tcPr>
            <w:tcW w:w="1418" w:type="dxa"/>
            <w:tcBorders>
              <w:top w:val="single" w:sz="4" w:space="0" w:color="auto"/>
              <w:left w:val="single" w:sz="4" w:space="0" w:color="auto"/>
              <w:bottom w:val="single" w:sz="4" w:space="0" w:color="auto"/>
              <w:right w:val="single" w:sz="4" w:space="0" w:color="auto"/>
            </w:tcBorders>
            <w:vAlign w:val="center"/>
          </w:tcPr>
          <w:p w14:paraId="7F41B66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(3.3)</w:t>
            </w:r>
          </w:p>
        </w:tc>
      </w:tr>
      <w:tr w:rsidR="00A66D1C" w:rsidRPr="000C4E6C" w14:paraId="37E76178"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CD5F3C8"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Pharyngitis</w:t>
            </w:r>
          </w:p>
        </w:tc>
        <w:tc>
          <w:tcPr>
            <w:tcW w:w="1418" w:type="dxa"/>
            <w:tcBorders>
              <w:top w:val="single" w:sz="4" w:space="0" w:color="auto"/>
              <w:left w:val="single" w:sz="4" w:space="0" w:color="auto"/>
              <w:bottom w:val="single" w:sz="4" w:space="0" w:color="auto"/>
              <w:right w:val="single" w:sz="4" w:space="0" w:color="auto"/>
            </w:tcBorders>
            <w:vAlign w:val="center"/>
          </w:tcPr>
          <w:p w14:paraId="46F62C0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(1.3)</w:t>
            </w:r>
          </w:p>
        </w:tc>
        <w:tc>
          <w:tcPr>
            <w:tcW w:w="1417" w:type="dxa"/>
            <w:tcBorders>
              <w:top w:val="single" w:sz="4" w:space="0" w:color="auto"/>
              <w:left w:val="single" w:sz="4" w:space="0" w:color="auto"/>
              <w:bottom w:val="single" w:sz="4" w:space="0" w:color="auto"/>
              <w:right w:val="single" w:sz="12" w:space="0" w:color="auto"/>
            </w:tcBorders>
            <w:vAlign w:val="center"/>
          </w:tcPr>
          <w:p w14:paraId="6D02EED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23 (2.3)</w:t>
            </w:r>
          </w:p>
        </w:tc>
        <w:tc>
          <w:tcPr>
            <w:tcW w:w="1560" w:type="dxa"/>
            <w:tcBorders>
              <w:top w:val="single" w:sz="4" w:space="0" w:color="auto"/>
              <w:left w:val="single" w:sz="12" w:space="0" w:color="auto"/>
              <w:bottom w:val="single" w:sz="4" w:space="0" w:color="auto"/>
              <w:right w:val="single" w:sz="4" w:space="0" w:color="auto"/>
            </w:tcBorders>
            <w:vAlign w:val="center"/>
          </w:tcPr>
          <w:p w14:paraId="24927F9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14:paraId="2335552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(2.1)</w:t>
            </w:r>
          </w:p>
        </w:tc>
        <w:tc>
          <w:tcPr>
            <w:tcW w:w="1418" w:type="dxa"/>
            <w:tcBorders>
              <w:top w:val="single" w:sz="4" w:space="0" w:color="auto"/>
              <w:left w:val="single" w:sz="4" w:space="0" w:color="auto"/>
              <w:bottom w:val="single" w:sz="4" w:space="0" w:color="auto"/>
              <w:right w:val="single" w:sz="4" w:space="0" w:color="auto"/>
            </w:tcBorders>
            <w:vAlign w:val="center"/>
          </w:tcPr>
          <w:p w14:paraId="5011048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13 (2.7)</w:t>
            </w:r>
          </w:p>
        </w:tc>
      </w:tr>
      <w:tr w:rsidR="00A66D1C" w:rsidRPr="000C4E6C" w14:paraId="3A3D4249"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2931BCD"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Gastroenteritis</w:t>
            </w:r>
          </w:p>
        </w:tc>
        <w:tc>
          <w:tcPr>
            <w:tcW w:w="1418" w:type="dxa"/>
            <w:tcBorders>
              <w:top w:val="single" w:sz="4" w:space="0" w:color="auto"/>
              <w:left w:val="single" w:sz="4" w:space="0" w:color="auto"/>
              <w:bottom w:val="single" w:sz="4" w:space="0" w:color="auto"/>
              <w:right w:val="single" w:sz="4" w:space="0" w:color="auto"/>
            </w:tcBorders>
            <w:vAlign w:val="center"/>
          </w:tcPr>
          <w:p w14:paraId="209E4DD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(0.8)</w:t>
            </w:r>
          </w:p>
        </w:tc>
        <w:tc>
          <w:tcPr>
            <w:tcW w:w="1417" w:type="dxa"/>
            <w:tcBorders>
              <w:top w:val="single" w:sz="4" w:space="0" w:color="auto"/>
              <w:left w:val="single" w:sz="4" w:space="0" w:color="auto"/>
              <w:bottom w:val="single" w:sz="4" w:space="0" w:color="auto"/>
              <w:right w:val="single" w:sz="12" w:space="0" w:color="auto"/>
            </w:tcBorders>
            <w:vAlign w:val="center"/>
          </w:tcPr>
          <w:p w14:paraId="741CAD5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(1.6)</w:t>
            </w:r>
          </w:p>
        </w:tc>
        <w:tc>
          <w:tcPr>
            <w:tcW w:w="1560" w:type="dxa"/>
            <w:tcBorders>
              <w:top w:val="single" w:sz="4" w:space="0" w:color="auto"/>
              <w:left w:val="single" w:sz="12" w:space="0" w:color="auto"/>
              <w:bottom w:val="single" w:sz="4" w:space="0" w:color="auto"/>
              <w:right w:val="single" w:sz="4" w:space="0" w:color="auto"/>
            </w:tcBorders>
            <w:vAlign w:val="center"/>
          </w:tcPr>
          <w:p w14:paraId="0B33791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14:paraId="50BA2D8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14:paraId="117114F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12 (2.5)</w:t>
            </w:r>
          </w:p>
        </w:tc>
      </w:tr>
      <w:tr w:rsidR="00A66D1C" w:rsidRPr="000C4E6C" w14:paraId="35EC0D89"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B24B11A"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Influenza</w:t>
            </w:r>
          </w:p>
        </w:tc>
        <w:tc>
          <w:tcPr>
            <w:tcW w:w="1418" w:type="dxa"/>
            <w:tcBorders>
              <w:top w:val="single" w:sz="4" w:space="0" w:color="auto"/>
              <w:left w:val="single" w:sz="4" w:space="0" w:color="auto"/>
              <w:bottom w:val="single" w:sz="4" w:space="0" w:color="auto"/>
              <w:right w:val="single" w:sz="4" w:space="0" w:color="auto"/>
            </w:tcBorders>
            <w:vAlign w:val="center"/>
          </w:tcPr>
          <w:p w14:paraId="29AB105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(0.9)</w:t>
            </w:r>
          </w:p>
        </w:tc>
        <w:tc>
          <w:tcPr>
            <w:tcW w:w="1417" w:type="dxa"/>
            <w:tcBorders>
              <w:top w:val="single" w:sz="4" w:space="0" w:color="auto"/>
              <w:left w:val="single" w:sz="4" w:space="0" w:color="auto"/>
              <w:bottom w:val="single" w:sz="4" w:space="0" w:color="auto"/>
              <w:right w:val="single" w:sz="12" w:space="0" w:color="auto"/>
            </w:tcBorders>
            <w:vAlign w:val="center"/>
          </w:tcPr>
          <w:p w14:paraId="229E573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18 (1.8)</w:t>
            </w:r>
          </w:p>
        </w:tc>
        <w:tc>
          <w:tcPr>
            <w:tcW w:w="1560" w:type="dxa"/>
            <w:tcBorders>
              <w:top w:val="single" w:sz="4" w:space="0" w:color="auto"/>
              <w:left w:val="single" w:sz="12" w:space="0" w:color="auto"/>
              <w:bottom w:val="single" w:sz="4" w:space="0" w:color="auto"/>
              <w:right w:val="single" w:sz="4" w:space="0" w:color="auto"/>
            </w:tcBorders>
            <w:vAlign w:val="center"/>
          </w:tcPr>
          <w:p w14:paraId="2F846D4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14:paraId="06616BF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14:paraId="6278233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(1.9)</w:t>
            </w:r>
          </w:p>
        </w:tc>
      </w:tr>
      <w:tr w:rsidR="00A66D1C" w:rsidRPr="000C4E6C" w14:paraId="005B5346"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BD013B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Herpes zoster</w:t>
            </w:r>
          </w:p>
        </w:tc>
        <w:tc>
          <w:tcPr>
            <w:tcW w:w="1418" w:type="dxa"/>
            <w:tcBorders>
              <w:top w:val="single" w:sz="4" w:space="0" w:color="auto"/>
              <w:left w:val="single" w:sz="4" w:space="0" w:color="auto"/>
              <w:bottom w:val="single" w:sz="4" w:space="0" w:color="auto"/>
              <w:right w:val="single" w:sz="4" w:space="0" w:color="auto"/>
            </w:tcBorders>
            <w:vAlign w:val="center"/>
          </w:tcPr>
          <w:p w14:paraId="3891303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(0.4)</w:t>
            </w:r>
          </w:p>
        </w:tc>
        <w:tc>
          <w:tcPr>
            <w:tcW w:w="1417" w:type="dxa"/>
            <w:tcBorders>
              <w:top w:val="single" w:sz="4" w:space="0" w:color="auto"/>
              <w:left w:val="single" w:sz="4" w:space="0" w:color="auto"/>
              <w:bottom w:val="single" w:sz="4" w:space="0" w:color="auto"/>
              <w:right w:val="single" w:sz="12" w:space="0" w:color="auto"/>
            </w:tcBorders>
            <w:vAlign w:val="center"/>
          </w:tcPr>
          <w:p w14:paraId="34F48F6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14:paraId="252ECDF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c>
          <w:tcPr>
            <w:tcW w:w="1417" w:type="dxa"/>
            <w:tcBorders>
              <w:top w:val="single" w:sz="4" w:space="0" w:color="auto"/>
              <w:left w:val="single" w:sz="4" w:space="0" w:color="auto"/>
              <w:bottom w:val="single" w:sz="4" w:space="0" w:color="auto"/>
              <w:right w:val="single" w:sz="4" w:space="0" w:color="auto"/>
            </w:tcBorders>
            <w:vAlign w:val="center"/>
          </w:tcPr>
          <w:p w14:paraId="0FA1661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3DD71C0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(1.9)</w:t>
            </w:r>
          </w:p>
        </w:tc>
      </w:tr>
      <w:tr w:rsidR="00A66D1C" w:rsidRPr="000C4E6C" w14:paraId="42BD6BB3"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A965B4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Sinusitis</w:t>
            </w:r>
          </w:p>
        </w:tc>
        <w:tc>
          <w:tcPr>
            <w:tcW w:w="1418" w:type="dxa"/>
            <w:tcBorders>
              <w:top w:val="single" w:sz="4" w:space="0" w:color="auto"/>
              <w:left w:val="single" w:sz="4" w:space="0" w:color="auto"/>
              <w:bottom w:val="single" w:sz="4" w:space="0" w:color="auto"/>
              <w:right w:val="single" w:sz="4" w:space="0" w:color="auto"/>
            </w:tcBorders>
            <w:vAlign w:val="center"/>
          </w:tcPr>
          <w:p w14:paraId="05388B2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12 (1.1)</w:t>
            </w:r>
          </w:p>
        </w:tc>
        <w:tc>
          <w:tcPr>
            <w:tcW w:w="1417" w:type="dxa"/>
            <w:tcBorders>
              <w:top w:val="single" w:sz="4" w:space="0" w:color="auto"/>
              <w:left w:val="single" w:sz="4" w:space="0" w:color="auto"/>
              <w:bottom w:val="single" w:sz="4" w:space="0" w:color="auto"/>
              <w:right w:val="single" w:sz="12" w:space="0" w:color="auto"/>
            </w:tcBorders>
            <w:vAlign w:val="center"/>
          </w:tcPr>
          <w:p w14:paraId="653E857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(1.0)</w:t>
            </w:r>
          </w:p>
        </w:tc>
        <w:tc>
          <w:tcPr>
            <w:tcW w:w="1560" w:type="dxa"/>
            <w:tcBorders>
              <w:top w:val="single" w:sz="4" w:space="0" w:color="auto"/>
              <w:left w:val="single" w:sz="12" w:space="0" w:color="auto"/>
              <w:bottom w:val="single" w:sz="4" w:space="0" w:color="auto"/>
              <w:right w:val="single" w:sz="4" w:space="0" w:color="auto"/>
            </w:tcBorders>
            <w:vAlign w:val="center"/>
          </w:tcPr>
          <w:p w14:paraId="2A94336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14:paraId="1285B1B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(2.1)</w:t>
            </w:r>
          </w:p>
        </w:tc>
        <w:tc>
          <w:tcPr>
            <w:tcW w:w="1418" w:type="dxa"/>
            <w:tcBorders>
              <w:top w:val="single" w:sz="4" w:space="0" w:color="auto"/>
              <w:left w:val="single" w:sz="4" w:space="0" w:color="auto"/>
              <w:bottom w:val="single" w:sz="4" w:space="0" w:color="auto"/>
              <w:right w:val="single" w:sz="4" w:space="0" w:color="auto"/>
            </w:tcBorders>
            <w:vAlign w:val="center"/>
          </w:tcPr>
          <w:p w14:paraId="2DFFA08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r>
      <w:tr w:rsidR="00A66D1C" w:rsidRPr="000C4E6C" w14:paraId="68BFE79D"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7D98F03"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Oral herpes</w:t>
            </w:r>
          </w:p>
        </w:tc>
        <w:tc>
          <w:tcPr>
            <w:tcW w:w="1418" w:type="dxa"/>
            <w:tcBorders>
              <w:top w:val="single" w:sz="4" w:space="0" w:color="auto"/>
              <w:left w:val="single" w:sz="4" w:space="0" w:color="auto"/>
              <w:bottom w:val="single" w:sz="4" w:space="0" w:color="auto"/>
              <w:right w:val="single" w:sz="4" w:space="0" w:color="auto"/>
            </w:tcBorders>
            <w:vAlign w:val="center"/>
          </w:tcPr>
          <w:p w14:paraId="70504FE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(0.4)</w:t>
            </w:r>
          </w:p>
        </w:tc>
        <w:tc>
          <w:tcPr>
            <w:tcW w:w="1417" w:type="dxa"/>
            <w:tcBorders>
              <w:top w:val="single" w:sz="4" w:space="0" w:color="auto"/>
              <w:left w:val="single" w:sz="4" w:space="0" w:color="auto"/>
              <w:bottom w:val="single" w:sz="4" w:space="0" w:color="auto"/>
              <w:right w:val="single" w:sz="12" w:space="0" w:color="auto"/>
            </w:tcBorders>
            <w:vAlign w:val="center"/>
          </w:tcPr>
          <w:p w14:paraId="5415A39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(1.0)</w:t>
            </w:r>
          </w:p>
        </w:tc>
        <w:tc>
          <w:tcPr>
            <w:tcW w:w="1560" w:type="dxa"/>
            <w:tcBorders>
              <w:top w:val="single" w:sz="4" w:space="0" w:color="auto"/>
              <w:left w:val="single" w:sz="12" w:space="0" w:color="auto"/>
              <w:bottom w:val="single" w:sz="4" w:space="0" w:color="auto"/>
              <w:right w:val="single" w:sz="4" w:space="0" w:color="auto"/>
            </w:tcBorders>
            <w:vAlign w:val="center"/>
          </w:tcPr>
          <w:p w14:paraId="5D318F87"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5C064F"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26ADD7D"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r>
      <w:tr w:rsidR="00A66D1C" w:rsidRPr="000C4E6C" w14:paraId="2DED77EA"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5255EC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Rhinitis</w:t>
            </w:r>
          </w:p>
        </w:tc>
        <w:tc>
          <w:tcPr>
            <w:tcW w:w="1418" w:type="dxa"/>
            <w:tcBorders>
              <w:top w:val="single" w:sz="4" w:space="0" w:color="auto"/>
              <w:left w:val="single" w:sz="4" w:space="0" w:color="auto"/>
              <w:bottom w:val="single" w:sz="4" w:space="0" w:color="auto"/>
              <w:right w:val="single" w:sz="4" w:space="0" w:color="auto"/>
            </w:tcBorders>
            <w:vAlign w:val="center"/>
          </w:tcPr>
          <w:p w14:paraId="25B10175"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1291BC33"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7BEDAA1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(0.2)</w:t>
            </w:r>
          </w:p>
        </w:tc>
        <w:tc>
          <w:tcPr>
            <w:tcW w:w="1417" w:type="dxa"/>
            <w:tcBorders>
              <w:top w:val="single" w:sz="4" w:space="0" w:color="auto"/>
              <w:left w:val="single" w:sz="4" w:space="0" w:color="auto"/>
              <w:bottom w:val="single" w:sz="4" w:space="0" w:color="auto"/>
              <w:right w:val="single" w:sz="4" w:space="0" w:color="auto"/>
            </w:tcBorders>
            <w:vAlign w:val="center"/>
          </w:tcPr>
          <w:p w14:paraId="67A2618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14:paraId="5B858FE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(0.2)</w:t>
            </w:r>
          </w:p>
        </w:tc>
      </w:tr>
      <w:tr w:rsidR="00A66D1C" w:rsidRPr="000C4E6C" w14:paraId="5AFC918A"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A1E294C"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Cystitis</w:t>
            </w:r>
          </w:p>
        </w:tc>
        <w:tc>
          <w:tcPr>
            <w:tcW w:w="1418" w:type="dxa"/>
            <w:tcBorders>
              <w:top w:val="single" w:sz="4" w:space="0" w:color="auto"/>
              <w:left w:val="single" w:sz="4" w:space="0" w:color="auto"/>
              <w:bottom w:val="single" w:sz="4" w:space="0" w:color="auto"/>
              <w:right w:val="single" w:sz="4" w:space="0" w:color="auto"/>
            </w:tcBorders>
            <w:vAlign w:val="center"/>
          </w:tcPr>
          <w:p w14:paraId="4223018E"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53FF8039"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0BE6EA2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(0.9)</w:t>
            </w:r>
          </w:p>
        </w:tc>
        <w:tc>
          <w:tcPr>
            <w:tcW w:w="1417" w:type="dxa"/>
            <w:tcBorders>
              <w:top w:val="single" w:sz="4" w:space="0" w:color="auto"/>
              <w:left w:val="single" w:sz="4" w:space="0" w:color="auto"/>
              <w:bottom w:val="single" w:sz="4" w:space="0" w:color="auto"/>
              <w:right w:val="single" w:sz="4" w:space="0" w:color="auto"/>
            </w:tcBorders>
            <w:vAlign w:val="center"/>
          </w:tcPr>
          <w:p w14:paraId="34B236D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14:paraId="33EE609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(0.2)</w:t>
            </w:r>
          </w:p>
        </w:tc>
      </w:tr>
      <w:tr w:rsidR="00A66D1C" w:rsidRPr="000C4E6C" w14:paraId="0B11F49A"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266851AC"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Injury, poisoning and procedural complications</w:t>
            </w:r>
          </w:p>
        </w:tc>
      </w:tr>
      <w:tr w:rsidR="00A66D1C" w:rsidRPr="000C4E6C" w14:paraId="06D2F998"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AE16580"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Contusion</w:t>
            </w:r>
          </w:p>
        </w:tc>
        <w:tc>
          <w:tcPr>
            <w:tcW w:w="1418" w:type="dxa"/>
            <w:tcBorders>
              <w:top w:val="single" w:sz="4" w:space="0" w:color="auto"/>
              <w:left w:val="single" w:sz="4" w:space="0" w:color="auto"/>
              <w:bottom w:val="single" w:sz="4" w:space="0" w:color="auto"/>
              <w:right w:val="single" w:sz="4" w:space="0" w:color="auto"/>
            </w:tcBorders>
            <w:vAlign w:val="center"/>
          </w:tcPr>
          <w:p w14:paraId="43FFCA1F"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46F9F34F" w14:textId="77777777" w:rsidR="00A66D1C" w:rsidRPr="000C4E6C" w:rsidRDefault="00A66D1C" w:rsidP="00A66D1C">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7DF7F4B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(1.3)</w:t>
            </w:r>
          </w:p>
        </w:tc>
        <w:tc>
          <w:tcPr>
            <w:tcW w:w="1417" w:type="dxa"/>
            <w:tcBorders>
              <w:top w:val="single" w:sz="4" w:space="0" w:color="auto"/>
              <w:left w:val="single" w:sz="4" w:space="0" w:color="auto"/>
              <w:bottom w:val="single" w:sz="4" w:space="0" w:color="auto"/>
              <w:right w:val="single" w:sz="4" w:space="0" w:color="auto"/>
            </w:tcBorders>
            <w:vAlign w:val="center"/>
          </w:tcPr>
          <w:p w14:paraId="2C72FFB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14:paraId="52C9126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r>
      <w:tr w:rsidR="00A66D1C" w:rsidRPr="000C4E6C" w14:paraId="20538952"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66BDF457" w14:textId="77777777" w:rsidR="00A66D1C" w:rsidRPr="000C4E6C" w:rsidRDefault="00A66D1C" w:rsidP="00A66D1C">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Investigations</w:t>
            </w:r>
          </w:p>
        </w:tc>
      </w:tr>
      <w:tr w:rsidR="00A66D1C" w:rsidRPr="000C4E6C" w14:paraId="1A6AAB0A"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FC7CEDA"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 xml:space="preserve">Blood </w:t>
            </w:r>
            <w:proofErr w:type="spellStart"/>
            <w:r w:rsidRPr="000C4E6C">
              <w:rPr>
                <w:rFonts w:eastAsia="Times New Roman" w:cstheme="minorHAnsi"/>
                <w:sz w:val="18"/>
                <w:szCs w:val="18"/>
                <w:lang w:val="en-US"/>
              </w:rPr>
              <w:t>creatine</w:t>
            </w:r>
            <w:proofErr w:type="spellEnd"/>
            <w:r w:rsidRPr="000C4E6C">
              <w:rPr>
                <w:rFonts w:eastAsia="Times New Roman" w:cstheme="minorHAnsi"/>
                <w:sz w:val="18"/>
                <w:szCs w:val="18"/>
                <w:lang w:val="en-US"/>
              </w:rPr>
              <w:t xml:space="preserve"> phosphokinase increased</w:t>
            </w:r>
          </w:p>
        </w:tc>
        <w:tc>
          <w:tcPr>
            <w:tcW w:w="1418" w:type="dxa"/>
            <w:tcBorders>
              <w:top w:val="single" w:sz="4" w:space="0" w:color="auto"/>
              <w:left w:val="single" w:sz="4" w:space="0" w:color="auto"/>
              <w:bottom w:val="single" w:sz="4" w:space="0" w:color="auto"/>
              <w:right w:val="single" w:sz="4" w:space="0" w:color="auto"/>
            </w:tcBorders>
            <w:vAlign w:val="center"/>
          </w:tcPr>
          <w:p w14:paraId="6F5766A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(0.6)</w:t>
            </w:r>
          </w:p>
        </w:tc>
        <w:tc>
          <w:tcPr>
            <w:tcW w:w="1417" w:type="dxa"/>
            <w:tcBorders>
              <w:top w:val="single" w:sz="4" w:space="0" w:color="auto"/>
              <w:left w:val="single" w:sz="4" w:space="0" w:color="auto"/>
              <w:bottom w:val="single" w:sz="4" w:space="0" w:color="auto"/>
              <w:right w:val="single" w:sz="12" w:space="0" w:color="auto"/>
            </w:tcBorders>
            <w:vAlign w:val="center"/>
          </w:tcPr>
          <w:p w14:paraId="0709C5E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35 (3.5)</w:t>
            </w:r>
          </w:p>
        </w:tc>
        <w:tc>
          <w:tcPr>
            <w:tcW w:w="1560" w:type="dxa"/>
            <w:tcBorders>
              <w:top w:val="single" w:sz="4" w:space="0" w:color="auto"/>
              <w:left w:val="single" w:sz="12" w:space="0" w:color="auto"/>
              <w:bottom w:val="single" w:sz="4" w:space="0" w:color="auto"/>
              <w:right w:val="single" w:sz="4" w:space="0" w:color="auto"/>
            </w:tcBorders>
            <w:vAlign w:val="center"/>
          </w:tcPr>
          <w:p w14:paraId="1CF9C91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14:paraId="35A37A1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(2.3)</w:t>
            </w:r>
          </w:p>
        </w:tc>
        <w:tc>
          <w:tcPr>
            <w:tcW w:w="1418" w:type="dxa"/>
            <w:tcBorders>
              <w:top w:val="single" w:sz="4" w:space="0" w:color="auto"/>
              <w:left w:val="single" w:sz="4" w:space="0" w:color="auto"/>
              <w:bottom w:val="single" w:sz="4" w:space="0" w:color="auto"/>
              <w:right w:val="single" w:sz="4" w:space="0" w:color="auto"/>
            </w:tcBorders>
            <w:vAlign w:val="center"/>
          </w:tcPr>
          <w:p w14:paraId="5B8F102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24 (5.0)</w:t>
            </w:r>
          </w:p>
        </w:tc>
      </w:tr>
      <w:tr w:rsidR="00A66D1C" w:rsidRPr="000C4E6C" w14:paraId="4E338130"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9306B70"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Alanine aminotransferase increased</w:t>
            </w:r>
          </w:p>
        </w:tc>
        <w:tc>
          <w:tcPr>
            <w:tcW w:w="1418" w:type="dxa"/>
            <w:tcBorders>
              <w:top w:val="single" w:sz="4" w:space="0" w:color="auto"/>
              <w:left w:val="single" w:sz="4" w:space="0" w:color="auto"/>
              <w:bottom w:val="single" w:sz="4" w:space="0" w:color="auto"/>
              <w:right w:val="single" w:sz="4" w:space="0" w:color="auto"/>
            </w:tcBorders>
            <w:vAlign w:val="center"/>
          </w:tcPr>
          <w:p w14:paraId="2196622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(0.9)</w:t>
            </w:r>
          </w:p>
        </w:tc>
        <w:tc>
          <w:tcPr>
            <w:tcW w:w="1417" w:type="dxa"/>
            <w:tcBorders>
              <w:top w:val="single" w:sz="4" w:space="0" w:color="auto"/>
              <w:left w:val="single" w:sz="4" w:space="0" w:color="auto"/>
              <w:bottom w:val="single" w:sz="4" w:space="0" w:color="auto"/>
              <w:right w:val="single" w:sz="12" w:space="0" w:color="auto"/>
            </w:tcBorders>
            <w:vAlign w:val="center"/>
          </w:tcPr>
          <w:p w14:paraId="213F7FE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15 (1.5)</w:t>
            </w:r>
          </w:p>
        </w:tc>
        <w:tc>
          <w:tcPr>
            <w:tcW w:w="1560" w:type="dxa"/>
            <w:tcBorders>
              <w:top w:val="single" w:sz="4" w:space="0" w:color="auto"/>
              <w:left w:val="single" w:sz="12" w:space="0" w:color="auto"/>
              <w:bottom w:val="single" w:sz="4" w:space="0" w:color="auto"/>
              <w:right w:val="single" w:sz="4" w:space="0" w:color="auto"/>
            </w:tcBorders>
            <w:vAlign w:val="center"/>
          </w:tcPr>
          <w:p w14:paraId="1C1A9AA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14:paraId="43ACF64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5D70DF4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(1.7)</w:t>
            </w:r>
          </w:p>
        </w:tc>
      </w:tr>
      <w:tr w:rsidR="00A66D1C" w:rsidRPr="000C4E6C" w14:paraId="0E6F9167"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8EFDDB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Aspartate aminotransferase increased</w:t>
            </w:r>
          </w:p>
        </w:tc>
        <w:tc>
          <w:tcPr>
            <w:tcW w:w="1418" w:type="dxa"/>
            <w:tcBorders>
              <w:top w:val="single" w:sz="4" w:space="0" w:color="auto"/>
              <w:left w:val="single" w:sz="4" w:space="0" w:color="auto"/>
              <w:bottom w:val="single" w:sz="4" w:space="0" w:color="auto"/>
              <w:right w:val="single" w:sz="4" w:space="0" w:color="auto"/>
            </w:tcBorders>
            <w:vAlign w:val="center"/>
          </w:tcPr>
          <w:p w14:paraId="15196FB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14:paraId="0BDF050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14:paraId="05D1106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14:paraId="406EE2A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c>
          <w:tcPr>
            <w:tcW w:w="1418" w:type="dxa"/>
            <w:tcBorders>
              <w:top w:val="single" w:sz="4" w:space="0" w:color="auto"/>
              <w:left w:val="single" w:sz="4" w:space="0" w:color="auto"/>
              <w:bottom w:val="single" w:sz="4" w:space="0" w:color="auto"/>
              <w:right w:val="single" w:sz="4" w:space="0" w:color="auto"/>
            </w:tcBorders>
            <w:vAlign w:val="center"/>
          </w:tcPr>
          <w:p w14:paraId="78F948E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(2.1)</w:t>
            </w:r>
          </w:p>
        </w:tc>
      </w:tr>
      <w:tr w:rsidR="0002229B" w:rsidRPr="000C4E6C" w14:paraId="54D64474"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3657181" w14:textId="3D014E13" w:rsidR="0002229B" w:rsidRPr="0002229B" w:rsidRDefault="0002229B" w:rsidP="00246D10">
            <w:pPr>
              <w:spacing w:before="40" w:after="40" w:line="240" w:lineRule="auto"/>
              <w:rPr>
                <w:rFonts w:eastAsia="Calibri" w:cstheme="minorHAnsi"/>
                <w:color w:val="000000"/>
                <w:sz w:val="18"/>
                <w:szCs w:val="18"/>
                <w:lang w:val="en-US"/>
              </w:rPr>
            </w:pPr>
            <w:r w:rsidRPr="0002229B">
              <w:rPr>
                <w:rFonts w:eastAsia="Calibri" w:cstheme="minorHAnsi"/>
                <w:color w:val="000000"/>
                <w:sz w:val="18"/>
                <w:szCs w:val="18"/>
                <w:lang w:val="en-US"/>
              </w:rPr>
              <w:t>Weight increased</w:t>
            </w:r>
          </w:p>
        </w:tc>
        <w:tc>
          <w:tcPr>
            <w:tcW w:w="1418" w:type="dxa"/>
            <w:tcBorders>
              <w:top w:val="single" w:sz="4" w:space="0" w:color="auto"/>
              <w:left w:val="single" w:sz="4" w:space="0" w:color="auto"/>
              <w:bottom w:val="single" w:sz="4" w:space="0" w:color="auto"/>
              <w:right w:val="single" w:sz="4" w:space="0" w:color="auto"/>
            </w:tcBorders>
            <w:vAlign w:val="center"/>
          </w:tcPr>
          <w:p w14:paraId="15C04645" w14:textId="539A4A8C" w:rsidR="0002229B" w:rsidRPr="000C4E6C" w:rsidRDefault="0002229B" w:rsidP="0002229B">
            <w:pPr>
              <w:spacing w:before="40" w:after="40" w:line="240" w:lineRule="auto"/>
              <w:jc w:val="center"/>
              <w:rPr>
                <w:rFonts w:eastAsia="Calibri" w:cstheme="minorHAnsi"/>
                <w:color w:val="000000"/>
                <w:sz w:val="18"/>
                <w:szCs w:val="18"/>
                <w:lang w:val="en-US"/>
              </w:rPr>
            </w:pPr>
            <w:r w:rsidRPr="0002229B">
              <w:rPr>
                <w:rFonts w:eastAsia="Calibri" w:cstheme="minorHAnsi"/>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14:paraId="0C5487D5" w14:textId="3FF773F5" w:rsidR="0002229B" w:rsidRPr="000C4E6C" w:rsidRDefault="0002229B" w:rsidP="0002229B">
            <w:pPr>
              <w:spacing w:before="40" w:after="40" w:line="240" w:lineRule="auto"/>
              <w:jc w:val="center"/>
              <w:rPr>
                <w:rFonts w:eastAsia="Calibri" w:cstheme="minorHAnsi"/>
                <w:color w:val="000000"/>
                <w:sz w:val="18"/>
                <w:szCs w:val="18"/>
                <w:lang w:val="en-US"/>
              </w:rPr>
            </w:pPr>
            <w:r w:rsidRPr="0002229B">
              <w:rPr>
                <w:rFonts w:eastAsia="Calibri" w:cstheme="minorHAnsi"/>
                <w:color w:val="000000"/>
                <w:sz w:val="18"/>
                <w:szCs w:val="18"/>
                <w:lang w:val="en-US"/>
              </w:rPr>
              <w:t>6 (0.6)</w:t>
            </w:r>
          </w:p>
        </w:tc>
        <w:tc>
          <w:tcPr>
            <w:tcW w:w="1560" w:type="dxa"/>
            <w:tcBorders>
              <w:top w:val="single" w:sz="4" w:space="0" w:color="auto"/>
              <w:left w:val="single" w:sz="12" w:space="0" w:color="auto"/>
              <w:bottom w:val="single" w:sz="4" w:space="0" w:color="auto"/>
              <w:right w:val="single" w:sz="4" w:space="0" w:color="auto"/>
            </w:tcBorders>
            <w:vAlign w:val="center"/>
          </w:tcPr>
          <w:p w14:paraId="21EBA3CA" w14:textId="13284DF5" w:rsidR="0002229B" w:rsidRPr="000C4E6C" w:rsidRDefault="0002229B" w:rsidP="0002229B">
            <w:pPr>
              <w:spacing w:before="40" w:after="40" w:line="240" w:lineRule="auto"/>
              <w:jc w:val="center"/>
              <w:rPr>
                <w:rFonts w:eastAsia="Calibri" w:cstheme="minorHAnsi"/>
                <w:color w:val="000000"/>
                <w:sz w:val="18"/>
                <w:szCs w:val="18"/>
                <w:lang w:val="en-US"/>
              </w:rPr>
            </w:pPr>
            <w:r w:rsidRPr="0002229B">
              <w:rPr>
                <w:rFonts w:eastAsia="Calibri" w:cstheme="minorHAnsi"/>
                <w:color w:val="000000"/>
                <w:sz w:val="18"/>
                <w:szCs w:val="18"/>
                <w:lang w:val="en-US"/>
              </w:rPr>
              <w:t>2 (0.4)</w:t>
            </w:r>
          </w:p>
        </w:tc>
        <w:tc>
          <w:tcPr>
            <w:tcW w:w="1417" w:type="dxa"/>
            <w:tcBorders>
              <w:top w:val="single" w:sz="4" w:space="0" w:color="auto"/>
              <w:left w:val="single" w:sz="4" w:space="0" w:color="auto"/>
              <w:bottom w:val="single" w:sz="4" w:space="0" w:color="auto"/>
              <w:right w:val="single" w:sz="4" w:space="0" w:color="auto"/>
            </w:tcBorders>
            <w:vAlign w:val="center"/>
          </w:tcPr>
          <w:p w14:paraId="67F732B4" w14:textId="0C435C37" w:rsidR="0002229B" w:rsidRPr="000C4E6C" w:rsidRDefault="0002229B" w:rsidP="0002229B">
            <w:pPr>
              <w:spacing w:before="40" w:after="40" w:line="240" w:lineRule="auto"/>
              <w:jc w:val="center"/>
              <w:rPr>
                <w:rFonts w:eastAsia="Calibri" w:cstheme="minorHAnsi"/>
                <w:color w:val="000000"/>
                <w:sz w:val="18"/>
                <w:szCs w:val="18"/>
                <w:lang w:val="en-US"/>
              </w:rPr>
            </w:pPr>
            <w:r w:rsidRPr="0002229B">
              <w:rPr>
                <w:rFonts w:eastAsia="Calibri" w:cstheme="minorHAnsi"/>
                <w:color w:val="000000"/>
                <w:sz w:val="18"/>
                <w:szCs w:val="18"/>
                <w:lang w:val="en-US"/>
              </w:rPr>
              <w:t>4 (0.8)</w:t>
            </w:r>
          </w:p>
        </w:tc>
        <w:tc>
          <w:tcPr>
            <w:tcW w:w="1418" w:type="dxa"/>
            <w:tcBorders>
              <w:top w:val="single" w:sz="4" w:space="0" w:color="auto"/>
              <w:left w:val="single" w:sz="4" w:space="0" w:color="auto"/>
              <w:bottom w:val="single" w:sz="4" w:space="0" w:color="auto"/>
              <w:right w:val="single" w:sz="4" w:space="0" w:color="auto"/>
            </w:tcBorders>
            <w:vAlign w:val="center"/>
          </w:tcPr>
          <w:p w14:paraId="116117AF" w14:textId="0F3563E7" w:rsidR="0002229B" w:rsidRPr="000C4E6C" w:rsidRDefault="0002229B" w:rsidP="0002229B">
            <w:pPr>
              <w:spacing w:before="40" w:after="40" w:line="240" w:lineRule="auto"/>
              <w:jc w:val="center"/>
              <w:rPr>
                <w:rFonts w:eastAsia="Calibri" w:cstheme="minorHAnsi"/>
                <w:color w:val="000000"/>
                <w:sz w:val="18"/>
                <w:szCs w:val="18"/>
                <w:lang w:val="en-US"/>
              </w:rPr>
            </w:pPr>
            <w:r w:rsidRPr="0002229B">
              <w:rPr>
                <w:rFonts w:eastAsia="Calibri" w:cstheme="minorHAnsi"/>
                <w:color w:val="000000"/>
                <w:sz w:val="18"/>
                <w:szCs w:val="18"/>
                <w:lang w:val="en-US"/>
              </w:rPr>
              <w:t>4 (0.8)</w:t>
            </w:r>
          </w:p>
        </w:tc>
      </w:tr>
      <w:tr w:rsidR="0002229B" w:rsidRPr="000C4E6C" w14:paraId="076C2F96" w14:textId="77777777" w:rsidTr="00A66D1C">
        <w:trPr>
          <w:trHeight w:val="43"/>
        </w:trPr>
        <w:tc>
          <w:tcPr>
            <w:tcW w:w="9498" w:type="dxa"/>
            <w:gridSpan w:val="6"/>
            <w:tcBorders>
              <w:top w:val="single" w:sz="4" w:space="0" w:color="auto"/>
              <w:left w:val="single" w:sz="4" w:space="0" w:color="auto"/>
              <w:bottom w:val="single" w:sz="4" w:space="0" w:color="auto"/>
            </w:tcBorders>
            <w:vAlign w:val="center"/>
          </w:tcPr>
          <w:p w14:paraId="6929E612"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Metabolism and nutrition disorders</w:t>
            </w:r>
          </w:p>
        </w:tc>
      </w:tr>
      <w:tr w:rsidR="0002229B" w:rsidRPr="000C4E6C" w14:paraId="0912BFCF"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C6A484F" w14:textId="77777777" w:rsidR="0002229B" w:rsidRPr="000C4E6C" w:rsidRDefault="0002229B" w:rsidP="0002229B">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Hypercholesterolaemia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464EF17"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(1.3)</w:t>
            </w:r>
          </w:p>
        </w:tc>
        <w:tc>
          <w:tcPr>
            <w:tcW w:w="1417" w:type="dxa"/>
            <w:tcBorders>
              <w:top w:val="single" w:sz="4" w:space="0" w:color="auto"/>
              <w:left w:val="single" w:sz="4" w:space="0" w:color="auto"/>
              <w:bottom w:val="single" w:sz="4" w:space="0" w:color="auto"/>
              <w:right w:val="single" w:sz="12" w:space="0" w:color="auto"/>
            </w:tcBorders>
            <w:vAlign w:val="center"/>
          </w:tcPr>
          <w:p w14:paraId="5F3530E0"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28 (2.8)</w:t>
            </w:r>
          </w:p>
        </w:tc>
        <w:tc>
          <w:tcPr>
            <w:tcW w:w="1560" w:type="dxa"/>
            <w:tcBorders>
              <w:top w:val="single" w:sz="4" w:space="0" w:color="auto"/>
              <w:left w:val="single" w:sz="12" w:space="0" w:color="auto"/>
              <w:bottom w:val="single" w:sz="4" w:space="0" w:color="auto"/>
              <w:right w:val="single" w:sz="4" w:space="0" w:color="auto"/>
            </w:tcBorders>
            <w:vAlign w:val="center"/>
          </w:tcPr>
          <w:p w14:paraId="16A0F465"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(1.3)</w:t>
            </w:r>
          </w:p>
        </w:tc>
        <w:tc>
          <w:tcPr>
            <w:tcW w:w="1417" w:type="dxa"/>
            <w:tcBorders>
              <w:top w:val="single" w:sz="4" w:space="0" w:color="auto"/>
              <w:left w:val="single" w:sz="4" w:space="0" w:color="auto"/>
              <w:bottom w:val="single" w:sz="4" w:space="0" w:color="auto"/>
              <w:right w:val="single" w:sz="4" w:space="0" w:color="auto"/>
            </w:tcBorders>
            <w:vAlign w:val="center"/>
          </w:tcPr>
          <w:p w14:paraId="37CC733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14:paraId="396C4152"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(3.3)</w:t>
            </w:r>
          </w:p>
        </w:tc>
      </w:tr>
      <w:tr w:rsidR="0002229B" w:rsidRPr="000C4E6C" w14:paraId="450B8BA9"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F551396" w14:textId="77777777" w:rsidR="0002229B" w:rsidRPr="000C4E6C" w:rsidRDefault="0002229B" w:rsidP="0002229B">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Hyperlipidaemia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DDD1B7C"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(0.7)</w:t>
            </w:r>
          </w:p>
        </w:tc>
        <w:tc>
          <w:tcPr>
            <w:tcW w:w="1417" w:type="dxa"/>
            <w:tcBorders>
              <w:top w:val="single" w:sz="4" w:space="0" w:color="auto"/>
              <w:left w:val="single" w:sz="4" w:space="0" w:color="auto"/>
              <w:bottom w:val="single" w:sz="4" w:space="0" w:color="auto"/>
              <w:right w:val="single" w:sz="12" w:space="0" w:color="auto"/>
            </w:tcBorders>
            <w:vAlign w:val="center"/>
          </w:tcPr>
          <w:p w14:paraId="5674548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19 (1.9)</w:t>
            </w:r>
          </w:p>
        </w:tc>
        <w:tc>
          <w:tcPr>
            <w:tcW w:w="1560" w:type="dxa"/>
            <w:tcBorders>
              <w:top w:val="single" w:sz="4" w:space="0" w:color="auto"/>
              <w:left w:val="single" w:sz="12" w:space="0" w:color="auto"/>
              <w:bottom w:val="single" w:sz="4" w:space="0" w:color="auto"/>
              <w:right w:val="single" w:sz="4" w:space="0" w:color="auto"/>
            </w:tcBorders>
            <w:vAlign w:val="center"/>
          </w:tcPr>
          <w:p w14:paraId="47DB1828"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14:paraId="3B3A85F5"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4F31D029"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(1.9)</w:t>
            </w:r>
          </w:p>
        </w:tc>
      </w:tr>
      <w:tr w:rsidR="0002229B" w:rsidRPr="000C4E6C" w14:paraId="096F14EE"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6F9B945" w14:textId="77777777" w:rsidR="0002229B" w:rsidRPr="000C4E6C" w:rsidRDefault="0002229B" w:rsidP="0002229B">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lastRenderedPageBreak/>
              <w:t>Dyslipidaemia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54574F8"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14:paraId="24A50CF6"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(1.0)</w:t>
            </w:r>
          </w:p>
        </w:tc>
        <w:tc>
          <w:tcPr>
            <w:tcW w:w="1560" w:type="dxa"/>
            <w:tcBorders>
              <w:top w:val="single" w:sz="4" w:space="0" w:color="auto"/>
              <w:left w:val="single" w:sz="12" w:space="0" w:color="auto"/>
              <w:bottom w:val="single" w:sz="4" w:space="0" w:color="auto"/>
              <w:right w:val="single" w:sz="4" w:space="0" w:color="auto"/>
            </w:tcBorders>
            <w:vAlign w:val="center"/>
          </w:tcPr>
          <w:p w14:paraId="6AEEFC0D"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c>
          <w:tcPr>
            <w:tcW w:w="1417" w:type="dxa"/>
            <w:tcBorders>
              <w:top w:val="single" w:sz="4" w:space="0" w:color="auto"/>
              <w:left w:val="single" w:sz="4" w:space="0" w:color="auto"/>
              <w:bottom w:val="single" w:sz="4" w:space="0" w:color="auto"/>
              <w:right w:val="single" w:sz="4" w:space="0" w:color="auto"/>
            </w:tcBorders>
            <w:vAlign w:val="center"/>
          </w:tcPr>
          <w:p w14:paraId="6D4871E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14:paraId="0F45F25A"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r>
      <w:tr w:rsidR="0002229B" w:rsidRPr="000C4E6C" w14:paraId="7FF5A112"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0582A4B7"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Musculoskeletal and connective tissue disorders</w:t>
            </w:r>
          </w:p>
        </w:tc>
      </w:tr>
      <w:tr w:rsidR="0002229B" w:rsidRPr="000C4E6C" w14:paraId="107ED8B3"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D313045"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Arthralgia</w:t>
            </w:r>
          </w:p>
        </w:tc>
        <w:tc>
          <w:tcPr>
            <w:tcW w:w="1418" w:type="dxa"/>
            <w:tcBorders>
              <w:top w:val="single" w:sz="4" w:space="0" w:color="auto"/>
              <w:left w:val="single" w:sz="4" w:space="0" w:color="auto"/>
              <w:bottom w:val="single" w:sz="4" w:space="0" w:color="auto"/>
              <w:right w:val="single" w:sz="4" w:space="0" w:color="auto"/>
            </w:tcBorders>
            <w:vAlign w:val="center"/>
          </w:tcPr>
          <w:p w14:paraId="33157CF1"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17 (1.6)</w:t>
            </w:r>
          </w:p>
        </w:tc>
        <w:tc>
          <w:tcPr>
            <w:tcW w:w="1417" w:type="dxa"/>
            <w:tcBorders>
              <w:top w:val="single" w:sz="4" w:space="0" w:color="auto"/>
              <w:left w:val="single" w:sz="4" w:space="0" w:color="auto"/>
              <w:bottom w:val="single" w:sz="4" w:space="0" w:color="auto"/>
              <w:right w:val="single" w:sz="12" w:space="0" w:color="auto"/>
            </w:tcBorders>
            <w:vAlign w:val="center"/>
          </w:tcPr>
          <w:p w14:paraId="5A66F407"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17 (1.7)</w:t>
            </w:r>
          </w:p>
        </w:tc>
        <w:tc>
          <w:tcPr>
            <w:tcW w:w="1560" w:type="dxa"/>
            <w:tcBorders>
              <w:top w:val="single" w:sz="4" w:space="0" w:color="auto"/>
              <w:left w:val="single" w:sz="12" w:space="0" w:color="auto"/>
              <w:bottom w:val="single" w:sz="4" w:space="0" w:color="auto"/>
              <w:right w:val="single" w:sz="4" w:space="0" w:color="auto"/>
            </w:tcBorders>
            <w:vAlign w:val="center"/>
          </w:tcPr>
          <w:p w14:paraId="3AAC9F8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(1.8)</w:t>
            </w:r>
          </w:p>
        </w:tc>
        <w:tc>
          <w:tcPr>
            <w:tcW w:w="1417" w:type="dxa"/>
            <w:tcBorders>
              <w:top w:val="single" w:sz="4" w:space="0" w:color="auto"/>
              <w:left w:val="single" w:sz="4" w:space="0" w:color="auto"/>
              <w:bottom w:val="single" w:sz="4" w:space="0" w:color="auto"/>
              <w:right w:val="single" w:sz="4" w:space="0" w:color="auto"/>
            </w:tcBorders>
            <w:vAlign w:val="center"/>
          </w:tcPr>
          <w:p w14:paraId="0B703EC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(1.7)</w:t>
            </w:r>
          </w:p>
        </w:tc>
        <w:tc>
          <w:tcPr>
            <w:tcW w:w="1418" w:type="dxa"/>
            <w:tcBorders>
              <w:top w:val="single" w:sz="4" w:space="0" w:color="auto"/>
              <w:left w:val="single" w:sz="4" w:space="0" w:color="auto"/>
              <w:bottom w:val="single" w:sz="4" w:space="0" w:color="auto"/>
              <w:right w:val="single" w:sz="4" w:space="0" w:color="auto"/>
            </w:tcBorders>
            <w:vAlign w:val="center"/>
          </w:tcPr>
          <w:p w14:paraId="6C2632FC"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(2.3)</w:t>
            </w:r>
          </w:p>
        </w:tc>
      </w:tr>
      <w:tr w:rsidR="0002229B" w:rsidRPr="000C4E6C" w14:paraId="1EEE64D1"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D4BF4E9"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Rheumatoid arthritis</w:t>
            </w:r>
          </w:p>
        </w:tc>
        <w:tc>
          <w:tcPr>
            <w:tcW w:w="1418" w:type="dxa"/>
            <w:tcBorders>
              <w:top w:val="single" w:sz="4" w:space="0" w:color="auto"/>
              <w:left w:val="single" w:sz="4" w:space="0" w:color="auto"/>
              <w:bottom w:val="single" w:sz="4" w:space="0" w:color="auto"/>
              <w:right w:val="single" w:sz="4" w:space="0" w:color="auto"/>
            </w:tcBorders>
            <w:vAlign w:val="center"/>
          </w:tcPr>
          <w:p w14:paraId="15FF7D17"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23 (2.1)</w:t>
            </w:r>
          </w:p>
        </w:tc>
        <w:tc>
          <w:tcPr>
            <w:tcW w:w="1417" w:type="dxa"/>
            <w:tcBorders>
              <w:top w:val="single" w:sz="4" w:space="0" w:color="auto"/>
              <w:left w:val="single" w:sz="4" w:space="0" w:color="auto"/>
              <w:bottom w:val="single" w:sz="4" w:space="0" w:color="auto"/>
              <w:right w:val="single" w:sz="12" w:space="0" w:color="auto"/>
            </w:tcBorders>
            <w:vAlign w:val="center"/>
          </w:tcPr>
          <w:p w14:paraId="056EAB4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14:paraId="01AEA1E9"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(1.8)</w:t>
            </w:r>
          </w:p>
        </w:tc>
        <w:tc>
          <w:tcPr>
            <w:tcW w:w="1417" w:type="dxa"/>
            <w:tcBorders>
              <w:top w:val="single" w:sz="4" w:space="0" w:color="auto"/>
              <w:left w:val="single" w:sz="4" w:space="0" w:color="auto"/>
              <w:bottom w:val="single" w:sz="4" w:space="0" w:color="auto"/>
              <w:right w:val="single" w:sz="4" w:space="0" w:color="auto"/>
            </w:tcBorders>
            <w:vAlign w:val="center"/>
          </w:tcPr>
          <w:p w14:paraId="23862191"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6BC27AD0"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(2.1)</w:t>
            </w:r>
          </w:p>
        </w:tc>
      </w:tr>
      <w:tr w:rsidR="0002229B" w:rsidRPr="000C4E6C" w14:paraId="15158B67"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A9E6517"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Back pain</w:t>
            </w:r>
          </w:p>
        </w:tc>
        <w:tc>
          <w:tcPr>
            <w:tcW w:w="1418" w:type="dxa"/>
            <w:tcBorders>
              <w:top w:val="single" w:sz="4" w:space="0" w:color="auto"/>
              <w:left w:val="single" w:sz="4" w:space="0" w:color="auto"/>
              <w:bottom w:val="single" w:sz="4" w:space="0" w:color="auto"/>
              <w:right w:val="single" w:sz="4" w:space="0" w:color="auto"/>
            </w:tcBorders>
            <w:vAlign w:val="center"/>
          </w:tcPr>
          <w:p w14:paraId="699901EA"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26 (2.4)</w:t>
            </w:r>
          </w:p>
        </w:tc>
        <w:tc>
          <w:tcPr>
            <w:tcW w:w="1417" w:type="dxa"/>
            <w:tcBorders>
              <w:top w:val="single" w:sz="4" w:space="0" w:color="auto"/>
              <w:left w:val="single" w:sz="4" w:space="0" w:color="auto"/>
              <w:bottom w:val="single" w:sz="4" w:space="0" w:color="auto"/>
              <w:right w:val="single" w:sz="12" w:space="0" w:color="auto"/>
            </w:tcBorders>
            <w:vAlign w:val="center"/>
          </w:tcPr>
          <w:p w14:paraId="2DEB50B1"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12 (1.2)</w:t>
            </w:r>
          </w:p>
        </w:tc>
        <w:tc>
          <w:tcPr>
            <w:tcW w:w="1560" w:type="dxa"/>
            <w:tcBorders>
              <w:top w:val="single" w:sz="4" w:space="0" w:color="auto"/>
              <w:left w:val="single" w:sz="12" w:space="0" w:color="auto"/>
              <w:bottom w:val="single" w:sz="4" w:space="0" w:color="auto"/>
              <w:right w:val="single" w:sz="4" w:space="0" w:color="auto"/>
            </w:tcBorders>
            <w:vAlign w:val="center"/>
          </w:tcPr>
          <w:p w14:paraId="3783523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18 (3.3)</w:t>
            </w:r>
          </w:p>
        </w:tc>
        <w:tc>
          <w:tcPr>
            <w:tcW w:w="1417" w:type="dxa"/>
            <w:tcBorders>
              <w:top w:val="single" w:sz="4" w:space="0" w:color="auto"/>
              <w:left w:val="single" w:sz="4" w:space="0" w:color="auto"/>
              <w:bottom w:val="single" w:sz="4" w:space="0" w:color="auto"/>
              <w:right w:val="single" w:sz="4" w:space="0" w:color="auto"/>
            </w:tcBorders>
            <w:vAlign w:val="center"/>
          </w:tcPr>
          <w:p w14:paraId="43F6FA5A"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(2.9)</w:t>
            </w:r>
          </w:p>
        </w:tc>
        <w:tc>
          <w:tcPr>
            <w:tcW w:w="1418" w:type="dxa"/>
            <w:tcBorders>
              <w:top w:val="single" w:sz="4" w:space="0" w:color="auto"/>
              <w:left w:val="single" w:sz="4" w:space="0" w:color="auto"/>
              <w:bottom w:val="single" w:sz="4" w:space="0" w:color="auto"/>
              <w:right w:val="single" w:sz="4" w:space="0" w:color="auto"/>
            </w:tcBorders>
            <w:vAlign w:val="center"/>
          </w:tcPr>
          <w:p w14:paraId="74EF22C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r>
      <w:tr w:rsidR="0002229B" w:rsidRPr="000C4E6C" w14:paraId="74F85016"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691ABEE"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Muscle spasms</w:t>
            </w:r>
          </w:p>
        </w:tc>
        <w:tc>
          <w:tcPr>
            <w:tcW w:w="1418" w:type="dxa"/>
            <w:tcBorders>
              <w:top w:val="single" w:sz="4" w:space="0" w:color="auto"/>
              <w:left w:val="single" w:sz="4" w:space="0" w:color="auto"/>
              <w:bottom w:val="single" w:sz="4" w:space="0" w:color="auto"/>
              <w:right w:val="single" w:sz="4" w:space="0" w:color="auto"/>
            </w:tcBorders>
            <w:vAlign w:val="center"/>
          </w:tcPr>
          <w:p w14:paraId="4D7DCE88"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6E692805"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5331483E"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14:paraId="24AD5941"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14:paraId="2945C737"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r>
      <w:tr w:rsidR="0002229B" w:rsidRPr="000C4E6C" w14:paraId="5D210F39"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525444A"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Myalgia</w:t>
            </w:r>
          </w:p>
        </w:tc>
        <w:tc>
          <w:tcPr>
            <w:tcW w:w="1418" w:type="dxa"/>
            <w:tcBorders>
              <w:top w:val="single" w:sz="4" w:space="0" w:color="auto"/>
              <w:left w:val="single" w:sz="4" w:space="0" w:color="auto"/>
              <w:bottom w:val="single" w:sz="4" w:space="0" w:color="auto"/>
              <w:right w:val="single" w:sz="4" w:space="0" w:color="auto"/>
            </w:tcBorders>
            <w:vAlign w:val="center"/>
          </w:tcPr>
          <w:p w14:paraId="31B9C518"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3ECAE716"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091007C5"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(0.2)</w:t>
            </w:r>
          </w:p>
        </w:tc>
        <w:tc>
          <w:tcPr>
            <w:tcW w:w="1417" w:type="dxa"/>
            <w:tcBorders>
              <w:top w:val="single" w:sz="4" w:space="0" w:color="auto"/>
              <w:left w:val="single" w:sz="4" w:space="0" w:color="auto"/>
              <w:bottom w:val="single" w:sz="4" w:space="0" w:color="auto"/>
              <w:right w:val="single" w:sz="4" w:space="0" w:color="auto"/>
            </w:tcBorders>
            <w:vAlign w:val="center"/>
          </w:tcPr>
          <w:p w14:paraId="4706BCB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(0.8)</w:t>
            </w:r>
          </w:p>
        </w:tc>
        <w:tc>
          <w:tcPr>
            <w:tcW w:w="1418" w:type="dxa"/>
            <w:tcBorders>
              <w:top w:val="single" w:sz="4" w:space="0" w:color="auto"/>
              <w:left w:val="single" w:sz="4" w:space="0" w:color="auto"/>
              <w:bottom w:val="single" w:sz="4" w:space="0" w:color="auto"/>
              <w:right w:val="single" w:sz="4" w:space="0" w:color="auto"/>
            </w:tcBorders>
            <w:vAlign w:val="center"/>
          </w:tcPr>
          <w:p w14:paraId="6881F857"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r>
      <w:tr w:rsidR="0002229B" w:rsidRPr="000C4E6C" w14:paraId="5B085684"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5851F3F1"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Nervous system disorders</w:t>
            </w:r>
          </w:p>
        </w:tc>
      </w:tr>
      <w:tr w:rsidR="0002229B" w:rsidRPr="000C4E6C" w14:paraId="7C95A8D8"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9EBEA5B"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Headache</w:t>
            </w:r>
          </w:p>
        </w:tc>
        <w:tc>
          <w:tcPr>
            <w:tcW w:w="1418" w:type="dxa"/>
            <w:tcBorders>
              <w:top w:val="single" w:sz="4" w:space="0" w:color="auto"/>
              <w:left w:val="single" w:sz="4" w:space="0" w:color="auto"/>
              <w:bottom w:val="single" w:sz="4" w:space="0" w:color="auto"/>
              <w:right w:val="single" w:sz="4" w:space="0" w:color="auto"/>
            </w:tcBorders>
            <w:vAlign w:val="center"/>
          </w:tcPr>
          <w:p w14:paraId="1A8A8E30"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32 (3.0)</w:t>
            </w:r>
          </w:p>
        </w:tc>
        <w:tc>
          <w:tcPr>
            <w:tcW w:w="1417" w:type="dxa"/>
            <w:tcBorders>
              <w:top w:val="single" w:sz="4" w:space="0" w:color="auto"/>
              <w:left w:val="single" w:sz="4" w:space="0" w:color="auto"/>
              <w:bottom w:val="single" w:sz="4" w:space="0" w:color="auto"/>
              <w:right w:val="single" w:sz="12" w:space="0" w:color="auto"/>
            </w:tcBorders>
            <w:vAlign w:val="center"/>
          </w:tcPr>
          <w:p w14:paraId="507D74D8"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38 (3.8)</w:t>
            </w:r>
          </w:p>
        </w:tc>
        <w:tc>
          <w:tcPr>
            <w:tcW w:w="1560" w:type="dxa"/>
            <w:tcBorders>
              <w:top w:val="single" w:sz="4" w:space="0" w:color="auto"/>
              <w:left w:val="single" w:sz="12" w:space="0" w:color="auto"/>
              <w:bottom w:val="single" w:sz="4" w:space="0" w:color="auto"/>
              <w:right w:val="single" w:sz="4" w:space="0" w:color="auto"/>
            </w:tcBorders>
            <w:vAlign w:val="center"/>
          </w:tcPr>
          <w:p w14:paraId="77F85F27"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22 (4.0)</w:t>
            </w:r>
          </w:p>
        </w:tc>
        <w:tc>
          <w:tcPr>
            <w:tcW w:w="1417" w:type="dxa"/>
            <w:tcBorders>
              <w:top w:val="single" w:sz="4" w:space="0" w:color="auto"/>
              <w:left w:val="single" w:sz="4" w:space="0" w:color="auto"/>
              <w:bottom w:val="single" w:sz="4" w:space="0" w:color="auto"/>
              <w:right w:val="single" w:sz="4" w:space="0" w:color="auto"/>
            </w:tcBorders>
            <w:vAlign w:val="center"/>
          </w:tcPr>
          <w:p w14:paraId="0E674F76"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30 (6.3)</w:t>
            </w:r>
          </w:p>
        </w:tc>
        <w:tc>
          <w:tcPr>
            <w:tcW w:w="1418" w:type="dxa"/>
            <w:tcBorders>
              <w:top w:val="single" w:sz="4" w:space="0" w:color="auto"/>
              <w:left w:val="single" w:sz="4" w:space="0" w:color="auto"/>
              <w:bottom w:val="single" w:sz="4" w:space="0" w:color="auto"/>
              <w:right w:val="single" w:sz="4" w:space="0" w:color="auto"/>
            </w:tcBorders>
            <w:vAlign w:val="center"/>
          </w:tcPr>
          <w:p w14:paraId="2C6011B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20 (4.2)</w:t>
            </w:r>
          </w:p>
        </w:tc>
      </w:tr>
      <w:tr w:rsidR="0002229B" w:rsidRPr="000C4E6C" w14:paraId="330D9D61"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47B6C38"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Dizziness</w:t>
            </w:r>
          </w:p>
        </w:tc>
        <w:tc>
          <w:tcPr>
            <w:tcW w:w="1418" w:type="dxa"/>
            <w:tcBorders>
              <w:top w:val="single" w:sz="4" w:space="0" w:color="auto"/>
              <w:left w:val="single" w:sz="4" w:space="0" w:color="auto"/>
              <w:bottom w:val="single" w:sz="4" w:space="0" w:color="auto"/>
              <w:right w:val="single" w:sz="4" w:space="0" w:color="auto"/>
            </w:tcBorders>
            <w:vAlign w:val="center"/>
          </w:tcPr>
          <w:p w14:paraId="5DF35CA9"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(0.7)</w:t>
            </w:r>
          </w:p>
        </w:tc>
        <w:tc>
          <w:tcPr>
            <w:tcW w:w="1417" w:type="dxa"/>
            <w:tcBorders>
              <w:top w:val="single" w:sz="4" w:space="0" w:color="auto"/>
              <w:left w:val="single" w:sz="4" w:space="0" w:color="auto"/>
              <w:bottom w:val="single" w:sz="4" w:space="0" w:color="auto"/>
              <w:right w:val="single" w:sz="12" w:space="0" w:color="auto"/>
            </w:tcBorders>
            <w:vAlign w:val="center"/>
          </w:tcPr>
          <w:p w14:paraId="5C36A1B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14:paraId="36E635DB"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14:paraId="38ACE6A1"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14:paraId="5C1880A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(1.5)</w:t>
            </w:r>
          </w:p>
        </w:tc>
      </w:tr>
      <w:tr w:rsidR="0002229B" w:rsidRPr="000C4E6C" w14:paraId="49FD908F"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2C5B69FB" w14:textId="77777777" w:rsidR="0002229B" w:rsidRPr="000C4E6C" w:rsidRDefault="0002229B" w:rsidP="0002229B">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Psychiatric disorders</w:t>
            </w:r>
          </w:p>
        </w:tc>
      </w:tr>
      <w:tr w:rsidR="0002229B" w:rsidRPr="000C4E6C" w14:paraId="4B857AAA"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F9F97A4"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Insomnia</w:t>
            </w:r>
          </w:p>
        </w:tc>
        <w:tc>
          <w:tcPr>
            <w:tcW w:w="1418" w:type="dxa"/>
            <w:tcBorders>
              <w:top w:val="single" w:sz="4" w:space="0" w:color="auto"/>
              <w:left w:val="single" w:sz="4" w:space="0" w:color="auto"/>
              <w:bottom w:val="single" w:sz="4" w:space="0" w:color="auto"/>
              <w:right w:val="single" w:sz="4" w:space="0" w:color="auto"/>
            </w:tcBorders>
            <w:vAlign w:val="center"/>
          </w:tcPr>
          <w:p w14:paraId="48893250"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525C08B1"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2FC66224"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14:paraId="68AFD1D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14:paraId="3C134D33"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(0.4)</w:t>
            </w:r>
          </w:p>
        </w:tc>
      </w:tr>
      <w:tr w:rsidR="0002229B" w:rsidRPr="000C4E6C" w14:paraId="03FBDEDF"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5ABF9D21"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Reproductive system and breast disorders</w:t>
            </w:r>
          </w:p>
        </w:tc>
      </w:tr>
      <w:tr w:rsidR="0002229B" w:rsidRPr="000C4E6C" w14:paraId="131B69DD"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0A1C95B" w14:textId="59B9E9DD"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 xml:space="preserve">Erectile </w:t>
            </w:r>
            <w:proofErr w:type="spellStart"/>
            <w:r w:rsidRPr="000C4E6C">
              <w:rPr>
                <w:rFonts w:eastAsia="Times New Roman" w:cstheme="minorHAnsi"/>
                <w:sz w:val="18"/>
                <w:szCs w:val="18"/>
                <w:lang w:val="en-US"/>
              </w:rPr>
              <w:t>dysfunction</w:t>
            </w:r>
            <w:r w:rsidRPr="0002229B">
              <w:rPr>
                <w:rFonts w:eastAsia="Times New Roman" w:cstheme="minorHAnsi"/>
                <w:sz w:val="18"/>
                <w:szCs w:val="18"/>
                <w:vertAlign w:val="superscript"/>
                <w:lang w:val="en-US"/>
              </w:rPr>
              <w:t>b</w:t>
            </w:r>
            <w:proofErr w:type="spellEnd"/>
            <w:r w:rsidRPr="000C4E6C">
              <w:rPr>
                <w:rFonts w:eastAsia="Times New Roman" w:cstheme="minorHAnsi"/>
                <w:sz w:val="18"/>
                <w:szCs w:val="18"/>
                <w:lang w:val="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9B698AE"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3D0BFEFD"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1041F718"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4DB11CA0"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14:paraId="1EA3F5DA"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(1.1)</w:t>
            </w:r>
          </w:p>
        </w:tc>
      </w:tr>
      <w:tr w:rsidR="0002229B" w:rsidRPr="000C4E6C" w14:paraId="5EB0E80D"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1DB90992"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Respiratory, thoracic and mediastinal disorders</w:t>
            </w:r>
          </w:p>
        </w:tc>
      </w:tr>
      <w:tr w:rsidR="0002229B" w:rsidRPr="000C4E6C" w14:paraId="7972CC50"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3C31589"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Cough</w:t>
            </w:r>
          </w:p>
        </w:tc>
        <w:tc>
          <w:tcPr>
            <w:tcW w:w="1418" w:type="dxa"/>
            <w:tcBorders>
              <w:top w:val="single" w:sz="4" w:space="0" w:color="auto"/>
              <w:left w:val="single" w:sz="4" w:space="0" w:color="auto"/>
              <w:bottom w:val="single" w:sz="4" w:space="0" w:color="auto"/>
              <w:right w:val="single" w:sz="4" w:space="0" w:color="auto"/>
            </w:tcBorders>
            <w:vAlign w:val="center"/>
          </w:tcPr>
          <w:p w14:paraId="2E1E084E"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17 (1.6)</w:t>
            </w:r>
          </w:p>
        </w:tc>
        <w:tc>
          <w:tcPr>
            <w:tcW w:w="1417" w:type="dxa"/>
            <w:tcBorders>
              <w:top w:val="single" w:sz="4" w:space="0" w:color="auto"/>
              <w:left w:val="single" w:sz="4" w:space="0" w:color="auto"/>
              <w:bottom w:val="single" w:sz="4" w:space="0" w:color="auto"/>
              <w:right w:val="single" w:sz="12" w:space="0" w:color="auto"/>
            </w:tcBorders>
            <w:vAlign w:val="center"/>
          </w:tcPr>
          <w:p w14:paraId="51316284"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19 (1.9)</w:t>
            </w:r>
          </w:p>
        </w:tc>
        <w:tc>
          <w:tcPr>
            <w:tcW w:w="1560" w:type="dxa"/>
            <w:tcBorders>
              <w:top w:val="single" w:sz="4" w:space="0" w:color="auto"/>
              <w:left w:val="single" w:sz="12" w:space="0" w:color="auto"/>
              <w:bottom w:val="single" w:sz="4" w:space="0" w:color="auto"/>
              <w:right w:val="single" w:sz="4" w:space="0" w:color="auto"/>
            </w:tcBorders>
            <w:vAlign w:val="center"/>
          </w:tcPr>
          <w:p w14:paraId="6E9D350C"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(1.6)</w:t>
            </w:r>
          </w:p>
        </w:tc>
        <w:tc>
          <w:tcPr>
            <w:tcW w:w="1417" w:type="dxa"/>
            <w:tcBorders>
              <w:top w:val="single" w:sz="4" w:space="0" w:color="auto"/>
              <w:left w:val="single" w:sz="4" w:space="0" w:color="auto"/>
              <w:bottom w:val="single" w:sz="4" w:space="0" w:color="auto"/>
              <w:right w:val="single" w:sz="4" w:space="0" w:color="auto"/>
            </w:tcBorders>
            <w:vAlign w:val="center"/>
          </w:tcPr>
          <w:p w14:paraId="2008F80F"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(1.9)</w:t>
            </w:r>
          </w:p>
        </w:tc>
        <w:tc>
          <w:tcPr>
            <w:tcW w:w="1418" w:type="dxa"/>
            <w:tcBorders>
              <w:top w:val="single" w:sz="4" w:space="0" w:color="auto"/>
              <w:left w:val="single" w:sz="4" w:space="0" w:color="auto"/>
              <w:bottom w:val="single" w:sz="4" w:space="0" w:color="auto"/>
              <w:right w:val="single" w:sz="4" w:space="0" w:color="auto"/>
            </w:tcBorders>
            <w:vAlign w:val="center"/>
          </w:tcPr>
          <w:p w14:paraId="1321241B"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13 (2.7)</w:t>
            </w:r>
          </w:p>
        </w:tc>
      </w:tr>
      <w:tr w:rsidR="0002229B" w:rsidRPr="000C4E6C" w14:paraId="18C37A88"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4151538"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Oropharyngeal pain</w:t>
            </w:r>
          </w:p>
        </w:tc>
        <w:tc>
          <w:tcPr>
            <w:tcW w:w="1418" w:type="dxa"/>
            <w:tcBorders>
              <w:top w:val="single" w:sz="4" w:space="0" w:color="auto"/>
              <w:left w:val="single" w:sz="4" w:space="0" w:color="auto"/>
              <w:bottom w:val="single" w:sz="4" w:space="0" w:color="auto"/>
              <w:right w:val="single" w:sz="4" w:space="0" w:color="auto"/>
            </w:tcBorders>
            <w:vAlign w:val="center"/>
          </w:tcPr>
          <w:p w14:paraId="77DBDE6E"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14:paraId="48F1210A"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12 (1.2)</w:t>
            </w:r>
          </w:p>
        </w:tc>
        <w:tc>
          <w:tcPr>
            <w:tcW w:w="1560" w:type="dxa"/>
            <w:tcBorders>
              <w:top w:val="single" w:sz="4" w:space="0" w:color="auto"/>
              <w:left w:val="single" w:sz="12" w:space="0" w:color="auto"/>
              <w:bottom w:val="single" w:sz="4" w:space="0" w:color="auto"/>
              <w:right w:val="single" w:sz="4" w:space="0" w:color="auto"/>
            </w:tcBorders>
            <w:vAlign w:val="center"/>
          </w:tcPr>
          <w:p w14:paraId="658D58DE"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14:paraId="7A972D7D"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(1.9)</w:t>
            </w:r>
          </w:p>
        </w:tc>
        <w:tc>
          <w:tcPr>
            <w:tcW w:w="1418" w:type="dxa"/>
            <w:tcBorders>
              <w:top w:val="single" w:sz="4" w:space="0" w:color="auto"/>
              <w:left w:val="single" w:sz="4" w:space="0" w:color="auto"/>
              <w:bottom w:val="single" w:sz="4" w:space="0" w:color="auto"/>
              <w:right w:val="single" w:sz="4" w:space="0" w:color="auto"/>
            </w:tcBorders>
            <w:vAlign w:val="center"/>
          </w:tcPr>
          <w:p w14:paraId="14B90362"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(2.3)</w:t>
            </w:r>
          </w:p>
        </w:tc>
      </w:tr>
      <w:tr w:rsidR="0002229B" w:rsidRPr="000C4E6C" w14:paraId="6750B26C"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6B34202" w14:textId="0F61A636" w:rsidR="0002229B" w:rsidRPr="000C4E6C" w:rsidRDefault="0002229B" w:rsidP="0002229B">
            <w:pPr>
              <w:spacing w:after="0" w:line="240" w:lineRule="auto"/>
              <w:rPr>
                <w:rFonts w:eastAsia="Times New Roman" w:cstheme="minorHAnsi"/>
                <w:sz w:val="18"/>
                <w:szCs w:val="18"/>
                <w:lang w:val="en-US"/>
              </w:rPr>
            </w:pPr>
            <w:r w:rsidRPr="0002229B">
              <w:rPr>
                <w:rFonts w:eastAsia="Times New Roman" w:cstheme="minorHAnsi"/>
                <w:sz w:val="18"/>
                <w:szCs w:val="18"/>
                <w:lang w:val="en-US"/>
              </w:rPr>
              <w:t>Pulmonary embolism</w:t>
            </w:r>
          </w:p>
        </w:tc>
        <w:tc>
          <w:tcPr>
            <w:tcW w:w="1418" w:type="dxa"/>
            <w:tcBorders>
              <w:top w:val="single" w:sz="4" w:space="0" w:color="auto"/>
              <w:left w:val="single" w:sz="4" w:space="0" w:color="auto"/>
              <w:bottom w:val="single" w:sz="4" w:space="0" w:color="auto"/>
              <w:right w:val="single" w:sz="4" w:space="0" w:color="auto"/>
            </w:tcBorders>
            <w:vAlign w:val="center"/>
          </w:tcPr>
          <w:p w14:paraId="25F80884" w14:textId="30322861" w:rsidR="0002229B" w:rsidRPr="0002229B" w:rsidRDefault="0002229B" w:rsidP="0002229B">
            <w:pPr>
              <w:spacing w:before="40" w:after="40" w:line="240" w:lineRule="auto"/>
              <w:jc w:val="center"/>
              <w:rPr>
                <w:rFonts w:eastAsia="Times New Roman" w:cstheme="minorHAnsi"/>
                <w:sz w:val="18"/>
                <w:szCs w:val="18"/>
                <w:lang w:val="en-US"/>
              </w:rPr>
            </w:pPr>
            <w:r w:rsidRPr="0002229B">
              <w:rPr>
                <w:rFonts w:eastAsia="Times New Roman" w:cstheme="minorHAnsi"/>
                <w:sz w:val="18"/>
                <w:szCs w:val="18"/>
                <w:lang w:val="en-US"/>
              </w:rPr>
              <w:t>0</w:t>
            </w:r>
          </w:p>
        </w:tc>
        <w:tc>
          <w:tcPr>
            <w:tcW w:w="1417" w:type="dxa"/>
            <w:tcBorders>
              <w:top w:val="single" w:sz="4" w:space="0" w:color="auto"/>
              <w:left w:val="single" w:sz="4" w:space="0" w:color="auto"/>
              <w:bottom w:val="single" w:sz="4" w:space="0" w:color="auto"/>
              <w:right w:val="single" w:sz="12" w:space="0" w:color="auto"/>
            </w:tcBorders>
            <w:vAlign w:val="center"/>
          </w:tcPr>
          <w:p w14:paraId="376B75DD" w14:textId="3AB55A6A" w:rsidR="0002229B" w:rsidRPr="0002229B" w:rsidRDefault="0002229B" w:rsidP="0002229B">
            <w:pPr>
              <w:spacing w:before="40" w:after="40" w:line="240" w:lineRule="auto"/>
              <w:jc w:val="center"/>
              <w:rPr>
                <w:rFonts w:eastAsia="Times New Roman" w:cstheme="minorHAnsi"/>
                <w:sz w:val="18"/>
                <w:szCs w:val="18"/>
                <w:lang w:val="en-US"/>
              </w:rPr>
            </w:pPr>
            <w:r w:rsidRPr="0002229B">
              <w:rPr>
                <w:rFonts w:eastAsia="Times New Roman" w:cstheme="minorHAnsi"/>
                <w:sz w:val="18"/>
                <w:szCs w:val="18"/>
                <w:lang w:val="en-US"/>
              </w:rPr>
              <w:t>3 (0.3)</w:t>
            </w:r>
          </w:p>
        </w:tc>
        <w:tc>
          <w:tcPr>
            <w:tcW w:w="1560" w:type="dxa"/>
            <w:tcBorders>
              <w:top w:val="single" w:sz="4" w:space="0" w:color="auto"/>
              <w:left w:val="single" w:sz="12" w:space="0" w:color="auto"/>
              <w:bottom w:val="single" w:sz="4" w:space="0" w:color="auto"/>
              <w:right w:val="single" w:sz="4" w:space="0" w:color="auto"/>
            </w:tcBorders>
            <w:vAlign w:val="center"/>
          </w:tcPr>
          <w:p w14:paraId="309564D2" w14:textId="587F1291" w:rsidR="0002229B" w:rsidRPr="0002229B" w:rsidRDefault="0002229B" w:rsidP="0002229B">
            <w:pPr>
              <w:spacing w:before="40" w:after="40" w:line="240" w:lineRule="auto"/>
              <w:jc w:val="center"/>
              <w:rPr>
                <w:rFonts w:eastAsia="Times New Roman" w:cstheme="minorHAnsi"/>
                <w:sz w:val="18"/>
                <w:szCs w:val="18"/>
                <w:lang w:val="en-US"/>
              </w:rPr>
            </w:pPr>
            <w:r w:rsidRPr="0002229B">
              <w:rPr>
                <w:rFonts w:eastAsia="Times New Roman" w:cstheme="minorHAnsi"/>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6E499557" w14:textId="1DF82124" w:rsidR="0002229B" w:rsidRPr="0002229B" w:rsidRDefault="0002229B" w:rsidP="0002229B">
            <w:pPr>
              <w:spacing w:before="40" w:after="40" w:line="240" w:lineRule="auto"/>
              <w:jc w:val="center"/>
              <w:rPr>
                <w:rFonts w:eastAsia="Times New Roman" w:cstheme="minorHAnsi"/>
                <w:sz w:val="18"/>
                <w:szCs w:val="18"/>
                <w:lang w:val="en-US"/>
              </w:rPr>
            </w:pPr>
            <w:r w:rsidRPr="0002229B">
              <w:rPr>
                <w:rFonts w:eastAsia="Times New Roman" w:cstheme="minorHAnsi"/>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14:paraId="17F32EA2" w14:textId="531C1B19" w:rsidR="0002229B" w:rsidRPr="0002229B" w:rsidRDefault="0002229B" w:rsidP="0002229B">
            <w:pPr>
              <w:spacing w:before="40" w:after="40" w:line="240" w:lineRule="auto"/>
              <w:jc w:val="center"/>
              <w:rPr>
                <w:rFonts w:eastAsia="Times New Roman" w:cstheme="minorHAnsi"/>
                <w:sz w:val="18"/>
                <w:szCs w:val="18"/>
                <w:lang w:val="en-US"/>
              </w:rPr>
            </w:pPr>
            <w:r w:rsidRPr="0002229B">
              <w:rPr>
                <w:rFonts w:eastAsia="Times New Roman" w:cstheme="minorHAnsi"/>
                <w:sz w:val="18"/>
                <w:szCs w:val="18"/>
                <w:lang w:val="en-US"/>
              </w:rPr>
              <w:t>2 (0.4)</w:t>
            </w:r>
          </w:p>
        </w:tc>
      </w:tr>
      <w:tr w:rsidR="0002229B" w:rsidRPr="000C4E6C" w14:paraId="2702A5EC"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1E40622A"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Skin and subcutaneous tissue disorders</w:t>
            </w:r>
          </w:p>
        </w:tc>
      </w:tr>
      <w:tr w:rsidR="0002229B" w:rsidRPr="000C4E6C" w14:paraId="6F0F9B4B"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BA41F35"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Alopecia</w:t>
            </w:r>
          </w:p>
        </w:tc>
        <w:tc>
          <w:tcPr>
            <w:tcW w:w="1418" w:type="dxa"/>
            <w:tcBorders>
              <w:top w:val="single" w:sz="4" w:space="0" w:color="auto"/>
              <w:left w:val="single" w:sz="4" w:space="0" w:color="auto"/>
              <w:bottom w:val="single" w:sz="4" w:space="0" w:color="auto"/>
              <w:right w:val="single" w:sz="4" w:space="0" w:color="auto"/>
            </w:tcBorders>
            <w:vAlign w:val="center"/>
          </w:tcPr>
          <w:p w14:paraId="524E113D"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14:paraId="17F83AF6" w14:textId="77777777" w:rsidR="0002229B" w:rsidRPr="000C4E6C" w:rsidRDefault="0002229B" w:rsidP="0002229B">
            <w:pPr>
              <w:spacing w:before="40" w:after="40" w:line="240" w:lineRule="auto"/>
              <w:jc w:val="center"/>
              <w:rPr>
                <w:rFonts w:eastAsia="Calibri" w:cstheme="minorHAnsi"/>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14:paraId="28FAB521"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(0.9)</w:t>
            </w:r>
          </w:p>
        </w:tc>
        <w:tc>
          <w:tcPr>
            <w:tcW w:w="1417" w:type="dxa"/>
            <w:tcBorders>
              <w:top w:val="single" w:sz="4" w:space="0" w:color="auto"/>
              <w:left w:val="single" w:sz="4" w:space="0" w:color="auto"/>
              <w:bottom w:val="single" w:sz="4" w:space="0" w:color="auto"/>
              <w:right w:val="single" w:sz="4" w:space="0" w:color="auto"/>
            </w:tcBorders>
            <w:vAlign w:val="center"/>
          </w:tcPr>
          <w:p w14:paraId="35036A96"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14:paraId="5F1CCDCA"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(1.9)</w:t>
            </w:r>
          </w:p>
        </w:tc>
      </w:tr>
      <w:tr w:rsidR="00246D10" w:rsidRPr="000C4E6C" w14:paraId="519A35D6"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4C56F14" w14:textId="77777777" w:rsidR="00246D10" w:rsidRPr="000C4E6C" w:rsidRDefault="00246D10" w:rsidP="00246D10">
            <w:pPr>
              <w:spacing w:after="0" w:line="240" w:lineRule="auto"/>
              <w:rPr>
                <w:rFonts w:eastAsia="Times New Roman" w:cstheme="minorHAnsi"/>
                <w:sz w:val="18"/>
                <w:szCs w:val="18"/>
                <w:lang w:val="en-US"/>
              </w:rPr>
            </w:pPr>
            <w:r w:rsidRPr="000C4E6C">
              <w:rPr>
                <w:rFonts w:eastAsia="Times New Roman" w:cstheme="minorHAnsi"/>
                <w:sz w:val="18"/>
                <w:szCs w:val="18"/>
                <w:lang w:val="en-US"/>
              </w:rPr>
              <w:t>Acne</w:t>
            </w:r>
          </w:p>
        </w:tc>
        <w:tc>
          <w:tcPr>
            <w:tcW w:w="1418" w:type="dxa"/>
            <w:tcBorders>
              <w:top w:val="single" w:sz="4" w:space="0" w:color="auto"/>
              <w:left w:val="single" w:sz="4" w:space="0" w:color="auto"/>
              <w:bottom w:val="single" w:sz="4" w:space="0" w:color="auto"/>
              <w:right w:val="single" w:sz="4" w:space="0" w:color="auto"/>
            </w:tcBorders>
            <w:vAlign w:val="center"/>
          </w:tcPr>
          <w:p w14:paraId="65431C38" w14:textId="525AE9CC" w:rsidR="00246D10" w:rsidRPr="000C4E6C" w:rsidRDefault="00246D10" w:rsidP="00246D10">
            <w:pPr>
              <w:spacing w:before="40" w:after="40" w:line="240" w:lineRule="auto"/>
              <w:jc w:val="center"/>
              <w:rPr>
                <w:rFonts w:eastAsia="Calibri" w:cstheme="minorHAnsi"/>
                <w:color w:val="000000"/>
                <w:sz w:val="18"/>
                <w:szCs w:val="18"/>
                <w:lang w:val="en-US"/>
              </w:rPr>
            </w:pPr>
            <w:r w:rsidRPr="00246D10">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12" w:space="0" w:color="auto"/>
            </w:tcBorders>
            <w:vAlign w:val="center"/>
          </w:tcPr>
          <w:p w14:paraId="5A9E74E5" w14:textId="04C81E70" w:rsidR="00246D10" w:rsidRPr="000C4E6C" w:rsidRDefault="00246D10" w:rsidP="00246D10">
            <w:pPr>
              <w:spacing w:before="40" w:after="40" w:line="240" w:lineRule="auto"/>
              <w:jc w:val="center"/>
              <w:rPr>
                <w:rFonts w:eastAsia="Calibri" w:cstheme="minorHAnsi"/>
                <w:color w:val="000000"/>
                <w:sz w:val="18"/>
                <w:szCs w:val="18"/>
                <w:lang w:val="en-US"/>
              </w:rPr>
            </w:pPr>
            <w:r w:rsidRPr="00246D10">
              <w:rPr>
                <w:rFonts w:eastAsia="Calibri" w:cstheme="minorHAnsi"/>
                <w:color w:val="000000"/>
                <w:sz w:val="18"/>
                <w:szCs w:val="18"/>
                <w:lang w:val="en-US"/>
              </w:rPr>
              <w:t>8 (0.8)</w:t>
            </w:r>
          </w:p>
        </w:tc>
        <w:tc>
          <w:tcPr>
            <w:tcW w:w="1560" w:type="dxa"/>
            <w:tcBorders>
              <w:top w:val="single" w:sz="4" w:space="0" w:color="auto"/>
              <w:left w:val="single" w:sz="12" w:space="0" w:color="auto"/>
              <w:bottom w:val="single" w:sz="4" w:space="0" w:color="auto"/>
              <w:right w:val="single" w:sz="4" w:space="0" w:color="auto"/>
            </w:tcBorders>
            <w:vAlign w:val="center"/>
          </w:tcPr>
          <w:p w14:paraId="0BF76C42" w14:textId="77777777" w:rsidR="00246D10" w:rsidRPr="000C4E6C" w:rsidRDefault="00246D10" w:rsidP="00246D10">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2E00C524" w14:textId="77777777" w:rsidR="00246D10" w:rsidRPr="000C4E6C" w:rsidRDefault="00246D10" w:rsidP="00246D10">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(0.2)</w:t>
            </w:r>
          </w:p>
        </w:tc>
        <w:tc>
          <w:tcPr>
            <w:tcW w:w="1418" w:type="dxa"/>
            <w:tcBorders>
              <w:top w:val="single" w:sz="4" w:space="0" w:color="auto"/>
              <w:left w:val="single" w:sz="4" w:space="0" w:color="auto"/>
              <w:bottom w:val="single" w:sz="4" w:space="0" w:color="auto"/>
              <w:right w:val="single" w:sz="4" w:space="0" w:color="auto"/>
            </w:tcBorders>
            <w:vAlign w:val="center"/>
          </w:tcPr>
          <w:p w14:paraId="6E97D383" w14:textId="77777777" w:rsidR="00246D10" w:rsidRPr="000C4E6C" w:rsidRDefault="00246D10" w:rsidP="00246D10">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(1.0)</w:t>
            </w:r>
          </w:p>
        </w:tc>
      </w:tr>
      <w:tr w:rsidR="00246D10" w:rsidRPr="000C4E6C" w14:paraId="583A65D2"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410264A" w14:textId="4C4DB540" w:rsidR="00246D10" w:rsidRPr="000C4E6C" w:rsidRDefault="00246D10" w:rsidP="00246D10">
            <w:pPr>
              <w:spacing w:after="0" w:line="240" w:lineRule="auto"/>
              <w:rPr>
                <w:rFonts w:eastAsia="Times New Roman" w:cstheme="minorHAnsi"/>
                <w:sz w:val="18"/>
                <w:szCs w:val="18"/>
                <w:lang w:val="en-US"/>
              </w:rPr>
            </w:pPr>
            <w:proofErr w:type="spellStart"/>
            <w:r w:rsidRPr="00246D10">
              <w:rPr>
                <w:rFonts w:eastAsia="Times New Roman" w:cstheme="minorHAnsi"/>
                <w:sz w:val="18"/>
                <w:szCs w:val="18"/>
                <w:lang w:val="en-US"/>
              </w:rPr>
              <w:t>Rash</w:t>
            </w:r>
            <w:r w:rsidRPr="009300F5">
              <w:rPr>
                <w:rFonts w:eastAsia="Times New Roman" w:cstheme="minorHAnsi"/>
                <w:sz w:val="18"/>
                <w:szCs w:val="18"/>
                <w:vertAlign w:val="superscript"/>
                <w:lang w:val="en-US"/>
              </w:rPr>
              <w:t>c</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A99ACAB" w14:textId="17D6CA2C"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28 (2.6)</w:t>
            </w:r>
          </w:p>
        </w:tc>
        <w:tc>
          <w:tcPr>
            <w:tcW w:w="1417" w:type="dxa"/>
            <w:tcBorders>
              <w:top w:val="single" w:sz="4" w:space="0" w:color="auto"/>
              <w:left w:val="single" w:sz="4" w:space="0" w:color="auto"/>
              <w:bottom w:val="single" w:sz="4" w:space="0" w:color="auto"/>
              <w:right w:val="single" w:sz="12" w:space="0" w:color="auto"/>
            </w:tcBorders>
            <w:vAlign w:val="center"/>
          </w:tcPr>
          <w:p w14:paraId="1481D00D" w14:textId="2616B9FA"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18 (1.8)</w:t>
            </w:r>
          </w:p>
        </w:tc>
        <w:tc>
          <w:tcPr>
            <w:tcW w:w="1560" w:type="dxa"/>
            <w:tcBorders>
              <w:top w:val="single" w:sz="4" w:space="0" w:color="auto"/>
              <w:left w:val="single" w:sz="12" w:space="0" w:color="auto"/>
              <w:bottom w:val="single" w:sz="4" w:space="0" w:color="auto"/>
              <w:right w:val="single" w:sz="4" w:space="0" w:color="auto"/>
            </w:tcBorders>
            <w:vAlign w:val="center"/>
          </w:tcPr>
          <w:p w14:paraId="5317317A" w14:textId="5C2F3CA7"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15 (2.7)</w:t>
            </w:r>
          </w:p>
        </w:tc>
        <w:tc>
          <w:tcPr>
            <w:tcW w:w="1417" w:type="dxa"/>
            <w:tcBorders>
              <w:top w:val="single" w:sz="4" w:space="0" w:color="auto"/>
              <w:left w:val="single" w:sz="4" w:space="0" w:color="auto"/>
              <w:bottom w:val="single" w:sz="4" w:space="0" w:color="auto"/>
              <w:right w:val="single" w:sz="4" w:space="0" w:color="auto"/>
            </w:tcBorders>
            <w:vAlign w:val="center"/>
          </w:tcPr>
          <w:p w14:paraId="3BD1FC59" w14:textId="1B36BBCC"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9 (1.9)</w:t>
            </w:r>
          </w:p>
        </w:tc>
        <w:tc>
          <w:tcPr>
            <w:tcW w:w="1418" w:type="dxa"/>
            <w:tcBorders>
              <w:top w:val="single" w:sz="4" w:space="0" w:color="auto"/>
              <w:left w:val="single" w:sz="4" w:space="0" w:color="auto"/>
              <w:bottom w:val="single" w:sz="4" w:space="0" w:color="auto"/>
              <w:right w:val="single" w:sz="4" w:space="0" w:color="auto"/>
            </w:tcBorders>
            <w:vAlign w:val="center"/>
          </w:tcPr>
          <w:p w14:paraId="01CAB2CF" w14:textId="1DCF2E85"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9 (1.9)</w:t>
            </w:r>
          </w:p>
        </w:tc>
      </w:tr>
      <w:tr w:rsidR="00246D10" w:rsidRPr="000C4E6C" w14:paraId="6CF8F60C"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609341F" w14:textId="604563B3" w:rsidR="00246D10" w:rsidRPr="00246D10" w:rsidRDefault="00246D10" w:rsidP="00246D10">
            <w:pPr>
              <w:spacing w:after="0" w:line="240" w:lineRule="auto"/>
              <w:rPr>
                <w:rFonts w:eastAsia="Times New Roman" w:cstheme="minorHAnsi"/>
                <w:sz w:val="18"/>
                <w:szCs w:val="18"/>
                <w:lang w:val="en-US"/>
              </w:rPr>
            </w:pPr>
            <w:r w:rsidRPr="00246D10">
              <w:rPr>
                <w:rFonts w:eastAsia="Times New Roman" w:cstheme="minorHAnsi"/>
                <w:sz w:val="18"/>
                <w:szCs w:val="18"/>
                <w:lang w:val="en-US"/>
              </w:rPr>
              <w:t>Swelling of the face</w:t>
            </w:r>
          </w:p>
        </w:tc>
        <w:tc>
          <w:tcPr>
            <w:tcW w:w="1418" w:type="dxa"/>
            <w:tcBorders>
              <w:top w:val="single" w:sz="4" w:space="0" w:color="auto"/>
              <w:left w:val="single" w:sz="4" w:space="0" w:color="auto"/>
              <w:bottom w:val="single" w:sz="4" w:space="0" w:color="auto"/>
              <w:right w:val="single" w:sz="4" w:space="0" w:color="auto"/>
            </w:tcBorders>
            <w:vAlign w:val="center"/>
          </w:tcPr>
          <w:p w14:paraId="2A213FE3" w14:textId="610EA1FE"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1 (0.1)</w:t>
            </w:r>
          </w:p>
        </w:tc>
        <w:tc>
          <w:tcPr>
            <w:tcW w:w="1417" w:type="dxa"/>
            <w:tcBorders>
              <w:top w:val="single" w:sz="4" w:space="0" w:color="auto"/>
              <w:left w:val="single" w:sz="4" w:space="0" w:color="auto"/>
              <w:bottom w:val="single" w:sz="4" w:space="0" w:color="auto"/>
              <w:right w:val="single" w:sz="12" w:space="0" w:color="auto"/>
            </w:tcBorders>
            <w:vAlign w:val="center"/>
          </w:tcPr>
          <w:p w14:paraId="589CAAE6" w14:textId="0969708F"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4 (0.4)</w:t>
            </w:r>
          </w:p>
        </w:tc>
        <w:tc>
          <w:tcPr>
            <w:tcW w:w="1560" w:type="dxa"/>
            <w:tcBorders>
              <w:top w:val="single" w:sz="4" w:space="0" w:color="auto"/>
              <w:left w:val="single" w:sz="12" w:space="0" w:color="auto"/>
              <w:bottom w:val="single" w:sz="4" w:space="0" w:color="auto"/>
              <w:right w:val="single" w:sz="4" w:space="0" w:color="auto"/>
            </w:tcBorders>
            <w:vAlign w:val="center"/>
          </w:tcPr>
          <w:p w14:paraId="0D5525AE" w14:textId="2D0FC4EA"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16933BD0" w14:textId="510209DE"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14:paraId="296A4580" w14:textId="564160B7"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1 (0.2)</w:t>
            </w:r>
          </w:p>
        </w:tc>
      </w:tr>
      <w:tr w:rsidR="00246D10" w:rsidRPr="000C4E6C" w14:paraId="6CCF2393"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01BA8E8" w14:textId="252828DE" w:rsidR="00246D10" w:rsidRPr="00246D10" w:rsidRDefault="00246D10" w:rsidP="00246D10">
            <w:pPr>
              <w:spacing w:after="0" w:line="240" w:lineRule="auto"/>
              <w:rPr>
                <w:rFonts w:eastAsia="Times New Roman" w:cstheme="minorHAnsi"/>
                <w:sz w:val="18"/>
                <w:szCs w:val="18"/>
                <w:lang w:val="en-US"/>
              </w:rPr>
            </w:pPr>
            <w:proofErr w:type="spellStart"/>
            <w:r w:rsidRPr="00246D10">
              <w:rPr>
                <w:rFonts w:eastAsia="Times New Roman" w:cstheme="minorHAnsi"/>
                <w:sz w:val="18"/>
                <w:szCs w:val="18"/>
                <w:lang w:val="en-US"/>
              </w:rPr>
              <w:t>Urticaria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02B7C9D" w14:textId="10B4A511"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1 (0.1)</w:t>
            </w:r>
          </w:p>
        </w:tc>
        <w:tc>
          <w:tcPr>
            <w:tcW w:w="1417" w:type="dxa"/>
            <w:tcBorders>
              <w:top w:val="single" w:sz="4" w:space="0" w:color="auto"/>
              <w:left w:val="single" w:sz="4" w:space="0" w:color="auto"/>
              <w:bottom w:val="single" w:sz="4" w:space="0" w:color="auto"/>
              <w:right w:val="single" w:sz="12" w:space="0" w:color="auto"/>
            </w:tcBorders>
            <w:vAlign w:val="center"/>
          </w:tcPr>
          <w:p w14:paraId="6F584C94" w14:textId="7D2D3D89"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2 (0.2)</w:t>
            </w:r>
          </w:p>
        </w:tc>
        <w:tc>
          <w:tcPr>
            <w:tcW w:w="1560" w:type="dxa"/>
            <w:tcBorders>
              <w:top w:val="single" w:sz="4" w:space="0" w:color="auto"/>
              <w:left w:val="single" w:sz="12" w:space="0" w:color="auto"/>
              <w:bottom w:val="single" w:sz="4" w:space="0" w:color="auto"/>
              <w:right w:val="single" w:sz="4" w:space="0" w:color="auto"/>
            </w:tcBorders>
            <w:vAlign w:val="center"/>
          </w:tcPr>
          <w:p w14:paraId="297EB6CA" w14:textId="4B9EB218"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7D3721F2" w14:textId="22233057"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2 (0.4)</w:t>
            </w:r>
          </w:p>
        </w:tc>
        <w:tc>
          <w:tcPr>
            <w:tcW w:w="1418" w:type="dxa"/>
            <w:tcBorders>
              <w:top w:val="single" w:sz="4" w:space="0" w:color="auto"/>
              <w:left w:val="single" w:sz="4" w:space="0" w:color="auto"/>
              <w:bottom w:val="single" w:sz="4" w:space="0" w:color="auto"/>
              <w:right w:val="single" w:sz="4" w:space="0" w:color="auto"/>
            </w:tcBorders>
            <w:vAlign w:val="center"/>
          </w:tcPr>
          <w:p w14:paraId="471E3474" w14:textId="3B02497B"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2 (0.4)</w:t>
            </w:r>
          </w:p>
        </w:tc>
      </w:tr>
      <w:tr w:rsidR="0002229B" w:rsidRPr="000C4E6C" w14:paraId="4E26361E" w14:textId="77777777"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14:paraId="53611317" w14:textId="77777777" w:rsidR="0002229B" w:rsidRPr="000C4E6C" w:rsidRDefault="0002229B" w:rsidP="0002229B">
            <w:pPr>
              <w:spacing w:after="0" w:line="240" w:lineRule="auto"/>
              <w:rPr>
                <w:rFonts w:eastAsia="Times New Roman" w:cstheme="minorHAnsi"/>
                <w:b/>
                <w:sz w:val="18"/>
                <w:szCs w:val="18"/>
                <w:lang w:val="en-US"/>
              </w:rPr>
            </w:pPr>
            <w:r w:rsidRPr="000C4E6C">
              <w:rPr>
                <w:rFonts w:eastAsia="Times New Roman" w:cstheme="minorHAnsi"/>
                <w:b/>
                <w:sz w:val="18"/>
                <w:szCs w:val="18"/>
                <w:lang w:val="en-US"/>
              </w:rPr>
              <w:t>Vascular disorders</w:t>
            </w:r>
          </w:p>
        </w:tc>
      </w:tr>
      <w:tr w:rsidR="0002229B" w:rsidRPr="000C4E6C" w14:paraId="17450662" w14:textId="77777777"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AF6F1CB" w14:textId="77777777" w:rsidR="0002229B" w:rsidRPr="000C4E6C" w:rsidRDefault="0002229B" w:rsidP="0002229B">
            <w:pPr>
              <w:spacing w:after="0" w:line="240" w:lineRule="auto"/>
              <w:rPr>
                <w:rFonts w:eastAsia="Times New Roman" w:cstheme="minorHAnsi"/>
                <w:sz w:val="18"/>
                <w:szCs w:val="18"/>
                <w:lang w:val="en-US"/>
              </w:rPr>
            </w:pPr>
            <w:r w:rsidRPr="000C4E6C">
              <w:rPr>
                <w:rFonts w:eastAsia="Times New Roman" w:cstheme="minorHAnsi"/>
                <w:sz w:val="18"/>
                <w:szCs w:val="18"/>
                <w:lang w:val="en-US"/>
              </w:rPr>
              <w:t>Hypertension</w:t>
            </w:r>
          </w:p>
        </w:tc>
        <w:tc>
          <w:tcPr>
            <w:tcW w:w="1418" w:type="dxa"/>
            <w:tcBorders>
              <w:top w:val="single" w:sz="4" w:space="0" w:color="auto"/>
              <w:left w:val="single" w:sz="4" w:space="0" w:color="auto"/>
              <w:bottom w:val="single" w:sz="4" w:space="0" w:color="auto"/>
              <w:right w:val="single" w:sz="4" w:space="0" w:color="auto"/>
            </w:tcBorders>
            <w:vAlign w:val="center"/>
          </w:tcPr>
          <w:p w14:paraId="5EA6CADE"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17 (1.6)</w:t>
            </w:r>
          </w:p>
        </w:tc>
        <w:tc>
          <w:tcPr>
            <w:tcW w:w="1417" w:type="dxa"/>
            <w:tcBorders>
              <w:top w:val="single" w:sz="4" w:space="0" w:color="auto"/>
              <w:left w:val="single" w:sz="4" w:space="0" w:color="auto"/>
              <w:bottom w:val="single" w:sz="4" w:space="0" w:color="auto"/>
              <w:right w:val="single" w:sz="12" w:space="0" w:color="auto"/>
            </w:tcBorders>
            <w:vAlign w:val="center"/>
          </w:tcPr>
          <w:p w14:paraId="3FC1837C"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21 (2.1)</w:t>
            </w:r>
          </w:p>
        </w:tc>
        <w:tc>
          <w:tcPr>
            <w:tcW w:w="1560" w:type="dxa"/>
            <w:tcBorders>
              <w:top w:val="single" w:sz="4" w:space="0" w:color="auto"/>
              <w:left w:val="single" w:sz="12" w:space="0" w:color="auto"/>
              <w:bottom w:val="single" w:sz="4" w:space="0" w:color="auto"/>
              <w:right w:val="single" w:sz="4" w:space="0" w:color="auto"/>
            </w:tcBorders>
            <w:vAlign w:val="center"/>
          </w:tcPr>
          <w:p w14:paraId="7DDE07E8"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14:paraId="49E243A5"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(3.3)</w:t>
            </w:r>
          </w:p>
        </w:tc>
        <w:tc>
          <w:tcPr>
            <w:tcW w:w="1418" w:type="dxa"/>
            <w:tcBorders>
              <w:top w:val="single" w:sz="4" w:space="0" w:color="auto"/>
              <w:left w:val="single" w:sz="4" w:space="0" w:color="auto"/>
              <w:bottom w:val="single" w:sz="4" w:space="0" w:color="auto"/>
              <w:right w:val="single" w:sz="4" w:space="0" w:color="auto"/>
            </w:tcBorders>
            <w:vAlign w:val="center"/>
          </w:tcPr>
          <w:p w14:paraId="0849EE3B" w14:textId="77777777" w:rsidR="0002229B" w:rsidRPr="000C4E6C" w:rsidRDefault="0002229B" w:rsidP="0002229B">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15 (3.1)</w:t>
            </w:r>
          </w:p>
        </w:tc>
      </w:tr>
      <w:tr w:rsidR="00246D10" w:rsidRPr="000C4E6C" w14:paraId="4AAF740A" w14:textId="77777777" w:rsidTr="003541F1">
        <w:trPr>
          <w:trHeight w:val="43"/>
        </w:trPr>
        <w:tc>
          <w:tcPr>
            <w:tcW w:w="2268" w:type="dxa"/>
            <w:tcBorders>
              <w:top w:val="single" w:sz="4" w:space="0" w:color="auto"/>
              <w:left w:val="single" w:sz="4" w:space="0" w:color="auto"/>
              <w:bottom w:val="single" w:sz="4" w:space="0" w:color="auto"/>
              <w:right w:val="single" w:sz="4" w:space="0" w:color="auto"/>
            </w:tcBorders>
          </w:tcPr>
          <w:p w14:paraId="4C01881C" w14:textId="5B75CB3E" w:rsidR="00246D10" w:rsidRPr="000C4E6C" w:rsidRDefault="00246D10" w:rsidP="00246D10">
            <w:pPr>
              <w:spacing w:after="0" w:line="240" w:lineRule="auto"/>
              <w:rPr>
                <w:rFonts w:eastAsia="Times New Roman" w:cstheme="minorHAnsi"/>
                <w:sz w:val="18"/>
                <w:szCs w:val="18"/>
                <w:lang w:val="en-US"/>
              </w:rPr>
            </w:pPr>
            <w:r w:rsidRPr="00246D10">
              <w:rPr>
                <w:rFonts w:eastAsia="Times New Roman" w:cstheme="minorHAnsi"/>
                <w:sz w:val="18"/>
                <w:szCs w:val="18"/>
                <w:lang w:val="en-US"/>
              </w:rPr>
              <w:t>Deep Vein Thrombosis</w:t>
            </w:r>
          </w:p>
        </w:tc>
        <w:tc>
          <w:tcPr>
            <w:tcW w:w="1418" w:type="dxa"/>
            <w:tcBorders>
              <w:top w:val="single" w:sz="4" w:space="0" w:color="auto"/>
              <w:left w:val="single" w:sz="4" w:space="0" w:color="auto"/>
              <w:bottom w:val="single" w:sz="4" w:space="0" w:color="auto"/>
              <w:right w:val="single" w:sz="4" w:space="0" w:color="auto"/>
            </w:tcBorders>
          </w:tcPr>
          <w:p w14:paraId="71CF7CC6" w14:textId="5102FF16"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c>
          <w:tcPr>
            <w:tcW w:w="1417" w:type="dxa"/>
            <w:tcBorders>
              <w:top w:val="single" w:sz="4" w:space="0" w:color="auto"/>
              <w:left w:val="single" w:sz="4" w:space="0" w:color="auto"/>
              <w:bottom w:val="single" w:sz="4" w:space="0" w:color="auto"/>
              <w:right w:val="single" w:sz="12" w:space="0" w:color="auto"/>
            </w:tcBorders>
          </w:tcPr>
          <w:p w14:paraId="3FF2B9A2" w14:textId="681CC570"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2 (0.2)</w:t>
            </w:r>
          </w:p>
        </w:tc>
        <w:tc>
          <w:tcPr>
            <w:tcW w:w="1560" w:type="dxa"/>
            <w:tcBorders>
              <w:top w:val="single" w:sz="4" w:space="0" w:color="auto"/>
              <w:left w:val="single" w:sz="12" w:space="0" w:color="auto"/>
              <w:bottom w:val="single" w:sz="4" w:space="0" w:color="auto"/>
              <w:right w:val="single" w:sz="4" w:space="0" w:color="auto"/>
            </w:tcBorders>
          </w:tcPr>
          <w:p w14:paraId="5DC83F83" w14:textId="53C47F06"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tcPr>
          <w:p w14:paraId="66395F40" w14:textId="3449DB61"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tcPr>
          <w:p w14:paraId="42081236" w14:textId="1071D5AF" w:rsidR="00246D10" w:rsidRPr="00246D10" w:rsidRDefault="00246D10" w:rsidP="00246D10">
            <w:pPr>
              <w:spacing w:before="40" w:after="40" w:line="240" w:lineRule="auto"/>
              <w:jc w:val="center"/>
              <w:rPr>
                <w:rFonts w:eastAsia="Times New Roman" w:cstheme="minorHAnsi"/>
                <w:sz w:val="18"/>
                <w:szCs w:val="18"/>
                <w:lang w:val="en-US"/>
              </w:rPr>
            </w:pPr>
            <w:r w:rsidRPr="00246D10">
              <w:rPr>
                <w:rFonts w:eastAsia="Times New Roman" w:cstheme="minorHAnsi"/>
                <w:sz w:val="18"/>
                <w:szCs w:val="18"/>
                <w:lang w:val="en-US"/>
              </w:rPr>
              <w:t>0</w:t>
            </w:r>
          </w:p>
        </w:tc>
      </w:tr>
    </w:tbl>
    <w:p w14:paraId="123E5B9B" w14:textId="77777777" w:rsidR="003541F1" w:rsidRPr="00490321" w:rsidRDefault="003541F1" w:rsidP="0083768C">
      <w:pPr>
        <w:numPr>
          <w:ilvl w:val="0"/>
          <w:numId w:val="18"/>
        </w:numPr>
        <w:spacing w:after="0" w:line="240" w:lineRule="auto"/>
        <w:contextualSpacing/>
        <w:rPr>
          <w:rFonts w:ascii="Calibri" w:eastAsia="Calibri" w:hAnsi="Calibri" w:cs="Arial"/>
          <w:sz w:val="16"/>
        </w:rPr>
      </w:pPr>
      <w:bookmarkStart w:id="68" w:name="_Hlk59526848"/>
      <w:r w:rsidRPr="00490321">
        <w:rPr>
          <w:rFonts w:ascii="Calibri" w:eastAsia="Calibri" w:hAnsi="Calibri" w:cs="Arial"/>
          <w:sz w:val="16"/>
        </w:rPr>
        <w:t>Includes abdominal pain, abdominal pain lower, abdominal pain upper.</w:t>
      </w:r>
    </w:p>
    <w:p w14:paraId="7D4D0699" w14:textId="77777777" w:rsidR="003541F1" w:rsidRDefault="003541F1" w:rsidP="0083768C">
      <w:pPr>
        <w:numPr>
          <w:ilvl w:val="0"/>
          <w:numId w:val="18"/>
        </w:numPr>
        <w:spacing w:after="0" w:line="240" w:lineRule="auto"/>
        <w:contextualSpacing/>
        <w:rPr>
          <w:rFonts w:ascii="Calibri" w:eastAsia="Calibri" w:hAnsi="Calibri" w:cs="Arial"/>
          <w:sz w:val="16"/>
        </w:rPr>
      </w:pPr>
      <w:r w:rsidRPr="00A66D1C">
        <w:rPr>
          <w:rFonts w:ascii="Calibri" w:eastAsia="Calibri" w:hAnsi="Calibri" w:cs="Arial"/>
          <w:sz w:val="16"/>
        </w:rPr>
        <w:t xml:space="preserve">denominator adjusted because event is specific to males: N=93 (placebo), N=93 (OLUMIANT 2 mg), N=88 (OLUMIANT 4 mg) </w:t>
      </w:r>
    </w:p>
    <w:p w14:paraId="0F030BC1" w14:textId="77777777" w:rsidR="003541F1" w:rsidRPr="00A66D1C" w:rsidRDefault="003541F1" w:rsidP="0083768C">
      <w:pPr>
        <w:numPr>
          <w:ilvl w:val="0"/>
          <w:numId w:val="18"/>
        </w:numPr>
        <w:spacing w:after="0" w:line="240" w:lineRule="auto"/>
        <w:contextualSpacing/>
        <w:rPr>
          <w:rFonts w:ascii="Calibri" w:eastAsia="Calibri" w:hAnsi="Calibri" w:cs="Arial"/>
          <w:sz w:val="16"/>
        </w:rPr>
      </w:pPr>
      <w:r w:rsidRPr="00A66D1C">
        <w:rPr>
          <w:rFonts w:ascii="Calibri" w:eastAsia="Calibri" w:hAnsi="Calibri" w:cs="Arial"/>
          <w:sz w:val="16"/>
        </w:rPr>
        <w:t xml:space="preserve"> </w:t>
      </w:r>
      <w:r>
        <w:rPr>
          <w:rFonts w:ascii="Calibri" w:eastAsia="Calibri" w:hAnsi="Calibri" w:cs="Arial"/>
          <w:sz w:val="16"/>
        </w:rPr>
        <w:t xml:space="preserve">Includes rash, dermatitis, dermatitis contact, eczema, dermatitis allergic, rash </w:t>
      </w:r>
      <w:proofErr w:type="spellStart"/>
      <w:r>
        <w:rPr>
          <w:rFonts w:ascii="Calibri" w:eastAsia="Calibri" w:hAnsi="Calibri" w:cs="Arial"/>
          <w:sz w:val="16"/>
        </w:rPr>
        <w:t>maculo-papular</w:t>
      </w:r>
      <w:proofErr w:type="spellEnd"/>
      <w:r>
        <w:rPr>
          <w:rFonts w:ascii="Calibri" w:eastAsia="Calibri" w:hAnsi="Calibri" w:cs="Arial"/>
          <w:sz w:val="16"/>
        </w:rPr>
        <w:t>, rash pruritic, rash pustular, drug eruption, rash erythematous, rash macular</w:t>
      </w:r>
    </w:p>
    <w:bookmarkEnd w:id="68"/>
    <w:p w14:paraId="39997AD6" w14:textId="5B543B5B" w:rsidR="00A66D1C" w:rsidRDefault="00A66D1C" w:rsidP="0083768C">
      <w:pPr>
        <w:spacing w:after="0" w:line="280" w:lineRule="exact"/>
        <w:rPr>
          <w:rFonts w:ascii="Arial" w:eastAsia="Times New Roman" w:hAnsi="Arial" w:cs="Times New Roman"/>
          <w:szCs w:val="24"/>
        </w:rPr>
      </w:pPr>
    </w:p>
    <w:p w14:paraId="500A26F4" w14:textId="77777777" w:rsidR="00A66D1C" w:rsidRPr="0083768C" w:rsidRDefault="003179CC" w:rsidP="0083768C">
      <w:pPr>
        <w:pageBreakBefore/>
        <w:rPr>
          <w:b/>
        </w:rPr>
      </w:pPr>
      <w:r w:rsidRPr="0083768C">
        <w:rPr>
          <w:b/>
        </w:rPr>
        <w:lastRenderedPageBreak/>
        <w:t>Table 3</w:t>
      </w:r>
      <w:r w:rsidR="00A66D1C" w:rsidRPr="0083768C">
        <w:rPr>
          <w:b/>
        </w:rPr>
        <w:t xml:space="preserve"> Summary of Adverse Events reported by </w:t>
      </w:r>
      <w:r w:rsidR="00A66D1C" w:rsidRPr="0083768C">
        <w:rPr>
          <w:rFonts w:cs="Arial"/>
          <w:b/>
        </w:rPr>
        <w:t>≥</w:t>
      </w:r>
      <w:r w:rsidR="00A66D1C" w:rsidRPr="0083768C">
        <w:rPr>
          <w:b/>
        </w:rPr>
        <w:t>1% of patients treated with OLUMIANT (all causalities) – double-blind, active-controlled study up to 24 weeks (RA-BEGIN).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1417"/>
        <w:gridCol w:w="2297"/>
      </w:tblGrid>
      <w:tr w:rsidR="00A66D1C" w:rsidRPr="000C4E6C" w:rsidDel="00DB33A8" w14:paraId="16DF8020" w14:textId="77777777" w:rsidTr="0083768C">
        <w:trPr>
          <w:tblHeader/>
        </w:trPr>
        <w:tc>
          <w:tcPr>
            <w:tcW w:w="2268" w:type="dxa"/>
            <w:vMerge w:val="restart"/>
            <w:tcBorders>
              <w:right w:val="single" w:sz="4" w:space="0" w:color="auto"/>
            </w:tcBorders>
            <w:vAlign w:val="bottom"/>
          </w:tcPr>
          <w:p w14:paraId="016FFCE3" w14:textId="77777777" w:rsidR="00A66D1C" w:rsidRPr="000C4E6C" w:rsidDel="00DB33A8" w:rsidRDefault="00A66D1C" w:rsidP="0083768C">
            <w:pPr>
              <w:spacing w:after="0" w:line="720" w:lineRule="auto"/>
              <w:rPr>
                <w:rFonts w:eastAsia="Times New Roman" w:cstheme="minorHAnsi"/>
                <w:b/>
                <w:sz w:val="18"/>
                <w:szCs w:val="18"/>
                <w:lang w:val="en-US"/>
              </w:rPr>
            </w:pPr>
            <w:r w:rsidRPr="000C4E6C">
              <w:rPr>
                <w:rFonts w:eastAsia="Times New Roman" w:cstheme="minorHAnsi"/>
                <w:b/>
                <w:sz w:val="18"/>
                <w:szCs w:val="18"/>
                <w:lang w:val="en-US"/>
              </w:rPr>
              <w:t>Events</w:t>
            </w:r>
          </w:p>
        </w:tc>
        <w:tc>
          <w:tcPr>
            <w:tcW w:w="5274" w:type="dxa"/>
            <w:gridSpan w:val="3"/>
            <w:tcBorders>
              <w:top w:val="single" w:sz="2" w:space="0" w:color="auto"/>
              <w:left w:val="single" w:sz="4" w:space="0" w:color="auto"/>
              <w:bottom w:val="single" w:sz="2" w:space="0" w:color="auto"/>
              <w:right w:val="single" w:sz="2" w:space="0" w:color="auto"/>
            </w:tcBorders>
            <w:vAlign w:val="bottom"/>
          </w:tcPr>
          <w:p w14:paraId="40453A46"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Trial Evaluating</w:t>
            </w:r>
          </w:p>
          <w:p w14:paraId="3AD976E8"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 4 mg</w:t>
            </w:r>
          </w:p>
          <w:p w14:paraId="43B381AA" w14:textId="77777777" w:rsidR="00A66D1C" w:rsidRPr="000C4E6C"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(1 Trial)</w:t>
            </w:r>
          </w:p>
          <w:p w14:paraId="5882395D" w14:textId="77777777" w:rsidR="00A66D1C" w:rsidRPr="000C4E6C" w:rsidDel="00DB33A8" w:rsidRDefault="00A66D1C" w:rsidP="00A66D1C">
            <w:pPr>
              <w:keepNext/>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(up to 24 weeks)</w:t>
            </w:r>
          </w:p>
        </w:tc>
      </w:tr>
      <w:tr w:rsidR="00A66D1C" w:rsidRPr="000C4E6C" w:rsidDel="00DB33A8" w14:paraId="03FF0043" w14:textId="77777777" w:rsidTr="0083768C">
        <w:trPr>
          <w:tblHeader/>
        </w:trPr>
        <w:tc>
          <w:tcPr>
            <w:tcW w:w="2268" w:type="dxa"/>
            <w:vMerge/>
            <w:tcBorders>
              <w:right w:val="single" w:sz="4" w:space="0" w:color="auto"/>
            </w:tcBorders>
            <w:vAlign w:val="center"/>
          </w:tcPr>
          <w:p w14:paraId="17430F37" w14:textId="77777777" w:rsidR="00A66D1C" w:rsidRPr="000C4E6C" w:rsidDel="00DB33A8" w:rsidRDefault="00A66D1C" w:rsidP="00A66D1C">
            <w:pPr>
              <w:spacing w:after="0" w:line="240" w:lineRule="auto"/>
              <w:rPr>
                <w:rFonts w:eastAsia="Times New Roman" w:cstheme="minorHAnsi"/>
                <w:sz w:val="18"/>
                <w:szCs w:val="18"/>
                <w:lang w:val="en-US"/>
              </w:rPr>
            </w:pPr>
          </w:p>
        </w:tc>
        <w:tc>
          <w:tcPr>
            <w:tcW w:w="1560" w:type="dxa"/>
            <w:tcBorders>
              <w:top w:val="single" w:sz="2" w:space="0" w:color="auto"/>
              <w:left w:val="single" w:sz="4" w:space="0" w:color="auto"/>
            </w:tcBorders>
            <w:vAlign w:val="bottom"/>
          </w:tcPr>
          <w:p w14:paraId="02AB5E51"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Methotrexate</w:t>
            </w:r>
            <w:r w:rsidRPr="000C4E6C">
              <w:rPr>
                <w:rFonts w:eastAsia="Calibri" w:cstheme="minorHAnsi"/>
                <w:b/>
                <w:color w:val="000000"/>
                <w:sz w:val="18"/>
                <w:szCs w:val="18"/>
                <w:lang w:val="en-US"/>
              </w:rPr>
              <w:br/>
              <w:t>n=210</w:t>
            </w:r>
            <w:r w:rsidRPr="000C4E6C">
              <w:rPr>
                <w:rFonts w:eastAsia="Calibri" w:cstheme="minorHAnsi"/>
                <w:b/>
                <w:color w:val="000000"/>
                <w:sz w:val="18"/>
                <w:szCs w:val="18"/>
                <w:lang w:val="en-US"/>
              </w:rPr>
              <w:br/>
              <w:t>(%)</w:t>
            </w:r>
          </w:p>
        </w:tc>
        <w:tc>
          <w:tcPr>
            <w:tcW w:w="1417" w:type="dxa"/>
            <w:tcBorders>
              <w:top w:val="single" w:sz="2" w:space="0" w:color="auto"/>
            </w:tcBorders>
            <w:vAlign w:val="bottom"/>
          </w:tcPr>
          <w:p w14:paraId="034DF8C9"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 4 mg</w:t>
            </w:r>
            <w:r w:rsidRPr="000C4E6C">
              <w:rPr>
                <w:rFonts w:eastAsia="Calibri" w:cstheme="minorHAnsi"/>
                <w:color w:val="000000"/>
                <w:sz w:val="20"/>
                <w:lang w:val="en-US"/>
              </w:rPr>
              <w:br/>
            </w:r>
            <w:r w:rsidRPr="000C4E6C">
              <w:rPr>
                <w:rFonts w:eastAsia="Calibri" w:cstheme="minorHAnsi"/>
                <w:b/>
                <w:color w:val="000000"/>
                <w:sz w:val="18"/>
                <w:szCs w:val="18"/>
                <w:lang w:val="en-US"/>
              </w:rPr>
              <w:t>n=159</w:t>
            </w:r>
            <w:r w:rsidRPr="000C4E6C">
              <w:rPr>
                <w:rFonts w:eastAsia="Calibri" w:cstheme="minorHAnsi"/>
                <w:b/>
                <w:color w:val="000000"/>
                <w:sz w:val="18"/>
                <w:szCs w:val="18"/>
                <w:lang w:val="en-US"/>
              </w:rPr>
              <w:br/>
              <w:t>(%)</w:t>
            </w:r>
          </w:p>
        </w:tc>
        <w:tc>
          <w:tcPr>
            <w:tcW w:w="2297" w:type="dxa"/>
            <w:tcBorders>
              <w:top w:val="single" w:sz="2" w:space="0" w:color="auto"/>
            </w:tcBorders>
            <w:vAlign w:val="bottom"/>
          </w:tcPr>
          <w:p w14:paraId="614DE2B4" w14:textId="77777777" w:rsidR="00A66D1C" w:rsidRPr="000C4E6C" w:rsidDel="00DB33A8" w:rsidRDefault="00A66D1C" w:rsidP="00A66D1C">
            <w:pPr>
              <w:keepNext/>
              <w:keepLines/>
              <w:spacing w:before="40" w:after="40" w:line="240" w:lineRule="auto"/>
              <w:jc w:val="center"/>
              <w:rPr>
                <w:rFonts w:eastAsia="Calibri" w:cstheme="minorHAnsi"/>
                <w:b/>
                <w:color w:val="000000"/>
                <w:sz w:val="18"/>
                <w:szCs w:val="18"/>
                <w:lang w:val="en-US"/>
              </w:rPr>
            </w:pPr>
            <w:r w:rsidRPr="000C4E6C">
              <w:rPr>
                <w:rFonts w:eastAsia="Calibri" w:cstheme="minorHAnsi"/>
                <w:b/>
                <w:color w:val="000000"/>
                <w:sz w:val="18"/>
                <w:szCs w:val="18"/>
                <w:lang w:val="en-US"/>
              </w:rPr>
              <w:t>OLUMIANT</w:t>
            </w:r>
            <w:r w:rsidRPr="000C4E6C">
              <w:rPr>
                <w:rFonts w:eastAsia="Calibri" w:cstheme="minorHAnsi"/>
                <w:b/>
                <w:color w:val="000000"/>
                <w:sz w:val="18"/>
                <w:szCs w:val="18"/>
                <w:lang w:val="en-US"/>
              </w:rPr>
              <w:br/>
              <w:t>4 mg</w:t>
            </w:r>
            <w:r w:rsidRPr="000C4E6C">
              <w:rPr>
                <w:rFonts w:eastAsia="Calibri" w:cstheme="minorHAnsi"/>
                <w:b/>
                <w:color w:val="000000"/>
                <w:sz w:val="18"/>
                <w:szCs w:val="18"/>
                <w:lang w:val="en-US"/>
              </w:rPr>
              <w:br/>
              <w:t>+ methotrexate</w:t>
            </w:r>
            <w:r w:rsidRPr="000C4E6C">
              <w:rPr>
                <w:rFonts w:eastAsia="Calibri" w:cstheme="minorHAnsi"/>
                <w:b/>
                <w:color w:val="000000"/>
                <w:sz w:val="18"/>
                <w:szCs w:val="18"/>
                <w:lang w:val="en-US"/>
              </w:rPr>
              <w:br/>
              <w:t>n=215</w:t>
            </w:r>
            <w:r w:rsidRPr="000C4E6C">
              <w:rPr>
                <w:rFonts w:eastAsia="Calibri" w:cstheme="minorHAnsi"/>
                <w:b/>
                <w:color w:val="000000"/>
                <w:sz w:val="18"/>
                <w:szCs w:val="18"/>
                <w:lang w:val="en-US"/>
              </w:rPr>
              <w:br/>
              <w:t>(%)</w:t>
            </w:r>
          </w:p>
        </w:tc>
      </w:tr>
      <w:tr w:rsidR="00A66D1C" w:rsidRPr="000C4E6C" w:rsidDel="00DB33A8" w14:paraId="371E7ED5" w14:textId="77777777" w:rsidTr="0083768C">
        <w:tc>
          <w:tcPr>
            <w:tcW w:w="7542" w:type="dxa"/>
            <w:gridSpan w:val="4"/>
            <w:vAlign w:val="center"/>
          </w:tcPr>
          <w:p w14:paraId="68B9B340"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Blood and lymphatic system disorders</w:t>
            </w:r>
          </w:p>
        </w:tc>
      </w:tr>
      <w:tr w:rsidR="00A66D1C" w:rsidRPr="000C4E6C" w:rsidDel="00DB33A8" w14:paraId="2F5D4BB2" w14:textId="77777777" w:rsidTr="0083768C">
        <w:tc>
          <w:tcPr>
            <w:tcW w:w="2268" w:type="dxa"/>
            <w:tcBorders>
              <w:right w:val="single" w:sz="4" w:space="0" w:color="auto"/>
            </w:tcBorders>
            <w:vAlign w:val="center"/>
          </w:tcPr>
          <w:p w14:paraId="27F49064" w14:textId="77777777" w:rsidR="00A66D1C" w:rsidRPr="000C4E6C" w:rsidDel="00DB33A8"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Anaemia</w:t>
            </w:r>
            <w:proofErr w:type="spellEnd"/>
          </w:p>
        </w:tc>
        <w:tc>
          <w:tcPr>
            <w:tcW w:w="1560" w:type="dxa"/>
            <w:tcBorders>
              <w:left w:val="single" w:sz="4" w:space="0" w:color="auto"/>
            </w:tcBorders>
            <w:vAlign w:val="center"/>
          </w:tcPr>
          <w:p w14:paraId="6C540C17"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vAlign w:val="center"/>
          </w:tcPr>
          <w:p w14:paraId="6F60BE4C"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vAlign w:val="center"/>
          </w:tcPr>
          <w:p w14:paraId="6D7151D5"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rsidDel="00DB33A8" w14:paraId="30064669" w14:textId="77777777" w:rsidTr="0083768C">
        <w:tc>
          <w:tcPr>
            <w:tcW w:w="2268" w:type="dxa"/>
            <w:tcBorders>
              <w:right w:val="single" w:sz="4" w:space="0" w:color="auto"/>
            </w:tcBorders>
            <w:vAlign w:val="center"/>
          </w:tcPr>
          <w:p w14:paraId="292DB41F"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 xml:space="preserve">Iron deficiency </w:t>
            </w:r>
            <w:proofErr w:type="spellStart"/>
            <w:r w:rsidRPr="000C4E6C">
              <w:rPr>
                <w:rFonts w:eastAsia="Times New Roman" w:cstheme="minorHAnsi"/>
                <w:sz w:val="18"/>
                <w:szCs w:val="18"/>
                <w:lang w:val="en-US"/>
              </w:rPr>
              <w:t>anaemia</w:t>
            </w:r>
            <w:proofErr w:type="spellEnd"/>
          </w:p>
        </w:tc>
        <w:tc>
          <w:tcPr>
            <w:tcW w:w="1560" w:type="dxa"/>
            <w:tcBorders>
              <w:left w:val="single" w:sz="4" w:space="0" w:color="auto"/>
            </w:tcBorders>
            <w:vAlign w:val="center"/>
          </w:tcPr>
          <w:p w14:paraId="5963D58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vAlign w:val="center"/>
          </w:tcPr>
          <w:p w14:paraId="6603E58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vAlign w:val="center"/>
          </w:tcPr>
          <w:p w14:paraId="3E89301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rsidDel="00DB33A8" w14:paraId="3C1C7843" w14:textId="77777777" w:rsidTr="0083768C">
        <w:tc>
          <w:tcPr>
            <w:tcW w:w="2268" w:type="dxa"/>
            <w:tcBorders>
              <w:right w:val="single" w:sz="4" w:space="0" w:color="auto"/>
            </w:tcBorders>
            <w:vAlign w:val="center"/>
          </w:tcPr>
          <w:p w14:paraId="7BC7E72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Thrombocytosis</w:t>
            </w:r>
          </w:p>
        </w:tc>
        <w:tc>
          <w:tcPr>
            <w:tcW w:w="1560" w:type="dxa"/>
            <w:tcBorders>
              <w:left w:val="single" w:sz="4" w:space="0" w:color="auto"/>
            </w:tcBorders>
            <w:vAlign w:val="center"/>
          </w:tcPr>
          <w:p w14:paraId="3EFAFE02"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vAlign w:val="center"/>
          </w:tcPr>
          <w:p w14:paraId="3DEF79E7"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vAlign w:val="center"/>
          </w:tcPr>
          <w:p w14:paraId="27247154"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(0.9)</w:t>
            </w:r>
          </w:p>
        </w:tc>
      </w:tr>
      <w:tr w:rsidR="00A66D1C" w:rsidRPr="000C4E6C" w:rsidDel="00DB33A8" w14:paraId="13F007C3" w14:textId="77777777" w:rsidTr="0083768C">
        <w:tc>
          <w:tcPr>
            <w:tcW w:w="7542" w:type="dxa"/>
            <w:gridSpan w:val="4"/>
            <w:vAlign w:val="center"/>
          </w:tcPr>
          <w:p w14:paraId="2B3E6687"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Cardiac disorders</w:t>
            </w:r>
          </w:p>
        </w:tc>
      </w:tr>
      <w:tr w:rsidR="00A66D1C" w:rsidRPr="000C4E6C" w:rsidDel="00DB33A8" w14:paraId="519205FD" w14:textId="77777777" w:rsidTr="0083768C">
        <w:tc>
          <w:tcPr>
            <w:tcW w:w="2268" w:type="dxa"/>
            <w:tcBorders>
              <w:right w:val="single" w:sz="4" w:space="0" w:color="auto"/>
            </w:tcBorders>
            <w:vAlign w:val="center"/>
          </w:tcPr>
          <w:p w14:paraId="7A667896"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Coronary artery disease</w:t>
            </w:r>
          </w:p>
        </w:tc>
        <w:tc>
          <w:tcPr>
            <w:tcW w:w="1560" w:type="dxa"/>
            <w:tcBorders>
              <w:left w:val="single" w:sz="4" w:space="0" w:color="auto"/>
            </w:tcBorders>
            <w:vAlign w:val="center"/>
          </w:tcPr>
          <w:p w14:paraId="482D0DE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vAlign w:val="center"/>
          </w:tcPr>
          <w:p w14:paraId="037B10B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vAlign w:val="center"/>
          </w:tcPr>
          <w:p w14:paraId="233C0B8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rsidDel="00DB33A8" w14:paraId="1CDD1927" w14:textId="77777777" w:rsidTr="0083768C">
        <w:tc>
          <w:tcPr>
            <w:tcW w:w="7542" w:type="dxa"/>
            <w:gridSpan w:val="4"/>
            <w:vAlign w:val="center"/>
          </w:tcPr>
          <w:p w14:paraId="69FCA89A"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Eye disorders</w:t>
            </w:r>
          </w:p>
        </w:tc>
      </w:tr>
      <w:tr w:rsidR="00A66D1C" w:rsidRPr="000C4E6C" w:rsidDel="00DB33A8" w14:paraId="6E9477ED" w14:textId="77777777" w:rsidTr="0083768C">
        <w:tc>
          <w:tcPr>
            <w:tcW w:w="2268" w:type="dxa"/>
            <w:tcBorders>
              <w:right w:val="single" w:sz="4" w:space="0" w:color="auto"/>
            </w:tcBorders>
            <w:vAlign w:val="center"/>
          </w:tcPr>
          <w:p w14:paraId="691AB4A6"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Vision blurred</w:t>
            </w:r>
          </w:p>
        </w:tc>
        <w:tc>
          <w:tcPr>
            <w:tcW w:w="1560" w:type="dxa"/>
            <w:tcBorders>
              <w:left w:val="single" w:sz="4" w:space="0" w:color="auto"/>
            </w:tcBorders>
            <w:vAlign w:val="center"/>
          </w:tcPr>
          <w:p w14:paraId="40912915"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vAlign w:val="center"/>
          </w:tcPr>
          <w:p w14:paraId="1BE1F03C"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2297" w:type="dxa"/>
            <w:vAlign w:val="center"/>
          </w:tcPr>
          <w:p w14:paraId="45C9ECF6"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rsidDel="00DB33A8" w14:paraId="58E25061" w14:textId="77777777" w:rsidTr="0083768C">
        <w:tc>
          <w:tcPr>
            <w:tcW w:w="2268" w:type="dxa"/>
            <w:tcBorders>
              <w:right w:val="single" w:sz="4" w:space="0" w:color="auto"/>
            </w:tcBorders>
            <w:vAlign w:val="center"/>
          </w:tcPr>
          <w:p w14:paraId="50C9A1C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Cataract</w:t>
            </w:r>
          </w:p>
        </w:tc>
        <w:tc>
          <w:tcPr>
            <w:tcW w:w="1560" w:type="dxa"/>
            <w:tcBorders>
              <w:left w:val="single" w:sz="4" w:space="0" w:color="auto"/>
            </w:tcBorders>
            <w:vAlign w:val="center"/>
          </w:tcPr>
          <w:p w14:paraId="625031AC"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vAlign w:val="center"/>
          </w:tcPr>
          <w:p w14:paraId="398E8048"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vAlign w:val="center"/>
          </w:tcPr>
          <w:p w14:paraId="2ADC1A1B"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rsidDel="00DB33A8" w14:paraId="146CCCD2" w14:textId="77777777" w:rsidTr="0083768C">
        <w:tc>
          <w:tcPr>
            <w:tcW w:w="7542" w:type="dxa"/>
            <w:gridSpan w:val="4"/>
            <w:vAlign w:val="center"/>
          </w:tcPr>
          <w:p w14:paraId="7D327985" w14:textId="77777777" w:rsidR="00A66D1C" w:rsidRPr="000C4E6C" w:rsidDel="00DB33A8"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Gastrointestinal disorders</w:t>
            </w:r>
          </w:p>
        </w:tc>
      </w:tr>
      <w:tr w:rsidR="00A66D1C" w:rsidRPr="000C4E6C" w:rsidDel="00DB33A8" w14:paraId="759D127B" w14:textId="77777777" w:rsidTr="0083768C">
        <w:tc>
          <w:tcPr>
            <w:tcW w:w="2268" w:type="dxa"/>
            <w:tcBorders>
              <w:right w:val="single" w:sz="4" w:space="0" w:color="auto"/>
            </w:tcBorders>
            <w:vAlign w:val="center"/>
          </w:tcPr>
          <w:p w14:paraId="2CFA3E2D" w14:textId="77777777" w:rsidR="00A66D1C" w:rsidRPr="000C4E6C" w:rsidDel="00DB33A8"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Nausea</w:t>
            </w:r>
          </w:p>
        </w:tc>
        <w:tc>
          <w:tcPr>
            <w:tcW w:w="1560" w:type="dxa"/>
            <w:tcBorders>
              <w:left w:val="single" w:sz="4" w:space="0" w:color="auto"/>
            </w:tcBorders>
            <w:vAlign w:val="center"/>
          </w:tcPr>
          <w:p w14:paraId="17300C6E"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(5.2)</w:t>
            </w:r>
          </w:p>
        </w:tc>
        <w:tc>
          <w:tcPr>
            <w:tcW w:w="1417" w:type="dxa"/>
            <w:vAlign w:val="center"/>
          </w:tcPr>
          <w:p w14:paraId="2959A7C3"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(4.4)</w:t>
            </w:r>
          </w:p>
        </w:tc>
        <w:tc>
          <w:tcPr>
            <w:tcW w:w="2297" w:type="dxa"/>
            <w:vAlign w:val="center"/>
          </w:tcPr>
          <w:p w14:paraId="6F85A879"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16 (7.4)</w:t>
            </w:r>
          </w:p>
        </w:tc>
      </w:tr>
      <w:tr w:rsidR="00A66D1C" w:rsidRPr="000C4E6C" w:rsidDel="00DB33A8" w14:paraId="6762AA2C" w14:textId="77777777" w:rsidTr="0083768C">
        <w:trPr>
          <w:trHeight w:val="43"/>
        </w:trPr>
        <w:tc>
          <w:tcPr>
            <w:tcW w:w="2268" w:type="dxa"/>
            <w:tcBorders>
              <w:right w:val="single" w:sz="4" w:space="0" w:color="auto"/>
            </w:tcBorders>
            <w:vAlign w:val="center"/>
          </w:tcPr>
          <w:p w14:paraId="25DAE183" w14:textId="77777777" w:rsidR="00A66D1C" w:rsidRPr="000C4E6C" w:rsidDel="00DB33A8"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Dyspepsia</w:t>
            </w:r>
          </w:p>
        </w:tc>
        <w:tc>
          <w:tcPr>
            <w:tcW w:w="1560" w:type="dxa"/>
            <w:tcBorders>
              <w:left w:val="single" w:sz="4" w:space="0" w:color="auto"/>
            </w:tcBorders>
            <w:vAlign w:val="center"/>
          </w:tcPr>
          <w:p w14:paraId="590A168F"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vAlign w:val="center"/>
          </w:tcPr>
          <w:p w14:paraId="73106016"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vAlign w:val="center"/>
          </w:tcPr>
          <w:p w14:paraId="56431AA9" w14:textId="77777777" w:rsidR="00A66D1C" w:rsidRPr="000C4E6C" w:rsidDel="00DB33A8"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8 (3.7)</w:t>
            </w:r>
          </w:p>
        </w:tc>
      </w:tr>
      <w:tr w:rsidR="00A66D1C" w:rsidRPr="000C4E6C" w14:paraId="41B397E4"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F273F96"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Constipation</w:t>
            </w:r>
          </w:p>
        </w:tc>
        <w:tc>
          <w:tcPr>
            <w:tcW w:w="1560" w:type="dxa"/>
            <w:tcBorders>
              <w:top w:val="single" w:sz="4" w:space="0" w:color="auto"/>
              <w:left w:val="single" w:sz="4" w:space="0" w:color="auto"/>
              <w:bottom w:val="single" w:sz="4" w:space="0" w:color="auto"/>
              <w:right w:val="single" w:sz="4" w:space="0" w:color="auto"/>
            </w:tcBorders>
            <w:vAlign w:val="center"/>
          </w:tcPr>
          <w:p w14:paraId="2FBF430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577AF56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2324468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2C255158"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1D6EBA8"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Stomatitis</w:t>
            </w:r>
          </w:p>
        </w:tc>
        <w:tc>
          <w:tcPr>
            <w:tcW w:w="1560" w:type="dxa"/>
            <w:tcBorders>
              <w:top w:val="single" w:sz="4" w:space="0" w:color="auto"/>
              <w:left w:val="single" w:sz="4" w:space="0" w:color="auto"/>
              <w:bottom w:val="single" w:sz="4" w:space="0" w:color="auto"/>
              <w:right w:val="single" w:sz="4" w:space="0" w:color="auto"/>
            </w:tcBorders>
            <w:vAlign w:val="center"/>
          </w:tcPr>
          <w:p w14:paraId="4D1B601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( 0.5)</w:t>
            </w:r>
          </w:p>
        </w:tc>
        <w:tc>
          <w:tcPr>
            <w:tcW w:w="1417" w:type="dxa"/>
            <w:tcBorders>
              <w:top w:val="single" w:sz="4" w:space="0" w:color="auto"/>
              <w:left w:val="single" w:sz="4" w:space="0" w:color="auto"/>
              <w:bottom w:val="single" w:sz="4" w:space="0" w:color="auto"/>
              <w:right w:val="single" w:sz="4" w:space="0" w:color="auto"/>
            </w:tcBorders>
            <w:vAlign w:val="center"/>
          </w:tcPr>
          <w:p w14:paraId="2E4297A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4BC0526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21CFDF3D"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EAE6B58"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Abdominal discomfort</w:t>
            </w:r>
          </w:p>
        </w:tc>
        <w:tc>
          <w:tcPr>
            <w:tcW w:w="1560" w:type="dxa"/>
            <w:tcBorders>
              <w:top w:val="single" w:sz="4" w:space="0" w:color="auto"/>
              <w:left w:val="single" w:sz="4" w:space="0" w:color="auto"/>
              <w:bottom w:val="single" w:sz="4" w:space="0" w:color="auto"/>
              <w:right w:val="single" w:sz="4" w:space="0" w:color="auto"/>
            </w:tcBorders>
            <w:vAlign w:val="center"/>
          </w:tcPr>
          <w:p w14:paraId="7458E8A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11E25F2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3468569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6EA10B02"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EB3F9F5"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Diarrhoea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1988FAD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(4.3)</w:t>
            </w:r>
          </w:p>
        </w:tc>
        <w:tc>
          <w:tcPr>
            <w:tcW w:w="1417" w:type="dxa"/>
            <w:tcBorders>
              <w:top w:val="single" w:sz="4" w:space="0" w:color="auto"/>
              <w:left w:val="single" w:sz="4" w:space="0" w:color="auto"/>
              <w:bottom w:val="single" w:sz="4" w:space="0" w:color="auto"/>
              <w:right w:val="single" w:sz="4" w:space="0" w:color="auto"/>
            </w:tcBorders>
            <w:vAlign w:val="center"/>
          </w:tcPr>
          <w:p w14:paraId="370B742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4D73CD8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4CE5BD10"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33050CD"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Gastrooesophageal</w:t>
            </w:r>
            <w:proofErr w:type="spellEnd"/>
            <w:r w:rsidRPr="000C4E6C">
              <w:rPr>
                <w:rFonts w:eastAsia="Times New Roman" w:cstheme="minorHAnsi"/>
                <w:sz w:val="18"/>
                <w:szCs w:val="18"/>
                <w:lang w:val="en-US"/>
              </w:rPr>
              <w:t xml:space="preserve"> reflux disease</w:t>
            </w:r>
          </w:p>
        </w:tc>
        <w:tc>
          <w:tcPr>
            <w:tcW w:w="1560" w:type="dxa"/>
            <w:tcBorders>
              <w:top w:val="single" w:sz="4" w:space="0" w:color="auto"/>
              <w:left w:val="single" w:sz="4" w:space="0" w:color="auto"/>
              <w:bottom w:val="single" w:sz="4" w:space="0" w:color="auto"/>
              <w:right w:val="single" w:sz="4" w:space="0" w:color="auto"/>
            </w:tcBorders>
            <w:vAlign w:val="center"/>
          </w:tcPr>
          <w:p w14:paraId="5F9892B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r w:rsidR="009F38AA" w:rsidRPr="000C4E6C">
              <w:rPr>
                <w:rFonts w:eastAsia="Calibri" w:cstheme="minorHAnsi"/>
                <w:color w:val="000000"/>
                <w:sz w:val="18"/>
                <w:szCs w:val="18"/>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7B41C3A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2297" w:type="dxa"/>
            <w:tcBorders>
              <w:top w:val="single" w:sz="4" w:space="0" w:color="auto"/>
              <w:left w:val="single" w:sz="4" w:space="0" w:color="auto"/>
              <w:bottom w:val="single" w:sz="4" w:space="0" w:color="auto"/>
              <w:right w:val="single" w:sz="4" w:space="0" w:color="auto"/>
            </w:tcBorders>
            <w:vAlign w:val="center"/>
          </w:tcPr>
          <w:p w14:paraId="24FB046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70B7E5B1"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492E52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Abdominal pain upper</w:t>
            </w:r>
          </w:p>
        </w:tc>
        <w:tc>
          <w:tcPr>
            <w:tcW w:w="1560" w:type="dxa"/>
            <w:tcBorders>
              <w:top w:val="single" w:sz="4" w:space="0" w:color="auto"/>
              <w:left w:val="single" w:sz="4" w:space="0" w:color="auto"/>
              <w:bottom w:val="single" w:sz="4" w:space="0" w:color="auto"/>
              <w:right w:val="single" w:sz="4" w:space="0" w:color="auto"/>
            </w:tcBorders>
            <w:vAlign w:val="center"/>
          </w:tcPr>
          <w:p w14:paraId="326D066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1B9C122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4D70855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5D619BE4"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9F3B30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Vomiting</w:t>
            </w:r>
          </w:p>
        </w:tc>
        <w:tc>
          <w:tcPr>
            <w:tcW w:w="1560" w:type="dxa"/>
            <w:tcBorders>
              <w:top w:val="single" w:sz="4" w:space="0" w:color="auto"/>
              <w:left w:val="single" w:sz="4" w:space="0" w:color="auto"/>
              <w:bottom w:val="single" w:sz="4" w:space="0" w:color="auto"/>
              <w:right w:val="single" w:sz="4" w:space="0" w:color="auto"/>
            </w:tcBorders>
            <w:vAlign w:val="center"/>
          </w:tcPr>
          <w:p w14:paraId="7527295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7A6AEC9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730336F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0028E7A7"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04A67025"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General disorders and administration site conditions</w:t>
            </w:r>
          </w:p>
        </w:tc>
      </w:tr>
      <w:tr w:rsidR="00A66D1C" w:rsidRPr="000C4E6C" w14:paraId="677FC9A5"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C4BAB9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Pyrexia</w:t>
            </w:r>
          </w:p>
        </w:tc>
        <w:tc>
          <w:tcPr>
            <w:tcW w:w="1560" w:type="dxa"/>
            <w:tcBorders>
              <w:top w:val="single" w:sz="4" w:space="0" w:color="auto"/>
              <w:left w:val="single" w:sz="4" w:space="0" w:color="auto"/>
              <w:bottom w:val="single" w:sz="4" w:space="0" w:color="auto"/>
              <w:right w:val="single" w:sz="4" w:space="0" w:color="auto"/>
            </w:tcBorders>
            <w:vAlign w:val="center"/>
          </w:tcPr>
          <w:p w14:paraId="3E0282F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016828E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13F635E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(2.8)</w:t>
            </w:r>
          </w:p>
        </w:tc>
      </w:tr>
      <w:tr w:rsidR="00A66D1C" w:rsidRPr="000C4E6C" w14:paraId="49D64CE7"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C67B0A6"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Fatigue</w:t>
            </w:r>
          </w:p>
        </w:tc>
        <w:tc>
          <w:tcPr>
            <w:tcW w:w="1560" w:type="dxa"/>
            <w:tcBorders>
              <w:top w:val="single" w:sz="4" w:space="0" w:color="auto"/>
              <w:left w:val="single" w:sz="4" w:space="0" w:color="auto"/>
              <w:bottom w:val="single" w:sz="4" w:space="0" w:color="auto"/>
              <w:right w:val="single" w:sz="4" w:space="0" w:color="auto"/>
            </w:tcBorders>
            <w:vAlign w:val="center"/>
          </w:tcPr>
          <w:p w14:paraId="20F0891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46C8782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13B60B2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5ECA20DA"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D51182E"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Drug intolerance</w:t>
            </w:r>
          </w:p>
        </w:tc>
        <w:tc>
          <w:tcPr>
            <w:tcW w:w="1560" w:type="dxa"/>
            <w:tcBorders>
              <w:top w:val="single" w:sz="4" w:space="0" w:color="auto"/>
              <w:left w:val="single" w:sz="4" w:space="0" w:color="auto"/>
              <w:bottom w:val="single" w:sz="4" w:space="0" w:color="auto"/>
              <w:right w:val="single" w:sz="4" w:space="0" w:color="auto"/>
            </w:tcBorders>
            <w:vAlign w:val="center"/>
          </w:tcPr>
          <w:p w14:paraId="6B19638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480BB1B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03AEAA5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62EE4A7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B5B2317"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Oedema</w:t>
            </w:r>
            <w:proofErr w:type="spellEnd"/>
            <w:r w:rsidRPr="000C4E6C">
              <w:rPr>
                <w:rFonts w:eastAsia="Times New Roman" w:cstheme="minorHAnsi"/>
                <w:sz w:val="18"/>
                <w:szCs w:val="18"/>
                <w:lang w:val="en-US"/>
              </w:rPr>
              <w:t xml:space="preserve"> peripheral</w:t>
            </w:r>
          </w:p>
        </w:tc>
        <w:tc>
          <w:tcPr>
            <w:tcW w:w="1560" w:type="dxa"/>
            <w:tcBorders>
              <w:top w:val="single" w:sz="4" w:space="0" w:color="auto"/>
              <w:left w:val="single" w:sz="4" w:space="0" w:color="auto"/>
              <w:bottom w:val="single" w:sz="4" w:space="0" w:color="auto"/>
              <w:right w:val="single" w:sz="4" w:space="0" w:color="auto"/>
            </w:tcBorders>
            <w:vAlign w:val="center"/>
          </w:tcPr>
          <w:p w14:paraId="425DDF4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264C84C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608ED78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3F62721C"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6AAB0EC4"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Hepatobiliary disorders</w:t>
            </w:r>
          </w:p>
        </w:tc>
      </w:tr>
      <w:tr w:rsidR="00A66D1C" w:rsidRPr="000C4E6C" w14:paraId="1CD78668"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EC06E25"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Hepatic function abnormal</w:t>
            </w:r>
          </w:p>
        </w:tc>
        <w:tc>
          <w:tcPr>
            <w:tcW w:w="1560" w:type="dxa"/>
            <w:tcBorders>
              <w:top w:val="single" w:sz="4" w:space="0" w:color="auto"/>
              <w:left w:val="single" w:sz="4" w:space="0" w:color="auto"/>
              <w:bottom w:val="single" w:sz="4" w:space="0" w:color="auto"/>
              <w:right w:val="single" w:sz="4" w:space="0" w:color="auto"/>
            </w:tcBorders>
            <w:vAlign w:val="center"/>
          </w:tcPr>
          <w:p w14:paraId="774E505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126CFDB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7A4DFC5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(2.8)</w:t>
            </w:r>
          </w:p>
        </w:tc>
      </w:tr>
      <w:tr w:rsidR="00A66D1C" w:rsidRPr="000C4E6C" w14:paraId="6492EE0F"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134BF8C2"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Infections and infestations</w:t>
            </w:r>
          </w:p>
        </w:tc>
      </w:tr>
      <w:tr w:rsidR="00A66D1C" w:rsidRPr="000C4E6C" w14:paraId="720CD0C7"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3C3AF81"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Nasopharyngitis</w:t>
            </w:r>
          </w:p>
        </w:tc>
        <w:tc>
          <w:tcPr>
            <w:tcW w:w="1560" w:type="dxa"/>
            <w:tcBorders>
              <w:top w:val="single" w:sz="4" w:space="0" w:color="auto"/>
              <w:left w:val="single" w:sz="4" w:space="0" w:color="auto"/>
              <w:bottom w:val="single" w:sz="4" w:space="0" w:color="auto"/>
              <w:right w:val="single" w:sz="4" w:space="0" w:color="auto"/>
            </w:tcBorders>
            <w:vAlign w:val="center"/>
          </w:tcPr>
          <w:p w14:paraId="3530E3F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(5.2)</w:t>
            </w:r>
          </w:p>
        </w:tc>
        <w:tc>
          <w:tcPr>
            <w:tcW w:w="1417" w:type="dxa"/>
            <w:tcBorders>
              <w:top w:val="single" w:sz="4" w:space="0" w:color="auto"/>
              <w:left w:val="single" w:sz="4" w:space="0" w:color="auto"/>
              <w:bottom w:val="single" w:sz="4" w:space="0" w:color="auto"/>
              <w:right w:val="single" w:sz="4" w:space="0" w:color="auto"/>
            </w:tcBorders>
            <w:vAlign w:val="center"/>
          </w:tcPr>
          <w:p w14:paraId="2FA58CF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(6.9)</w:t>
            </w:r>
          </w:p>
        </w:tc>
        <w:tc>
          <w:tcPr>
            <w:tcW w:w="2297" w:type="dxa"/>
            <w:tcBorders>
              <w:top w:val="single" w:sz="4" w:space="0" w:color="auto"/>
              <w:left w:val="single" w:sz="4" w:space="0" w:color="auto"/>
              <w:bottom w:val="single" w:sz="4" w:space="0" w:color="auto"/>
              <w:right w:val="single" w:sz="4" w:space="0" w:color="auto"/>
            </w:tcBorders>
            <w:vAlign w:val="center"/>
          </w:tcPr>
          <w:p w14:paraId="7D1D8F3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14 (6.5)</w:t>
            </w:r>
          </w:p>
        </w:tc>
      </w:tr>
      <w:tr w:rsidR="00A66D1C" w:rsidRPr="000C4E6C" w14:paraId="1EC241B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0B2565B"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Upper respiratory tract infection</w:t>
            </w:r>
          </w:p>
        </w:tc>
        <w:tc>
          <w:tcPr>
            <w:tcW w:w="1560" w:type="dxa"/>
            <w:tcBorders>
              <w:top w:val="single" w:sz="4" w:space="0" w:color="auto"/>
              <w:left w:val="single" w:sz="4" w:space="0" w:color="auto"/>
              <w:bottom w:val="single" w:sz="4" w:space="0" w:color="auto"/>
              <w:right w:val="single" w:sz="4" w:space="0" w:color="auto"/>
            </w:tcBorders>
            <w:vAlign w:val="center"/>
          </w:tcPr>
          <w:p w14:paraId="04A7C8D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13 (6.2)</w:t>
            </w:r>
          </w:p>
        </w:tc>
        <w:tc>
          <w:tcPr>
            <w:tcW w:w="1417" w:type="dxa"/>
            <w:tcBorders>
              <w:top w:val="single" w:sz="4" w:space="0" w:color="auto"/>
              <w:left w:val="single" w:sz="4" w:space="0" w:color="auto"/>
              <w:bottom w:val="single" w:sz="4" w:space="0" w:color="auto"/>
              <w:right w:val="single" w:sz="4" w:space="0" w:color="auto"/>
            </w:tcBorders>
            <w:vAlign w:val="center"/>
          </w:tcPr>
          <w:p w14:paraId="33D0833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7 (4.4)</w:t>
            </w:r>
          </w:p>
        </w:tc>
        <w:tc>
          <w:tcPr>
            <w:tcW w:w="2297" w:type="dxa"/>
            <w:tcBorders>
              <w:top w:val="single" w:sz="4" w:space="0" w:color="auto"/>
              <w:left w:val="single" w:sz="4" w:space="0" w:color="auto"/>
              <w:bottom w:val="single" w:sz="4" w:space="0" w:color="auto"/>
              <w:right w:val="single" w:sz="4" w:space="0" w:color="auto"/>
            </w:tcBorders>
            <w:vAlign w:val="center"/>
          </w:tcPr>
          <w:p w14:paraId="6147E8F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(4.7)</w:t>
            </w:r>
          </w:p>
        </w:tc>
      </w:tr>
      <w:tr w:rsidR="00A66D1C" w:rsidRPr="000C4E6C" w14:paraId="33BE0278"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D5F394F"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Urinary tract infection</w:t>
            </w:r>
          </w:p>
        </w:tc>
        <w:tc>
          <w:tcPr>
            <w:tcW w:w="1560" w:type="dxa"/>
            <w:tcBorders>
              <w:top w:val="single" w:sz="4" w:space="0" w:color="auto"/>
              <w:left w:val="single" w:sz="4" w:space="0" w:color="auto"/>
              <w:bottom w:val="single" w:sz="4" w:space="0" w:color="auto"/>
              <w:right w:val="single" w:sz="4" w:space="0" w:color="auto"/>
            </w:tcBorders>
            <w:vAlign w:val="center"/>
          </w:tcPr>
          <w:p w14:paraId="692657E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7F07085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4BD7E02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10 (4.7)</w:t>
            </w:r>
          </w:p>
        </w:tc>
      </w:tr>
      <w:tr w:rsidR="00A66D1C" w:rsidRPr="000C4E6C" w14:paraId="6E31F3EA"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B717D14"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Pharyngitis</w:t>
            </w:r>
          </w:p>
        </w:tc>
        <w:tc>
          <w:tcPr>
            <w:tcW w:w="1560" w:type="dxa"/>
            <w:tcBorders>
              <w:top w:val="single" w:sz="4" w:space="0" w:color="auto"/>
              <w:left w:val="single" w:sz="4" w:space="0" w:color="auto"/>
              <w:bottom w:val="single" w:sz="4" w:space="0" w:color="auto"/>
              <w:right w:val="single" w:sz="4" w:space="0" w:color="auto"/>
            </w:tcBorders>
            <w:vAlign w:val="center"/>
          </w:tcPr>
          <w:p w14:paraId="6BD826A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14:paraId="5E50C6D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5BE7FF1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27B1E59B"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D673AB1"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Sinusitis</w:t>
            </w:r>
          </w:p>
        </w:tc>
        <w:tc>
          <w:tcPr>
            <w:tcW w:w="1560" w:type="dxa"/>
            <w:tcBorders>
              <w:top w:val="single" w:sz="4" w:space="0" w:color="auto"/>
              <w:left w:val="single" w:sz="4" w:space="0" w:color="auto"/>
              <w:bottom w:val="single" w:sz="4" w:space="0" w:color="auto"/>
              <w:right w:val="single" w:sz="4" w:space="0" w:color="auto"/>
            </w:tcBorders>
            <w:vAlign w:val="center"/>
          </w:tcPr>
          <w:p w14:paraId="4C43545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4E06943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6D711EA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60A92C0C"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EC22560"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lastRenderedPageBreak/>
              <w:t>Gastroenteritis</w:t>
            </w:r>
          </w:p>
        </w:tc>
        <w:tc>
          <w:tcPr>
            <w:tcW w:w="1560" w:type="dxa"/>
            <w:tcBorders>
              <w:top w:val="single" w:sz="4" w:space="0" w:color="auto"/>
              <w:left w:val="single" w:sz="4" w:space="0" w:color="auto"/>
              <w:bottom w:val="single" w:sz="4" w:space="0" w:color="auto"/>
              <w:right w:val="single" w:sz="4" w:space="0" w:color="auto"/>
            </w:tcBorders>
            <w:vAlign w:val="center"/>
          </w:tcPr>
          <w:p w14:paraId="2920CB5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6A24843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15F12F1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193F5881"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50BB14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Influenza</w:t>
            </w:r>
          </w:p>
        </w:tc>
        <w:tc>
          <w:tcPr>
            <w:tcW w:w="1560" w:type="dxa"/>
            <w:tcBorders>
              <w:top w:val="single" w:sz="4" w:space="0" w:color="auto"/>
              <w:left w:val="single" w:sz="4" w:space="0" w:color="auto"/>
              <w:bottom w:val="single" w:sz="4" w:space="0" w:color="auto"/>
              <w:right w:val="single" w:sz="4" w:space="0" w:color="auto"/>
            </w:tcBorders>
            <w:vAlign w:val="center"/>
          </w:tcPr>
          <w:p w14:paraId="3C9C163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4B0CB1F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4113375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3E223B02"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E331A6A"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Vulvovaginal candidiasis (b)</w:t>
            </w:r>
          </w:p>
        </w:tc>
        <w:tc>
          <w:tcPr>
            <w:tcW w:w="1560" w:type="dxa"/>
            <w:tcBorders>
              <w:top w:val="single" w:sz="4" w:space="0" w:color="auto"/>
              <w:left w:val="single" w:sz="4" w:space="0" w:color="auto"/>
              <w:bottom w:val="single" w:sz="4" w:space="0" w:color="auto"/>
              <w:right w:val="single" w:sz="4" w:space="0" w:color="auto"/>
            </w:tcBorders>
            <w:vAlign w:val="center"/>
          </w:tcPr>
          <w:p w14:paraId="79892E45" w14:textId="77777777" w:rsidR="00A66D1C" w:rsidRPr="000C4E6C" w:rsidRDefault="00724B10"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w:t>
            </w:r>
            <w:r w:rsidR="00A66D1C" w:rsidRPr="000C4E6C">
              <w:rPr>
                <w:rFonts w:eastAsia="Calibri" w:cstheme="minorHAnsi"/>
                <w:color w:val="000000"/>
                <w:sz w:val="18"/>
                <w:szCs w:val="18"/>
                <w:lang w:val="en-US"/>
              </w:rPr>
              <w:t>0.7)</w:t>
            </w:r>
          </w:p>
        </w:tc>
        <w:tc>
          <w:tcPr>
            <w:tcW w:w="1417" w:type="dxa"/>
            <w:tcBorders>
              <w:top w:val="single" w:sz="4" w:space="0" w:color="auto"/>
              <w:left w:val="single" w:sz="4" w:space="0" w:color="auto"/>
              <w:bottom w:val="single" w:sz="4" w:space="0" w:color="auto"/>
              <w:right w:val="single" w:sz="4" w:space="0" w:color="auto"/>
            </w:tcBorders>
            <w:vAlign w:val="center"/>
          </w:tcPr>
          <w:p w14:paraId="1EC0FE2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2297" w:type="dxa"/>
            <w:tcBorders>
              <w:top w:val="single" w:sz="4" w:space="0" w:color="auto"/>
              <w:left w:val="single" w:sz="4" w:space="0" w:color="auto"/>
              <w:bottom w:val="single" w:sz="4" w:space="0" w:color="auto"/>
              <w:right w:val="single" w:sz="4" w:space="0" w:color="auto"/>
            </w:tcBorders>
            <w:vAlign w:val="center"/>
          </w:tcPr>
          <w:p w14:paraId="6CE23BE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(2.6)</w:t>
            </w:r>
          </w:p>
        </w:tc>
      </w:tr>
      <w:tr w:rsidR="00A66D1C" w:rsidRPr="000C4E6C" w14:paraId="6317BC9F"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23E86E1"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Bronchitis</w:t>
            </w:r>
          </w:p>
        </w:tc>
        <w:tc>
          <w:tcPr>
            <w:tcW w:w="1560" w:type="dxa"/>
            <w:tcBorders>
              <w:top w:val="single" w:sz="4" w:space="0" w:color="auto"/>
              <w:left w:val="single" w:sz="4" w:space="0" w:color="auto"/>
              <w:bottom w:val="single" w:sz="4" w:space="0" w:color="auto"/>
              <w:right w:val="single" w:sz="4" w:space="0" w:color="auto"/>
            </w:tcBorders>
            <w:vAlign w:val="center"/>
          </w:tcPr>
          <w:p w14:paraId="73C946B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14:paraId="0BA9F62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125507C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1942A774"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0AC1879"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Cystitis</w:t>
            </w:r>
          </w:p>
        </w:tc>
        <w:tc>
          <w:tcPr>
            <w:tcW w:w="1560" w:type="dxa"/>
            <w:tcBorders>
              <w:top w:val="single" w:sz="4" w:space="0" w:color="auto"/>
              <w:left w:val="single" w:sz="4" w:space="0" w:color="auto"/>
              <w:bottom w:val="single" w:sz="4" w:space="0" w:color="auto"/>
              <w:right w:val="single" w:sz="4" w:space="0" w:color="auto"/>
            </w:tcBorders>
            <w:vAlign w:val="center"/>
          </w:tcPr>
          <w:p w14:paraId="0533A55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5AA3B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15487F2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2B25B8BE"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D1ECE08"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Herpes zoster</w:t>
            </w:r>
          </w:p>
        </w:tc>
        <w:tc>
          <w:tcPr>
            <w:tcW w:w="1560" w:type="dxa"/>
            <w:tcBorders>
              <w:top w:val="single" w:sz="4" w:space="0" w:color="auto"/>
              <w:left w:val="single" w:sz="4" w:space="0" w:color="auto"/>
              <w:bottom w:val="single" w:sz="4" w:space="0" w:color="auto"/>
              <w:right w:val="single" w:sz="4" w:space="0" w:color="auto"/>
            </w:tcBorders>
            <w:vAlign w:val="center"/>
          </w:tcPr>
          <w:p w14:paraId="11D2C7E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5E4C795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36D882F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767A2AEB"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12D178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Tonsillitis</w:t>
            </w:r>
          </w:p>
        </w:tc>
        <w:tc>
          <w:tcPr>
            <w:tcW w:w="1560" w:type="dxa"/>
            <w:tcBorders>
              <w:top w:val="single" w:sz="4" w:space="0" w:color="auto"/>
              <w:left w:val="single" w:sz="4" w:space="0" w:color="auto"/>
              <w:bottom w:val="single" w:sz="4" w:space="0" w:color="auto"/>
              <w:right w:val="single" w:sz="4" w:space="0" w:color="auto"/>
            </w:tcBorders>
            <w:vAlign w:val="center"/>
          </w:tcPr>
          <w:p w14:paraId="19EC935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23DCA59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62C9E59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015A6802"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7CD81BE"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Onychomycosis</w:t>
            </w:r>
          </w:p>
        </w:tc>
        <w:tc>
          <w:tcPr>
            <w:tcW w:w="1560" w:type="dxa"/>
            <w:tcBorders>
              <w:top w:val="single" w:sz="4" w:space="0" w:color="auto"/>
              <w:left w:val="single" w:sz="4" w:space="0" w:color="auto"/>
              <w:bottom w:val="single" w:sz="4" w:space="0" w:color="auto"/>
              <w:right w:val="single" w:sz="4" w:space="0" w:color="auto"/>
            </w:tcBorders>
            <w:vAlign w:val="center"/>
          </w:tcPr>
          <w:p w14:paraId="31F71FF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70929E5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43D2999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45269254"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0454D2C5"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Investigations</w:t>
            </w:r>
          </w:p>
        </w:tc>
      </w:tr>
      <w:tr w:rsidR="00A66D1C" w:rsidRPr="000C4E6C" w14:paraId="788EE39B"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3C87FC8"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 xml:space="preserve">Blood </w:t>
            </w:r>
            <w:proofErr w:type="spellStart"/>
            <w:r w:rsidRPr="000C4E6C">
              <w:rPr>
                <w:rFonts w:eastAsia="Times New Roman" w:cstheme="minorHAnsi"/>
                <w:sz w:val="18"/>
                <w:szCs w:val="18"/>
                <w:lang w:val="en-US"/>
              </w:rPr>
              <w:t>creatine</w:t>
            </w:r>
            <w:proofErr w:type="spellEnd"/>
            <w:r w:rsidRPr="000C4E6C">
              <w:rPr>
                <w:rFonts w:eastAsia="Times New Roman" w:cstheme="minorHAnsi"/>
                <w:sz w:val="18"/>
                <w:szCs w:val="18"/>
                <w:lang w:val="en-US"/>
              </w:rPr>
              <w:t xml:space="preserve"> phosphokinase increased</w:t>
            </w:r>
          </w:p>
        </w:tc>
        <w:tc>
          <w:tcPr>
            <w:tcW w:w="1560" w:type="dxa"/>
            <w:tcBorders>
              <w:top w:val="single" w:sz="4" w:space="0" w:color="auto"/>
              <w:left w:val="single" w:sz="4" w:space="0" w:color="auto"/>
              <w:bottom w:val="single" w:sz="4" w:space="0" w:color="auto"/>
              <w:right w:val="single" w:sz="4" w:space="0" w:color="auto"/>
            </w:tcBorders>
            <w:vAlign w:val="center"/>
          </w:tcPr>
          <w:p w14:paraId="6DDAFF6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058449D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3F108A1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(4.2)</w:t>
            </w:r>
          </w:p>
        </w:tc>
      </w:tr>
      <w:tr w:rsidR="00A66D1C" w:rsidRPr="000C4E6C" w14:paraId="57608BE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CBE9B2F"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Alanine aminotransferase increased</w:t>
            </w:r>
          </w:p>
        </w:tc>
        <w:tc>
          <w:tcPr>
            <w:tcW w:w="1560" w:type="dxa"/>
            <w:tcBorders>
              <w:top w:val="single" w:sz="4" w:space="0" w:color="auto"/>
              <w:left w:val="single" w:sz="4" w:space="0" w:color="auto"/>
              <w:bottom w:val="single" w:sz="4" w:space="0" w:color="auto"/>
              <w:right w:val="single" w:sz="4" w:space="0" w:color="auto"/>
            </w:tcBorders>
            <w:vAlign w:val="center"/>
          </w:tcPr>
          <w:p w14:paraId="575426E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5264402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6AFF189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(4.2)</w:t>
            </w:r>
          </w:p>
        </w:tc>
      </w:tr>
      <w:tr w:rsidR="00A66D1C" w:rsidRPr="000C4E6C" w14:paraId="46445881"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DE374AF"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Aspartate aminotransferase increased</w:t>
            </w:r>
          </w:p>
        </w:tc>
        <w:tc>
          <w:tcPr>
            <w:tcW w:w="1560" w:type="dxa"/>
            <w:tcBorders>
              <w:top w:val="single" w:sz="4" w:space="0" w:color="auto"/>
              <w:left w:val="single" w:sz="4" w:space="0" w:color="auto"/>
              <w:bottom w:val="single" w:sz="4" w:space="0" w:color="auto"/>
              <w:right w:val="single" w:sz="4" w:space="0" w:color="auto"/>
            </w:tcBorders>
            <w:vAlign w:val="center"/>
          </w:tcPr>
          <w:p w14:paraId="0A0022A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423E730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2297" w:type="dxa"/>
            <w:tcBorders>
              <w:top w:val="single" w:sz="4" w:space="0" w:color="auto"/>
              <w:left w:val="single" w:sz="4" w:space="0" w:color="auto"/>
              <w:bottom w:val="single" w:sz="4" w:space="0" w:color="auto"/>
              <w:right w:val="single" w:sz="4" w:space="0" w:color="auto"/>
            </w:tcBorders>
            <w:vAlign w:val="center"/>
          </w:tcPr>
          <w:p w14:paraId="70CEBD6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2AE53F76"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704291A"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Blood alkaline phosphatase increased</w:t>
            </w:r>
          </w:p>
        </w:tc>
        <w:tc>
          <w:tcPr>
            <w:tcW w:w="1560" w:type="dxa"/>
            <w:tcBorders>
              <w:top w:val="single" w:sz="4" w:space="0" w:color="auto"/>
              <w:left w:val="single" w:sz="4" w:space="0" w:color="auto"/>
              <w:bottom w:val="single" w:sz="4" w:space="0" w:color="auto"/>
              <w:right w:val="single" w:sz="4" w:space="0" w:color="auto"/>
            </w:tcBorders>
            <w:vAlign w:val="center"/>
          </w:tcPr>
          <w:p w14:paraId="05A994E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55C310B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3764A39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1255A9C8"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7C056A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Low density lipoprotein increased</w:t>
            </w:r>
          </w:p>
        </w:tc>
        <w:tc>
          <w:tcPr>
            <w:tcW w:w="1560" w:type="dxa"/>
            <w:tcBorders>
              <w:top w:val="single" w:sz="4" w:space="0" w:color="auto"/>
              <w:left w:val="single" w:sz="4" w:space="0" w:color="auto"/>
              <w:bottom w:val="single" w:sz="4" w:space="0" w:color="auto"/>
              <w:right w:val="single" w:sz="4" w:space="0" w:color="auto"/>
            </w:tcBorders>
            <w:vAlign w:val="center"/>
          </w:tcPr>
          <w:p w14:paraId="68C914C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052E83B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647FB52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0049F278"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B5F26DC"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Liver function test abnormal</w:t>
            </w:r>
          </w:p>
        </w:tc>
        <w:tc>
          <w:tcPr>
            <w:tcW w:w="1560" w:type="dxa"/>
            <w:tcBorders>
              <w:top w:val="single" w:sz="4" w:space="0" w:color="auto"/>
              <w:left w:val="single" w:sz="4" w:space="0" w:color="auto"/>
              <w:bottom w:val="single" w:sz="4" w:space="0" w:color="auto"/>
              <w:right w:val="single" w:sz="4" w:space="0" w:color="auto"/>
            </w:tcBorders>
            <w:vAlign w:val="center"/>
          </w:tcPr>
          <w:p w14:paraId="0C62B18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41410ED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77E3FC1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(0.9)</w:t>
            </w:r>
          </w:p>
        </w:tc>
      </w:tr>
      <w:tr w:rsidR="00A66D1C" w:rsidRPr="000C4E6C" w14:paraId="6019C685"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FE7946D"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Blood cholesterol increased</w:t>
            </w:r>
          </w:p>
        </w:tc>
        <w:tc>
          <w:tcPr>
            <w:tcW w:w="1560" w:type="dxa"/>
            <w:tcBorders>
              <w:top w:val="single" w:sz="4" w:space="0" w:color="auto"/>
              <w:left w:val="single" w:sz="4" w:space="0" w:color="auto"/>
              <w:bottom w:val="single" w:sz="4" w:space="0" w:color="auto"/>
              <w:right w:val="single" w:sz="4" w:space="0" w:color="auto"/>
            </w:tcBorders>
            <w:vAlign w:val="center"/>
          </w:tcPr>
          <w:p w14:paraId="6235E13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480E6F2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6CCBC38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1B83C599"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7E1D579"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Platelet count increased</w:t>
            </w:r>
          </w:p>
        </w:tc>
        <w:tc>
          <w:tcPr>
            <w:tcW w:w="1560" w:type="dxa"/>
            <w:tcBorders>
              <w:top w:val="single" w:sz="4" w:space="0" w:color="auto"/>
              <w:left w:val="single" w:sz="4" w:space="0" w:color="auto"/>
              <w:bottom w:val="single" w:sz="4" w:space="0" w:color="auto"/>
              <w:right w:val="single" w:sz="4" w:space="0" w:color="auto"/>
            </w:tcBorders>
            <w:vAlign w:val="center"/>
          </w:tcPr>
          <w:p w14:paraId="0DC7782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3859009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4977FF2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0217E4EF"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94036EE"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Weight increased</w:t>
            </w:r>
          </w:p>
        </w:tc>
        <w:tc>
          <w:tcPr>
            <w:tcW w:w="1560" w:type="dxa"/>
            <w:tcBorders>
              <w:top w:val="single" w:sz="4" w:space="0" w:color="auto"/>
              <w:left w:val="single" w:sz="4" w:space="0" w:color="auto"/>
              <w:bottom w:val="single" w:sz="4" w:space="0" w:color="auto"/>
              <w:right w:val="single" w:sz="4" w:space="0" w:color="auto"/>
            </w:tcBorders>
            <w:vAlign w:val="center"/>
          </w:tcPr>
          <w:p w14:paraId="1F8812B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4242D08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18474B1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52549556"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9B64DCF"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White blood cell count increased</w:t>
            </w:r>
          </w:p>
        </w:tc>
        <w:tc>
          <w:tcPr>
            <w:tcW w:w="1560" w:type="dxa"/>
            <w:tcBorders>
              <w:top w:val="single" w:sz="4" w:space="0" w:color="auto"/>
              <w:left w:val="single" w:sz="4" w:space="0" w:color="auto"/>
              <w:bottom w:val="single" w:sz="4" w:space="0" w:color="auto"/>
              <w:right w:val="single" w:sz="4" w:space="0" w:color="auto"/>
            </w:tcBorders>
            <w:vAlign w:val="center"/>
          </w:tcPr>
          <w:p w14:paraId="11D3E5C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0921E8A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74E6B90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05F0282B"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11F1D7CA"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Metabolism and nutrition disorders</w:t>
            </w:r>
          </w:p>
        </w:tc>
      </w:tr>
      <w:tr w:rsidR="00A66D1C" w:rsidRPr="000C4E6C" w14:paraId="2AFCBB5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941AD8B"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Dyslipidaemia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17ABA8F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2F7E65D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1F16064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(2.8)</w:t>
            </w:r>
          </w:p>
        </w:tc>
      </w:tr>
      <w:tr w:rsidR="00A66D1C" w:rsidRPr="000C4E6C" w14:paraId="3CF07CBC"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CAB2297"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Hyperlipidaemia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C5AC09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109C250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51441BE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31D1DA34"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0EE1B20" w14:textId="77777777" w:rsidR="00A66D1C" w:rsidRPr="000C4E6C" w:rsidRDefault="00A66D1C" w:rsidP="00A66D1C">
            <w:pPr>
              <w:spacing w:after="0" w:line="240" w:lineRule="auto"/>
              <w:rPr>
                <w:rFonts w:eastAsia="Times New Roman" w:cstheme="minorHAnsi"/>
                <w:sz w:val="18"/>
                <w:szCs w:val="18"/>
                <w:lang w:val="en-US"/>
              </w:rPr>
            </w:pPr>
            <w:proofErr w:type="spellStart"/>
            <w:r w:rsidRPr="000C4E6C">
              <w:rPr>
                <w:rFonts w:eastAsia="Times New Roman" w:cstheme="minorHAnsi"/>
                <w:sz w:val="18"/>
                <w:szCs w:val="18"/>
                <w:lang w:val="en-US"/>
              </w:rPr>
              <w:t>Hypercholesterolaemia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9938AD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14:paraId="2C43446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2BA3466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34464F24"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5AACDA7A"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Musculoskeletal and connective tissue disorders</w:t>
            </w:r>
          </w:p>
        </w:tc>
      </w:tr>
      <w:tr w:rsidR="00A66D1C" w:rsidRPr="000C4E6C" w14:paraId="1260783C"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856E33C"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Back pain</w:t>
            </w:r>
          </w:p>
        </w:tc>
        <w:tc>
          <w:tcPr>
            <w:tcW w:w="1560" w:type="dxa"/>
            <w:tcBorders>
              <w:top w:val="single" w:sz="4" w:space="0" w:color="auto"/>
              <w:left w:val="single" w:sz="4" w:space="0" w:color="auto"/>
              <w:bottom w:val="single" w:sz="4" w:space="0" w:color="auto"/>
              <w:right w:val="single" w:sz="4" w:space="0" w:color="auto"/>
            </w:tcBorders>
            <w:vAlign w:val="center"/>
          </w:tcPr>
          <w:p w14:paraId="08582F6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14:paraId="3A1EEAD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4F232572"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14466F52"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19F145E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Muscle spasms</w:t>
            </w:r>
          </w:p>
        </w:tc>
        <w:tc>
          <w:tcPr>
            <w:tcW w:w="1560" w:type="dxa"/>
            <w:tcBorders>
              <w:top w:val="single" w:sz="4" w:space="0" w:color="auto"/>
              <w:left w:val="single" w:sz="4" w:space="0" w:color="auto"/>
              <w:bottom w:val="single" w:sz="4" w:space="0" w:color="auto"/>
              <w:right w:val="single" w:sz="4" w:space="0" w:color="auto"/>
            </w:tcBorders>
            <w:vAlign w:val="center"/>
          </w:tcPr>
          <w:p w14:paraId="581379E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7E3925C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716A40D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(2.8)</w:t>
            </w:r>
          </w:p>
        </w:tc>
      </w:tr>
      <w:tr w:rsidR="00A66D1C" w:rsidRPr="000C4E6C" w14:paraId="2AE3A885"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D294FF6"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Osteoarthritis</w:t>
            </w:r>
          </w:p>
        </w:tc>
        <w:tc>
          <w:tcPr>
            <w:tcW w:w="1560" w:type="dxa"/>
            <w:tcBorders>
              <w:top w:val="single" w:sz="4" w:space="0" w:color="auto"/>
              <w:left w:val="single" w:sz="4" w:space="0" w:color="auto"/>
              <w:bottom w:val="single" w:sz="4" w:space="0" w:color="auto"/>
              <w:right w:val="single" w:sz="4" w:space="0" w:color="auto"/>
            </w:tcBorders>
            <w:vAlign w:val="center"/>
          </w:tcPr>
          <w:p w14:paraId="64ED92E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09291ED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09916BD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6A55CD01"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7AC4C8BC"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Nervous system disorders</w:t>
            </w:r>
          </w:p>
        </w:tc>
      </w:tr>
      <w:tr w:rsidR="00A66D1C" w:rsidRPr="000C4E6C" w14:paraId="611B3802"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8A6912D"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Headache</w:t>
            </w:r>
          </w:p>
        </w:tc>
        <w:tc>
          <w:tcPr>
            <w:tcW w:w="1560" w:type="dxa"/>
            <w:tcBorders>
              <w:top w:val="single" w:sz="4" w:space="0" w:color="auto"/>
              <w:left w:val="single" w:sz="4" w:space="0" w:color="auto"/>
              <w:bottom w:val="single" w:sz="4" w:space="0" w:color="auto"/>
              <w:right w:val="single" w:sz="4" w:space="0" w:color="auto"/>
            </w:tcBorders>
            <w:vAlign w:val="center"/>
          </w:tcPr>
          <w:p w14:paraId="291C682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41D577D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35643A3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76BFBF15"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C409C9C"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Dizziness</w:t>
            </w:r>
          </w:p>
        </w:tc>
        <w:tc>
          <w:tcPr>
            <w:tcW w:w="1560" w:type="dxa"/>
            <w:tcBorders>
              <w:top w:val="single" w:sz="4" w:space="0" w:color="auto"/>
              <w:left w:val="single" w:sz="4" w:space="0" w:color="auto"/>
              <w:bottom w:val="single" w:sz="4" w:space="0" w:color="auto"/>
              <w:right w:val="single" w:sz="4" w:space="0" w:color="auto"/>
            </w:tcBorders>
            <w:vAlign w:val="center"/>
          </w:tcPr>
          <w:p w14:paraId="05C4FE7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7163D7F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2297" w:type="dxa"/>
            <w:tcBorders>
              <w:top w:val="single" w:sz="4" w:space="0" w:color="auto"/>
              <w:left w:val="single" w:sz="4" w:space="0" w:color="auto"/>
              <w:bottom w:val="single" w:sz="4" w:space="0" w:color="auto"/>
              <w:right w:val="single" w:sz="4" w:space="0" w:color="auto"/>
            </w:tcBorders>
            <w:vAlign w:val="center"/>
          </w:tcPr>
          <w:p w14:paraId="1E607D9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r>
      <w:tr w:rsidR="00A66D1C" w:rsidRPr="000C4E6C" w14:paraId="087D574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5127AAC"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Sciatica</w:t>
            </w:r>
          </w:p>
        </w:tc>
        <w:tc>
          <w:tcPr>
            <w:tcW w:w="1560" w:type="dxa"/>
            <w:tcBorders>
              <w:top w:val="single" w:sz="4" w:space="0" w:color="auto"/>
              <w:left w:val="single" w:sz="4" w:space="0" w:color="auto"/>
              <w:bottom w:val="single" w:sz="4" w:space="0" w:color="auto"/>
              <w:right w:val="single" w:sz="4" w:space="0" w:color="auto"/>
            </w:tcBorders>
            <w:vAlign w:val="center"/>
          </w:tcPr>
          <w:p w14:paraId="20F8DDA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065BCF8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(1.9)</w:t>
            </w:r>
          </w:p>
        </w:tc>
        <w:tc>
          <w:tcPr>
            <w:tcW w:w="2297" w:type="dxa"/>
            <w:tcBorders>
              <w:top w:val="single" w:sz="4" w:space="0" w:color="auto"/>
              <w:left w:val="single" w:sz="4" w:space="0" w:color="auto"/>
              <w:bottom w:val="single" w:sz="4" w:space="0" w:color="auto"/>
              <w:right w:val="single" w:sz="4" w:space="0" w:color="auto"/>
            </w:tcBorders>
            <w:vAlign w:val="center"/>
          </w:tcPr>
          <w:p w14:paraId="0B34ED3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3EC7525E"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4B89579E"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Depression</w:t>
            </w:r>
          </w:p>
        </w:tc>
        <w:tc>
          <w:tcPr>
            <w:tcW w:w="1560" w:type="dxa"/>
            <w:tcBorders>
              <w:top w:val="single" w:sz="4" w:space="0" w:color="auto"/>
              <w:left w:val="single" w:sz="4" w:space="0" w:color="auto"/>
              <w:bottom w:val="single" w:sz="4" w:space="0" w:color="auto"/>
              <w:right w:val="single" w:sz="4" w:space="0" w:color="auto"/>
            </w:tcBorders>
            <w:vAlign w:val="center"/>
          </w:tcPr>
          <w:p w14:paraId="6EF31DAA"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14:paraId="7FC5F7B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6 (3.8)</w:t>
            </w:r>
          </w:p>
        </w:tc>
        <w:tc>
          <w:tcPr>
            <w:tcW w:w="2297" w:type="dxa"/>
            <w:tcBorders>
              <w:top w:val="single" w:sz="4" w:space="0" w:color="auto"/>
              <w:left w:val="single" w:sz="4" w:space="0" w:color="auto"/>
              <w:bottom w:val="single" w:sz="4" w:space="0" w:color="auto"/>
              <w:right w:val="single" w:sz="4" w:space="0" w:color="auto"/>
            </w:tcBorders>
            <w:vAlign w:val="center"/>
          </w:tcPr>
          <w:p w14:paraId="68BD3C8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r>
      <w:tr w:rsidR="00A66D1C" w:rsidRPr="000C4E6C" w14:paraId="15423C48"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7FAFC5BF"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lastRenderedPageBreak/>
              <w:t>Reproductive system and breast disorders</w:t>
            </w:r>
          </w:p>
        </w:tc>
      </w:tr>
      <w:tr w:rsidR="00A66D1C" w:rsidRPr="000C4E6C" w14:paraId="29E5719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90F4E6E"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Benign prostatic hyperplasia (a)</w:t>
            </w:r>
          </w:p>
        </w:tc>
        <w:tc>
          <w:tcPr>
            <w:tcW w:w="1560" w:type="dxa"/>
            <w:tcBorders>
              <w:top w:val="single" w:sz="4" w:space="0" w:color="auto"/>
              <w:left w:val="single" w:sz="4" w:space="0" w:color="auto"/>
              <w:bottom w:val="single" w:sz="4" w:space="0" w:color="auto"/>
              <w:right w:val="single" w:sz="4" w:space="0" w:color="auto"/>
            </w:tcBorders>
            <w:vAlign w:val="center"/>
          </w:tcPr>
          <w:p w14:paraId="4B40953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07AA701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2297" w:type="dxa"/>
            <w:tcBorders>
              <w:top w:val="single" w:sz="4" w:space="0" w:color="auto"/>
              <w:left w:val="single" w:sz="4" w:space="0" w:color="auto"/>
              <w:bottom w:val="single" w:sz="4" w:space="0" w:color="auto"/>
              <w:right w:val="single" w:sz="4" w:space="0" w:color="auto"/>
            </w:tcBorders>
            <w:vAlign w:val="center"/>
          </w:tcPr>
          <w:p w14:paraId="309A48B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(1.7)</w:t>
            </w:r>
          </w:p>
        </w:tc>
      </w:tr>
      <w:tr w:rsidR="00A66D1C" w:rsidRPr="000C4E6C" w14:paraId="387EE2F4"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6242D1FE"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Respiratory, thoracic and mediastinal disorders</w:t>
            </w:r>
          </w:p>
        </w:tc>
      </w:tr>
      <w:tr w:rsidR="00A66D1C" w:rsidRPr="000C4E6C" w14:paraId="00DEFBD6"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76D570C5"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Cough</w:t>
            </w:r>
          </w:p>
        </w:tc>
        <w:tc>
          <w:tcPr>
            <w:tcW w:w="1560" w:type="dxa"/>
            <w:tcBorders>
              <w:top w:val="single" w:sz="4" w:space="0" w:color="auto"/>
              <w:left w:val="single" w:sz="4" w:space="0" w:color="auto"/>
              <w:bottom w:val="single" w:sz="4" w:space="0" w:color="auto"/>
              <w:right w:val="single" w:sz="4" w:space="0" w:color="auto"/>
            </w:tcBorders>
            <w:vAlign w:val="center"/>
          </w:tcPr>
          <w:p w14:paraId="7554365D"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11 (5.2)</w:t>
            </w:r>
          </w:p>
        </w:tc>
        <w:tc>
          <w:tcPr>
            <w:tcW w:w="1417" w:type="dxa"/>
            <w:tcBorders>
              <w:top w:val="single" w:sz="4" w:space="0" w:color="auto"/>
              <w:left w:val="single" w:sz="4" w:space="0" w:color="auto"/>
              <w:bottom w:val="single" w:sz="4" w:space="0" w:color="auto"/>
              <w:right w:val="single" w:sz="4" w:space="0" w:color="auto"/>
            </w:tcBorders>
            <w:vAlign w:val="center"/>
          </w:tcPr>
          <w:p w14:paraId="3AB69747"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(2.5)</w:t>
            </w:r>
          </w:p>
        </w:tc>
        <w:tc>
          <w:tcPr>
            <w:tcW w:w="2297" w:type="dxa"/>
            <w:tcBorders>
              <w:top w:val="single" w:sz="4" w:space="0" w:color="auto"/>
              <w:left w:val="single" w:sz="4" w:space="0" w:color="auto"/>
              <w:bottom w:val="single" w:sz="4" w:space="0" w:color="auto"/>
              <w:right w:val="single" w:sz="4" w:space="0" w:color="auto"/>
            </w:tcBorders>
            <w:vAlign w:val="center"/>
          </w:tcPr>
          <w:p w14:paraId="09D664A0"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r>
      <w:tr w:rsidR="00A66D1C" w:rsidRPr="000C4E6C" w14:paraId="733AF666"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56FEC94"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Oropharyngeal pain</w:t>
            </w:r>
          </w:p>
        </w:tc>
        <w:tc>
          <w:tcPr>
            <w:tcW w:w="1560" w:type="dxa"/>
            <w:tcBorders>
              <w:top w:val="single" w:sz="4" w:space="0" w:color="auto"/>
              <w:left w:val="single" w:sz="4" w:space="0" w:color="auto"/>
              <w:bottom w:val="single" w:sz="4" w:space="0" w:color="auto"/>
              <w:right w:val="single" w:sz="4" w:space="0" w:color="auto"/>
            </w:tcBorders>
            <w:vAlign w:val="center"/>
          </w:tcPr>
          <w:p w14:paraId="31D3A73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14:paraId="1FC27F7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03A1DA2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(0.9)</w:t>
            </w:r>
          </w:p>
        </w:tc>
      </w:tr>
      <w:tr w:rsidR="00A66D1C" w:rsidRPr="000C4E6C" w14:paraId="7565D47C"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380BA2A6"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Dyspnea</w:t>
            </w:r>
          </w:p>
        </w:tc>
        <w:tc>
          <w:tcPr>
            <w:tcW w:w="1560" w:type="dxa"/>
            <w:tcBorders>
              <w:top w:val="single" w:sz="4" w:space="0" w:color="auto"/>
              <w:left w:val="single" w:sz="4" w:space="0" w:color="auto"/>
              <w:bottom w:val="single" w:sz="4" w:space="0" w:color="auto"/>
              <w:right w:val="single" w:sz="4" w:space="0" w:color="auto"/>
            </w:tcBorders>
            <w:vAlign w:val="center"/>
          </w:tcPr>
          <w:p w14:paraId="316B98A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07CB995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28C7005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7CA153C3"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E959E0B"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Rhinorrhea</w:t>
            </w:r>
          </w:p>
        </w:tc>
        <w:tc>
          <w:tcPr>
            <w:tcW w:w="1560" w:type="dxa"/>
            <w:tcBorders>
              <w:top w:val="single" w:sz="4" w:space="0" w:color="auto"/>
              <w:left w:val="single" w:sz="4" w:space="0" w:color="auto"/>
              <w:bottom w:val="single" w:sz="4" w:space="0" w:color="auto"/>
              <w:right w:val="single" w:sz="4" w:space="0" w:color="auto"/>
            </w:tcBorders>
            <w:vAlign w:val="center"/>
          </w:tcPr>
          <w:p w14:paraId="2CDCF5B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CB78F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1FEDB0B8"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r>
      <w:tr w:rsidR="00A66D1C" w:rsidRPr="000C4E6C" w14:paraId="20C94C5D"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541766A3"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Skin and subcutaneous tissue disorders</w:t>
            </w:r>
          </w:p>
        </w:tc>
      </w:tr>
      <w:tr w:rsidR="00A66D1C" w:rsidRPr="000C4E6C" w14:paraId="2163A9D2"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65835AC2"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Alopecia</w:t>
            </w:r>
          </w:p>
        </w:tc>
        <w:tc>
          <w:tcPr>
            <w:tcW w:w="1560" w:type="dxa"/>
            <w:tcBorders>
              <w:top w:val="single" w:sz="4" w:space="0" w:color="auto"/>
              <w:left w:val="single" w:sz="4" w:space="0" w:color="auto"/>
              <w:bottom w:val="single" w:sz="4" w:space="0" w:color="auto"/>
              <w:right w:val="single" w:sz="4" w:space="0" w:color="auto"/>
            </w:tcBorders>
            <w:vAlign w:val="center"/>
          </w:tcPr>
          <w:p w14:paraId="7B3DAF8C"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14:paraId="08847D5B"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5DC9CA53"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(2.3)</w:t>
            </w:r>
          </w:p>
        </w:tc>
      </w:tr>
      <w:tr w:rsidR="00A66D1C" w:rsidRPr="000C4E6C" w14:paraId="2A0202BD"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0776A4B3"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Acne</w:t>
            </w:r>
          </w:p>
        </w:tc>
        <w:tc>
          <w:tcPr>
            <w:tcW w:w="1560" w:type="dxa"/>
            <w:tcBorders>
              <w:top w:val="single" w:sz="4" w:space="0" w:color="auto"/>
              <w:left w:val="single" w:sz="4" w:space="0" w:color="auto"/>
              <w:bottom w:val="single" w:sz="4" w:space="0" w:color="auto"/>
              <w:right w:val="single" w:sz="4" w:space="0" w:color="auto"/>
            </w:tcBorders>
            <w:vAlign w:val="center"/>
          </w:tcPr>
          <w:p w14:paraId="6D991E7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2632F1AF"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0B6E857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(0.9)</w:t>
            </w:r>
          </w:p>
        </w:tc>
      </w:tr>
      <w:tr w:rsidR="00A66D1C" w:rsidRPr="000C4E6C" w14:paraId="65DA9AFE"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2A2FD977"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Dermatitis contact</w:t>
            </w:r>
          </w:p>
        </w:tc>
        <w:tc>
          <w:tcPr>
            <w:tcW w:w="1560" w:type="dxa"/>
            <w:tcBorders>
              <w:top w:val="single" w:sz="4" w:space="0" w:color="auto"/>
              <w:left w:val="single" w:sz="4" w:space="0" w:color="auto"/>
              <w:bottom w:val="single" w:sz="4" w:space="0" w:color="auto"/>
              <w:right w:val="single" w:sz="4" w:space="0" w:color="auto"/>
            </w:tcBorders>
            <w:vAlign w:val="center"/>
          </w:tcPr>
          <w:p w14:paraId="08B664AE"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14:paraId="58410E66"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(1.3)</w:t>
            </w:r>
          </w:p>
        </w:tc>
        <w:tc>
          <w:tcPr>
            <w:tcW w:w="2297" w:type="dxa"/>
            <w:tcBorders>
              <w:top w:val="single" w:sz="4" w:space="0" w:color="auto"/>
              <w:left w:val="single" w:sz="4" w:space="0" w:color="auto"/>
              <w:bottom w:val="single" w:sz="4" w:space="0" w:color="auto"/>
              <w:right w:val="single" w:sz="4" w:space="0" w:color="auto"/>
            </w:tcBorders>
            <w:vAlign w:val="center"/>
          </w:tcPr>
          <w:p w14:paraId="52D238D1"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2 (0.9)</w:t>
            </w:r>
          </w:p>
        </w:tc>
      </w:tr>
      <w:tr w:rsidR="00A66D1C" w:rsidRPr="000C4E6C" w14:paraId="4E2DEFDF" w14:textId="77777777" w:rsidTr="0083768C">
        <w:trPr>
          <w:trHeight w:val="43"/>
        </w:trPr>
        <w:tc>
          <w:tcPr>
            <w:tcW w:w="7542" w:type="dxa"/>
            <w:gridSpan w:val="4"/>
            <w:tcBorders>
              <w:top w:val="single" w:sz="4" w:space="0" w:color="auto"/>
              <w:left w:val="single" w:sz="4" w:space="0" w:color="auto"/>
              <w:bottom w:val="single" w:sz="4" w:space="0" w:color="auto"/>
              <w:right w:val="single" w:sz="4" w:space="0" w:color="auto"/>
            </w:tcBorders>
            <w:vAlign w:val="center"/>
          </w:tcPr>
          <w:p w14:paraId="0E78DFCA" w14:textId="77777777" w:rsidR="00A66D1C" w:rsidRPr="000C4E6C" w:rsidRDefault="00A66D1C" w:rsidP="00A66D1C">
            <w:pPr>
              <w:spacing w:before="40" w:after="40" w:line="240" w:lineRule="auto"/>
              <w:rPr>
                <w:rFonts w:eastAsia="Calibri" w:cstheme="minorHAnsi"/>
                <w:b/>
                <w:color w:val="000000"/>
                <w:sz w:val="18"/>
                <w:szCs w:val="18"/>
                <w:lang w:val="en-US"/>
              </w:rPr>
            </w:pPr>
            <w:r w:rsidRPr="000C4E6C">
              <w:rPr>
                <w:rFonts w:eastAsia="Calibri" w:cstheme="minorHAnsi"/>
                <w:b/>
                <w:color w:val="000000"/>
                <w:sz w:val="18"/>
                <w:szCs w:val="18"/>
                <w:lang w:val="en-US"/>
              </w:rPr>
              <w:t>Vascular disorders</w:t>
            </w:r>
          </w:p>
        </w:tc>
      </w:tr>
      <w:tr w:rsidR="00A66D1C" w:rsidRPr="000C4E6C" w14:paraId="4E81DEA5" w14:textId="77777777" w:rsidTr="0083768C">
        <w:trPr>
          <w:trHeight w:val="43"/>
        </w:trPr>
        <w:tc>
          <w:tcPr>
            <w:tcW w:w="2268" w:type="dxa"/>
            <w:tcBorders>
              <w:top w:val="single" w:sz="4" w:space="0" w:color="auto"/>
              <w:left w:val="single" w:sz="4" w:space="0" w:color="auto"/>
              <w:bottom w:val="single" w:sz="4" w:space="0" w:color="auto"/>
              <w:right w:val="single" w:sz="4" w:space="0" w:color="auto"/>
            </w:tcBorders>
            <w:vAlign w:val="center"/>
          </w:tcPr>
          <w:p w14:paraId="53580D49" w14:textId="77777777" w:rsidR="00A66D1C" w:rsidRPr="000C4E6C" w:rsidRDefault="00A66D1C" w:rsidP="00A66D1C">
            <w:pPr>
              <w:spacing w:after="0" w:line="240" w:lineRule="auto"/>
              <w:rPr>
                <w:rFonts w:eastAsia="Times New Roman" w:cstheme="minorHAnsi"/>
                <w:sz w:val="18"/>
                <w:szCs w:val="18"/>
                <w:lang w:val="en-US"/>
              </w:rPr>
            </w:pPr>
            <w:r w:rsidRPr="000C4E6C">
              <w:rPr>
                <w:rFonts w:eastAsia="Times New Roman" w:cstheme="minorHAnsi"/>
                <w:sz w:val="18"/>
                <w:szCs w:val="18"/>
                <w:lang w:val="en-US"/>
              </w:rPr>
              <w:t>Hypertension</w:t>
            </w:r>
          </w:p>
        </w:tc>
        <w:tc>
          <w:tcPr>
            <w:tcW w:w="1560" w:type="dxa"/>
            <w:tcBorders>
              <w:top w:val="single" w:sz="4" w:space="0" w:color="auto"/>
              <w:left w:val="single" w:sz="4" w:space="0" w:color="auto"/>
              <w:bottom w:val="single" w:sz="4" w:space="0" w:color="auto"/>
              <w:right w:val="single" w:sz="4" w:space="0" w:color="auto"/>
            </w:tcBorders>
            <w:vAlign w:val="center"/>
          </w:tcPr>
          <w:p w14:paraId="74028A19"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5 (2.4)</w:t>
            </w:r>
          </w:p>
        </w:tc>
        <w:tc>
          <w:tcPr>
            <w:tcW w:w="1417" w:type="dxa"/>
            <w:tcBorders>
              <w:top w:val="single" w:sz="4" w:space="0" w:color="auto"/>
              <w:left w:val="single" w:sz="4" w:space="0" w:color="auto"/>
              <w:bottom w:val="single" w:sz="4" w:space="0" w:color="auto"/>
              <w:right w:val="single" w:sz="4" w:space="0" w:color="auto"/>
            </w:tcBorders>
            <w:vAlign w:val="center"/>
          </w:tcPr>
          <w:p w14:paraId="2078E675"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1 (0.6)</w:t>
            </w:r>
          </w:p>
        </w:tc>
        <w:tc>
          <w:tcPr>
            <w:tcW w:w="2297" w:type="dxa"/>
            <w:tcBorders>
              <w:top w:val="single" w:sz="4" w:space="0" w:color="auto"/>
              <w:left w:val="single" w:sz="4" w:space="0" w:color="auto"/>
              <w:bottom w:val="single" w:sz="4" w:space="0" w:color="auto"/>
              <w:right w:val="single" w:sz="4" w:space="0" w:color="auto"/>
            </w:tcBorders>
            <w:vAlign w:val="center"/>
          </w:tcPr>
          <w:p w14:paraId="592DD644" w14:textId="77777777" w:rsidR="00A66D1C" w:rsidRPr="000C4E6C" w:rsidRDefault="00A66D1C" w:rsidP="00A66D1C">
            <w:pPr>
              <w:spacing w:before="40" w:after="40" w:line="240" w:lineRule="auto"/>
              <w:jc w:val="center"/>
              <w:rPr>
                <w:rFonts w:eastAsia="Calibri" w:cstheme="minorHAnsi"/>
                <w:color w:val="000000"/>
                <w:sz w:val="18"/>
                <w:szCs w:val="18"/>
                <w:lang w:val="en-US"/>
              </w:rPr>
            </w:pPr>
            <w:r w:rsidRPr="000C4E6C">
              <w:rPr>
                <w:rFonts w:eastAsia="Calibri" w:cstheme="minorHAnsi"/>
                <w:color w:val="000000"/>
                <w:sz w:val="18"/>
                <w:szCs w:val="18"/>
                <w:lang w:val="en-US"/>
              </w:rPr>
              <w:t>9 (4.2)</w:t>
            </w:r>
          </w:p>
        </w:tc>
      </w:tr>
    </w:tbl>
    <w:p w14:paraId="67474804" w14:textId="77777777" w:rsidR="00E6611D" w:rsidRDefault="00094A0C" w:rsidP="0083768C">
      <w:pPr>
        <w:numPr>
          <w:ilvl w:val="0"/>
          <w:numId w:val="20"/>
        </w:numPr>
        <w:spacing w:after="0" w:line="240" w:lineRule="auto"/>
        <w:ind w:left="714" w:hanging="357"/>
        <w:contextualSpacing/>
        <w:rPr>
          <w:rFonts w:ascii="Calibri" w:eastAsia="Calibri" w:hAnsi="Calibri" w:cs="Arial"/>
          <w:sz w:val="16"/>
        </w:rPr>
      </w:pPr>
      <w:r w:rsidRPr="00A66D1C">
        <w:rPr>
          <w:rFonts w:ascii="Calibri" w:eastAsia="Calibri" w:hAnsi="Calibri" w:cs="Arial"/>
          <w:sz w:val="16"/>
        </w:rPr>
        <w:t>denominator adjusted because event is specific to males: N=</w:t>
      </w:r>
      <w:r>
        <w:rPr>
          <w:rFonts w:ascii="Calibri" w:eastAsia="Calibri" w:hAnsi="Calibri" w:cs="Arial"/>
          <w:sz w:val="16"/>
        </w:rPr>
        <w:t>62</w:t>
      </w:r>
      <w:r w:rsidRPr="00A66D1C">
        <w:rPr>
          <w:rFonts w:ascii="Calibri" w:eastAsia="Calibri" w:hAnsi="Calibri" w:cs="Arial"/>
          <w:sz w:val="16"/>
        </w:rPr>
        <w:t xml:space="preserve"> (</w:t>
      </w:r>
      <w:r w:rsidR="00E6611D">
        <w:rPr>
          <w:rFonts w:ascii="Calibri" w:eastAsia="Calibri" w:hAnsi="Calibri" w:cs="Arial"/>
          <w:sz w:val="16"/>
        </w:rPr>
        <w:t>MTX</w:t>
      </w:r>
      <w:r>
        <w:rPr>
          <w:rFonts w:ascii="Calibri" w:eastAsia="Calibri" w:hAnsi="Calibri" w:cs="Arial"/>
          <w:sz w:val="16"/>
        </w:rPr>
        <w:t>), N=</w:t>
      </w:r>
      <w:r w:rsidRPr="00A66D1C">
        <w:rPr>
          <w:rFonts w:ascii="Calibri" w:eastAsia="Calibri" w:hAnsi="Calibri" w:cs="Arial"/>
          <w:sz w:val="16"/>
        </w:rPr>
        <w:t>3</w:t>
      </w:r>
      <w:r>
        <w:rPr>
          <w:rFonts w:ascii="Calibri" w:eastAsia="Calibri" w:hAnsi="Calibri" w:cs="Arial"/>
          <w:sz w:val="16"/>
        </w:rPr>
        <w:t>8</w:t>
      </w:r>
      <w:r w:rsidRPr="00A66D1C">
        <w:rPr>
          <w:rFonts w:ascii="Calibri" w:eastAsia="Calibri" w:hAnsi="Calibri" w:cs="Arial"/>
          <w:sz w:val="16"/>
        </w:rPr>
        <w:t xml:space="preserve"> (OLUMIANT </w:t>
      </w:r>
      <w:r>
        <w:rPr>
          <w:rFonts w:ascii="Calibri" w:eastAsia="Calibri" w:hAnsi="Calibri" w:cs="Arial"/>
          <w:sz w:val="16"/>
        </w:rPr>
        <w:t>4</w:t>
      </w:r>
      <w:r w:rsidRPr="00A66D1C">
        <w:rPr>
          <w:rFonts w:ascii="Calibri" w:eastAsia="Calibri" w:hAnsi="Calibri" w:cs="Arial"/>
          <w:sz w:val="16"/>
        </w:rPr>
        <w:t> mg), N=</w:t>
      </w:r>
      <w:r w:rsidR="00861A8A">
        <w:rPr>
          <w:rFonts w:ascii="Calibri" w:eastAsia="Calibri" w:hAnsi="Calibri" w:cs="Arial"/>
          <w:sz w:val="16"/>
        </w:rPr>
        <w:t>59</w:t>
      </w:r>
      <w:r w:rsidRPr="00A66D1C">
        <w:rPr>
          <w:rFonts w:ascii="Calibri" w:eastAsia="Calibri" w:hAnsi="Calibri" w:cs="Arial"/>
          <w:sz w:val="16"/>
        </w:rPr>
        <w:t xml:space="preserve"> (OLUMIANT 4 mg</w:t>
      </w:r>
      <w:r w:rsidR="00861A8A">
        <w:rPr>
          <w:rFonts w:ascii="Calibri" w:eastAsia="Calibri" w:hAnsi="Calibri" w:cs="Arial"/>
          <w:sz w:val="16"/>
        </w:rPr>
        <w:t xml:space="preserve"> + </w:t>
      </w:r>
      <w:r w:rsidR="00E6611D">
        <w:rPr>
          <w:rFonts w:ascii="Calibri" w:eastAsia="Calibri" w:hAnsi="Calibri" w:cs="Arial"/>
          <w:sz w:val="16"/>
        </w:rPr>
        <w:t>MTX)</w:t>
      </w:r>
    </w:p>
    <w:p w14:paraId="34A2A6C2" w14:textId="77777777" w:rsidR="00094A0C" w:rsidRPr="00A66D1C" w:rsidRDefault="00E6611D" w:rsidP="0083768C">
      <w:pPr>
        <w:numPr>
          <w:ilvl w:val="0"/>
          <w:numId w:val="20"/>
        </w:numPr>
        <w:spacing w:after="0" w:line="240" w:lineRule="auto"/>
        <w:ind w:left="714" w:hanging="357"/>
        <w:contextualSpacing/>
        <w:rPr>
          <w:rFonts w:ascii="Calibri" w:eastAsia="Calibri" w:hAnsi="Calibri" w:cs="Arial"/>
          <w:sz w:val="16"/>
        </w:rPr>
      </w:pPr>
      <w:r>
        <w:rPr>
          <w:rFonts w:ascii="Calibri" w:eastAsia="Calibri" w:hAnsi="Calibri" w:cs="Arial"/>
          <w:sz w:val="16"/>
        </w:rPr>
        <w:t>denominator adjusted because event is specific to females: N=148 (MTX), N=121 (OLUMIANT4 mg), N=156 (OLUMIANT 4 mg + MTX</w:t>
      </w:r>
      <w:r w:rsidR="00094A0C" w:rsidRPr="00A66D1C">
        <w:rPr>
          <w:rFonts w:ascii="Calibri" w:eastAsia="Calibri" w:hAnsi="Calibri" w:cs="Arial"/>
          <w:sz w:val="16"/>
        </w:rPr>
        <w:t xml:space="preserve">)  </w:t>
      </w:r>
    </w:p>
    <w:p w14:paraId="5EE42A21" w14:textId="77777777" w:rsidR="00A66D1C" w:rsidRDefault="00A66D1C" w:rsidP="0083768C">
      <w:pPr>
        <w:spacing w:after="0" w:line="280" w:lineRule="exact"/>
        <w:rPr>
          <w:rFonts w:ascii="Arial" w:eastAsia="Times New Roman" w:hAnsi="Arial" w:cs="Times New Roman"/>
          <w:szCs w:val="24"/>
        </w:rPr>
      </w:pPr>
    </w:p>
    <w:p w14:paraId="72312307" w14:textId="77777777" w:rsidR="007F7D04" w:rsidRDefault="00A66D1C" w:rsidP="0083768C">
      <w:pPr>
        <w:pStyle w:val="Heading4"/>
        <w:keepNext w:val="0"/>
        <w:keepLines w:val="0"/>
      </w:pPr>
      <w:r>
        <w:t>Venous thromboembolism</w:t>
      </w:r>
    </w:p>
    <w:p w14:paraId="6219CB16" w14:textId="4C50A251" w:rsidR="00A66D1C" w:rsidRPr="00A66D1C" w:rsidRDefault="00A66D1C" w:rsidP="007F7D04">
      <w:r>
        <w:t>Events of VTE, including DVT and PE, have been reported in clinical trials (s</w:t>
      </w:r>
      <w:r w:rsidRPr="009B199C">
        <w:t>ee section 4.4</w:t>
      </w:r>
      <w:r w:rsidR="009B199C">
        <w:t xml:space="preserve"> </w:t>
      </w:r>
      <w:r w:rsidR="00567E45">
        <w:t xml:space="preserve">SPECIAL WARNINGS AND PRECAUTIONS FOR USE / </w:t>
      </w:r>
      <w:hyperlink w:anchor="_Venous_Thromboembolism" w:history="1">
        <w:r w:rsidR="001109EE" w:rsidRPr="000C1180">
          <w:rPr>
            <w:rStyle w:val="Hyperlink"/>
          </w:rPr>
          <w:t>T</w:t>
        </w:r>
        <w:r w:rsidR="00567E45">
          <w:rPr>
            <w:rStyle w:val="Hyperlink"/>
          </w:rPr>
          <w:t>hrombo</w:t>
        </w:r>
        <w:r w:rsidR="005F1DD5">
          <w:rPr>
            <w:rStyle w:val="Hyperlink"/>
          </w:rPr>
          <w:t>sis</w:t>
        </w:r>
      </w:hyperlink>
      <w:r w:rsidR="001109EE">
        <w:t>)</w:t>
      </w:r>
    </w:p>
    <w:p w14:paraId="1290FB76" w14:textId="77777777" w:rsidR="007F7D04" w:rsidRPr="00625B9E" w:rsidRDefault="007F7D04" w:rsidP="00094A0C">
      <w:pPr>
        <w:pStyle w:val="Heading4"/>
      </w:pPr>
      <w:r w:rsidRPr="00625B9E">
        <w:t>Treatment-Naïve Patients</w:t>
      </w:r>
    </w:p>
    <w:p w14:paraId="5F0BA9FE" w14:textId="77777777" w:rsidR="007F7D04" w:rsidRPr="00625B9E" w:rsidRDefault="007F7D04" w:rsidP="007F7D04">
      <w:pPr>
        <w:rPr>
          <w:lang w:val="en-GB"/>
        </w:rPr>
      </w:pPr>
      <w:r w:rsidRPr="00625B9E">
        <w:t>RA-BEGIN evaluated 584 patients with moderate to severe RA who had no or limited exposure to MTX and who were naïve to other DMARDs. The safety profile observed in the OLUMIANT treatment groups was consistent with the overall safety profile of OLUMIANT across all treatment settings. Up to week 52, similar proportions of patients in each of the 3 treatment groups experienced a treatment-emergent adverse event: MTX alone 71.9%, OLUMIANT 4 mg monotherapy 71.1%, and OLUMIANT 4 mg + MTX 77.7%. Likewise, similar proportions of patients experienced serious adverse events (SAEs): MTX alone 9.5%, OLUMIANT 4 mg monotherapy 7.5%, and OLUMIANT 4 mg + MTX 7.9%. Adverse events leading to discontinuation of study drug were most frequent in patients taking baricitinib in combination with MTX: MTX alone 5.2%, OLUMIANT 4 mg monotherapy 5.7%, and OLUMIANT 4 mg +MTX 10.7%. The most common reason for treatment discontinuation was infections or infestations. Three patient deaths were reported during the study, all in the MTX alone group.</w:t>
      </w:r>
    </w:p>
    <w:p w14:paraId="5D856417" w14:textId="77777777" w:rsidR="007F7D04" w:rsidRPr="00625B9E" w:rsidRDefault="007F7D04" w:rsidP="00094A0C">
      <w:pPr>
        <w:pStyle w:val="Heading4"/>
      </w:pPr>
      <w:r w:rsidRPr="00625B9E">
        <w:lastRenderedPageBreak/>
        <w:t>Methotrexate Inadequate Responders</w:t>
      </w:r>
    </w:p>
    <w:p w14:paraId="615DB8FE" w14:textId="3104E493" w:rsidR="007F7D04" w:rsidRDefault="007F7D04" w:rsidP="007F7D04">
      <w:r w:rsidRPr="00625B9E">
        <w:t>RA-BEAM evaluated 1305 patients with moderate to severe RA who had had an inadequate response to methotrexate and had not been treated with biologic DMARDs. Patients in this study were randomised to receive placebo, baricitinib or adalimumab. The safety profile observed in the baricitinib treatment groups was consistent with the overall safety profile of baricitinib across all treatment settings. Up to week 24, a higher proportion of patients in the 2 active treatment groups experienced a treatment-emergent adverse event: placebo 60.5%, baricitinib 4 mg 71.3%, and adalimumab 67.9%. Higher proportions of patients experienced serious adverse events (SAEs) in the placebo (4.5%) and baricitinib 4 mg (4.7%) treatment groups compared to adalimumab (1.8%). Adverse events leading to discontinuation of study drug were most frequent in patients taking baricitinib 4 mg (5.1%) compared to placebo (3.5%) and adalimumab (2.1%). The most common reason for treatment discontinuation was infections or infestations.</w:t>
      </w:r>
    </w:p>
    <w:p w14:paraId="79ADF264" w14:textId="1840FD4E" w:rsidR="00594AE7" w:rsidRPr="00EA2F85" w:rsidRDefault="00594AE7" w:rsidP="007F7D04">
      <w:pPr>
        <w:rPr>
          <w:b/>
          <w:u w:val="single"/>
        </w:rPr>
      </w:pPr>
      <w:bookmarkStart w:id="69" w:name="_Hlk45290808"/>
      <w:r w:rsidRPr="00EA2F85">
        <w:rPr>
          <w:b/>
          <w:u w:val="single"/>
        </w:rPr>
        <w:t>Atopic Dermatitis</w:t>
      </w:r>
    </w:p>
    <w:p w14:paraId="7D56B67B" w14:textId="6F0D5C8B" w:rsidR="00623BC6" w:rsidRPr="00C51F33" w:rsidRDefault="00623BC6" w:rsidP="00F32052">
      <w:r w:rsidRPr="00C51F33">
        <w:t xml:space="preserve">A total of </w:t>
      </w:r>
      <w:r w:rsidR="0095221D">
        <w:t>2531</w:t>
      </w:r>
      <w:r>
        <w:t xml:space="preserve"> </w:t>
      </w:r>
      <w:r w:rsidRPr="00C51F33">
        <w:t xml:space="preserve">patients were treated with </w:t>
      </w:r>
      <w:r>
        <w:t>OLUMIANT</w:t>
      </w:r>
      <w:r w:rsidRPr="00C51F33">
        <w:t xml:space="preserve"> in clinical studies in atopic dermatitis representing a total of </w:t>
      </w:r>
      <w:r w:rsidR="006C54EB">
        <w:t>2247</w:t>
      </w:r>
      <w:r w:rsidRPr="00C51F33">
        <w:t> patient</w:t>
      </w:r>
      <w:r w:rsidRPr="00C51F33">
        <w:noBreakHyphen/>
        <w:t>years of exposure. Of these</w:t>
      </w:r>
      <w:r w:rsidR="009146A6">
        <w:t xml:space="preserve"> </w:t>
      </w:r>
      <w:r w:rsidR="004273B9">
        <w:t>1106</w:t>
      </w:r>
      <w:r w:rsidRPr="00C51F33">
        <w:t xml:space="preserve"> atopic dermatitis patients were exposed to </w:t>
      </w:r>
      <w:r w:rsidR="00867941">
        <w:t>OLUMIANT</w:t>
      </w:r>
      <w:r w:rsidRPr="00C51F33">
        <w:t xml:space="preserve"> for at least one year. </w:t>
      </w:r>
    </w:p>
    <w:p w14:paraId="66146D03" w14:textId="3805E8C3" w:rsidR="00706A96" w:rsidRPr="00D11379" w:rsidRDefault="00623BC6">
      <w:r w:rsidRPr="00C51F33">
        <w:t>F</w:t>
      </w:r>
      <w:r w:rsidR="00422557">
        <w:t>ive</w:t>
      </w:r>
      <w:r w:rsidRPr="00C51F33">
        <w:t xml:space="preserve"> placebo</w:t>
      </w:r>
      <w:r w:rsidRPr="00C51F33">
        <w:noBreakHyphen/>
        <w:t>controlled studies were integrated (</w:t>
      </w:r>
      <w:r w:rsidR="006B42D1">
        <w:t>489</w:t>
      </w:r>
      <w:r w:rsidRPr="00C51F33">
        <w:t> patients on 4 mg once daily</w:t>
      </w:r>
      <w:r w:rsidR="008121EF">
        <w:t>, 576 patients on 2</w:t>
      </w:r>
      <w:r w:rsidR="009146A6">
        <w:t xml:space="preserve"> </w:t>
      </w:r>
      <w:r w:rsidR="008121EF">
        <w:t xml:space="preserve">mg once daily </w:t>
      </w:r>
      <w:r w:rsidRPr="00C51F33">
        <w:t xml:space="preserve">and </w:t>
      </w:r>
      <w:r w:rsidR="001B1741">
        <w:t>743</w:t>
      </w:r>
      <w:r w:rsidRPr="00C51F33">
        <w:t xml:space="preserve"> patients on placebo) to evaluate the safety of </w:t>
      </w:r>
      <w:r>
        <w:t>OLUMIANT</w:t>
      </w:r>
      <w:r w:rsidRPr="00C51F33">
        <w:t xml:space="preserve"> in comparison to placebo for up to 16 weeks after treatment initiation.</w:t>
      </w:r>
    </w:p>
    <w:p w14:paraId="54BEE59D" w14:textId="53E3D2A2" w:rsidR="00594AE7" w:rsidRPr="0083768C" w:rsidRDefault="00F9787B" w:rsidP="0083768C">
      <w:pPr>
        <w:rPr>
          <w:b/>
        </w:rPr>
      </w:pPr>
      <w:r w:rsidRPr="0083768C">
        <w:rPr>
          <w:b/>
        </w:rPr>
        <w:t xml:space="preserve">Table </w:t>
      </w:r>
      <w:r w:rsidR="001B67AC" w:rsidRPr="0083768C">
        <w:rPr>
          <w:b/>
        </w:rPr>
        <w:t>4</w:t>
      </w:r>
      <w:r w:rsidRPr="0083768C">
        <w:rPr>
          <w:b/>
        </w:rPr>
        <w:t xml:space="preserve"> Adverse </w:t>
      </w:r>
      <w:r w:rsidR="00BD2256" w:rsidRPr="0083768C">
        <w:rPr>
          <w:b/>
        </w:rPr>
        <w:t>Events</w:t>
      </w:r>
      <w:r w:rsidRPr="0083768C">
        <w:rPr>
          <w:b/>
        </w:rPr>
        <w:t xml:space="preserve"> in Placebo-Controlled Trials: Up to 16 Weeks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7"/>
        <w:gridCol w:w="1559"/>
        <w:gridCol w:w="1843"/>
      </w:tblGrid>
      <w:tr w:rsidR="00594AE7" w:rsidRPr="00594AE7" w14:paraId="173E8A0A" w14:textId="77777777" w:rsidTr="0083768C">
        <w:trPr>
          <w:trHeight w:val="1278"/>
          <w:tblHeader/>
        </w:trPr>
        <w:tc>
          <w:tcPr>
            <w:tcW w:w="3823" w:type="dxa"/>
            <w:tcBorders>
              <w:right w:val="single" w:sz="4" w:space="0" w:color="auto"/>
            </w:tcBorders>
            <w:vAlign w:val="bottom"/>
          </w:tcPr>
          <w:p w14:paraId="363CB36D" w14:textId="77777777" w:rsidR="00594AE7" w:rsidRPr="00594AE7" w:rsidRDefault="00594AE7" w:rsidP="00594AE7">
            <w:pPr>
              <w:rPr>
                <w:rFonts w:cstheme="minorHAnsi"/>
                <w:b/>
                <w:sz w:val="18"/>
                <w:szCs w:val="18"/>
                <w:lang w:val="en-US"/>
              </w:rPr>
            </w:pPr>
            <w:r w:rsidRPr="00594AE7">
              <w:rPr>
                <w:rFonts w:cstheme="minorHAnsi"/>
                <w:b/>
                <w:sz w:val="18"/>
                <w:szCs w:val="18"/>
                <w:lang w:val="en-US"/>
              </w:rPr>
              <w:t>System Organ Class/</w:t>
            </w:r>
          </w:p>
          <w:p w14:paraId="51BC213B" w14:textId="77777777" w:rsidR="00594AE7" w:rsidRPr="00594AE7" w:rsidRDefault="00594AE7" w:rsidP="00594AE7">
            <w:pPr>
              <w:rPr>
                <w:rFonts w:cstheme="minorHAnsi"/>
                <w:sz w:val="18"/>
                <w:szCs w:val="18"/>
                <w:lang w:val="en-US"/>
              </w:rPr>
            </w:pPr>
            <w:r w:rsidRPr="00594AE7">
              <w:rPr>
                <w:rFonts w:cstheme="minorHAnsi"/>
                <w:b/>
                <w:sz w:val="18"/>
                <w:szCs w:val="18"/>
                <w:lang w:val="en-US"/>
              </w:rPr>
              <w:t>Preferred term</w:t>
            </w:r>
          </w:p>
        </w:tc>
        <w:tc>
          <w:tcPr>
            <w:tcW w:w="1417" w:type="dxa"/>
            <w:tcBorders>
              <w:left w:val="single" w:sz="4" w:space="0" w:color="auto"/>
            </w:tcBorders>
            <w:vAlign w:val="bottom"/>
          </w:tcPr>
          <w:p w14:paraId="5C84EBC1" w14:textId="1E05C49B" w:rsidR="00594AE7" w:rsidRPr="00594AE7" w:rsidRDefault="00594AE7" w:rsidP="00594AE7">
            <w:pPr>
              <w:rPr>
                <w:rFonts w:cstheme="minorHAnsi"/>
                <w:b/>
                <w:sz w:val="18"/>
                <w:szCs w:val="18"/>
                <w:lang w:val="en-US"/>
              </w:rPr>
            </w:pPr>
            <w:r>
              <w:rPr>
                <w:rFonts w:cstheme="minorHAnsi"/>
                <w:b/>
                <w:sz w:val="18"/>
                <w:szCs w:val="18"/>
                <w:lang w:val="en-US"/>
              </w:rPr>
              <w:t>Placebo</w:t>
            </w:r>
            <w:r w:rsidRPr="00594AE7">
              <w:rPr>
                <w:rFonts w:cstheme="minorHAnsi"/>
                <w:b/>
                <w:sz w:val="18"/>
                <w:szCs w:val="18"/>
                <w:lang w:val="en-US"/>
              </w:rPr>
              <w:t xml:space="preserve"> </w:t>
            </w:r>
            <w:r w:rsidRPr="00594AE7">
              <w:rPr>
                <w:rFonts w:cstheme="minorHAnsi"/>
                <w:b/>
                <w:sz w:val="18"/>
                <w:szCs w:val="18"/>
                <w:lang w:val="en-US"/>
              </w:rPr>
              <w:br/>
              <w:t>n=</w:t>
            </w:r>
            <w:r w:rsidR="007D7EF1">
              <w:rPr>
                <w:rFonts w:cstheme="minorHAnsi"/>
                <w:b/>
                <w:sz w:val="18"/>
                <w:szCs w:val="18"/>
                <w:lang w:val="en-US"/>
              </w:rPr>
              <w:t>743</w:t>
            </w:r>
          </w:p>
          <w:p w14:paraId="72552267" w14:textId="5C474823" w:rsidR="00594AE7" w:rsidRPr="00594AE7" w:rsidRDefault="00594AE7" w:rsidP="00594AE7">
            <w:pPr>
              <w:rPr>
                <w:rFonts w:cstheme="minorHAnsi"/>
                <w:b/>
                <w:sz w:val="18"/>
                <w:szCs w:val="18"/>
                <w:lang w:val="en-US"/>
              </w:rPr>
            </w:pPr>
            <w:r w:rsidRPr="00594AE7">
              <w:rPr>
                <w:rFonts w:cstheme="minorHAnsi"/>
                <w:b/>
                <w:sz w:val="18"/>
                <w:szCs w:val="18"/>
                <w:lang w:val="en-US"/>
              </w:rPr>
              <w:t>(%</w:t>
            </w:r>
            <w:r w:rsidR="00D8015A" w:rsidRPr="00D8015A">
              <w:rPr>
                <w:rFonts w:cstheme="minorHAnsi"/>
                <w:b/>
                <w:sz w:val="18"/>
                <w:szCs w:val="18"/>
                <w:vertAlign w:val="superscript"/>
                <w:lang w:val="en-US"/>
              </w:rPr>
              <w:t>*</w:t>
            </w:r>
            <w:r w:rsidRPr="00594AE7">
              <w:rPr>
                <w:rFonts w:cstheme="minorHAnsi"/>
                <w:b/>
                <w:sz w:val="18"/>
                <w:szCs w:val="18"/>
                <w:lang w:val="en-US"/>
              </w:rPr>
              <w:t>)</w:t>
            </w:r>
            <w:r w:rsidR="00EF37FA">
              <w:rPr>
                <w:rFonts w:cstheme="minorHAnsi"/>
                <w:b/>
                <w:sz w:val="18"/>
                <w:szCs w:val="18"/>
                <w:lang w:val="en-US"/>
              </w:rPr>
              <w:t xml:space="preserve"> </w:t>
            </w:r>
          </w:p>
        </w:tc>
        <w:tc>
          <w:tcPr>
            <w:tcW w:w="1559" w:type="dxa"/>
            <w:vAlign w:val="bottom"/>
          </w:tcPr>
          <w:p w14:paraId="27A8A42C" w14:textId="61F65AB9" w:rsidR="00594AE7" w:rsidRPr="00594AE7" w:rsidRDefault="00EA2F85" w:rsidP="00594AE7">
            <w:pPr>
              <w:rPr>
                <w:rFonts w:cstheme="minorHAnsi"/>
                <w:b/>
                <w:sz w:val="18"/>
                <w:szCs w:val="18"/>
                <w:lang w:val="en-US"/>
              </w:rPr>
            </w:pPr>
            <w:r>
              <w:rPr>
                <w:rFonts w:cstheme="minorHAnsi"/>
                <w:b/>
                <w:sz w:val="18"/>
                <w:szCs w:val="18"/>
                <w:lang w:val="en-US"/>
              </w:rPr>
              <w:t>OLUMIANT</w:t>
            </w:r>
            <w:r w:rsidR="00594AE7">
              <w:rPr>
                <w:rFonts w:cstheme="minorHAnsi"/>
                <w:b/>
                <w:sz w:val="18"/>
                <w:szCs w:val="18"/>
                <w:lang w:val="en-US"/>
              </w:rPr>
              <w:t xml:space="preserve"> </w:t>
            </w:r>
            <w:r w:rsidR="00594AE7" w:rsidRPr="00594AE7">
              <w:rPr>
                <w:rFonts w:cstheme="minorHAnsi"/>
                <w:b/>
                <w:sz w:val="18"/>
                <w:szCs w:val="18"/>
                <w:lang w:val="en-US"/>
              </w:rPr>
              <w:t xml:space="preserve">2 mg </w:t>
            </w:r>
            <w:r w:rsidR="00594AE7" w:rsidRPr="00594AE7">
              <w:rPr>
                <w:rFonts w:cstheme="minorHAnsi"/>
                <w:b/>
                <w:sz w:val="18"/>
                <w:szCs w:val="18"/>
                <w:lang w:val="en-US"/>
              </w:rPr>
              <w:br/>
              <w:t xml:space="preserve">n= </w:t>
            </w:r>
            <w:r w:rsidR="00F96348">
              <w:rPr>
                <w:rFonts w:cstheme="minorHAnsi"/>
                <w:b/>
                <w:sz w:val="18"/>
                <w:szCs w:val="18"/>
                <w:lang w:val="en-US"/>
              </w:rPr>
              <w:t>576</w:t>
            </w:r>
          </w:p>
          <w:p w14:paraId="0BAEED7A" w14:textId="4CBB6E0B" w:rsidR="00594AE7" w:rsidRPr="00594AE7" w:rsidRDefault="00EF37FA" w:rsidP="00594AE7">
            <w:pPr>
              <w:rPr>
                <w:rFonts w:cstheme="minorHAnsi"/>
                <w:b/>
                <w:sz w:val="18"/>
                <w:szCs w:val="18"/>
                <w:lang w:val="en-US"/>
              </w:rPr>
            </w:pPr>
            <w:r w:rsidRPr="00594AE7">
              <w:rPr>
                <w:rFonts w:cstheme="minorHAnsi"/>
                <w:b/>
                <w:sz w:val="18"/>
                <w:szCs w:val="18"/>
                <w:lang w:val="en-US"/>
              </w:rPr>
              <w:t>(%</w:t>
            </w:r>
            <w:r w:rsidR="00D8015A">
              <w:rPr>
                <w:rFonts w:cstheme="minorHAnsi"/>
                <w:b/>
                <w:sz w:val="18"/>
                <w:szCs w:val="18"/>
                <w:vertAlign w:val="superscript"/>
                <w:lang w:val="en-US"/>
              </w:rPr>
              <w:t>*</w:t>
            </w:r>
            <w:r w:rsidRPr="00594AE7">
              <w:rPr>
                <w:rFonts w:cstheme="minorHAnsi"/>
                <w:b/>
                <w:sz w:val="18"/>
                <w:szCs w:val="18"/>
                <w:lang w:val="en-US"/>
              </w:rPr>
              <w:t>)</w:t>
            </w:r>
          </w:p>
        </w:tc>
        <w:tc>
          <w:tcPr>
            <w:tcW w:w="1843" w:type="dxa"/>
            <w:vAlign w:val="bottom"/>
          </w:tcPr>
          <w:p w14:paraId="31957814" w14:textId="4201738D" w:rsidR="00594AE7" w:rsidRPr="00594AE7" w:rsidRDefault="00EA2F85" w:rsidP="00594AE7">
            <w:pPr>
              <w:rPr>
                <w:rFonts w:cstheme="minorHAnsi"/>
                <w:b/>
                <w:sz w:val="18"/>
                <w:szCs w:val="18"/>
                <w:lang w:val="en-US"/>
              </w:rPr>
            </w:pPr>
            <w:r>
              <w:rPr>
                <w:rFonts w:cstheme="minorHAnsi"/>
                <w:b/>
                <w:sz w:val="18"/>
                <w:szCs w:val="18"/>
                <w:lang w:val="en-US"/>
              </w:rPr>
              <w:t>OLUMIANT</w:t>
            </w:r>
            <w:r w:rsidR="00594AE7">
              <w:rPr>
                <w:rFonts w:cstheme="minorHAnsi"/>
                <w:b/>
                <w:sz w:val="18"/>
                <w:szCs w:val="18"/>
                <w:lang w:val="en-US"/>
              </w:rPr>
              <w:t xml:space="preserve"> </w:t>
            </w:r>
            <w:r w:rsidR="00594AE7" w:rsidRPr="00594AE7">
              <w:rPr>
                <w:rFonts w:cstheme="minorHAnsi"/>
                <w:b/>
                <w:sz w:val="18"/>
                <w:szCs w:val="18"/>
                <w:lang w:val="en-US"/>
              </w:rPr>
              <w:t xml:space="preserve">4 mg </w:t>
            </w:r>
            <w:r w:rsidR="00594AE7" w:rsidRPr="00594AE7">
              <w:rPr>
                <w:rFonts w:cstheme="minorHAnsi"/>
                <w:b/>
                <w:sz w:val="18"/>
                <w:szCs w:val="18"/>
                <w:lang w:val="en-US"/>
              </w:rPr>
              <w:br/>
              <w:t xml:space="preserve">n= </w:t>
            </w:r>
            <w:r w:rsidR="00F96348">
              <w:rPr>
                <w:rFonts w:cstheme="minorHAnsi"/>
                <w:b/>
                <w:sz w:val="18"/>
                <w:szCs w:val="18"/>
                <w:lang w:val="en-US"/>
              </w:rPr>
              <w:t>489</w:t>
            </w:r>
          </w:p>
          <w:p w14:paraId="4E2C5ED2" w14:textId="7C6E4C02" w:rsidR="00594AE7" w:rsidRPr="00594AE7" w:rsidRDefault="00EF37FA" w:rsidP="00594AE7">
            <w:pPr>
              <w:rPr>
                <w:rFonts w:cstheme="minorHAnsi"/>
                <w:b/>
                <w:sz w:val="18"/>
                <w:szCs w:val="18"/>
                <w:lang w:val="en-US"/>
              </w:rPr>
            </w:pPr>
            <w:r w:rsidRPr="00594AE7">
              <w:rPr>
                <w:rFonts w:cstheme="minorHAnsi"/>
                <w:b/>
                <w:sz w:val="18"/>
                <w:szCs w:val="18"/>
                <w:lang w:val="en-US"/>
              </w:rPr>
              <w:t>(%</w:t>
            </w:r>
            <w:r w:rsidR="00D8015A">
              <w:rPr>
                <w:rFonts w:cstheme="minorHAnsi"/>
                <w:b/>
                <w:sz w:val="18"/>
                <w:szCs w:val="18"/>
                <w:vertAlign w:val="superscript"/>
                <w:lang w:val="en-US"/>
              </w:rPr>
              <w:t>*</w:t>
            </w:r>
            <w:r w:rsidRPr="00594AE7">
              <w:rPr>
                <w:rFonts w:cstheme="minorHAnsi"/>
                <w:b/>
                <w:sz w:val="18"/>
                <w:szCs w:val="18"/>
                <w:lang w:val="en-US"/>
              </w:rPr>
              <w:t>)</w:t>
            </w:r>
          </w:p>
        </w:tc>
      </w:tr>
      <w:tr w:rsidR="00594AE7" w:rsidRPr="00594AE7" w14:paraId="6DED17A6" w14:textId="77777777" w:rsidTr="00331536">
        <w:trPr>
          <w:trHeight w:val="301"/>
        </w:trPr>
        <w:tc>
          <w:tcPr>
            <w:tcW w:w="8642" w:type="dxa"/>
            <w:gridSpan w:val="4"/>
          </w:tcPr>
          <w:p w14:paraId="55425CC0" w14:textId="77777777" w:rsidR="00594AE7" w:rsidRPr="00594AE7" w:rsidRDefault="00594AE7" w:rsidP="00594AE7">
            <w:pPr>
              <w:rPr>
                <w:rFonts w:cstheme="minorHAnsi"/>
                <w:sz w:val="18"/>
                <w:szCs w:val="18"/>
                <w:lang w:val="en-US"/>
              </w:rPr>
            </w:pPr>
            <w:r w:rsidRPr="00594AE7">
              <w:rPr>
                <w:rFonts w:cstheme="minorHAnsi"/>
                <w:b/>
                <w:sz w:val="18"/>
                <w:szCs w:val="18"/>
                <w:lang w:val="en-US"/>
              </w:rPr>
              <w:t>Gastrointestinal disorders</w:t>
            </w:r>
          </w:p>
        </w:tc>
      </w:tr>
      <w:tr w:rsidR="00594AE7" w:rsidRPr="00594AE7" w14:paraId="7990F7EF" w14:textId="77777777" w:rsidTr="00832C70">
        <w:trPr>
          <w:trHeight w:val="301"/>
        </w:trPr>
        <w:tc>
          <w:tcPr>
            <w:tcW w:w="3823" w:type="dxa"/>
            <w:tcBorders>
              <w:right w:val="single" w:sz="4" w:space="0" w:color="auto"/>
            </w:tcBorders>
          </w:tcPr>
          <w:p w14:paraId="3BB13CB5" w14:textId="77777777" w:rsidR="00594AE7" w:rsidRPr="00594AE7" w:rsidRDefault="00594AE7" w:rsidP="00594AE7">
            <w:pPr>
              <w:rPr>
                <w:rFonts w:cstheme="minorHAnsi"/>
                <w:sz w:val="18"/>
                <w:szCs w:val="18"/>
                <w:lang w:val="en-US"/>
              </w:rPr>
            </w:pPr>
            <w:r w:rsidRPr="00594AE7">
              <w:rPr>
                <w:rFonts w:cstheme="minorHAnsi"/>
                <w:sz w:val="18"/>
                <w:szCs w:val="18"/>
                <w:lang w:val="en-US"/>
              </w:rPr>
              <w:t>Nausea</w:t>
            </w:r>
          </w:p>
        </w:tc>
        <w:tc>
          <w:tcPr>
            <w:tcW w:w="1417" w:type="dxa"/>
            <w:tcBorders>
              <w:left w:val="single" w:sz="4" w:space="0" w:color="auto"/>
            </w:tcBorders>
          </w:tcPr>
          <w:p w14:paraId="1972B9E8" w14:textId="3216F647" w:rsidR="00594AE7" w:rsidRPr="00594AE7" w:rsidRDefault="00177836" w:rsidP="00594AE7">
            <w:pPr>
              <w:rPr>
                <w:rFonts w:cstheme="minorHAnsi"/>
                <w:sz w:val="18"/>
                <w:szCs w:val="18"/>
                <w:lang w:val="en-US"/>
              </w:rPr>
            </w:pPr>
            <w:r>
              <w:rPr>
                <w:rFonts w:cstheme="minorHAnsi"/>
                <w:sz w:val="18"/>
                <w:szCs w:val="18"/>
                <w:lang w:val="en-US"/>
              </w:rPr>
              <w:t>8 (</w:t>
            </w:r>
            <w:r w:rsidR="00704571">
              <w:rPr>
                <w:rFonts w:cstheme="minorHAnsi"/>
                <w:sz w:val="18"/>
                <w:szCs w:val="18"/>
                <w:lang w:val="en-US"/>
              </w:rPr>
              <w:t>0.8</w:t>
            </w:r>
            <w:r>
              <w:rPr>
                <w:rFonts w:cstheme="minorHAnsi"/>
                <w:sz w:val="18"/>
                <w:szCs w:val="18"/>
                <w:lang w:val="en-US"/>
              </w:rPr>
              <w:t>)</w:t>
            </w:r>
          </w:p>
        </w:tc>
        <w:tc>
          <w:tcPr>
            <w:tcW w:w="1559" w:type="dxa"/>
          </w:tcPr>
          <w:p w14:paraId="6152BE10" w14:textId="3C62DB41" w:rsidR="00594AE7" w:rsidRPr="00594AE7" w:rsidRDefault="00773B77" w:rsidP="00594AE7">
            <w:pPr>
              <w:rPr>
                <w:rFonts w:cstheme="minorHAnsi"/>
                <w:sz w:val="18"/>
                <w:szCs w:val="18"/>
                <w:lang w:val="en-US"/>
              </w:rPr>
            </w:pPr>
            <w:r>
              <w:rPr>
                <w:rFonts w:cstheme="minorHAnsi"/>
                <w:sz w:val="18"/>
                <w:szCs w:val="18"/>
                <w:lang w:val="en-US"/>
              </w:rPr>
              <w:t>14</w:t>
            </w:r>
            <w:r w:rsidR="00177836">
              <w:rPr>
                <w:rFonts w:cstheme="minorHAnsi"/>
                <w:sz w:val="18"/>
                <w:szCs w:val="18"/>
                <w:lang w:val="en-US"/>
              </w:rPr>
              <w:t xml:space="preserve"> (</w:t>
            </w:r>
            <w:r w:rsidR="00594AE7" w:rsidRPr="00594AE7">
              <w:rPr>
                <w:rFonts w:cstheme="minorHAnsi"/>
                <w:sz w:val="18"/>
                <w:szCs w:val="18"/>
                <w:lang w:val="en-US"/>
              </w:rPr>
              <w:t>1.</w:t>
            </w:r>
            <w:r w:rsidR="00704571">
              <w:rPr>
                <w:rFonts w:cstheme="minorHAnsi"/>
                <w:sz w:val="18"/>
                <w:szCs w:val="18"/>
                <w:lang w:val="en-US"/>
              </w:rPr>
              <w:t>8</w:t>
            </w:r>
            <w:r w:rsidR="00177836">
              <w:rPr>
                <w:rFonts w:cstheme="minorHAnsi"/>
                <w:sz w:val="18"/>
                <w:szCs w:val="18"/>
                <w:lang w:val="en-US"/>
              </w:rPr>
              <w:t>)</w:t>
            </w:r>
          </w:p>
        </w:tc>
        <w:tc>
          <w:tcPr>
            <w:tcW w:w="1843" w:type="dxa"/>
          </w:tcPr>
          <w:p w14:paraId="3E526246" w14:textId="16CAC4A9" w:rsidR="00594AE7" w:rsidRPr="00594AE7" w:rsidRDefault="00773B77" w:rsidP="00594AE7">
            <w:pPr>
              <w:rPr>
                <w:rFonts w:cstheme="minorHAnsi"/>
                <w:sz w:val="18"/>
                <w:szCs w:val="18"/>
                <w:lang w:val="en-US"/>
              </w:rPr>
            </w:pPr>
            <w:r>
              <w:rPr>
                <w:rFonts w:cstheme="minorHAnsi"/>
                <w:sz w:val="18"/>
                <w:szCs w:val="18"/>
                <w:lang w:val="en-US"/>
              </w:rPr>
              <w:t>4</w:t>
            </w:r>
            <w:r w:rsidR="00177836">
              <w:rPr>
                <w:rFonts w:cstheme="minorHAnsi"/>
                <w:sz w:val="18"/>
                <w:szCs w:val="18"/>
                <w:lang w:val="en-US"/>
              </w:rPr>
              <w:t xml:space="preserve"> (</w:t>
            </w:r>
            <w:r w:rsidR="00594AE7" w:rsidRPr="00594AE7">
              <w:rPr>
                <w:rFonts w:cstheme="minorHAnsi"/>
                <w:sz w:val="18"/>
                <w:szCs w:val="18"/>
                <w:lang w:val="en-US"/>
              </w:rPr>
              <w:t>0.</w:t>
            </w:r>
            <w:r w:rsidR="00704571">
              <w:rPr>
                <w:rFonts w:cstheme="minorHAnsi"/>
                <w:sz w:val="18"/>
                <w:szCs w:val="18"/>
                <w:lang w:val="en-US"/>
              </w:rPr>
              <w:t>8</w:t>
            </w:r>
            <w:r w:rsidR="00177836">
              <w:rPr>
                <w:rFonts w:cstheme="minorHAnsi"/>
                <w:sz w:val="18"/>
                <w:szCs w:val="18"/>
                <w:lang w:val="en-US"/>
              </w:rPr>
              <w:t>)</w:t>
            </w:r>
          </w:p>
        </w:tc>
      </w:tr>
      <w:tr w:rsidR="001A07C7" w:rsidRPr="00594AE7" w14:paraId="551480D5" w14:textId="77777777" w:rsidTr="00832C70">
        <w:trPr>
          <w:trHeight w:val="301"/>
        </w:trPr>
        <w:tc>
          <w:tcPr>
            <w:tcW w:w="3823" w:type="dxa"/>
            <w:tcBorders>
              <w:right w:val="single" w:sz="4" w:space="0" w:color="auto"/>
            </w:tcBorders>
          </w:tcPr>
          <w:p w14:paraId="29554958" w14:textId="0ADFECA3" w:rsidR="001A07C7" w:rsidRPr="00594AE7" w:rsidRDefault="001A07C7" w:rsidP="00594AE7">
            <w:pPr>
              <w:rPr>
                <w:rFonts w:cstheme="minorHAnsi"/>
                <w:sz w:val="18"/>
                <w:szCs w:val="18"/>
                <w:lang w:val="en-US"/>
              </w:rPr>
            </w:pPr>
            <w:r w:rsidRPr="0020258E">
              <w:rPr>
                <w:rFonts w:cstheme="minorHAnsi"/>
                <w:sz w:val="18"/>
                <w:szCs w:val="18"/>
                <w:lang w:val="en-US"/>
              </w:rPr>
              <w:t xml:space="preserve">Abdominal </w:t>
            </w:r>
            <w:proofErr w:type="spellStart"/>
            <w:r w:rsidRPr="0020258E">
              <w:rPr>
                <w:rFonts w:cstheme="minorHAnsi"/>
                <w:sz w:val="18"/>
                <w:szCs w:val="18"/>
                <w:lang w:val="en-US"/>
              </w:rPr>
              <w:t>pain</w:t>
            </w:r>
            <w:r w:rsidR="00645592" w:rsidRPr="0020258E">
              <w:rPr>
                <w:rFonts w:cstheme="minorHAnsi"/>
                <w:sz w:val="18"/>
                <w:szCs w:val="18"/>
                <w:vertAlign w:val="superscript"/>
                <w:lang w:val="en-US"/>
              </w:rPr>
              <w:t>a</w:t>
            </w:r>
            <w:proofErr w:type="spellEnd"/>
          </w:p>
        </w:tc>
        <w:tc>
          <w:tcPr>
            <w:tcW w:w="1417" w:type="dxa"/>
            <w:tcBorders>
              <w:left w:val="single" w:sz="4" w:space="0" w:color="auto"/>
            </w:tcBorders>
          </w:tcPr>
          <w:p w14:paraId="47EB7E40" w14:textId="30163912" w:rsidR="001A07C7" w:rsidRDefault="005C167B" w:rsidP="00594AE7">
            <w:pPr>
              <w:rPr>
                <w:rFonts w:cstheme="minorHAnsi"/>
                <w:sz w:val="18"/>
                <w:szCs w:val="18"/>
                <w:lang w:val="en-US"/>
              </w:rPr>
            </w:pPr>
            <w:r>
              <w:rPr>
                <w:rFonts w:cstheme="minorHAnsi"/>
                <w:sz w:val="18"/>
                <w:szCs w:val="18"/>
                <w:lang w:val="en-US"/>
              </w:rPr>
              <w:t xml:space="preserve">18 </w:t>
            </w:r>
            <w:r w:rsidR="00C640AC">
              <w:rPr>
                <w:rFonts w:cstheme="minorHAnsi"/>
                <w:sz w:val="18"/>
                <w:szCs w:val="18"/>
                <w:lang w:val="en-US"/>
              </w:rPr>
              <w:t>(</w:t>
            </w:r>
            <w:r w:rsidR="00704571">
              <w:rPr>
                <w:rFonts w:cstheme="minorHAnsi"/>
                <w:sz w:val="18"/>
                <w:szCs w:val="18"/>
                <w:lang w:val="en-US"/>
              </w:rPr>
              <w:t>2.2</w:t>
            </w:r>
            <w:r w:rsidR="00C640AC">
              <w:rPr>
                <w:rFonts w:cstheme="minorHAnsi"/>
                <w:sz w:val="18"/>
                <w:szCs w:val="18"/>
                <w:lang w:val="en-US"/>
              </w:rPr>
              <w:t>)</w:t>
            </w:r>
          </w:p>
        </w:tc>
        <w:tc>
          <w:tcPr>
            <w:tcW w:w="1559" w:type="dxa"/>
          </w:tcPr>
          <w:p w14:paraId="30572974" w14:textId="5D26C6CC" w:rsidR="001A07C7" w:rsidRDefault="00D45949" w:rsidP="00594AE7">
            <w:pPr>
              <w:rPr>
                <w:rFonts w:cstheme="minorHAnsi"/>
                <w:sz w:val="18"/>
                <w:szCs w:val="18"/>
                <w:lang w:val="en-US"/>
              </w:rPr>
            </w:pPr>
            <w:r>
              <w:rPr>
                <w:rFonts w:cstheme="minorHAnsi"/>
                <w:sz w:val="18"/>
                <w:szCs w:val="18"/>
                <w:lang w:val="en-US"/>
              </w:rPr>
              <w:t xml:space="preserve">21 </w:t>
            </w:r>
            <w:r w:rsidR="00C640AC">
              <w:rPr>
                <w:rFonts w:cstheme="minorHAnsi"/>
                <w:sz w:val="18"/>
                <w:szCs w:val="18"/>
                <w:lang w:val="en-US"/>
              </w:rPr>
              <w:t>(</w:t>
            </w:r>
            <w:r w:rsidR="00704571">
              <w:rPr>
                <w:rFonts w:cstheme="minorHAnsi"/>
                <w:sz w:val="18"/>
                <w:szCs w:val="18"/>
                <w:lang w:val="en-US"/>
              </w:rPr>
              <w:t>3.0</w:t>
            </w:r>
            <w:r w:rsidR="00C640AC">
              <w:rPr>
                <w:rFonts w:cstheme="minorHAnsi"/>
                <w:sz w:val="18"/>
                <w:szCs w:val="18"/>
                <w:lang w:val="en-US"/>
              </w:rPr>
              <w:t>)</w:t>
            </w:r>
          </w:p>
        </w:tc>
        <w:tc>
          <w:tcPr>
            <w:tcW w:w="1843" w:type="dxa"/>
          </w:tcPr>
          <w:p w14:paraId="1ADE1691" w14:textId="3F46A63D" w:rsidR="001A07C7" w:rsidRDefault="00D45949" w:rsidP="00594AE7">
            <w:pPr>
              <w:rPr>
                <w:rFonts w:cstheme="minorHAnsi"/>
                <w:sz w:val="18"/>
                <w:szCs w:val="18"/>
                <w:lang w:val="en-US"/>
              </w:rPr>
            </w:pPr>
            <w:r>
              <w:rPr>
                <w:rFonts w:cstheme="minorHAnsi"/>
                <w:sz w:val="18"/>
                <w:szCs w:val="18"/>
                <w:lang w:val="en-US"/>
              </w:rPr>
              <w:t xml:space="preserve">20 </w:t>
            </w:r>
            <w:r w:rsidR="00C640AC">
              <w:rPr>
                <w:rFonts w:cstheme="minorHAnsi"/>
                <w:sz w:val="18"/>
                <w:szCs w:val="18"/>
                <w:lang w:val="en-US"/>
              </w:rPr>
              <w:t>(</w:t>
            </w:r>
            <w:r w:rsidR="00FE65AF">
              <w:rPr>
                <w:rFonts w:cstheme="minorHAnsi"/>
                <w:sz w:val="18"/>
                <w:szCs w:val="18"/>
                <w:lang w:val="en-US"/>
              </w:rPr>
              <w:t>3.6</w:t>
            </w:r>
            <w:r w:rsidR="00C640AC">
              <w:rPr>
                <w:rFonts w:cstheme="minorHAnsi"/>
                <w:sz w:val="18"/>
                <w:szCs w:val="18"/>
                <w:lang w:val="en-US"/>
              </w:rPr>
              <w:t>)</w:t>
            </w:r>
          </w:p>
        </w:tc>
      </w:tr>
      <w:tr w:rsidR="00594AE7" w:rsidRPr="00594AE7" w14:paraId="7CB7BD64" w14:textId="77777777" w:rsidTr="00331536">
        <w:trPr>
          <w:trHeight w:val="301"/>
        </w:trPr>
        <w:tc>
          <w:tcPr>
            <w:tcW w:w="8642" w:type="dxa"/>
            <w:gridSpan w:val="4"/>
            <w:vAlign w:val="bottom"/>
          </w:tcPr>
          <w:p w14:paraId="49848A3A" w14:textId="77777777" w:rsidR="00594AE7" w:rsidRPr="00594AE7" w:rsidRDefault="00594AE7" w:rsidP="00594AE7">
            <w:pPr>
              <w:rPr>
                <w:rFonts w:cstheme="minorHAnsi"/>
                <w:sz w:val="18"/>
                <w:szCs w:val="18"/>
                <w:lang w:val="en-US"/>
              </w:rPr>
            </w:pPr>
            <w:r w:rsidRPr="00594AE7">
              <w:rPr>
                <w:rFonts w:cstheme="minorHAnsi"/>
                <w:b/>
                <w:sz w:val="18"/>
                <w:szCs w:val="18"/>
                <w:lang w:val="en-US"/>
              </w:rPr>
              <w:t>Infections</w:t>
            </w:r>
          </w:p>
        </w:tc>
      </w:tr>
      <w:tr w:rsidR="00594AE7" w:rsidRPr="00594AE7" w14:paraId="243A4489" w14:textId="77777777" w:rsidTr="00832C70">
        <w:trPr>
          <w:trHeight w:val="301"/>
        </w:trPr>
        <w:tc>
          <w:tcPr>
            <w:tcW w:w="3823" w:type="dxa"/>
            <w:tcBorders>
              <w:right w:val="single" w:sz="4" w:space="0" w:color="auto"/>
            </w:tcBorders>
          </w:tcPr>
          <w:p w14:paraId="2FE99BDE" w14:textId="7BE7485B" w:rsidR="00594AE7" w:rsidRPr="00594AE7" w:rsidRDefault="00594AE7" w:rsidP="00594AE7">
            <w:pPr>
              <w:rPr>
                <w:rFonts w:cstheme="minorHAnsi"/>
                <w:sz w:val="18"/>
                <w:szCs w:val="18"/>
                <w:lang w:val="en-US"/>
              </w:rPr>
            </w:pPr>
            <w:r w:rsidRPr="00594AE7">
              <w:rPr>
                <w:rFonts w:cstheme="minorHAnsi"/>
                <w:sz w:val="18"/>
                <w:szCs w:val="18"/>
                <w:lang w:val="en-US"/>
              </w:rPr>
              <w:t xml:space="preserve">Upper respiratory tract </w:t>
            </w:r>
            <w:proofErr w:type="spellStart"/>
            <w:r w:rsidRPr="00594AE7">
              <w:rPr>
                <w:rFonts w:cstheme="minorHAnsi"/>
                <w:sz w:val="18"/>
                <w:szCs w:val="18"/>
                <w:lang w:val="en-US"/>
              </w:rPr>
              <w:t>infections</w:t>
            </w:r>
            <w:r w:rsidR="002F3ADC">
              <w:rPr>
                <w:rFonts w:cstheme="minorHAnsi"/>
                <w:sz w:val="18"/>
                <w:szCs w:val="18"/>
                <w:vertAlign w:val="superscript"/>
                <w:lang w:val="en-US"/>
              </w:rPr>
              <w:t>b</w:t>
            </w:r>
            <w:proofErr w:type="spellEnd"/>
          </w:p>
        </w:tc>
        <w:tc>
          <w:tcPr>
            <w:tcW w:w="1417" w:type="dxa"/>
            <w:tcBorders>
              <w:left w:val="single" w:sz="4" w:space="0" w:color="auto"/>
            </w:tcBorders>
          </w:tcPr>
          <w:p w14:paraId="300D54EA" w14:textId="25BBDD6F" w:rsidR="00594AE7" w:rsidRPr="00594AE7" w:rsidRDefault="00501F95" w:rsidP="00594AE7">
            <w:pPr>
              <w:rPr>
                <w:rFonts w:cstheme="minorHAnsi"/>
                <w:sz w:val="18"/>
                <w:szCs w:val="18"/>
                <w:lang w:val="en-US"/>
              </w:rPr>
            </w:pPr>
            <w:r>
              <w:rPr>
                <w:rFonts w:cstheme="minorHAnsi"/>
                <w:sz w:val="18"/>
                <w:szCs w:val="18"/>
                <w:lang w:val="en-US"/>
              </w:rPr>
              <w:t>124</w:t>
            </w:r>
            <w:r w:rsidR="00177836">
              <w:rPr>
                <w:rFonts w:cstheme="minorHAnsi"/>
                <w:sz w:val="18"/>
                <w:szCs w:val="18"/>
                <w:lang w:val="en-US"/>
              </w:rPr>
              <w:t xml:space="preserve"> (</w:t>
            </w:r>
            <w:r w:rsidR="002F3ADC">
              <w:rPr>
                <w:rFonts w:cstheme="minorHAnsi"/>
                <w:sz w:val="18"/>
                <w:szCs w:val="18"/>
                <w:lang w:val="en-US"/>
              </w:rPr>
              <w:t>14.</w:t>
            </w:r>
            <w:r w:rsidR="00785FE2">
              <w:rPr>
                <w:rFonts w:cstheme="minorHAnsi"/>
                <w:sz w:val="18"/>
                <w:szCs w:val="18"/>
                <w:lang w:val="en-US"/>
              </w:rPr>
              <w:t>1</w:t>
            </w:r>
            <w:r w:rsidR="00177836">
              <w:rPr>
                <w:rFonts w:cstheme="minorHAnsi"/>
                <w:sz w:val="18"/>
                <w:szCs w:val="18"/>
                <w:lang w:val="en-US"/>
              </w:rPr>
              <w:t>)</w:t>
            </w:r>
          </w:p>
        </w:tc>
        <w:tc>
          <w:tcPr>
            <w:tcW w:w="1559" w:type="dxa"/>
          </w:tcPr>
          <w:p w14:paraId="0A7F5081" w14:textId="09D239D5" w:rsidR="00594AE7" w:rsidRPr="00594AE7" w:rsidRDefault="00385068" w:rsidP="00594AE7">
            <w:pPr>
              <w:rPr>
                <w:rFonts w:cstheme="minorHAnsi"/>
                <w:sz w:val="18"/>
                <w:szCs w:val="18"/>
                <w:lang w:val="en-US"/>
              </w:rPr>
            </w:pPr>
            <w:r>
              <w:rPr>
                <w:rFonts w:cstheme="minorHAnsi"/>
                <w:sz w:val="18"/>
                <w:szCs w:val="18"/>
                <w:lang w:val="en-US"/>
              </w:rPr>
              <w:t>114</w:t>
            </w:r>
            <w:r w:rsidR="00177836">
              <w:rPr>
                <w:rFonts w:cstheme="minorHAnsi"/>
                <w:sz w:val="18"/>
                <w:szCs w:val="18"/>
                <w:lang w:val="en-US"/>
              </w:rPr>
              <w:t xml:space="preserve"> (</w:t>
            </w:r>
            <w:r w:rsidR="002F3ADC">
              <w:rPr>
                <w:rFonts w:cstheme="minorHAnsi"/>
                <w:sz w:val="18"/>
                <w:szCs w:val="18"/>
                <w:lang w:val="en-US"/>
              </w:rPr>
              <w:t>16.0</w:t>
            </w:r>
            <w:r w:rsidR="00177836">
              <w:rPr>
                <w:rFonts w:cstheme="minorHAnsi"/>
                <w:sz w:val="18"/>
                <w:szCs w:val="18"/>
                <w:lang w:val="en-US"/>
              </w:rPr>
              <w:t>)</w:t>
            </w:r>
          </w:p>
        </w:tc>
        <w:tc>
          <w:tcPr>
            <w:tcW w:w="1843" w:type="dxa"/>
          </w:tcPr>
          <w:p w14:paraId="514020E1" w14:textId="6405C60A" w:rsidR="00594AE7" w:rsidRPr="00594AE7" w:rsidRDefault="008F1484" w:rsidP="00594AE7">
            <w:pPr>
              <w:rPr>
                <w:rFonts w:cstheme="minorHAnsi"/>
                <w:sz w:val="18"/>
                <w:szCs w:val="18"/>
                <w:lang w:val="en-US"/>
              </w:rPr>
            </w:pPr>
            <w:r>
              <w:rPr>
                <w:rFonts w:cstheme="minorHAnsi"/>
                <w:sz w:val="18"/>
                <w:szCs w:val="18"/>
                <w:lang w:val="en-US"/>
              </w:rPr>
              <w:t>103</w:t>
            </w:r>
            <w:r w:rsidR="00177836">
              <w:rPr>
                <w:rFonts w:cstheme="minorHAnsi"/>
                <w:sz w:val="18"/>
                <w:szCs w:val="18"/>
                <w:lang w:val="en-US"/>
              </w:rPr>
              <w:t xml:space="preserve"> (</w:t>
            </w:r>
            <w:r w:rsidR="00594AE7" w:rsidRPr="00594AE7">
              <w:rPr>
                <w:rFonts w:cstheme="minorHAnsi"/>
                <w:sz w:val="18"/>
                <w:szCs w:val="18"/>
                <w:lang w:val="en-US"/>
              </w:rPr>
              <w:t>17.</w:t>
            </w:r>
            <w:r w:rsidR="00A25FB0">
              <w:rPr>
                <w:rFonts w:cstheme="minorHAnsi"/>
                <w:sz w:val="18"/>
                <w:szCs w:val="18"/>
                <w:lang w:val="en-US"/>
              </w:rPr>
              <w:t>5</w:t>
            </w:r>
            <w:r w:rsidR="00177836">
              <w:rPr>
                <w:rFonts w:cstheme="minorHAnsi"/>
                <w:sz w:val="18"/>
                <w:szCs w:val="18"/>
                <w:lang w:val="en-US"/>
              </w:rPr>
              <w:t>)</w:t>
            </w:r>
          </w:p>
        </w:tc>
      </w:tr>
      <w:tr w:rsidR="00594AE7" w:rsidRPr="00594AE7" w14:paraId="774CAA59" w14:textId="77777777" w:rsidTr="00832C70">
        <w:trPr>
          <w:trHeight w:val="301"/>
        </w:trPr>
        <w:tc>
          <w:tcPr>
            <w:tcW w:w="3823" w:type="dxa"/>
            <w:tcBorders>
              <w:right w:val="single" w:sz="4" w:space="0" w:color="auto"/>
            </w:tcBorders>
          </w:tcPr>
          <w:p w14:paraId="6A640BB7" w14:textId="4C8B497F" w:rsidR="00594AE7" w:rsidRPr="00594AE7" w:rsidRDefault="00594AE7" w:rsidP="00594AE7">
            <w:pPr>
              <w:rPr>
                <w:rFonts w:cstheme="minorHAnsi"/>
                <w:sz w:val="18"/>
                <w:szCs w:val="18"/>
                <w:lang w:val="en-US"/>
              </w:rPr>
            </w:pPr>
            <w:r w:rsidRPr="00594AE7">
              <w:rPr>
                <w:rFonts w:cstheme="minorHAnsi"/>
                <w:sz w:val="18"/>
                <w:szCs w:val="18"/>
                <w:lang w:val="en-US"/>
              </w:rPr>
              <w:t xml:space="preserve">Herpes </w:t>
            </w:r>
            <w:proofErr w:type="spellStart"/>
            <w:r w:rsidRPr="00594AE7">
              <w:rPr>
                <w:rFonts w:cstheme="minorHAnsi"/>
                <w:sz w:val="18"/>
                <w:szCs w:val="18"/>
                <w:lang w:val="en-US"/>
              </w:rPr>
              <w:t>simplex</w:t>
            </w:r>
            <w:r w:rsidR="002F3ADC">
              <w:rPr>
                <w:rFonts w:cstheme="minorHAnsi"/>
                <w:sz w:val="18"/>
                <w:szCs w:val="18"/>
                <w:vertAlign w:val="superscript"/>
                <w:lang w:val="en-US"/>
              </w:rPr>
              <w:t>c</w:t>
            </w:r>
            <w:proofErr w:type="spellEnd"/>
          </w:p>
        </w:tc>
        <w:tc>
          <w:tcPr>
            <w:tcW w:w="1417" w:type="dxa"/>
            <w:tcBorders>
              <w:left w:val="single" w:sz="4" w:space="0" w:color="auto"/>
            </w:tcBorders>
          </w:tcPr>
          <w:p w14:paraId="1B22646B" w14:textId="14A82AEE" w:rsidR="00594AE7" w:rsidRPr="00594AE7" w:rsidRDefault="00380FAD" w:rsidP="00594AE7">
            <w:pPr>
              <w:rPr>
                <w:rFonts w:cstheme="minorHAnsi"/>
                <w:sz w:val="18"/>
                <w:szCs w:val="18"/>
                <w:lang w:val="en-US"/>
              </w:rPr>
            </w:pPr>
            <w:r>
              <w:rPr>
                <w:rFonts w:cstheme="minorHAnsi"/>
                <w:sz w:val="18"/>
                <w:szCs w:val="18"/>
                <w:lang w:val="en-US"/>
              </w:rPr>
              <w:t>22</w:t>
            </w:r>
            <w:r w:rsidR="00177836">
              <w:rPr>
                <w:rFonts w:cstheme="minorHAnsi"/>
                <w:sz w:val="18"/>
                <w:szCs w:val="18"/>
                <w:lang w:val="en-US"/>
              </w:rPr>
              <w:t xml:space="preserve"> (</w:t>
            </w:r>
            <w:r w:rsidR="00594AE7" w:rsidRPr="00594AE7">
              <w:rPr>
                <w:rFonts w:cstheme="minorHAnsi"/>
                <w:sz w:val="18"/>
                <w:szCs w:val="18"/>
                <w:lang w:val="en-US"/>
              </w:rPr>
              <w:t>2.</w:t>
            </w:r>
            <w:r w:rsidR="00A25FB0">
              <w:rPr>
                <w:rFonts w:cstheme="minorHAnsi"/>
                <w:sz w:val="18"/>
                <w:szCs w:val="18"/>
                <w:lang w:val="en-US"/>
              </w:rPr>
              <w:t>7</w:t>
            </w:r>
            <w:r w:rsidR="00177836">
              <w:rPr>
                <w:rFonts w:cstheme="minorHAnsi"/>
                <w:sz w:val="18"/>
                <w:szCs w:val="18"/>
                <w:lang w:val="en-US"/>
              </w:rPr>
              <w:t>)</w:t>
            </w:r>
          </w:p>
        </w:tc>
        <w:tc>
          <w:tcPr>
            <w:tcW w:w="1559" w:type="dxa"/>
          </w:tcPr>
          <w:p w14:paraId="117316CB" w14:textId="72D10A7F" w:rsidR="00594AE7" w:rsidRPr="00594AE7" w:rsidRDefault="00380FAD" w:rsidP="00594AE7">
            <w:pPr>
              <w:rPr>
                <w:rFonts w:cstheme="minorHAnsi"/>
                <w:sz w:val="18"/>
                <w:szCs w:val="18"/>
                <w:lang w:val="en-US"/>
              </w:rPr>
            </w:pPr>
            <w:r>
              <w:rPr>
                <w:rFonts w:cstheme="minorHAnsi"/>
                <w:sz w:val="18"/>
                <w:szCs w:val="18"/>
                <w:lang w:val="en-US"/>
              </w:rPr>
              <w:t>25</w:t>
            </w:r>
            <w:r w:rsidR="00846260">
              <w:rPr>
                <w:rFonts w:cstheme="minorHAnsi"/>
                <w:sz w:val="18"/>
                <w:szCs w:val="18"/>
                <w:lang w:val="en-US"/>
              </w:rPr>
              <w:t xml:space="preserve"> (</w:t>
            </w:r>
            <w:r w:rsidR="00A25FB0">
              <w:rPr>
                <w:rFonts w:cstheme="minorHAnsi"/>
                <w:sz w:val="18"/>
                <w:szCs w:val="18"/>
                <w:lang w:val="en-US"/>
              </w:rPr>
              <w:t>3.6</w:t>
            </w:r>
            <w:r w:rsidR="00846260">
              <w:rPr>
                <w:rFonts w:cstheme="minorHAnsi"/>
                <w:sz w:val="18"/>
                <w:szCs w:val="18"/>
                <w:lang w:val="en-US"/>
              </w:rPr>
              <w:t>)</w:t>
            </w:r>
          </w:p>
        </w:tc>
        <w:tc>
          <w:tcPr>
            <w:tcW w:w="1843" w:type="dxa"/>
          </w:tcPr>
          <w:p w14:paraId="073E2CE3" w14:textId="24929E42" w:rsidR="00594AE7" w:rsidRPr="00594AE7" w:rsidRDefault="006C1D66" w:rsidP="00594AE7">
            <w:pPr>
              <w:rPr>
                <w:rFonts w:cstheme="minorHAnsi"/>
                <w:sz w:val="18"/>
                <w:szCs w:val="18"/>
                <w:lang w:val="en-US"/>
              </w:rPr>
            </w:pPr>
            <w:r>
              <w:rPr>
                <w:rFonts w:cstheme="minorHAnsi"/>
                <w:sz w:val="18"/>
                <w:szCs w:val="18"/>
                <w:lang w:val="en-US"/>
              </w:rPr>
              <w:t>35</w:t>
            </w:r>
            <w:r w:rsidR="00846260">
              <w:rPr>
                <w:rFonts w:cstheme="minorHAnsi"/>
                <w:sz w:val="18"/>
                <w:szCs w:val="18"/>
                <w:lang w:val="en-US"/>
              </w:rPr>
              <w:t xml:space="preserve"> (</w:t>
            </w:r>
            <w:r w:rsidR="00A25FB0">
              <w:rPr>
                <w:rFonts w:cstheme="minorHAnsi"/>
                <w:sz w:val="18"/>
                <w:szCs w:val="18"/>
                <w:lang w:val="en-US"/>
              </w:rPr>
              <w:t>6.1</w:t>
            </w:r>
            <w:r w:rsidR="00846260">
              <w:rPr>
                <w:rFonts w:cstheme="minorHAnsi"/>
                <w:sz w:val="18"/>
                <w:szCs w:val="18"/>
                <w:lang w:val="en-US"/>
              </w:rPr>
              <w:t>)</w:t>
            </w:r>
          </w:p>
        </w:tc>
      </w:tr>
      <w:tr w:rsidR="00594AE7" w:rsidRPr="00594AE7" w14:paraId="75CE733D" w14:textId="77777777" w:rsidTr="00832C70">
        <w:trPr>
          <w:trHeight w:val="301"/>
        </w:trPr>
        <w:tc>
          <w:tcPr>
            <w:tcW w:w="3823" w:type="dxa"/>
            <w:tcBorders>
              <w:right w:val="single" w:sz="4" w:space="0" w:color="auto"/>
            </w:tcBorders>
          </w:tcPr>
          <w:p w14:paraId="533006C7" w14:textId="77777777" w:rsidR="00594AE7" w:rsidRPr="00594AE7" w:rsidRDefault="00594AE7" w:rsidP="00594AE7">
            <w:pPr>
              <w:rPr>
                <w:rFonts w:cstheme="minorHAnsi"/>
                <w:sz w:val="18"/>
                <w:szCs w:val="18"/>
                <w:lang w:val="en-US"/>
              </w:rPr>
            </w:pPr>
            <w:r w:rsidRPr="00594AE7">
              <w:rPr>
                <w:rFonts w:cstheme="minorHAnsi"/>
                <w:sz w:val="18"/>
                <w:szCs w:val="18"/>
                <w:lang w:val="en-US"/>
              </w:rPr>
              <w:t>Herpes zoster</w:t>
            </w:r>
          </w:p>
        </w:tc>
        <w:tc>
          <w:tcPr>
            <w:tcW w:w="1417" w:type="dxa"/>
            <w:tcBorders>
              <w:left w:val="single" w:sz="4" w:space="0" w:color="auto"/>
            </w:tcBorders>
          </w:tcPr>
          <w:p w14:paraId="7480D03D" w14:textId="27CE0C11" w:rsidR="00594AE7" w:rsidRPr="00594AE7" w:rsidRDefault="00846260" w:rsidP="00594AE7">
            <w:pPr>
              <w:rPr>
                <w:rFonts w:cstheme="minorHAnsi"/>
                <w:sz w:val="18"/>
                <w:szCs w:val="18"/>
                <w:lang w:val="en-US"/>
              </w:rPr>
            </w:pPr>
            <w:r>
              <w:rPr>
                <w:rFonts w:cstheme="minorHAnsi"/>
                <w:sz w:val="18"/>
                <w:szCs w:val="18"/>
                <w:lang w:val="en-US"/>
              </w:rPr>
              <w:t>3 (</w:t>
            </w:r>
            <w:r w:rsidR="00594AE7" w:rsidRPr="00594AE7">
              <w:rPr>
                <w:rFonts w:cstheme="minorHAnsi"/>
                <w:sz w:val="18"/>
                <w:szCs w:val="18"/>
                <w:lang w:val="en-US"/>
              </w:rPr>
              <w:t>0.</w:t>
            </w:r>
            <w:r w:rsidR="00A25FB0">
              <w:rPr>
                <w:rFonts w:cstheme="minorHAnsi"/>
                <w:sz w:val="18"/>
                <w:szCs w:val="18"/>
                <w:lang w:val="en-US"/>
              </w:rPr>
              <w:t>3</w:t>
            </w:r>
            <w:r>
              <w:rPr>
                <w:rFonts w:cstheme="minorHAnsi"/>
                <w:sz w:val="18"/>
                <w:szCs w:val="18"/>
                <w:lang w:val="en-US"/>
              </w:rPr>
              <w:t>)</w:t>
            </w:r>
          </w:p>
        </w:tc>
        <w:tc>
          <w:tcPr>
            <w:tcW w:w="1559" w:type="dxa"/>
          </w:tcPr>
          <w:p w14:paraId="0CC1AD19" w14:textId="07DDD9A3" w:rsidR="00594AE7" w:rsidRPr="00594AE7" w:rsidRDefault="0096678D" w:rsidP="00594AE7">
            <w:pPr>
              <w:rPr>
                <w:rFonts w:cstheme="minorHAnsi"/>
                <w:sz w:val="18"/>
                <w:szCs w:val="18"/>
                <w:lang w:val="en-US"/>
              </w:rPr>
            </w:pPr>
            <w:r>
              <w:rPr>
                <w:rFonts w:cstheme="minorHAnsi"/>
                <w:sz w:val="18"/>
                <w:szCs w:val="18"/>
                <w:lang w:val="en-US"/>
              </w:rPr>
              <w:t>6</w:t>
            </w:r>
            <w:r w:rsidR="00846260">
              <w:rPr>
                <w:rFonts w:cstheme="minorHAnsi"/>
                <w:sz w:val="18"/>
                <w:szCs w:val="18"/>
                <w:lang w:val="en-US"/>
              </w:rPr>
              <w:t xml:space="preserve"> (</w:t>
            </w:r>
            <w:r w:rsidR="00A25FB0">
              <w:rPr>
                <w:rFonts w:cstheme="minorHAnsi"/>
                <w:sz w:val="18"/>
                <w:szCs w:val="18"/>
                <w:lang w:val="en-US"/>
              </w:rPr>
              <w:t>0.8</w:t>
            </w:r>
            <w:r w:rsidR="00846260">
              <w:rPr>
                <w:rFonts w:cstheme="minorHAnsi"/>
                <w:sz w:val="18"/>
                <w:szCs w:val="18"/>
                <w:lang w:val="en-US"/>
              </w:rPr>
              <w:t>)</w:t>
            </w:r>
          </w:p>
        </w:tc>
        <w:tc>
          <w:tcPr>
            <w:tcW w:w="1843" w:type="dxa"/>
          </w:tcPr>
          <w:p w14:paraId="7D1A5226"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r>
      <w:tr w:rsidR="003963EA" w:rsidRPr="00594AE7" w14:paraId="514ACCB2" w14:textId="77777777" w:rsidTr="00832C70">
        <w:trPr>
          <w:trHeight w:val="301"/>
        </w:trPr>
        <w:tc>
          <w:tcPr>
            <w:tcW w:w="3823" w:type="dxa"/>
            <w:tcBorders>
              <w:right w:val="single" w:sz="4" w:space="0" w:color="auto"/>
            </w:tcBorders>
          </w:tcPr>
          <w:p w14:paraId="78153BDA" w14:textId="151E1900" w:rsidR="003963EA" w:rsidRPr="00594AE7" w:rsidRDefault="003963EA" w:rsidP="00594AE7">
            <w:pPr>
              <w:rPr>
                <w:rFonts w:cstheme="minorHAnsi"/>
                <w:sz w:val="18"/>
                <w:szCs w:val="18"/>
                <w:lang w:val="en-US"/>
              </w:rPr>
            </w:pPr>
            <w:r>
              <w:rPr>
                <w:rFonts w:cstheme="minorHAnsi"/>
                <w:sz w:val="18"/>
                <w:szCs w:val="18"/>
                <w:lang w:val="en-US"/>
              </w:rPr>
              <w:t>Urinary tract infection</w:t>
            </w:r>
          </w:p>
        </w:tc>
        <w:tc>
          <w:tcPr>
            <w:tcW w:w="1417" w:type="dxa"/>
            <w:tcBorders>
              <w:left w:val="single" w:sz="4" w:space="0" w:color="auto"/>
            </w:tcBorders>
          </w:tcPr>
          <w:p w14:paraId="61A60797" w14:textId="0AF7BB45" w:rsidR="003963EA" w:rsidRDefault="00274837" w:rsidP="00594AE7">
            <w:pPr>
              <w:rPr>
                <w:rFonts w:cstheme="minorHAnsi"/>
                <w:sz w:val="18"/>
                <w:szCs w:val="18"/>
                <w:lang w:val="en-US"/>
              </w:rPr>
            </w:pPr>
            <w:r>
              <w:rPr>
                <w:rFonts w:cstheme="minorHAnsi"/>
                <w:sz w:val="18"/>
                <w:szCs w:val="18"/>
                <w:lang w:val="en-US"/>
              </w:rPr>
              <w:t xml:space="preserve">8 </w:t>
            </w:r>
            <w:r w:rsidR="00C640AC">
              <w:rPr>
                <w:rFonts w:cstheme="minorHAnsi"/>
                <w:sz w:val="18"/>
                <w:szCs w:val="18"/>
                <w:lang w:val="en-US"/>
              </w:rPr>
              <w:t>(</w:t>
            </w:r>
            <w:r w:rsidR="003963EA">
              <w:rPr>
                <w:rFonts w:cstheme="minorHAnsi"/>
                <w:sz w:val="18"/>
                <w:szCs w:val="18"/>
                <w:lang w:val="en-US"/>
              </w:rPr>
              <w:t>0.8</w:t>
            </w:r>
            <w:r w:rsidR="00C640AC">
              <w:rPr>
                <w:rFonts w:cstheme="minorHAnsi"/>
                <w:sz w:val="18"/>
                <w:szCs w:val="18"/>
                <w:lang w:val="en-US"/>
              </w:rPr>
              <w:t>)</w:t>
            </w:r>
          </w:p>
        </w:tc>
        <w:tc>
          <w:tcPr>
            <w:tcW w:w="1559" w:type="dxa"/>
          </w:tcPr>
          <w:p w14:paraId="397E0D30" w14:textId="788EB805" w:rsidR="003963EA" w:rsidRDefault="00427B84" w:rsidP="00594AE7">
            <w:pPr>
              <w:rPr>
                <w:rFonts w:cstheme="minorHAnsi"/>
                <w:sz w:val="18"/>
                <w:szCs w:val="18"/>
                <w:lang w:val="en-US"/>
              </w:rPr>
            </w:pPr>
            <w:r>
              <w:rPr>
                <w:rFonts w:cstheme="minorHAnsi"/>
                <w:sz w:val="18"/>
                <w:szCs w:val="18"/>
                <w:lang w:val="en-US"/>
              </w:rPr>
              <w:t xml:space="preserve">9 </w:t>
            </w:r>
            <w:r w:rsidR="00C640AC">
              <w:rPr>
                <w:rFonts w:cstheme="minorHAnsi"/>
                <w:sz w:val="18"/>
                <w:szCs w:val="18"/>
                <w:lang w:val="en-US"/>
              </w:rPr>
              <w:t>(</w:t>
            </w:r>
            <w:r w:rsidR="003963EA">
              <w:rPr>
                <w:rFonts w:cstheme="minorHAnsi"/>
                <w:sz w:val="18"/>
                <w:szCs w:val="18"/>
                <w:lang w:val="en-US"/>
              </w:rPr>
              <w:t>1.1</w:t>
            </w:r>
            <w:r w:rsidR="00C640AC">
              <w:rPr>
                <w:rFonts w:cstheme="minorHAnsi"/>
                <w:sz w:val="18"/>
                <w:szCs w:val="18"/>
                <w:lang w:val="en-US"/>
              </w:rPr>
              <w:t>)</w:t>
            </w:r>
          </w:p>
        </w:tc>
        <w:tc>
          <w:tcPr>
            <w:tcW w:w="1843" w:type="dxa"/>
          </w:tcPr>
          <w:p w14:paraId="33CCC268" w14:textId="149B0767" w:rsidR="003963EA" w:rsidRPr="00594AE7" w:rsidRDefault="001306BD" w:rsidP="00594AE7">
            <w:pPr>
              <w:rPr>
                <w:rFonts w:cstheme="minorHAnsi"/>
                <w:sz w:val="18"/>
                <w:szCs w:val="18"/>
                <w:lang w:val="en-US"/>
              </w:rPr>
            </w:pPr>
            <w:r>
              <w:rPr>
                <w:rFonts w:cstheme="minorHAnsi"/>
                <w:sz w:val="18"/>
                <w:szCs w:val="18"/>
                <w:lang w:val="en-US"/>
              </w:rPr>
              <w:t xml:space="preserve">11 </w:t>
            </w:r>
            <w:r w:rsidR="00C640AC">
              <w:rPr>
                <w:rFonts w:cstheme="minorHAnsi"/>
                <w:sz w:val="18"/>
                <w:szCs w:val="18"/>
                <w:lang w:val="en-US"/>
              </w:rPr>
              <w:t>(</w:t>
            </w:r>
            <w:r w:rsidR="003963EA">
              <w:rPr>
                <w:rFonts w:cstheme="minorHAnsi"/>
                <w:sz w:val="18"/>
                <w:szCs w:val="18"/>
                <w:lang w:val="en-US"/>
              </w:rPr>
              <w:t>2.0</w:t>
            </w:r>
            <w:r w:rsidR="00F356CD">
              <w:rPr>
                <w:rFonts w:cstheme="minorHAnsi"/>
                <w:sz w:val="18"/>
                <w:szCs w:val="18"/>
                <w:lang w:val="en-US"/>
              </w:rPr>
              <w:t>)</w:t>
            </w:r>
          </w:p>
        </w:tc>
      </w:tr>
      <w:tr w:rsidR="0062619E" w:rsidRPr="00594AE7" w14:paraId="244900FB" w14:textId="77777777" w:rsidTr="00331536">
        <w:trPr>
          <w:trHeight w:val="301"/>
        </w:trPr>
        <w:tc>
          <w:tcPr>
            <w:tcW w:w="8642" w:type="dxa"/>
            <w:gridSpan w:val="4"/>
          </w:tcPr>
          <w:p w14:paraId="06B9E313" w14:textId="6BCB35C5" w:rsidR="0062619E" w:rsidRPr="0062619E" w:rsidRDefault="0062619E" w:rsidP="00594AE7">
            <w:pPr>
              <w:rPr>
                <w:rFonts w:cstheme="minorHAnsi"/>
                <w:b/>
                <w:sz w:val="18"/>
                <w:szCs w:val="18"/>
                <w:lang w:val="en-US"/>
              </w:rPr>
            </w:pPr>
            <w:r w:rsidRPr="0062619E">
              <w:rPr>
                <w:rFonts w:cstheme="minorHAnsi"/>
                <w:b/>
                <w:sz w:val="18"/>
                <w:szCs w:val="18"/>
                <w:lang w:val="en-US"/>
              </w:rPr>
              <w:t>Investigations</w:t>
            </w:r>
          </w:p>
        </w:tc>
      </w:tr>
      <w:tr w:rsidR="0062619E" w:rsidRPr="00594AE7" w14:paraId="2DFDB285" w14:textId="77777777" w:rsidTr="00EA2F85">
        <w:trPr>
          <w:trHeight w:val="301"/>
        </w:trPr>
        <w:tc>
          <w:tcPr>
            <w:tcW w:w="3823" w:type="dxa"/>
          </w:tcPr>
          <w:p w14:paraId="19D94243" w14:textId="5F04DBB8" w:rsidR="0062619E" w:rsidRPr="0062619E" w:rsidRDefault="0062619E" w:rsidP="00594AE7">
            <w:pPr>
              <w:rPr>
                <w:rFonts w:cstheme="minorHAnsi"/>
                <w:sz w:val="18"/>
                <w:szCs w:val="18"/>
                <w:lang w:val="en-US"/>
              </w:rPr>
            </w:pPr>
            <w:r w:rsidRPr="0062619E">
              <w:rPr>
                <w:rFonts w:cstheme="minorHAnsi"/>
                <w:sz w:val="18"/>
                <w:szCs w:val="18"/>
                <w:lang w:val="en-US"/>
              </w:rPr>
              <w:t>Weight increased</w:t>
            </w:r>
          </w:p>
        </w:tc>
        <w:tc>
          <w:tcPr>
            <w:tcW w:w="1417" w:type="dxa"/>
          </w:tcPr>
          <w:p w14:paraId="3ECFC30E" w14:textId="586DFA8F" w:rsidR="0062619E" w:rsidRPr="0062619E" w:rsidRDefault="0062619E" w:rsidP="00594AE7">
            <w:pPr>
              <w:rPr>
                <w:rFonts w:cstheme="minorHAnsi"/>
                <w:sz w:val="18"/>
                <w:szCs w:val="18"/>
                <w:lang w:val="en-US"/>
              </w:rPr>
            </w:pPr>
            <w:r w:rsidRPr="0062619E">
              <w:rPr>
                <w:rFonts w:cstheme="minorHAnsi"/>
                <w:sz w:val="18"/>
                <w:szCs w:val="18"/>
                <w:lang w:val="en-US"/>
              </w:rPr>
              <w:t>0</w:t>
            </w:r>
          </w:p>
        </w:tc>
        <w:tc>
          <w:tcPr>
            <w:tcW w:w="1559" w:type="dxa"/>
          </w:tcPr>
          <w:p w14:paraId="437ACB33" w14:textId="557DF35B" w:rsidR="0062619E" w:rsidRPr="0062619E" w:rsidRDefault="00BF526C" w:rsidP="00594AE7">
            <w:pPr>
              <w:rPr>
                <w:rFonts w:cstheme="minorHAnsi"/>
                <w:sz w:val="18"/>
                <w:szCs w:val="18"/>
                <w:lang w:val="en-US"/>
              </w:rPr>
            </w:pPr>
            <w:r>
              <w:rPr>
                <w:rFonts w:cstheme="minorHAnsi"/>
                <w:sz w:val="18"/>
                <w:szCs w:val="18"/>
                <w:lang w:val="en-US"/>
              </w:rPr>
              <w:t>3</w:t>
            </w:r>
            <w:r w:rsidR="0062619E">
              <w:rPr>
                <w:rFonts w:cstheme="minorHAnsi"/>
                <w:sz w:val="18"/>
                <w:szCs w:val="18"/>
                <w:lang w:val="en-US"/>
              </w:rPr>
              <w:t xml:space="preserve"> (</w:t>
            </w:r>
            <w:r w:rsidR="0062619E" w:rsidRPr="0062619E">
              <w:rPr>
                <w:rFonts w:cstheme="minorHAnsi"/>
                <w:sz w:val="18"/>
                <w:szCs w:val="18"/>
                <w:lang w:val="en-US"/>
              </w:rPr>
              <w:t>0.</w:t>
            </w:r>
            <w:r w:rsidR="0016059E">
              <w:rPr>
                <w:rFonts w:cstheme="minorHAnsi"/>
                <w:sz w:val="18"/>
                <w:szCs w:val="18"/>
                <w:lang w:val="en-US"/>
              </w:rPr>
              <w:t>5</w:t>
            </w:r>
            <w:r w:rsidR="0062619E">
              <w:rPr>
                <w:rFonts w:cstheme="minorHAnsi"/>
                <w:sz w:val="18"/>
                <w:szCs w:val="18"/>
                <w:lang w:val="en-US"/>
              </w:rPr>
              <w:t>)</w:t>
            </w:r>
          </w:p>
        </w:tc>
        <w:tc>
          <w:tcPr>
            <w:tcW w:w="1843" w:type="dxa"/>
          </w:tcPr>
          <w:p w14:paraId="7791C349" w14:textId="4AF166B1" w:rsidR="0062619E" w:rsidRPr="0062619E" w:rsidRDefault="00BF526C" w:rsidP="00594AE7">
            <w:pPr>
              <w:rPr>
                <w:rFonts w:cstheme="minorHAnsi"/>
                <w:sz w:val="18"/>
                <w:szCs w:val="18"/>
                <w:lang w:val="en-US"/>
              </w:rPr>
            </w:pPr>
            <w:r>
              <w:rPr>
                <w:rFonts w:cstheme="minorHAnsi"/>
                <w:sz w:val="18"/>
                <w:szCs w:val="18"/>
                <w:lang w:val="en-US"/>
              </w:rPr>
              <w:t>4</w:t>
            </w:r>
            <w:r w:rsidR="0062619E">
              <w:rPr>
                <w:rFonts w:cstheme="minorHAnsi"/>
                <w:sz w:val="18"/>
                <w:szCs w:val="18"/>
                <w:lang w:val="en-US"/>
              </w:rPr>
              <w:t xml:space="preserve"> (</w:t>
            </w:r>
            <w:r w:rsidR="0062619E" w:rsidRPr="0062619E">
              <w:rPr>
                <w:rFonts w:cstheme="minorHAnsi"/>
                <w:sz w:val="18"/>
                <w:szCs w:val="18"/>
                <w:lang w:val="en-US"/>
              </w:rPr>
              <w:t>0.</w:t>
            </w:r>
            <w:r w:rsidR="0016059E">
              <w:rPr>
                <w:rFonts w:cstheme="minorHAnsi"/>
                <w:sz w:val="18"/>
                <w:szCs w:val="18"/>
                <w:lang w:val="en-US"/>
              </w:rPr>
              <w:t>7</w:t>
            </w:r>
            <w:r w:rsidR="0062619E">
              <w:rPr>
                <w:rFonts w:cstheme="minorHAnsi"/>
                <w:sz w:val="18"/>
                <w:szCs w:val="18"/>
                <w:lang w:val="en-US"/>
              </w:rPr>
              <w:t>)</w:t>
            </w:r>
          </w:p>
        </w:tc>
      </w:tr>
      <w:tr w:rsidR="00594AE7" w:rsidRPr="00594AE7" w14:paraId="6FD6BF0D" w14:textId="77777777" w:rsidTr="00331536">
        <w:trPr>
          <w:trHeight w:val="301"/>
        </w:trPr>
        <w:tc>
          <w:tcPr>
            <w:tcW w:w="8642" w:type="dxa"/>
            <w:gridSpan w:val="4"/>
          </w:tcPr>
          <w:p w14:paraId="0C27D9AF" w14:textId="77777777" w:rsidR="00594AE7" w:rsidRPr="00594AE7" w:rsidRDefault="00594AE7" w:rsidP="00594AE7">
            <w:pPr>
              <w:rPr>
                <w:rFonts w:cstheme="minorHAnsi"/>
                <w:sz w:val="18"/>
                <w:szCs w:val="18"/>
                <w:lang w:val="en-US"/>
              </w:rPr>
            </w:pPr>
            <w:r w:rsidRPr="00594AE7">
              <w:rPr>
                <w:rFonts w:cstheme="minorHAnsi"/>
                <w:b/>
                <w:sz w:val="18"/>
                <w:szCs w:val="18"/>
                <w:lang w:val="en-US"/>
              </w:rPr>
              <w:lastRenderedPageBreak/>
              <w:t>Nervous system disorders</w:t>
            </w:r>
          </w:p>
        </w:tc>
      </w:tr>
      <w:tr w:rsidR="00594AE7" w:rsidRPr="00594AE7" w14:paraId="06236194" w14:textId="77777777" w:rsidTr="00832C70">
        <w:trPr>
          <w:trHeight w:val="301"/>
        </w:trPr>
        <w:tc>
          <w:tcPr>
            <w:tcW w:w="3823" w:type="dxa"/>
            <w:tcBorders>
              <w:right w:val="single" w:sz="4" w:space="0" w:color="auto"/>
            </w:tcBorders>
          </w:tcPr>
          <w:p w14:paraId="1C6C4392" w14:textId="77777777" w:rsidR="00594AE7" w:rsidRPr="00594AE7" w:rsidRDefault="00594AE7" w:rsidP="00594AE7">
            <w:pPr>
              <w:rPr>
                <w:rFonts w:cstheme="minorHAnsi"/>
                <w:sz w:val="18"/>
                <w:szCs w:val="18"/>
                <w:lang w:val="en-US"/>
              </w:rPr>
            </w:pPr>
            <w:r w:rsidRPr="00594AE7">
              <w:rPr>
                <w:rFonts w:cstheme="minorHAnsi"/>
                <w:sz w:val="18"/>
                <w:szCs w:val="18"/>
                <w:lang w:val="en-US"/>
              </w:rPr>
              <w:t>Headache</w:t>
            </w:r>
          </w:p>
        </w:tc>
        <w:tc>
          <w:tcPr>
            <w:tcW w:w="1417" w:type="dxa"/>
            <w:tcBorders>
              <w:left w:val="single" w:sz="4" w:space="0" w:color="auto"/>
            </w:tcBorders>
            <w:vAlign w:val="center"/>
          </w:tcPr>
          <w:p w14:paraId="0068F69C" w14:textId="29FD7BEE" w:rsidR="00594AE7" w:rsidRPr="00594AE7" w:rsidRDefault="00846260" w:rsidP="00594AE7">
            <w:pPr>
              <w:rPr>
                <w:rFonts w:cstheme="minorHAnsi"/>
                <w:sz w:val="18"/>
                <w:szCs w:val="18"/>
                <w:lang w:val="en-US"/>
              </w:rPr>
            </w:pPr>
            <w:r>
              <w:rPr>
                <w:rFonts w:cstheme="minorHAnsi"/>
                <w:sz w:val="18"/>
                <w:szCs w:val="18"/>
                <w:lang w:val="en-US"/>
              </w:rPr>
              <w:t>2</w:t>
            </w:r>
            <w:r w:rsidR="00634599">
              <w:rPr>
                <w:rFonts w:cstheme="minorHAnsi"/>
                <w:sz w:val="18"/>
                <w:szCs w:val="18"/>
                <w:lang w:val="en-US"/>
              </w:rPr>
              <w:t>8</w:t>
            </w:r>
            <w:r>
              <w:rPr>
                <w:rFonts w:cstheme="minorHAnsi"/>
                <w:sz w:val="18"/>
                <w:szCs w:val="18"/>
                <w:lang w:val="en-US"/>
              </w:rPr>
              <w:t xml:space="preserve"> (</w:t>
            </w:r>
            <w:r w:rsidR="00594AE7" w:rsidRPr="00594AE7">
              <w:rPr>
                <w:rFonts w:cstheme="minorHAnsi"/>
                <w:sz w:val="18"/>
                <w:szCs w:val="18"/>
                <w:lang w:val="en-US"/>
              </w:rPr>
              <w:t>3.3</w:t>
            </w:r>
            <w:r>
              <w:rPr>
                <w:rFonts w:cstheme="minorHAnsi"/>
                <w:sz w:val="18"/>
                <w:szCs w:val="18"/>
                <w:lang w:val="en-US"/>
              </w:rPr>
              <w:t>)</w:t>
            </w:r>
          </w:p>
        </w:tc>
        <w:tc>
          <w:tcPr>
            <w:tcW w:w="1559" w:type="dxa"/>
            <w:vAlign w:val="center"/>
          </w:tcPr>
          <w:p w14:paraId="55C9657C" w14:textId="7CB227AF" w:rsidR="00594AE7" w:rsidRPr="00594AE7" w:rsidRDefault="00694627" w:rsidP="00594AE7">
            <w:pPr>
              <w:rPr>
                <w:rFonts w:cstheme="minorHAnsi"/>
                <w:sz w:val="18"/>
                <w:szCs w:val="18"/>
                <w:lang w:val="en-US"/>
              </w:rPr>
            </w:pPr>
            <w:r>
              <w:rPr>
                <w:rFonts w:cstheme="minorHAnsi"/>
                <w:sz w:val="18"/>
                <w:szCs w:val="18"/>
                <w:lang w:val="en-US"/>
              </w:rPr>
              <w:t>37</w:t>
            </w:r>
            <w:r w:rsidR="00846260">
              <w:rPr>
                <w:rFonts w:cstheme="minorHAnsi"/>
                <w:sz w:val="18"/>
                <w:szCs w:val="18"/>
                <w:lang w:val="en-US"/>
              </w:rPr>
              <w:t xml:space="preserve"> (</w:t>
            </w:r>
            <w:r w:rsidR="0016059E">
              <w:rPr>
                <w:rFonts w:cstheme="minorHAnsi"/>
                <w:sz w:val="18"/>
                <w:szCs w:val="18"/>
                <w:lang w:val="en-US"/>
              </w:rPr>
              <w:t>5.9</w:t>
            </w:r>
            <w:r w:rsidR="00846260">
              <w:rPr>
                <w:rFonts w:cstheme="minorHAnsi"/>
                <w:sz w:val="18"/>
                <w:szCs w:val="18"/>
                <w:lang w:val="en-US"/>
              </w:rPr>
              <w:t>)</w:t>
            </w:r>
          </w:p>
        </w:tc>
        <w:tc>
          <w:tcPr>
            <w:tcW w:w="1843" w:type="dxa"/>
            <w:vAlign w:val="center"/>
          </w:tcPr>
          <w:p w14:paraId="2A472356" w14:textId="11FA7663" w:rsidR="00594AE7" w:rsidRPr="00594AE7" w:rsidRDefault="00290D9C" w:rsidP="00594AE7">
            <w:pPr>
              <w:rPr>
                <w:rFonts w:cstheme="minorHAnsi"/>
                <w:sz w:val="18"/>
                <w:szCs w:val="18"/>
                <w:lang w:val="en-US"/>
              </w:rPr>
            </w:pPr>
            <w:r>
              <w:rPr>
                <w:rFonts w:cstheme="minorHAnsi"/>
                <w:sz w:val="18"/>
                <w:szCs w:val="18"/>
                <w:lang w:val="en-US"/>
              </w:rPr>
              <w:t>35</w:t>
            </w:r>
            <w:r w:rsidR="00846260">
              <w:rPr>
                <w:rFonts w:cstheme="minorHAnsi"/>
                <w:sz w:val="18"/>
                <w:szCs w:val="18"/>
                <w:lang w:val="en-US"/>
              </w:rPr>
              <w:t xml:space="preserve"> (</w:t>
            </w:r>
            <w:r w:rsidR="0016059E">
              <w:rPr>
                <w:rFonts w:cstheme="minorHAnsi"/>
                <w:sz w:val="18"/>
                <w:szCs w:val="18"/>
                <w:lang w:val="en-US"/>
              </w:rPr>
              <w:t>6.3</w:t>
            </w:r>
            <w:r w:rsidR="00846260">
              <w:rPr>
                <w:rFonts w:cstheme="minorHAnsi"/>
                <w:sz w:val="18"/>
                <w:szCs w:val="18"/>
                <w:lang w:val="en-US"/>
              </w:rPr>
              <w:t>)</w:t>
            </w:r>
          </w:p>
        </w:tc>
      </w:tr>
      <w:tr w:rsidR="00594AE7" w:rsidRPr="00594AE7" w14:paraId="7319075E" w14:textId="77777777" w:rsidTr="00331536">
        <w:trPr>
          <w:trHeight w:val="301"/>
        </w:trPr>
        <w:tc>
          <w:tcPr>
            <w:tcW w:w="8642" w:type="dxa"/>
            <w:gridSpan w:val="4"/>
          </w:tcPr>
          <w:p w14:paraId="16631B3F" w14:textId="77777777" w:rsidR="00594AE7" w:rsidRPr="00594AE7" w:rsidRDefault="00594AE7" w:rsidP="00594AE7">
            <w:pPr>
              <w:rPr>
                <w:rFonts w:cstheme="minorHAnsi"/>
                <w:sz w:val="18"/>
                <w:szCs w:val="18"/>
                <w:lang w:val="en-US"/>
              </w:rPr>
            </w:pPr>
            <w:r w:rsidRPr="00594AE7">
              <w:rPr>
                <w:rFonts w:cstheme="minorHAnsi"/>
                <w:b/>
                <w:sz w:val="18"/>
                <w:szCs w:val="18"/>
                <w:lang w:val="en-US"/>
              </w:rPr>
              <w:t>Vascular disorders</w:t>
            </w:r>
          </w:p>
        </w:tc>
      </w:tr>
      <w:tr w:rsidR="00594AE7" w:rsidRPr="00594AE7" w14:paraId="4A57A666" w14:textId="77777777" w:rsidTr="00832C70">
        <w:trPr>
          <w:trHeight w:val="301"/>
        </w:trPr>
        <w:tc>
          <w:tcPr>
            <w:tcW w:w="3823" w:type="dxa"/>
            <w:tcBorders>
              <w:right w:val="single" w:sz="4" w:space="0" w:color="auto"/>
            </w:tcBorders>
          </w:tcPr>
          <w:p w14:paraId="223C85EE" w14:textId="77777777" w:rsidR="00594AE7" w:rsidRPr="00594AE7" w:rsidRDefault="00594AE7" w:rsidP="00594AE7">
            <w:pPr>
              <w:rPr>
                <w:rFonts w:cstheme="minorHAnsi"/>
                <w:sz w:val="18"/>
                <w:szCs w:val="18"/>
                <w:lang w:val="en-US"/>
              </w:rPr>
            </w:pPr>
            <w:r w:rsidRPr="00594AE7">
              <w:rPr>
                <w:rFonts w:cstheme="minorHAnsi"/>
                <w:sz w:val="18"/>
                <w:szCs w:val="18"/>
                <w:lang w:val="en-US"/>
              </w:rPr>
              <w:t>Deep vein thrombosis</w:t>
            </w:r>
          </w:p>
        </w:tc>
        <w:tc>
          <w:tcPr>
            <w:tcW w:w="1417" w:type="dxa"/>
            <w:tcBorders>
              <w:left w:val="single" w:sz="4" w:space="0" w:color="auto"/>
            </w:tcBorders>
            <w:vAlign w:val="center"/>
          </w:tcPr>
          <w:p w14:paraId="06EABAC7"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c>
          <w:tcPr>
            <w:tcW w:w="1559" w:type="dxa"/>
            <w:vAlign w:val="center"/>
          </w:tcPr>
          <w:p w14:paraId="760C2A6C"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c>
          <w:tcPr>
            <w:tcW w:w="1843" w:type="dxa"/>
            <w:vAlign w:val="center"/>
          </w:tcPr>
          <w:p w14:paraId="4BC47209"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r>
      <w:tr w:rsidR="00594AE7" w:rsidRPr="00594AE7" w14:paraId="119BDE4E" w14:textId="77777777" w:rsidTr="00331536">
        <w:trPr>
          <w:trHeight w:val="301"/>
        </w:trPr>
        <w:tc>
          <w:tcPr>
            <w:tcW w:w="8642" w:type="dxa"/>
            <w:gridSpan w:val="4"/>
            <w:vAlign w:val="center"/>
          </w:tcPr>
          <w:p w14:paraId="1F977CCF" w14:textId="77777777" w:rsidR="00594AE7" w:rsidRPr="00594AE7" w:rsidRDefault="00594AE7" w:rsidP="00594AE7">
            <w:pPr>
              <w:rPr>
                <w:rFonts w:cstheme="minorHAnsi"/>
                <w:b/>
                <w:sz w:val="18"/>
                <w:szCs w:val="18"/>
                <w:lang w:val="en-US"/>
              </w:rPr>
            </w:pPr>
            <w:r w:rsidRPr="00594AE7">
              <w:rPr>
                <w:rFonts w:cstheme="minorHAnsi"/>
                <w:b/>
                <w:sz w:val="18"/>
                <w:szCs w:val="18"/>
                <w:lang w:val="en-US"/>
              </w:rPr>
              <w:t>Respiratory, thoracic, mediastinal disorders</w:t>
            </w:r>
          </w:p>
        </w:tc>
      </w:tr>
      <w:tr w:rsidR="00594AE7" w:rsidRPr="009E2AF8" w14:paraId="6233773E" w14:textId="77777777" w:rsidTr="00832C70">
        <w:trPr>
          <w:trHeight w:val="301"/>
        </w:trPr>
        <w:tc>
          <w:tcPr>
            <w:tcW w:w="3823" w:type="dxa"/>
            <w:tcBorders>
              <w:right w:val="single" w:sz="4" w:space="0" w:color="auto"/>
            </w:tcBorders>
          </w:tcPr>
          <w:p w14:paraId="23AC064B" w14:textId="77777777" w:rsidR="00594AE7" w:rsidRPr="00594AE7" w:rsidRDefault="00594AE7" w:rsidP="00594AE7">
            <w:pPr>
              <w:rPr>
                <w:rFonts w:cstheme="minorHAnsi"/>
                <w:sz w:val="18"/>
                <w:szCs w:val="18"/>
                <w:lang w:val="en-US"/>
              </w:rPr>
            </w:pPr>
            <w:r w:rsidRPr="00594AE7">
              <w:rPr>
                <w:rFonts w:cstheme="minorHAnsi"/>
                <w:sz w:val="18"/>
                <w:szCs w:val="18"/>
                <w:lang w:val="en-US"/>
              </w:rPr>
              <w:t xml:space="preserve"> Pulmonary embolism</w:t>
            </w:r>
          </w:p>
        </w:tc>
        <w:tc>
          <w:tcPr>
            <w:tcW w:w="1417" w:type="dxa"/>
            <w:tcBorders>
              <w:left w:val="single" w:sz="4" w:space="0" w:color="auto"/>
            </w:tcBorders>
            <w:vAlign w:val="center"/>
          </w:tcPr>
          <w:p w14:paraId="197A2851"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c>
          <w:tcPr>
            <w:tcW w:w="1559" w:type="dxa"/>
            <w:vAlign w:val="center"/>
          </w:tcPr>
          <w:p w14:paraId="7E696052"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c>
          <w:tcPr>
            <w:tcW w:w="1843" w:type="dxa"/>
            <w:vAlign w:val="center"/>
          </w:tcPr>
          <w:p w14:paraId="2BA13322" w14:textId="509C7394" w:rsidR="00594AE7" w:rsidRPr="00594AE7" w:rsidRDefault="00846260" w:rsidP="00594AE7">
            <w:pPr>
              <w:rPr>
                <w:rFonts w:cstheme="minorHAnsi"/>
                <w:sz w:val="18"/>
                <w:szCs w:val="18"/>
                <w:lang w:val="en-US"/>
              </w:rPr>
            </w:pPr>
            <w:r>
              <w:rPr>
                <w:rFonts w:cstheme="minorHAnsi"/>
                <w:sz w:val="18"/>
                <w:szCs w:val="18"/>
                <w:lang w:val="en-US"/>
              </w:rPr>
              <w:t>1 (</w:t>
            </w:r>
            <w:r w:rsidR="00594AE7" w:rsidRPr="00594AE7">
              <w:rPr>
                <w:rFonts w:cstheme="minorHAnsi"/>
                <w:sz w:val="18"/>
                <w:szCs w:val="18"/>
                <w:lang w:val="en-US"/>
              </w:rPr>
              <w:t>0.</w:t>
            </w:r>
            <w:r w:rsidR="00BE55C5">
              <w:rPr>
                <w:rFonts w:cstheme="minorHAnsi"/>
                <w:sz w:val="18"/>
                <w:szCs w:val="18"/>
                <w:lang w:val="en-US"/>
              </w:rPr>
              <w:t>1</w:t>
            </w:r>
            <w:r>
              <w:rPr>
                <w:rFonts w:cstheme="minorHAnsi"/>
                <w:sz w:val="18"/>
                <w:szCs w:val="18"/>
                <w:lang w:val="en-US"/>
              </w:rPr>
              <w:t>)</w:t>
            </w:r>
          </w:p>
        </w:tc>
      </w:tr>
      <w:tr w:rsidR="00594AE7" w:rsidRPr="00594AE7" w14:paraId="1E202031" w14:textId="77777777" w:rsidTr="00331536">
        <w:trPr>
          <w:trHeight w:val="301"/>
        </w:trPr>
        <w:tc>
          <w:tcPr>
            <w:tcW w:w="8642" w:type="dxa"/>
            <w:gridSpan w:val="4"/>
          </w:tcPr>
          <w:p w14:paraId="6B7261D5" w14:textId="77777777" w:rsidR="00594AE7" w:rsidRPr="00594AE7" w:rsidRDefault="00594AE7" w:rsidP="00594AE7">
            <w:pPr>
              <w:rPr>
                <w:rFonts w:cstheme="minorHAnsi"/>
                <w:sz w:val="18"/>
                <w:szCs w:val="18"/>
                <w:lang w:val="en-US"/>
              </w:rPr>
            </w:pPr>
            <w:r w:rsidRPr="00594AE7">
              <w:rPr>
                <w:rFonts w:cstheme="minorHAnsi"/>
                <w:b/>
                <w:sz w:val="18"/>
                <w:szCs w:val="18"/>
                <w:lang w:val="en-US"/>
              </w:rPr>
              <w:t>Skin and subcutaneous tissue disorders</w:t>
            </w:r>
          </w:p>
        </w:tc>
      </w:tr>
      <w:tr w:rsidR="00594AE7" w:rsidRPr="00594AE7" w14:paraId="231884CC" w14:textId="77777777" w:rsidTr="00832C70">
        <w:trPr>
          <w:trHeight w:val="301"/>
        </w:trPr>
        <w:tc>
          <w:tcPr>
            <w:tcW w:w="3823" w:type="dxa"/>
            <w:tcBorders>
              <w:right w:val="single" w:sz="4" w:space="0" w:color="auto"/>
            </w:tcBorders>
          </w:tcPr>
          <w:p w14:paraId="517FBC5C" w14:textId="1D0AD6C6" w:rsidR="00594AE7" w:rsidRPr="00594AE7" w:rsidRDefault="00594AE7" w:rsidP="00594AE7">
            <w:pPr>
              <w:rPr>
                <w:rFonts w:cstheme="minorHAnsi"/>
                <w:sz w:val="18"/>
                <w:szCs w:val="18"/>
                <w:lang w:val="en-US"/>
              </w:rPr>
            </w:pPr>
            <w:proofErr w:type="spellStart"/>
            <w:r w:rsidRPr="00594AE7">
              <w:rPr>
                <w:rFonts w:cstheme="minorHAnsi"/>
                <w:sz w:val="18"/>
                <w:szCs w:val="18"/>
                <w:lang w:val="en-US"/>
              </w:rPr>
              <w:t>Rash</w:t>
            </w:r>
            <w:r w:rsidR="00275B8C">
              <w:rPr>
                <w:rFonts w:cstheme="minorHAnsi"/>
                <w:b/>
                <w:sz w:val="18"/>
                <w:szCs w:val="18"/>
                <w:vertAlign w:val="superscript"/>
                <w:lang w:val="en-US"/>
              </w:rPr>
              <w:t>d</w:t>
            </w:r>
            <w:proofErr w:type="spellEnd"/>
          </w:p>
        </w:tc>
        <w:tc>
          <w:tcPr>
            <w:tcW w:w="1417" w:type="dxa"/>
            <w:tcBorders>
              <w:left w:val="single" w:sz="4" w:space="0" w:color="auto"/>
            </w:tcBorders>
            <w:vAlign w:val="center"/>
          </w:tcPr>
          <w:p w14:paraId="2C69F6FB" w14:textId="43DE33E2" w:rsidR="00594AE7" w:rsidRPr="00594AE7" w:rsidRDefault="00846260" w:rsidP="00594AE7">
            <w:pPr>
              <w:rPr>
                <w:rFonts w:cstheme="minorHAnsi"/>
                <w:sz w:val="18"/>
                <w:szCs w:val="18"/>
                <w:lang w:val="en-US"/>
              </w:rPr>
            </w:pPr>
            <w:r>
              <w:rPr>
                <w:rFonts w:cstheme="minorHAnsi"/>
                <w:sz w:val="18"/>
                <w:szCs w:val="18"/>
                <w:lang w:val="en-US"/>
              </w:rPr>
              <w:t>1</w:t>
            </w:r>
            <w:r w:rsidR="0062619E">
              <w:rPr>
                <w:rFonts w:cstheme="minorHAnsi"/>
                <w:sz w:val="18"/>
                <w:szCs w:val="18"/>
                <w:lang w:val="en-US"/>
              </w:rPr>
              <w:t>2</w:t>
            </w:r>
            <w:r>
              <w:rPr>
                <w:rFonts w:cstheme="minorHAnsi"/>
                <w:sz w:val="18"/>
                <w:szCs w:val="18"/>
                <w:lang w:val="en-US"/>
              </w:rPr>
              <w:t xml:space="preserve"> (</w:t>
            </w:r>
            <w:r w:rsidR="0062619E">
              <w:rPr>
                <w:rFonts w:cstheme="minorHAnsi"/>
                <w:sz w:val="18"/>
                <w:szCs w:val="18"/>
                <w:lang w:val="en-US"/>
              </w:rPr>
              <w:t>1.</w:t>
            </w:r>
            <w:r w:rsidR="009E2AF8">
              <w:rPr>
                <w:rFonts w:cstheme="minorHAnsi"/>
                <w:sz w:val="18"/>
                <w:szCs w:val="18"/>
                <w:lang w:val="en-US"/>
              </w:rPr>
              <w:t>2</w:t>
            </w:r>
            <w:r>
              <w:rPr>
                <w:rFonts w:cstheme="minorHAnsi"/>
                <w:sz w:val="18"/>
                <w:szCs w:val="18"/>
                <w:lang w:val="en-US"/>
              </w:rPr>
              <w:t>)</w:t>
            </w:r>
          </w:p>
        </w:tc>
        <w:tc>
          <w:tcPr>
            <w:tcW w:w="1559" w:type="dxa"/>
            <w:vAlign w:val="center"/>
          </w:tcPr>
          <w:p w14:paraId="7834C1B0" w14:textId="4E0B82BA" w:rsidR="00594AE7" w:rsidRPr="00594AE7" w:rsidRDefault="00677F36" w:rsidP="00594AE7">
            <w:pPr>
              <w:rPr>
                <w:rFonts w:cstheme="minorHAnsi"/>
                <w:sz w:val="18"/>
                <w:szCs w:val="18"/>
                <w:lang w:val="en-US"/>
              </w:rPr>
            </w:pPr>
            <w:r>
              <w:rPr>
                <w:rFonts w:cstheme="minorHAnsi"/>
                <w:sz w:val="18"/>
                <w:szCs w:val="18"/>
                <w:lang w:val="en-US"/>
              </w:rPr>
              <w:t>9</w:t>
            </w:r>
            <w:r w:rsidR="00846260">
              <w:rPr>
                <w:rFonts w:cstheme="minorHAnsi"/>
                <w:sz w:val="18"/>
                <w:szCs w:val="18"/>
                <w:lang w:val="en-US"/>
              </w:rPr>
              <w:t xml:space="preserve"> (</w:t>
            </w:r>
            <w:r w:rsidR="00594AE7" w:rsidRPr="00594AE7">
              <w:rPr>
                <w:rFonts w:cstheme="minorHAnsi"/>
                <w:sz w:val="18"/>
                <w:szCs w:val="18"/>
                <w:lang w:val="en-US"/>
              </w:rPr>
              <w:t>1.</w:t>
            </w:r>
            <w:r w:rsidR="009E2AF8">
              <w:rPr>
                <w:rFonts w:cstheme="minorHAnsi"/>
                <w:sz w:val="18"/>
                <w:szCs w:val="18"/>
                <w:lang w:val="en-US"/>
              </w:rPr>
              <w:t>3</w:t>
            </w:r>
            <w:r w:rsidR="00846260">
              <w:rPr>
                <w:rFonts w:cstheme="minorHAnsi"/>
                <w:sz w:val="18"/>
                <w:szCs w:val="18"/>
                <w:lang w:val="en-US"/>
              </w:rPr>
              <w:t>)</w:t>
            </w:r>
          </w:p>
        </w:tc>
        <w:tc>
          <w:tcPr>
            <w:tcW w:w="1843" w:type="dxa"/>
            <w:vAlign w:val="center"/>
          </w:tcPr>
          <w:p w14:paraId="1AF77A38" w14:textId="4BFB8B4D" w:rsidR="00594AE7" w:rsidRPr="00594AE7" w:rsidRDefault="00677F36" w:rsidP="00594AE7">
            <w:pPr>
              <w:rPr>
                <w:rFonts w:cstheme="minorHAnsi"/>
                <w:sz w:val="18"/>
                <w:szCs w:val="18"/>
                <w:lang w:val="en-US"/>
              </w:rPr>
            </w:pPr>
            <w:r>
              <w:rPr>
                <w:rFonts w:cstheme="minorHAnsi"/>
                <w:sz w:val="18"/>
                <w:szCs w:val="18"/>
                <w:lang w:val="en-US"/>
              </w:rPr>
              <w:t>8</w:t>
            </w:r>
            <w:r w:rsidR="00846260">
              <w:rPr>
                <w:rFonts w:cstheme="minorHAnsi"/>
                <w:sz w:val="18"/>
                <w:szCs w:val="18"/>
                <w:lang w:val="en-US"/>
              </w:rPr>
              <w:t xml:space="preserve"> (</w:t>
            </w:r>
            <w:r w:rsidR="0062619E">
              <w:rPr>
                <w:rFonts w:cstheme="minorHAnsi"/>
                <w:sz w:val="18"/>
                <w:szCs w:val="18"/>
                <w:lang w:val="en-US"/>
              </w:rPr>
              <w:t>1.</w:t>
            </w:r>
            <w:r w:rsidR="00DD17E8">
              <w:rPr>
                <w:rFonts w:cstheme="minorHAnsi"/>
                <w:sz w:val="18"/>
                <w:szCs w:val="18"/>
                <w:lang w:val="en-US"/>
              </w:rPr>
              <w:t>3</w:t>
            </w:r>
            <w:r w:rsidR="00846260">
              <w:rPr>
                <w:rFonts w:cstheme="minorHAnsi"/>
                <w:sz w:val="18"/>
                <w:szCs w:val="18"/>
                <w:lang w:val="en-US"/>
              </w:rPr>
              <w:t>)</w:t>
            </w:r>
          </w:p>
        </w:tc>
      </w:tr>
      <w:tr w:rsidR="00594AE7" w:rsidRPr="00594AE7" w14:paraId="457CA4A1" w14:textId="77777777" w:rsidTr="00832C70">
        <w:trPr>
          <w:trHeight w:val="301"/>
        </w:trPr>
        <w:tc>
          <w:tcPr>
            <w:tcW w:w="3823" w:type="dxa"/>
            <w:tcBorders>
              <w:right w:val="single" w:sz="4" w:space="0" w:color="auto"/>
            </w:tcBorders>
          </w:tcPr>
          <w:p w14:paraId="7EAB4066" w14:textId="77212741" w:rsidR="00594AE7" w:rsidRPr="00594AE7" w:rsidRDefault="00594AE7" w:rsidP="00594AE7">
            <w:pPr>
              <w:rPr>
                <w:rFonts w:cstheme="minorHAnsi"/>
                <w:sz w:val="18"/>
                <w:szCs w:val="18"/>
                <w:lang w:val="en-US"/>
              </w:rPr>
            </w:pPr>
            <w:proofErr w:type="spellStart"/>
            <w:r w:rsidRPr="00594AE7">
              <w:rPr>
                <w:rFonts w:cstheme="minorHAnsi"/>
                <w:sz w:val="18"/>
                <w:szCs w:val="18"/>
                <w:lang w:val="en-US"/>
              </w:rPr>
              <w:t>Acne</w:t>
            </w:r>
            <w:r w:rsidR="00CF6270" w:rsidRPr="00CF6270">
              <w:rPr>
                <w:rFonts w:cstheme="minorHAnsi"/>
                <w:sz w:val="18"/>
                <w:szCs w:val="18"/>
                <w:vertAlign w:val="superscript"/>
                <w:lang w:val="en-US"/>
              </w:rPr>
              <w:t>e</w:t>
            </w:r>
            <w:proofErr w:type="spellEnd"/>
          </w:p>
        </w:tc>
        <w:tc>
          <w:tcPr>
            <w:tcW w:w="1417" w:type="dxa"/>
            <w:tcBorders>
              <w:left w:val="single" w:sz="4" w:space="0" w:color="auto"/>
            </w:tcBorders>
          </w:tcPr>
          <w:p w14:paraId="0AD29566" w14:textId="0C1BF639" w:rsidR="00594AE7" w:rsidRPr="00594AE7" w:rsidRDefault="00846260" w:rsidP="00594AE7">
            <w:pPr>
              <w:rPr>
                <w:rFonts w:cstheme="minorHAnsi"/>
                <w:sz w:val="18"/>
                <w:szCs w:val="18"/>
                <w:lang w:val="en-US"/>
              </w:rPr>
            </w:pPr>
            <w:r>
              <w:rPr>
                <w:rFonts w:cstheme="minorHAnsi"/>
                <w:sz w:val="18"/>
                <w:szCs w:val="18"/>
                <w:lang w:val="en-US"/>
              </w:rPr>
              <w:t>7 (</w:t>
            </w:r>
            <w:r w:rsidR="00652663">
              <w:rPr>
                <w:rFonts w:cstheme="minorHAnsi"/>
                <w:sz w:val="18"/>
                <w:szCs w:val="18"/>
                <w:lang w:val="en-US"/>
              </w:rPr>
              <w:t>0.7</w:t>
            </w:r>
            <w:r>
              <w:rPr>
                <w:rFonts w:cstheme="minorHAnsi"/>
                <w:sz w:val="18"/>
                <w:szCs w:val="18"/>
                <w:lang w:val="en-US"/>
              </w:rPr>
              <w:t>)</w:t>
            </w:r>
          </w:p>
        </w:tc>
        <w:tc>
          <w:tcPr>
            <w:tcW w:w="1559" w:type="dxa"/>
          </w:tcPr>
          <w:p w14:paraId="4BBA25C6" w14:textId="489A53DE" w:rsidR="00594AE7" w:rsidRPr="00594AE7" w:rsidRDefault="00206DFF" w:rsidP="00594AE7">
            <w:pPr>
              <w:rPr>
                <w:rFonts w:cstheme="minorHAnsi"/>
                <w:sz w:val="18"/>
                <w:szCs w:val="18"/>
                <w:lang w:val="en-US"/>
              </w:rPr>
            </w:pPr>
            <w:r>
              <w:rPr>
                <w:rFonts w:cstheme="minorHAnsi"/>
                <w:sz w:val="18"/>
                <w:szCs w:val="18"/>
                <w:lang w:val="en-US"/>
              </w:rPr>
              <w:t>9</w:t>
            </w:r>
            <w:r w:rsidR="00846260">
              <w:rPr>
                <w:rFonts w:cstheme="minorHAnsi"/>
                <w:sz w:val="18"/>
                <w:szCs w:val="18"/>
                <w:lang w:val="en-US"/>
              </w:rPr>
              <w:t xml:space="preserve"> (</w:t>
            </w:r>
            <w:r w:rsidR="00594AE7" w:rsidRPr="00594AE7">
              <w:rPr>
                <w:rFonts w:cstheme="minorHAnsi"/>
                <w:sz w:val="18"/>
                <w:szCs w:val="18"/>
                <w:lang w:val="en-US"/>
              </w:rPr>
              <w:t>1.</w:t>
            </w:r>
            <w:r w:rsidR="005F45D9">
              <w:rPr>
                <w:rFonts w:cstheme="minorHAnsi"/>
                <w:sz w:val="18"/>
                <w:szCs w:val="18"/>
                <w:lang w:val="en-US"/>
              </w:rPr>
              <w:t>3</w:t>
            </w:r>
            <w:r w:rsidR="00846260">
              <w:rPr>
                <w:rFonts w:cstheme="minorHAnsi"/>
                <w:sz w:val="18"/>
                <w:szCs w:val="18"/>
                <w:lang w:val="en-US"/>
              </w:rPr>
              <w:t>)</w:t>
            </w:r>
          </w:p>
        </w:tc>
        <w:tc>
          <w:tcPr>
            <w:tcW w:w="1843" w:type="dxa"/>
          </w:tcPr>
          <w:p w14:paraId="3F47EDDA" w14:textId="32140F15" w:rsidR="00594AE7" w:rsidRPr="00594AE7" w:rsidRDefault="005B59E9" w:rsidP="00594AE7">
            <w:pPr>
              <w:rPr>
                <w:rFonts w:cstheme="minorHAnsi"/>
                <w:sz w:val="18"/>
                <w:szCs w:val="18"/>
                <w:lang w:val="en-US"/>
              </w:rPr>
            </w:pPr>
            <w:r>
              <w:rPr>
                <w:rFonts w:cstheme="minorHAnsi"/>
                <w:sz w:val="18"/>
                <w:szCs w:val="18"/>
                <w:lang w:val="en-US"/>
              </w:rPr>
              <w:t>10</w:t>
            </w:r>
            <w:r w:rsidR="00846260">
              <w:rPr>
                <w:rFonts w:cstheme="minorHAnsi"/>
                <w:sz w:val="18"/>
                <w:szCs w:val="18"/>
                <w:lang w:val="en-US"/>
              </w:rPr>
              <w:t xml:space="preserve"> (</w:t>
            </w:r>
            <w:r w:rsidR="00594AE7" w:rsidRPr="00594AE7">
              <w:rPr>
                <w:rFonts w:cstheme="minorHAnsi"/>
                <w:sz w:val="18"/>
                <w:szCs w:val="18"/>
                <w:lang w:val="en-US"/>
              </w:rPr>
              <w:t>1.</w:t>
            </w:r>
            <w:r w:rsidR="005F45D9">
              <w:rPr>
                <w:rFonts w:cstheme="minorHAnsi"/>
                <w:sz w:val="18"/>
                <w:szCs w:val="18"/>
                <w:lang w:val="en-US"/>
              </w:rPr>
              <w:t>5</w:t>
            </w:r>
            <w:r w:rsidR="00846260">
              <w:rPr>
                <w:rFonts w:cstheme="minorHAnsi"/>
                <w:sz w:val="18"/>
                <w:szCs w:val="18"/>
                <w:lang w:val="en-US"/>
              </w:rPr>
              <w:t>)</w:t>
            </w:r>
          </w:p>
        </w:tc>
      </w:tr>
      <w:tr w:rsidR="00594AE7" w:rsidRPr="00594AE7" w14:paraId="4C0DDF1A" w14:textId="77777777" w:rsidTr="00832C70">
        <w:trPr>
          <w:trHeight w:val="301"/>
        </w:trPr>
        <w:tc>
          <w:tcPr>
            <w:tcW w:w="3823" w:type="dxa"/>
            <w:tcBorders>
              <w:right w:val="single" w:sz="4" w:space="0" w:color="auto"/>
            </w:tcBorders>
          </w:tcPr>
          <w:p w14:paraId="59C4858F" w14:textId="098322EA" w:rsidR="00594AE7" w:rsidRPr="00594AE7" w:rsidRDefault="00594AE7" w:rsidP="00594AE7">
            <w:pPr>
              <w:rPr>
                <w:rFonts w:cstheme="minorHAnsi"/>
                <w:sz w:val="18"/>
                <w:szCs w:val="18"/>
                <w:lang w:val="en-US"/>
              </w:rPr>
            </w:pPr>
            <w:r w:rsidRPr="00594AE7">
              <w:rPr>
                <w:rFonts w:cstheme="minorHAnsi"/>
                <w:sz w:val="18"/>
                <w:szCs w:val="18"/>
                <w:lang w:val="en-US"/>
              </w:rPr>
              <w:t xml:space="preserve">Swelling of the </w:t>
            </w:r>
            <w:proofErr w:type="spellStart"/>
            <w:r w:rsidRPr="00594AE7">
              <w:rPr>
                <w:rFonts w:cstheme="minorHAnsi"/>
                <w:sz w:val="18"/>
                <w:szCs w:val="18"/>
                <w:lang w:val="en-US"/>
              </w:rPr>
              <w:t>face</w:t>
            </w:r>
            <w:r w:rsidR="0093362D" w:rsidRPr="0093362D">
              <w:rPr>
                <w:rFonts w:cstheme="minorHAnsi"/>
                <w:sz w:val="18"/>
                <w:szCs w:val="18"/>
                <w:vertAlign w:val="superscript"/>
                <w:lang w:val="en-US"/>
              </w:rPr>
              <w:t>f</w:t>
            </w:r>
            <w:proofErr w:type="spellEnd"/>
          </w:p>
        </w:tc>
        <w:tc>
          <w:tcPr>
            <w:tcW w:w="1417" w:type="dxa"/>
            <w:tcBorders>
              <w:left w:val="single" w:sz="4" w:space="0" w:color="auto"/>
            </w:tcBorders>
          </w:tcPr>
          <w:p w14:paraId="6344AD51" w14:textId="46936056" w:rsidR="00594AE7" w:rsidRPr="00594AE7" w:rsidRDefault="00A068F9" w:rsidP="00594AE7">
            <w:pPr>
              <w:rPr>
                <w:rFonts w:cstheme="minorHAnsi"/>
                <w:sz w:val="18"/>
                <w:szCs w:val="18"/>
                <w:lang w:val="en-US"/>
              </w:rPr>
            </w:pPr>
            <w:r>
              <w:rPr>
                <w:rFonts w:cstheme="minorHAnsi"/>
                <w:sz w:val="18"/>
                <w:szCs w:val="18"/>
                <w:lang w:val="en-US"/>
              </w:rPr>
              <w:t>3</w:t>
            </w:r>
            <w:r w:rsidR="00DD17E8">
              <w:rPr>
                <w:rFonts w:cstheme="minorHAnsi"/>
                <w:sz w:val="18"/>
                <w:szCs w:val="18"/>
                <w:lang w:val="en-US"/>
              </w:rPr>
              <w:t xml:space="preserve"> </w:t>
            </w:r>
            <w:r>
              <w:rPr>
                <w:rFonts w:cstheme="minorHAnsi"/>
                <w:sz w:val="18"/>
                <w:szCs w:val="18"/>
                <w:lang w:val="en-US"/>
              </w:rPr>
              <w:t>(</w:t>
            </w:r>
            <w:r w:rsidR="00594AE7" w:rsidRPr="00594AE7">
              <w:rPr>
                <w:rFonts w:cstheme="minorHAnsi"/>
                <w:sz w:val="18"/>
                <w:szCs w:val="18"/>
                <w:lang w:val="en-US"/>
              </w:rPr>
              <w:t>0</w:t>
            </w:r>
            <w:r w:rsidR="00FA51CF">
              <w:rPr>
                <w:rFonts w:cstheme="minorHAnsi"/>
                <w:sz w:val="18"/>
                <w:szCs w:val="18"/>
                <w:lang w:val="en-US"/>
              </w:rPr>
              <w:t>.</w:t>
            </w:r>
            <w:r w:rsidR="00DD17E8">
              <w:rPr>
                <w:rFonts w:cstheme="minorHAnsi"/>
                <w:sz w:val="18"/>
                <w:szCs w:val="18"/>
                <w:lang w:val="en-US"/>
              </w:rPr>
              <w:t>3</w:t>
            </w:r>
            <w:r>
              <w:rPr>
                <w:rFonts w:cstheme="minorHAnsi"/>
                <w:sz w:val="18"/>
                <w:szCs w:val="18"/>
                <w:lang w:val="en-US"/>
              </w:rPr>
              <w:t>)</w:t>
            </w:r>
          </w:p>
        </w:tc>
        <w:tc>
          <w:tcPr>
            <w:tcW w:w="1559" w:type="dxa"/>
          </w:tcPr>
          <w:p w14:paraId="5CB9EB9E" w14:textId="1C13EB8E" w:rsidR="00594AE7" w:rsidRPr="00594AE7" w:rsidRDefault="00B51A0F" w:rsidP="00594AE7">
            <w:pPr>
              <w:rPr>
                <w:rFonts w:cstheme="minorHAnsi"/>
                <w:sz w:val="18"/>
                <w:szCs w:val="18"/>
                <w:lang w:val="en-US"/>
              </w:rPr>
            </w:pPr>
            <w:r>
              <w:rPr>
                <w:rFonts w:cstheme="minorHAnsi"/>
                <w:sz w:val="18"/>
                <w:szCs w:val="18"/>
                <w:lang w:val="en-US"/>
              </w:rPr>
              <w:t>4</w:t>
            </w:r>
            <w:r w:rsidR="00DD17E8">
              <w:rPr>
                <w:rFonts w:cstheme="minorHAnsi"/>
                <w:sz w:val="18"/>
                <w:szCs w:val="18"/>
                <w:lang w:val="en-US"/>
              </w:rPr>
              <w:t xml:space="preserve"> </w:t>
            </w:r>
            <w:r w:rsidR="00A068F9">
              <w:rPr>
                <w:rFonts w:cstheme="minorHAnsi"/>
                <w:sz w:val="18"/>
                <w:szCs w:val="18"/>
                <w:lang w:val="en-US"/>
              </w:rPr>
              <w:t>(</w:t>
            </w:r>
            <w:r w:rsidR="00594AE7" w:rsidRPr="00594AE7">
              <w:rPr>
                <w:rFonts w:cstheme="minorHAnsi"/>
                <w:sz w:val="18"/>
                <w:szCs w:val="18"/>
                <w:lang w:val="en-US"/>
              </w:rPr>
              <w:t>0</w:t>
            </w:r>
            <w:r w:rsidR="00A068F9">
              <w:rPr>
                <w:rFonts w:cstheme="minorHAnsi"/>
                <w:sz w:val="18"/>
                <w:szCs w:val="18"/>
                <w:lang w:val="en-US"/>
              </w:rPr>
              <w:t>.</w:t>
            </w:r>
            <w:r w:rsidR="00DD17E8">
              <w:rPr>
                <w:rFonts w:cstheme="minorHAnsi"/>
                <w:sz w:val="18"/>
                <w:szCs w:val="18"/>
                <w:lang w:val="en-US"/>
              </w:rPr>
              <w:t>5</w:t>
            </w:r>
            <w:r w:rsidR="00A068F9">
              <w:rPr>
                <w:rFonts w:cstheme="minorHAnsi"/>
                <w:sz w:val="18"/>
                <w:szCs w:val="18"/>
                <w:lang w:val="en-US"/>
              </w:rPr>
              <w:t>)</w:t>
            </w:r>
          </w:p>
        </w:tc>
        <w:tc>
          <w:tcPr>
            <w:tcW w:w="1843" w:type="dxa"/>
          </w:tcPr>
          <w:p w14:paraId="6390FB84" w14:textId="434066E0" w:rsidR="00594AE7" w:rsidRPr="00594AE7" w:rsidRDefault="00A068F9" w:rsidP="00594AE7">
            <w:pPr>
              <w:rPr>
                <w:rFonts w:cstheme="minorHAnsi"/>
                <w:sz w:val="18"/>
                <w:szCs w:val="18"/>
                <w:lang w:val="en-US"/>
              </w:rPr>
            </w:pPr>
            <w:r>
              <w:rPr>
                <w:rFonts w:cstheme="minorHAnsi"/>
                <w:sz w:val="18"/>
                <w:szCs w:val="18"/>
                <w:lang w:val="en-US"/>
              </w:rPr>
              <w:t>3</w:t>
            </w:r>
            <w:r w:rsidR="00DD17E8">
              <w:rPr>
                <w:rFonts w:cstheme="minorHAnsi"/>
                <w:sz w:val="18"/>
                <w:szCs w:val="18"/>
                <w:lang w:val="en-US"/>
              </w:rPr>
              <w:t xml:space="preserve"> </w:t>
            </w:r>
            <w:r>
              <w:rPr>
                <w:rFonts w:cstheme="minorHAnsi"/>
                <w:sz w:val="18"/>
                <w:szCs w:val="18"/>
                <w:lang w:val="en-US"/>
              </w:rPr>
              <w:t>(</w:t>
            </w:r>
            <w:r w:rsidR="00594AE7" w:rsidRPr="00594AE7">
              <w:rPr>
                <w:rFonts w:cstheme="minorHAnsi"/>
                <w:sz w:val="18"/>
                <w:szCs w:val="18"/>
                <w:lang w:val="en-US"/>
              </w:rPr>
              <w:t>0</w:t>
            </w:r>
            <w:r>
              <w:rPr>
                <w:rFonts w:cstheme="minorHAnsi"/>
                <w:sz w:val="18"/>
                <w:szCs w:val="18"/>
                <w:lang w:val="en-US"/>
              </w:rPr>
              <w:t>.</w:t>
            </w:r>
            <w:r w:rsidR="00DD17E8">
              <w:rPr>
                <w:rFonts w:cstheme="minorHAnsi"/>
                <w:sz w:val="18"/>
                <w:szCs w:val="18"/>
                <w:lang w:val="en-US"/>
              </w:rPr>
              <w:t>6</w:t>
            </w:r>
            <w:r>
              <w:rPr>
                <w:rFonts w:cstheme="minorHAnsi"/>
                <w:sz w:val="18"/>
                <w:szCs w:val="18"/>
                <w:lang w:val="en-US"/>
              </w:rPr>
              <w:t>)</w:t>
            </w:r>
          </w:p>
        </w:tc>
      </w:tr>
      <w:tr w:rsidR="00594AE7" w:rsidRPr="00594AE7" w14:paraId="64C14011" w14:textId="77777777" w:rsidTr="00832C70">
        <w:trPr>
          <w:trHeight w:val="301"/>
        </w:trPr>
        <w:tc>
          <w:tcPr>
            <w:tcW w:w="3823" w:type="dxa"/>
            <w:tcBorders>
              <w:right w:val="single" w:sz="4" w:space="0" w:color="auto"/>
            </w:tcBorders>
          </w:tcPr>
          <w:p w14:paraId="4B34D4B7" w14:textId="77777777" w:rsidR="00594AE7" w:rsidRPr="00594AE7" w:rsidRDefault="00594AE7" w:rsidP="00594AE7">
            <w:pPr>
              <w:rPr>
                <w:rFonts w:cstheme="minorHAnsi"/>
                <w:sz w:val="18"/>
                <w:szCs w:val="18"/>
                <w:lang w:val="en-US"/>
              </w:rPr>
            </w:pPr>
            <w:proofErr w:type="spellStart"/>
            <w:r w:rsidRPr="00594AE7">
              <w:rPr>
                <w:rFonts w:cstheme="minorHAnsi"/>
                <w:sz w:val="18"/>
                <w:szCs w:val="18"/>
                <w:lang w:val="en-US"/>
              </w:rPr>
              <w:t>Urticaria</w:t>
            </w:r>
            <w:proofErr w:type="spellEnd"/>
          </w:p>
        </w:tc>
        <w:tc>
          <w:tcPr>
            <w:tcW w:w="1417" w:type="dxa"/>
            <w:tcBorders>
              <w:left w:val="single" w:sz="4" w:space="0" w:color="auto"/>
            </w:tcBorders>
          </w:tcPr>
          <w:p w14:paraId="44D15C61" w14:textId="50D1CEBD" w:rsidR="00594AE7" w:rsidRPr="00594AE7" w:rsidRDefault="00E54E32" w:rsidP="00594AE7">
            <w:pPr>
              <w:rPr>
                <w:rFonts w:cstheme="minorHAnsi"/>
                <w:sz w:val="18"/>
                <w:szCs w:val="18"/>
                <w:lang w:val="en-US"/>
              </w:rPr>
            </w:pPr>
            <w:r>
              <w:rPr>
                <w:rFonts w:cstheme="minorHAnsi"/>
                <w:sz w:val="18"/>
                <w:szCs w:val="18"/>
                <w:lang w:val="en-US"/>
              </w:rPr>
              <w:t xml:space="preserve">4 </w:t>
            </w:r>
            <w:r w:rsidR="00846260">
              <w:rPr>
                <w:rFonts w:cstheme="minorHAnsi"/>
                <w:sz w:val="18"/>
                <w:szCs w:val="18"/>
                <w:lang w:val="en-US"/>
              </w:rPr>
              <w:t>(</w:t>
            </w:r>
            <w:r w:rsidR="00594AE7" w:rsidRPr="00594AE7">
              <w:rPr>
                <w:rFonts w:cstheme="minorHAnsi"/>
                <w:sz w:val="18"/>
                <w:szCs w:val="18"/>
                <w:lang w:val="en-US"/>
              </w:rPr>
              <w:t>0.</w:t>
            </w:r>
            <w:r>
              <w:rPr>
                <w:rFonts w:cstheme="minorHAnsi"/>
                <w:sz w:val="18"/>
                <w:szCs w:val="18"/>
                <w:lang w:val="en-US"/>
              </w:rPr>
              <w:t>5</w:t>
            </w:r>
            <w:r w:rsidR="00846260">
              <w:rPr>
                <w:rFonts w:cstheme="minorHAnsi"/>
                <w:sz w:val="18"/>
                <w:szCs w:val="18"/>
                <w:lang w:val="en-US"/>
              </w:rPr>
              <w:t>)</w:t>
            </w:r>
          </w:p>
        </w:tc>
        <w:tc>
          <w:tcPr>
            <w:tcW w:w="1559" w:type="dxa"/>
          </w:tcPr>
          <w:p w14:paraId="2ED1BE4B" w14:textId="238A21DC" w:rsidR="00594AE7" w:rsidRPr="00594AE7" w:rsidRDefault="0002123C" w:rsidP="00594AE7">
            <w:pPr>
              <w:rPr>
                <w:rFonts w:cstheme="minorHAnsi"/>
                <w:sz w:val="18"/>
                <w:szCs w:val="18"/>
                <w:lang w:val="en-US"/>
              </w:rPr>
            </w:pPr>
            <w:r>
              <w:rPr>
                <w:rFonts w:cstheme="minorHAnsi"/>
                <w:sz w:val="18"/>
                <w:szCs w:val="18"/>
                <w:lang w:val="en-US"/>
              </w:rPr>
              <w:t>3</w:t>
            </w:r>
            <w:r w:rsidR="00846260">
              <w:rPr>
                <w:rFonts w:cstheme="minorHAnsi"/>
                <w:sz w:val="18"/>
                <w:szCs w:val="18"/>
                <w:lang w:val="en-US"/>
              </w:rPr>
              <w:t xml:space="preserve"> (</w:t>
            </w:r>
            <w:r w:rsidR="00594AE7" w:rsidRPr="00594AE7">
              <w:rPr>
                <w:rFonts w:cstheme="minorHAnsi"/>
                <w:sz w:val="18"/>
                <w:szCs w:val="18"/>
                <w:lang w:val="en-US"/>
              </w:rPr>
              <w:t>0.</w:t>
            </w:r>
            <w:r>
              <w:rPr>
                <w:rFonts w:cstheme="minorHAnsi"/>
                <w:sz w:val="18"/>
                <w:szCs w:val="18"/>
                <w:lang w:val="en-US"/>
              </w:rPr>
              <w:t>4</w:t>
            </w:r>
            <w:r w:rsidR="00846260">
              <w:rPr>
                <w:rFonts w:cstheme="minorHAnsi"/>
                <w:sz w:val="18"/>
                <w:szCs w:val="18"/>
                <w:lang w:val="en-US"/>
              </w:rPr>
              <w:t>)</w:t>
            </w:r>
          </w:p>
        </w:tc>
        <w:tc>
          <w:tcPr>
            <w:tcW w:w="1843" w:type="dxa"/>
          </w:tcPr>
          <w:p w14:paraId="3F7E20E8" w14:textId="0541C6D3" w:rsidR="00594AE7" w:rsidRPr="00594AE7" w:rsidRDefault="00FA1C18" w:rsidP="00594AE7">
            <w:pPr>
              <w:rPr>
                <w:rFonts w:cstheme="minorHAnsi"/>
                <w:sz w:val="18"/>
                <w:szCs w:val="18"/>
                <w:lang w:val="en-US"/>
              </w:rPr>
            </w:pPr>
            <w:r>
              <w:rPr>
                <w:rFonts w:cstheme="minorHAnsi"/>
                <w:sz w:val="18"/>
                <w:szCs w:val="18"/>
                <w:lang w:val="en-US"/>
              </w:rPr>
              <w:t>2 (0.4)</w:t>
            </w:r>
          </w:p>
        </w:tc>
      </w:tr>
      <w:tr w:rsidR="00594AE7" w:rsidRPr="00594AE7" w14:paraId="43B2F75F" w14:textId="77777777" w:rsidTr="00331536">
        <w:trPr>
          <w:trHeight w:val="301"/>
        </w:trPr>
        <w:tc>
          <w:tcPr>
            <w:tcW w:w="8642" w:type="dxa"/>
            <w:gridSpan w:val="4"/>
          </w:tcPr>
          <w:p w14:paraId="64C3B992" w14:textId="47752E38" w:rsidR="00594AE7" w:rsidRPr="00594AE7" w:rsidRDefault="00594AE7" w:rsidP="00594AE7">
            <w:pPr>
              <w:rPr>
                <w:rFonts w:cstheme="minorHAnsi"/>
                <w:b/>
                <w:sz w:val="18"/>
                <w:szCs w:val="18"/>
                <w:lang w:val="en-US"/>
              </w:rPr>
            </w:pPr>
            <w:r w:rsidRPr="00594AE7">
              <w:rPr>
                <w:rFonts w:cstheme="minorHAnsi"/>
                <w:b/>
                <w:sz w:val="18"/>
                <w:szCs w:val="18"/>
                <w:lang w:val="en-US"/>
              </w:rPr>
              <w:t xml:space="preserve">Laboratory </w:t>
            </w:r>
            <w:proofErr w:type="spellStart"/>
            <w:r w:rsidRPr="00594AE7">
              <w:rPr>
                <w:rFonts w:cstheme="minorHAnsi"/>
                <w:b/>
                <w:sz w:val="18"/>
                <w:szCs w:val="18"/>
                <w:lang w:val="en-US"/>
              </w:rPr>
              <w:t>Parameters</w:t>
            </w:r>
            <w:r w:rsidR="0093362D" w:rsidRPr="007873EC">
              <w:rPr>
                <w:rFonts w:cstheme="minorHAnsi"/>
                <w:bCs/>
                <w:sz w:val="18"/>
                <w:szCs w:val="18"/>
                <w:vertAlign w:val="superscript"/>
                <w:lang w:val="en-US"/>
              </w:rPr>
              <w:t>g</w:t>
            </w:r>
            <w:proofErr w:type="spellEnd"/>
          </w:p>
        </w:tc>
      </w:tr>
      <w:tr w:rsidR="00594AE7" w:rsidRPr="00594AE7" w14:paraId="660D66F3" w14:textId="77777777" w:rsidTr="00832C70">
        <w:trPr>
          <w:trHeight w:val="301"/>
        </w:trPr>
        <w:tc>
          <w:tcPr>
            <w:tcW w:w="3823" w:type="dxa"/>
            <w:tcBorders>
              <w:right w:val="single" w:sz="4" w:space="0" w:color="auto"/>
            </w:tcBorders>
          </w:tcPr>
          <w:p w14:paraId="43C8CF7A" w14:textId="77777777" w:rsidR="00594AE7" w:rsidRPr="00594AE7" w:rsidRDefault="00594AE7" w:rsidP="00594AE7">
            <w:pPr>
              <w:rPr>
                <w:rFonts w:cstheme="minorHAnsi"/>
                <w:b/>
                <w:sz w:val="18"/>
                <w:szCs w:val="18"/>
                <w:lang w:val="en-US"/>
              </w:rPr>
            </w:pPr>
            <w:proofErr w:type="spellStart"/>
            <w:r w:rsidRPr="00594AE7">
              <w:rPr>
                <w:rFonts w:cstheme="minorHAnsi"/>
                <w:sz w:val="18"/>
                <w:szCs w:val="18"/>
                <w:lang w:val="en-US"/>
              </w:rPr>
              <w:t>Creatine</w:t>
            </w:r>
            <w:proofErr w:type="spellEnd"/>
            <w:r w:rsidRPr="00594AE7">
              <w:rPr>
                <w:rFonts w:cstheme="minorHAnsi"/>
                <w:sz w:val="18"/>
                <w:szCs w:val="18"/>
                <w:lang w:val="en-US"/>
              </w:rPr>
              <w:t xml:space="preserve"> Phosphokinase &gt;5 x ULN</w:t>
            </w:r>
          </w:p>
        </w:tc>
        <w:tc>
          <w:tcPr>
            <w:tcW w:w="1417" w:type="dxa"/>
            <w:tcBorders>
              <w:left w:val="single" w:sz="4" w:space="0" w:color="auto"/>
            </w:tcBorders>
          </w:tcPr>
          <w:p w14:paraId="09CC5E9B" w14:textId="757B0291" w:rsidR="00594AE7" w:rsidRPr="00594AE7" w:rsidRDefault="00846260" w:rsidP="00594AE7">
            <w:pPr>
              <w:rPr>
                <w:rFonts w:cstheme="minorHAnsi"/>
                <w:sz w:val="18"/>
                <w:szCs w:val="18"/>
                <w:lang w:val="en-US"/>
              </w:rPr>
            </w:pPr>
            <w:r>
              <w:rPr>
                <w:rFonts w:cstheme="minorHAnsi"/>
                <w:sz w:val="18"/>
                <w:szCs w:val="18"/>
                <w:lang w:val="en-US"/>
              </w:rPr>
              <w:t>1</w:t>
            </w:r>
            <w:r w:rsidR="00E26EDA">
              <w:rPr>
                <w:rFonts w:cstheme="minorHAnsi"/>
                <w:sz w:val="18"/>
                <w:szCs w:val="18"/>
                <w:lang w:val="en-US"/>
              </w:rPr>
              <w:t>4</w:t>
            </w:r>
            <w:r>
              <w:rPr>
                <w:rFonts w:cstheme="minorHAnsi"/>
                <w:sz w:val="18"/>
                <w:szCs w:val="18"/>
                <w:lang w:val="en-US"/>
              </w:rPr>
              <w:t xml:space="preserve"> (</w:t>
            </w:r>
            <w:r w:rsidR="00594AE7" w:rsidRPr="00594AE7">
              <w:rPr>
                <w:rFonts w:cstheme="minorHAnsi"/>
                <w:sz w:val="18"/>
                <w:szCs w:val="18"/>
                <w:lang w:val="en-US"/>
              </w:rPr>
              <w:t>1.9</w:t>
            </w:r>
            <w:r>
              <w:rPr>
                <w:rFonts w:cstheme="minorHAnsi"/>
                <w:sz w:val="18"/>
                <w:szCs w:val="18"/>
                <w:lang w:val="en-US"/>
              </w:rPr>
              <w:t>)</w:t>
            </w:r>
          </w:p>
        </w:tc>
        <w:tc>
          <w:tcPr>
            <w:tcW w:w="1559" w:type="dxa"/>
          </w:tcPr>
          <w:p w14:paraId="00560747" w14:textId="288563EF" w:rsidR="00594AE7" w:rsidRPr="00594AE7" w:rsidRDefault="00846260" w:rsidP="00594AE7">
            <w:pPr>
              <w:rPr>
                <w:rFonts w:cstheme="minorHAnsi"/>
                <w:sz w:val="18"/>
                <w:szCs w:val="18"/>
                <w:lang w:val="en-US"/>
              </w:rPr>
            </w:pPr>
            <w:r>
              <w:rPr>
                <w:rFonts w:cstheme="minorHAnsi"/>
                <w:sz w:val="18"/>
                <w:szCs w:val="18"/>
                <w:lang w:val="en-US"/>
              </w:rPr>
              <w:t xml:space="preserve"> </w:t>
            </w:r>
            <w:r w:rsidR="0062619E">
              <w:rPr>
                <w:rFonts w:cstheme="minorHAnsi"/>
                <w:sz w:val="18"/>
                <w:szCs w:val="18"/>
                <w:lang w:val="en-US"/>
              </w:rPr>
              <w:t>1</w:t>
            </w:r>
            <w:r w:rsidR="00E26EDA">
              <w:rPr>
                <w:rFonts w:cstheme="minorHAnsi"/>
                <w:sz w:val="18"/>
                <w:szCs w:val="18"/>
                <w:lang w:val="en-US"/>
              </w:rPr>
              <w:t>4</w:t>
            </w:r>
            <w:r w:rsidR="0062619E">
              <w:rPr>
                <w:rFonts w:cstheme="minorHAnsi"/>
                <w:sz w:val="18"/>
                <w:szCs w:val="18"/>
                <w:lang w:val="en-US"/>
              </w:rPr>
              <w:t xml:space="preserve"> </w:t>
            </w:r>
            <w:r>
              <w:rPr>
                <w:rFonts w:cstheme="minorHAnsi"/>
                <w:sz w:val="18"/>
                <w:szCs w:val="18"/>
                <w:lang w:val="en-US"/>
              </w:rPr>
              <w:t>(</w:t>
            </w:r>
            <w:r w:rsidR="0062619E">
              <w:rPr>
                <w:rFonts w:cstheme="minorHAnsi"/>
                <w:sz w:val="18"/>
                <w:szCs w:val="18"/>
                <w:lang w:val="en-US"/>
              </w:rPr>
              <w:t>2.</w:t>
            </w:r>
            <w:r w:rsidR="005F45D9">
              <w:rPr>
                <w:rFonts w:cstheme="minorHAnsi"/>
                <w:sz w:val="18"/>
                <w:szCs w:val="18"/>
                <w:lang w:val="en-US"/>
              </w:rPr>
              <w:t>5</w:t>
            </w:r>
            <w:r>
              <w:rPr>
                <w:rFonts w:cstheme="minorHAnsi"/>
                <w:sz w:val="18"/>
                <w:szCs w:val="18"/>
                <w:lang w:val="en-US"/>
              </w:rPr>
              <w:t>)</w:t>
            </w:r>
          </w:p>
        </w:tc>
        <w:tc>
          <w:tcPr>
            <w:tcW w:w="1843" w:type="dxa"/>
          </w:tcPr>
          <w:p w14:paraId="7F61CD49" w14:textId="5C82ECB2" w:rsidR="00594AE7" w:rsidRPr="00594AE7" w:rsidRDefault="00846260" w:rsidP="00594AE7">
            <w:pPr>
              <w:rPr>
                <w:rFonts w:cstheme="minorHAnsi"/>
                <w:sz w:val="18"/>
                <w:szCs w:val="18"/>
                <w:lang w:val="en-US"/>
              </w:rPr>
            </w:pPr>
            <w:r>
              <w:rPr>
                <w:rFonts w:cstheme="minorHAnsi"/>
                <w:sz w:val="18"/>
                <w:szCs w:val="18"/>
                <w:lang w:val="en-US"/>
              </w:rPr>
              <w:t xml:space="preserve"> </w:t>
            </w:r>
            <w:r w:rsidR="0062619E">
              <w:rPr>
                <w:rFonts w:cstheme="minorHAnsi"/>
                <w:sz w:val="18"/>
                <w:szCs w:val="18"/>
                <w:lang w:val="en-US"/>
              </w:rPr>
              <w:t>1</w:t>
            </w:r>
            <w:r w:rsidR="00E26EDA">
              <w:rPr>
                <w:rFonts w:cstheme="minorHAnsi"/>
                <w:sz w:val="18"/>
                <w:szCs w:val="18"/>
                <w:lang w:val="en-US"/>
              </w:rPr>
              <w:t>6</w:t>
            </w:r>
            <w:r w:rsidR="0062619E">
              <w:rPr>
                <w:rFonts w:cstheme="minorHAnsi"/>
                <w:sz w:val="18"/>
                <w:szCs w:val="18"/>
                <w:lang w:val="en-US"/>
              </w:rPr>
              <w:t xml:space="preserve"> </w:t>
            </w:r>
            <w:r>
              <w:rPr>
                <w:rFonts w:cstheme="minorHAnsi"/>
                <w:sz w:val="18"/>
                <w:szCs w:val="18"/>
                <w:lang w:val="en-US"/>
              </w:rPr>
              <w:t>(</w:t>
            </w:r>
            <w:r w:rsidR="0062619E">
              <w:rPr>
                <w:rFonts w:cstheme="minorHAnsi"/>
                <w:sz w:val="18"/>
                <w:szCs w:val="18"/>
                <w:lang w:val="en-US"/>
              </w:rPr>
              <w:t>3.</w:t>
            </w:r>
            <w:r w:rsidR="005F45D9">
              <w:rPr>
                <w:rFonts w:cstheme="minorHAnsi"/>
                <w:sz w:val="18"/>
                <w:szCs w:val="18"/>
                <w:lang w:val="en-US"/>
              </w:rPr>
              <w:t>3</w:t>
            </w:r>
            <w:r>
              <w:rPr>
                <w:rFonts w:cstheme="minorHAnsi"/>
                <w:sz w:val="18"/>
                <w:szCs w:val="18"/>
                <w:lang w:val="en-US"/>
              </w:rPr>
              <w:t>)</w:t>
            </w:r>
          </w:p>
        </w:tc>
      </w:tr>
      <w:tr w:rsidR="00594AE7" w:rsidRPr="00594AE7" w14:paraId="08056C75" w14:textId="77777777" w:rsidTr="00832C70">
        <w:trPr>
          <w:trHeight w:val="301"/>
        </w:trPr>
        <w:tc>
          <w:tcPr>
            <w:tcW w:w="3823" w:type="dxa"/>
            <w:tcBorders>
              <w:right w:val="single" w:sz="4" w:space="0" w:color="auto"/>
            </w:tcBorders>
          </w:tcPr>
          <w:p w14:paraId="2B33630D" w14:textId="77777777" w:rsidR="00594AE7" w:rsidRPr="00594AE7" w:rsidRDefault="00594AE7" w:rsidP="00594AE7">
            <w:pPr>
              <w:rPr>
                <w:rFonts w:cstheme="minorHAnsi"/>
                <w:sz w:val="18"/>
                <w:szCs w:val="18"/>
                <w:lang w:val="en-US"/>
              </w:rPr>
            </w:pPr>
            <w:r w:rsidRPr="00594AE7">
              <w:rPr>
                <w:rFonts w:cstheme="minorHAnsi"/>
                <w:sz w:val="18"/>
                <w:szCs w:val="18"/>
                <w:lang w:val="en-US"/>
              </w:rPr>
              <w:t>LDL cholesterol ≥130 mg/</w:t>
            </w:r>
            <w:proofErr w:type="spellStart"/>
            <w:r w:rsidRPr="00594AE7">
              <w:rPr>
                <w:rFonts w:cstheme="minorHAnsi"/>
                <w:sz w:val="18"/>
                <w:szCs w:val="18"/>
                <w:lang w:val="en-US"/>
              </w:rPr>
              <w:t>dL</w:t>
            </w:r>
            <w:proofErr w:type="spellEnd"/>
            <w:r w:rsidRPr="00594AE7">
              <w:rPr>
                <w:rFonts w:cstheme="minorHAnsi"/>
                <w:sz w:val="18"/>
                <w:szCs w:val="18"/>
                <w:lang w:val="en-US"/>
              </w:rPr>
              <w:t xml:space="preserve"> </w:t>
            </w:r>
          </w:p>
        </w:tc>
        <w:tc>
          <w:tcPr>
            <w:tcW w:w="1417" w:type="dxa"/>
            <w:tcBorders>
              <w:left w:val="single" w:sz="4" w:space="0" w:color="auto"/>
            </w:tcBorders>
          </w:tcPr>
          <w:p w14:paraId="6D6BBD57" w14:textId="696EED4F" w:rsidR="00594AE7" w:rsidRPr="00594AE7" w:rsidRDefault="004021E4" w:rsidP="00594AE7">
            <w:pPr>
              <w:rPr>
                <w:rFonts w:cstheme="minorHAnsi"/>
                <w:sz w:val="18"/>
                <w:szCs w:val="18"/>
                <w:lang w:val="en-US"/>
              </w:rPr>
            </w:pPr>
            <w:r>
              <w:rPr>
                <w:rFonts w:cstheme="minorHAnsi"/>
                <w:sz w:val="18"/>
                <w:szCs w:val="18"/>
                <w:lang w:val="en-US"/>
              </w:rPr>
              <w:t>34</w:t>
            </w:r>
            <w:r w:rsidR="00846260">
              <w:rPr>
                <w:rFonts w:cstheme="minorHAnsi"/>
                <w:sz w:val="18"/>
                <w:szCs w:val="18"/>
                <w:lang w:val="en-US"/>
              </w:rPr>
              <w:t xml:space="preserve"> (</w:t>
            </w:r>
            <w:r w:rsidR="00ED40B1">
              <w:rPr>
                <w:rFonts w:cstheme="minorHAnsi"/>
                <w:sz w:val="18"/>
                <w:szCs w:val="18"/>
                <w:lang w:val="en-US"/>
              </w:rPr>
              <w:t>6.3</w:t>
            </w:r>
            <w:r w:rsidR="00846260">
              <w:rPr>
                <w:rFonts w:cstheme="minorHAnsi"/>
                <w:sz w:val="18"/>
                <w:szCs w:val="18"/>
                <w:lang w:val="en-US"/>
              </w:rPr>
              <w:t>)</w:t>
            </w:r>
          </w:p>
        </w:tc>
        <w:tc>
          <w:tcPr>
            <w:tcW w:w="1559" w:type="dxa"/>
          </w:tcPr>
          <w:p w14:paraId="594BA7B8" w14:textId="1F612CC1" w:rsidR="00594AE7" w:rsidRPr="00594AE7" w:rsidRDefault="004021E4" w:rsidP="00594AE7">
            <w:pPr>
              <w:rPr>
                <w:rFonts w:cstheme="minorHAnsi"/>
                <w:sz w:val="18"/>
                <w:szCs w:val="18"/>
                <w:lang w:val="en-US"/>
              </w:rPr>
            </w:pPr>
            <w:r>
              <w:rPr>
                <w:rFonts w:cstheme="minorHAnsi"/>
                <w:sz w:val="18"/>
                <w:szCs w:val="18"/>
                <w:lang w:val="en-US"/>
              </w:rPr>
              <w:t>52</w:t>
            </w:r>
            <w:r w:rsidR="00846260">
              <w:rPr>
                <w:rFonts w:cstheme="minorHAnsi"/>
                <w:sz w:val="18"/>
                <w:szCs w:val="18"/>
                <w:lang w:val="en-US"/>
              </w:rPr>
              <w:t xml:space="preserve"> (</w:t>
            </w:r>
            <w:r w:rsidR="00594AE7" w:rsidRPr="00594AE7">
              <w:rPr>
                <w:rFonts w:cstheme="minorHAnsi"/>
                <w:sz w:val="18"/>
                <w:szCs w:val="18"/>
                <w:lang w:val="en-US"/>
              </w:rPr>
              <w:t>12.</w:t>
            </w:r>
            <w:r w:rsidR="008C0E90">
              <w:rPr>
                <w:rFonts w:cstheme="minorHAnsi"/>
                <w:sz w:val="18"/>
                <w:szCs w:val="18"/>
                <w:lang w:val="en-US"/>
              </w:rPr>
              <w:t>0</w:t>
            </w:r>
            <w:r w:rsidR="00846260">
              <w:rPr>
                <w:rFonts w:cstheme="minorHAnsi"/>
                <w:sz w:val="18"/>
                <w:szCs w:val="18"/>
                <w:lang w:val="en-US"/>
              </w:rPr>
              <w:t>)</w:t>
            </w:r>
          </w:p>
        </w:tc>
        <w:tc>
          <w:tcPr>
            <w:tcW w:w="1843" w:type="dxa"/>
          </w:tcPr>
          <w:p w14:paraId="466E1416" w14:textId="5BAF4102" w:rsidR="00594AE7" w:rsidRPr="00594AE7" w:rsidRDefault="00CF6436" w:rsidP="00594AE7">
            <w:pPr>
              <w:rPr>
                <w:rFonts w:cstheme="minorHAnsi"/>
                <w:sz w:val="18"/>
                <w:szCs w:val="18"/>
                <w:lang w:val="en-US"/>
              </w:rPr>
            </w:pPr>
            <w:r>
              <w:rPr>
                <w:rFonts w:cstheme="minorHAnsi"/>
                <w:sz w:val="18"/>
                <w:szCs w:val="18"/>
                <w:lang w:val="en-US"/>
              </w:rPr>
              <w:t>48</w:t>
            </w:r>
            <w:r w:rsidR="00846260">
              <w:rPr>
                <w:rFonts w:cstheme="minorHAnsi"/>
                <w:sz w:val="18"/>
                <w:szCs w:val="18"/>
                <w:lang w:val="en-US"/>
              </w:rPr>
              <w:t xml:space="preserve"> (</w:t>
            </w:r>
            <w:r w:rsidR="008C0E90">
              <w:rPr>
                <w:rFonts w:cstheme="minorHAnsi"/>
                <w:sz w:val="18"/>
                <w:szCs w:val="18"/>
                <w:lang w:val="en-US"/>
              </w:rPr>
              <w:t>13.2</w:t>
            </w:r>
            <w:r w:rsidR="00846260">
              <w:rPr>
                <w:rFonts w:cstheme="minorHAnsi"/>
                <w:sz w:val="18"/>
                <w:szCs w:val="18"/>
                <w:lang w:val="en-US"/>
              </w:rPr>
              <w:t>)</w:t>
            </w:r>
          </w:p>
        </w:tc>
      </w:tr>
      <w:tr w:rsidR="00594AE7" w:rsidRPr="00594AE7" w14:paraId="2DD880EC" w14:textId="77777777" w:rsidTr="00832C70">
        <w:trPr>
          <w:trHeight w:val="301"/>
        </w:trPr>
        <w:tc>
          <w:tcPr>
            <w:tcW w:w="3823" w:type="dxa"/>
            <w:tcBorders>
              <w:right w:val="single" w:sz="4" w:space="0" w:color="auto"/>
            </w:tcBorders>
          </w:tcPr>
          <w:p w14:paraId="531E7D86" w14:textId="77777777" w:rsidR="00594AE7" w:rsidRPr="00594AE7" w:rsidRDefault="00594AE7" w:rsidP="00594AE7">
            <w:pPr>
              <w:rPr>
                <w:rFonts w:cstheme="minorHAnsi"/>
                <w:sz w:val="18"/>
                <w:szCs w:val="18"/>
                <w:lang w:val="en-US"/>
              </w:rPr>
            </w:pPr>
            <w:r w:rsidRPr="00594AE7">
              <w:rPr>
                <w:rFonts w:cstheme="minorHAnsi"/>
                <w:sz w:val="18"/>
                <w:szCs w:val="18"/>
                <w:lang w:val="en-US"/>
              </w:rPr>
              <w:t>Triglycerides ≥500 mg/</w:t>
            </w:r>
            <w:proofErr w:type="spellStart"/>
            <w:r w:rsidRPr="00594AE7">
              <w:rPr>
                <w:rFonts w:cstheme="minorHAnsi"/>
                <w:sz w:val="18"/>
                <w:szCs w:val="18"/>
                <w:lang w:val="en-US"/>
              </w:rPr>
              <w:t>dL</w:t>
            </w:r>
            <w:proofErr w:type="spellEnd"/>
          </w:p>
        </w:tc>
        <w:tc>
          <w:tcPr>
            <w:tcW w:w="1417" w:type="dxa"/>
            <w:tcBorders>
              <w:left w:val="single" w:sz="4" w:space="0" w:color="auto"/>
            </w:tcBorders>
          </w:tcPr>
          <w:p w14:paraId="53C26049" w14:textId="44603E1A" w:rsidR="00594AE7" w:rsidRPr="00594AE7" w:rsidRDefault="00192F03" w:rsidP="00594AE7">
            <w:pPr>
              <w:rPr>
                <w:rFonts w:cstheme="minorHAnsi"/>
                <w:sz w:val="18"/>
                <w:szCs w:val="18"/>
                <w:lang w:val="en-US"/>
              </w:rPr>
            </w:pPr>
            <w:r>
              <w:rPr>
                <w:rFonts w:cstheme="minorHAnsi"/>
                <w:sz w:val="18"/>
                <w:szCs w:val="18"/>
                <w:lang w:val="en-US"/>
              </w:rPr>
              <w:t>5</w:t>
            </w:r>
            <w:r w:rsidR="00846260">
              <w:rPr>
                <w:rFonts w:cstheme="minorHAnsi"/>
                <w:sz w:val="18"/>
                <w:szCs w:val="18"/>
                <w:lang w:val="en-US"/>
              </w:rPr>
              <w:t xml:space="preserve"> (</w:t>
            </w:r>
            <w:r w:rsidR="00594AE7" w:rsidRPr="00594AE7">
              <w:rPr>
                <w:rFonts w:cstheme="minorHAnsi"/>
                <w:sz w:val="18"/>
                <w:szCs w:val="18"/>
                <w:lang w:val="en-US"/>
              </w:rPr>
              <w:t>0.</w:t>
            </w:r>
            <w:r w:rsidR="00B45101">
              <w:rPr>
                <w:rFonts w:cstheme="minorHAnsi"/>
                <w:sz w:val="18"/>
                <w:szCs w:val="18"/>
                <w:lang w:val="en-US"/>
              </w:rPr>
              <w:t>8</w:t>
            </w:r>
            <w:r w:rsidR="00846260">
              <w:rPr>
                <w:rFonts w:cstheme="minorHAnsi"/>
                <w:sz w:val="18"/>
                <w:szCs w:val="18"/>
                <w:lang w:val="en-US"/>
              </w:rPr>
              <w:t>)</w:t>
            </w:r>
          </w:p>
        </w:tc>
        <w:tc>
          <w:tcPr>
            <w:tcW w:w="1559" w:type="dxa"/>
          </w:tcPr>
          <w:p w14:paraId="62F4ABDB" w14:textId="3B3B4762" w:rsidR="00594AE7" w:rsidRPr="00594AE7" w:rsidRDefault="00192F03" w:rsidP="00594AE7">
            <w:pPr>
              <w:rPr>
                <w:rFonts w:cstheme="minorHAnsi"/>
                <w:sz w:val="18"/>
                <w:szCs w:val="18"/>
                <w:lang w:val="en-US"/>
              </w:rPr>
            </w:pPr>
            <w:r>
              <w:rPr>
                <w:rFonts w:cstheme="minorHAnsi"/>
                <w:sz w:val="18"/>
                <w:szCs w:val="18"/>
                <w:lang w:val="en-US"/>
              </w:rPr>
              <w:t>3</w:t>
            </w:r>
            <w:r w:rsidR="00846260">
              <w:rPr>
                <w:rFonts w:cstheme="minorHAnsi"/>
                <w:sz w:val="18"/>
                <w:szCs w:val="18"/>
                <w:lang w:val="en-US"/>
              </w:rPr>
              <w:t xml:space="preserve"> (</w:t>
            </w:r>
            <w:r w:rsidR="00594AE7" w:rsidRPr="00594AE7">
              <w:rPr>
                <w:rFonts w:cstheme="minorHAnsi"/>
                <w:sz w:val="18"/>
                <w:szCs w:val="18"/>
                <w:lang w:val="en-US"/>
              </w:rPr>
              <w:t>0.6</w:t>
            </w:r>
            <w:r w:rsidR="00846260">
              <w:rPr>
                <w:rFonts w:cstheme="minorHAnsi"/>
                <w:sz w:val="18"/>
                <w:szCs w:val="18"/>
                <w:lang w:val="en-US"/>
              </w:rPr>
              <w:t>)</w:t>
            </w:r>
          </w:p>
        </w:tc>
        <w:tc>
          <w:tcPr>
            <w:tcW w:w="1843" w:type="dxa"/>
          </w:tcPr>
          <w:p w14:paraId="5F71DA81" w14:textId="2FFA63C8" w:rsidR="00594AE7" w:rsidRPr="00594AE7" w:rsidRDefault="00846260" w:rsidP="00594AE7">
            <w:pPr>
              <w:rPr>
                <w:rFonts w:cstheme="minorHAnsi"/>
                <w:sz w:val="18"/>
                <w:szCs w:val="18"/>
                <w:lang w:val="en-US"/>
              </w:rPr>
            </w:pPr>
            <w:r>
              <w:rPr>
                <w:rFonts w:cstheme="minorHAnsi"/>
                <w:sz w:val="18"/>
                <w:szCs w:val="18"/>
                <w:lang w:val="en-US"/>
              </w:rPr>
              <w:t>3 (</w:t>
            </w:r>
            <w:r w:rsidR="009C5886">
              <w:rPr>
                <w:rFonts w:cstheme="minorHAnsi"/>
                <w:sz w:val="18"/>
                <w:szCs w:val="18"/>
                <w:lang w:val="en-US"/>
              </w:rPr>
              <w:t>0.7</w:t>
            </w:r>
            <w:r>
              <w:rPr>
                <w:rFonts w:cstheme="minorHAnsi"/>
                <w:sz w:val="18"/>
                <w:szCs w:val="18"/>
                <w:lang w:val="en-US"/>
              </w:rPr>
              <w:t>)</w:t>
            </w:r>
          </w:p>
        </w:tc>
      </w:tr>
      <w:tr w:rsidR="00594AE7" w:rsidRPr="00594AE7" w14:paraId="3FD3CD3B" w14:textId="77777777" w:rsidTr="00832C70">
        <w:trPr>
          <w:trHeight w:val="301"/>
        </w:trPr>
        <w:tc>
          <w:tcPr>
            <w:tcW w:w="3823" w:type="dxa"/>
            <w:tcBorders>
              <w:right w:val="single" w:sz="4" w:space="0" w:color="auto"/>
            </w:tcBorders>
          </w:tcPr>
          <w:p w14:paraId="65D6B373" w14:textId="77777777" w:rsidR="00594AE7" w:rsidRPr="00594AE7" w:rsidRDefault="00594AE7" w:rsidP="00594AE7">
            <w:pPr>
              <w:rPr>
                <w:rFonts w:cstheme="minorHAnsi"/>
                <w:sz w:val="18"/>
                <w:szCs w:val="18"/>
                <w:lang w:val="en-US"/>
              </w:rPr>
            </w:pPr>
            <w:r w:rsidRPr="00594AE7">
              <w:rPr>
                <w:rFonts w:cstheme="minorHAnsi"/>
                <w:sz w:val="18"/>
                <w:szCs w:val="18"/>
                <w:lang w:val="en-US"/>
              </w:rPr>
              <w:t>ALT ≥3 x ULN</w:t>
            </w:r>
          </w:p>
        </w:tc>
        <w:tc>
          <w:tcPr>
            <w:tcW w:w="1417" w:type="dxa"/>
            <w:tcBorders>
              <w:left w:val="single" w:sz="4" w:space="0" w:color="auto"/>
            </w:tcBorders>
          </w:tcPr>
          <w:p w14:paraId="78AF3B2F" w14:textId="343070DC" w:rsidR="00594AE7" w:rsidRPr="00594AE7" w:rsidRDefault="000823F7" w:rsidP="00594AE7">
            <w:pPr>
              <w:rPr>
                <w:rFonts w:cstheme="minorHAnsi"/>
                <w:sz w:val="18"/>
                <w:szCs w:val="18"/>
                <w:lang w:val="en-US"/>
              </w:rPr>
            </w:pPr>
            <w:r>
              <w:rPr>
                <w:rFonts w:cstheme="minorHAnsi"/>
                <w:sz w:val="18"/>
                <w:szCs w:val="18"/>
                <w:lang w:val="en-US"/>
              </w:rPr>
              <w:t>7</w:t>
            </w:r>
            <w:r w:rsidR="00846260">
              <w:rPr>
                <w:rFonts w:cstheme="minorHAnsi"/>
                <w:sz w:val="18"/>
                <w:szCs w:val="18"/>
                <w:lang w:val="en-US"/>
              </w:rPr>
              <w:t xml:space="preserve"> (</w:t>
            </w:r>
            <w:r w:rsidR="00594AE7" w:rsidRPr="00594AE7">
              <w:rPr>
                <w:rFonts w:cstheme="minorHAnsi"/>
                <w:sz w:val="18"/>
                <w:szCs w:val="18"/>
                <w:lang w:val="en-US"/>
              </w:rPr>
              <w:t>0.</w:t>
            </w:r>
            <w:r w:rsidR="00B45101">
              <w:rPr>
                <w:rFonts w:cstheme="minorHAnsi"/>
                <w:sz w:val="18"/>
                <w:szCs w:val="18"/>
                <w:lang w:val="en-US"/>
              </w:rPr>
              <w:t>8</w:t>
            </w:r>
            <w:r w:rsidR="00846260">
              <w:rPr>
                <w:rFonts w:cstheme="minorHAnsi"/>
                <w:sz w:val="18"/>
                <w:szCs w:val="18"/>
                <w:lang w:val="en-US"/>
              </w:rPr>
              <w:t>)</w:t>
            </w:r>
          </w:p>
        </w:tc>
        <w:tc>
          <w:tcPr>
            <w:tcW w:w="1559" w:type="dxa"/>
          </w:tcPr>
          <w:p w14:paraId="757E764D" w14:textId="1206249D" w:rsidR="00594AE7" w:rsidRPr="00594AE7" w:rsidRDefault="000823F7" w:rsidP="00594AE7">
            <w:pPr>
              <w:rPr>
                <w:rFonts w:cstheme="minorHAnsi"/>
                <w:sz w:val="18"/>
                <w:szCs w:val="18"/>
                <w:lang w:val="en-US"/>
              </w:rPr>
            </w:pPr>
            <w:r>
              <w:rPr>
                <w:rFonts w:cstheme="minorHAnsi"/>
                <w:sz w:val="18"/>
                <w:szCs w:val="18"/>
                <w:lang w:val="en-US"/>
              </w:rPr>
              <w:t>3</w:t>
            </w:r>
            <w:r w:rsidR="00846260">
              <w:rPr>
                <w:rFonts w:cstheme="minorHAnsi"/>
                <w:sz w:val="18"/>
                <w:szCs w:val="18"/>
                <w:lang w:val="en-US"/>
              </w:rPr>
              <w:t xml:space="preserve"> (</w:t>
            </w:r>
            <w:r w:rsidR="00594AE7" w:rsidRPr="00594AE7">
              <w:rPr>
                <w:rFonts w:cstheme="minorHAnsi"/>
                <w:sz w:val="18"/>
                <w:szCs w:val="18"/>
                <w:lang w:val="en-US"/>
              </w:rPr>
              <w:t>0.</w:t>
            </w:r>
            <w:r w:rsidR="00B45101">
              <w:rPr>
                <w:rFonts w:cstheme="minorHAnsi"/>
                <w:sz w:val="18"/>
                <w:szCs w:val="18"/>
                <w:lang w:val="en-US"/>
              </w:rPr>
              <w:t>4</w:t>
            </w:r>
            <w:r w:rsidR="00846260">
              <w:rPr>
                <w:rFonts w:cstheme="minorHAnsi"/>
                <w:sz w:val="18"/>
                <w:szCs w:val="18"/>
                <w:lang w:val="en-US"/>
              </w:rPr>
              <w:t>)</w:t>
            </w:r>
          </w:p>
        </w:tc>
        <w:tc>
          <w:tcPr>
            <w:tcW w:w="1843" w:type="dxa"/>
          </w:tcPr>
          <w:p w14:paraId="0F8D6E79" w14:textId="10B75495" w:rsidR="00594AE7" w:rsidRPr="00594AE7" w:rsidRDefault="00846260" w:rsidP="00594AE7">
            <w:pPr>
              <w:rPr>
                <w:rFonts w:cstheme="minorHAnsi"/>
                <w:sz w:val="18"/>
                <w:szCs w:val="18"/>
                <w:lang w:val="en-US"/>
              </w:rPr>
            </w:pPr>
            <w:r>
              <w:rPr>
                <w:rFonts w:cstheme="minorHAnsi"/>
                <w:sz w:val="18"/>
                <w:szCs w:val="18"/>
                <w:lang w:val="en-US"/>
              </w:rPr>
              <w:t>1 (</w:t>
            </w:r>
            <w:r w:rsidR="00594AE7" w:rsidRPr="00594AE7">
              <w:rPr>
                <w:rFonts w:cstheme="minorHAnsi"/>
                <w:sz w:val="18"/>
                <w:szCs w:val="18"/>
                <w:lang w:val="en-US"/>
              </w:rPr>
              <w:t>0.</w:t>
            </w:r>
            <w:r w:rsidR="00B45101">
              <w:rPr>
                <w:rFonts w:cstheme="minorHAnsi"/>
                <w:sz w:val="18"/>
                <w:szCs w:val="18"/>
                <w:lang w:val="en-US"/>
              </w:rPr>
              <w:t>2</w:t>
            </w:r>
            <w:r>
              <w:rPr>
                <w:rFonts w:cstheme="minorHAnsi"/>
                <w:sz w:val="18"/>
                <w:szCs w:val="18"/>
                <w:lang w:val="en-US"/>
              </w:rPr>
              <w:t>)</w:t>
            </w:r>
          </w:p>
        </w:tc>
      </w:tr>
      <w:tr w:rsidR="00594AE7" w:rsidRPr="00594AE7" w14:paraId="3BDD1486" w14:textId="77777777" w:rsidTr="00832C70">
        <w:trPr>
          <w:trHeight w:val="301"/>
        </w:trPr>
        <w:tc>
          <w:tcPr>
            <w:tcW w:w="3823" w:type="dxa"/>
            <w:tcBorders>
              <w:right w:val="single" w:sz="4" w:space="0" w:color="auto"/>
            </w:tcBorders>
          </w:tcPr>
          <w:p w14:paraId="3B752FE5" w14:textId="77777777" w:rsidR="00594AE7" w:rsidRPr="00594AE7" w:rsidRDefault="00594AE7" w:rsidP="00594AE7">
            <w:pPr>
              <w:rPr>
                <w:rFonts w:cstheme="minorHAnsi"/>
                <w:sz w:val="18"/>
                <w:szCs w:val="18"/>
                <w:lang w:val="en-US"/>
              </w:rPr>
            </w:pPr>
            <w:r w:rsidRPr="00594AE7">
              <w:rPr>
                <w:rFonts w:cstheme="minorHAnsi"/>
                <w:sz w:val="18"/>
                <w:szCs w:val="18"/>
                <w:lang w:val="en-US"/>
              </w:rPr>
              <w:t>AST ≥3 x ULN</w:t>
            </w:r>
          </w:p>
        </w:tc>
        <w:tc>
          <w:tcPr>
            <w:tcW w:w="1417" w:type="dxa"/>
            <w:tcBorders>
              <w:left w:val="single" w:sz="4" w:space="0" w:color="auto"/>
            </w:tcBorders>
          </w:tcPr>
          <w:p w14:paraId="19BB2768" w14:textId="51BC69DF" w:rsidR="00594AE7" w:rsidRPr="00594AE7" w:rsidRDefault="00BF0B5A" w:rsidP="00594AE7">
            <w:pPr>
              <w:rPr>
                <w:rFonts w:cstheme="minorHAnsi"/>
                <w:sz w:val="18"/>
                <w:szCs w:val="18"/>
                <w:lang w:val="en-US"/>
              </w:rPr>
            </w:pPr>
            <w:r>
              <w:rPr>
                <w:rFonts w:cstheme="minorHAnsi"/>
                <w:sz w:val="18"/>
                <w:szCs w:val="18"/>
                <w:lang w:val="en-US"/>
              </w:rPr>
              <w:t>7</w:t>
            </w:r>
            <w:r w:rsidR="00846260">
              <w:rPr>
                <w:rFonts w:cstheme="minorHAnsi"/>
                <w:sz w:val="18"/>
                <w:szCs w:val="18"/>
                <w:lang w:val="en-US"/>
              </w:rPr>
              <w:t xml:space="preserve"> (</w:t>
            </w:r>
            <w:r w:rsidR="00594AE7" w:rsidRPr="00594AE7">
              <w:rPr>
                <w:rFonts w:cstheme="minorHAnsi"/>
                <w:sz w:val="18"/>
                <w:szCs w:val="18"/>
                <w:lang w:val="en-US"/>
              </w:rPr>
              <w:t>0.</w:t>
            </w:r>
            <w:r w:rsidR="00B45101">
              <w:rPr>
                <w:rFonts w:cstheme="minorHAnsi"/>
                <w:sz w:val="18"/>
                <w:szCs w:val="18"/>
                <w:lang w:val="en-US"/>
              </w:rPr>
              <w:t>8</w:t>
            </w:r>
            <w:r w:rsidR="00846260">
              <w:rPr>
                <w:rFonts w:cstheme="minorHAnsi"/>
                <w:sz w:val="18"/>
                <w:szCs w:val="18"/>
                <w:lang w:val="en-US"/>
              </w:rPr>
              <w:t>)</w:t>
            </w:r>
          </w:p>
        </w:tc>
        <w:tc>
          <w:tcPr>
            <w:tcW w:w="1559" w:type="dxa"/>
          </w:tcPr>
          <w:p w14:paraId="3BE371A3" w14:textId="79564188" w:rsidR="00594AE7" w:rsidRPr="00594AE7" w:rsidRDefault="00BF0B5A" w:rsidP="00594AE7">
            <w:pPr>
              <w:rPr>
                <w:rFonts w:cstheme="minorHAnsi"/>
                <w:sz w:val="18"/>
                <w:szCs w:val="18"/>
                <w:lang w:val="en-US"/>
              </w:rPr>
            </w:pPr>
            <w:r>
              <w:rPr>
                <w:rFonts w:cstheme="minorHAnsi"/>
                <w:sz w:val="18"/>
                <w:szCs w:val="18"/>
                <w:lang w:val="en-US"/>
              </w:rPr>
              <w:t>5</w:t>
            </w:r>
            <w:r w:rsidR="00846260">
              <w:rPr>
                <w:rFonts w:cstheme="minorHAnsi"/>
                <w:sz w:val="18"/>
                <w:szCs w:val="18"/>
                <w:lang w:val="en-US"/>
              </w:rPr>
              <w:t xml:space="preserve"> (</w:t>
            </w:r>
            <w:r w:rsidR="00594AE7" w:rsidRPr="00594AE7">
              <w:rPr>
                <w:rFonts w:cstheme="minorHAnsi"/>
                <w:sz w:val="18"/>
                <w:szCs w:val="18"/>
                <w:lang w:val="en-US"/>
              </w:rPr>
              <w:t>0.</w:t>
            </w:r>
            <w:r w:rsidR="00B45101">
              <w:rPr>
                <w:rFonts w:cstheme="minorHAnsi"/>
                <w:sz w:val="18"/>
                <w:szCs w:val="18"/>
                <w:lang w:val="en-US"/>
              </w:rPr>
              <w:t>6</w:t>
            </w:r>
            <w:r w:rsidR="00846260">
              <w:rPr>
                <w:rFonts w:cstheme="minorHAnsi"/>
                <w:sz w:val="18"/>
                <w:szCs w:val="18"/>
                <w:lang w:val="en-US"/>
              </w:rPr>
              <w:t>)</w:t>
            </w:r>
          </w:p>
        </w:tc>
        <w:tc>
          <w:tcPr>
            <w:tcW w:w="1843" w:type="dxa"/>
          </w:tcPr>
          <w:p w14:paraId="1F8B3E2D" w14:textId="7D1D03B3" w:rsidR="00594AE7" w:rsidRPr="00594AE7" w:rsidRDefault="00846260" w:rsidP="00594AE7">
            <w:pPr>
              <w:rPr>
                <w:rFonts w:cstheme="minorHAnsi"/>
                <w:sz w:val="18"/>
                <w:szCs w:val="18"/>
                <w:lang w:val="en-US"/>
              </w:rPr>
            </w:pPr>
            <w:r>
              <w:rPr>
                <w:rFonts w:cstheme="minorHAnsi"/>
                <w:sz w:val="18"/>
                <w:szCs w:val="18"/>
                <w:lang w:val="en-US"/>
              </w:rPr>
              <w:t>3 (</w:t>
            </w:r>
            <w:r w:rsidR="00594AE7" w:rsidRPr="00594AE7">
              <w:rPr>
                <w:rFonts w:cstheme="minorHAnsi"/>
                <w:sz w:val="18"/>
                <w:szCs w:val="18"/>
                <w:lang w:val="en-US"/>
              </w:rPr>
              <w:t>0.</w:t>
            </w:r>
            <w:r w:rsidR="00B135C4">
              <w:rPr>
                <w:rFonts w:cstheme="minorHAnsi"/>
                <w:sz w:val="18"/>
                <w:szCs w:val="18"/>
                <w:lang w:val="en-US"/>
              </w:rPr>
              <w:t>5</w:t>
            </w:r>
            <w:r>
              <w:rPr>
                <w:rFonts w:cstheme="minorHAnsi"/>
                <w:sz w:val="18"/>
                <w:szCs w:val="18"/>
                <w:lang w:val="en-US"/>
              </w:rPr>
              <w:t>)</w:t>
            </w:r>
          </w:p>
        </w:tc>
      </w:tr>
      <w:tr w:rsidR="00594AE7" w:rsidRPr="00594AE7" w14:paraId="64575061" w14:textId="77777777" w:rsidTr="00832C70">
        <w:trPr>
          <w:trHeight w:val="301"/>
        </w:trPr>
        <w:tc>
          <w:tcPr>
            <w:tcW w:w="3823" w:type="dxa"/>
            <w:tcBorders>
              <w:right w:val="single" w:sz="4" w:space="0" w:color="auto"/>
            </w:tcBorders>
          </w:tcPr>
          <w:p w14:paraId="2B6919CB" w14:textId="77777777" w:rsidR="00594AE7" w:rsidRPr="00594AE7" w:rsidRDefault="00594AE7" w:rsidP="00594AE7">
            <w:pPr>
              <w:rPr>
                <w:rFonts w:cstheme="minorHAnsi"/>
                <w:sz w:val="18"/>
                <w:szCs w:val="18"/>
                <w:lang w:val="en-US"/>
              </w:rPr>
            </w:pPr>
            <w:r w:rsidRPr="00594AE7">
              <w:rPr>
                <w:rFonts w:cstheme="minorHAnsi"/>
                <w:sz w:val="18"/>
                <w:szCs w:val="18"/>
                <w:lang w:val="en-US"/>
              </w:rPr>
              <w:t>Neutropenia &lt;1000 cells/mm</w:t>
            </w:r>
            <w:r w:rsidRPr="00594AE7">
              <w:rPr>
                <w:rFonts w:cstheme="minorHAnsi"/>
                <w:sz w:val="18"/>
                <w:szCs w:val="18"/>
                <w:vertAlign w:val="superscript"/>
                <w:lang w:val="en-US"/>
              </w:rPr>
              <w:t>3</w:t>
            </w:r>
          </w:p>
        </w:tc>
        <w:tc>
          <w:tcPr>
            <w:tcW w:w="1417" w:type="dxa"/>
            <w:tcBorders>
              <w:left w:val="single" w:sz="4" w:space="0" w:color="auto"/>
            </w:tcBorders>
          </w:tcPr>
          <w:p w14:paraId="7A0F54AA"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c>
          <w:tcPr>
            <w:tcW w:w="1559" w:type="dxa"/>
          </w:tcPr>
          <w:p w14:paraId="392FE862" w14:textId="5D23EF9F" w:rsidR="00594AE7" w:rsidRPr="00594AE7" w:rsidRDefault="00F40080" w:rsidP="00594AE7">
            <w:pPr>
              <w:rPr>
                <w:rFonts w:cstheme="minorHAnsi"/>
                <w:sz w:val="18"/>
                <w:szCs w:val="18"/>
                <w:lang w:val="en-US"/>
              </w:rPr>
            </w:pPr>
            <w:r>
              <w:rPr>
                <w:rFonts w:cstheme="minorHAnsi"/>
                <w:sz w:val="18"/>
                <w:szCs w:val="18"/>
                <w:lang w:val="en-US"/>
              </w:rPr>
              <w:t>1</w:t>
            </w:r>
            <w:r w:rsidR="00B135C4">
              <w:rPr>
                <w:rFonts w:cstheme="minorHAnsi"/>
                <w:sz w:val="18"/>
                <w:szCs w:val="18"/>
                <w:lang w:val="en-US"/>
              </w:rPr>
              <w:t xml:space="preserve"> (0.2)</w:t>
            </w:r>
          </w:p>
        </w:tc>
        <w:tc>
          <w:tcPr>
            <w:tcW w:w="1843" w:type="dxa"/>
          </w:tcPr>
          <w:p w14:paraId="7DF2BD5B" w14:textId="46ACA1DE" w:rsidR="00594AE7" w:rsidRPr="00594AE7" w:rsidRDefault="00846260" w:rsidP="00594AE7">
            <w:pPr>
              <w:rPr>
                <w:rFonts w:cstheme="minorHAnsi"/>
                <w:sz w:val="18"/>
                <w:szCs w:val="18"/>
                <w:lang w:val="en-US"/>
              </w:rPr>
            </w:pPr>
            <w:r>
              <w:rPr>
                <w:rFonts w:cstheme="minorHAnsi"/>
                <w:sz w:val="18"/>
                <w:szCs w:val="18"/>
                <w:lang w:val="en-US"/>
              </w:rPr>
              <w:t>1 (</w:t>
            </w:r>
            <w:r w:rsidR="00594AE7" w:rsidRPr="00594AE7">
              <w:rPr>
                <w:rFonts w:cstheme="minorHAnsi"/>
                <w:sz w:val="18"/>
                <w:szCs w:val="18"/>
                <w:lang w:val="en-US"/>
              </w:rPr>
              <w:t>0.</w:t>
            </w:r>
            <w:r w:rsidR="00B135C4">
              <w:rPr>
                <w:rFonts w:cstheme="minorHAnsi"/>
                <w:sz w:val="18"/>
                <w:szCs w:val="18"/>
                <w:lang w:val="en-US"/>
              </w:rPr>
              <w:t>2</w:t>
            </w:r>
            <w:r>
              <w:rPr>
                <w:rFonts w:cstheme="minorHAnsi"/>
                <w:sz w:val="18"/>
                <w:szCs w:val="18"/>
                <w:lang w:val="en-US"/>
              </w:rPr>
              <w:t>)</w:t>
            </w:r>
          </w:p>
        </w:tc>
      </w:tr>
      <w:tr w:rsidR="00594AE7" w:rsidRPr="00594AE7" w14:paraId="51F5B17E" w14:textId="77777777" w:rsidTr="00832C70">
        <w:trPr>
          <w:trHeight w:val="301"/>
        </w:trPr>
        <w:tc>
          <w:tcPr>
            <w:tcW w:w="3823" w:type="dxa"/>
            <w:tcBorders>
              <w:right w:val="single" w:sz="4" w:space="0" w:color="auto"/>
            </w:tcBorders>
          </w:tcPr>
          <w:p w14:paraId="04B3910D" w14:textId="77777777" w:rsidR="00594AE7" w:rsidRPr="00594AE7" w:rsidRDefault="00594AE7" w:rsidP="00594AE7">
            <w:pPr>
              <w:rPr>
                <w:rFonts w:cstheme="minorHAnsi"/>
                <w:sz w:val="18"/>
                <w:szCs w:val="18"/>
                <w:lang w:val="en-US"/>
              </w:rPr>
            </w:pPr>
            <w:r w:rsidRPr="00594AE7">
              <w:rPr>
                <w:rFonts w:cstheme="minorHAnsi"/>
                <w:sz w:val="18"/>
                <w:szCs w:val="18"/>
                <w:lang w:val="en-US"/>
              </w:rPr>
              <w:t>Thrombocytosis &gt;600,000 cells/mm</w:t>
            </w:r>
            <w:r w:rsidRPr="00594AE7">
              <w:rPr>
                <w:rFonts w:cstheme="minorHAnsi"/>
                <w:sz w:val="18"/>
                <w:szCs w:val="18"/>
                <w:vertAlign w:val="superscript"/>
                <w:lang w:val="en-US"/>
              </w:rPr>
              <w:t>3</w:t>
            </w:r>
          </w:p>
        </w:tc>
        <w:tc>
          <w:tcPr>
            <w:tcW w:w="1417" w:type="dxa"/>
            <w:tcBorders>
              <w:left w:val="single" w:sz="4" w:space="0" w:color="auto"/>
            </w:tcBorders>
          </w:tcPr>
          <w:p w14:paraId="77D06434" w14:textId="77777777" w:rsidR="00594AE7" w:rsidRPr="00594AE7" w:rsidRDefault="00594AE7" w:rsidP="00594AE7">
            <w:pPr>
              <w:rPr>
                <w:rFonts w:cstheme="minorHAnsi"/>
                <w:sz w:val="18"/>
                <w:szCs w:val="18"/>
                <w:lang w:val="en-US"/>
              </w:rPr>
            </w:pPr>
            <w:r w:rsidRPr="00594AE7">
              <w:rPr>
                <w:rFonts w:cstheme="minorHAnsi"/>
                <w:sz w:val="18"/>
                <w:szCs w:val="18"/>
                <w:lang w:val="en-US"/>
              </w:rPr>
              <w:t>0</w:t>
            </w:r>
          </w:p>
        </w:tc>
        <w:tc>
          <w:tcPr>
            <w:tcW w:w="1559" w:type="dxa"/>
          </w:tcPr>
          <w:p w14:paraId="10A11FD8" w14:textId="653CDF3E" w:rsidR="00594AE7" w:rsidRPr="00594AE7" w:rsidRDefault="007435DC" w:rsidP="00594AE7">
            <w:pPr>
              <w:rPr>
                <w:rFonts w:cstheme="minorHAnsi"/>
                <w:sz w:val="18"/>
                <w:szCs w:val="18"/>
                <w:lang w:val="en-US"/>
              </w:rPr>
            </w:pPr>
            <w:r>
              <w:rPr>
                <w:rFonts w:cstheme="minorHAnsi"/>
                <w:sz w:val="18"/>
                <w:szCs w:val="18"/>
                <w:lang w:val="en-US"/>
              </w:rPr>
              <w:t>7</w:t>
            </w:r>
            <w:r w:rsidR="00846260">
              <w:rPr>
                <w:rFonts w:cstheme="minorHAnsi"/>
                <w:sz w:val="18"/>
                <w:szCs w:val="18"/>
                <w:lang w:val="en-US"/>
              </w:rPr>
              <w:t xml:space="preserve"> (</w:t>
            </w:r>
            <w:r w:rsidR="00594AE7" w:rsidRPr="00594AE7">
              <w:rPr>
                <w:rFonts w:cstheme="minorHAnsi"/>
                <w:sz w:val="18"/>
                <w:szCs w:val="18"/>
                <w:lang w:val="en-US"/>
              </w:rPr>
              <w:t>1.</w:t>
            </w:r>
            <w:r w:rsidR="00C640AC">
              <w:rPr>
                <w:rFonts w:cstheme="minorHAnsi"/>
                <w:sz w:val="18"/>
                <w:szCs w:val="18"/>
                <w:lang w:val="en-US"/>
              </w:rPr>
              <w:t>2</w:t>
            </w:r>
            <w:r w:rsidR="00846260">
              <w:rPr>
                <w:rFonts w:cstheme="minorHAnsi"/>
                <w:sz w:val="18"/>
                <w:szCs w:val="18"/>
                <w:lang w:val="en-US"/>
              </w:rPr>
              <w:t>)</w:t>
            </w:r>
          </w:p>
        </w:tc>
        <w:tc>
          <w:tcPr>
            <w:tcW w:w="1843" w:type="dxa"/>
          </w:tcPr>
          <w:p w14:paraId="104F6C2D" w14:textId="0A1CCA43" w:rsidR="00594AE7" w:rsidRPr="00594AE7" w:rsidRDefault="007435DC" w:rsidP="00594AE7">
            <w:pPr>
              <w:rPr>
                <w:rFonts w:cstheme="minorHAnsi"/>
                <w:sz w:val="18"/>
                <w:szCs w:val="18"/>
                <w:lang w:val="en-US"/>
              </w:rPr>
            </w:pPr>
            <w:r>
              <w:rPr>
                <w:rFonts w:cstheme="minorHAnsi"/>
                <w:sz w:val="18"/>
                <w:szCs w:val="18"/>
                <w:lang w:val="en-US"/>
              </w:rPr>
              <w:t>3</w:t>
            </w:r>
            <w:r w:rsidR="00846260">
              <w:rPr>
                <w:rFonts w:cstheme="minorHAnsi"/>
                <w:sz w:val="18"/>
                <w:szCs w:val="18"/>
                <w:lang w:val="en-US"/>
              </w:rPr>
              <w:t xml:space="preserve"> (</w:t>
            </w:r>
            <w:r w:rsidR="00594AE7" w:rsidRPr="00594AE7">
              <w:rPr>
                <w:rFonts w:cstheme="minorHAnsi"/>
                <w:sz w:val="18"/>
                <w:szCs w:val="18"/>
                <w:lang w:val="en-US"/>
              </w:rPr>
              <w:t>0.</w:t>
            </w:r>
            <w:r w:rsidR="00C640AC">
              <w:rPr>
                <w:rFonts w:cstheme="minorHAnsi"/>
                <w:sz w:val="18"/>
                <w:szCs w:val="18"/>
                <w:lang w:val="en-US"/>
              </w:rPr>
              <w:t>6</w:t>
            </w:r>
            <w:r w:rsidR="00846260">
              <w:rPr>
                <w:rFonts w:cstheme="minorHAnsi"/>
                <w:sz w:val="18"/>
                <w:szCs w:val="18"/>
                <w:lang w:val="en-US"/>
              </w:rPr>
              <w:t>)</w:t>
            </w:r>
          </w:p>
        </w:tc>
      </w:tr>
    </w:tbl>
    <w:p w14:paraId="3E9E8FEA" w14:textId="77777777" w:rsidR="002E0A5D" w:rsidRPr="00EC003A" w:rsidRDefault="002E0A5D" w:rsidP="002E0A5D">
      <w:pPr>
        <w:pStyle w:val="CDSFootnoteText"/>
        <w:tabs>
          <w:tab w:val="left" w:pos="142"/>
        </w:tabs>
        <w:ind w:left="0"/>
        <w:rPr>
          <w:rStyle w:val="CDSTableFootnoteText"/>
          <w:rFonts w:asciiTheme="minorHAnsi" w:hAnsiTheme="minorHAnsi" w:cstheme="minorHAnsi"/>
          <w:sz w:val="18"/>
          <w:szCs w:val="18"/>
        </w:rPr>
      </w:pPr>
      <w:r w:rsidRPr="00EC003A">
        <w:rPr>
          <w:rStyle w:val="CDSTableFootnoteText"/>
          <w:rFonts w:asciiTheme="minorHAnsi" w:hAnsiTheme="minorHAnsi" w:cstheme="minorHAnsi"/>
          <w:sz w:val="18"/>
          <w:szCs w:val="18"/>
          <w:vertAlign w:val="superscript"/>
        </w:rPr>
        <w:t>*</w:t>
      </w:r>
      <w:r w:rsidRPr="00EC003A">
        <w:rPr>
          <w:rStyle w:val="CDSTableFootnoteText"/>
          <w:rFonts w:asciiTheme="minorHAnsi" w:hAnsiTheme="minorHAnsi" w:cstheme="minorHAnsi"/>
          <w:sz w:val="18"/>
          <w:szCs w:val="18"/>
        </w:rPr>
        <w:tab/>
        <w:t>Study size adjusted percentage</w:t>
      </w:r>
      <w:r w:rsidRPr="00EC003A">
        <w:rPr>
          <w:rFonts w:asciiTheme="minorHAnsi" w:hAnsiTheme="minorHAnsi" w:cstheme="minorHAnsi"/>
          <w:sz w:val="18"/>
          <w:szCs w:val="18"/>
        </w:rPr>
        <w:t>.</w:t>
      </w:r>
    </w:p>
    <w:p w14:paraId="6AE8D307" w14:textId="7DC879BE" w:rsidR="00645592" w:rsidRDefault="002E0A5D" w:rsidP="002E0A5D">
      <w:pPr>
        <w:pStyle w:val="CDSFootnoteText"/>
        <w:tabs>
          <w:tab w:val="left" w:pos="142"/>
        </w:tabs>
        <w:ind w:left="0"/>
        <w:rPr>
          <w:rStyle w:val="CDSTableFootnoteText"/>
          <w:rFonts w:asciiTheme="minorHAnsi" w:hAnsiTheme="minorHAnsi" w:cstheme="minorHAnsi"/>
          <w:sz w:val="18"/>
          <w:szCs w:val="18"/>
        </w:rPr>
      </w:pPr>
      <w:proofErr w:type="spellStart"/>
      <w:r w:rsidRPr="00EC003A">
        <w:rPr>
          <w:rStyle w:val="CDSTableFootnoteText"/>
          <w:rFonts w:asciiTheme="minorHAnsi" w:hAnsiTheme="minorHAnsi" w:cstheme="minorHAnsi"/>
          <w:sz w:val="18"/>
          <w:szCs w:val="18"/>
          <w:vertAlign w:val="superscript"/>
        </w:rPr>
        <w:t>a</w:t>
      </w:r>
      <w:proofErr w:type="spellEnd"/>
      <w:r w:rsidRPr="00EC003A">
        <w:rPr>
          <w:rStyle w:val="CDSTableFootnoteText"/>
          <w:rFonts w:asciiTheme="minorHAnsi" w:hAnsiTheme="minorHAnsi" w:cstheme="minorHAnsi"/>
          <w:sz w:val="18"/>
          <w:szCs w:val="18"/>
        </w:rPr>
        <w:tab/>
      </w:r>
      <w:bookmarkStart w:id="70" w:name="_Hlk23320747"/>
      <w:r w:rsidR="00645592" w:rsidRPr="00645592">
        <w:rPr>
          <w:rFonts w:asciiTheme="minorHAnsi" w:hAnsiTheme="minorHAnsi" w:cstheme="minorHAnsi"/>
          <w:sz w:val="18"/>
          <w:szCs w:val="18"/>
        </w:rPr>
        <w:t>Includes abdominal pain, abdominal pain lower, abdominal pain upper</w:t>
      </w:r>
      <w:r w:rsidR="00B632CE">
        <w:rPr>
          <w:rFonts w:asciiTheme="minorHAnsi" w:hAnsiTheme="minorHAnsi" w:cstheme="minorHAnsi"/>
          <w:sz w:val="18"/>
          <w:szCs w:val="18"/>
        </w:rPr>
        <w:t>.</w:t>
      </w:r>
    </w:p>
    <w:p w14:paraId="6403E1BE" w14:textId="7D16653C" w:rsidR="002E0A5D" w:rsidRPr="00EC003A" w:rsidRDefault="00645592" w:rsidP="002E0A5D">
      <w:pPr>
        <w:pStyle w:val="CDSFootnoteText"/>
        <w:tabs>
          <w:tab w:val="left" w:pos="142"/>
        </w:tabs>
        <w:ind w:left="0"/>
        <w:rPr>
          <w:rStyle w:val="CDSTableFootnoteText"/>
          <w:rFonts w:asciiTheme="minorHAnsi" w:hAnsiTheme="minorHAnsi" w:cstheme="minorHAnsi"/>
          <w:sz w:val="18"/>
          <w:szCs w:val="18"/>
        </w:rPr>
      </w:pPr>
      <w:r w:rsidRPr="00EC003A">
        <w:rPr>
          <w:rStyle w:val="CDSTableFootnoteText"/>
          <w:rFonts w:asciiTheme="minorHAnsi" w:hAnsiTheme="minorHAnsi" w:cstheme="minorHAnsi"/>
          <w:sz w:val="18"/>
          <w:szCs w:val="18"/>
          <w:vertAlign w:val="superscript"/>
        </w:rPr>
        <w:t>b</w:t>
      </w:r>
      <w:r w:rsidRPr="00EC003A">
        <w:rPr>
          <w:rStyle w:val="CDSTableFootnoteText"/>
          <w:rFonts w:asciiTheme="minorHAnsi" w:hAnsiTheme="minorHAnsi" w:cstheme="minorHAnsi"/>
          <w:sz w:val="18"/>
          <w:szCs w:val="18"/>
        </w:rPr>
        <w:tab/>
      </w:r>
      <w:r w:rsidR="002E0A5D" w:rsidRPr="00EC003A">
        <w:rPr>
          <w:rStyle w:val="CDSTableFootnoteText"/>
          <w:rFonts w:asciiTheme="minorHAnsi" w:hAnsiTheme="minorHAnsi" w:cstheme="minorHAnsi"/>
          <w:sz w:val="18"/>
          <w:szCs w:val="18"/>
        </w:rPr>
        <w:t xml:space="preserve">Includes </w:t>
      </w:r>
      <w:r w:rsidR="002E0A5D" w:rsidRPr="00EC003A">
        <w:rPr>
          <w:rFonts w:asciiTheme="minorHAnsi" w:hAnsiTheme="minorHAnsi" w:cstheme="minorHAnsi"/>
          <w:sz w:val="18"/>
          <w:szCs w:val="18"/>
        </w:rPr>
        <w:t xml:space="preserve">acute sinusitis, chronic sinusitis, laryngitis, nasopharyngitis, </w:t>
      </w:r>
      <w:r w:rsidR="00240CB8">
        <w:rPr>
          <w:rFonts w:asciiTheme="minorHAnsi" w:hAnsiTheme="minorHAnsi" w:cstheme="minorHAnsi"/>
          <w:sz w:val="18"/>
          <w:szCs w:val="18"/>
        </w:rPr>
        <w:t xml:space="preserve">oropharyngeal pain, </w:t>
      </w:r>
      <w:r w:rsidR="002E0A5D" w:rsidRPr="00EC003A">
        <w:rPr>
          <w:rFonts w:asciiTheme="minorHAnsi" w:hAnsiTheme="minorHAnsi" w:cstheme="minorHAnsi"/>
          <w:sz w:val="18"/>
          <w:szCs w:val="18"/>
        </w:rPr>
        <w:t xml:space="preserve">pharyngitis, </w:t>
      </w:r>
      <w:proofErr w:type="spellStart"/>
      <w:r w:rsidR="002E0A5D" w:rsidRPr="00EC003A">
        <w:rPr>
          <w:rFonts w:asciiTheme="minorHAnsi" w:hAnsiTheme="minorHAnsi" w:cstheme="minorHAnsi"/>
          <w:sz w:val="18"/>
          <w:szCs w:val="18"/>
        </w:rPr>
        <w:t>pharyngotonsillitis</w:t>
      </w:r>
      <w:proofErr w:type="spellEnd"/>
      <w:r w:rsidR="002E0A5D" w:rsidRPr="00EC003A">
        <w:rPr>
          <w:rFonts w:asciiTheme="minorHAnsi" w:hAnsiTheme="minorHAnsi" w:cstheme="minorHAnsi"/>
          <w:sz w:val="18"/>
          <w:szCs w:val="18"/>
        </w:rPr>
        <w:t>, rhinitis, sinusitis, tonsillitis, upper respiratory tract infection.</w:t>
      </w:r>
      <w:bookmarkEnd w:id="70"/>
    </w:p>
    <w:p w14:paraId="03F818C8" w14:textId="0D88261D" w:rsidR="002E0A5D" w:rsidRPr="00EC003A" w:rsidRDefault="008A6B2A" w:rsidP="002E0A5D">
      <w:pPr>
        <w:pStyle w:val="CDSFootnoteText"/>
        <w:tabs>
          <w:tab w:val="left" w:pos="142"/>
        </w:tabs>
        <w:ind w:left="0"/>
        <w:rPr>
          <w:rStyle w:val="CDSTableFootnoteText"/>
          <w:rFonts w:asciiTheme="minorHAnsi" w:hAnsiTheme="minorHAnsi" w:cstheme="minorHAnsi"/>
          <w:sz w:val="18"/>
          <w:szCs w:val="18"/>
        </w:rPr>
      </w:pPr>
      <w:r>
        <w:rPr>
          <w:rStyle w:val="CDSTableFootnoteText"/>
          <w:rFonts w:asciiTheme="minorHAnsi" w:hAnsiTheme="minorHAnsi" w:cstheme="minorHAnsi"/>
          <w:sz w:val="18"/>
          <w:szCs w:val="18"/>
          <w:vertAlign w:val="superscript"/>
        </w:rPr>
        <w:t>c</w:t>
      </w:r>
      <w:r w:rsidR="002E0A5D" w:rsidRPr="00EC003A">
        <w:rPr>
          <w:rStyle w:val="CDSTableFootnoteText"/>
          <w:rFonts w:asciiTheme="minorHAnsi" w:hAnsiTheme="minorHAnsi" w:cstheme="minorHAnsi"/>
          <w:sz w:val="18"/>
          <w:szCs w:val="18"/>
        </w:rPr>
        <w:tab/>
        <w:t xml:space="preserve">Includes </w:t>
      </w:r>
      <w:r w:rsidR="002E0A5D" w:rsidRPr="00EC003A">
        <w:rPr>
          <w:rFonts w:asciiTheme="minorHAnsi" w:hAnsiTheme="minorHAnsi" w:cstheme="minorHAnsi"/>
          <w:sz w:val="18"/>
          <w:szCs w:val="18"/>
        </w:rPr>
        <w:t xml:space="preserve">eczema </w:t>
      </w:r>
      <w:proofErr w:type="spellStart"/>
      <w:r w:rsidR="002E0A5D" w:rsidRPr="00EC003A">
        <w:rPr>
          <w:rFonts w:asciiTheme="minorHAnsi" w:hAnsiTheme="minorHAnsi" w:cstheme="minorHAnsi"/>
          <w:sz w:val="18"/>
          <w:szCs w:val="18"/>
        </w:rPr>
        <w:t>herpeticum</w:t>
      </w:r>
      <w:proofErr w:type="spellEnd"/>
      <w:r w:rsidR="002E0A5D" w:rsidRPr="00EC003A">
        <w:rPr>
          <w:rFonts w:asciiTheme="minorHAnsi" w:hAnsiTheme="minorHAnsi" w:cstheme="minorHAnsi"/>
          <w:sz w:val="18"/>
          <w:szCs w:val="18"/>
        </w:rPr>
        <w:t xml:space="preserve">, herpes simplex, Kaposi’s </w:t>
      </w:r>
      <w:proofErr w:type="spellStart"/>
      <w:r w:rsidR="002E0A5D" w:rsidRPr="00EC003A">
        <w:rPr>
          <w:rFonts w:asciiTheme="minorHAnsi" w:hAnsiTheme="minorHAnsi" w:cstheme="minorHAnsi"/>
          <w:sz w:val="18"/>
          <w:szCs w:val="18"/>
        </w:rPr>
        <w:t>varicelliform</w:t>
      </w:r>
      <w:proofErr w:type="spellEnd"/>
      <w:r w:rsidR="002E0A5D" w:rsidRPr="00EC003A">
        <w:rPr>
          <w:rFonts w:asciiTheme="minorHAnsi" w:hAnsiTheme="minorHAnsi" w:cstheme="minorHAnsi"/>
          <w:sz w:val="18"/>
          <w:szCs w:val="18"/>
        </w:rPr>
        <w:t xml:space="preserve"> eruption, </w:t>
      </w:r>
      <w:r w:rsidR="00DE22F7">
        <w:rPr>
          <w:rFonts w:asciiTheme="minorHAnsi" w:hAnsiTheme="minorHAnsi" w:cstheme="minorHAnsi"/>
          <w:sz w:val="18"/>
          <w:szCs w:val="18"/>
        </w:rPr>
        <w:t xml:space="preserve">genital herpes, genital herpes simplex, </w:t>
      </w:r>
      <w:r w:rsidR="002E0A5D" w:rsidRPr="00EC003A">
        <w:rPr>
          <w:rFonts w:asciiTheme="minorHAnsi" w:hAnsiTheme="minorHAnsi" w:cstheme="minorHAnsi"/>
          <w:sz w:val="18"/>
          <w:szCs w:val="18"/>
        </w:rPr>
        <w:t>ophthalmic herpes simplex, oral herpes</w:t>
      </w:r>
      <w:r w:rsidR="002E0A5D" w:rsidRPr="00EC003A">
        <w:rPr>
          <w:rStyle w:val="CDSTableFootnoteText"/>
          <w:rFonts w:asciiTheme="minorHAnsi" w:hAnsiTheme="minorHAnsi" w:cstheme="minorHAnsi"/>
          <w:sz w:val="18"/>
          <w:szCs w:val="18"/>
        </w:rPr>
        <w:t xml:space="preserve">. </w:t>
      </w:r>
    </w:p>
    <w:p w14:paraId="5FDB7391" w14:textId="0CFE73B8" w:rsidR="002E0A5D" w:rsidRDefault="00275B8C" w:rsidP="002E0A5D">
      <w:pPr>
        <w:pStyle w:val="CDSFootnoteText"/>
        <w:tabs>
          <w:tab w:val="left" w:pos="142"/>
        </w:tabs>
        <w:ind w:left="0"/>
        <w:rPr>
          <w:rFonts w:asciiTheme="minorHAnsi" w:hAnsiTheme="minorHAnsi" w:cstheme="minorHAnsi"/>
          <w:sz w:val="18"/>
          <w:szCs w:val="18"/>
        </w:rPr>
      </w:pPr>
      <w:r>
        <w:rPr>
          <w:rStyle w:val="CDSTableFootnoteText"/>
          <w:rFonts w:asciiTheme="minorHAnsi" w:hAnsiTheme="minorHAnsi" w:cstheme="minorHAnsi"/>
          <w:sz w:val="18"/>
          <w:szCs w:val="18"/>
          <w:vertAlign w:val="superscript"/>
        </w:rPr>
        <w:t>d</w:t>
      </w:r>
      <w:r w:rsidR="002E0A5D" w:rsidRPr="00EC003A">
        <w:rPr>
          <w:rStyle w:val="CDSTableFootnoteText"/>
          <w:rFonts w:asciiTheme="minorHAnsi" w:hAnsiTheme="minorHAnsi" w:cstheme="minorHAnsi"/>
          <w:sz w:val="18"/>
          <w:szCs w:val="18"/>
          <w:vertAlign w:val="superscript"/>
        </w:rPr>
        <w:tab/>
      </w:r>
      <w:bookmarkStart w:id="71" w:name="_Hlk23319442"/>
      <w:r w:rsidR="002E0A5D" w:rsidRPr="00EC003A">
        <w:rPr>
          <w:rFonts w:asciiTheme="minorHAnsi" w:hAnsiTheme="minorHAnsi" w:cstheme="minorHAnsi"/>
          <w:sz w:val="18"/>
          <w:szCs w:val="18"/>
        </w:rPr>
        <w:t xml:space="preserve">Includes </w:t>
      </w:r>
      <w:r w:rsidR="00DE7309">
        <w:rPr>
          <w:rFonts w:asciiTheme="minorHAnsi" w:hAnsiTheme="minorHAnsi" w:cstheme="minorHAnsi"/>
          <w:sz w:val="18"/>
          <w:szCs w:val="18"/>
        </w:rPr>
        <w:t>dermatitis,</w:t>
      </w:r>
      <w:r w:rsidR="00A8443B">
        <w:rPr>
          <w:rFonts w:asciiTheme="minorHAnsi" w:hAnsiTheme="minorHAnsi" w:cstheme="minorHAnsi"/>
          <w:sz w:val="18"/>
          <w:szCs w:val="18"/>
        </w:rPr>
        <w:t xml:space="preserve"> dermatitis allergic,</w:t>
      </w:r>
      <w:r w:rsidR="00DE7309">
        <w:rPr>
          <w:rFonts w:asciiTheme="minorHAnsi" w:hAnsiTheme="minorHAnsi" w:cstheme="minorHAnsi"/>
          <w:sz w:val="18"/>
          <w:szCs w:val="18"/>
        </w:rPr>
        <w:t xml:space="preserve"> </w:t>
      </w:r>
      <w:r w:rsidR="002E0A5D" w:rsidRPr="00EC003A">
        <w:rPr>
          <w:rFonts w:asciiTheme="minorHAnsi" w:hAnsiTheme="minorHAnsi" w:cstheme="minorHAnsi"/>
          <w:sz w:val="18"/>
          <w:szCs w:val="18"/>
        </w:rPr>
        <w:t xml:space="preserve">dermatitis contact, </w:t>
      </w:r>
      <w:r w:rsidR="00964A14">
        <w:rPr>
          <w:rFonts w:asciiTheme="minorHAnsi" w:hAnsiTheme="minorHAnsi" w:cstheme="minorHAnsi"/>
          <w:sz w:val="18"/>
          <w:szCs w:val="18"/>
        </w:rPr>
        <w:t xml:space="preserve">drug eruption, </w:t>
      </w:r>
      <w:r w:rsidR="002E0A5D" w:rsidRPr="00EC003A">
        <w:rPr>
          <w:rFonts w:asciiTheme="minorHAnsi" w:hAnsiTheme="minorHAnsi" w:cstheme="minorHAnsi"/>
          <w:sz w:val="18"/>
          <w:szCs w:val="18"/>
        </w:rPr>
        <w:t>eczema,</w:t>
      </w:r>
      <w:r w:rsidR="00964A14">
        <w:rPr>
          <w:rFonts w:asciiTheme="minorHAnsi" w:hAnsiTheme="minorHAnsi" w:cstheme="minorHAnsi"/>
          <w:sz w:val="18"/>
          <w:szCs w:val="18"/>
        </w:rPr>
        <w:t xml:space="preserve"> rash,</w:t>
      </w:r>
      <w:r w:rsidR="002E0A5D" w:rsidRPr="00EC003A">
        <w:rPr>
          <w:rFonts w:asciiTheme="minorHAnsi" w:hAnsiTheme="minorHAnsi" w:cstheme="minorHAnsi"/>
          <w:sz w:val="18"/>
          <w:szCs w:val="18"/>
        </w:rPr>
        <w:t xml:space="preserve"> rash </w:t>
      </w:r>
      <w:proofErr w:type="spellStart"/>
      <w:r w:rsidR="002E0A5D" w:rsidRPr="00EC003A">
        <w:rPr>
          <w:rFonts w:asciiTheme="minorHAnsi" w:hAnsiTheme="minorHAnsi" w:cstheme="minorHAnsi"/>
          <w:sz w:val="18"/>
          <w:szCs w:val="18"/>
        </w:rPr>
        <w:t>maculo-papular</w:t>
      </w:r>
      <w:proofErr w:type="spellEnd"/>
      <w:r w:rsidR="002E0A5D" w:rsidRPr="00EC003A">
        <w:rPr>
          <w:rFonts w:asciiTheme="minorHAnsi" w:hAnsiTheme="minorHAnsi" w:cstheme="minorHAnsi"/>
          <w:sz w:val="18"/>
          <w:szCs w:val="18"/>
        </w:rPr>
        <w:t>,</w:t>
      </w:r>
      <w:r w:rsidR="00D9166D">
        <w:rPr>
          <w:rFonts w:asciiTheme="minorHAnsi" w:hAnsiTheme="minorHAnsi" w:cstheme="minorHAnsi"/>
          <w:sz w:val="18"/>
          <w:szCs w:val="18"/>
        </w:rPr>
        <w:t xml:space="preserve"> rash pustular</w:t>
      </w:r>
      <w:r w:rsidR="00B632CE">
        <w:rPr>
          <w:rFonts w:asciiTheme="minorHAnsi" w:hAnsiTheme="minorHAnsi" w:cstheme="minorHAnsi"/>
          <w:sz w:val="18"/>
          <w:szCs w:val="18"/>
        </w:rPr>
        <w:t>.</w:t>
      </w:r>
      <w:bookmarkEnd w:id="71"/>
    </w:p>
    <w:p w14:paraId="6BE11EC3" w14:textId="0E5C00A2" w:rsidR="00CF6270" w:rsidRDefault="000968D6" w:rsidP="002E0A5D">
      <w:pPr>
        <w:pStyle w:val="CDSFootnoteText"/>
        <w:tabs>
          <w:tab w:val="left" w:pos="142"/>
        </w:tabs>
        <w:ind w:left="0"/>
        <w:rPr>
          <w:rFonts w:asciiTheme="minorHAnsi" w:hAnsiTheme="minorHAnsi" w:cstheme="minorHAnsi"/>
          <w:sz w:val="18"/>
          <w:szCs w:val="18"/>
        </w:rPr>
      </w:pPr>
      <w:r w:rsidRPr="000968D6">
        <w:rPr>
          <w:rFonts w:asciiTheme="minorHAnsi" w:hAnsiTheme="minorHAnsi" w:cstheme="minorHAnsi"/>
          <w:sz w:val="18"/>
          <w:szCs w:val="18"/>
          <w:vertAlign w:val="superscript"/>
        </w:rPr>
        <w:t>e</w:t>
      </w:r>
      <w:r w:rsidR="00CF6270">
        <w:rPr>
          <w:rFonts w:asciiTheme="minorHAnsi" w:hAnsiTheme="minorHAnsi" w:cstheme="minorHAnsi"/>
          <w:sz w:val="18"/>
          <w:szCs w:val="18"/>
        </w:rPr>
        <w:t xml:space="preserve"> </w:t>
      </w:r>
      <w:r w:rsidRPr="000968D6">
        <w:rPr>
          <w:rFonts w:asciiTheme="minorHAnsi" w:hAnsiTheme="minorHAnsi" w:cstheme="minorHAnsi"/>
          <w:sz w:val="18"/>
          <w:szCs w:val="18"/>
        </w:rPr>
        <w:t xml:space="preserve">Includes acne, </w:t>
      </w:r>
      <w:r w:rsidR="00964A14" w:rsidRPr="000968D6">
        <w:rPr>
          <w:rFonts w:asciiTheme="minorHAnsi" w:hAnsiTheme="minorHAnsi" w:cstheme="minorHAnsi"/>
          <w:sz w:val="18"/>
          <w:szCs w:val="18"/>
        </w:rPr>
        <w:t xml:space="preserve">acne </w:t>
      </w:r>
      <w:proofErr w:type="spellStart"/>
      <w:r w:rsidR="00964A14" w:rsidRPr="000968D6">
        <w:rPr>
          <w:rFonts w:asciiTheme="minorHAnsi" w:hAnsiTheme="minorHAnsi" w:cstheme="minorHAnsi"/>
          <w:sz w:val="18"/>
          <w:szCs w:val="18"/>
        </w:rPr>
        <w:t>varioliformis</w:t>
      </w:r>
      <w:proofErr w:type="spellEnd"/>
      <w:r w:rsidR="00964A14">
        <w:rPr>
          <w:rFonts w:asciiTheme="minorHAnsi" w:hAnsiTheme="minorHAnsi" w:cstheme="minorHAnsi"/>
          <w:sz w:val="18"/>
          <w:szCs w:val="18"/>
        </w:rPr>
        <w:t>,</w:t>
      </w:r>
      <w:r w:rsidR="00964A14" w:rsidRPr="000968D6">
        <w:rPr>
          <w:rFonts w:asciiTheme="minorHAnsi" w:hAnsiTheme="minorHAnsi" w:cstheme="minorHAnsi"/>
          <w:sz w:val="18"/>
          <w:szCs w:val="18"/>
        </w:rPr>
        <w:t xml:space="preserve"> </w:t>
      </w:r>
      <w:r w:rsidRPr="000968D6">
        <w:rPr>
          <w:rFonts w:asciiTheme="minorHAnsi" w:hAnsiTheme="minorHAnsi" w:cstheme="minorHAnsi"/>
          <w:sz w:val="18"/>
          <w:szCs w:val="18"/>
        </w:rPr>
        <w:t>dermatitis acneiform</w:t>
      </w:r>
      <w:r w:rsidR="00B632CE">
        <w:rPr>
          <w:rFonts w:asciiTheme="minorHAnsi" w:hAnsiTheme="minorHAnsi" w:cstheme="minorHAnsi"/>
          <w:sz w:val="18"/>
          <w:szCs w:val="18"/>
        </w:rPr>
        <w:t>.</w:t>
      </w:r>
      <w:r w:rsidRPr="000968D6">
        <w:rPr>
          <w:rFonts w:asciiTheme="minorHAnsi" w:hAnsiTheme="minorHAnsi" w:cstheme="minorHAnsi"/>
          <w:sz w:val="18"/>
          <w:szCs w:val="18"/>
        </w:rPr>
        <w:t xml:space="preserve"> </w:t>
      </w:r>
    </w:p>
    <w:p w14:paraId="3673A5CF" w14:textId="75B0C1D0" w:rsidR="0093362D" w:rsidRPr="000968D6" w:rsidRDefault="0093362D" w:rsidP="002E0A5D">
      <w:pPr>
        <w:pStyle w:val="CDSFootnoteText"/>
        <w:tabs>
          <w:tab w:val="left" w:pos="142"/>
        </w:tabs>
        <w:ind w:left="0"/>
      </w:pPr>
      <w:r w:rsidRPr="0093362D">
        <w:rPr>
          <w:rFonts w:asciiTheme="minorHAnsi" w:hAnsiTheme="minorHAnsi" w:cstheme="minorHAnsi"/>
          <w:sz w:val="18"/>
          <w:szCs w:val="18"/>
          <w:vertAlign w:val="superscript"/>
        </w:rPr>
        <w:t xml:space="preserve">f </w:t>
      </w:r>
      <w:r w:rsidRPr="0093362D">
        <w:rPr>
          <w:rFonts w:asciiTheme="minorHAnsi" w:hAnsiTheme="minorHAnsi" w:cstheme="minorHAnsi"/>
          <w:sz w:val="18"/>
          <w:szCs w:val="18"/>
        </w:rPr>
        <w:t xml:space="preserve">Includes eye swelling, </w:t>
      </w:r>
      <w:r w:rsidR="00964A14" w:rsidRPr="00497627">
        <w:rPr>
          <w:rFonts w:asciiTheme="minorHAnsi" w:hAnsiTheme="minorHAnsi" w:cstheme="minorHAnsi"/>
          <w:sz w:val="18"/>
          <w:szCs w:val="18"/>
        </w:rPr>
        <w:t xml:space="preserve">eyelid </w:t>
      </w:r>
      <w:proofErr w:type="spellStart"/>
      <w:r w:rsidR="00964A14" w:rsidRPr="00497627">
        <w:rPr>
          <w:rFonts w:asciiTheme="minorHAnsi" w:hAnsiTheme="minorHAnsi" w:cstheme="minorHAnsi"/>
          <w:sz w:val="18"/>
          <w:szCs w:val="18"/>
        </w:rPr>
        <w:t>oedema</w:t>
      </w:r>
      <w:proofErr w:type="spellEnd"/>
      <w:r w:rsidR="00964A14">
        <w:rPr>
          <w:rFonts w:asciiTheme="minorHAnsi" w:hAnsiTheme="minorHAnsi" w:cstheme="minorHAnsi"/>
          <w:sz w:val="18"/>
          <w:szCs w:val="18"/>
        </w:rPr>
        <w:t>,</w:t>
      </w:r>
      <w:r w:rsidR="00964A14" w:rsidRPr="0093362D">
        <w:rPr>
          <w:rFonts w:asciiTheme="minorHAnsi" w:hAnsiTheme="minorHAnsi" w:cstheme="minorHAnsi"/>
          <w:sz w:val="18"/>
          <w:szCs w:val="18"/>
        </w:rPr>
        <w:t xml:space="preserve"> face </w:t>
      </w:r>
      <w:proofErr w:type="spellStart"/>
      <w:r w:rsidR="00964A14" w:rsidRPr="0093362D">
        <w:rPr>
          <w:rFonts w:asciiTheme="minorHAnsi" w:hAnsiTheme="minorHAnsi" w:cstheme="minorHAnsi"/>
          <w:sz w:val="18"/>
          <w:szCs w:val="18"/>
        </w:rPr>
        <w:t>oedema</w:t>
      </w:r>
      <w:proofErr w:type="spellEnd"/>
      <w:r w:rsidR="00964A14">
        <w:rPr>
          <w:rFonts w:asciiTheme="minorHAnsi" w:hAnsiTheme="minorHAnsi" w:cstheme="minorHAnsi"/>
          <w:sz w:val="18"/>
          <w:szCs w:val="18"/>
        </w:rPr>
        <w:t>,</w:t>
      </w:r>
      <w:r w:rsidR="00964A14" w:rsidRPr="0093362D">
        <w:rPr>
          <w:rFonts w:asciiTheme="minorHAnsi" w:hAnsiTheme="minorHAnsi" w:cstheme="minorHAnsi"/>
          <w:sz w:val="18"/>
          <w:szCs w:val="18"/>
        </w:rPr>
        <w:t xml:space="preserve"> lip swelling,</w:t>
      </w:r>
      <w:r w:rsidR="00BF10CF" w:rsidRPr="00BF10CF">
        <w:rPr>
          <w:rFonts w:asciiTheme="minorHAnsi" w:hAnsiTheme="minorHAnsi" w:cstheme="minorHAnsi"/>
          <w:sz w:val="18"/>
          <w:szCs w:val="18"/>
        </w:rPr>
        <w:t xml:space="preserve"> </w:t>
      </w:r>
      <w:r w:rsidR="00BF10CF" w:rsidRPr="0093362D">
        <w:rPr>
          <w:rFonts w:asciiTheme="minorHAnsi" w:hAnsiTheme="minorHAnsi" w:cstheme="minorHAnsi"/>
          <w:sz w:val="18"/>
          <w:szCs w:val="18"/>
        </w:rPr>
        <w:t>swelling face,</w:t>
      </w:r>
      <w:r w:rsidR="00BF10CF" w:rsidRPr="00BF10CF">
        <w:rPr>
          <w:rFonts w:asciiTheme="minorHAnsi" w:hAnsiTheme="minorHAnsi" w:cstheme="minorHAnsi"/>
          <w:sz w:val="18"/>
          <w:szCs w:val="18"/>
        </w:rPr>
        <w:t xml:space="preserve"> </w:t>
      </w:r>
      <w:r w:rsidR="00BF10CF" w:rsidRPr="0093362D">
        <w:rPr>
          <w:rFonts w:asciiTheme="minorHAnsi" w:hAnsiTheme="minorHAnsi" w:cstheme="minorHAnsi"/>
          <w:sz w:val="18"/>
          <w:szCs w:val="18"/>
        </w:rPr>
        <w:t>swelling of eyelid</w:t>
      </w:r>
      <w:r w:rsidR="00B632CE">
        <w:rPr>
          <w:rFonts w:asciiTheme="minorHAnsi" w:hAnsiTheme="minorHAnsi" w:cstheme="minorHAnsi"/>
          <w:sz w:val="18"/>
          <w:szCs w:val="18"/>
        </w:rPr>
        <w:t>.</w:t>
      </w:r>
      <w:r w:rsidR="00BF10CF" w:rsidRPr="0093362D" w:rsidDel="00964A14">
        <w:rPr>
          <w:rFonts w:asciiTheme="minorHAnsi" w:hAnsiTheme="minorHAnsi" w:cstheme="minorHAnsi"/>
          <w:sz w:val="18"/>
          <w:szCs w:val="18"/>
        </w:rPr>
        <w:t xml:space="preserve"> </w:t>
      </w:r>
    </w:p>
    <w:p w14:paraId="00ED6363" w14:textId="190842FF" w:rsidR="002E0A5D" w:rsidRPr="00EC003A" w:rsidRDefault="0093362D" w:rsidP="002E0A5D">
      <w:pPr>
        <w:pStyle w:val="CDSFootnoteText"/>
        <w:tabs>
          <w:tab w:val="left" w:pos="142"/>
        </w:tabs>
        <w:ind w:left="135" w:hanging="135"/>
        <w:rPr>
          <w:rFonts w:asciiTheme="minorHAnsi" w:hAnsiTheme="minorHAnsi" w:cstheme="minorHAnsi"/>
          <w:sz w:val="18"/>
          <w:szCs w:val="18"/>
        </w:rPr>
      </w:pPr>
      <w:r>
        <w:rPr>
          <w:rStyle w:val="CDSTableFootnoteText"/>
          <w:rFonts w:asciiTheme="minorHAnsi" w:hAnsiTheme="minorHAnsi" w:cstheme="minorHAnsi"/>
          <w:sz w:val="18"/>
          <w:szCs w:val="18"/>
          <w:vertAlign w:val="superscript"/>
        </w:rPr>
        <w:t>g</w:t>
      </w:r>
      <w:r w:rsidR="002E0A5D" w:rsidRPr="00EC003A">
        <w:rPr>
          <w:rStyle w:val="CDSTableFootnoteText"/>
          <w:rFonts w:asciiTheme="minorHAnsi" w:hAnsiTheme="minorHAnsi" w:cstheme="minorHAnsi"/>
          <w:sz w:val="18"/>
          <w:szCs w:val="18"/>
          <w:vertAlign w:val="superscript"/>
        </w:rPr>
        <w:tab/>
      </w:r>
      <w:r w:rsidR="002E0A5D" w:rsidRPr="00EC003A">
        <w:rPr>
          <w:rFonts w:asciiTheme="minorHAnsi" w:hAnsiTheme="minorHAnsi" w:cstheme="minorHAnsi"/>
          <w:sz w:val="18"/>
          <w:szCs w:val="18"/>
        </w:rPr>
        <w:t>As assessed by measured values within the clinical trial database. Frequencies are based on shifts from pre-treatment to post-treatment (with number at risk as the denominator), except for ALT and AST for which frequencies are based on observed elevation during treatment.</w:t>
      </w:r>
    </w:p>
    <w:p w14:paraId="52592C30" w14:textId="77777777" w:rsidR="00594AE7" w:rsidRPr="00594AE7" w:rsidRDefault="00594AE7" w:rsidP="007F7D04"/>
    <w:p w14:paraId="638EE507" w14:textId="77777777" w:rsidR="00322DC5" w:rsidRPr="00625B9E" w:rsidRDefault="00322DC5" w:rsidP="00094A0C">
      <w:pPr>
        <w:pStyle w:val="Heading3"/>
      </w:pPr>
      <w:r w:rsidRPr="00625B9E">
        <w:lastRenderedPageBreak/>
        <w:t>Adverse Reactions</w:t>
      </w:r>
    </w:p>
    <w:p w14:paraId="7BF527F0" w14:textId="0E2248EE" w:rsidR="00322DC5" w:rsidRDefault="00322DC5" w:rsidP="00322DC5">
      <w:r w:rsidRPr="00625B9E">
        <w:t xml:space="preserve">Adverse Drug Reactions (ADRs) from rheumatoid arthritis </w:t>
      </w:r>
      <w:r w:rsidR="00353058">
        <w:t xml:space="preserve">and atopic dermatitis </w:t>
      </w:r>
      <w:r w:rsidRPr="00625B9E">
        <w:t>clinical studies are presented below by System Organ Class (SOC) and frequency categories, defined using the following convention: very common (≥10%); common (≥1% to &lt;10%), uncommon (≥0.1% to &lt;1%)</w:t>
      </w:r>
      <w:r w:rsidR="004E0D84">
        <w:t>,</w:t>
      </w:r>
      <w:r w:rsidRPr="00625B9E">
        <w:t xml:space="preserve"> rare (≥0.01% to &lt;0.1%)</w:t>
      </w:r>
      <w:r w:rsidR="004E0D84">
        <w:t xml:space="preserve"> or very rare (&lt;0.01%)</w:t>
      </w:r>
      <w:r w:rsidRPr="00625B9E">
        <w:t>.</w:t>
      </w:r>
    </w:p>
    <w:p w14:paraId="59E8311B" w14:textId="5AB572E3" w:rsidR="000C4E6C" w:rsidRPr="0083768C" w:rsidRDefault="000C4E6C" w:rsidP="0083768C">
      <w:pPr>
        <w:rPr>
          <w:b/>
        </w:rPr>
      </w:pPr>
      <w:r w:rsidRPr="0083768C">
        <w:rPr>
          <w:b/>
        </w:rPr>
        <w:t xml:space="preserve">Table </w:t>
      </w:r>
      <w:r w:rsidR="001B67AC" w:rsidRPr="0083768C">
        <w:rPr>
          <w:b/>
        </w:rPr>
        <w:t>5</w:t>
      </w:r>
      <w:r w:rsidRPr="0083768C">
        <w:rPr>
          <w:b/>
        </w:rPr>
        <w:t xml:space="preserve"> </w:t>
      </w:r>
      <w:r w:rsidR="000D7405" w:rsidRPr="0083768C">
        <w:rPr>
          <w:b/>
        </w:rPr>
        <w:t xml:space="preserve">Clinical Trial </w:t>
      </w:r>
      <w:r w:rsidRPr="0083768C">
        <w:rPr>
          <w:b/>
        </w:rPr>
        <w:t>Adverse Reactions</w:t>
      </w:r>
      <w:r w:rsidR="007C3AA1" w:rsidRPr="0083768C">
        <w:rPr>
          <w:b/>
        </w:rPr>
        <w:t xml:space="preserve"> </w:t>
      </w:r>
    </w:p>
    <w:tbl>
      <w:tblPr>
        <w:tblW w:w="8789" w:type="dxa"/>
        <w:tblInd w:w="-5" w:type="dxa"/>
        <w:tblLayout w:type="fixed"/>
        <w:tblLook w:val="04A0" w:firstRow="1" w:lastRow="0" w:firstColumn="1" w:lastColumn="0" w:noHBand="0" w:noVBand="1"/>
      </w:tblPr>
      <w:tblGrid>
        <w:gridCol w:w="3402"/>
        <w:gridCol w:w="1560"/>
        <w:gridCol w:w="1701"/>
        <w:gridCol w:w="2126"/>
      </w:tblGrid>
      <w:tr w:rsidR="002D600A" w:rsidRPr="002D600A" w14:paraId="67299820" w14:textId="77777777" w:rsidTr="0083768C">
        <w:trPr>
          <w:trHeight w:val="501"/>
          <w:tblHeader/>
        </w:trPr>
        <w:tc>
          <w:tcPr>
            <w:tcW w:w="3402" w:type="dxa"/>
            <w:tcBorders>
              <w:top w:val="single" w:sz="4" w:space="0" w:color="auto"/>
              <w:left w:val="single" w:sz="4" w:space="0" w:color="auto"/>
              <w:bottom w:val="single" w:sz="4" w:space="0" w:color="auto"/>
              <w:right w:val="single" w:sz="4" w:space="0" w:color="auto"/>
            </w:tcBorders>
            <w:vAlign w:val="bottom"/>
          </w:tcPr>
          <w:p w14:paraId="196A2418" w14:textId="77777777" w:rsidR="002D600A" w:rsidRPr="002D600A" w:rsidRDefault="002D600A" w:rsidP="0083768C">
            <w:pPr>
              <w:spacing w:line="720" w:lineRule="auto"/>
              <w:rPr>
                <w:rFonts w:cstheme="minorHAnsi"/>
                <w:b/>
                <w:sz w:val="18"/>
                <w:szCs w:val="18"/>
                <w:lang w:val="en-US"/>
              </w:rPr>
            </w:pPr>
            <w:r w:rsidRPr="002D600A">
              <w:rPr>
                <w:rFonts w:cstheme="minorHAnsi"/>
                <w:b/>
                <w:sz w:val="18"/>
                <w:szCs w:val="18"/>
                <w:lang w:val="en-US"/>
              </w:rPr>
              <w:t>Body system/adverse drug reaction terms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F6F26E" w14:textId="77777777" w:rsidR="0083768C" w:rsidRDefault="002D600A" w:rsidP="0083768C">
            <w:pPr>
              <w:rPr>
                <w:rFonts w:cstheme="minorHAnsi"/>
                <w:b/>
                <w:sz w:val="18"/>
                <w:szCs w:val="18"/>
                <w:lang w:val="en-US"/>
              </w:rPr>
            </w:pPr>
            <w:r w:rsidRPr="002D600A">
              <w:rPr>
                <w:rFonts w:cstheme="minorHAnsi"/>
                <w:b/>
                <w:sz w:val="18"/>
                <w:szCs w:val="18"/>
                <w:lang w:val="en-US"/>
              </w:rPr>
              <w:t>Very common</w:t>
            </w:r>
          </w:p>
          <w:p w14:paraId="0A7115F9" w14:textId="5CCD98EB" w:rsidR="002D600A" w:rsidRPr="002D600A" w:rsidRDefault="002D600A" w:rsidP="0083768C">
            <w:pPr>
              <w:rPr>
                <w:rFonts w:cstheme="minorHAnsi"/>
                <w:b/>
                <w:sz w:val="18"/>
                <w:szCs w:val="18"/>
                <w:lang w:val="en-US"/>
              </w:rPr>
            </w:pPr>
            <w:r w:rsidRPr="002D600A">
              <w:rPr>
                <w:rFonts w:cstheme="minorHAnsi"/>
                <w:b/>
                <w:sz w:val="18"/>
                <w:szCs w:val="18"/>
                <w:lang w:val="en-U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7EF6D3A0" w14:textId="77777777" w:rsidR="0083768C" w:rsidRDefault="002D600A" w:rsidP="0083768C">
            <w:pPr>
              <w:rPr>
                <w:rFonts w:cstheme="minorHAnsi"/>
                <w:b/>
                <w:sz w:val="18"/>
                <w:szCs w:val="18"/>
                <w:lang w:val="en-US"/>
              </w:rPr>
            </w:pPr>
            <w:r w:rsidRPr="002D600A">
              <w:rPr>
                <w:rFonts w:cstheme="minorHAnsi"/>
                <w:b/>
                <w:sz w:val="18"/>
                <w:szCs w:val="18"/>
                <w:lang w:val="en-US"/>
              </w:rPr>
              <w:t>Common</w:t>
            </w:r>
          </w:p>
          <w:p w14:paraId="45FDD521" w14:textId="228FBA9D" w:rsidR="002D600A" w:rsidRPr="002D600A" w:rsidRDefault="0083768C" w:rsidP="0083768C">
            <w:pPr>
              <w:rPr>
                <w:rFonts w:cstheme="minorHAnsi"/>
                <w:b/>
                <w:sz w:val="18"/>
                <w:szCs w:val="18"/>
                <w:lang w:val="en-US"/>
              </w:rPr>
            </w:pPr>
            <w:r>
              <w:rPr>
                <w:rFonts w:cstheme="minorHAnsi"/>
                <w:b/>
                <w:sz w:val="18"/>
                <w:szCs w:val="18"/>
                <w:lang w:val="en-US"/>
              </w:rPr>
              <w:t xml:space="preserve"> </w:t>
            </w:r>
            <w:r w:rsidR="002D600A" w:rsidRPr="002D600A">
              <w:rPr>
                <w:rFonts w:cstheme="minorHAnsi"/>
                <w:b/>
                <w:sz w:val="18"/>
                <w:szCs w:val="18"/>
                <w:lang w:val="en-US"/>
              </w:rPr>
              <w:t>≥1% and &lt;10%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6350D1" w14:textId="77777777" w:rsidR="0083768C" w:rsidRDefault="002D600A" w:rsidP="0083768C">
            <w:pPr>
              <w:rPr>
                <w:rFonts w:cstheme="minorHAnsi"/>
                <w:b/>
                <w:sz w:val="18"/>
                <w:szCs w:val="18"/>
                <w:lang w:val="en-US"/>
              </w:rPr>
            </w:pPr>
            <w:r w:rsidRPr="002D600A">
              <w:rPr>
                <w:rFonts w:cstheme="minorHAnsi"/>
                <w:b/>
                <w:sz w:val="18"/>
                <w:szCs w:val="18"/>
                <w:lang w:val="en-US"/>
              </w:rPr>
              <w:t>Uncommon</w:t>
            </w:r>
            <w:r w:rsidR="0083768C">
              <w:rPr>
                <w:rFonts w:cstheme="minorHAnsi"/>
                <w:b/>
                <w:sz w:val="18"/>
                <w:szCs w:val="18"/>
                <w:lang w:val="en-US"/>
              </w:rPr>
              <w:t xml:space="preserve"> </w:t>
            </w:r>
            <w:r w:rsidRPr="002D600A">
              <w:rPr>
                <w:rFonts w:cstheme="minorHAnsi"/>
                <w:b/>
                <w:sz w:val="18"/>
                <w:szCs w:val="18"/>
                <w:lang w:val="en-US"/>
              </w:rPr>
              <w:t>(Infrequent)</w:t>
            </w:r>
            <w:r w:rsidR="0083768C">
              <w:rPr>
                <w:rFonts w:cstheme="minorHAnsi"/>
                <w:b/>
                <w:sz w:val="18"/>
                <w:szCs w:val="18"/>
                <w:lang w:val="en-US"/>
              </w:rPr>
              <w:t xml:space="preserve"> </w:t>
            </w:r>
          </w:p>
          <w:p w14:paraId="7B542C04" w14:textId="02EE0C87" w:rsidR="002D600A" w:rsidRPr="002D600A" w:rsidRDefault="002D600A" w:rsidP="0083768C">
            <w:pPr>
              <w:rPr>
                <w:rFonts w:cstheme="minorHAnsi"/>
                <w:b/>
                <w:sz w:val="18"/>
                <w:szCs w:val="18"/>
                <w:lang w:val="en-US"/>
              </w:rPr>
            </w:pPr>
            <w:r w:rsidRPr="002D600A">
              <w:rPr>
                <w:rFonts w:cstheme="minorHAnsi"/>
                <w:b/>
                <w:sz w:val="18"/>
                <w:szCs w:val="18"/>
                <w:lang w:val="en-US"/>
              </w:rPr>
              <w:t>≥0.1% and &lt;1%</w:t>
            </w:r>
          </w:p>
        </w:tc>
      </w:tr>
      <w:tr w:rsidR="002D600A" w:rsidRPr="002D600A" w14:paraId="3063BC2C"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hideMark/>
          </w:tcPr>
          <w:p w14:paraId="41BDFB70" w14:textId="77777777" w:rsidR="002D600A" w:rsidRPr="002D600A" w:rsidRDefault="002D600A" w:rsidP="002D600A">
            <w:pPr>
              <w:rPr>
                <w:rFonts w:cstheme="minorHAnsi"/>
                <w:b/>
                <w:sz w:val="18"/>
                <w:szCs w:val="18"/>
                <w:lang w:val="en-US"/>
              </w:rPr>
            </w:pPr>
            <w:r w:rsidRPr="002D600A">
              <w:rPr>
                <w:rFonts w:cstheme="minorHAnsi"/>
                <w:b/>
                <w:sz w:val="18"/>
                <w:szCs w:val="18"/>
                <w:lang w:val="en-US"/>
              </w:rPr>
              <w:t xml:space="preserve">Gastrointestinal disorders </w:t>
            </w:r>
          </w:p>
        </w:tc>
      </w:tr>
      <w:tr w:rsidR="002D600A" w:rsidRPr="002D600A" w14:paraId="0E8D96A7" w14:textId="77777777" w:rsidTr="0083768C">
        <w:trPr>
          <w:trHeight w:val="269"/>
        </w:trPr>
        <w:tc>
          <w:tcPr>
            <w:tcW w:w="3402" w:type="dxa"/>
            <w:tcBorders>
              <w:top w:val="single" w:sz="4" w:space="0" w:color="auto"/>
              <w:left w:val="single" w:sz="4" w:space="0" w:color="auto"/>
              <w:bottom w:val="single" w:sz="4" w:space="0" w:color="auto"/>
              <w:right w:val="single" w:sz="4" w:space="0" w:color="auto"/>
            </w:tcBorders>
            <w:hideMark/>
          </w:tcPr>
          <w:p w14:paraId="7D36BE92" w14:textId="16DDA819" w:rsidR="002D600A" w:rsidRPr="002D600A" w:rsidRDefault="002D600A" w:rsidP="002D600A">
            <w:pPr>
              <w:rPr>
                <w:rFonts w:cstheme="minorHAnsi"/>
                <w:sz w:val="18"/>
                <w:szCs w:val="18"/>
                <w:lang w:val="en-US"/>
              </w:rPr>
            </w:pPr>
            <w:r w:rsidRPr="002D600A">
              <w:rPr>
                <w:rFonts w:cstheme="minorHAnsi"/>
                <w:sz w:val="18"/>
                <w:szCs w:val="18"/>
                <w:lang w:val="en-US"/>
              </w:rPr>
              <w:t>Nausea</w:t>
            </w:r>
          </w:p>
        </w:tc>
        <w:tc>
          <w:tcPr>
            <w:tcW w:w="1560" w:type="dxa"/>
            <w:tcBorders>
              <w:top w:val="single" w:sz="4" w:space="0" w:color="auto"/>
              <w:left w:val="single" w:sz="4" w:space="0" w:color="auto"/>
              <w:bottom w:val="single" w:sz="4" w:space="0" w:color="auto"/>
              <w:right w:val="single" w:sz="4" w:space="0" w:color="auto"/>
            </w:tcBorders>
            <w:vAlign w:val="center"/>
          </w:tcPr>
          <w:p w14:paraId="3839D808"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E218173"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066FEAC1" w14:textId="77777777" w:rsidR="002D600A" w:rsidRPr="002D600A" w:rsidRDefault="002D600A" w:rsidP="002D600A">
            <w:pPr>
              <w:rPr>
                <w:rFonts w:cstheme="minorHAnsi"/>
                <w:b/>
                <w:sz w:val="18"/>
                <w:szCs w:val="18"/>
                <w:lang w:val="en-US"/>
              </w:rPr>
            </w:pPr>
          </w:p>
        </w:tc>
      </w:tr>
      <w:tr w:rsidR="00D963CD" w:rsidRPr="002D600A" w14:paraId="19D29AA0" w14:textId="77777777" w:rsidTr="0083768C">
        <w:trPr>
          <w:trHeight w:val="269"/>
        </w:trPr>
        <w:tc>
          <w:tcPr>
            <w:tcW w:w="3402" w:type="dxa"/>
            <w:tcBorders>
              <w:top w:val="single" w:sz="4" w:space="0" w:color="auto"/>
              <w:left w:val="single" w:sz="4" w:space="0" w:color="auto"/>
              <w:bottom w:val="single" w:sz="4" w:space="0" w:color="auto"/>
              <w:right w:val="single" w:sz="4" w:space="0" w:color="auto"/>
            </w:tcBorders>
          </w:tcPr>
          <w:p w14:paraId="11510220" w14:textId="5B19BA88" w:rsidR="00D963CD" w:rsidRPr="002D600A" w:rsidRDefault="00D963CD" w:rsidP="002D600A">
            <w:pPr>
              <w:rPr>
                <w:rFonts w:cstheme="minorHAnsi"/>
                <w:sz w:val="18"/>
                <w:szCs w:val="18"/>
                <w:lang w:val="en-US"/>
              </w:rPr>
            </w:pPr>
            <w:r>
              <w:rPr>
                <w:rFonts w:cstheme="minorHAnsi"/>
                <w:sz w:val="18"/>
                <w:szCs w:val="18"/>
                <w:lang w:val="en-US"/>
              </w:rPr>
              <w:t xml:space="preserve">Abdominal </w:t>
            </w:r>
            <w:proofErr w:type="spellStart"/>
            <w:r>
              <w:rPr>
                <w:rFonts w:cstheme="minorHAnsi"/>
                <w:sz w:val="18"/>
                <w:szCs w:val="18"/>
                <w:lang w:val="en-US"/>
              </w:rPr>
              <w:t>pain</w:t>
            </w:r>
            <w:r w:rsidR="006676F5" w:rsidRPr="006676F5">
              <w:rPr>
                <w:rFonts w:cstheme="minorHAnsi"/>
                <w:sz w:val="18"/>
                <w:szCs w:val="18"/>
                <w:vertAlign w:val="superscript"/>
                <w:lang w:val="en-US"/>
              </w:rPr>
              <w:t>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6BCB3F8B" w14:textId="77777777" w:rsidR="00D963CD" w:rsidRPr="002D600A" w:rsidRDefault="00D963CD"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51A0FE" w14:textId="7E572E68" w:rsidR="00D963CD" w:rsidRPr="00980F26" w:rsidRDefault="00D963CD"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299A26E3" w14:textId="77777777" w:rsidR="00D963CD" w:rsidRPr="002D600A" w:rsidRDefault="00D963CD" w:rsidP="002D600A">
            <w:pPr>
              <w:rPr>
                <w:rFonts w:cstheme="minorHAnsi"/>
                <w:b/>
                <w:sz w:val="18"/>
                <w:szCs w:val="18"/>
                <w:lang w:val="en-US"/>
              </w:rPr>
            </w:pPr>
          </w:p>
        </w:tc>
      </w:tr>
      <w:tr w:rsidR="002D600A" w:rsidRPr="002D600A" w14:paraId="71D58365"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hideMark/>
          </w:tcPr>
          <w:p w14:paraId="68D94268" w14:textId="77777777" w:rsidR="002D600A" w:rsidRPr="002D600A" w:rsidRDefault="002D600A" w:rsidP="002D600A">
            <w:pPr>
              <w:rPr>
                <w:rFonts w:cstheme="minorHAnsi"/>
                <w:b/>
                <w:sz w:val="18"/>
                <w:szCs w:val="18"/>
                <w:lang w:val="en-US"/>
              </w:rPr>
            </w:pPr>
            <w:r w:rsidRPr="002D600A">
              <w:rPr>
                <w:rFonts w:cstheme="minorHAnsi"/>
                <w:b/>
                <w:sz w:val="18"/>
                <w:szCs w:val="18"/>
                <w:lang w:val="en-US"/>
              </w:rPr>
              <w:t>Infections and infestations</w:t>
            </w:r>
          </w:p>
        </w:tc>
      </w:tr>
      <w:tr w:rsidR="002D600A" w:rsidRPr="002D600A" w14:paraId="7294096C"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hideMark/>
          </w:tcPr>
          <w:p w14:paraId="271E9DF3" w14:textId="54547BBF" w:rsidR="002D600A" w:rsidRPr="00EF37FA" w:rsidRDefault="002D600A" w:rsidP="002D600A">
            <w:pPr>
              <w:rPr>
                <w:rFonts w:cstheme="minorHAnsi"/>
                <w:sz w:val="18"/>
                <w:szCs w:val="18"/>
                <w:lang w:val="en-US"/>
              </w:rPr>
            </w:pPr>
            <w:r w:rsidRPr="00EF37FA">
              <w:rPr>
                <w:rFonts w:cstheme="minorHAnsi"/>
                <w:sz w:val="18"/>
                <w:szCs w:val="18"/>
                <w:lang w:val="en-US"/>
              </w:rPr>
              <w:t xml:space="preserve">Upper respiratory tract </w:t>
            </w:r>
            <w:proofErr w:type="spellStart"/>
            <w:r w:rsidRPr="00EF37FA">
              <w:rPr>
                <w:rFonts w:cstheme="minorHAnsi"/>
                <w:sz w:val="18"/>
                <w:szCs w:val="18"/>
                <w:lang w:val="en-US"/>
              </w:rPr>
              <w:t>infections</w:t>
            </w:r>
            <w:r w:rsidR="000F0613">
              <w:rPr>
                <w:rFonts w:cstheme="minorHAnsi"/>
                <w:sz w:val="18"/>
                <w:szCs w:val="18"/>
                <w:vertAlign w:val="superscript"/>
                <w:lang w:val="en-US"/>
              </w:rPr>
              <w:t>b</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5C9E2840"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1701" w:type="dxa"/>
            <w:tcBorders>
              <w:top w:val="single" w:sz="4" w:space="0" w:color="auto"/>
              <w:left w:val="single" w:sz="4" w:space="0" w:color="auto"/>
              <w:bottom w:val="single" w:sz="4" w:space="0" w:color="auto"/>
              <w:right w:val="single" w:sz="4" w:space="0" w:color="auto"/>
            </w:tcBorders>
            <w:vAlign w:val="center"/>
          </w:tcPr>
          <w:p w14:paraId="3A7B0933" w14:textId="77777777" w:rsidR="002D600A" w:rsidRPr="00980F26" w:rsidRDefault="002D600A" w:rsidP="00323A9E">
            <w:pPr>
              <w:jc w:val="cente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1D1CBD3A" w14:textId="77777777" w:rsidR="002D600A" w:rsidRPr="002D600A" w:rsidRDefault="002D600A" w:rsidP="002D600A">
            <w:pPr>
              <w:rPr>
                <w:rFonts w:cstheme="minorHAnsi"/>
                <w:b/>
                <w:sz w:val="18"/>
                <w:szCs w:val="18"/>
                <w:lang w:val="en-US"/>
              </w:rPr>
            </w:pPr>
          </w:p>
        </w:tc>
      </w:tr>
      <w:tr w:rsidR="002D600A" w:rsidRPr="002D600A" w14:paraId="60DB3FF6" w14:textId="77777777" w:rsidTr="0083768C">
        <w:trPr>
          <w:trHeight w:val="269"/>
        </w:trPr>
        <w:tc>
          <w:tcPr>
            <w:tcW w:w="3402" w:type="dxa"/>
            <w:tcBorders>
              <w:top w:val="single" w:sz="4" w:space="0" w:color="auto"/>
              <w:left w:val="single" w:sz="4" w:space="0" w:color="auto"/>
              <w:bottom w:val="single" w:sz="4" w:space="0" w:color="auto"/>
              <w:right w:val="single" w:sz="4" w:space="0" w:color="auto"/>
            </w:tcBorders>
            <w:hideMark/>
          </w:tcPr>
          <w:p w14:paraId="343A6CA5" w14:textId="481C2B73" w:rsidR="002D600A" w:rsidRPr="00EF37FA" w:rsidRDefault="002D600A" w:rsidP="002D600A">
            <w:pPr>
              <w:rPr>
                <w:rFonts w:cstheme="minorHAnsi"/>
                <w:sz w:val="18"/>
                <w:szCs w:val="18"/>
                <w:lang w:val="en-US"/>
              </w:rPr>
            </w:pPr>
            <w:r w:rsidRPr="00EF37FA">
              <w:rPr>
                <w:rFonts w:cstheme="minorHAnsi"/>
                <w:sz w:val="18"/>
                <w:szCs w:val="18"/>
                <w:lang w:val="en-US"/>
              </w:rPr>
              <w:t xml:space="preserve">Herpes </w:t>
            </w:r>
            <w:proofErr w:type="spellStart"/>
            <w:r w:rsidRPr="00EF37FA">
              <w:rPr>
                <w:rFonts w:cstheme="minorHAnsi"/>
                <w:sz w:val="18"/>
                <w:szCs w:val="18"/>
                <w:lang w:val="en-US"/>
              </w:rPr>
              <w:t>simplex</w:t>
            </w:r>
            <w:r w:rsidR="000F0613">
              <w:rPr>
                <w:rFonts w:cstheme="minorHAnsi"/>
                <w:sz w:val="18"/>
                <w:szCs w:val="18"/>
                <w:vertAlign w:val="superscript"/>
                <w:lang w:val="en-US"/>
              </w:rPr>
              <w:t>c</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4066CBE2" w14:textId="77777777" w:rsidR="002D600A" w:rsidRPr="00980F26" w:rsidRDefault="002D600A"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2A8840E"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55DED697" w14:textId="77777777" w:rsidR="002D600A" w:rsidRPr="002D600A" w:rsidRDefault="002D600A" w:rsidP="002D600A">
            <w:pPr>
              <w:rPr>
                <w:rFonts w:cstheme="minorHAnsi"/>
                <w:b/>
                <w:sz w:val="18"/>
                <w:szCs w:val="18"/>
                <w:lang w:val="en-US"/>
              </w:rPr>
            </w:pPr>
          </w:p>
        </w:tc>
      </w:tr>
      <w:tr w:rsidR="002D600A" w:rsidRPr="002D600A" w14:paraId="2FAD83B8"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hideMark/>
          </w:tcPr>
          <w:p w14:paraId="5631A9CA" w14:textId="50867BD5" w:rsidR="002D600A" w:rsidRPr="00EF37FA" w:rsidRDefault="002D600A" w:rsidP="002D600A">
            <w:pPr>
              <w:rPr>
                <w:rFonts w:cstheme="minorHAnsi"/>
                <w:sz w:val="18"/>
                <w:szCs w:val="18"/>
                <w:lang w:val="en-US"/>
              </w:rPr>
            </w:pPr>
            <w:r w:rsidRPr="00EF37FA">
              <w:rPr>
                <w:rFonts w:cstheme="minorHAnsi"/>
                <w:sz w:val="18"/>
                <w:szCs w:val="18"/>
                <w:lang w:val="en-US"/>
              </w:rPr>
              <w:t>Herpes zoster</w:t>
            </w:r>
          </w:p>
        </w:tc>
        <w:tc>
          <w:tcPr>
            <w:tcW w:w="1560" w:type="dxa"/>
            <w:tcBorders>
              <w:top w:val="single" w:sz="4" w:space="0" w:color="auto"/>
              <w:left w:val="single" w:sz="4" w:space="0" w:color="auto"/>
              <w:bottom w:val="single" w:sz="4" w:space="0" w:color="auto"/>
              <w:right w:val="single" w:sz="4" w:space="0" w:color="auto"/>
            </w:tcBorders>
            <w:vAlign w:val="center"/>
          </w:tcPr>
          <w:p w14:paraId="4A4B9A07" w14:textId="77777777" w:rsidR="002D600A" w:rsidRPr="00980F26" w:rsidRDefault="002D600A"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60CABF"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094ED0D0" w14:textId="77777777" w:rsidR="002D600A" w:rsidRPr="002D600A" w:rsidRDefault="002D600A" w:rsidP="002D600A">
            <w:pPr>
              <w:rPr>
                <w:rFonts w:cstheme="minorHAnsi"/>
                <w:b/>
                <w:sz w:val="18"/>
                <w:szCs w:val="18"/>
                <w:lang w:val="en-US"/>
              </w:rPr>
            </w:pPr>
          </w:p>
        </w:tc>
      </w:tr>
      <w:tr w:rsidR="009D7257" w:rsidRPr="002D600A" w14:paraId="1C391BC4"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6C9238E6" w14:textId="39916B73" w:rsidR="009D7257" w:rsidRPr="00EF37FA" w:rsidRDefault="00954B31" w:rsidP="002D600A">
            <w:pPr>
              <w:rPr>
                <w:rFonts w:cstheme="minorHAnsi"/>
                <w:sz w:val="18"/>
                <w:szCs w:val="18"/>
                <w:lang w:val="en-US"/>
              </w:rPr>
            </w:pPr>
            <w:r>
              <w:rPr>
                <w:rFonts w:cstheme="minorHAnsi"/>
                <w:sz w:val="18"/>
                <w:szCs w:val="18"/>
                <w:lang w:val="en-US"/>
              </w:rPr>
              <w:t>Urinary tract infection</w:t>
            </w:r>
          </w:p>
        </w:tc>
        <w:tc>
          <w:tcPr>
            <w:tcW w:w="1560" w:type="dxa"/>
            <w:tcBorders>
              <w:top w:val="single" w:sz="4" w:space="0" w:color="auto"/>
              <w:left w:val="single" w:sz="4" w:space="0" w:color="auto"/>
              <w:bottom w:val="single" w:sz="4" w:space="0" w:color="auto"/>
              <w:right w:val="single" w:sz="4" w:space="0" w:color="auto"/>
            </w:tcBorders>
            <w:vAlign w:val="center"/>
          </w:tcPr>
          <w:p w14:paraId="409DCC9C" w14:textId="77777777" w:rsidR="009D7257" w:rsidRPr="00980F26" w:rsidRDefault="009D7257"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0BF5CA9" w14:textId="51EECA29" w:rsidR="009D7257" w:rsidRPr="00980F26" w:rsidRDefault="00B2092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485266A8" w14:textId="77777777" w:rsidR="009D7257" w:rsidRPr="002D600A" w:rsidRDefault="009D7257" w:rsidP="002D600A">
            <w:pPr>
              <w:rPr>
                <w:rFonts w:cstheme="minorHAnsi"/>
                <w:b/>
                <w:sz w:val="18"/>
                <w:szCs w:val="18"/>
                <w:lang w:val="en-US"/>
              </w:rPr>
            </w:pPr>
          </w:p>
        </w:tc>
      </w:tr>
      <w:tr w:rsidR="005E4AB6" w:rsidRPr="002D600A" w14:paraId="3F894718"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tcPr>
          <w:p w14:paraId="188EF63D" w14:textId="59CA92EB" w:rsidR="005E4AB6" w:rsidRPr="002D600A" w:rsidRDefault="005E4AB6" w:rsidP="002D600A">
            <w:pPr>
              <w:rPr>
                <w:rFonts w:cstheme="minorHAnsi"/>
                <w:b/>
                <w:sz w:val="18"/>
                <w:szCs w:val="18"/>
                <w:lang w:val="en-US"/>
              </w:rPr>
            </w:pPr>
            <w:r w:rsidRPr="005E4AB6">
              <w:rPr>
                <w:rFonts w:cstheme="minorHAnsi"/>
                <w:b/>
                <w:sz w:val="18"/>
                <w:szCs w:val="18"/>
                <w:lang w:val="en-US"/>
              </w:rPr>
              <w:t>Investigations</w:t>
            </w:r>
          </w:p>
        </w:tc>
      </w:tr>
      <w:tr w:rsidR="005E4AB6" w:rsidRPr="002D600A" w14:paraId="57CAA473"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2A73895E" w14:textId="78918067" w:rsidR="005E4AB6" w:rsidRPr="00EF37FA" w:rsidRDefault="005E4AB6" w:rsidP="002D600A">
            <w:pPr>
              <w:rPr>
                <w:rFonts w:cstheme="minorHAnsi"/>
                <w:sz w:val="18"/>
                <w:szCs w:val="18"/>
                <w:lang w:val="en-US"/>
              </w:rPr>
            </w:pPr>
            <w:r>
              <w:rPr>
                <w:rFonts w:cstheme="minorHAnsi"/>
                <w:sz w:val="18"/>
                <w:szCs w:val="18"/>
                <w:lang w:val="en-US"/>
              </w:rPr>
              <w:t>Weight increased</w:t>
            </w:r>
          </w:p>
        </w:tc>
        <w:tc>
          <w:tcPr>
            <w:tcW w:w="1560" w:type="dxa"/>
            <w:tcBorders>
              <w:top w:val="single" w:sz="4" w:space="0" w:color="auto"/>
              <w:left w:val="single" w:sz="4" w:space="0" w:color="auto"/>
              <w:bottom w:val="single" w:sz="4" w:space="0" w:color="auto"/>
              <w:right w:val="single" w:sz="4" w:space="0" w:color="auto"/>
            </w:tcBorders>
            <w:vAlign w:val="center"/>
          </w:tcPr>
          <w:p w14:paraId="2D69B7E9" w14:textId="77777777" w:rsidR="005E4AB6" w:rsidRPr="002D600A" w:rsidRDefault="005E4AB6"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C13A8A" w14:textId="77777777" w:rsidR="005E4AB6" w:rsidRPr="002D600A" w:rsidRDefault="005E4AB6" w:rsidP="002D600A">
            <w:pPr>
              <w:rPr>
                <w:rFonts w:cstheme="minorHAnsi"/>
                <w:b/>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4EEF9241" w14:textId="40889157" w:rsidR="005E4AB6" w:rsidRPr="00980F26" w:rsidRDefault="005E4AB6"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3E5B478D"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tcPr>
          <w:p w14:paraId="2EA3009D" w14:textId="77777777" w:rsidR="002D600A" w:rsidRPr="002D600A" w:rsidRDefault="002D600A" w:rsidP="002D600A">
            <w:pPr>
              <w:rPr>
                <w:rFonts w:cstheme="minorHAnsi"/>
                <w:b/>
                <w:sz w:val="18"/>
                <w:szCs w:val="18"/>
                <w:lang w:val="en-US"/>
              </w:rPr>
            </w:pPr>
            <w:r w:rsidRPr="002D600A">
              <w:rPr>
                <w:rFonts w:cstheme="minorHAnsi"/>
                <w:b/>
                <w:sz w:val="18"/>
                <w:szCs w:val="18"/>
                <w:lang w:val="en-US"/>
              </w:rPr>
              <w:t>Nervous system disorders</w:t>
            </w:r>
          </w:p>
        </w:tc>
      </w:tr>
      <w:tr w:rsidR="002D600A" w:rsidRPr="002D600A" w14:paraId="5454CE14"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4ED4AEC2" w14:textId="77777777" w:rsidR="002D600A" w:rsidRPr="002D600A" w:rsidRDefault="002D600A" w:rsidP="002D600A">
            <w:pPr>
              <w:rPr>
                <w:rFonts w:cstheme="minorHAnsi"/>
                <w:sz w:val="18"/>
                <w:szCs w:val="18"/>
                <w:lang w:val="en-US"/>
              </w:rPr>
            </w:pPr>
            <w:r w:rsidRPr="002D600A">
              <w:rPr>
                <w:rFonts w:cstheme="minorHAnsi"/>
                <w:sz w:val="18"/>
                <w:szCs w:val="18"/>
                <w:lang w:val="en-US"/>
              </w:rPr>
              <w:t>Headache</w:t>
            </w:r>
          </w:p>
        </w:tc>
        <w:tc>
          <w:tcPr>
            <w:tcW w:w="1560" w:type="dxa"/>
            <w:tcBorders>
              <w:top w:val="single" w:sz="4" w:space="0" w:color="auto"/>
              <w:left w:val="single" w:sz="4" w:space="0" w:color="auto"/>
              <w:bottom w:val="single" w:sz="4" w:space="0" w:color="auto"/>
              <w:right w:val="single" w:sz="4" w:space="0" w:color="auto"/>
            </w:tcBorders>
            <w:vAlign w:val="center"/>
          </w:tcPr>
          <w:p w14:paraId="50412DB4"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833B70"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188C2ADB" w14:textId="77777777" w:rsidR="002D600A" w:rsidRPr="002D600A" w:rsidRDefault="002D600A" w:rsidP="002D600A">
            <w:pPr>
              <w:rPr>
                <w:rFonts w:cstheme="minorHAnsi"/>
                <w:b/>
                <w:sz w:val="18"/>
                <w:szCs w:val="18"/>
                <w:lang w:val="en-US"/>
              </w:rPr>
            </w:pPr>
          </w:p>
        </w:tc>
      </w:tr>
      <w:tr w:rsidR="002D600A" w:rsidRPr="002D600A" w14:paraId="4DE859A9"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tcPr>
          <w:p w14:paraId="5472A9C9" w14:textId="77777777" w:rsidR="002D600A" w:rsidRPr="002D600A" w:rsidRDefault="002D600A" w:rsidP="002D600A">
            <w:pPr>
              <w:rPr>
                <w:rFonts w:cstheme="minorHAnsi"/>
                <w:b/>
                <w:sz w:val="18"/>
                <w:szCs w:val="18"/>
                <w:lang w:val="en-US"/>
              </w:rPr>
            </w:pPr>
            <w:r w:rsidRPr="002D600A">
              <w:rPr>
                <w:rFonts w:cstheme="minorHAnsi"/>
                <w:b/>
                <w:sz w:val="18"/>
                <w:szCs w:val="18"/>
                <w:lang w:val="en-US"/>
              </w:rPr>
              <w:t>Vascular disorders</w:t>
            </w:r>
          </w:p>
        </w:tc>
      </w:tr>
      <w:tr w:rsidR="002D600A" w:rsidRPr="002D600A" w14:paraId="7391C6EA"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65C499D5" w14:textId="77777777" w:rsidR="002D600A" w:rsidRPr="002D600A" w:rsidRDefault="002D600A" w:rsidP="002D600A">
            <w:pPr>
              <w:rPr>
                <w:rFonts w:cstheme="minorHAnsi"/>
                <w:sz w:val="18"/>
                <w:szCs w:val="18"/>
                <w:lang w:val="en-US"/>
              </w:rPr>
            </w:pPr>
            <w:r w:rsidRPr="002D600A">
              <w:rPr>
                <w:rFonts w:cstheme="minorHAnsi"/>
                <w:sz w:val="18"/>
                <w:szCs w:val="18"/>
                <w:lang w:val="en-US"/>
              </w:rPr>
              <w:t>Deep Vein Thrombosis</w:t>
            </w:r>
          </w:p>
        </w:tc>
        <w:tc>
          <w:tcPr>
            <w:tcW w:w="1560" w:type="dxa"/>
            <w:tcBorders>
              <w:top w:val="single" w:sz="4" w:space="0" w:color="auto"/>
              <w:left w:val="single" w:sz="4" w:space="0" w:color="auto"/>
              <w:bottom w:val="single" w:sz="4" w:space="0" w:color="auto"/>
              <w:right w:val="single" w:sz="4" w:space="0" w:color="auto"/>
            </w:tcBorders>
            <w:vAlign w:val="center"/>
          </w:tcPr>
          <w:p w14:paraId="424E80BB"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8AD658A" w14:textId="77777777" w:rsidR="002D600A" w:rsidRPr="002D600A" w:rsidRDefault="002D600A" w:rsidP="002D600A">
            <w:pPr>
              <w:rPr>
                <w:rFonts w:cstheme="minorHAnsi"/>
                <w:b/>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0F1D56A6"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3188F0D6"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tcPr>
          <w:p w14:paraId="3A88EA15" w14:textId="77777777" w:rsidR="002D600A" w:rsidRPr="002D600A" w:rsidRDefault="002D600A" w:rsidP="002D600A">
            <w:pPr>
              <w:rPr>
                <w:rFonts w:cstheme="minorHAnsi"/>
                <w:b/>
                <w:sz w:val="18"/>
                <w:szCs w:val="18"/>
                <w:lang w:val="en-US"/>
              </w:rPr>
            </w:pPr>
            <w:r w:rsidRPr="002D600A">
              <w:rPr>
                <w:rFonts w:cstheme="minorHAnsi"/>
                <w:b/>
                <w:sz w:val="18"/>
                <w:szCs w:val="18"/>
                <w:lang w:val="en-US"/>
              </w:rPr>
              <w:t>Respiratory, thoracic, mediastinal disorders</w:t>
            </w:r>
          </w:p>
        </w:tc>
      </w:tr>
      <w:tr w:rsidR="002D600A" w:rsidRPr="002D600A" w14:paraId="736ED5C2"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6D8C06F9" w14:textId="77777777" w:rsidR="002D600A" w:rsidRPr="002D600A" w:rsidRDefault="002D600A" w:rsidP="002D600A">
            <w:pPr>
              <w:rPr>
                <w:rFonts w:cstheme="minorHAnsi"/>
                <w:sz w:val="18"/>
                <w:szCs w:val="18"/>
                <w:lang w:val="en-US"/>
              </w:rPr>
            </w:pPr>
            <w:r w:rsidRPr="002D600A">
              <w:rPr>
                <w:rFonts w:cstheme="minorHAnsi"/>
                <w:sz w:val="18"/>
                <w:szCs w:val="18"/>
                <w:lang w:val="en-US"/>
              </w:rPr>
              <w:t>Pulmonary embolism</w:t>
            </w:r>
          </w:p>
        </w:tc>
        <w:tc>
          <w:tcPr>
            <w:tcW w:w="1560" w:type="dxa"/>
            <w:tcBorders>
              <w:top w:val="single" w:sz="4" w:space="0" w:color="auto"/>
              <w:left w:val="single" w:sz="4" w:space="0" w:color="auto"/>
              <w:bottom w:val="single" w:sz="4" w:space="0" w:color="auto"/>
              <w:right w:val="single" w:sz="4" w:space="0" w:color="auto"/>
            </w:tcBorders>
            <w:vAlign w:val="center"/>
          </w:tcPr>
          <w:p w14:paraId="2FF4785E"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0BA7601" w14:textId="77777777" w:rsidR="002D600A" w:rsidRPr="002D600A" w:rsidRDefault="002D600A" w:rsidP="002D600A">
            <w:pPr>
              <w:rPr>
                <w:rFonts w:cstheme="minorHAnsi"/>
                <w:b/>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1C4DE59F"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14AA36B1" w14:textId="77777777" w:rsidTr="0083768C">
        <w:trPr>
          <w:trHeight w:val="197"/>
        </w:trPr>
        <w:tc>
          <w:tcPr>
            <w:tcW w:w="8789" w:type="dxa"/>
            <w:gridSpan w:val="4"/>
            <w:tcBorders>
              <w:top w:val="single" w:sz="4" w:space="0" w:color="auto"/>
              <w:left w:val="single" w:sz="4" w:space="0" w:color="auto"/>
              <w:bottom w:val="single" w:sz="4" w:space="0" w:color="auto"/>
              <w:right w:val="single" w:sz="4" w:space="0" w:color="auto"/>
            </w:tcBorders>
            <w:hideMark/>
          </w:tcPr>
          <w:p w14:paraId="7E0B5AE0" w14:textId="77777777" w:rsidR="002D600A" w:rsidRPr="002D600A" w:rsidRDefault="002D600A" w:rsidP="002D600A">
            <w:pPr>
              <w:rPr>
                <w:rFonts w:cstheme="minorHAnsi"/>
                <w:b/>
                <w:sz w:val="18"/>
                <w:szCs w:val="18"/>
                <w:lang w:val="en-US"/>
              </w:rPr>
            </w:pPr>
            <w:r w:rsidRPr="002D600A">
              <w:rPr>
                <w:rFonts w:cstheme="minorHAnsi"/>
                <w:b/>
                <w:sz w:val="18"/>
                <w:szCs w:val="18"/>
                <w:lang w:val="en-US"/>
              </w:rPr>
              <w:t>Skin</w:t>
            </w:r>
            <w:r w:rsidRPr="002D600A">
              <w:rPr>
                <w:rFonts w:cstheme="minorHAnsi"/>
                <w:b/>
                <w:sz w:val="18"/>
                <w:szCs w:val="18"/>
                <w:lang w:val="da-DK"/>
              </w:rPr>
              <w:t xml:space="preserve"> </w:t>
            </w:r>
            <w:r w:rsidRPr="002D600A">
              <w:rPr>
                <w:rFonts w:cstheme="minorHAnsi"/>
                <w:b/>
                <w:sz w:val="18"/>
                <w:szCs w:val="18"/>
                <w:lang w:val="en-US"/>
              </w:rPr>
              <w:t>and subcutaneous tissue disorders</w:t>
            </w:r>
          </w:p>
        </w:tc>
      </w:tr>
      <w:tr w:rsidR="002D600A" w:rsidRPr="002D600A" w14:paraId="6D23F85A"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6100ECC1" w14:textId="7BBBA52E" w:rsidR="002D600A" w:rsidRPr="002D600A" w:rsidRDefault="002D600A" w:rsidP="002D600A">
            <w:pPr>
              <w:rPr>
                <w:rFonts w:cstheme="minorHAnsi"/>
                <w:sz w:val="18"/>
                <w:szCs w:val="18"/>
                <w:lang w:val="en-US"/>
              </w:rPr>
            </w:pPr>
            <w:proofErr w:type="spellStart"/>
            <w:r w:rsidRPr="002D600A">
              <w:rPr>
                <w:rFonts w:cstheme="minorHAnsi"/>
                <w:sz w:val="18"/>
                <w:szCs w:val="18"/>
                <w:lang w:val="en-US"/>
              </w:rPr>
              <w:t>Rash</w:t>
            </w:r>
            <w:r w:rsidR="000F0613">
              <w:rPr>
                <w:rFonts w:cstheme="minorHAnsi"/>
                <w:sz w:val="18"/>
                <w:szCs w:val="18"/>
                <w:vertAlign w:val="superscript"/>
                <w:lang w:val="en-US"/>
              </w:rPr>
              <w:t>d</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B879AC0"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C48B482"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2C41A357" w14:textId="77777777" w:rsidR="002D600A" w:rsidRPr="00980F26" w:rsidRDefault="002D600A" w:rsidP="002D600A">
            <w:pPr>
              <w:rPr>
                <w:rFonts w:cstheme="minorHAnsi"/>
                <w:bCs/>
                <w:sz w:val="18"/>
                <w:szCs w:val="18"/>
                <w:lang w:val="en-US"/>
              </w:rPr>
            </w:pPr>
          </w:p>
        </w:tc>
      </w:tr>
      <w:tr w:rsidR="002D600A" w:rsidRPr="002D600A" w14:paraId="2C3B8E64"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hideMark/>
          </w:tcPr>
          <w:p w14:paraId="17FB73EF" w14:textId="76D70B0B" w:rsidR="002D600A" w:rsidRPr="002D600A" w:rsidRDefault="002D600A" w:rsidP="002D600A">
            <w:pPr>
              <w:rPr>
                <w:rFonts w:cstheme="minorHAnsi"/>
                <w:sz w:val="18"/>
                <w:szCs w:val="18"/>
                <w:lang w:val="en-US"/>
              </w:rPr>
            </w:pPr>
            <w:proofErr w:type="spellStart"/>
            <w:r w:rsidRPr="00EF37FA">
              <w:rPr>
                <w:rFonts w:cstheme="minorHAnsi"/>
                <w:sz w:val="18"/>
                <w:szCs w:val="18"/>
                <w:lang w:val="en-US"/>
              </w:rPr>
              <w:t>Acne</w:t>
            </w:r>
            <w:r w:rsidR="000F0613" w:rsidRPr="000F0613">
              <w:rPr>
                <w:rFonts w:cstheme="minorHAnsi"/>
                <w:sz w:val="18"/>
                <w:szCs w:val="18"/>
                <w:vertAlign w:val="superscript"/>
                <w:lang w:val="en-US"/>
              </w:rPr>
              <w:t>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249B4635"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3E12370" w14:textId="19745195" w:rsidR="002D600A" w:rsidRPr="00980F26" w:rsidRDefault="002D600A" w:rsidP="002D600A">
            <w:pP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F1964C5" w14:textId="59D61F5C" w:rsidR="002D600A" w:rsidRPr="00980F26" w:rsidRDefault="00353058"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4BBC5081"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03D26E58" w14:textId="32CF9025" w:rsidR="002D600A" w:rsidRPr="002D600A" w:rsidRDefault="002D600A" w:rsidP="002D600A">
            <w:pPr>
              <w:rPr>
                <w:rFonts w:cstheme="minorHAnsi"/>
                <w:sz w:val="18"/>
                <w:szCs w:val="18"/>
                <w:lang w:val="en-US"/>
              </w:rPr>
            </w:pPr>
            <w:r w:rsidRPr="002D600A">
              <w:rPr>
                <w:rFonts w:cstheme="minorHAnsi"/>
                <w:sz w:val="18"/>
                <w:szCs w:val="18"/>
                <w:lang w:val="en-US"/>
              </w:rPr>
              <w:t xml:space="preserve">Swelling of the </w:t>
            </w:r>
            <w:proofErr w:type="spellStart"/>
            <w:r w:rsidRPr="002D600A">
              <w:rPr>
                <w:rFonts w:cstheme="minorHAnsi"/>
                <w:sz w:val="18"/>
                <w:szCs w:val="18"/>
                <w:lang w:val="en-US"/>
              </w:rPr>
              <w:t>face</w:t>
            </w:r>
            <w:r w:rsidR="000F0613" w:rsidRPr="000F0613">
              <w:rPr>
                <w:rFonts w:cstheme="minorHAnsi"/>
                <w:sz w:val="18"/>
                <w:szCs w:val="18"/>
                <w:vertAlign w:val="superscript"/>
                <w:lang w:val="en-US"/>
              </w:rPr>
              <w:t>f</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3ADFDB8B"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8F63877" w14:textId="77777777" w:rsidR="002D600A" w:rsidRPr="00980F26" w:rsidRDefault="002D600A" w:rsidP="002D600A">
            <w:pP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58E10652"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6518B754"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1269411A" w14:textId="3973AF05" w:rsidR="002D600A" w:rsidRPr="002D600A" w:rsidRDefault="002D600A" w:rsidP="002D600A">
            <w:pPr>
              <w:rPr>
                <w:rFonts w:cstheme="minorHAnsi"/>
                <w:sz w:val="18"/>
                <w:szCs w:val="18"/>
                <w:lang w:val="en-US"/>
              </w:rPr>
            </w:pPr>
            <w:proofErr w:type="spellStart"/>
            <w:r w:rsidRPr="002D600A">
              <w:rPr>
                <w:rFonts w:cstheme="minorHAnsi"/>
                <w:sz w:val="18"/>
                <w:szCs w:val="18"/>
                <w:lang w:val="en-US"/>
              </w:rPr>
              <w:t>Urticaria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6AF34CEC"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DAE8B5" w14:textId="77777777" w:rsidR="002D600A" w:rsidRPr="00980F26" w:rsidRDefault="002D600A" w:rsidP="002D600A">
            <w:pP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731E1BAD"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6474BCF8" w14:textId="77777777" w:rsidTr="0083768C">
        <w:trPr>
          <w:trHeight w:val="278"/>
        </w:trPr>
        <w:tc>
          <w:tcPr>
            <w:tcW w:w="8789" w:type="dxa"/>
            <w:gridSpan w:val="4"/>
            <w:tcBorders>
              <w:top w:val="single" w:sz="4" w:space="0" w:color="auto"/>
              <w:left w:val="single" w:sz="4" w:space="0" w:color="auto"/>
              <w:bottom w:val="single" w:sz="4" w:space="0" w:color="auto"/>
              <w:right w:val="single" w:sz="4" w:space="0" w:color="auto"/>
            </w:tcBorders>
          </w:tcPr>
          <w:p w14:paraId="003DF88C" w14:textId="68BCBDB6" w:rsidR="002D600A" w:rsidRPr="002D600A" w:rsidRDefault="002D600A" w:rsidP="002D600A">
            <w:pPr>
              <w:rPr>
                <w:rFonts w:cstheme="minorHAnsi"/>
                <w:b/>
                <w:sz w:val="18"/>
                <w:szCs w:val="18"/>
                <w:lang w:val="en-US"/>
              </w:rPr>
            </w:pPr>
            <w:r w:rsidRPr="002D600A">
              <w:rPr>
                <w:rFonts w:cstheme="minorHAnsi"/>
                <w:b/>
                <w:sz w:val="18"/>
                <w:szCs w:val="18"/>
                <w:lang w:val="en-US"/>
              </w:rPr>
              <w:lastRenderedPageBreak/>
              <w:t xml:space="preserve">Laboratory </w:t>
            </w:r>
            <w:proofErr w:type="spellStart"/>
            <w:r w:rsidRPr="002D600A">
              <w:rPr>
                <w:rFonts w:cstheme="minorHAnsi"/>
                <w:b/>
                <w:sz w:val="18"/>
                <w:szCs w:val="18"/>
                <w:lang w:val="en-US"/>
              </w:rPr>
              <w:t>Parameters</w:t>
            </w:r>
            <w:r w:rsidR="00E45CD6">
              <w:rPr>
                <w:rFonts w:cstheme="minorHAnsi"/>
                <w:b/>
                <w:sz w:val="18"/>
                <w:szCs w:val="18"/>
                <w:vertAlign w:val="superscript"/>
                <w:lang w:val="en-US"/>
              </w:rPr>
              <w:t>g</w:t>
            </w:r>
            <w:proofErr w:type="spellEnd"/>
          </w:p>
        </w:tc>
      </w:tr>
      <w:tr w:rsidR="002D600A" w:rsidRPr="002D600A" w14:paraId="3BBA1E74"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tcPr>
          <w:p w14:paraId="6D825314" w14:textId="77777777" w:rsidR="002D600A" w:rsidRPr="002D600A" w:rsidRDefault="002D600A" w:rsidP="002D600A">
            <w:pPr>
              <w:rPr>
                <w:rFonts w:cstheme="minorHAnsi"/>
                <w:b/>
                <w:sz w:val="18"/>
                <w:szCs w:val="18"/>
                <w:lang w:val="en-US"/>
              </w:rPr>
            </w:pPr>
            <w:r w:rsidRPr="002D600A">
              <w:rPr>
                <w:rFonts w:cstheme="minorHAnsi"/>
                <w:b/>
                <w:sz w:val="18"/>
                <w:szCs w:val="18"/>
                <w:lang w:val="en-US"/>
              </w:rPr>
              <w:t>Clinical Chemistry</w:t>
            </w:r>
          </w:p>
        </w:tc>
      </w:tr>
      <w:tr w:rsidR="002D600A" w:rsidRPr="002D600A" w14:paraId="14508EE5" w14:textId="77777777" w:rsidTr="0083768C">
        <w:trPr>
          <w:trHeight w:val="233"/>
        </w:trPr>
        <w:tc>
          <w:tcPr>
            <w:tcW w:w="3402" w:type="dxa"/>
            <w:tcBorders>
              <w:top w:val="single" w:sz="4" w:space="0" w:color="auto"/>
              <w:left w:val="single" w:sz="4" w:space="0" w:color="auto"/>
              <w:bottom w:val="single" w:sz="4" w:space="0" w:color="auto"/>
              <w:right w:val="single" w:sz="4" w:space="0" w:color="auto"/>
            </w:tcBorders>
          </w:tcPr>
          <w:p w14:paraId="6E2F091A" w14:textId="77777777" w:rsidR="002D600A" w:rsidRPr="00EF37FA" w:rsidRDefault="002D600A" w:rsidP="002D600A">
            <w:pPr>
              <w:rPr>
                <w:rFonts w:cstheme="minorHAnsi"/>
                <w:sz w:val="18"/>
                <w:szCs w:val="18"/>
                <w:lang w:val="en-US"/>
              </w:rPr>
            </w:pPr>
            <w:proofErr w:type="spellStart"/>
            <w:r w:rsidRPr="00EF37FA">
              <w:rPr>
                <w:rFonts w:cstheme="minorHAnsi"/>
                <w:sz w:val="18"/>
                <w:szCs w:val="18"/>
                <w:lang w:val="en-US"/>
              </w:rPr>
              <w:t>Creatine</w:t>
            </w:r>
            <w:proofErr w:type="spellEnd"/>
            <w:r w:rsidRPr="00EF37FA">
              <w:rPr>
                <w:rFonts w:cstheme="minorHAnsi"/>
                <w:sz w:val="18"/>
                <w:szCs w:val="18"/>
                <w:lang w:val="en-US"/>
              </w:rPr>
              <w:t xml:space="preserve"> Phosphokinase &gt;5 x ULN</w:t>
            </w:r>
          </w:p>
        </w:tc>
        <w:tc>
          <w:tcPr>
            <w:tcW w:w="1560" w:type="dxa"/>
            <w:tcBorders>
              <w:top w:val="single" w:sz="4" w:space="0" w:color="auto"/>
              <w:left w:val="single" w:sz="4" w:space="0" w:color="auto"/>
              <w:bottom w:val="single" w:sz="4" w:space="0" w:color="auto"/>
              <w:right w:val="single" w:sz="4" w:space="0" w:color="auto"/>
            </w:tcBorders>
            <w:vAlign w:val="center"/>
          </w:tcPr>
          <w:p w14:paraId="1D7D16CB" w14:textId="77777777" w:rsidR="002D600A" w:rsidRPr="00980F26" w:rsidRDefault="002D600A"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2E03665" w14:textId="1E6A86F7" w:rsidR="002D600A" w:rsidRPr="00980F26" w:rsidRDefault="002D600A" w:rsidP="00323A9E">
            <w:pPr>
              <w:jc w:val="center"/>
              <w:rPr>
                <w:rFonts w:cstheme="minorHAnsi"/>
                <w:bCs/>
                <w:sz w:val="18"/>
                <w:szCs w:val="18"/>
                <w:highlight w:val="yellow"/>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4E93B9ED" w14:textId="2AA63F98" w:rsidR="002D600A" w:rsidRPr="00980F26" w:rsidRDefault="00353058"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4FB08A22"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718699D7" w14:textId="77777777" w:rsidR="002D600A" w:rsidRPr="00EF37FA" w:rsidRDefault="002D600A" w:rsidP="002D600A">
            <w:pPr>
              <w:rPr>
                <w:rFonts w:cstheme="minorHAnsi"/>
                <w:sz w:val="18"/>
                <w:szCs w:val="18"/>
                <w:lang w:val="en-US"/>
              </w:rPr>
            </w:pPr>
            <w:r w:rsidRPr="00EF37FA">
              <w:rPr>
                <w:rFonts w:cstheme="minorHAnsi"/>
                <w:sz w:val="18"/>
                <w:szCs w:val="18"/>
                <w:lang w:val="en-US"/>
              </w:rPr>
              <w:t>LDL cholesterol ≥130 mg/</w:t>
            </w:r>
            <w:proofErr w:type="spellStart"/>
            <w:r w:rsidRPr="00EF37FA">
              <w:rPr>
                <w:rFonts w:cstheme="minorHAnsi"/>
                <w:sz w:val="18"/>
                <w:szCs w:val="18"/>
                <w:lang w:val="en-US"/>
              </w:rPr>
              <w:t>dL</w:t>
            </w:r>
            <w:proofErr w:type="spellEnd"/>
            <w:r w:rsidRPr="00EF37FA">
              <w:rPr>
                <w:rFonts w:cstheme="minorHAnsi"/>
                <w:sz w:val="18"/>
                <w:szCs w:val="18"/>
                <w:lang w:val="en-US"/>
              </w:rPr>
              <w:t xml:space="preserve"> (≥3.36 </w:t>
            </w:r>
            <w:proofErr w:type="spellStart"/>
            <w:r w:rsidRPr="00EF37FA">
              <w:rPr>
                <w:rFonts w:cstheme="minorHAnsi"/>
                <w:sz w:val="18"/>
                <w:szCs w:val="18"/>
                <w:lang w:val="en-US"/>
              </w:rPr>
              <w:t>mmol</w:t>
            </w:r>
            <w:proofErr w:type="spellEnd"/>
            <w:r w:rsidRPr="00EF37FA">
              <w:rPr>
                <w:rFonts w:cstheme="minorHAnsi"/>
                <w:sz w:val="18"/>
                <w:szCs w:val="18"/>
                <w:lang w:val="en-US"/>
              </w:rPr>
              <w:t>/L)</w:t>
            </w:r>
          </w:p>
        </w:tc>
        <w:tc>
          <w:tcPr>
            <w:tcW w:w="1560" w:type="dxa"/>
            <w:tcBorders>
              <w:top w:val="single" w:sz="4" w:space="0" w:color="auto"/>
              <w:left w:val="single" w:sz="4" w:space="0" w:color="auto"/>
              <w:bottom w:val="single" w:sz="4" w:space="0" w:color="auto"/>
              <w:right w:val="single" w:sz="4" w:space="0" w:color="auto"/>
            </w:tcBorders>
            <w:vAlign w:val="center"/>
          </w:tcPr>
          <w:p w14:paraId="53C8C537"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1701" w:type="dxa"/>
            <w:tcBorders>
              <w:top w:val="single" w:sz="4" w:space="0" w:color="auto"/>
              <w:left w:val="single" w:sz="4" w:space="0" w:color="auto"/>
              <w:bottom w:val="single" w:sz="4" w:space="0" w:color="auto"/>
              <w:right w:val="single" w:sz="4" w:space="0" w:color="auto"/>
            </w:tcBorders>
            <w:vAlign w:val="center"/>
          </w:tcPr>
          <w:p w14:paraId="5842AF69" w14:textId="77777777" w:rsidR="002D600A" w:rsidRPr="00980F26" w:rsidRDefault="002D600A" w:rsidP="00323A9E">
            <w:pPr>
              <w:jc w:val="cente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11504695" w14:textId="77777777" w:rsidR="002D600A" w:rsidRPr="00980F26" w:rsidRDefault="002D600A" w:rsidP="00323A9E">
            <w:pPr>
              <w:jc w:val="center"/>
              <w:rPr>
                <w:rFonts w:cstheme="minorHAnsi"/>
                <w:bCs/>
                <w:sz w:val="18"/>
                <w:szCs w:val="18"/>
                <w:lang w:val="en-US"/>
              </w:rPr>
            </w:pPr>
          </w:p>
        </w:tc>
      </w:tr>
      <w:tr w:rsidR="002D600A" w:rsidRPr="002D600A" w14:paraId="01EA05B0"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42B0298C" w14:textId="77777777" w:rsidR="002D600A" w:rsidRPr="00EF37FA" w:rsidRDefault="002D600A" w:rsidP="002D600A">
            <w:pPr>
              <w:rPr>
                <w:rFonts w:cstheme="minorHAnsi"/>
                <w:sz w:val="18"/>
                <w:szCs w:val="18"/>
                <w:lang w:val="en-US"/>
              </w:rPr>
            </w:pPr>
            <w:r w:rsidRPr="00EF37FA">
              <w:rPr>
                <w:rFonts w:cstheme="minorHAnsi"/>
                <w:sz w:val="18"/>
                <w:szCs w:val="18"/>
                <w:lang w:val="en-US"/>
              </w:rPr>
              <w:t>Triglycerides ≥500 mg/</w:t>
            </w:r>
            <w:proofErr w:type="spellStart"/>
            <w:r w:rsidRPr="00EF37FA">
              <w:rPr>
                <w:rFonts w:cstheme="minorHAnsi"/>
                <w:sz w:val="18"/>
                <w:szCs w:val="18"/>
                <w:lang w:val="en-US"/>
              </w:rPr>
              <w:t>dL</w:t>
            </w:r>
            <w:proofErr w:type="spellEnd"/>
            <w:r w:rsidRPr="00EF37FA">
              <w:rPr>
                <w:rFonts w:cstheme="minorHAnsi"/>
                <w:sz w:val="18"/>
                <w:szCs w:val="18"/>
                <w:lang w:val="en-US"/>
              </w:rPr>
              <w:t xml:space="preserve"> (≥5.65 </w:t>
            </w:r>
            <w:proofErr w:type="spellStart"/>
            <w:r w:rsidRPr="00EF37FA">
              <w:rPr>
                <w:rFonts w:cstheme="minorHAnsi"/>
                <w:sz w:val="18"/>
                <w:szCs w:val="18"/>
                <w:lang w:val="en-US"/>
              </w:rPr>
              <w:t>mmol</w:t>
            </w:r>
            <w:proofErr w:type="spellEnd"/>
            <w:r w:rsidRPr="00EF37FA">
              <w:rPr>
                <w:rFonts w:cstheme="minorHAnsi"/>
                <w:sz w:val="18"/>
                <w:szCs w:val="18"/>
                <w:lang w:val="en-US"/>
              </w:rPr>
              <w:t>/L)</w:t>
            </w:r>
          </w:p>
        </w:tc>
        <w:tc>
          <w:tcPr>
            <w:tcW w:w="1560" w:type="dxa"/>
            <w:tcBorders>
              <w:top w:val="single" w:sz="4" w:space="0" w:color="auto"/>
              <w:left w:val="single" w:sz="4" w:space="0" w:color="auto"/>
              <w:bottom w:val="single" w:sz="4" w:space="0" w:color="auto"/>
              <w:right w:val="single" w:sz="4" w:space="0" w:color="auto"/>
            </w:tcBorders>
            <w:vAlign w:val="center"/>
          </w:tcPr>
          <w:p w14:paraId="7B36A89D" w14:textId="77777777" w:rsidR="002D600A" w:rsidRPr="00980F26" w:rsidRDefault="002D600A"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AEF772F" w14:textId="77777777" w:rsidR="002D600A" w:rsidRPr="00980F26" w:rsidRDefault="002D600A" w:rsidP="00323A9E">
            <w:pPr>
              <w:jc w:val="cente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4FBC327F"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10D9CA8F"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09E8D25C" w14:textId="52496F6C" w:rsidR="002D600A" w:rsidRPr="00EF37FA" w:rsidRDefault="002D600A" w:rsidP="002D600A">
            <w:pPr>
              <w:rPr>
                <w:rFonts w:cstheme="minorHAnsi"/>
                <w:sz w:val="18"/>
                <w:szCs w:val="18"/>
                <w:lang w:val="en-US"/>
              </w:rPr>
            </w:pPr>
            <w:r w:rsidRPr="00EF37FA">
              <w:rPr>
                <w:rFonts w:cstheme="minorHAnsi"/>
                <w:sz w:val="18"/>
                <w:szCs w:val="18"/>
                <w:lang w:val="en-US"/>
              </w:rPr>
              <w:t>ALT ≥3 x ULN</w:t>
            </w:r>
          </w:p>
        </w:tc>
        <w:tc>
          <w:tcPr>
            <w:tcW w:w="1560" w:type="dxa"/>
            <w:tcBorders>
              <w:top w:val="single" w:sz="4" w:space="0" w:color="auto"/>
              <w:left w:val="single" w:sz="4" w:space="0" w:color="auto"/>
              <w:bottom w:val="single" w:sz="4" w:space="0" w:color="auto"/>
              <w:right w:val="single" w:sz="4" w:space="0" w:color="auto"/>
            </w:tcBorders>
            <w:vAlign w:val="center"/>
          </w:tcPr>
          <w:p w14:paraId="43DAC75A" w14:textId="77777777" w:rsidR="002D600A" w:rsidRPr="00980F26" w:rsidRDefault="002D600A"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B1E8D72"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1E251D17" w14:textId="77777777" w:rsidR="002D600A" w:rsidRPr="00980F26" w:rsidRDefault="002D600A" w:rsidP="00323A9E">
            <w:pPr>
              <w:jc w:val="center"/>
              <w:rPr>
                <w:rFonts w:cstheme="minorHAnsi"/>
                <w:bCs/>
                <w:sz w:val="18"/>
                <w:szCs w:val="18"/>
                <w:lang w:val="en-US"/>
              </w:rPr>
            </w:pPr>
          </w:p>
        </w:tc>
      </w:tr>
      <w:tr w:rsidR="002D600A" w:rsidRPr="002D600A" w14:paraId="60D9EF94" w14:textId="77777777" w:rsidTr="0083768C">
        <w:trPr>
          <w:trHeight w:val="269"/>
        </w:trPr>
        <w:tc>
          <w:tcPr>
            <w:tcW w:w="3402" w:type="dxa"/>
            <w:tcBorders>
              <w:top w:val="single" w:sz="4" w:space="0" w:color="auto"/>
              <w:left w:val="single" w:sz="4" w:space="0" w:color="auto"/>
              <w:bottom w:val="single" w:sz="4" w:space="0" w:color="auto"/>
              <w:right w:val="single" w:sz="4" w:space="0" w:color="auto"/>
            </w:tcBorders>
          </w:tcPr>
          <w:p w14:paraId="0E3C8334" w14:textId="77777777" w:rsidR="002D600A" w:rsidRPr="00EF37FA" w:rsidRDefault="002D600A" w:rsidP="002D600A">
            <w:pPr>
              <w:rPr>
                <w:rFonts w:cstheme="minorHAnsi"/>
                <w:sz w:val="18"/>
                <w:szCs w:val="18"/>
                <w:lang w:val="en-US"/>
              </w:rPr>
            </w:pPr>
            <w:r w:rsidRPr="00EF37FA">
              <w:rPr>
                <w:rFonts w:cstheme="minorHAnsi"/>
                <w:sz w:val="18"/>
                <w:szCs w:val="18"/>
                <w:lang w:val="en-US"/>
              </w:rPr>
              <w:t>AST ≥3 x ULN</w:t>
            </w:r>
          </w:p>
        </w:tc>
        <w:tc>
          <w:tcPr>
            <w:tcW w:w="1560" w:type="dxa"/>
            <w:tcBorders>
              <w:top w:val="single" w:sz="4" w:space="0" w:color="auto"/>
              <w:left w:val="single" w:sz="4" w:space="0" w:color="auto"/>
              <w:bottom w:val="single" w:sz="4" w:space="0" w:color="auto"/>
              <w:right w:val="single" w:sz="4" w:space="0" w:color="auto"/>
            </w:tcBorders>
            <w:vAlign w:val="center"/>
          </w:tcPr>
          <w:p w14:paraId="42821EA8" w14:textId="77777777" w:rsidR="002D600A" w:rsidRPr="00980F26" w:rsidRDefault="002D600A" w:rsidP="00323A9E">
            <w:pPr>
              <w:jc w:val="center"/>
              <w:rPr>
                <w:rFonts w:cstheme="minorHAnsi"/>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4DEF8C9" w14:textId="77777777" w:rsidR="002D600A" w:rsidRPr="00980F26" w:rsidRDefault="002D600A" w:rsidP="00323A9E">
            <w:pPr>
              <w:jc w:val="cente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48FB041F"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6CE72D6D" w14:textId="77777777" w:rsidTr="0083768C">
        <w:trPr>
          <w:trHeight w:val="228"/>
        </w:trPr>
        <w:tc>
          <w:tcPr>
            <w:tcW w:w="8789" w:type="dxa"/>
            <w:gridSpan w:val="4"/>
            <w:tcBorders>
              <w:top w:val="single" w:sz="4" w:space="0" w:color="auto"/>
              <w:left w:val="single" w:sz="4" w:space="0" w:color="auto"/>
              <w:bottom w:val="single" w:sz="4" w:space="0" w:color="auto"/>
              <w:right w:val="single" w:sz="4" w:space="0" w:color="auto"/>
            </w:tcBorders>
          </w:tcPr>
          <w:p w14:paraId="23C8E433" w14:textId="77777777" w:rsidR="002D600A" w:rsidRPr="00EF37FA" w:rsidRDefault="002D600A" w:rsidP="002D600A">
            <w:pPr>
              <w:rPr>
                <w:rFonts w:cstheme="minorHAnsi"/>
                <w:b/>
                <w:sz w:val="18"/>
                <w:szCs w:val="18"/>
                <w:lang w:val="en-US"/>
              </w:rPr>
            </w:pPr>
            <w:r w:rsidRPr="00EF37FA">
              <w:rPr>
                <w:rFonts w:cstheme="minorHAnsi"/>
                <w:b/>
                <w:sz w:val="18"/>
                <w:szCs w:val="18"/>
                <w:lang w:val="en-US"/>
              </w:rPr>
              <w:t>Hematology</w:t>
            </w:r>
          </w:p>
        </w:tc>
      </w:tr>
      <w:tr w:rsidR="002D600A" w:rsidRPr="002D600A" w14:paraId="6E881F3E" w14:textId="77777777" w:rsidTr="0083768C">
        <w:trPr>
          <w:trHeight w:val="228"/>
        </w:trPr>
        <w:tc>
          <w:tcPr>
            <w:tcW w:w="3402" w:type="dxa"/>
            <w:tcBorders>
              <w:top w:val="single" w:sz="4" w:space="0" w:color="auto"/>
              <w:left w:val="single" w:sz="4" w:space="0" w:color="auto"/>
              <w:bottom w:val="single" w:sz="4" w:space="0" w:color="auto"/>
              <w:right w:val="single" w:sz="4" w:space="0" w:color="auto"/>
            </w:tcBorders>
          </w:tcPr>
          <w:p w14:paraId="7BC69193" w14:textId="77777777" w:rsidR="002D600A" w:rsidRPr="00EF37FA" w:rsidRDefault="002D600A" w:rsidP="002D600A">
            <w:pPr>
              <w:rPr>
                <w:rFonts w:cstheme="minorHAnsi"/>
                <w:sz w:val="18"/>
                <w:szCs w:val="18"/>
                <w:lang w:val="en-US"/>
              </w:rPr>
            </w:pPr>
            <w:r w:rsidRPr="00EF37FA">
              <w:rPr>
                <w:rFonts w:cstheme="minorHAnsi"/>
                <w:sz w:val="18"/>
                <w:szCs w:val="18"/>
                <w:lang w:val="en-US"/>
              </w:rPr>
              <w:t>Neutropenia &lt;1000 cells/mm</w:t>
            </w:r>
            <w:r w:rsidRPr="00EF37FA">
              <w:rPr>
                <w:rFonts w:cstheme="minorHAnsi"/>
                <w:sz w:val="18"/>
                <w:szCs w:val="18"/>
                <w:vertAlign w:val="superscript"/>
                <w:lang w:val="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0BCBB2A9"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91B36C" w14:textId="77777777" w:rsidR="002D600A" w:rsidRPr="00980F26" w:rsidRDefault="002D600A" w:rsidP="00323A9E">
            <w:pPr>
              <w:jc w:val="center"/>
              <w:rPr>
                <w:rFonts w:cstheme="minorHAnsi"/>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109CE84A"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r>
      <w:tr w:rsidR="002D600A" w:rsidRPr="002D600A" w14:paraId="0EEC8289" w14:textId="77777777" w:rsidTr="0083768C">
        <w:trPr>
          <w:trHeight w:val="241"/>
        </w:trPr>
        <w:tc>
          <w:tcPr>
            <w:tcW w:w="3402" w:type="dxa"/>
            <w:tcBorders>
              <w:top w:val="single" w:sz="4" w:space="0" w:color="auto"/>
              <w:left w:val="single" w:sz="4" w:space="0" w:color="auto"/>
              <w:bottom w:val="single" w:sz="4" w:space="0" w:color="auto"/>
              <w:right w:val="single" w:sz="4" w:space="0" w:color="auto"/>
            </w:tcBorders>
          </w:tcPr>
          <w:p w14:paraId="77238ED9" w14:textId="6644624A" w:rsidR="002D600A" w:rsidRPr="00EF37FA" w:rsidRDefault="002D600A" w:rsidP="002D600A">
            <w:pPr>
              <w:rPr>
                <w:rFonts w:cstheme="minorHAnsi"/>
                <w:sz w:val="18"/>
                <w:szCs w:val="18"/>
                <w:lang w:val="en-US"/>
              </w:rPr>
            </w:pPr>
            <w:r w:rsidRPr="00EF37FA">
              <w:rPr>
                <w:rFonts w:cstheme="minorHAnsi"/>
                <w:sz w:val="18"/>
                <w:szCs w:val="18"/>
                <w:lang w:val="en-US"/>
              </w:rPr>
              <w:t>Thrombocytosis &gt;600,000 cells/mm</w:t>
            </w:r>
            <w:r w:rsidRPr="00EF37FA">
              <w:rPr>
                <w:rFonts w:cstheme="minorHAnsi"/>
                <w:sz w:val="18"/>
                <w:szCs w:val="18"/>
                <w:vertAlign w:val="superscript"/>
                <w:lang w:val="en-US"/>
              </w:rPr>
              <w:t>3</w:t>
            </w:r>
            <w:r w:rsidR="00A84B2D">
              <w:rPr>
                <w:rFonts w:cstheme="minorHAnsi"/>
                <w:sz w:val="18"/>
                <w:szCs w:val="18"/>
                <w:vertAlign w:val="superscript"/>
                <w:lang w:val="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A2C0874" w14:textId="77777777" w:rsidR="002D600A" w:rsidRPr="002D600A" w:rsidRDefault="002D600A" w:rsidP="002D600A">
            <w:pPr>
              <w:rPr>
                <w:rFonts w:cstheme="minorHAnsi"/>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4D1A16" w14:textId="77777777" w:rsidR="002D600A" w:rsidRPr="00980F26" w:rsidRDefault="002D600A" w:rsidP="00323A9E">
            <w:pPr>
              <w:jc w:val="center"/>
              <w:rPr>
                <w:rFonts w:cstheme="minorHAnsi"/>
                <w:bCs/>
                <w:sz w:val="18"/>
                <w:szCs w:val="18"/>
                <w:lang w:val="en-US"/>
              </w:rPr>
            </w:pPr>
            <w:r w:rsidRPr="00980F26">
              <w:rPr>
                <w:rFonts w:cstheme="minorHAnsi"/>
                <w:bCs/>
                <w:sz w:val="18"/>
                <w:szCs w:val="18"/>
                <w:lang w:val="en-US"/>
              </w:rPr>
              <w:t>x</w:t>
            </w:r>
          </w:p>
        </w:tc>
        <w:tc>
          <w:tcPr>
            <w:tcW w:w="2126" w:type="dxa"/>
            <w:tcBorders>
              <w:top w:val="single" w:sz="4" w:space="0" w:color="auto"/>
              <w:left w:val="single" w:sz="4" w:space="0" w:color="auto"/>
              <w:bottom w:val="single" w:sz="4" w:space="0" w:color="auto"/>
              <w:right w:val="single" w:sz="4" w:space="0" w:color="auto"/>
            </w:tcBorders>
            <w:vAlign w:val="center"/>
          </w:tcPr>
          <w:p w14:paraId="06EEB6EE" w14:textId="77777777" w:rsidR="002D600A" w:rsidRPr="00980F26" w:rsidRDefault="002D600A" w:rsidP="00323A9E">
            <w:pPr>
              <w:jc w:val="center"/>
              <w:rPr>
                <w:rFonts w:cstheme="minorHAnsi"/>
                <w:bCs/>
                <w:sz w:val="18"/>
                <w:szCs w:val="18"/>
                <w:lang w:val="en-US"/>
              </w:rPr>
            </w:pPr>
          </w:p>
        </w:tc>
      </w:tr>
    </w:tbl>
    <w:p w14:paraId="642E9EA2" w14:textId="2DD558EE" w:rsidR="00DF576A" w:rsidRDefault="007C3AA1" w:rsidP="007C3AA1">
      <w:pPr>
        <w:pStyle w:val="CDSFootnoteText"/>
        <w:ind w:left="284" w:hanging="142"/>
        <w:rPr>
          <w:rFonts w:asciiTheme="minorHAnsi" w:hAnsiTheme="minorHAnsi" w:cstheme="minorHAnsi"/>
          <w:sz w:val="18"/>
          <w:szCs w:val="18"/>
        </w:rPr>
      </w:pPr>
      <w:proofErr w:type="spellStart"/>
      <w:r w:rsidRPr="00EC003A">
        <w:rPr>
          <w:rFonts w:asciiTheme="minorHAnsi" w:hAnsiTheme="minorHAnsi" w:cstheme="minorHAnsi"/>
          <w:sz w:val="18"/>
          <w:szCs w:val="18"/>
          <w:vertAlign w:val="superscript"/>
        </w:rPr>
        <w:t>a</w:t>
      </w:r>
      <w:proofErr w:type="spellEnd"/>
      <w:r w:rsidRPr="00EC003A">
        <w:rPr>
          <w:rFonts w:asciiTheme="minorHAnsi" w:hAnsiTheme="minorHAnsi" w:cstheme="minorHAnsi"/>
          <w:sz w:val="18"/>
          <w:szCs w:val="18"/>
        </w:rPr>
        <w:tab/>
      </w:r>
      <w:bookmarkStart w:id="72" w:name="_Hlk23320713"/>
      <w:r w:rsidR="00B15327" w:rsidRPr="00645592">
        <w:rPr>
          <w:rFonts w:asciiTheme="minorHAnsi" w:hAnsiTheme="minorHAnsi" w:cstheme="minorHAnsi"/>
          <w:sz w:val="18"/>
          <w:szCs w:val="18"/>
        </w:rPr>
        <w:t>Includes abdominal pain, abdominal pain lower, abdominal pain upper</w:t>
      </w:r>
      <w:r w:rsidR="00B632CE">
        <w:rPr>
          <w:rFonts w:asciiTheme="minorHAnsi" w:hAnsiTheme="minorHAnsi" w:cstheme="minorHAnsi"/>
          <w:sz w:val="18"/>
          <w:szCs w:val="18"/>
        </w:rPr>
        <w:t>.</w:t>
      </w:r>
    </w:p>
    <w:p w14:paraId="3F019106" w14:textId="2BC6CD74" w:rsidR="007C3AA1" w:rsidRPr="00EC003A" w:rsidRDefault="00DF576A" w:rsidP="007C3AA1">
      <w:pPr>
        <w:pStyle w:val="CDSFootnoteText"/>
        <w:ind w:left="284" w:hanging="142"/>
        <w:rPr>
          <w:rFonts w:asciiTheme="minorHAnsi" w:hAnsiTheme="minorHAnsi" w:cstheme="minorHAnsi"/>
          <w:sz w:val="18"/>
          <w:szCs w:val="18"/>
        </w:rPr>
      </w:pPr>
      <w:r w:rsidRPr="00DF576A">
        <w:rPr>
          <w:rFonts w:asciiTheme="minorHAnsi" w:hAnsiTheme="minorHAnsi" w:cstheme="minorHAnsi"/>
          <w:sz w:val="18"/>
          <w:szCs w:val="18"/>
          <w:vertAlign w:val="superscript"/>
        </w:rPr>
        <w:t>b</w:t>
      </w:r>
      <w:r>
        <w:rPr>
          <w:rFonts w:asciiTheme="minorHAnsi" w:hAnsiTheme="minorHAnsi" w:cstheme="minorHAnsi"/>
          <w:sz w:val="18"/>
          <w:szCs w:val="18"/>
        </w:rPr>
        <w:t xml:space="preserve"> </w:t>
      </w:r>
      <w:r w:rsidR="007C3AA1" w:rsidRPr="00EC003A">
        <w:rPr>
          <w:rFonts w:asciiTheme="minorHAnsi" w:hAnsiTheme="minorHAnsi" w:cstheme="minorHAnsi"/>
          <w:sz w:val="18"/>
          <w:szCs w:val="18"/>
        </w:rPr>
        <w:t xml:space="preserve">Includes acute sinusitis, chronic sinusitis, epiglottitis, laryngitis, nasopharyngitis, oropharyngeal pain, pharyngitis, </w:t>
      </w:r>
      <w:proofErr w:type="spellStart"/>
      <w:r w:rsidR="007C3AA1" w:rsidRPr="00EC003A">
        <w:rPr>
          <w:rFonts w:asciiTheme="minorHAnsi" w:hAnsiTheme="minorHAnsi" w:cstheme="minorHAnsi"/>
          <w:sz w:val="18"/>
          <w:szCs w:val="18"/>
        </w:rPr>
        <w:t>pharyngotonsillitis</w:t>
      </w:r>
      <w:proofErr w:type="spellEnd"/>
      <w:r w:rsidR="007C3AA1" w:rsidRPr="00EC003A">
        <w:rPr>
          <w:rFonts w:asciiTheme="minorHAnsi" w:hAnsiTheme="minorHAnsi" w:cstheme="minorHAnsi"/>
          <w:sz w:val="18"/>
          <w:szCs w:val="18"/>
        </w:rPr>
        <w:t xml:space="preserve">, rhinitis, </w:t>
      </w:r>
      <w:proofErr w:type="spellStart"/>
      <w:r w:rsidR="00C70BCC">
        <w:rPr>
          <w:rFonts w:asciiTheme="minorHAnsi" w:hAnsiTheme="minorHAnsi" w:cstheme="minorHAnsi"/>
          <w:sz w:val="18"/>
          <w:szCs w:val="18"/>
        </w:rPr>
        <w:t>sinobronchitis</w:t>
      </w:r>
      <w:proofErr w:type="spellEnd"/>
      <w:r w:rsidR="00C70BCC">
        <w:rPr>
          <w:rFonts w:asciiTheme="minorHAnsi" w:hAnsiTheme="minorHAnsi" w:cstheme="minorHAnsi"/>
          <w:sz w:val="18"/>
          <w:szCs w:val="18"/>
        </w:rPr>
        <w:t xml:space="preserve">, </w:t>
      </w:r>
      <w:r w:rsidR="007C3AA1" w:rsidRPr="00EC003A">
        <w:rPr>
          <w:rFonts w:asciiTheme="minorHAnsi" w:hAnsiTheme="minorHAnsi" w:cstheme="minorHAnsi"/>
          <w:sz w:val="18"/>
          <w:szCs w:val="18"/>
        </w:rPr>
        <w:t>sinusitis, tonsillitis,</w:t>
      </w:r>
      <w:r w:rsidR="00B05165">
        <w:rPr>
          <w:rFonts w:asciiTheme="minorHAnsi" w:hAnsiTheme="minorHAnsi" w:cstheme="minorHAnsi"/>
          <w:sz w:val="18"/>
          <w:szCs w:val="18"/>
        </w:rPr>
        <w:t xml:space="preserve"> </w:t>
      </w:r>
      <w:proofErr w:type="spellStart"/>
      <w:r w:rsidR="007C3AA1" w:rsidRPr="00EC003A">
        <w:rPr>
          <w:rFonts w:asciiTheme="minorHAnsi" w:hAnsiTheme="minorHAnsi" w:cstheme="minorHAnsi"/>
          <w:sz w:val="18"/>
          <w:szCs w:val="18"/>
        </w:rPr>
        <w:t>tracheitis</w:t>
      </w:r>
      <w:proofErr w:type="spellEnd"/>
      <w:r w:rsidR="007C3AA1" w:rsidRPr="00EC003A">
        <w:rPr>
          <w:rFonts w:asciiTheme="minorHAnsi" w:hAnsiTheme="minorHAnsi" w:cstheme="minorHAnsi"/>
          <w:sz w:val="18"/>
          <w:szCs w:val="18"/>
        </w:rPr>
        <w:t>, upper respiratory tract infection.</w:t>
      </w:r>
      <w:bookmarkEnd w:id="72"/>
    </w:p>
    <w:p w14:paraId="3A257782" w14:textId="079107AE" w:rsidR="007C3AA1" w:rsidRPr="00EC003A" w:rsidRDefault="00FD3390" w:rsidP="007C3AA1">
      <w:pPr>
        <w:pStyle w:val="CDSFootnoteText"/>
        <w:ind w:left="284" w:hanging="142"/>
        <w:rPr>
          <w:rFonts w:asciiTheme="minorHAnsi" w:hAnsiTheme="minorHAnsi" w:cstheme="minorHAnsi"/>
          <w:sz w:val="18"/>
          <w:szCs w:val="18"/>
        </w:rPr>
      </w:pPr>
      <w:r>
        <w:rPr>
          <w:rFonts w:asciiTheme="minorHAnsi" w:hAnsiTheme="minorHAnsi" w:cstheme="minorHAnsi"/>
          <w:sz w:val="18"/>
          <w:szCs w:val="18"/>
          <w:vertAlign w:val="superscript"/>
        </w:rPr>
        <w:t>c</w:t>
      </w:r>
      <w:r w:rsidR="007C3AA1" w:rsidRPr="00EC003A">
        <w:rPr>
          <w:rFonts w:asciiTheme="minorHAnsi" w:hAnsiTheme="minorHAnsi" w:cstheme="minorHAnsi"/>
          <w:sz w:val="18"/>
          <w:szCs w:val="18"/>
        </w:rPr>
        <w:tab/>
        <w:t xml:space="preserve">Includes eczema </w:t>
      </w:r>
      <w:proofErr w:type="spellStart"/>
      <w:r w:rsidR="007C3AA1" w:rsidRPr="00EC003A">
        <w:rPr>
          <w:rFonts w:asciiTheme="minorHAnsi" w:hAnsiTheme="minorHAnsi" w:cstheme="minorHAnsi"/>
          <w:sz w:val="18"/>
          <w:szCs w:val="18"/>
        </w:rPr>
        <w:t>herpeticum</w:t>
      </w:r>
      <w:proofErr w:type="spellEnd"/>
      <w:r w:rsidR="007C3AA1" w:rsidRPr="00EC003A">
        <w:rPr>
          <w:rFonts w:asciiTheme="minorHAnsi" w:hAnsiTheme="minorHAnsi" w:cstheme="minorHAnsi"/>
          <w:sz w:val="18"/>
          <w:szCs w:val="18"/>
        </w:rPr>
        <w:t xml:space="preserve">, herpes simplex, Kaposi’s </w:t>
      </w:r>
      <w:proofErr w:type="spellStart"/>
      <w:r w:rsidR="007C3AA1" w:rsidRPr="00EC003A">
        <w:rPr>
          <w:rFonts w:asciiTheme="minorHAnsi" w:hAnsiTheme="minorHAnsi" w:cstheme="minorHAnsi"/>
          <w:sz w:val="18"/>
          <w:szCs w:val="18"/>
        </w:rPr>
        <w:t>varicelliform</w:t>
      </w:r>
      <w:proofErr w:type="spellEnd"/>
      <w:r w:rsidR="007C3AA1" w:rsidRPr="00EC003A">
        <w:rPr>
          <w:rFonts w:asciiTheme="minorHAnsi" w:hAnsiTheme="minorHAnsi" w:cstheme="minorHAnsi"/>
          <w:sz w:val="18"/>
          <w:szCs w:val="18"/>
        </w:rPr>
        <w:t xml:space="preserve"> eruption, </w:t>
      </w:r>
      <w:r w:rsidR="00EC22BE">
        <w:rPr>
          <w:rFonts w:asciiTheme="minorHAnsi" w:hAnsiTheme="minorHAnsi" w:cstheme="minorHAnsi"/>
          <w:sz w:val="18"/>
          <w:szCs w:val="18"/>
        </w:rPr>
        <w:t>genital herpes, genital herpes simplex,</w:t>
      </w:r>
      <w:r w:rsidR="00EC22BE" w:rsidRPr="00EC003A">
        <w:rPr>
          <w:rFonts w:asciiTheme="minorHAnsi" w:hAnsiTheme="minorHAnsi" w:cstheme="minorHAnsi"/>
          <w:sz w:val="18"/>
          <w:szCs w:val="18"/>
        </w:rPr>
        <w:t xml:space="preserve"> </w:t>
      </w:r>
      <w:r w:rsidR="007C3AA1" w:rsidRPr="00EC003A">
        <w:rPr>
          <w:rFonts w:asciiTheme="minorHAnsi" w:hAnsiTheme="minorHAnsi" w:cstheme="minorHAnsi"/>
          <w:sz w:val="18"/>
          <w:szCs w:val="18"/>
        </w:rPr>
        <w:t>ophthalmic herpes simplex, oral herpes.</w:t>
      </w:r>
    </w:p>
    <w:p w14:paraId="399E91E0" w14:textId="61E05C8D" w:rsidR="00BC52DC" w:rsidRDefault="00FD3390" w:rsidP="00BC52DC">
      <w:pPr>
        <w:pStyle w:val="CDSFootnoteText"/>
        <w:ind w:left="284" w:hanging="142"/>
        <w:rPr>
          <w:rFonts w:asciiTheme="minorHAnsi" w:hAnsiTheme="minorHAnsi" w:cstheme="minorHAnsi"/>
          <w:sz w:val="18"/>
          <w:szCs w:val="18"/>
        </w:rPr>
      </w:pPr>
      <w:r>
        <w:rPr>
          <w:rFonts w:asciiTheme="minorHAnsi" w:hAnsiTheme="minorHAnsi" w:cstheme="minorHAnsi"/>
          <w:sz w:val="18"/>
          <w:szCs w:val="18"/>
          <w:vertAlign w:val="superscript"/>
        </w:rPr>
        <w:t>d</w:t>
      </w:r>
      <w:r w:rsidR="007C3AA1" w:rsidRPr="00EC003A">
        <w:rPr>
          <w:rFonts w:asciiTheme="minorHAnsi" w:hAnsiTheme="minorHAnsi" w:cstheme="minorHAnsi"/>
          <w:sz w:val="18"/>
          <w:szCs w:val="18"/>
        </w:rPr>
        <w:tab/>
      </w:r>
      <w:bookmarkStart w:id="73" w:name="_Hlk23319473"/>
      <w:r w:rsidR="007C3AA1" w:rsidRPr="00EC003A">
        <w:rPr>
          <w:rFonts w:asciiTheme="minorHAnsi" w:hAnsiTheme="minorHAnsi" w:cstheme="minorHAnsi"/>
          <w:sz w:val="18"/>
          <w:szCs w:val="18"/>
        </w:rPr>
        <w:t xml:space="preserve">Includes dermatitis, </w:t>
      </w:r>
      <w:r w:rsidR="00BF10CF" w:rsidRPr="00EC003A">
        <w:rPr>
          <w:rFonts w:asciiTheme="minorHAnsi" w:hAnsiTheme="minorHAnsi" w:cstheme="minorHAnsi"/>
          <w:sz w:val="18"/>
          <w:szCs w:val="18"/>
        </w:rPr>
        <w:t>dermatitis allergic</w:t>
      </w:r>
      <w:r w:rsidR="00BF10CF">
        <w:rPr>
          <w:rFonts w:asciiTheme="minorHAnsi" w:hAnsiTheme="minorHAnsi" w:cstheme="minorHAnsi"/>
          <w:sz w:val="18"/>
          <w:szCs w:val="18"/>
        </w:rPr>
        <w:t>,</w:t>
      </w:r>
      <w:r w:rsidR="00BF10CF" w:rsidRPr="00BF10CF">
        <w:rPr>
          <w:rFonts w:asciiTheme="minorHAnsi" w:hAnsiTheme="minorHAnsi" w:cstheme="minorHAnsi"/>
          <w:sz w:val="18"/>
          <w:szCs w:val="18"/>
        </w:rPr>
        <w:t xml:space="preserve"> </w:t>
      </w:r>
      <w:r w:rsidR="007C3AA1" w:rsidRPr="00EC003A">
        <w:rPr>
          <w:rFonts w:asciiTheme="minorHAnsi" w:hAnsiTheme="minorHAnsi" w:cstheme="minorHAnsi"/>
          <w:sz w:val="18"/>
          <w:szCs w:val="18"/>
        </w:rPr>
        <w:t xml:space="preserve">dermatitis contact, </w:t>
      </w:r>
      <w:r w:rsidR="00BF10CF" w:rsidRPr="00EC003A">
        <w:rPr>
          <w:rFonts w:asciiTheme="minorHAnsi" w:hAnsiTheme="minorHAnsi" w:cstheme="minorHAnsi"/>
          <w:sz w:val="18"/>
          <w:szCs w:val="18"/>
        </w:rPr>
        <w:t>drug eruption,</w:t>
      </w:r>
      <w:r w:rsidR="00BF10CF">
        <w:rPr>
          <w:rFonts w:asciiTheme="minorHAnsi" w:hAnsiTheme="minorHAnsi" w:cstheme="minorHAnsi"/>
          <w:sz w:val="18"/>
          <w:szCs w:val="18"/>
        </w:rPr>
        <w:t xml:space="preserve"> </w:t>
      </w:r>
      <w:r w:rsidR="007C3AA1" w:rsidRPr="00EC003A">
        <w:rPr>
          <w:rFonts w:asciiTheme="minorHAnsi" w:hAnsiTheme="minorHAnsi" w:cstheme="minorHAnsi"/>
          <w:sz w:val="18"/>
          <w:szCs w:val="18"/>
        </w:rPr>
        <w:t xml:space="preserve">eczema, </w:t>
      </w:r>
      <w:r w:rsidR="00BF10CF" w:rsidRPr="00EC003A">
        <w:rPr>
          <w:rFonts w:asciiTheme="minorHAnsi" w:hAnsiTheme="minorHAnsi" w:cstheme="minorHAnsi"/>
          <w:sz w:val="18"/>
          <w:szCs w:val="18"/>
        </w:rPr>
        <w:t>rash,</w:t>
      </w:r>
      <w:r w:rsidR="007C3AA1" w:rsidRPr="00EC003A">
        <w:rPr>
          <w:rFonts w:asciiTheme="minorHAnsi" w:hAnsiTheme="minorHAnsi" w:cstheme="minorHAnsi"/>
          <w:sz w:val="18"/>
          <w:szCs w:val="18"/>
        </w:rPr>
        <w:t xml:space="preserve"> </w:t>
      </w:r>
      <w:r w:rsidR="00BF10CF" w:rsidRPr="00EC003A">
        <w:rPr>
          <w:rFonts w:asciiTheme="minorHAnsi" w:hAnsiTheme="minorHAnsi" w:cstheme="minorHAnsi"/>
          <w:sz w:val="18"/>
          <w:szCs w:val="18"/>
        </w:rPr>
        <w:t xml:space="preserve">rash erythematous, </w:t>
      </w:r>
      <w:r w:rsidR="00C70BCC" w:rsidRPr="00EC003A">
        <w:rPr>
          <w:rFonts w:asciiTheme="minorHAnsi" w:hAnsiTheme="minorHAnsi" w:cstheme="minorHAnsi"/>
          <w:sz w:val="18"/>
          <w:szCs w:val="18"/>
        </w:rPr>
        <w:t>rash macular</w:t>
      </w:r>
      <w:r w:rsidR="00C70BCC">
        <w:rPr>
          <w:rFonts w:asciiTheme="minorHAnsi" w:hAnsiTheme="minorHAnsi" w:cstheme="minorHAnsi"/>
          <w:sz w:val="18"/>
          <w:szCs w:val="18"/>
        </w:rPr>
        <w:t>,</w:t>
      </w:r>
      <w:r w:rsidR="00C70BCC" w:rsidRPr="00EC003A">
        <w:rPr>
          <w:rFonts w:asciiTheme="minorHAnsi" w:hAnsiTheme="minorHAnsi" w:cstheme="minorHAnsi"/>
          <w:sz w:val="18"/>
          <w:szCs w:val="18"/>
        </w:rPr>
        <w:t xml:space="preserve"> </w:t>
      </w:r>
      <w:r w:rsidR="007C3AA1" w:rsidRPr="00EC003A">
        <w:rPr>
          <w:rFonts w:asciiTheme="minorHAnsi" w:hAnsiTheme="minorHAnsi" w:cstheme="minorHAnsi"/>
          <w:sz w:val="18"/>
          <w:szCs w:val="18"/>
        </w:rPr>
        <w:t xml:space="preserve">rash </w:t>
      </w:r>
      <w:proofErr w:type="spellStart"/>
      <w:r w:rsidR="007C3AA1" w:rsidRPr="00EC003A">
        <w:rPr>
          <w:rFonts w:asciiTheme="minorHAnsi" w:hAnsiTheme="minorHAnsi" w:cstheme="minorHAnsi"/>
          <w:sz w:val="18"/>
          <w:szCs w:val="18"/>
        </w:rPr>
        <w:t>maculo-papular</w:t>
      </w:r>
      <w:proofErr w:type="spellEnd"/>
      <w:r w:rsidR="007C3AA1" w:rsidRPr="00EC003A">
        <w:rPr>
          <w:rFonts w:asciiTheme="minorHAnsi" w:hAnsiTheme="minorHAnsi" w:cstheme="minorHAnsi"/>
          <w:sz w:val="18"/>
          <w:szCs w:val="18"/>
        </w:rPr>
        <w:t>, rash pruritic, rash pustular.</w:t>
      </w:r>
      <w:bookmarkEnd w:id="73"/>
    </w:p>
    <w:p w14:paraId="62F344D8" w14:textId="1A5157CE" w:rsidR="00BC52DC" w:rsidRDefault="00BC52DC" w:rsidP="00BC52DC">
      <w:pPr>
        <w:pStyle w:val="CDSFootnoteText"/>
        <w:ind w:left="284" w:hanging="142"/>
        <w:rPr>
          <w:rFonts w:asciiTheme="minorHAnsi" w:hAnsiTheme="minorHAnsi" w:cstheme="minorHAnsi"/>
          <w:sz w:val="18"/>
          <w:szCs w:val="18"/>
        </w:rPr>
      </w:pPr>
      <w:r>
        <w:rPr>
          <w:rFonts w:asciiTheme="minorHAnsi" w:hAnsiTheme="minorHAnsi" w:cstheme="minorHAnsi"/>
          <w:sz w:val="18"/>
          <w:szCs w:val="18"/>
          <w:vertAlign w:val="superscript"/>
        </w:rPr>
        <w:t xml:space="preserve">e </w:t>
      </w:r>
      <w:r>
        <w:rPr>
          <w:rFonts w:asciiTheme="minorHAnsi" w:hAnsiTheme="minorHAnsi" w:cstheme="minorHAnsi"/>
          <w:sz w:val="18"/>
          <w:szCs w:val="18"/>
        </w:rPr>
        <w:t>Includes acne</w:t>
      </w:r>
      <w:r w:rsidR="00A24E43">
        <w:rPr>
          <w:rFonts w:asciiTheme="minorHAnsi" w:hAnsiTheme="minorHAnsi" w:cstheme="minorHAnsi"/>
          <w:sz w:val="18"/>
          <w:szCs w:val="18"/>
        </w:rPr>
        <w:t xml:space="preserve">, </w:t>
      </w:r>
      <w:r w:rsidR="00F835BD">
        <w:rPr>
          <w:rFonts w:asciiTheme="minorHAnsi" w:hAnsiTheme="minorHAnsi" w:cstheme="minorHAnsi"/>
          <w:sz w:val="18"/>
          <w:szCs w:val="18"/>
        </w:rPr>
        <w:t xml:space="preserve">acne </w:t>
      </w:r>
      <w:proofErr w:type="spellStart"/>
      <w:r w:rsidR="00F835BD">
        <w:rPr>
          <w:rFonts w:asciiTheme="minorHAnsi" w:hAnsiTheme="minorHAnsi" w:cstheme="minorHAnsi"/>
          <w:sz w:val="18"/>
          <w:szCs w:val="18"/>
        </w:rPr>
        <w:t>varioliformis</w:t>
      </w:r>
      <w:proofErr w:type="spellEnd"/>
      <w:r w:rsidR="00F835BD">
        <w:rPr>
          <w:rFonts w:asciiTheme="minorHAnsi" w:hAnsiTheme="minorHAnsi" w:cstheme="minorHAnsi"/>
          <w:sz w:val="18"/>
          <w:szCs w:val="18"/>
        </w:rPr>
        <w:t xml:space="preserve">, </w:t>
      </w:r>
      <w:r w:rsidR="00A24E43">
        <w:rPr>
          <w:rFonts w:asciiTheme="minorHAnsi" w:hAnsiTheme="minorHAnsi" w:cstheme="minorHAnsi"/>
          <w:sz w:val="18"/>
          <w:szCs w:val="18"/>
        </w:rPr>
        <w:t>d</w:t>
      </w:r>
      <w:r w:rsidR="00F86394">
        <w:rPr>
          <w:rFonts w:asciiTheme="minorHAnsi" w:hAnsiTheme="minorHAnsi" w:cstheme="minorHAnsi"/>
          <w:sz w:val="18"/>
          <w:szCs w:val="18"/>
        </w:rPr>
        <w:t>ermatitis acneiform</w:t>
      </w:r>
      <w:r w:rsidR="00C70BCC">
        <w:rPr>
          <w:rFonts w:asciiTheme="minorHAnsi" w:hAnsiTheme="minorHAnsi" w:cstheme="minorHAnsi"/>
          <w:sz w:val="18"/>
          <w:szCs w:val="18"/>
        </w:rPr>
        <w:t>.</w:t>
      </w:r>
    </w:p>
    <w:p w14:paraId="71D93A23" w14:textId="71A9C196" w:rsidR="00323A9E" w:rsidRPr="00BC52DC" w:rsidRDefault="00306D65" w:rsidP="00E45CD6">
      <w:pPr>
        <w:pStyle w:val="CDSFootnoteText"/>
        <w:ind w:left="284" w:hanging="142"/>
        <w:rPr>
          <w:rFonts w:asciiTheme="minorHAnsi" w:hAnsiTheme="minorHAnsi" w:cstheme="minorHAnsi"/>
          <w:sz w:val="18"/>
          <w:szCs w:val="18"/>
        </w:rPr>
      </w:pPr>
      <w:r w:rsidRPr="003D5F30">
        <w:rPr>
          <w:rFonts w:asciiTheme="minorHAnsi" w:hAnsiTheme="minorHAnsi" w:cstheme="minorHAnsi"/>
          <w:sz w:val="18"/>
          <w:szCs w:val="18"/>
          <w:vertAlign w:val="superscript"/>
        </w:rPr>
        <w:t>f</w:t>
      </w:r>
      <w:r>
        <w:rPr>
          <w:rFonts w:asciiTheme="minorHAnsi" w:hAnsiTheme="minorHAnsi" w:cstheme="minorHAnsi"/>
          <w:sz w:val="18"/>
          <w:szCs w:val="18"/>
        </w:rPr>
        <w:t xml:space="preserve"> Includes</w:t>
      </w:r>
      <w:r w:rsidR="00461EC7">
        <w:rPr>
          <w:rFonts w:asciiTheme="minorHAnsi" w:hAnsiTheme="minorHAnsi" w:cstheme="minorHAnsi"/>
          <w:sz w:val="18"/>
          <w:szCs w:val="18"/>
        </w:rPr>
        <w:t xml:space="preserve"> </w:t>
      </w:r>
      <w:r w:rsidR="00F835BD">
        <w:rPr>
          <w:rFonts w:asciiTheme="minorHAnsi" w:hAnsiTheme="minorHAnsi" w:cstheme="minorHAnsi"/>
          <w:sz w:val="18"/>
          <w:szCs w:val="18"/>
        </w:rPr>
        <w:t xml:space="preserve">eye swelling, eyelid </w:t>
      </w:r>
      <w:proofErr w:type="spellStart"/>
      <w:r w:rsidR="00F835BD">
        <w:rPr>
          <w:rFonts w:asciiTheme="minorHAnsi" w:hAnsiTheme="minorHAnsi" w:cstheme="minorHAnsi"/>
          <w:sz w:val="18"/>
          <w:szCs w:val="18"/>
        </w:rPr>
        <w:t>oedema</w:t>
      </w:r>
      <w:proofErr w:type="spellEnd"/>
      <w:r w:rsidR="00F835BD">
        <w:rPr>
          <w:rFonts w:asciiTheme="minorHAnsi" w:hAnsiTheme="minorHAnsi" w:cstheme="minorHAnsi"/>
          <w:sz w:val="18"/>
          <w:szCs w:val="18"/>
        </w:rPr>
        <w:t>,</w:t>
      </w:r>
      <w:r w:rsidR="00C70BCC">
        <w:rPr>
          <w:rFonts w:asciiTheme="minorHAnsi" w:hAnsiTheme="minorHAnsi" w:cstheme="minorHAnsi"/>
          <w:sz w:val="18"/>
          <w:szCs w:val="18"/>
        </w:rPr>
        <w:t xml:space="preserve"> </w:t>
      </w:r>
      <w:r w:rsidR="00F556AA">
        <w:rPr>
          <w:rFonts w:asciiTheme="minorHAnsi" w:hAnsiTheme="minorHAnsi" w:cstheme="minorHAnsi"/>
          <w:sz w:val="18"/>
          <w:szCs w:val="18"/>
        </w:rPr>
        <w:t xml:space="preserve">face </w:t>
      </w:r>
      <w:proofErr w:type="spellStart"/>
      <w:r w:rsidR="00F556AA">
        <w:rPr>
          <w:rFonts w:asciiTheme="minorHAnsi" w:hAnsiTheme="minorHAnsi" w:cstheme="minorHAnsi"/>
          <w:sz w:val="18"/>
          <w:szCs w:val="18"/>
        </w:rPr>
        <w:t>oedema</w:t>
      </w:r>
      <w:proofErr w:type="spellEnd"/>
      <w:r w:rsidR="00F556AA">
        <w:rPr>
          <w:rFonts w:asciiTheme="minorHAnsi" w:hAnsiTheme="minorHAnsi" w:cstheme="minorHAnsi"/>
          <w:sz w:val="18"/>
          <w:szCs w:val="18"/>
        </w:rPr>
        <w:t xml:space="preserve">, </w:t>
      </w:r>
      <w:r w:rsidR="00C5097D">
        <w:rPr>
          <w:rFonts w:asciiTheme="minorHAnsi" w:hAnsiTheme="minorHAnsi" w:cstheme="minorHAnsi"/>
          <w:sz w:val="18"/>
          <w:szCs w:val="18"/>
        </w:rPr>
        <w:t>lip swelling</w:t>
      </w:r>
      <w:r w:rsidR="00F835BD">
        <w:rPr>
          <w:rFonts w:asciiTheme="minorHAnsi" w:hAnsiTheme="minorHAnsi" w:cstheme="minorHAnsi"/>
          <w:sz w:val="18"/>
          <w:szCs w:val="18"/>
        </w:rPr>
        <w:t>, swelling face, swelling of eyelid</w:t>
      </w:r>
      <w:r w:rsidR="00C70BCC">
        <w:rPr>
          <w:rFonts w:asciiTheme="minorHAnsi" w:hAnsiTheme="minorHAnsi" w:cstheme="minorHAnsi"/>
          <w:sz w:val="18"/>
          <w:szCs w:val="18"/>
        </w:rPr>
        <w:t>.</w:t>
      </w:r>
    </w:p>
    <w:p w14:paraId="07CD2BFA" w14:textId="18748BA2" w:rsidR="00A84B2D" w:rsidRPr="00EC003A" w:rsidRDefault="00E45CD6" w:rsidP="00A9347F">
      <w:pPr>
        <w:pStyle w:val="CDSFootnoteText"/>
        <w:ind w:left="284" w:hanging="142"/>
        <w:rPr>
          <w:rFonts w:asciiTheme="minorHAnsi" w:hAnsiTheme="minorHAnsi" w:cstheme="minorHAnsi"/>
          <w:sz w:val="18"/>
          <w:szCs w:val="18"/>
        </w:rPr>
      </w:pPr>
      <w:r>
        <w:rPr>
          <w:rFonts w:asciiTheme="minorHAnsi" w:hAnsiTheme="minorHAnsi" w:cstheme="minorHAnsi"/>
          <w:sz w:val="18"/>
          <w:szCs w:val="18"/>
          <w:vertAlign w:val="superscript"/>
        </w:rPr>
        <w:t>g</w:t>
      </w:r>
      <w:r w:rsidR="007C3AA1" w:rsidRPr="00EC003A">
        <w:rPr>
          <w:rFonts w:asciiTheme="minorHAnsi" w:hAnsiTheme="minorHAnsi" w:cstheme="minorHAnsi"/>
          <w:sz w:val="18"/>
          <w:szCs w:val="18"/>
        </w:rPr>
        <w:tab/>
        <w:t>As assessed by measured values within the clinical trial database. Frequencies are based on shifts from pre-treatment to post-treatment (with number at risk as the denominator), except for ALT and AST for which frequencies are based on observed elevation during treatment.</w:t>
      </w:r>
    </w:p>
    <w:p w14:paraId="16D8E0CE" w14:textId="77777777" w:rsidR="00A9347F" w:rsidRPr="00A9347F" w:rsidRDefault="00A9347F" w:rsidP="00A9347F">
      <w:pPr>
        <w:pStyle w:val="CDSFootnoteText"/>
        <w:ind w:left="284" w:hanging="142"/>
        <w:rPr>
          <w:rFonts w:asciiTheme="minorHAnsi" w:hAnsiTheme="minorHAnsi" w:cstheme="minorHAnsi"/>
          <w:sz w:val="16"/>
          <w:szCs w:val="16"/>
        </w:rPr>
      </w:pPr>
    </w:p>
    <w:p w14:paraId="72A2E132" w14:textId="2A5B05B6" w:rsidR="00A14B15" w:rsidRDefault="00A14B15" w:rsidP="00A14B15">
      <w:r w:rsidRPr="00A14B15">
        <w:t xml:space="preserve">In patients treated with </w:t>
      </w:r>
      <w:r w:rsidR="002E0A5D">
        <w:t>OLUMIANT</w:t>
      </w:r>
      <w:r w:rsidRPr="00A14B15">
        <w:t xml:space="preserve"> in the atopic dermatitis clinical trials, acne and </w:t>
      </w:r>
      <w:proofErr w:type="spellStart"/>
      <w:r w:rsidRPr="00A14B15">
        <w:t>creatine</w:t>
      </w:r>
      <w:proofErr w:type="spellEnd"/>
      <w:r w:rsidRPr="00A14B15">
        <w:t xml:space="preserve"> phosphokinase &gt;5x ULN</w:t>
      </w:r>
      <w:r>
        <w:t xml:space="preserve"> </w:t>
      </w:r>
      <w:r w:rsidRPr="00A14B15">
        <w:t>were common.</w:t>
      </w:r>
      <w:r w:rsidR="001410CA">
        <w:t xml:space="preserve"> The frequency of </w:t>
      </w:r>
      <w:r w:rsidR="001410CA" w:rsidRPr="001410CA">
        <w:t>herpes zoster was very rare and the frequency of thrombocytosis &gt;600 000 cells/mm</w:t>
      </w:r>
      <w:r w:rsidR="001410CA" w:rsidRPr="00A9347F">
        <w:rPr>
          <w:vertAlign w:val="superscript"/>
        </w:rPr>
        <w:t>3</w:t>
      </w:r>
      <w:r w:rsidR="001410CA" w:rsidRPr="001410CA">
        <w:t>, nausea and ALT ≥3 x ULN was uncommon.</w:t>
      </w:r>
      <w:bookmarkEnd w:id="69"/>
    </w:p>
    <w:p w14:paraId="4D9C65AE" w14:textId="051F3FF8" w:rsidR="00322DC5" w:rsidRPr="00625B9E" w:rsidRDefault="00322DC5" w:rsidP="00EA2F85">
      <w:pPr>
        <w:pStyle w:val="Heading4"/>
      </w:pPr>
      <w:r w:rsidRPr="00625B9E">
        <w:t>Description of selected adverse reactions</w:t>
      </w:r>
      <w:r w:rsidR="00510127">
        <w:t xml:space="preserve"> – Rheumatoid Arthritis</w:t>
      </w:r>
    </w:p>
    <w:p w14:paraId="03F5A4DF" w14:textId="77777777" w:rsidR="00556764" w:rsidRPr="00625B9E" w:rsidRDefault="00556764" w:rsidP="000C1180">
      <w:pPr>
        <w:pStyle w:val="Heading5"/>
      </w:pPr>
      <w:bookmarkStart w:id="74" w:name="_Infections"/>
      <w:bookmarkEnd w:id="74"/>
      <w:r w:rsidRPr="00625B9E">
        <w:t>Infections</w:t>
      </w:r>
    </w:p>
    <w:p w14:paraId="01C2BEA1" w14:textId="226A79F4" w:rsidR="00556764" w:rsidRPr="00625B9E" w:rsidRDefault="00556764" w:rsidP="00556764">
      <w:r w:rsidRPr="00625B9E">
        <w:t xml:space="preserve">Events related to upper respiratory tract infections, herpes simplex, and herpes zoster were commonly observed during controlled clinical trials. Most infections (as observed in 95% of patients reporting an infection) were mild to moderate in severity. </w:t>
      </w:r>
    </w:p>
    <w:p w14:paraId="2825C79E" w14:textId="3DD914B9" w:rsidR="0067737C" w:rsidRDefault="00556764" w:rsidP="00556764">
      <w:r w:rsidRPr="00625B9E">
        <w:t>Serious infections occurred in 1.0% of patients treated with OLUMIANT 4</w:t>
      </w:r>
      <w:r w:rsidR="007F7D04" w:rsidRPr="00625B9E">
        <w:t> </w:t>
      </w:r>
      <w:r w:rsidRPr="00625B9E">
        <w:t>mg (6 study dataset), 1.3% with OLUMIANT 2</w:t>
      </w:r>
      <w:r w:rsidR="007F7D04" w:rsidRPr="00625B9E">
        <w:t> </w:t>
      </w:r>
      <w:r w:rsidRPr="00625B9E">
        <w:t>mg (4 study dataset) and 1.0% of patients treated with placebo (6 study dataset) during the initial 12 week period. In RA-BEGIN, the serious infection rate during the 24 week treatment period was 1.3% with OLUMIANT 4</w:t>
      </w:r>
      <w:r w:rsidR="007F7D04" w:rsidRPr="00625B9E">
        <w:t> </w:t>
      </w:r>
      <w:r w:rsidRPr="00625B9E">
        <w:t>mg monotherapy, 1.9% with OLUMIANT 4</w:t>
      </w:r>
      <w:r w:rsidR="007F7D04" w:rsidRPr="00625B9E">
        <w:t> </w:t>
      </w:r>
      <w:r w:rsidRPr="00625B9E">
        <w:t xml:space="preserve">mg plus </w:t>
      </w:r>
      <w:r w:rsidRPr="00625B9E">
        <w:lastRenderedPageBreak/>
        <w:t>methotrexate, and 1.4% with methotrexate monotherapy. The most common serious infections were herpes zoster and cellulitis.</w:t>
      </w:r>
    </w:p>
    <w:p w14:paraId="5A4AFC4F" w14:textId="77777777" w:rsidR="003179CC" w:rsidRPr="003179CC" w:rsidRDefault="003179CC" w:rsidP="000C1180">
      <w:pPr>
        <w:pStyle w:val="Heading5"/>
      </w:pPr>
      <w:r w:rsidRPr="003179CC">
        <w:t>Nausea</w:t>
      </w:r>
    </w:p>
    <w:p w14:paraId="09BE37E5" w14:textId="4464E823" w:rsidR="003179CC" w:rsidRPr="00625B9E" w:rsidRDefault="003179CC" w:rsidP="00556764">
      <w:r>
        <w:t>In treatment-naïve patients, through 52 weeks, the frequency of nausea was greater for the combination treatment of methotrexate and OLUMIANT (9.3%) compared to methotrexate alone (6.2%) or OLUMIANT alone (4.4%). Nausea was most frequent during the first 2 weeks of treatment.</w:t>
      </w:r>
      <w:r w:rsidR="001E6D20">
        <w:t xml:space="preserve"> </w:t>
      </w:r>
    </w:p>
    <w:p w14:paraId="617313D2" w14:textId="7F4F9E21" w:rsidR="00556764" w:rsidRPr="00625B9E" w:rsidRDefault="00556764" w:rsidP="00556764">
      <w:pPr>
        <w:rPr>
          <w:i/>
        </w:rPr>
      </w:pPr>
      <w:r w:rsidRPr="00625B9E">
        <w:rPr>
          <w:i/>
        </w:rPr>
        <w:t>Laboratory Parameters</w:t>
      </w:r>
    </w:p>
    <w:p w14:paraId="16CC5202" w14:textId="77777777" w:rsidR="00556764" w:rsidRPr="00625B9E" w:rsidRDefault="00556764" w:rsidP="000C1180">
      <w:pPr>
        <w:pStyle w:val="Heading5"/>
      </w:pPr>
      <w:r w:rsidRPr="00625B9E">
        <w:t>Neutropenia</w:t>
      </w:r>
    </w:p>
    <w:p w14:paraId="3772CDBA" w14:textId="77777777" w:rsidR="00AA2C34" w:rsidRPr="00625B9E" w:rsidRDefault="00AA2C34" w:rsidP="00AA2C34">
      <w:r w:rsidRPr="00625B9E">
        <w:t>In controlled clinical trials, neutrophil counts below 1000 cells/mm</w:t>
      </w:r>
      <w:r w:rsidRPr="00625B9E">
        <w:rPr>
          <w:vertAlign w:val="superscript"/>
        </w:rPr>
        <w:t>3</w:t>
      </w:r>
      <w:r w:rsidRPr="00625B9E">
        <w:t xml:space="preserve"> occurred in 0.3% of patients treated with OLUMIANT</w:t>
      </w:r>
      <w:r w:rsidRPr="00625B9E" w:rsidDel="00B70F42">
        <w:t xml:space="preserve"> </w:t>
      </w:r>
      <w:r w:rsidRPr="00625B9E">
        <w:t>4 mg, 0.6% of patients treated with OLUMIANT</w:t>
      </w:r>
      <w:r w:rsidRPr="00625B9E" w:rsidDel="00B70F42">
        <w:t xml:space="preserve"> </w:t>
      </w:r>
      <w:r w:rsidRPr="00625B9E">
        <w:t>2 mg, and 0% of patients treated with placebo during the initial 12 week treatment period. In RA-BEGIN, decreases in neutrophil counts below 1000 cells/mm</w:t>
      </w:r>
      <w:r w:rsidRPr="00625B9E">
        <w:rPr>
          <w:vertAlign w:val="superscript"/>
        </w:rPr>
        <w:t>3</w:t>
      </w:r>
      <w:r w:rsidRPr="00625B9E">
        <w:t xml:space="preserve"> during the 24 week treatment period did not occur in any patient treated with OLUMIANT</w:t>
      </w:r>
      <w:r w:rsidRPr="00625B9E" w:rsidDel="00B70F42">
        <w:t xml:space="preserve"> </w:t>
      </w:r>
      <w:r w:rsidRPr="00625B9E">
        <w:t>4 mg monotherapy, with OLUMIANT</w:t>
      </w:r>
      <w:r w:rsidRPr="00625B9E" w:rsidDel="00B70F42">
        <w:t xml:space="preserve"> </w:t>
      </w:r>
      <w:r w:rsidRPr="00625B9E">
        <w:t>4 mg plus methotrexate, or with methotrexate monotherapy. In the all-exposure population, the pattern and incidence of decreases in neutrophil counts remained consistent with observations in the controlled periods of the studies.</w:t>
      </w:r>
    </w:p>
    <w:p w14:paraId="4A4B187C" w14:textId="3C1D0BE0" w:rsidR="00AA2C34" w:rsidRPr="00625B9E" w:rsidRDefault="00AA2C34" w:rsidP="00AA2C34">
      <w:r w:rsidRPr="00625B9E">
        <w:t>No association was observed between decreases in neutrophil counts and the occurrence of serious infections. In clinical studies, treatment was interrupted in response to absolute neutrophil counts &lt;1000 cells/mm</w:t>
      </w:r>
      <w:r w:rsidRPr="00625B9E">
        <w:rPr>
          <w:vertAlign w:val="superscript"/>
        </w:rPr>
        <w:t>3</w:t>
      </w:r>
      <w:r w:rsidRPr="00625B9E">
        <w:t xml:space="preserve"> (</w:t>
      </w:r>
      <w:r w:rsidRPr="009B199C">
        <w:t>see</w:t>
      </w:r>
      <w:r w:rsidR="00625B9E" w:rsidRPr="009B199C">
        <w:t xml:space="preserve"> section 4.4</w:t>
      </w:r>
      <w:r w:rsidR="00567E45">
        <w:t xml:space="preserve"> SPECIAL WARNINGS AND PRECAUTIONS FOR USE </w:t>
      </w:r>
      <w:r w:rsidRPr="009B199C">
        <w:t>).</w:t>
      </w:r>
    </w:p>
    <w:p w14:paraId="3DF72490" w14:textId="77777777" w:rsidR="00556764" w:rsidRPr="00625B9E" w:rsidRDefault="00556764" w:rsidP="000C1180">
      <w:pPr>
        <w:pStyle w:val="Heading5"/>
      </w:pPr>
      <w:r w:rsidRPr="00625B9E">
        <w:t>Thrombocytosis</w:t>
      </w:r>
    </w:p>
    <w:p w14:paraId="4D428825" w14:textId="77777777" w:rsidR="00AA2C34" w:rsidRPr="00625B9E" w:rsidRDefault="00AA2C34" w:rsidP="00AA2C34">
      <w:pPr>
        <w:rPr>
          <w:lang w:val="en-US"/>
        </w:rPr>
      </w:pPr>
      <w:r w:rsidRPr="00625B9E">
        <w:rPr>
          <w:lang w:val="en-US"/>
        </w:rPr>
        <w:t>In controlled clinical trials, increases in platelet counts above 600,000 cells/mm</w:t>
      </w:r>
      <w:r w:rsidRPr="00625B9E">
        <w:rPr>
          <w:vertAlign w:val="superscript"/>
          <w:lang w:val="en-US"/>
        </w:rPr>
        <w:t>3</w:t>
      </w:r>
      <w:r w:rsidRPr="00625B9E">
        <w:rPr>
          <w:lang w:val="en-US"/>
        </w:rPr>
        <w:t xml:space="preserve"> occurred in 1.7% of patients treated with </w:t>
      </w:r>
      <w:r w:rsidRPr="00625B9E">
        <w:t>OLUMIANT</w:t>
      </w:r>
      <w:r w:rsidRPr="00625B9E" w:rsidDel="00B70F42">
        <w:rPr>
          <w:lang w:val="en-US"/>
        </w:rPr>
        <w:t xml:space="preserve"> </w:t>
      </w:r>
      <w:r w:rsidRPr="00625B9E">
        <w:rPr>
          <w:lang w:val="en-US"/>
        </w:rPr>
        <w:t xml:space="preserve">4 mg, 1.1% of patients treated with </w:t>
      </w:r>
      <w:r w:rsidRPr="00625B9E">
        <w:t>OLUMIANT</w:t>
      </w:r>
      <w:r w:rsidRPr="00625B9E" w:rsidDel="00B70F42">
        <w:t xml:space="preserve"> </w:t>
      </w:r>
      <w:r w:rsidRPr="00625B9E">
        <w:rPr>
          <w:lang w:val="en-US"/>
        </w:rPr>
        <w:t>2 mg, and 0.9% of patients treated with placebo during the 12 week treatment period. In RA-BEGIN, increases in platelet counts above 600,000 cells/mm</w:t>
      </w:r>
      <w:r w:rsidRPr="00625B9E">
        <w:rPr>
          <w:vertAlign w:val="superscript"/>
          <w:lang w:val="en-US"/>
        </w:rPr>
        <w:t>3</w:t>
      </w:r>
      <w:r w:rsidRPr="00625B9E">
        <w:rPr>
          <w:lang w:val="en-US"/>
        </w:rPr>
        <w:t xml:space="preserve"> during the 24 week treatment period occurred in 2.6% of patients treated with </w:t>
      </w:r>
      <w:r w:rsidRPr="00625B9E">
        <w:t>OLUMIANT</w:t>
      </w:r>
      <w:r w:rsidRPr="00625B9E" w:rsidDel="00B70F42">
        <w:rPr>
          <w:lang w:val="en-US"/>
        </w:rPr>
        <w:t xml:space="preserve"> </w:t>
      </w:r>
      <w:r w:rsidRPr="00625B9E">
        <w:rPr>
          <w:lang w:val="en-US"/>
        </w:rPr>
        <w:t xml:space="preserve">4 mg monotherapy, 1.9% of patients treated with </w:t>
      </w:r>
      <w:r w:rsidRPr="00625B9E">
        <w:t>OLUMIANT</w:t>
      </w:r>
      <w:r w:rsidRPr="00625B9E" w:rsidDel="00B70F42">
        <w:rPr>
          <w:lang w:val="en-US"/>
        </w:rPr>
        <w:t xml:space="preserve"> </w:t>
      </w:r>
      <w:r w:rsidRPr="00625B9E">
        <w:rPr>
          <w:lang w:val="en-US"/>
        </w:rPr>
        <w:t>4 mg plus methotrexate, and 2.4% of patients treated with methotrexate monotherapy.</w:t>
      </w:r>
    </w:p>
    <w:p w14:paraId="0C6DD97F" w14:textId="77777777" w:rsidR="00AA2C34" w:rsidRPr="00625B9E" w:rsidRDefault="00AA2C34" w:rsidP="00AA2C34">
      <w:pPr>
        <w:rPr>
          <w:lang w:val="en-US"/>
        </w:rPr>
      </w:pPr>
      <w:r w:rsidRPr="00625B9E">
        <w:rPr>
          <w:lang w:val="en-US"/>
        </w:rPr>
        <w:t xml:space="preserve">In the all exposure population, the pattern and incidence of increases in platelet counts remained consistent with observations in the controlled periods of the studies. </w:t>
      </w:r>
    </w:p>
    <w:p w14:paraId="6D3D9FBF" w14:textId="77777777" w:rsidR="00556764" w:rsidRPr="00625B9E" w:rsidRDefault="00556764" w:rsidP="000C1180">
      <w:pPr>
        <w:pStyle w:val="Heading5"/>
      </w:pPr>
      <w:r w:rsidRPr="00625B9E">
        <w:t>Liver Enzyme Elevations</w:t>
      </w:r>
    </w:p>
    <w:p w14:paraId="70264E95" w14:textId="77777777" w:rsidR="00AA2C34" w:rsidRPr="00625B9E" w:rsidRDefault="00AA2C34" w:rsidP="00AA2C34">
      <w:pPr>
        <w:rPr>
          <w:lang w:val="en-US"/>
        </w:rPr>
      </w:pPr>
      <w:r w:rsidRPr="00625B9E">
        <w:rPr>
          <w:lang w:val="en-US"/>
        </w:rPr>
        <w:t xml:space="preserve">Events of increases in liver enzymes ≥3x ULN were observed in patients treated with OLUMIANT. </w:t>
      </w:r>
    </w:p>
    <w:p w14:paraId="08A18F10" w14:textId="77777777" w:rsidR="00AA2C34" w:rsidRPr="00625B9E" w:rsidRDefault="00AA2C34" w:rsidP="00AA2C34">
      <w:pPr>
        <w:rPr>
          <w:lang w:val="en-US"/>
        </w:rPr>
      </w:pPr>
      <w:r w:rsidRPr="00625B9E">
        <w:rPr>
          <w:lang w:val="en-US"/>
        </w:rPr>
        <w:t>ALT elevations ≥3x ULN during the 12 week treatment period occurred in 1.3% of patients treated with OLUMIANT</w:t>
      </w:r>
      <w:r w:rsidRPr="00625B9E" w:rsidDel="00B70F42">
        <w:rPr>
          <w:lang w:val="en-US"/>
        </w:rPr>
        <w:t xml:space="preserve"> </w:t>
      </w:r>
      <w:r w:rsidRPr="00625B9E">
        <w:rPr>
          <w:lang w:val="en-US"/>
        </w:rPr>
        <w:t>4 mg, 1.5% with OLUMIANT</w:t>
      </w:r>
      <w:r w:rsidRPr="00625B9E" w:rsidDel="00B70F42">
        <w:rPr>
          <w:lang w:val="en-US"/>
        </w:rPr>
        <w:t xml:space="preserve"> </w:t>
      </w:r>
      <w:r w:rsidRPr="00625B9E">
        <w:rPr>
          <w:lang w:val="en-US"/>
        </w:rPr>
        <w:t>2 mg, and 1.0% with placebo.</w:t>
      </w:r>
    </w:p>
    <w:p w14:paraId="38F9FFB3" w14:textId="77777777" w:rsidR="00AA2C34" w:rsidRPr="00625B9E" w:rsidRDefault="00AA2C34" w:rsidP="00AA2C34">
      <w:pPr>
        <w:rPr>
          <w:lang w:val="en-US"/>
        </w:rPr>
      </w:pPr>
      <w:r w:rsidRPr="00625B9E">
        <w:rPr>
          <w:lang w:val="en-US"/>
        </w:rPr>
        <w:t>AST elevations ≥3x ULN during the 12 week treatment period occurred in 0.7% of patients treated with OLUMIANT</w:t>
      </w:r>
      <w:r w:rsidRPr="00625B9E" w:rsidDel="00B70F42">
        <w:rPr>
          <w:lang w:val="en-US"/>
        </w:rPr>
        <w:t xml:space="preserve"> </w:t>
      </w:r>
      <w:r w:rsidRPr="00625B9E">
        <w:rPr>
          <w:lang w:val="en-US"/>
        </w:rPr>
        <w:t>4 mg, 1.0% with OLUMIANT</w:t>
      </w:r>
      <w:r w:rsidRPr="00625B9E" w:rsidDel="00B70F42">
        <w:rPr>
          <w:lang w:val="en-US"/>
        </w:rPr>
        <w:t xml:space="preserve"> </w:t>
      </w:r>
      <w:r w:rsidRPr="00625B9E">
        <w:rPr>
          <w:lang w:val="en-US"/>
        </w:rPr>
        <w:t>2 mg, and 0.8% of patients receiving placebo.</w:t>
      </w:r>
    </w:p>
    <w:p w14:paraId="69D35A47" w14:textId="5DE0F5C7" w:rsidR="00AA2C34" w:rsidRPr="00625B9E" w:rsidRDefault="00AA2C34" w:rsidP="00AA2C34">
      <w:r w:rsidRPr="00625B9E">
        <w:lastRenderedPageBreak/>
        <w:t>In RA-BEGIN, ALT and AST elevations ≥3x ULN during the 24 week treatment period occurred in 1.9% and 1.3% of patients treated with OLUMIANT</w:t>
      </w:r>
      <w:r w:rsidRPr="00625B9E" w:rsidDel="00B70F42">
        <w:t xml:space="preserve"> </w:t>
      </w:r>
      <w:r w:rsidRPr="00625B9E">
        <w:t>4 mg monotherapy, 4.7% and 1.9% of patients treated with OLUMIANT</w:t>
      </w:r>
      <w:r w:rsidRPr="00625B9E" w:rsidDel="00B70F42">
        <w:t xml:space="preserve"> </w:t>
      </w:r>
      <w:r w:rsidRPr="00625B9E">
        <w:t>4 mg plus methotrexate, and 1.9% and 0% of patients treated with methotrexate monotherapy (see</w:t>
      </w:r>
      <w:r w:rsidR="00625B9E">
        <w:t xml:space="preserve"> section 4.4</w:t>
      </w:r>
      <w:r w:rsidR="00AD3F5C">
        <w:t xml:space="preserve"> SPECIAL WARNINGS AND PRECAUTIONS FOR USE</w:t>
      </w:r>
      <w:r w:rsidR="009B199C">
        <w:t>)</w:t>
      </w:r>
      <w:r w:rsidRPr="00625B9E">
        <w:t>.</w:t>
      </w:r>
    </w:p>
    <w:p w14:paraId="6C3B5757" w14:textId="77777777" w:rsidR="00556764" w:rsidRPr="00625B9E" w:rsidRDefault="00556764" w:rsidP="000C1180">
      <w:pPr>
        <w:pStyle w:val="Heading5"/>
      </w:pPr>
      <w:bookmarkStart w:id="75" w:name="_Lipids"/>
      <w:bookmarkEnd w:id="75"/>
      <w:r w:rsidRPr="00625B9E">
        <w:t>Lipids</w:t>
      </w:r>
    </w:p>
    <w:p w14:paraId="3B92A6FB" w14:textId="41CEB32A" w:rsidR="00AA2C34" w:rsidRPr="00625B9E" w:rsidRDefault="00AA2C34" w:rsidP="00AA2C34">
      <w:r w:rsidRPr="00625B9E">
        <w:t>In controlled clinical trials, OLUMIANT</w:t>
      </w:r>
      <w:r w:rsidRPr="00625B9E" w:rsidDel="00B70F42">
        <w:t xml:space="preserve"> </w:t>
      </w:r>
      <w:r w:rsidRPr="00625B9E">
        <w:t>treatment was associated with increases in lipid parameters including total cholesterol, triglycerides, LDL cholesterol, and HDL cholesterol. Elevations were observed at 12 weeks and remained stable thereafter. During 12 weeks of treatment, 33.7% of patients treated with OLUMIANT 4 mg, 20.3 % of patients treated with OLUMIANT 2 mg and 11.3 % of patients treated with placebo developed LDL-C ≥3.36 </w:t>
      </w:r>
      <w:proofErr w:type="spellStart"/>
      <w:r w:rsidRPr="00625B9E">
        <w:t>mmol</w:t>
      </w:r>
      <w:proofErr w:type="spellEnd"/>
      <w:r w:rsidRPr="00625B9E">
        <w:t>/L.</w:t>
      </w:r>
    </w:p>
    <w:p w14:paraId="041CC720" w14:textId="77777777" w:rsidR="00AA2C34" w:rsidRPr="00625B9E" w:rsidRDefault="00AA2C34" w:rsidP="00AA2C34">
      <w:r w:rsidRPr="00625B9E">
        <w:t>Elevations in LDL cholesterol decreased to pre-treatment levels in response to statin therapy.</w:t>
      </w:r>
    </w:p>
    <w:p w14:paraId="0C4F314C" w14:textId="648D63AB" w:rsidR="00953A6B" w:rsidRPr="00625B9E" w:rsidRDefault="00AA2C34" w:rsidP="00AA2C34">
      <w:r w:rsidRPr="00625B9E">
        <w:t>While increases were observed in LDL and triglycerides, the mean LDL/HDL ratio remained stable. In the all-exposure population,</w:t>
      </w:r>
      <w:r w:rsidRPr="00625B9E" w:rsidDel="00DA1493">
        <w:t xml:space="preserve"> </w:t>
      </w:r>
      <w:r w:rsidRPr="00625B9E">
        <w:t xml:space="preserve">the pattern and incidence of increases in LDL and triglycerides remained consistent with observations in the controlled periods of the studies (see </w:t>
      </w:r>
      <w:r w:rsidR="00170588" w:rsidRPr="00625B9E">
        <w:t>secti</w:t>
      </w:r>
      <w:r w:rsidR="00170588" w:rsidRPr="009B199C">
        <w:t>on 4.4</w:t>
      </w:r>
      <w:r w:rsidR="00DB2D5C">
        <w:t xml:space="preserve"> SPECIAL WARNINGS AND PRECAUTIONS</w:t>
      </w:r>
      <w:r w:rsidR="00AD3F5C">
        <w:t xml:space="preserve"> FOR USE</w:t>
      </w:r>
      <w:r w:rsidRPr="009B199C">
        <w:t>).</w:t>
      </w:r>
    </w:p>
    <w:p w14:paraId="7B0E4185" w14:textId="77777777" w:rsidR="00556764" w:rsidRPr="00625B9E" w:rsidRDefault="00556764" w:rsidP="000C1180">
      <w:pPr>
        <w:pStyle w:val="Heading5"/>
      </w:pPr>
      <w:proofErr w:type="spellStart"/>
      <w:r w:rsidRPr="00625B9E">
        <w:t>Creatine</w:t>
      </w:r>
      <w:proofErr w:type="spellEnd"/>
      <w:r w:rsidRPr="00625B9E">
        <w:t xml:space="preserve"> Phosphokinase (CPK)</w:t>
      </w:r>
    </w:p>
    <w:p w14:paraId="6CF48A64" w14:textId="77777777" w:rsidR="00AA2C34" w:rsidRPr="00625B9E" w:rsidRDefault="00AA2C34" w:rsidP="00AA2C34">
      <w:pPr>
        <w:rPr>
          <w:lang w:val="en-US"/>
        </w:rPr>
      </w:pPr>
      <w:r w:rsidRPr="00625B9E">
        <w:rPr>
          <w:lang w:val="en-US"/>
        </w:rPr>
        <w:t>In controlled clinical trials,</w:t>
      </w:r>
      <w:r w:rsidRPr="00625B9E" w:rsidDel="00DA1493">
        <w:rPr>
          <w:lang w:val="en-US"/>
        </w:rPr>
        <w:t xml:space="preserve"> </w:t>
      </w:r>
      <w:r w:rsidRPr="00625B9E">
        <w:rPr>
          <w:lang w:val="en-US"/>
        </w:rPr>
        <w:t>OLUMIANT</w:t>
      </w:r>
      <w:r w:rsidRPr="00625B9E" w:rsidDel="00B70F42">
        <w:rPr>
          <w:lang w:val="en-US"/>
        </w:rPr>
        <w:t xml:space="preserve"> </w:t>
      </w:r>
      <w:r w:rsidRPr="00625B9E">
        <w:rPr>
          <w:lang w:val="en-US"/>
        </w:rPr>
        <w:t xml:space="preserve">treatment was associated with </w:t>
      </w:r>
      <w:r w:rsidRPr="00625B9E" w:rsidDel="00DA1493">
        <w:rPr>
          <w:lang w:val="en-US"/>
        </w:rPr>
        <w:t xml:space="preserve">CPK elevations &gt;5x ULN in </w:t>
      </w:r>
      <w:r w:rsidRPr="00625B9E">
        <w:rPr>
          <w:lang w:val="en-US"/>
        </w:rPr>
        <w:t>0.7% of patients treated with OLUMIANT</w:t>
      </w:r>
      <w:r w:rsidRPr="00625B9E" w:rsidDel="00B70F42">
        <w:rPr>
          <w:lang w:val="en-US"/>
        </w:rPr>
        <w:t xml:space="preserve"> </w:t>
      </w:r>
      <w:r w:rsidRPr="00625B9E">
        <w:rPr>
          <w:lang w:val="en-US"/>
        </w:rPr>
        <w:t>4 mg, 0.2% of patients treated with OLUMIANT</w:t>
      </w:r>
      <w:r w:rsidRPr="00625B9E" w:rsidDel="00B70F42">
        <w:rPr>
          <w:lang w:val="en-US"/>
        </w:rPr>
        <w:t xml:space="preserve"> </w:t>
      </w:r>
      <w:r w:rsidRPr="00625B9E">
        <w:rPr>
          <w:lang w:val="en-US"/>
        </w:rPr>
        <w:t xml:space="preserve">2 mg, and 0.3% of patients treated with placebo during the 12 </w:t>
      </w:r>
      <w:r w:rsidRPr="00625B9E" w:rsidDel="00DA1493">
        <w:rPr>
          <w:lang w:val="en-US"/>
        </w:rPr>
        <w:t>week treatment period</w:t>
      </w:r>
      <w:r w:rsidRPr="00625B9E">
        <w:rPr>
          <w:lang w:val="en-US"/>
        </w:rPr>
        <w:t>. In RA-BEGIN, CPK elevations &gt;5x</w:t>
      </w:r>
      <w:r w:rsidRPr="00625B9E" w:rsidDel="00DA1493">
        <w:rPr>
          <w:lang w:val="en-US"/>
        </w:rPr>
        <w:t> </w:t>
      </w:r>
      <w:r w:rsidRPr="00625B9E">
        <w:rPr>
          <w:lang w:val="en-US"/>
        </w:rPr>
        <w:t>ULN during the 24 week treatment period occurred in 0.6% of patients treated with OLUMIANT</w:t>
      </w:r>
      <w:r w:rsidRPr="00625B9E" w:rsidDel="00B70F42">
        <w:rPr>
          <w:lang w:val="en-US"/>
        </w:rPr>
        <w:t xml:space="preserve"> </w:t>
      </w:r>
      <w:r w:rsidRPr="00625B9E">
        <w:rPr>
          <w:lang w:val="en-US"/>
        </w:rPr>
        <w:t>4 mg monotherapy, 4.3% of patients treated with OLUMIANT 4 mg plus methotrexate, and 0% of patients treated with methotrexate monotherapy.</w:t>
      </w:r>
    </w:p>
    <w:p w14:paraId="7C6E20ED" w14:textId="0AF8603D" w:rsidR="00AA2C34" w:rsidRDefault="00AA2C34" w:rsidP="00E70427">
      <w:pPr>
        <w:rPr>
          <w:lang w:val="en-US"/>
        </w:rPr>
      </w:pPr>
      <w:r w:rsidRPr="00625B9E">
        <w:rPr>
          <w:lang w:val="en-US"/>
        </w:rPr>
        <w:t>In the all exposure population,</w:t>
      </w:r>
      <w:r w:rsidRPr="00625B9E" w:rsidDel="00DA1493">
        <w:rPr>
          <w:lang w:val="en-US"/>
        </w:rPr>
        <w:t xml:space="preserve"> </w:t>
      </w:r>
      <w:r w:rsidRPr="00625B9E">
        <w:rPr>
          <w:lang w:val="en-US"/>
        </w:rPr>
        <w:t>there were no confirmed cases of rhabdomyolysis. The pattern and incidence of increases in CPK remained consistent with observations in the controlled periods of the studies.</w:t>
      </w:r>
    </w:p>
    <w:p w14:paraId="2E67ECD7" w14:textId="272F854C" w:rsidR="00510127" w:rsidRPr="00625B9E" w:rsidRDefault="00510127" w:rsidP="00E70427">
      <w:pPr>
        <w:pStyle w:val="Heading4"/>
      </w:pPr>
      <w:r w:rsidRPr="00625B9E">
        <w:t>Description of selected adverse reactions</w:t>
      </w:r>
      <w:r>
        <w:t xml:space="preserve"> – Atopic Dermatitis</w:t>
      </w:r>
    </w:p>
    <w:p w14:paraId="1F750F38" w14:textId="77777777" w:rsidR="00510127" w:rsidRPr="00625B9E" w:rsidRDefault="00510127" w:rsidP="00E70427">
      <w:pPr>
        <w:pStyle w:val="Heading5"/>
      </w:pPr>
      <w:r w:rsidRPr="00625B9E">
        <w:t>Infections</w:t>
      </w:r>
    </w:p>
    <w:p w14:paraId="1E821DC9" w14:textId="6D1D2BD8" w:rsidR="00623BC6" w:rsidRPr="00623BC6" w:rsidRDefault="00623BC6" w:rsidP="00623BC6">
      <w:pPr>
        <w:rPr>
          <w:lang w:val="en-US"/>
        </w:rPr>
      </w:pPr>
      <w:r w:rsidRPr="00623BC6">
        <w:rPr>
          <w:lang w:val="en-US"/>
        </w:rPr>
        <w:t xml:space="preserve">In controlled studies, for up to 16 weeks, the incidence rate of all infections (rate of patients with ≥ 1 event per 100 patient-years of exposure) was </w:t>
      </w:r>
      <w:r w:rsidR="00D43D2C">
        <w:rPr>
          <w:lang w:val="en-US"/>
        </w:rPr>
        <w:t>134.5</w:t>
      </w:r>
      <w:r w:rsidRPr="00623BC6">
        <w:rPr>
          <w:lang w:val="en-US"/>
        </w:rPr>
        <w:t xml:space="preserve"> with O</w:t>
      </w:r>
      <w:r>
        <w:rPr>
          <w:lang w:val="en-US"/>
        </w:rPr>
        <w:t>LUMIANT</w:t>
      </w:r>
      <w:r w:rsidRPr="00623BC6">
        <w:rPr>
          <w:lang w:val="en-US"/>
        </w:rPr>
        <w:t xml:space="preserve"> 4 mg compared to </w:t>
      </w:r>
      <w:r w:rsidR="00D43D2C">
        <w:rPr>
          <w:lang w:val="en-US"/>
        </w:rPr>
        <w:t>100.3</w:t>
      </w:r>
      <w:r w:rsidRPr="00623BC6">
        <w:rPr>
          <w:lang w:val="en-US"/>
        </w:rPr>
        <w:t xml:space="preserve"> in the placebo group. Most infections were mild to moderate in severity. Infections were reported in 3</w:t>
      </w:r>
      <w:r w:rsidR="00D13AC1">
        <w:rPr>
          <w:lang w:val="en-US"/>
        </w:rPr>
        <w:t>1</w:t>
      </w:r>
      <w:r w:rsidRPr="00623BC6">
        <w:rPr>
          <w:lang w:val="en-US"/>
        </w:rPr>
        <w:t>.</w:t>
      </w:r>
      <w:r w:rsidR="00D13AC1">
        <w:rPr>
          <w:lang w:val="en-US"/>
        </w:rPr>
        <w:t>5</w:t>
      </w:r>
      <w:r w:rsidRPr="00623BC6">
        <w:rPr>
          <w:lang w:val="en-US"/>
        </w:rPr>
        <w:t xml:space="preserve"> %, </w:t>
      </w:r>
      <w:r w:rsidR="00D13AC1">
        <w:rPr>
          <w:lang w:val="en-US"/>
        </w:rPr>
        <w:t>29.8</w:t>
      </w:r>
      <w:r w:rsidRPr="00623BC6">
        <w:rPr>
          <w:lang w:val="en-US"/>
        </w:rPr>
        <w:t> % and 2</w:t>
      </w:r>
      <w:r w:rsidR="00D13AC1">
        <w:rPr>
          <w:lang w:val="en-US"/>
        </w:rPr>
        <w:t>4.2</w:t>
      </w:r>
      <w:r w:rsidRPr="00623BC6">
        <w:rPr>
          <w:lang w:val="en-US"/>
        </w:rPr>
        <w:t> % of patients up to 16 weeks in the 4 mg, 2 mg and placebo groups, respectively. The percentage of patients reporting infection</w:t>
      </w:r>
      <w:r w:rsidRPr="00623BC6">
        <w:rPr>
          <w:lang w:val="en-US"/>
        </w:rPr>
        <w:noBreakHyphen/>
        <w:t xml:space="preserve">related ADRs for </w:t>
      </w:r>
      <w:r w:rsidR="002E0A5D" w:rsidRPr="00623BC6">
        <w:rPr>
          <w:lang w:val="en-US"/>
        </w:rPr>
        <w:t>O</w:t>
      </w:r>
      <w:r w:rsidR="002E0A5D">
        <w:rPr>
          <w:lang w:val="en-US"/>
        </w:rPr>
        <w:t>LUMIANT</w:t>
      </w:r>
      <w:r w:rsidRPr="00623BC6">
        <w:rPr>
          <w:lang w:val="en-US"/>
        </w:rPr>
        <w:t xml:space="preserve"> 4 mg compared to placebo were: Upper respiratory tract infections (17.</w:t>
      </w:r>
      <w:r w:rsidR="00557822">
        <w:rPr>
          <w:lang w:val="en-US"/>
        </w:rPr>
        <w:t>5</w:t>
      </w:r>
      <w:r w:rsidRPr="00623BC6">
        <w:rPr>
          <w:lang w:val="en-US"/>
        </w:rPr>
        <w:t> % vs. 1</w:t>
      </w:r>
      <w:r w:rsidR="00557822">
        <w:rPr>
          <w:lang w:val="en-US"/>
        </w:rPr>
        <w:t>4</w:t>
      </w:r>
      <w:r w:rsidRPr="00623BC6">
        <w:rPr>
          <w:lang w:val="en-US"/>
        </w:rPr>
        <w:t>.</w:t>
      </w:r>
      <w:r w:rsidR="00557822">
        <w:rPr>
          <w:lang w:val="en-US"/>
        </w:rPr>
        <w:t>1</w:t>
      </w:r>
      <w:r w:rsidRPr="00623BC6">
        <w:rPr>
          <w:lang w:val="en-US"/>
        </w:rPr>
        <w:t>%), herpes simplex (6</w:t>
      </w:r>
      <w:r w:rsidR="00557822">
        <w:rPr>
          <w:lang w:val="en-US"/>
        </w:rPr>
        <w:t>.1</w:t>
      </w:r>
      <w:r w:rsidRPr="00623BC6">
        <w:rPr>
          <w:lang w:val="en-US"/>
        </w:rPr>
        <w:t> % vs. 2.</w:t>
      </w:r>
      <w:r w:rsidR="00557822">
        <w:rPr>
          <w:lang w:val="en-US"/>
        </w:rPr>
        <w:t>7</w:t>
      </w:r>
      <w:r w:rsidRPr="00623BC6">
        <w:rPr>
          <w:lang w:val="en-US"/>
        </w:rPr>
        <w:t> %)</w:t>
      </w:r>
      <w:r w:rsidR="0043095E">
        <w:rPr>
          <w:lang w:val="en-US"/>
        </w:rPr>
        <w:t xml:space="preserve"> and </w:t>
      </w:r>
      <w:r w:rsidRPr="00623BC6">
        <w:rPr>
          <w:lang w:val="en-US"/>
        </w:rPr>
        <w:t>herpes zoster (0 % vs. 0.</w:t>
      </w:r>
      <w:r w:rsidR="00557822">
        <w:rPr>
          <w:lang w:val="en-US"/>
        </w:rPr>
        <w:t>3</w:t>
      </w:r>
      <w:r w:rsidRPr="00623BC6">
        <w:rPr>
          <w:lang w:val="en-US"/>
        </w:rPr>
        <w:t xml:space="preserve"> %). In atopic dermatitis clinical studies, the frequency of infections was generally similar to those observed in RA patients except for herpes zoster which was very rare. </w:t>
      </w:r>
      <w:r w:rsidRPr="003A61A5">
        <w:rPr>
          <w:lang w:val="en-US"/>
        </w:rPr>
        <w:t>There were less skin infections requiring antibiotic treatment with OLUMIANT 4 mg (3.</w:t>
      </w:r>
      <w:r w:rsidR="00D13AC1" w:rsidRPr="003A61A5">
        <w:rPr>
          <w:lang w:val="en-US"/>
        </w:rPr>
        <w:t>4</w:t>
      </w:r>
      <w:r w:rsidRPr="003A61A5">
        <w:rPr>
          <w:lang w:val="en-US"/>
        </w:rPr>
        <w:t xml:space="preserve"> %) than with placebo (</w:t>
      </w:r>
      <w:r w:rsidR="00D13AC1" w:rsidRPr="003A61A5">
        <w:rPr>
          <w:lang w:val="en-US"/>
        </w:rPr>
        <w:t>4</w:t>
      </w:r>
      <w:r w:rsidRPr="003A61A5">
        <w:rPr>
          <w:lang w:val="en-US"/>
        </w:rPr>
        <w:t xml:space="preserve">.4 %). The </w:t>
      </w:r>
      <w:r w:rsidR="00D13AC1" w:rsidRPr="003A61A5">
        <w:rPr>
          <w:lang w:val="en-US"/>
        </w:rPr>
        <w:t xml:space="preserve">same </w:t>
      </w:r>
      <w:r w:rsidRPr="003A61A5">
        <w:rPr>
          <w:lang w:val="en-US"/>
        </w:rPr>
        <w:t xml:space="preserve">percentage of patients with serious infections </w:t>
      </w:r>
      <w:r w:rsidR="00D13AC1" w:rsidRPr="003A61A5">
        <w:rPr>
          <w:lang w:val="en-US"/>
        </w:rPr>
        <w:t xml:space="preserve">was </w:t>
      </w:r>
      <w:r w:rsidR="00D13AC1" w:rsidRPr="003A61A5">
        <w:rPr>
          <w:lang w:val="en-US"/>
        </w:rPr>
        <w:lastRenderedPageBreak/>
        <w:t xml:space="preserve">observed </w:t>
      </w:r>
      <w:r w:rsidRPr="003A61A5">
        <w:rPr>
          <w:lang w:val="en-US"/>
        </w:rPr>
        <w:t xml:space="preserve">with </w:t>
      </w:r>
      <w:r w:rsidR="0014384D" w:rsidRPr="003A61A5">
        <w:rPr>
          <w:lang w:val="en-US"/>
        </w:rPr>
        <w:t>OLUMIANT</w:t>
      </w:r>
      <w:r w:rsidRPr="003A61A5">
        <w:rPr>
          <w:lang w:val="en-US"/>
        </w:rPr>
        <w:t xml:space="preserve"> 4 mg</w:t>
      </w:r>
      <w:r w:rsidR="00D13AC1" w:rsidRPr="003A61A5">
        <w:rPr>
          <w:lang w:val="en-US"/>
        </w:rPr>
        <w:t xml:space="preserve"> and placebo (0.6 %)</w:t>
      </w:r>
      <w:r w:rsidRPr="003A61A5">
        <w:rPr>
          <w:lang w:val="en-US"/>
        </w:rPr>
        <w:t xml:space="preserve">. The overall incidence rate of serious infections with OLUMIANT in the atopic dermatitis clinical trial </w:t>
      </w:r>
      <w:proofErr w:type="spellStart"/>
      <w:r w:rsidRPr="003A61A5">
        <w:rPr>
          <w:lang w:val="en-US"/>
        </w:rPr>
        <w:t>programme</w:t>
      </w:r>
      <w:proofErr w:type="spellEnd"/>
      <w:r w:rsidRPr="003A61A5">
        <w:rPr>
          <w:lang w:val="en-US"/>
        </w:rPr>
        <w:t xml:space="preserve"> was 2.</w:t>
      </w:r>
      <w:r w:rsidR="00D13AC1" w:rsidRPr="003A61A5">
        <w:rPr>
          <w:lang w:val="en-US"/>
        </w:rPr>
        <w:t>1</w:t>
      </w:r>
      <w:r w:rsidRPr="003A61A5">
        <w:rPr>
          <w:lang w:val="en-US"/>
        </w:rPr>
        <w:t> per 100 patient</w:t>
      </w:r>
      <w:r w:rsidR="00C55138">
        <w:rPr>
          <w:lang w:val="en-US"/>
        </w:rPr>
        <w:t xml:space="preserve"> </w:t>
      </w:r>
      <w:r w:rsidRPr="003A61A5">
        <w:rPr>
          <w:lang w:val="en-US"/>
        </w:rPr>
        <w:t>years.</w:t>
      </w:r>
    </w:p>
    <w:p w14:paraId="31AB916E" w14:textId="1D7DBC10" w:rsidR="00510127" w:rsidRPr="003179CC" w:rsidRDefault="00510127" w:rsidP="00E70427">
      <w:pPr>
        <w:pStyle w:val="Heading5"/>
      </w:pPr>
      <w:r w:rsidRPr="003179CC">
        <w:t>Nausea</w:t>
      </w:r>
    </w:p>
    <w:p w14:paraId="7AA00146" w14:textId="6C4108B4" w:rsidR="0014384D" w:rsidRPr="0014384D" w:rsidRDefault="0014384D" w:rsidP="0014384D">
      <w:pPr>
        <w:rPr>
          <w:lang w:val="en-US"/>
        </w:rPr>
      </w:pPr>
      <w:bookmarkStart w:id="76" w:name="_Hlk24538792"/>
      <w:r w:rsidRPr="0014384D">
        <w:rPr>
          <w:lang w:val="en-US"/>
        </w:rPr>
        <w:t xml:space="preserve">In atopic dermatitis clinical studies, the frequency of nausea was uncommon with </w:t>
      </w:r>
      <w:r>
        <w:rPr>
          <w:lang w:val="en-US"/>
        </w:rPr>
        <w:t xml:space="preserve">OLUMIANT </w:t>
      </w:r>
      <w:r w:rsidRPr="0014384D">
        <w:rPr>
          <w:lang w:val="en-US"/>
        </w:rPr>
        <w:t>treatment (0.</w:t>
      </w:r>
      <w:r w:rsidR="00D43D2C">
        <w:rPr>
          <w:lang w:val="en-US"/>
        </w:rPr>
        <w:t>8</w:t>
      </w:r>
      <w:r w:rsidRPr="0014384D">
        <w:rPr>
          <w:lang w:val="en-US"/>
        </w:rPr>
        <w:t xml:space="preserve">%). </w:t>
      </w:r>
      <w:bookmarkEnd w:id="76"/>
    </w:p>
    <w:p w14:paraId="169A8454" w14:textId="1C4E159E" w:rsidR="00F33791" w:rsidRDefault="00F33791" w:rsidP="00E70427">
      <w:pPr>
        <w:pStyle w:val="Heading5"/>
      </w:pPr>
      <w:r>
        <w:t>Neutropenia</w:t>
      </w:r>
    </w:p>
    <w:p w14:paraId="6EE920AD" w14:textId="0EEBDFF4" w:rsidR="00F33791" w:rsidRPr="00FC09E8" w:rsidRDefault="00F33791" w:rsidP="00FC09E8">
      <w:pPr>
        <w:rPr>
          <w:lang w:val="en-US"/>
        </w:rPr>
      </w:pPr>
      <w:r w:rsidRPr="00FC09E8">
        <w:rPr>
          <w:lang w:val="en-US"/>
        </w:rPr>
        <w:t>In atopic dermatitis controlled studies, for up to 16 weeks, decreases in neutrophil counts below 1 x 109 cells/L occurred in 0.</w:t>
      </w:r>
      <w:r w:rsidR="00CE3982" w:rsidRPr="00FC09E8">
        <w:rPr>
          <w:lang w:val="en-US"/>
        </w:rPr>
        <w:t>2</w:t>
      </w:r>
      <w:r w:rsidRPr="00FC09E8">
        <w:rPr>
          <w:lang w:val="en-US"/>
        </w:rPr>
        <w:t xml:space="preserve"> % of patients treated with </w:t>
      </w:r>
      <w:r w:rsidR="00981B2D" w:rsidRPr="00FC09E8">
        <w:rPr>
          <w:lang w:val="en-US"/>
        </w:rPr>
        <w:t>OLUMIANT</w:t>
      </w:r>
      <w:r w:rsidRPr="00FC09E8">
        <w:rPr>
          <w:lang w:val="en-US"/>
        </w:rPr>
        <w:t xml:space="preserve"> compared to 0 % of patients treated with placebo. There was no clear relationship between decreases in neutrophil counts and the occurrence of serious infections. However, in clinical studies, treatment was interrupted in response to ANC &lt; 1 x 109 cells/L. The pattern and incidence of decreases in neutrophil counts remained stable at a lower value than baseline over time including in the long-term extension study.</w:t>
      </w:r>
    </w:p>
    <w:p w14:paraId="63632E03" w14:textId="3A52319D" w:rsidR="00F33791" w:rsidRPr="00F33791" w:rsidRDefault="00F33791" w:rsidP="00E70427">
      <w:pPr>
        <w:pStyle w:val="Heading5"/>
      </w:pPr>
      <w:r w:rsidRPr="00625B9E">
        <w:t>Thrombocytosis</w:t>
      </w:r>
    </w:p>
    <w:p w14:paraId="03DBB84D" w14:textId="4453623B" w:rsidR="0014384D" w:rsidRPr="00FC09E8" w:rsidRDefault="0014384D" w:rsidP="00FC09E8">
      <w:pPr>
        <w:rPr>
          <w:lang w:val="en-US"/>
        </w:rPr>
      </w:pPr>
      <w:r w:rsidRPr="00FC09E8">
        <w:rPr>
          <w:lang w:val="en-US"/>
        </w:rPr>
        <w:t>In atopic dermatitis controlled studies, for up to 16 weeks, increases in platelet counts above 600 x 109 cells/L occurred in 0.</w:t>
      </w:r>
      <w:r w:rsidR="00CE3982" w:rsidRPr="00FC09E8">
        <w:rPr>
          <w:lang w:val="en-US"/>
        </w:rPr>
        <w:t>6</w:t>
      </w:r>
      <w:r w:rsidRPr="00FC09E8">
        <w:rPr>
          <w:lang w:val="en-US"/>
        </w:rPr>
        <w:t> % of patients treated with OLUMIANT 4 mg and 0 % of patients</w:t>
      </w:r>
      <w:r w:rsidR="00FC09E8" w:rsidRPr="00FC09E8">
        <w:rPr>
          <w:lang w:val="en-US"/>
        </w:rPr>
        <w:t xml:space="preserve"> </w:t>
      </w:r>
      <w:r w:rsidRPr="00FC09E8">
        <w:rPr>
          <w:lang w:val="en-US"/>
        </w:rPr>
        <w:t>treated with placebo. The frequency of thrombocytosis in AD studies was uncommon and lower than that observed in the RA patients.</w:t>
      </w:r>
    </w:p>
    <w:p w14:paraId="770892DC" w14:textId="0862185F" w:rsidR="00F33791" w:rsidRPr="00FC09E8" w:rsidRDefault="00F33791" w:rsidP="00FC09E8">
      <w:pPr>
        <w:rPr>
          <w:lang w:val="en-US"/>
        </w:rPr>
      </w:pPr>
      <w:r w:rsidRPr="00FC09E8">
        <w:rPr>
          <w:lang w:val="en-US"/>
        </w:rPr>
        <w:t>No association was observed between increased platelet counts and adverse events of a thrombotic nature. The pattern and incidence of increases in platelet counts remained stable at a higher value than baseline over time including in the long term extension study.</w:t>
      </w:r>
    </w:p>
    <w:p w14:paraId="4417E4B4" w14:textId="77777777" w:rsidR="00F33791" w:rsidRPr="00625B9E" w:rsidRDefault="00F33791" w:rsidP="00E70427">
      <w:pPr>
        <w:pStyle w:val="Heading5"/>
      </w:pPr>
      <w:r w:rsidRPr="00625B9E">
        <w:t>Liver Enzyme Elevations</w:t>
      </w:r>
    </w:p>
    <w:p w14:paraId="5E6382B5" w14:textId="026CB390" w:rsidR="0014384D" w:rsidRPr="004D1A9F" w:rsidRDefault="0014384D" w:rsidP="004D1A9F">
      <w:pPr>
        <w:rPr>
          <w:lang w:val="en-US"/>
        </w:rPr>
      </w:pPr>
      <w:r w:rsidRPr="004D1A9F">
        <w:rPr>
          <w:lang w:val="en-US"/>
        </w:rPr>
        <w:t>In controlled studies, for up to 16 weeks, ALT and AST elevations ≥ 3 x ULN were uncommonly observed in 0.</w:t>
      </w:r>
      <w:r w:rsidR="000C1B90" w:rsidRPr="004D1A9F">
        <w:rPr>
          <w:lang w:val="en-US"/>
        </w:rPr>
        <w:t>2</w:t>
      </w:r>
      <w:r w:rsidRPr="004D1A9F">
        <w:rPr>
          <w:lang w:val="en-US"/>
        </w:rPr>
        <w:t> % and 0.</w:t>
      </w:r>
      <w:r w:rsidR="000C1B90" w:rsidRPr="004D1A9F">
        <w:rPr>
          <w:lang w:val="en-US"/>
        </w:rPr>
        <w:t>5</w:t>
      </w:r>
      <w:r w:rsidRPr="004D1A9F">
        <w:rPr>
          <w:lang w:val="en-US"/>
        </w:rPr>
        <w:t> % of patients treated with OLUMIANT 4 mg, compared to 0.</w:t>
      </w:r>
      <w:r w:rsidR="000C1B90" w:rsidRPr="004D1A9F">
        <w:rPr>
          <w:lang w:val="en-US"/>
        </w:rPr>
        <w:t>8</w:t>
      </w:r>
      <w:r w:rsidRPr="004D1A9F">
        <w:rPr>
          <w:lang w:val="en-US"/>
        </w:rPr>
        <w:t> % and 0.</w:t>
      </w:r>
      <w:r w:rsidR="000C1B90" w:rsidRPr="004D1A9F">
        <w:rPr>
          <w:lang w:val="en-US"/>
        </w:rPr>
        <w:t>8</w:t>
      </w:r>
      <w:r w:rsidRPr="004D1A9F">
        <w:rPr>
          <w:lang w:val="en-US"/>
        </w:rPr>
        <w:t> % respectively of patients treated with placebo. Most cases of hepatic transaminase elevations were asymptomatic and transient. The pattern and incidence of elevation in ALT/AST remained stable over time including in the long-term extension study.</w:t>
      </w:r>
    </w:p>
    <w:p w14:paraId="02CBCD3A" w14:textId="1E272281" w:rsidR="006A4720" w:rsidRDefault="006A4720" w:rsidP="00E70427">
      <w:pPr>
        <w:pStyle w:val="Heading5"/>
        <w:rPr>
          <w:rFonts w:eastAsia="SimSun"/>
          <w:lang w:eastAsia="en-GB"/>
        </w:rPr>
      </w:pPr>
      <w:r>
        <w:rPr>
          <w:rFonts w:eastAsia="SimSun"/>
          <w:lang w:eastAsia="en-GB"/>
        </w:rPr>
        <w:t>Lipids</w:t>
      </w:r>
    </w:p>
    <w:p w14:paraId="4CE625B1" w14:textId="11443E72" w:rsidR="0014384D" w:rsidRPr="004D1A9F" w:rsidRDefault="005579E9" w:rsidP="004D1A9F">
      <w:pPr>
        <w:rPr>
          <w:lang w:val="en-US"/>
        </w:rPr>
      </w:pPr>
      <w:r w:rsidRPr="004D1A9F">
        <w:rPr>
          <w:lang w:val="en-US"/>
        </w:rPr>
        <w:t xml:space="preserve">In atopic dermatitis clinical trials, </w:t>
      </w:r>
      <w:r w:rsidR="0090358E" w:rsidRPr="004D1A9F">
        <w:rPr>
          <w:lang w:val="en-US"/>
        </w:rPr>
        <w:t xml:space="preserve">OLUMIANT treatment was associated with </w:t>
      </w:r>
      <w:r w:rsidR="0014384D" w:rsidRPr="004D1A9F">
        <w:rPr>
          <w:lang w:val="en-US"/>
        </w:rPr>
        <w:t xml:space="preserve">increases in lipid parameters including total cholesterol, LDL cholesterol, and HDL cholesterol. Elevations were observed at 12 weeks and mean total and LDL cholesterol increased through week 52. There was no increase in the LDL/HDL ratio. </w:t>
      </w:r>
      <w:bookmarkStart w:id="77" w:name="_Hlk23434193"/>
      <w:r w:rsidR="0014384D" w:rsidRPr="004D1A9F">
        <w:rPr>
          <w:lang w:val="en-US"/>
        </w:rPr>
        <w:t>No dose</w:t>
      </w:r>
      <w:r w:rsidR="0014384D" w:rsidRPr="004D1A9F">
        <w:rPr>
          <w:lang w:val="en-US"/>
        </w:rPr>
        <w:noBreakHyphen/>
        <w:t>relationships were observed in controlled studies, for up to 16 weeks for total cholesterol, LDL cholesterol, or HDL cholesterol. There was no increase in triglycerides levels.</w:t>
      </w:r>
      <w:bookmarkEnd w:id="77"/>
    </w:p>
    <w:p w14:paraId="3004D2CE" w14:textId="39DCAD68" w:rsidR="00F33791" w:rsidRPr="0014384D" w:rsidRDefault="00205F69" w:rsidP="0014384D">
      <w:pPr>
        <w:pStyle w:val="PLRBodyTextIndented"/>
        <w:keepNext/>
        <w:spacing w:line="276" w:lineRule="auto"/>
        <w:ind w:firstLine="0"/>
        <w:rPr>
          <w:rFonts w:asciiTheme="minorHAnsi" w:eastAsia="SimSun" w:hAnsiTheme="minorHAnsi" w:cstheme="minorHAnsi"/>
          <w:i/>
          <w:sz w:val="22"/>
          <w:szCs w:val="22"/>
          <w:lang w:val="en-GB" w:eastAsia="en-GB"/>
        </w:rPr>
      </w:pPr>
      <w:proofErr w:type="spellStart"/>
      <w:r w:rsidRPr="0014384D">
        <w:rPr>
          <w:rFonts w:asciiTheme="minorHAnsi" w:eastAsia="SimSun" w:hAnsiTheme="minorHAnsi" w:cstheme="minorHAnsi"/>
          <w:i/>
          <w:sz w:val="22"/>
          <w:szCs w:val="22"/>
          <w:lang w:val="en-GB" w:eastAsia="en-GB"/>
        </w:rPr>
        <w:lastRenderedPageBreak/>
        <w:t>Creatine</w:t>
      </w:r>
      <w:proofErr w:type="spellEnd"/>
      <w:r w:rsidRPr="0014384D">
        <w:rPr>
          <w:rFonts w:asciiTheme="minorHAnsi" w:eastAsia="SimSun" w:hAnsiTheme="minorHAnsi" w:cstheme="minorHAnsi"/>
          <w:i/>
          <w:sz w:val="22"/>
          <w:szCs w:val="22"/>
          <w:lang w:val="en-GB" w:eastAsia="en-GB"/>
        </w:rPr>
        <w:t xml:space="preserve"> phosphokinase (CPK)</w:t>
      </w:r>
    </w:p>
    <w:p w14:paraId="10DCE313" w14:textId="6FD6EFBF" w:rsidR="0014384D" w:rsidRPr="004D1A9F" w:rsidRDefault="0014384D" w:rsidP="004D1A9F">
      <w:pPr>
        <w:rPr>
          <w:lang w:val="en-US"/>
        </w:rPr>
      </w:pPr>
      <w:r w:rsidRPr="004D1A9F">
        <w:rPr>
          <w:lang w:val="en-US"/>
        </w:rPr>
        <w:t>In atopic dermatitis controlled studies, for up to 16 weeks, increases in CPK values were common. Significant increases (&gt; 5 x ULN) occurred in a dose-dependent manner in 3.</w:t>
      </w:r>
      <w:r w:rsidR="00574B6B" w:rsidRPr="004D1A9F">
        <w:rPr>
          <w:lang w:val="en-US"/>
        </w:rPr>
        <w:t>3</w:t>
      </w:r>
      <w:r w:rsidRPr="004D1A9F">
        <w:rPr>
          <w:lang w:val="en-US"/>
        </w:rPr>
        <w:t> %, 2.</w:t>
      </w:r>
      <w:r w:rsidR="00574B6B" w:rsidRPr="004D1A9F">
        <w:rPr>
          <w:lang w:val="en-US"/>
        </w:rPr>
        <w:t>5</w:t>
      </w:r>
      <w:r w:rsidRPr="004D1A9F">
        <w:rPr>
          <w:lang w:val="en-US"/>
        </w:rPr>
        <w:t> %, and 1.9 % of patients treated with OLUMIANT 4 mg, 2 mg, and placebo, respectively. Most cases were transient and did not require treatment discontinuation.</w:t>
      </w:r>
    </w:p>
    <w:p w14:paraId="2F8BF712" w14:textId="469A2E03" w:rsidR="00510127" w:rsidRPr="004D1A9F" w:rsidRDefault="001A09DB" w:rsidP="004D1A9F">
      <w:pPr>
        <w:rPr>
          <w:lang w:val="en-US"/>
        </w:rPr>
      </w:pPr>
      <w:r w:rsidRPr="004D1A9F">
        <w:rPr>
          <w:lang w:val="en-US"/>
        </w:rPr>
        <w:t>For atopic dermatitis clinical trials, there were no confirmed cases of rhabdomyolysis. Elevations of CPK were observed at 4 weeks and remained stable at a higher value than baseline thereafter including in the long-term extension study.</w:t>
      </w:r>
    </w:p>
    <w:p w14:paraId="27F21504" w14:textId="77777777" w:rsidR="001A3992" w:rsidRPr="00625B9E" w:rsidRDefault="001A3992" w:rsidP="001A3992">
      <w:pPr>
        <w:pStyle w:val="Heading2"/>
        <w:keepNext/>
        <w:keepLines/>
        <w:spacing w:before="0" w:after="120"/>
      </w:pPr>
      <w:r w:rsidRPr="00625B9E">
        <w:t>Overdose</w:t>
      </w:r>
    </w:p>
    <w:p w14:paraId="0D1D0A1B" w14:textId="77777777" w:rsidR="00AA2C34" w:rsidRPr="00625B9E" w:rsidRDefault="00AA2C34" w:rsidP="00AA2C34">
      <w:r w:rsidRPr="00625B9E">
        <w:t>Single doses up to 40 mg and multiple doses of up to 20 mg daily for 10 days have been administered in clinical trials without dose-liming toxicity. Pharmacokinetic data of a single dose of 40 mg in healthy volunteers indicate that more than 90% of the administered dose is expected to be eliminated within 24 hours. In case of an overdose, it is recommended that the patient be monitored for signs and symptoms of adverse reactions. Patients who develop adverse reactions should receive appropriate treatment.</w:t>
      </w:r>
    </w:p>
    <w:p w14:paraId="2E196482" w14:textId="7BA72C48" w:rsidR="00556764" w:rsidRPr="00625B9E" w:rsidRDefault="00556764" w:rsidP="00556764">
      <w:r w:rsidRPr="00625B9E">
        <w:t>For information on the management of overdose, contact the Poison Information Centre on 13 11 26.</w:t>
      </w:r>
    </w:p>
    <w:p w14:paraId="1F3199A2" w14:textId="77777777" w:rsidR="001A3992" w:rsidRPr="00625B9E" w:rsidRDefault="001A3992" w:rsidP="001A3992">
      <w:pPr>
        <w:pStyle w:val="Heading1"/>
        <w:spacing w:before="0" w:after="120"/>
        <w:rPr>
          <w:lang w:val="en-US"/>
        </w:rPr>
      </w:pPr>
      <w:r w:rsidRPr="00625B9E">
        <w:rPr>
          <w:lang w:val="en-US"/>
        </w:rPr>
        <w:t>Pharmacological properties</w:t>
      </w:r>
    </w:p>
    <w:p w14:paraId="4CDF9D7D" w14:textId="77777777" w:rsidR="001A3992" w:rsidRPr="00625B9E" w:rsidRDefault="001A3992" w:rsidP="001A3992">
      <w:pPr>
        <w:pStyle w:val="Heading2"/>
        <w:spacing w:before="0" w:after="120"/>
        <w:rPr>
          <w:lang w:val="en-US"/>
        </w:rPr>
      </w:pPr>
      <w:r w:rsidRPr="00625B9E">
        <w:rPr>
          <w:lang w:val="en-US"/>
        </w:rPr>
        <w:t xml:space="preserve">Pharmacodynamic properties </w:t>
      </w:r>
    </w:p>
    <w:p w14:paraId="39A9A2BF" w14:textId="77777777" w:rsidR="001A3992" w:rsidRPr="00625B9E" w:rsidRDefault="001A3992" w:rsidP="001A3992">
      <w:pPr>
        <w:pStyle w:val="Heading3"/>
        <w:spacing w:after="120"/>
      </w:pPr>
      <w:r w:rsidRPr="00625B9E">
        <w:t>Mechanism of action</w:t>
      </w:r>
    </w:p>
    <w:p w14:paraId="3BD5472A" w14:textId="77777777" w:rsidR="00556764" w:rsidRPr="00625B9E" w:rsidRDefault="00556764" w:rsidP="00556764">
      <w:r w:rsidRPr="00625B9E">
        <w:t>Janus kinases (JAKs) are enzymes that transduce intracellular signals from cell surface receptors for a number of cytokines and growth factors involved in haematopoiesis, inflammation and immune function. Within the intracellular signalling pathway, JAKs phosphorylate and activate signal transducers and activators of transcription (STATs), which activate gene expression within the cell. OLUMIANT contains baricitinib which modulates these signalling pathways by partially inhibiting JAK1 and JAK2 enzymatic activity, thereby reducing the phosphorylation and activation of STATs.</w:t>
      </w:r>
    </w:p>
    <w:p w14:paraId="0017DE91" w14:textId="77777777" w:rsidR="00556764" w:rsidRPr="00625B9E" w:rsidRDefault="00556764" w:rsidP="00556764">
      <w:r w:rsidRPr="00625B9E">
        <w:t xml:space="preserve">Baricitinib is a selective and reversible inhibitor of JAK1 and JAK2. In isolated enzyme assays, baricitinib inhibited the activities of JAK1, JAK2, TYK2 and JAK3 with IC50 values of 5.9, 5.7, 53 and &gt;400 </w:t>
      </w:r>
      <w:proofErr w:type="spellStart"/>
      <w:r w:rsidRPr="00625B9E">
        <w:t>nM</w:t>
      </w:r>
      <w:proofErr w:type="spellEnd"/>
      <w:r w:rsidRPr="00625B9E">
        <w:t>, respectively.</w:t>
      </w:r>
    </w:p>
    <w:p w14:paraId="2EC21F04" w14:textId="77777777" w:rsidR="00DB09BB" w:rsidRPr="00625B9E" w:rsidRDefault="00DB09BB" w:rsidP="00DB09BB">
      <w:pPr>
        <w:pStyle w:val="Heading3"/>
        <w:spacing w:after="120"/>
      </w:pPr>
      <w:r w:rsidRPr="00625B9E">
        <w:t>Pharmacodynamics</w:t>
      </w:r>
    </w:p>
    <w:p w14:paraId="682CBB16" w14:textId="77777777" w:rsidR="00DB09BB" w:rsidRPr="00625B9E" w:rsidRDefault="00DB09BB" w:rsidP="00DB09BB">
      <w:pPr>
        <w:rPr>
          <w:i/>
        </w:rPr>
      </w:pPr>
      <w:r w:rsidRPr="00625B9E">
        <w:rPr>
          <w:i/>
        </w:rPr>
        <w:t>OLUMIANT inhibition of IL-6 induced STAT3 phosphorylation</w:t>
      </w:r>
    </w:p>
    <w:p w14:paraId="0EB2243B" w14:textId="2B94F643" w:rsidR="005A65F1" w:rsidRPr="00625B9E" w:rsidRDefault="00DB09BB" w:rsidP="00DB09BB">
      <w:r w:rsidRPr="00625B9E">
        <w:t>OLUMIANT administration resulted in a dose dependent inhibition of IL-6 induced STAT3 phosphorylation in whole blood from healthy subjects with maximal inhibition observed 2 hours after dosing which returned to near baseline by 24 hours. Similar levels of inhibition were observed using either IL-6 or TPO as the stimulus.</w:t>
      </w:r>
    </w:p>
    <w:p w14:paraId="301FAE3A" w14:textId="77777777" w:rsidR="00DB09BB" w:rsidRPr="00625B9E" w:rsidRDefault="00DB09BB" w:rsidP="0083768C">
      <w:pPr>
        <w:pageBreakBefore/>
        <w:rPr>
          <w:i/>
        </w:rPr>
      </w:pPr>
      <w:r w:rsidRPr="00625B9E">
        <w:rPr>
          <w:i/>
        </w:rPr>
        <w:lastRenderedPageBreak/>
        <w:t>Immunoglobulins</w:t>
      </w:r>
    </w:p>
    <w:p w14:paraId="4A6BB824" w14:textId="77777777" w:rsidR="00DB09BB" w:rsidRPr="00625B9E" w:rsidRDefault="00DB09BB" w:rsidP="00DB09BB">
      <w:r w:rsidRPr="00625B9E">
        <w:t>Mean serum IgG, IgM, and IgA values decreased by 12 weeks after starting treatment with OLUMIANT, and remained stable through at least 52 weeks. For most patients, changes in immunoglobulins occurred within the normal reference range.</w:t>
      </w:r>
    </w:p>
    <w:p w14:paraId="21842B73" w14:textId="77777777" w:rsidR="00DB09BB" w:rsidRPr="00625B9E" w:rsidRDefault="00DB09BB" w:rsidP="00DB09BB">
      <w:pPr>
        <w:rPr>
          <w:i/>
        </w:rPr>
      </w:pPr>
      <w:r w:rsidRPr="00625B9E">
        <w:rPr>
          <w:i/>
        </w:rPr>
        <w:t>Lymphocytes</w:t>
      </w:r>
    </w:p>
    <w:p w14:paraId="6683A39B" w14:textId="77777777" w:rsidR="00DB09BB" w:rsidRPr="00625B9E" w:rsidRDefault="00DB09BB" w:rsidP="00DB09BB">
      <w:r w:rsidRPr="00625B9E">
        <w:t>Mean absolute lymphocyte count increased by 1 week after starting treatment with OLUMIANT, returned to baseline by week 24, and then remained stable through at least 104 weeks. For most patients, changes in lymphocyte count occurred within the normal reference range.</w:t>
      </w:r>
    </w:p>
    <w:p w14:paraId="6328606D" w14:textId="77777777" w:rsidR="00DB09BB" w:rsidRPr="00625B9E" w:rsidRDefault="00DB09BB" w:rsidP="00DB09BB">
      <w:pPr>
        <w:rPr>
          <w:i/>
        </w:rPr>
      </w:pPr>
      <w:r w:rsidRPr="00625B9E">
        <w:rPr>
          <w:i/>
        </w:rPr>
        <w:t>C-reactive protein</w:t>
      </w:r>
    </w:p>
    <w:p w14:paraId="1F081DC0" w14:textId="43840AB0" w:rsidR="00DB09BB" w:rsidRDefault="00DB09BB" w:rsidP="00DB09BB">
      <w:r w:rsidRPr="00625B9E">
        <w:t xml:space="preserve">In patients with rheumatoid arthritis (RA), decreases in serum C-reactive protein (CRP) were observed as early as 1 week after starting treatment with OLUMIANT and were maintained throughout dosing. </w:t>
      </w:r>
    </w:p>
    <w:p w14:paraId="3B9ACD2B" w14:textId="4B083B3F" w:rsidR="00A07014" w:rsidRDefault="00A07014" w:rsidP="00981B2D">
      <w:pPr>
        <w:rPr>
          <w:i/>
        </w:rPr>
      </w:pPr>
      <w:r>
        <w:rPr>
          <w:i/>
        </w:rPr>
        <w:t>Creatinine</w:t>
      </w:r>
    </w:p>
    <w:p w14:paraId="4DD01819" w14:textId="77777777" w:rsidR="00F00044" w:rsidRDefault="00F00044" w:rsidP="00F00044">
      <w:bookmarkStart w:id="78" w:name="_Hlk24548549"/>
      <w:bookmarkStart w:id="79" w:name="_Hlk19715541"/>
      <w:r>
        <w:t xml:space="preserve">In atopic dermatitis, baricitinib induced a mean increase in serum creatinine levels (3.5 </w:t>
      </w:r>
      <w:proofErr w:type="spellStart"/>
      <w:r>
        <w:t>umol</w:t>
      </w:r>
      <w:proofErr w:type="spellEnd"/>
      <w:r>
        <w:t>/L) after 12 weeks of treatment, which remained stable thereafter during up to 68 weeks of treatment</w:t>
      </w:r>
      <w:bookmarkEnd w:id="78"/>
      <w:r>
        <w:t>. This may be due to inhibition of creatinine secretion by baricitinib in the renal tubules. Consequently, estimates of the glomerular filtration rate based on serum creatinine may be slightly reduced, without actual loss of renal function or the occurrence of renal adverse events. In atopic dermatitis, baricitinib was associated with decrease in cystatin C (also used to estimate glomerular filtration rate) of 0.1 mg/L at Week 4, with no further decrease noted up to Week 16.</w:t>
      </w:r>
    </w:p>
    <w:p w14:paraId="0152C48A" w14:textId="77777777" w:rsidR="002F17E8" w:rsidRPr="001D3C07" w:rsidRDefault="002F17E8" w:rsidP="001D3C07">
      <w:pPr>
        <w:rPr>
          <w:i/>
        </w:rPr>
      </w:pPr>
      <w:r w:rsidRPr="001D3C07">
        <w:rPr>
          <w:i/>
        </w:rPr>
        <w:t>Skin biopsies and in vitro skin models</w:t>
      </w:r>
    </w:p>
    <w:p w14:paraId="076CE544" w14:textId="5E576079" w:rsidR="001D3C07" w:rsidRPr="001D3C07" w:rsidRDefault="001D3C07" w:rsidP="001D3C07">
      <w:r w:rsidRPr="001D3C07">
        <w:t xml:space="preserve">Elevated pSTAT3 levels are associated with increased inflammation in atopic dermatitis. In </w:t>
      </w:r>
      <w:proofErr w:type="spellStart"/>
      <w:r w:rsidRPr="001D3C07">
        <w:t>lesional</w:t>
      </w:r>
      <w:proofErr w:type="spellEnd"/>
      <w:r w:rsidRPr="001D3C07">
        <w:t xml:space="preserve"> skin of patients with atopic dermatitis, </w:t>
      </w:r>
      <w:r>
        <w:t>OLUMIANT</w:t>
      </w:r>
      <w:r w:rsidRPr="001D3C07">
        <w:t xml:space="preserve"> reduced phosphorylated STAT3 (pSTAT3) expression in epidermal keratinocytes at week 4 and week 16 reflecting disease improvement.</w:t>
      </w:r>
    </w:p>
    <w:p w14:paraId="1AC19350" w14:textId="683E3C32" w:rsidR="00237046" w:rsidRPr="00237046" w:rsidRDefault="001D3C07" w:rsidP="00237046">
      <w:r w:rsidRPr="00237046">
        <w:t xml:space="preserve">In a human skin equivalent model treated with pro-inflammatory cytokines (i.e., IL-4, IL-13, IL-31), OLUMIANT reduced pathological changes consistent with atopic dermatitis, reduced epidermal keratinocyte pSTAT3 expression, and increased the expression of </w:t>
      </w:r>
      <w:proofErr w:type="spellStart"/>
      <w:r w:rsidRPr="00237046">
        <w:t>filaggrin</w:t>
      </w:r>
      <w:proofErr w:type="spellEnd"/>
      <w:r w:rsidRPr="00237046">
        <w:t>, a protein that plays a role in skin barrier function and in the pathogenesis of atopic dermatitis.</w:t>
      </w:r>
      <w:bookmarkEnd w:id="79"/>
    </w:p>
    <w:p w14:paraId="156A14A9" w14:textId="5EEBF7C3" w:rsidR="001A3992" w:rsidRDefault="001A3992" w:rsidP="001A3992">
      <w:pPr>
        <w:pStyle w:val="Heading3"/>
        <w:spacing w:after="120"/>
        <w:rPr>
          <w:lang w:val="en-US"/>
        </w:rPr>
      </w:pPr>
      <w:bookmarkStart w:id="80" w:name="_Clinical_trials"/>
      <w:bookmarkEnd w:id="80"/>
      <w:r w:rsidRPr="00625B9E">
        <w:t>Clinical</w:t>
      </w:r>
      <w:r w:rsidRPr="00625B9E">
        <w:rPr>
          <w:lang w:val="en-US"/>
        </w:rPr>
        <w:t xml:space="preserve"> trials</w:t>
      </w:r>
    </w:p>
    <w:p w14:paraId="1D8CE31C" w14:textId="553F20A9" w:rsidR="0027237E" w:rsidRPr="0027237E" w:rsidRDefault="0027237E" w:rsidP="0027237E">
      <w:pPr>
        <w:rPr>
          <w:b/>
          <w:i/>
          <w:u w:val="single"/>
          <w:lang w:val="en-US"/>
        </w:rPr>
      </w:pPr>
      <w:r w:rsidRPr="0027237E">
        <w:rPr>
          <w:b/>
          <w:i/>
          <w:u w:val="single"/>
          <w:lang w:val="en-US"/>
        </w:rPr>
        <w:t>Rheumatoid Arthritis</w:t>
      </w:r>
    </w:p>
    <w:p w14:paraId="21A75CEE" w14:textId="2C618E75" w:rsidR="00AA2C34" w:rsidRDefault="00AA2C34" w:rsidP="00AA2C34">
      <w:r w:rsidRPr="00625B9E">
        <w:t>The efficacy and safety of OLUMIANT was assessed in four randomised, double-blind, multicentre studies in patients with active RA (</w:t>
      </w:r>
      <w:hyperlink w:anchor="Table4" w:history="1">
        <w:r w:rsidR="00DD471A" w:rsidRPr="00DD471A">
          <w:t xml:space="preserve">Table </w:t>
        </w:r>
      </w:hyperlink>
      <w:r w:rsidR="00C55138">
        <w:rPr>
          <w:rStyle w:val="Hyperlink"/>
          <w:color w:val="auto"/>
          <w:u w:val="none"/>
          <w:lang w:val="en-US"/>
        </w:rPr>
        <w:t>6</w:t>
      </w:r>
      <w:r w:rsidRPr="00625B9E">
        <w:t xml:space="preserve">). The patients were diagnosed according to American College of Rheumatology (ACR)/European League Against Rheumatism (EULAR) 2010 criteria.  Patients over 18 years of age were eligible if at least 6 tender and 6 swollen joints were present at </w:t>
      </w:r>
      <w:r w:rsidRPr="00625B9E">
        <w:lastRenderedPageBreak/>
        <w:t>baseline. All patients who completed these studies were eligible to enrol in a long term extension study for up to 4 years continued treatment.</w:t>
      </w:r>
    </w:p>
    <w:p w14:paraId="35A2EA42" w14:textId="27B34574" w:rsidR="00305EBA" w:rsidRDefault="00305EBA" w:rsidP="00305EBA">
      <w:pPr>
        <w:rPr>
          <w:b/>
        </w:rPr>
      </w:pPr>
      <w:r w:rsidRPr="00305EBA">
        <w:rPr>
          <w:b/>
        </w:rPr>
        <w:t>Table 6 Summary of Clinical Trials</w:t>
      </w:r>
    </w:p>
    <w:tbl>
      <w:tblPr>
        <w:tblStyle w:val="TableGridLight1"/>
        <w:tblW w:w="0" w:type="auto"/>
        <w:tblInd w:w="5" w:type="dxa"/>
        <w:tblLook w:val="04A0" w:firstRow="1" w:lastRow="0" w:firstColumn="1" w:lastColumn="0" w:noHBand="0" w:noVBand="1"/>
      </w:tblPr>
      <w:tblGrid>
        <w:gridCol w:w="1264"/>
        <w:gridCol w:w="1556"/>
        <w:gridCol w:w="2538"/>
        <w:gridCol w:w="3653"/>
      </w:tblGrid>
      <w:tr w:rsidR="00305EBA" w:rsidRPr="00305EBA" w14:paraId="70A6A0D7" w14:textId="77777777" w:rsidTr="00305EBA">
        <w:trPr>
          <w:tblHeader/>
        </w:trPr>
        <w:tc>
          <w:tcPr>
            <w:tcW w:w="1264" w:type="dxa"/>
          </w:tcPr>
          <w:p w14:paraId="2EE298EA"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b/>
                <w:sz w:val="19"/>
                <w:szCs w:val="19"/>
              </w:rPr>
              <w:t>Study name</w:t>
            </w:r>
            <w:r w:rsidRPr="00305EBA">
              <w:rPr>
                <w:rFonts w:ascii="Cambria" w:hAnsi="Cambria" w:cs="Times New Roman"/>
                <w:sz w:val="19"/>
                <w:szCs w:val="19"/>
              </w:rPr>
              <w:t xml:space="preserve"> (duration)</w:t>
            </w:r>
          </w:p>
        </w:tc>
        <w:tc>
          <w:tcPr>
            <w:tcW w:w="1556" w:type="dxa"/>
          </w:tcPr>
          <w:p w14:paraId="46112864"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b/>
                <w:sz w:val="19"/>
                <w:szCs w:val="19"/>
              </w:rPr>
              <w:t>Population</w:t>
            </w:r>
            <w:r w:rsidRPr="00305EBA">
              <w:rPr>
                <w:rFonts w:ascii="Cambria" w:hAnsi="Cambria" w:cs="Times New Roman"/>
                <w:sz w:val="19"/>
                <w:szCs w:val="19"/>
              </w:rPr>
              <w:t xml:space="preserve"> (Number randomised)</w:t>
            </w:r>
          </w:p>
        </w:tc>
        <w:tc>
          <w:tcPr>
            <w:tcW w:w="2538" w:type="dxa"/>
          </w:tcPr>
          <w:p w14:paraId="1B4766F0" w14:textId="77777777" w:rsidR="00305EBA" w:rsidRPr="00305EBA" w:rsidRDefault="00305EBA" w:rsidP="00305EBA">
            <w:pPr>
              <w:spacing w:before="180" w:after="180" w:line="240" w:lineRule="atLeast"/>
              <w:rPr>
                <w:rFonts w:ascii="Cambria" w:hAnsi="Cambria" w:cs="Times New Roman"/>
                <w:b/>
                <w:sz w:val="19"/>
                <w:szCs w:val="19"/>
              </w:rPr>
            </w:pPr>
            <w:r w:rsidRPr="00305EBA">
              <w:rPr>
                <w:rFonts w:ascii="Cambria" w:hAnsi="Cambria" w:cs="Times New Roman"/>
                <w:b/>
                <w:sz w:val="19"/>
                <w:szCs w:val="19"/>
              </w:rPr>
              <w:t>Treatment arms</w:t>
            </w:r>
          </w:p>
        </w:tc>
        <w:tc>
          <w:tcPr>
            <w:tcW w:w="3653" w:type="dxa"/>
          </w:tcPr>
          <w:p w14:paraId="1D44BA2A" w14:textId="77777777" w:rsidR="00305EBA" w:rsidRPr="00305EBA" w:rsidRDefault="00305EBA" w:rsidP="00305EBA">
            <w:pPr>
              <w:spacing w:before="180" w:after="180" w:line="240" w:lineRule="atLeast"/>
              <w:rPr>
                <w:rFonts w:ascii="Cambria" w:hAnsi="Cambria" w:cs="Times New Roman"/>
                <w:b/>
                <w:sz w:val="19"/>
                <w:szCs w:val="19"/>
              </w:rPr>
            </w:pPr>
            <w:r w:rsidRPr="00305EBA">
              <w:rPr>
                <w:rFonts w:ascii="Cambria" w:hAnsi="Cambria" w:cs="Times New Roman"/>
                <w:b/>
                <w:sz w:val="19"/>
                <w:szCs w:val="19"/>
              </w:rPr>
              <w:t>Summary of key outcome measures</w:t>
            </w:r>
          </w:p>
        </w:tc>
      </w:tr>
      <w:tr w:rsidR="00305EBA" w:rsidRPr="00305EBA" w14:paraId="360105D5" w14:textId="77777777" w:rsidTr="00305EBA">
        <w:tc>
          <w:tcPr>
            <w:tcW w:w="1264" w:type="dxa"/>
          </w:tcPr>
          <w:p w14:paraId="4375522A"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RA-BEGIN</w:t>
            </w:r>
          </w:p>
        </w:tc>
        <w:tc>
          <w:tcPr>
            <w:tcW w:w="1556" w:type="dxa"/>
          </w:tcPr>
          <w:p w14:paraId="06DDEB0E"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vertAlign w:val="superscript"/>
                <w:lang w:val="en-US" w:eastAsia="en-GB"/>
              </w:rPr>
            </w:pPr>
            <w:r w:rsidRPr="00305EBA">
              <w:rPr>
                <w:rFonts w:ascii="Cambria" w:eastAsia="Times New Roman" w:hAnsi="Cambria" w:cs="Cambria"/>
                <w:sz w:val="19"/>
                <w:szCs w:val="19"/>
                <w:lang w:val="en-US" w:eastAsia="en-GB"/>
              </w:rPr>
              <w:t>MTX-naive</w:t>
            </w:r>
            <w:r w:rsidRPr="00305EBA">
              <w:rPr>
                <w:rFonts w:ascii="Cambria" w:eastAsia="Times New Roman" w:hAnsi="Cambria" w:cs="Cambria"/>
                <w:sz w:val="19"/>
                <w:szCs w:val="19"/>
                <w:vertAlign w:val="superscript"/>
                <w:lang w:val="en-US" w:eastAsia="en-GB"/>
              </w:rPr>
              <w:t>1</w:t>
            </w:r>
          </w:p>
          <w:p w14:paraId="0A8F2ABE"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lang w:val="en-GB" w:eastAsia="en-GB"/>
              </w:rPr>
            </w:pPr>
            <w:r w:rsidRPr="00305EBA">
              <w:rPr>
                <w:rFonts w:ascii="Cambria" w:eastAsia="Times New Roman" w:hAnsi="Cambria" w:cs="Cambria"/>
                <w:sz w:val="19"/>
                <w:szCs w:val="19"/>
                <w:lang w:val="en-US"/>
              </w:rPr>
              <w:t>(584)</w:t>
            </w:r>
          </w:p>
        </w:tc>
        <w:tc>
          <w:tcPr>
            <w:tcW w:w="2538" w:type="dxa"/>
          </w:tcPr>
          <w:p w14:paraId="31676668"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OLUMIANT 4 mg QD</w:t>
            </w:r>
          </w:p>
          <w:p w14:paraId="66D08423"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OLUMIANT 4 mg QD + MTX</w:t>
            </w:r>
          </w:p>
          <w:p w14:paraId="686A232E"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MTX</w:t>
            </w:r>
          </w:p>
        </w:tc>
        <w:tc>
          <w:tcPr>
            <w:tcW w:w="3653" w:type="dxa"/>
          </w:tcPr>
          <w:p w14:paraId="4AD48E33"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 xml:space="preserve">Primary endpoints: </w:t>
            </w:r>
          </w:p>
          <w:p w14:paraId="57602958"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ACR20 at week 24 </w:t>
            </w:r>
          </w:p>
          <w:p w14:paraId="1F1F079D"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Other endpoints:</w:t>
            </w:r>
          </w:p>
          <w:p w14:paraId="0473C211"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Physical function (HAQ-DI)</w:t>
            </w:r>
          </w:p>
          <w:p w14:paraId="67E8CA35"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Radiographic progression (</w:t>
            </w:r>
            <w:proofErr w:type="spellStart"/>
            <w:r w:rsidRPr="00305EBA">
              <w:rPr>
                <w:rFonts w:ascii="Cambria" w:hAnsi="Cambria" w:cs="Times New Roman"/>
                <w:sz w:val="19"/>
                <w:szCs w:val="19"/>
              </w:rPr>
              <w:t>mTSS</w:t>
            </w:r>
            <w:proofErr w:type="spellEnd"/>
            <w:r w:rsidRPr="00305EBA">
              <w:rPr>
                <w:rFonts w:ascii="Cambria" w:hAnsi="Cambria" w:cs="Times New Roman"/>
                <w:sz w:val="19"/>
                <w:szCs w:val="19"/>
              </w:rPr>
              <w:t>)</w:t>
            </w:r>
          </w:p>
          <w:p w14:paraId="68A250C2"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Low disease activity and remission (SDAI, DAS28-hsCRP)</w:t>
            </w:r>
          </w:p>
        </w:tc>
      </w:tr>
      <w:tr w:rsidR="00305EBA" w:rsidRPr="00305EBA" w14:paraId="52AB494D" w14:textId="77777777" w:rsidTr="00305EBA">
        <w:tc>
          <w:tcPr>
            <w:tcW w:w="1264" w:type="dxa"/>
          </w:tcPr>
          <w:p w14:paraId="604990AC"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(52 weeks)</w:t>
            </w:r>
          </w:p>
        </w:tc>
        <w:tc>
          <w:tcPr>
            <w:tcW w:w="1556" w:type="dxa"/>
          </w:tcPr>
          <w:p w14:paraId="013FFD97"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vertAlign w:val="superscript"/>
                <w:lang w:val="en-US" w:eastAsia="en-GB"/>
              </w:rPr>
            </w:pPr>
            <w:r w:rsidRPr="00305EBA">
              <w:rPr>
                <w:rFonts w:ascii="Cambria" w:eastAsia="Times New Roman" w:hAnsi="Cambria" w:cs="Cambria"/>
                <w:sz w:val="19"/>
                <w:szCs w:val="19"/>
                <w:lang w:val="en-US" w:eastAsia="en-GB"/>
              </w:rPr>
              <w:t>MTX-IR</w:t>
            </w:r>
            <w:r w:rsidRPr="00305EBA">
              <w:rPr>
                <w:rFonts w:ascii="Cambria" w:eastAsia="Times New Roman" w:hAnsi="Cambria" w:cs="Cambria"/>
                <w:sz w:val="19"/>
                <w:szCs w:val="19"/>
                <w:vertAlign w:val="superscript"/>
                <w:lang w:val="en-US" w:eastAsia="en-GB"/>
              </w:rPr>
              <w:t>2</w:t>
            </w:r>
          </w:p>
          <w:p w14:paraId="0EF03AF0"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lang w:val="en-GB" w:eastAsia="en-GB"/>
              </w:rPr>
            </w:pPr>
            <w:r w:rsidRPr="00305EBA">
              <w:rPr>
                <w:rFonts w:ascii="Cambria" w:eastAsia="Times New Roman" w:hAnsi="Cambria" w:cs="Cambria"/>
                <w:sz w:val="19"/>
                <w:szCs w:val="19"/>
                <w:lang w:val="en-US"/>
              </w:rPr>
              <w:t>(1305)</w:t>
            </w:r>
          </w:p>
        </w:tc>
        <w:tc>
          <w:tcPr>
            <w:tcW w:w="2538" w:type="dxa"/>
          </w:tcPr>
          <w:p w14:paraId="3111BBB1"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OLUMIANT 4 mg QD </w:t>
            </w:r>
          </w:p>
          <w:p w14:paraId="105A449E"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Adalimumab 40 mg SC Q2W </w:t>
            </w:r>
          </w:p>
          <w:p w14:paraId="72070BEB"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Placebo</w:t>
            </w:r>
          </w:p>
          <w:p w14:paraId="13612681"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All patients on background MTX</w:t>
            </w:r>
          </w:p>
        </w:tc>
        <w:tc>
          <w:tcPr>
            <w:tcW w:w="3653" w:type="dxa"/>
          </w:tcPr>
          <w:p w14:paraId="110EE2EE"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Primary endpoints:</w:t>
            </w:r>
          </w:p>
          <w:p w14:paraId="0324838E"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ACR20 at week 12 </w:t>
            </w:r>
          </w:p>
          <w:p w14:paraId="2AD78FD1"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 xml:space="preserve">Other endpoints: </w:t>
            </w:r>
          </w:p>
          <w:p w14:paraId="2AB5055E"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Physical function (HAQ-DI)</w:t>
            </w:r>
          </w:p>
          <w:p w14:paraId="7D9BB9B7"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Radiographic progression (</w:t>
            </w:r>
            <w:proofErr w:type="spellStart"/>
            <w:r w:rsidRPr="00305EBA">
              <w:rPr>
                <w:rFonts w:ascii="Cambria" w:hAnsi="Cambria" w:cs="Times New Roman"/>
                <w:sz w:val="19"/>
                <w:szCs w:val="19"/>
              </w:rPr>
              <w:t>mTSS</w:t>
            </w:r>
            <w:proofErr w:type="spellEnd"/>
            <w:r w:rsidRPr="00305EBA">
              <w:rPr>
                <w:rFonts w:ascii="Cambria" w:hAnsi="Cambria" w:cs="Times New Roman"/>
                <w:sz w:val="19"/>
                <w:szCs w:val="19"/>
              </w:rPr>
              <w:t>)</w:t>
            </w:r>
          </w:p>
          <w:p w14:paraId="5A30A820"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Low disease activity and remission (SDAI, DAS28-hsCRP)</w:t>
            </w:r>
          </w:p>
          <w:p w14:paraId="17AEBD34"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Morning joint stiffness (duration and severity)</w:t>
            </w:r>
          </w:p>
          <w:p w14:paraId="259D24BF"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Worst tiredness</w:t>
            </w:r>
          </w:p>
          <w:p w14:paraId="18977759"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Worst joint pain</w:t>
            </w:r>
          </w:p>
          <w:p w14:paraId="05CA6182"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Radiographic progression (</w:t>
            </w:r>
            <w:proofErr w:type="spellStart"/>
            <w:r w:rsidRPr="00305EBA">
              <w:rPr>
                <w:rFonts w:ascii="Cambria" w:hAnsi="Cambria" w:cs="Times New Roman"/>
                <w:sz w:val="19"/>
                <w:szCs w:val="19"/>
              </w:rPr>
              <w:t>mTSS</w:t>
            </w:r>
            <w:proofErr w:type="spellEnd"/>
            <w:r w:rsidRPr="00305EBA">
              <w:rPr>
                <w:rFonts w:ascii="Cambria" w:hAnsi="Cambria" w:cs="Times New Roman"/>
                <w:sz w:val="19"/>
                <w:szCs w:val="19"/>
              </w:rPr>
              <w:t>)</w:t>
            </w:r>
          </w:p>
          <w:p w14:paraId="400B7957"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ACR50 </w:t>
            </w:r>
          </w:p>
          <w:p w14:paraId="133AD287"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ACR70</w:t>
            </w:r>
          </w:p>
        </w:tc>
      </w:tr>
      <w:tr w:rsidR="00305EBA" w:rsidRPr="00305EBA" w14:paraId="3C000919" w14:textId="77777777" w:rsidTr="00305EBA">
        <w:tc>
          <w:tcPr>
            <w:tcW w:w="1264" w:type="dxa"/>
          </w:tcPr>
          <w:p w14:paraId="1027FB06"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RA-BEAM</w:t>
            </w:r>
          </w:p>
        </w:tc>
        <w:tc>
          <w:tcPr>
            <w:tcW w:w="1556" w:type="dxa"/>
          </w:tcPr>
          <w:p w14:paraId="68D5C5CE"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vertAlign w:val="superscript"/>
                <w:lang w:val="en-US" w:eastAsia="en-GB"/>
              </w:rPr>
            </w:pPr>
            <w:r w:rsidRPr="00305EBA">
              <w:rPr>
                <w:rFonts w:ascii="Cambria" w:eastAsia="Times New Roman" w:hAnsi="Cambria" w:cs="Cambria"/>
                <w:sz w:val="19"/>
                <w:szCs w:val="19"/>
                <w:lang w:val="en-US" w:eastAsia="en-GB"/>
              </w:rPr>
              <w:t>cDMARD-IR</w:t>
            </w:r>
            <w:r w:rsidRPr="00305EBA">
              <w:rPr>
                <w:rFonts w:ascii="Cambria" w:eastAsia="Times New Roman" w:hAnsi="Cambria" w:cs="Cambria"/>
                <w:sz w:val="19"/>
                <w:szCs w:val="19"/>
                <w:vertAlign w:val="superscript"/>
                <w:lang w:val="en-US" w:eastAsia="en-GB"/>
              </w:rPr>
              <w:t>3</w:t>
            </w:r>
          </w:p>
          <w:p w14:paraId="6C126B9D"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lang w:val="en-GB" w:eastAsia="en-GB"/>
              </w:rPr>
            </w:pPr>
            <w:r w:rsidRPr="00305EBA">
              <w:rPr>
                <w:rFonts w:ascii="Cambria" w:eastAsia="Times New Roman" w:hAnsi="Cambria" w:cs="Cambria"/>
                <w:sz w:val="19"/>
                <w:szCs w:val="19"/>
                <w:lang w:val="en-US"/>
              </w:rPr>
              <w:t>(684)</w:t>
            </w:r>
          </w:p>
        </w:tc>
        <w:tc>
          <w:tcPr>
            <w:tcW w:w="2538" w:type="dxa"/>
          </w:tcPr>
          <w:p w14:paraId="19B768F0"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OLUMIANT 4 mg QD </w:t>
            </w:r>
          </w:p>
          <w:p w14:paraId="2C417F41"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OLUMIANT 2 mg QD </w:t>
            </w:r>
          </w:p>
          <w:p w14:paraId="67BB9FB3"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Placebo</w:t>
            </w:r>
          </w:p>
          <w:p w14:paraId="23EA93FC"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 xml:space="preserve">On background </w:t>
            </w:r>
            <w:proofErr w:type="spellStart"/>
            <w:r w:rsidRPr="00305EBA">
              <w:rPr>
                <w:rFonts w:ascii="Cambria" w:hAnsi="Cambria" w:cs="Times New Roman"/>
                <w:sz w:val="19"/>
                <w:szCs w:val="19"/>
              </w:rPr>
              <w:t>cDMARDs</w:t>
            </w:r>
            <w:proofErr w:type="spellEnd"/>
            <w:r w:rsidRPr="00305EBA">
              <w:rPr>
                <w:rFonts w:ascii="Cambria" w:hAnsi="Cambria" w:cs="Times New Roman"/>
                <w:sz w:val="19"/>
                <w:szCs w:val="19"/>
              </w:rPr>
              <w:t xml:space="preserve"> if on stable </w:t>
            </w:r>
            <w:proofErr w:type="spellStart"/>
            <w:r w:rsidRPr="00305EBA">
              <w:rPr>
                <w:rFonts w:ascii="Cambria" w:hAnsi="Cambria" w:cs="Times New Roman"/>
                <w:sz w:val="19"/>
                <w:szCs w:val="19"/>
              </w:rPr>
              <w:t>cDMARD</w:t>
            </w:r>
            <w:proofErr w:type="spellEnd"/>
            <w:r w:rsidRPr="00305EBA">
              <w:rPr>
                <w:rFonts w:ascii="Cambria" w:hAnsi="Cambria" w:cs="Times New Roman"/>
                <w:sz w:val="19"/>
                <w:szCs w:val="19"/>
              </w:rPr>
              <w:t xml:space="preserve"> at study entry</w:t>
            </w:r>
          </w:p>
        </w:tc>
        <w:tc>
          <w:tcPr>
            <w:tcW w:w="3653" w:type="dxa"/>
          </w:tcPr>
          <w:p w14:paraId="793BEAFB"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Primary endpoints:</w:t>
            </w:r>
          </w:p>
          <w:p w14:paraId="0AB2A77B"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ACR20 at week 12 </w:t>
            </w:r>
          </w:p>
          <w:p w14:paraId="02CFDCC0"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Other endpoints:</w:t>
            </w:r>
          </w:p>
          <w:p w14:paraId="7B5454AA"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Physical function (HAQ-DI)</w:t>
            </w:r>
          </w:p>
          <w:p w14:paraId="6D40F053"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Radiographic progression (</w:t>
            </w:r>
            <w:proofErr w:type="spellStart"/>
            <w:r w:rsidRPr="00305EBA">
              <w:rPr>
                <w:rFonts w:ascii="Cambria" w:hAnsi="Cambria" w:cs="Times New Roman"/>
                <w:sz w:val="19"/>
                <w:szCs w:val="19"/>
              </w:rPr>
              <w:t>mTSS</w:t>
            </w:r>
            <w:proofErr w:type="spellEnd"/>
            <w:r w:rsidRPr="00305EBA">
              <w:rPr>
                <w:rFonts w:ascii="Cambria" w:hAnsi="Cambria" w:cs="Times New Roman"/>
                <w:sz w:val="19"/>
                <w:szCs w:val="19"/>
              </w:rPr>
              <w:t>)</w:t>
            </w:r>
          </w:p>
          <w:p w14:paraId="6F508694"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Low disease activity and remission (SDAI,DAS28-hsCRP)</w:t>
            </w:r>
          </w:p>
          <w:p w14:paraId="7F47C14A"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Morning joint stiffness (duration and severity)</w:t>
            </w:r>
          </w:p>
          <w:p w14:paraId="7ECF38E1"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Worst tiredness</w:t>
            </w:r>
          </w:p>
          <w:p w14:paraId="6EC5F976"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Worst joint pain</w:t>
            </w:r>
          </w:p>
        </w:tc>
      </w:tr>
      <w:tr w:rsidR="00305EBA" w:rsidRPr="00305EBA" w14:paraId="4DE2920D" w14:textId="77777777" w:rsidTr="00305EBA">
        <w:tc>
          <w:tcPr>
            <w:tcW w:w="1264" w:type="dxa"/>
          </w:tcPr>
          <w:p w14:paraId="6869C6D7"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(52 weeks)</w:t>
            </w:r>
          </w:p>
        </w:tc>
        <w:tc>
          <w:tcPr>
            <w:tcW w:w="1556" w:type="dxa"/>
          </w:tcPr>
          <w:p w14:paraId="3CFE203D"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vertAlign w:val="superscript"/>
                <w:lang w:val="en-US" w:eastAsia="en-GB"/>
              </w:rPr>
            </w:pPr>
            <w:r w:rsidRPr="00305EBA">
              <w:rPr>
                <w:rFonts w:ascii="Cambria" w:eastAsia="Times New Roman" w:hAnsi="Cambria" w:cs="Cambria"/>
                <w:sz w:val="19"/>
                <w:szCs w:val="19"/>
                <w:lang w:val="en-US" w:eastAsia="en-GB"/>
              </w:rPr>
              <w:t>TNF-IR</w:t>
            </w:r>
            <w:r w:rsidRPr="00305EBA">
              <w:rPr>
                <w:rFonts w:ascii="Cambria" w:eastAsia="Times New Roman" w:hAnsi="Cambria" w:cs="Cambria"/>
                <w:sz w:val="19"/>
                <w:szCs w:val="19"/>
                <w:vertAlign w:val="superscript"/>
                <w:lang w:val="en-US" w:eastAsia="en-GB"/>
              </w:rPr>
              <w:t>4</w:t>
            </w:r>
          </w:p>
          <w:p w14:paraId="7C27A0D8"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lang w:val="en-GB" w:eastAsia="en-GB"/>
              </w:rPr>
            </w:pPr>
            <w:r w:rsidRPr="00305EBA">
              <w:rPr>
                <w:rFonts w:ascii="Cambria" w:eastAsia="Times New Roman" w:hAnsi="Cambria" w:cs="Cambria"/>
                <w:sz w:val="19"/>
                <w:szCs w:val="19"/>
                <w:lang w:val="en-US"/>
              </w:rPr>
              <w:t>(527)</w:t>
            </w:r>
          </w:p>
        </w:tc>
        <w:tc>
          <w:tcPr>
            <w:tcW w:w="2538" w:type="dxa"/>
          </w:tcPr>
          <w:p w14:paraId="175272C3"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OLUMIANT 4 mg QD</w:t>
            </w:r>
          </w:p>
          <w:p w14:paraId="510952B8"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OLUMIANT 2 mg QD </w:t>
            </w:r>
          </w:p>
          <w:p w14:paraId="6DB7394E"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Placebo </w:t>
            </w:r>
          </w:p>
          <w:p w14:paraId="291E44B9"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 xml:space="preserve">On background </w:t>
            </w:r>
            <w:proofErr w:type="spellStart"/>
            <w:r w:rsidRPr="00305EBA">
              <w:rPr>
                <w:rFonts w:ascii="Cambria" w:hAnsi="Cambria" w:cs="Times New Roman"/>
                <w:sz w:val="19"/>
                <w:szCs w:val="19"/>
              </w:rPr>
              <w:t>cDMARDs</w:t>
            </w:r>
            <w:proofErr w:type="spellEnd"/>
          </w:p>
        </w:tc>
        <w:tc>
          <w:tcPr>
            <w:tcW w:w="3653" w:type="dxa"/>
          </w:tcPr>
          <w:p w14:paraId="093F2987"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Primary endpoints:</w:t>
            </w:r>
          </w:p>
          <w:p w14:paraId="5728DBFC"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ACR20 at week 12 </w:t>
            </w:r>
          </w:p>
          <w:p w14:paraId="558C3860"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Other endpoints:</w:t>
            </w:r>
          </w:p>
          <w:p w14:paraId="7F5B8EF1"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lastRenderedPageBreak/>
              <w:t>Physical function (HAQ-DI)</w:t>
            </w:r>
          </w:p>
          <w:p w14:paraId="7687AC1B"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Low disease activity and remission (SDAI,DAS28-hsCRP)</w:t>
            </w:r>
          </w:p>
        </w:tc>
      </w:tr>
      <w:tr w:rsidR="00305EBA" w:rsidRPr="00305EBA" w14:paraId="638D60B9" w14:textId="77777777" w:rsidTr="00305EBA">
        <w:tc>
          <w:tcPr>
            <w:tcW w:w="1264" w:type="dxa"/>
          </w:tcPr>
          <w:p w14:paraId="0809DB83"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lastRenderedPageBreak/>
              <w:t>RA-BUILD</w:t>
            </w:r>
          </w:p>
        </w:tc>
        <w:tc>
          <w:tcPr>
            <w:tcW w:w="1556" w:type="dxa"/>
          </w:tcPr>
          <w:p w14:paraId="7D36DB72" w14:textId="77777777" w:rsidR="00305EBA" w:rsidRPr="00305EBA" w:rsidRDefault="00305EBA" w:rsidP="00305EBA">
            <w:pPr>
              <w:keepNext/>
              <w:keepLines/>
              <w:autoSpaceDE w:val="0"/>
              <w:autoSpaceDN w:val="0"/>
              <w:spacing w:before="180" w:line="280" w:lineRule="exact"/>
              <w:rPr>
                <w:rFonts w:ascii="Cambria" w:eastAsia="Times New Roman" w:hAnsi="Cambria" w:cs="Cambria"/>
                <w:sz w:val="19"/>
                <w:szCs w:val="19"/>
                <w:lang w:val="en-US" w:eastAsia="en-GB"/>
              </w:rPr>
            </w:pPr>
            <w:r w:rsidRPr="00305EBA">
              <w:rPr>
                <w:rFonts w:ascii="Cambria" w:eastAsia="Times New Roman" w:hAnsi="Cambria" w:cs="Cambria"/>
                <w:sz w:val="19"/>
                <w:szCs w:val="19"/>
                <w:lang w:val="en-US" w:eastAsia="en-GB"/>
              </w:rPr>
              <w:t>Long Term Extension (2539)</w:t>
            </w:r>
          </w:p>
        </w:tc>
        <w:tc>
          <w:tcPr>
            <w:tcW w:w="2538" w:type="dxa"/>
          </w:tcPr>
          <w:p w14:paraId="3C8DA0B8"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OLUMIANT 4 mg QD</w:t>
            </w:r>
          </w:p>
          <w:p w14:paraId="205B99DF" w14:textId="77777777" w:rsidR="00305EBA" w:rsidRPr="00305EBA" w:rsidRDefault="00305EBA" w:rsidP="00305EBA">
            <w:pPr>
              <w:ind w:left="357" w:hanging="357"/>
              <w:rPr>
                <w:rFonts w:ascii="Cambria" w:hAnsi="Cambria" w:cs="Times New Roman"/>
              </w:rPr>
            </w:pPr>
            <w:r w:rsidRPr="00305EBA">
              <w:rPr>
                <w:rFonts w:ascii="Cambria" w:hAnsi="Cambria" w:cs="Times New Roman"/>
                <w:sz w:val="19"/>
                <w:szCs w:val="19"/>
              </w:rPr>
              <w:t>OLUMIANT 2 mg QD</w:t>
            </w:r>
          </w:p>
        </w:tc>
        <w:tc>
          <w:tcPr>
            <w:tcW w:w="3653" w:type="dxa"/>
          </w:tcPr>
          <w:p w14:paraId="752AD07B"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Primary endpoints:</w:t>
            </w:r>
          </w:p>
          <w:p w14:paraId="068D0209"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Safety and tolerability assessments</w:t>
            </w:r>
          </w:p>
          <w:p w14:paraId="6A93D6C7" w14:textId="77777777" w:rsidR="00305EBA" w:rsidRPr="00305EBA" w:rsidRDefault="00305EBA" w:rsidP="00305EBA">
            <w:pPr>
              <w:spacing w:before="180" w:after="180" w:line="240" w:lineRule="atLeast"/>
              <w:rPr>
                <w:rFonts w:ascii="Cambria" w:hAnsi="Cambria" w:cs="Times New Roman"/>
                <w:sz w:val="19"/>
                <w:szCs w:val="19"/>
              </w:rPr>
            </w:pPr>
            <w:r w:rsidRPr="00305EBA">
              <w:rPr>
                <w:rFonts w:ascii="Cambria" w:hAnsi="Cambria" w:cs="Times New Roman"/>
                <w:sz w:val="19"/>
                <w:szCs w:val="19"/>
              </w:rPr>
              <w:t>Other Endpoints</w:t>
            </w:r>
          </w:p>
          <w:p w14:paraId="44A38362"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Durability of ACR20/50/70 response</w:t>
            </w:r>
          </w:p>
          <w:p w14:paraId="4FF42071" w14:textId="77777777" w:rsidR="00305EBA" w:rsidRPr="00305EBA" w:rsidRDefault="00305EBA" w:rsidP="00305EBA">
            <w:pPr>
              <w:ind w:left="357" w:hanging="357"/>
              <w:rPr>
                <w:rFonts w:ascii="Cambria" w:hAnsi="Cambria" w:cs="Times New Roman"/>
                <w:sz w:val="19"/>
                <w:szCs w:val="19"/>
              </w:rPr>
            </w:pPr>
            <w:r w:rsidRPr="00305EBA">
              <w:rPr>
                <w:rFonts w:ascii="Cambria" w:hAnsi="Cambria" w:cs="Times New Roman"/>
                <w:sz w:val="19"/>
                <w:szCs w:val="19"/>
              </w:rPr>
              <w:t xml:space="preserve">Durability of low disease activity or remission (DAS28 </w:t>
            </w:r>
            <w:proofErr w:type="spellStart"/>
            <w:r w:rsidRPr="00305EBA">
              <w:rPr>
                <w:rFonts w:ascii="Cambria" w:hAnsi="Cambria" w:cs="Times New Roman"/>
                <w:sz w:val="19"/>
                <w:szCs w:val="19"/>
              </w:rPr>
              <w:t>hsCRP</w:t>
            </w:r>
            <w:proofErr w:type="spellEnd"/>
            <w:r w:rsidRPr="00305EBA">
              <w:rPr>
                <w:rFonts w:ascii="Cambria" w:hAnsi="Cambria" w:cs="Times New Roman"/>
                <w:sz w:val="19"/>
                <w:szCs w:val="19"/>
              </w:rPr>
              <w:t>, DAS28-ESR, SDAI, and CDAI)</w:t>
            </w:r>
          </w:p>
        </w:tc>
      </w:tr>
    </w:tbl>
    <w:p w14:paraId="40549A34" w14:textId="77777777" w:rsidR="00305EBA" w:rsidRPr="004468BE" w:rsidRDefault="00305EBA" w:rsidP="00305EBA">
      <w:pPr>
        <w:tabs>
          <w:tab w:val="left" w:pos="0"/>
          <w:tab w:val="left" w:pos="259"/>
        </w:tabs>
        <w:spacing w:after="0" w:line="240" w:lineRule="auto"/>
        <w:contextualSpacing/>
        <w:rPr>
          <w:rFonts w:eastAsia="Times New Roman" w:cstheme="minorHAnsi"/>
          <w:sz w:val="18"/>
          <w:szCs w:val="18"/>
          <w:lang w:val="en-GB"/>
        </w:rPr>
      </w:pPr>
      <w:r w:rsidRPr="004468BE">
        <w:rPr>
          <w:rFonts w:eastAsia="Times New Roman" w:cstheme="minorHAnsi"/>
          <w:sz w:val="18"/>
          <w:szCs w:val="18"/>
          <w:lang w:val="en-GB"/>
        </w:rPr>
        <w:t>Abbreviations: QD = Once daily; Q2W = Once every 2 weeks; SC = Subcutaneously;</w:t>
      </w:r>
    </w:p>
    <w:p w14:paraId="08AC90AA" w14:textId="77777777" w:rsidR="00305EBA" w:rsidRPr="004468BE" w:rsidRDefault="00305EBA" w:rsidP="00305EBA">
      <w:pPr>
        <w:tabs>
          <w:tab w:val="left" w:pos="720"/>
        </w:tabs>
        <w:autoSpaceDE w:val="0"/>
        <w:autoSpaceDN w:val="0"/>
        <w:adjustRightInd w:val="0"/>
        <w:spacing w:after="0" w:line="240" w:lineRule="auto"/>
        <w:rPr>
          <w:rFonts w:eastAsia="Times New Roman" w:cstheme="minorHAnsi"/>
          <w:sz w:val="18"/>
          <w:szCs w:val="18"/>
        </w:rPr>
      </w:pPr>
      <w:r w:rsidRPr="004468BE">
        <w:rPr>
          <w:rFonts w:eastAsia="SimSun" w:cstheme="minorHAnsi"/>
          <w:sz w:val="18"/>
          <w:szCs w:val="18"/>
          <w:vertAlign w:val="superscript"/>
          <w:lang w:eastAsia="en-GB"/>
        </w:rPr>
        <w:t xml:space="preserve">1 </w:t>
      </w:r>
      <w:r w:rsidRPr="004468BE">
        <w:rPr>
          <w:rFonts w:eastAsia="SimSun" w:cstheme="minorHAnsi"/>
          <w:sz w:val="18"/>
          <w:szCs w:val="18"/>
          <w:lang w:eastAsia="en-GB"/>
        </w:rPr>
        <w:t>Patients</w:t>
      </w:r>
      <w:r w:rsidRPr="004468BE">
        <w:rPr>
          <w:rFonts w:eastAsia="SimSun" w:cstheme="minorHAnsi"/>
          <w:sz w:val="18"/>
          <w:szCs w:val="18"/>
          <w:vertAlign w:val="superscript"/>
          <w:lang w:eastAsia="en-GB"/>
        </w:rPr>
        <w:t xml:space="preserve"> </w:t>
      </w:r>
      <w:r w:rsidRPr="004468BE">
        <w:rPr>
          <w:rFonts w:eastAsia="Times New Roman" w:cstheme="minorHAnsi"/>
          <w:sz w:val="18"/>
          <w:szCs w:val="18"/>
        </w:rPr>
        <w:t>who had received less than 3 doses of Methotrexate (MTX); naïve to other conventional or biologic DMARDs</w:t>
      </w:r>
    </w:p>
    <w:p w14:paraId="5F368014" w14:textId="77777777" w:rsidR="00305EBA" w:rsidRPr="004468BE" w:rsidRDefault="00305EBA" w:rsidP="00305EBA">
      <w:pPr>
        <w:tabs>
          <w:tab w:val="left" w:pos="720"/>
        </w:tabs>
        <w:autoSpaceDE w:val="0"/>
        <w:autoSpaceDN w:val="0"/>
        <w:adjustRightInd w:val="0"/>
        <w:spacing w:after="0" w:line="240" w:lineRule="auto"/>
        <w:rPr>
          <w:rFonts w:eastAsia="SimSun" w:cstheme="minorHAnsi"/>
          <w:sz w:val="18"/>
          <w:szCs w:val="18"/>
          <w:vertAlign w:val="superscript"/>
          <w:lang w:eastAsia="en-GB"/>
        </w:rPr>
      </w:pPr>
      <w:r w:rsidRPr="004468BE">
        <w:rPr>
          <w:rFonts w:eastAsia="Times New Roman" w:cstheme="minorHAnsi"/>
          <w:sz w:val="18"/>
          <w:szCs w:val="18"/>
          <w:vertAlign w:val="superscript"/>
        </w:rPr>
        <w:t>2</w:t>
      </w:r>
      <w:r w:rsidRPr="004468BE">
        <w:rPr>
          <w:rFonts w:eastAsia="Times New Roman" w:cstheme="minorHAnsi"/>
          <w:sz w:val="18"/>
          <w:szCs w:val="18"/>
        </w:rPr>
        <w:t xml:space="preserve"> </w:t>
      </w:r>
      <w:r w:rsidRPr="004468BE">
        <w:rPr>
          <w:rFonts w:eastAsia="SimSun" w:cstheme="minorHAnsi"/>
          <w:sz w:val="18"/>
          <w:szCs w:val="18"/>
          <w:lang w:eastAsia="en-GB"/>
        </w:rPr>
        <w:t>Patients</w:t>
      </w:r>
      <w:r w:rsidRPr="004468BE">
        <w:rPr>
          <w:rFonts w:eastAsia="SimSun" w:cstheme="minorHAnsi"/>
          <w:sz w:val="18"/>
          <w:szCs w:val="18"/>
          <w:vertAlign w:val="superscript"/>
          <w:lang w:eastAsia="en-GB"/>
        </w:rPr>
        <w:t xml:space="preserve"> </w:t>
      </w:r>
      <w:r w:rsidRPr="004468BE">
        <w:rPr>
          <w:rFonts w:eastAsia="Times New Roman" w:cstheme="minorHAnsi"/>
          <w:sz w:val="18"/>
          <w:szCs w:val="18"/>
        </w:rPr>
        <w:t xml:space="preserve">who had an inadequate response to MTX (+/- other </w:t>
      </w:r>
      <w:proofErr w:type="spellStart"/>
      <w:r w:rsidRPr="004468BE">
        <w:rPr>
          <w:rFonts w:eastAsia="Times New Roman" w:cstheme="minorHAnsi"/>
          <w:sz w:val="18"/>
          <w:szCs w:val="18"/>
        </w:rPr>
        <w:t>cDMARDs</w:t>
      </w:r>
      <w:proofErr w:type="spellEnd"/>
      <w:r w:rsidRPr="004468BE">
        <w:rPr>
          <w:rFonts w:eastAsia="Times New Roman" w:cstheme="minorHAnsi"/>
          <w:sz w:val="18"/>
          <w:szCs w:val="18"/>
        </w:rPr>
        <w:t>)</w:t>
      </w:r>
      <w:r w:rsidRPr="004468BE">
        <w:rPr>
          <w:rFonts w:eastAsia="Times New Roman" w:cstheme="minorHAnsi"/>
          <w:color w:val="000000"/>
          <w:sz w:val="18"/>
          <w:szCs w:val="18"/>
        </w:rPr>
        <w:t>; biologic-naive</w:t>
      </w:r>
    </w:p>
    <w:p w14:paraId="48DC738E" w14:textId="77777777" w:rsidR="00305EBA" w:rsidRPr="004468BE" w:rsidRDefault="00305EBA" w:rsidP="00305EBA">
      <w:pPr>
        <w:tabs>
          <w:tab w:val="left" w:pos="720"/>
        </w:tabs>
        <w:autoSpaceDE w:val="0"/>
        <w:autoSpaceDN w:val="0"/>
        <w:adjustRightInd w:val="0"/>
        <w:spacing w:after="0" w:line="240" w:lineRule="auto"/>
        <w:rPr>
          <w:rFonts w:eastAsia="SimSun" w:cstheme="minorHAnsi"/>
          <w:sz w:val="18"/>
          <w:szCs w:val="18"/>
          <w:vertAlign w:val="superscript"/>
          <w:lang w:eastAsia="en-GB"/>
        </w:rPr>
      </w:pPr>
      <w:r w:rsidRPr="004468BE">
        <w:rPr>
          <w:rFonts w:eastAsia="Times New Roman" w:cstheme="minorHAnsi"/>
          <w:sz w:val="18"/>
          <w:szCs w:val="18"/>
          <w:vertAlign w:val="superscript"/>
        </w:rPr>
        <w:t>3</w:t>
      </w:r>
      <w:r w:rsidRPr="004468BE">
        <w:rPr>
          <w:rFonts w:eastAsia="Times New Roman" w:cstheme="minorHAnsi"/>
          <w:sz w:val="18"/>
          <w:szCs w:val="18"/>
        </w:rPr>
        <w:t xml:space="preserve"> </w:t>
      </w:r>
      <w:r w:rsidRPr="004468BE">
        <w:rPr>
          <w:rFonts w:eastAsia="Times New Roman" w:cstheme="minorHAnsi"/>
          <w:color w:val="000000"/>
          <w:sz w:val="18"/>
          <w:szCs w:val="18"/>
        </w:rPr>
        <w:t xml:space="preserve">Patients who had an inadequate response or were intolerant to </w:t>
      </w:r>
      <w:r w:rsidRPr="004468BE">
        <w:rPr>
          <w:rFonts w:eastAsia="Times New Roman" w:cstheme="minorHAnsi"/>
          <w:sz w:val="18"/>
          <w:szCs w:val="18"/>
        </w:rPr>
        <w:t>≥1</w:t>
      </w:r>
      <w:r w:rsidRPr="004468BE">
        <w:rPr>
          <w:rFonts w:eastAsia="Times New Roman" w:cstheme="minorHAnsi"/>
          <w:color w:val="000000"/>
          <w:sz w:val="18"/>
          <w:szCs w:val="18"/>
        </w:rPr>
        <w:t> </w:t>
      </w:r>
      <w:proofErr w:type="spellStart"/>
      <w:r w:rsidRPr="004468BE">
        <w:rPr>
          <w:rFonts w:eastAsia="Times New Roman" w:cstheme="minorHAnsi"/>
          <w:color w:val="000000"/>
          <w:sz w:val="18"/>
          <w:szCs w:val="18"/>
        </w:rPr>
        <w:t>cDMARDs</w:t>
      </w:r>
      <w:proofErr w:type="spellEnd"/>
      <w:r w:rsidRPr="004468BE">
        <w:rPr>
          <w:rFonts w:eastAsia="Times New Roman" w:cstheme="minorHAnsi"/>
          <w:color w:val="000000"/>
          <w:sz w:val="18"/>
          <w:szCs w:val="18"/>
        </w:rPr>
        <w:t>; biologic-naive</w:t>
      </w:r>
    </w:p>
    <w:p w14:paraId="4C49E4D4" w14:textId="77777777" w:rsidR="00305EBA" w:rsidRPr="004468BE" w:rsidRDefault="00305EBA" w:rsidP="00305EBA">
      <w:pPr>
        <w:tabs>
          <w:tab w:val="left" w:pos="720"/>
        </w:tabs>
        <w:autoSpaceDE w:val="0"/>
        <w:autoSpaceDN w:val="0"/>
        <w:adjustRightInd w:val="0"/>
        <w:spacing w:after="0" w:line="240" w:lineRule="auto"/>
        <w:rPr>
          <w:rFonts w:eastAsia="Times New Roman" w:cstheme="minorHAnsi"/>
          <w:color w:val="000000"/>
          <w:sz w:val="18"/>
          <w:szCs w:val="18"/>
        </w:rPr>
      </w:pPr>
      <w:r w:rsidRPr="004468BE">
        <w:rPr>
          <w:rFonts w:eastAsia="SimSun" w:cstheme="minorHAnsi"/>
          <w:sz w:val="18"/>
          <w:szCs w:val="18"/>
          <w:vertAlign w:val="superscript"/>
          <w:lang w:eastAsia="en-GB"/>
        </w:rPr>
        <w:t xml:space="preserve">4 </w:t>
      </w:r>
      <w:r w:rsidRPr="004468BE">
        <w:rPr>
          <w:rFonts w:eastAsia="SimSun" w:cstheme="minorHAnsi"/>
          <w:sz w:val="18"/>
          <w:szCs w:val="18"/>
          <w:lang w:eastAsia="en-GB"/>
        </w:rPr>
        <w:t xml:space="preserve">Patients </w:t>
      </w:r>
      <w:r w:rsidRPr="004468BE">
        <w:rPr>
          <w:rFonts w:eastAsia="Times New Roman" w:cstheme="minorHAnsi"/>
          <w:sz w:val="18"/>
          <w:szCs w:val="18"/>
        </w:rPr>
        <w:t xml:space="preserve">who had an </w:t>
      </w:r>
      <w:r w:rsidRPr="004468BE">
        <w:rPr>
          <w:rFonts w:eastAsia="Times New Roman" w:cstheme="minorHAnsi"/>
          <w:color w:val="000000"/>
          <w:sz w:val="18"/>
          <w:szCs w:val="18"/>
        </w:rPr>
        <w:t xml:space="preserve">inadequate response or were intolerant to </w:t>
      </w:r>
      <w:r w:rsidRPr="004468BE">
        <w:rPr>
          <w:rFonts w:eastAsia="Times New Roman" w:cstheme="minorHAnsi"/>
          <w:sz w:val="18"/>
          <w:szCs w:val="18"/>
        </w:rPr>
        <w:t>≥1 </w:t>
      </w:r>
      <w:proofErr w:type="spellStart"/>
      <w:r w:rsidRPr="004468BE">
        <w:rPr>
          <w:rFonts w:eastAsia="Times New Roman" w:cstheme="minorHAnsi"/>
          <w:sz w:val="18"/>
          <w:szCs w:val="18"/>
        </w:rPr>
        <w:t>bDMARDs</w:t>
      </w:r>
      <w:proofErr w:type="spellEnd"/>
      <w:r w:rsidRPr="004468BE">
        <w:rPr>
          <w:rFonts w:eastAsia="Times New Roman" w:cstheme="minorHAnsi"/>
          <w:sz w:val="18"/>
          <w:szCs w:val="18"/>
        </w:rPr>
        <w:t>;</w:t>
      </w:r>
      <w:r w:rsidRPr="004468BE">
        <w:rPr>
          <w:rFonts w:eastAsia="Times New Roman" w:cstheme="minorHAnsi"/>
          <w:color w:val="000000"/>
          <w:sz w:val="18"/>
          <w:szCs w:val="18"/>
        </w:rPr>
        <w:t xml:space="preserve"> including at least one TNF inhibitor</w:t>
      </w:r>
    </w:p>
    <w:p w14:paraId="237C3587" w14:textId="77777777" w:rsidR="00305EBA" w:rsidRPr="00305EBA" w:rsidRDefault="00305EBA" w:rsidP="00305EBA">
      <w:pPr>
        <w:spacing w:after="120" w:line="240" w:lineRule="auto"/>
        <w:rPr>
          <w:b/>
        </w:rPr>
      </w:pPr>
    </w:p>
    <w:p w14:paraId="49684D65" w14:textId="59A02F17" w:rsidR="00A6463E" w:rsidRPr="0016193F" w:rsidRDefault="00A6463E" w:rsidP="00305EBA">
      <w:pPr>
        <w:spacing w:after="120" w:line="240" w:lineRule="auto"/>
        <w:rPr>
          <w:b/>
          <w:bCs/>
        </w:rPr>
      </w:pPr>
      <w:r w:rsidRPr="0016193F">
        <w:rPr>
          <w:b/>
          <w:bCs/>
        </w:rPr>
        <w:t>Clinical Response</w:t>
      </w:r>
    </w:p>
    <w:p w14:paraId="416DF215" w14:textId="6B1BA25D" w:rsidR="00A6463E" w:rsidRPr="00625B9E" w:rsidRDefault="00A6463E" w:rsidP="00A6463E">
      <w:r w:rsidRPr="00625B9E">
        <w:t>In all studies, patients treated with OLUMIANT 4 mg once daily had statistically significantly higher ACR20/50 responses at 12 weeks compared to placebo,</w:t>
      </w:r>
      <w:r w:rsidRPr="00625B9E" w:rsidDel="00AB005E">
        <w:t xml:space="preserve"> </w:t>
      </w:r>
      <w:r w:rsidRPr="00625B9E">
        <w:t>methotrexate (MTX) and adalimumab.  ACR70 responses in patients treated with OLUMIANT 4 mg once daily were statistically significantly higher at 12 weeks compared to placebo and</w:t>
      </w:r>
      <w:r w:rsidRPr="00625B9E" w:rsidDel="00AB005E">
        <w:t xml:space="preserve"> </w:t>
      </w:r>
      <w:r w:rsidRPr="00625B9E">
        <w:t xml:space="preserve">MTX (see </w:t>
      </w:r>
      <w:r w:rsidRPr="00625B9E">
        <w:fldChar w:fldCharType="begin"/>
      </w:r>
      <w:r w:rsidRPr="00625B9E">
        <w:instrText xml:space="preserve"> REF _Ref475706622 \h  \* MERGEFORMAT </w:instrText>
      </w:r>
      <w:r w:rsidRPr="00625B9E">
        <w:fldChar w:fldCharType="separate"/>
      </w:r>
      <w:r w:rsidR="00A368FA" w:rsidRPr="00A368FA">
        <w:t xml:space="preserve">Table </w:t>
      </w:r>
      <w:r w:rsidRPr="00625B9E">
        <w:rPr>
          <w:lang w:val="en-US"/>
        </w:rPr>
        <w:fldChar w:fldCharType="end"/>
      </w:r>
      <w:r w:rsidR="00446055">
        <w:rPr>
          <w:lang w:val="en-US"/>
        </w:rPr>
        <w:t>7</w:t>
      </w:r>
      <w:r w:rsidRPr="00625B9E">
        <w:t xml:space="preserve"> and </w:t>
      </w:r>
      <w:r w:rsidRPr="00625B9E">
        <w:fldChar w:fldCharType="begin"/>
      </w:r>
      <w:r w:rsidRPr="00625B9E">
        <w:instrText xml:space="preserve"> REF _Ref475706633 \h  \* MERGEFORMAT </w:instrText>
      </w:r>
      <w:r w:rsidRPr="00625B9E">
        <w:fldChar w:fldCharType="separate"/>
      </w:r>
      <w:r w:rsidR="00A368FA" w:rsidRPr="00A368FA">
        <w:t xml:space="preserve">Table </w:t>
      </w:r>
      <w:r w:rsidRPr="00625B9E">
        <w:rPr>
          <w:lang w:val="en-US"/>
        </w:rPr>
        <w:fldChar w:fldCharType="end"/>
      </w:r>
      <w:r w:rsidR="00446055">
        <w:rPr>
          <w:lang w:val="en-US"/>
        </w:rPr>
        <w:t>8</w:t>
      </w:r>
      <w:r w:rsidRPr="00625B9E">
        <w:t>). Time to onset of efficacy was rapid across measures with greater responses seen as early as week 1. Continued, durable response rates were observed, with ACR20/50/70 responses maintained for at least 2 years including the long-term extension study.</w:t>
      </w:r>
    </w:p>
    <w:p w14:paraId="31ECFA07" w14:textId="77777777" w:rsidR="00A6463E" w:rsidRPr="00625B9E" w:rsidRDefault="00A6463E" w:rsidP="00A6463E">
      <w:r w:rsidRPr="00625B9E">
        <w:t xml:space="preserve">Treatment with OLUMIANT 4 mg, alone or in combination with </w:t>
      </w:r>
      <w:proofErr w:type="spellStart"/>
      <w:r w:rsidRPr="00625B9E">
        <w:t>cDMARDs</w:t>
      </w:r>
      <w:proofErr w:type="spellEnd"/>
      <w:r w:rsidRPr="00625B9E">
        <w:t>, resulted in significant improvements in all individual ACR components, including tender and swollen joint counts, patient and physician global assessments, HAQ-DI, pain assessment, and CRP, compared to placebo or MTX monotherapy.</w:t>
      </w:r>
    </w:p>
    <w:p w14:paraId="6B40B5AF" w14:textId="77777777" w:rsidR="00A6463E" w:rsidRPr="00625B9E" w:rsidRDefault="00A6463E" w:rsidP="00A6463E">
      <w:r w:rsidRPr="00625B9E">
        <w:t>In RA</w:t>
      </w:r>
      <w:r w:rsidRPr="00625B9E">
        <w:noBreakHyphen/>
        <w:t>BEAM, treatment with OLUMIANT 4 mg resulted in improvements in patient and physician global assessments, HAQ</w:t>
      </w:r>
      <w:r w:rsidRPr="00625B9E">
        <w:noBreakHyphen/>
        <w:t>DI, pain assessment and CRP at weeks 12, 24, and 52 compared to adalimumab. The percentage of patients who achieved ACR20 response by visit within this study is shown in Figure 1.</w:t>
      </w:r>
    </w:p>
    <w:p w14:paraId="2C86DDEE" w14:textId="3CB5E5AC" w:rsidR="00A6463E" w:rsidRDefault="00A6463E" w:rsidP="00A6463E">
      <w:r w:rsidRPr="00625B9E">
        <w:t xml:space="preserve">In placebo-controlled trials in which MTX was not required, 501 subjects randomised to OLUMIANT 2 mg or 4 mg received MTX as background therapy, and 303 received </w:t>
      </w:r>
      <w:proofErr w:type="spellStart"/>
      <w:r w:rsidRPr="00625B9E">
        <w:t>cDMARDs</w:t>
      </w:r>
      <w:proofErr w:type="spellEnd"/>
      <w:r w:rsidRPr="00625B9E">
        <w:t xml:space="preserve"> other than MTX (approximately half with MTX and half without). The most common concomitant disease-modifying </w:t>
      </w:r>
      <w:proofErr w:type="spellStart"/>
      <w:r w:rsidRPr="00625B9E">
        <w:t>antirheumatic</w:t>
      </w:r>
      <w:proofErr w:type="spellEnd"/>
      <w:r w:rsidRPr="00625B9E">
        <w:t xml:space="preserve"> drugs (DMARDs) in these subjects were MTX (79% of patients), hydroxychloroquine (19%), </w:t>
      </w:r>
      <w:proofErr w:type="spellStart"/>
      <w:r w:rsidRPr="00625B9E">
        <w:t>leflunomide</w:t>
      </w:r>
      <w:proofErr w:type="spellEnd"/>
      <w:r w:rsidRPr="00625B9E">
        <w:t xml:space="preserve"> (11%), and </w:t>
      </w:r>
      <w:proofErr w:type="spellStart"/>
      <w:r w:rsidRPr="00625B9E">
        <w:t>sulphasalazine</w:t>
      </w:r>
      <w:proofErr w:type="spellEnd"/>
      <w:r w:rsidRPr="00625B9E">
        <w:t xml:space="preserve"> (9%). No relevant differences regarding efficacy and safety were observed in subgroups defined by types of concomitant DMARDs used in combination with OLUMIANT.</w:t>
      </w:r>
    </w:p>
    <w:p w14:paraId="4CFCC7E8" w14:textId="77777777" w:rsidR="00A6463E" w:rsidRPr="00094A0C" w:rsidRDefault="00A6463E" w:rsidP="00094A0C">
      <w:pPr>
        <w:rPr>
          <w:b/>
        </w:rPr>
      </w:pPr>
      <w:r w:rsidRPr="00094A0C">
        <w:rPr>
          <w:b/>
        </w:rPr>
        <w:lastRenderedPageBreak/>
        <w:t>Remission and Low Disease Activity</w:t>
      </w:r>
    </w:p>
    <w:p w14:paraId="188DDDF5" w14:textId="0EDA97C2" w:rsidR="00A6463E" w:rsidRPr="00625B9E" w:rsidRDefault="00A6463E" w:rsidP="00A6463E">
      <w:r w:rsidRPr="00625B9E">
        <w:t xml:space="preserve">A statistically significantly greater proportion of patients treated with OLUMIANT 4 mg compared to placebo or MTX achieved remission, as defined by Simplified Disease Activity Index (SDAI) ≤3.3, at weeks 12 and 24 (see Tables </w:t>
      </w:r>
      <w:r w:rsidR="00446055">
        <w:t>9</w:t>
      </w:r>
      <w:r w:rsidRPr="00625B9E">
        <w:t xml:space="preserve"> and </w:t>
      </w:r>
      <w:r w:rsidR="00446055">
        <w:t>10</w:t>
      </w:r>
      <w:r w:rsidRPr="00625B9E">
        <w:t xml:space="preserve">). Similarly, when defined by Clinical Disease Activity Index (CDAI) ≤2.8, a greater proportion of patients treated with OLUMIANT 4 mg compared to placebo or MTX achieved remission at weeks 12 and 24. </w:t>
      </w:r>
    </w:p>
    <w:p w14:paraId="1588CF35" w14:textId="77777777" w:rsidR="00A6463E" w:rsidRPr="00625B9E" w:rsidRDefault="00A6463E" w:rsidP="00A6463E">
      <w:r w:rsidRPr="00625B9E">
        <w:t xml:space="preserve">In all 4 completed studies, a higher proportion of patients treated with OLUMIANT 4 mg compared to placebo or MTX achieved low disease activity or remission (Disease Activity Score 28-erythrocyte sedimentation rate [DAS28-ESR] or Disease Activity Score 28-high sensitivity C-reactive protein [DAS28-hsCRP] ≤3.2 and DAS28-ESR or DAS28-hsCRP &lt;2.6) at weeks 12 and 24. </w:t>
      </w:r>
    </w:p>
    <w:p w14:paraId="5C3552FE" w14:textId="72FCA8F8" w:rsidR="00A6463E" w:rsidRPr="00A6463E" w:rsidRDefault="00A6463E" w:rsidP="00854A1A">
      <w:pPr>
        <w:rPr>
          <w:rFonts w:ascii="Arial" w:eastAsia="Times New Roman" w:hAnsi="Arial" w:cs="Times New Roman"/>
          <w:sz w:val="24"/>
          <w:szCs w:val="24"/>
        </w:rPr>
      </w:pPr>
      <w:r w:rsidRPr="00625B9E">
        <w:t>Greater rates of remission compared to placebo were observed as early as week 4. Including data from a long-term extension study, remission and low disease activity rates were maintained for at least 2 years.</w:t>
      </w:r>
    </w:p>
    <w:p w14:paraId="04BDC008" w14:textId="61EB1479" w:rsidR="00A6463E" w:rsidRPr="00305EBA" w:rsidRDefault="00A6463E" w:rsidP="00305EBA">
      <w:pPr>
        <w:rPr>
          <w:b/>
        </w:rPr>
      </w:pPr>
      <w:bookmarkStart w:id="81" w:name="_Ref475706622"/>
      <w:r w:rsidRPr="00305EBA">
        <w:rPr>
          <w:b/>
        </w:rPr>
        <w:t xml:space="preserve">Table </w:t>
      </w:r>
      <w:bookmarkEnd w:id="81"/>
      <w:r w:rsidR="00446055" w:rsidRPr="00305EBA">
        <w:rPr>
          <w:b/>
          <w:noProof/>
        </w:rPr>
        <w:t>7</w:t>
      </w:r>
      <w:r w:rsidRPr="00305EBA">
        <w:rPr>
          <w:b/>
        </w:rPr>
        <w:t xml:space="preserve">  ACR Response Rates – Active Comparator Trials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75"/>
        <w:gridCol w:w="1409"/>
        <w:gridCol w:w="1410"/>
        <w:gridCol w:w="1251"/>
        <w:gridCol w:w="1488"/>
        <w:gridCol w:w="1489"/>
      </w:tblGrid>
      <w:tr w:rsidR="00A6463E" w:rsidRPr="000C4E6C" w14:paraId="7EE53867" w14:textId="77777777" w:rsidTr="00305EBA">
        <w:trPr>
          <w:trHeight w:val="188"/>
          <w:tblHeader/>
        </w:trPr>
        <w:tc>
          <w:tcPr>
            <w:tcW w:w="1276" w:type="dxa"/>
            <w:vMerge w:val="restart"/>
            <w:shd w:val="clear" w:color="auto" w:fill="auto"/>
          </w:tcPr>
          <w:p w14:paraId="7E7C99A4" w14:textId="77777777" w:rsidR="00A6463E" w:rsidRPr="004468BE" w:rsidRDefault="00A6463E" w:rsidP="00305EBA">
            <w:pPr>
              <w:spacing w:after="0" w:line="280" w:lineRule="exact"/>
              <w:rPr>
                <w:rFonts w:eastAsia="Times New Roman" w:cstheme="minorHAnsi"/>
                <w:b/>
                <w:sz w:val="20"/>
                <w:szCs w:val="20"/>
              </w:rPr>
            </w:pPr>
          </w:p>
        </w:tc>
        <w:tc>
          <w:tcPr>
            <w:tcW w:w="8222" w:type="dxa"/>
            <w:gridSpan w:val="6"/>
            <w:shd w:val="clear" w:color="auto" w:fill="auto"/>
          </w:tcPr>
          <w:p w14:paraId="0D1F2543"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Percent of Patients</w:t>
            </w:r>
          </w:p>
        </w:tc>
      </w:tr>
      <w:tr w:rsidR="00A6463E" w:rsidRPr="000C4E6C" w14:paraId="76DE2156" w14:textId="77777777" w:rsidTr="00305EBA">
        <w:trPr>
          <w:trHeight w:val="314"/>
          <w:tblHeader/>
        </w:trPr>
        <w:tc>
          <w:tcPr>
            <w:tcW w:w="1276" w:type="dxa"/>
            <w:vMerge/>
            <w:shd w:val="clear" w:color="auto" w:fill="auto"/>
          </w:tcPr>
          <w:p w14:paraId="3AB1C90B" w14:textId="77777777" w:rsidR="00A6463E" w:rsidRPr="007D6CDE" w:rsidRDefault="00A6463E" w:rsidP="00A6463E">
            <w:pPr>
              <w:keepNext/>
              <w:keepLines/>
              <w:spacing w:after="0" w:line="280" w:lineRule="exact"/>
              <w:rPr>
                <w:rFonts w:eastAsia="Times New Roman" w:cstheme="minorHAnsi"/>
                <w:b/>
                <w:sz w:val="20"/>
                <w:szCs w:val="20"/>
              </w:rPr>
            </w:pPr>
          </w:p>
        </w:tc>
        <w:tc>
          <w:tcPr>
            <w:tcW w:w="3994" w:type="dxa"/>
            <w:gridSpan w:val="3"/>
            <w:shd w:val="clear" w:color="auto" w:fill="auto"/>
            <w:vAlign w:val="bottom"/>
          </w:tcPr>
          <w:p w14:paraId="517A8E20"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DMARD-naïve</w:t>
            </w:r>
          </w:p>
        </w:tc>
        <w:tc>
          <w:tcPr>
            <w:tcW w:w="4228" w:type="dxa"/>
            <w:gridSpan w:val="3"/>
            <w:shd w:val="clear" w:color="auto" w:fill="auto"/>
            <w:vAlign w:val="bottom"/>
          </w:tcPr>
          <w:p w14:paraId="65AB4760"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MTX-IR</w:t>
            </w:r>
          </w:p>
        </w:tc>
      </w:tr>
      <w:tr w:rsidR="00A6463E" w:rsidRPr="000C4E6C" w14:paraId="55F2F44C" w14:textId="77777777" w:rsidTr="00305EBA">
        <w:trPr>
          <w:trHeight w:val="260"/>
          <w:tblHeader/>
        </w:trPr>
        <w:tc>
          <w:tcPr>
            <w:tcW w:w="1276" w:type="dxa"/>
            <w:vMerge/>
            <w:shd w:val="clear" w:color="auto" w:fill="auto"/>
          </w:tcPr>
          <w:p w14:paraId="42B1DCEC" w14:textId="77777777" w:rsidR="00A6463E" w:rsidRPr="007D6CDE" w:rsidRDefault="00A6463E" w:rsidP="00A6463E">
            <w:pPr>
              <w:keepNext/>
              <w:keepLines/>
              <w:spacing w:after="0" w:line="280" w:lineRule="exact"/>
              <w:rPr>
                <w:rFonts w:eastAsia="Times New Roman" w:cstheme="minorHAnsi"/>
                <w:b/>
                <w:sz w:val="20"/>
                <w:szCs w:val="20"/>
              </w:rPr>
            </w:pPr>
          </w:p>
        </w:tc>
        <w:tc>
          <w:tcPr>
            <w:tcW w:w="3994" w:type="dxa"/>
            <w:gridSpan w:val="3"/>
            <w:shd w:val="clear" w:color="auto" w:fill="auto"/>
            <w:vAlign w:val="bottom"/>
          </w:tcPr>
          <w:p w14:paraId="3C752D2A"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RA-BEGIN</w:t>
            </w:r>
          </w:p>
        </w:tc>
        <w:tc>
          <w:tcPr>
            <w:tcW w:w="4228" w:type="dxa"/>
            <w:gridSpan w:val="3"/>
            <w:shd w:val="clear" w:color="auto" w:fill="auto"/>
            <w:vAlign w:val="bottom"/>
          </w:tcPr>
          <w:p w14:paraId="76527F84"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 xml:space="preserve">Study RA-BEAM </w:t>
            </w:r>
          </w:p>
        </w:tc>
      </w:tr>
      <w:tr w:rsidR="00A6463E" w:rsidRPr="000C4E6C" w14:paraId="6AAB2A4D" w14:textId="77777777" w:rsidTr="00305EBA">
        <w:trPr>
          <w:trHeight w:val="584"/>
          <w:tblHeader/>
        </w:trPr>
        <w:tc>
          <w:tcPr>
            <w:tcW w:w="1276" w:type="dxa"/>
            <w:vMerge/>
            <w:shd w:val="clear" w:color="auto" w:fill="auto"/>
          </w:tcPr>
          <w:p w14:paraId="6492DF80" w14:textId="77777777" w:rsidR="00A6463E" w:rsidRPr="007D6CDE" w:rsidRDefault="00A6463E" w:rsidP="00A6463E">
            <w:pPr>
              <w:keepNext/>
              <w:keepLines/>
              <w:spacing w:after="0" w:line="280" w:lineRule="exact"/>
              <w:rPr>
                <w:rFonts w:eastAsia="Times New Roman" w:cstheme="minorHAnsi"/>
                <w:b/>
                <w:sz w:val="20"/>
                <w:szCs w:val="20"/>
              </w:rPr>
            </w:pPr>
          </w:p>
        </w:tc>
        <w:tc>
          <w:tcPr>
            <w:tcW w:w="1175" w:type="dxa"/>
            <w:shd w:val="clear" w:color="auto" w:fill="auto"/>
            <w:vAlign w:val="bottom"/>
          </w:tcPr>
          <w:p w14:paraId="71950DCF"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MTX</w:t>
            </w:r>
            <w:r w:rsidRPr="007D6CDE">
              <w:rPr>
                <w:rFonts w:eastAsia="Calibri" w:cstheme="minorHAnsi"/>
                <w:b/>
                <w:color w:val="000000"/>
                <w:sz w:val="20"/>
                <w:szCs w:val="20"/>
                <w:lang w:val="en-US"/>
              </w:rPr>
              <w:br/>
            </w:r>
            <w:r w:rsidRPr="007D6CDE">
              <w:rPr>
                <w:rFonts w:eastAsia="Calibri" w:cstheme="minorHAnsi"/>
                <w:b/>
                <w:color w:val="000000"/>
                <w:sz w:val="20"/>
                <w:szCs w:val="20"/>
                <w:lang w:val="en-US"/>
              </w:rPr>
              <w:br/>
            </w:r>
          </w:p>
        </w:tc>
        <w:tc>
          <w:tcPr>
            <w:tcW w:w="1409" w:type="dxa"/>
            <w:shd w:val="clear" w:color="auto" w:fill="auto"/>
            <w:vAlign w:val="bottom"/>
          </w:tcPr>
          <w:p w14:paraId="7E3FB602"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 mg/day</w:t>
            </w:r>
          </w:p>
        </w:tc>
        <w:tc>
          <w:tcPr>
            <w:tcW w:w="1410" w:type="dxa"/>
            <w:shd w:val="clear" w:color="auto" w:fill="auto"/>
            <w:vAlign w:val="bottom"/>
          </w:tcPr>
          <w:p w14:paraId="6D3655A6"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 mg/day + MTX</w:t>
            </w:r>
          </w:p>
        </w:tc>
        <w:tc>
          <w:tcPr>
            <w:tcW w:w="1251" w:type="dxa"/>
            <w:shd w:val="clear" w:color="auto" w:fill="auto"/>
            <w:vAlign w:val="bottom"/>
          </w:tcPr>
          <w:p w14:paraId="5880A2EF"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Placebo</w:t>
            </w:r>
            <w:r w:rsidRPr="007D6CDE">
              <w:rPr>
                <w:rFonts w:eastAsia="Calibri" w:cstheme="minorHAnsi"/>
                <w:b/>
                <w:color w:val="000000"/>
                <w:sz w:val="20"/>
                <w:szCs w:val="20"/>
                <w:lang w:val="en-US"/>
              </w:rPr>
              <w:br/>
              <w:t>+ MTX</w:t>
            </w:r>
          </w:p>
        </w:tc>
        <w:tc>
          <w:tcPr>
            <w:tcW w:w="1488" w:type="dxa"/>
            <w:shd w:val="clear" w:color="auto" w:fill="auto"/>
            <w:vAlign w:val="bottom"/>
          </w:tcPr>
          <w:p w14:paraId="59F79EBD"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 mg/day + MTX</w:t>
            </w:r>
          </w:p>
        </w:tc>
        <w:tc>
          <w:tcPr>
            <w:tcW w:w="1489" w:type="dxa"/>
            <w:shd w:val="clear" w:color="auto" w:fill="auto"/>
            <w:vAlign w:val="bottom"/>
          </w:tcPr>
          <w:p w14:paraId="0B91926E"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Adalimumab</w:t>
            </w:r>
            <w:r w:rsidRPr="007D6CDE">
              <w:rPr>
                <w:rFonts w:eastAsia="Calibri" w:cstheme="minorHAnsi"/>
                <w:b/>
                <w:color w:val="000000"/>
                <w:sz w:val="20"/>
                <w:szCs w:val="20"/>
                <w:lang w:val="en-US"/>
              </w:rPr>
              <w:br/>
              <w:t>40 mg Every Other Week + MTX</w:t>
            </w:r>
          </w:p>
        </w:tc>
      </w:tr>
      <w:tr w:rsidR="00A6463E" w:rsidRPr="000C4E6C" w14:paraId="4AD310B3" w14:textId="77777777" w:rsidTr="00A6463E">
        <w:trPr>
          <w:trHeight w:val="305"/>
        </w:trPr>
        <w:tc>
          <w:tcPr>
            <w:tcW w:w="1276" w:type="dxa"/>
            <w:shd w:val="clear" w:color="auto" w:fill="auto"/>
            <w:vAlign w:val="bottom"/>
          </w:tcPr>
          <w:p w14:paraId="4382A97C"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b/>
                <w:color w:val="000000"/>
                <w:sz w:val="20"/>
                <w:szCs w:val="20"/>
                <w:lang w:val="en-US"/>
              </w:rPr>
              <w:t>N</w:t>
            </w:r>
          </w:p>
        </w:tc>
        <w:tc>
          <w:tcPr>
            <w:tcW w:w="1175" w:type="dxa"/>
            <w:shd w:val="clear" w:color="auto" w:fill="auto"/>
            <w:vAlign w:val="bottom"/>
          </w:tcPr>
          <w:p w14:paraId="06ACC7E7"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210</w:t>
            </w:r>
          </w:p>
        </w:tc>
        <w:tc>
          <w:tcPr>
            <w:tcW w:w="1409" w:type="dxa"/>
            <w:shd w:val="clear" w:color="auto" w:fill="auto"/>
            <w:vAlign w:val="bottom"/>
          </w:tcPr>
          <w:p w14:paraId="2D7D91D5"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159</w:t>
            </w:r>
          </w:p>
        </w:tc>
        <w:tc>
          <w:tcPr>
            <w:tcW w:w="1410" w:type="dxa"/>
            <w:shd w:val="clear" w:color="auto" w:fill="auto"/>
            <w:vAlign w:val="bottom"/>
          </w:tcPr>
          <w:p w14:paraId="45505299"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215</w:t>
            </w:r>
          </w:p>
        </w:tc>
        <w:tc>
          <w:tcPr>
            <w:tcW w:w="1251" w:type="dxa"/>
            <w:shd w:val="clear" w:color="auto" w:fill="auto"/>
            <w:vAlign w:val="bottom"/>
          </w:tcPr>
          <w:p w14:paraId="357D9698"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488</w:t>
            </w:r>
          </w:p>
        </w:tc>
        <w:tc>
          <w:tcPr>
            <w:tcW w:w="1488" w:type="dxa"/>
            <w:shd w:val="clear" w:color="auto" w:fill="auto"/>
            <w:vAlign w:val="bottom"/>
          </w:tcPr>
          <w:p w14:paraId="2E0704FC"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487</w:t>
            </w:r>
          </w:p>
        </w:tc>
        <w:tc>
          <w:tcPr>
            <w:tcW w:w="1489" w:type="dxa"/>
            <w:shd w:val="clear" w:color="auto" w:fill="auto"/>
            <w:vAlign w:val="bottom"/>
          </w:tcPr>
          <w:p w14:paraId="5E570120"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330</w:t>
            </w:r>
          </w:p>
        </w:tc>
      </w:tr>
      <w:tr w:rsidR="00A6463E" w:rsidRPr="000C4E6C" w14:paraId="605EEE88" w14:textId="77777777" w:rsidTr="00A6463E">
        <w:trPr>
          <w:trHeight w:val="134"/>
        </w:trPr>
        <w:tc>
          <w:tcPr>
            <w:tcW w:w="9498" w:type="dxa"/>
            <w:gridSpan w:val="7"/>
            <w:shd w:val="clear" w:color="auto" w:fill="auto"/>
          </w:tcPr>
          <w:p w14:paraId="1E348855"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ACR 20</w:t>
            </w:r>
          </w:p>
        </w:tc>
      </w:tr>
      <w:tr w:rsidR="00A6463E" w:rsidRPr="000C4E6C" w14:paraId="784A51CF" w14:textId="77777777" w:rsidTr="00A6463E">
        <w:trPr>
          <w:trHeight w:val="229"/>
        </w:trPr>
        <w:tc>
          <w:tcPr>
            <w:tcW w:w="1276" w:type="dxa"/>
            <w:shd w:val="clear" w:color="auto" w:fill="auto"/>
            <w:vAlign w:val="center"/>
          </w:tcPr>
          <w:p w14:paraId="34F1C673"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175" w:type="dxa"/>
            <w:shd w:val="clear" w:color="auto" w:fill="auto"/>
            <w:vAlign w:val="center"/>
          </w:tcPr>
          <w:p w14:paraId="3A570AF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59 %</w:t>
            </w:r>
          </w:p>
        </w:tc>
        <w:tc>
          <w:tcPr>
            <w:tcW w:w="1409" w:type="dxa"/>
            <w:shd w:val="clear" w:color="auto" w:fill="auto"/>
            <w:vAlign w:val="center"/>
          </w:tcPr>
          <w:p w14:paraId="384C496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79 %</w:t>
            </w:r>
            <w:r w:rsidRPr="004468BE">
              <w:rPr>
                <w:rFonts w:eastAsia="Calibri" w:cstheme="minorHAnsi"/>
                <w:color w:val="000000"/>
                <w:sz w:val="20"/>
                <w:vertAlign w:val="superscript"/>
                <w:lang w:val="en-US"/>
              </w:rPr>
              <w:t>***</w:t>
            </w:r>
          </w:p>
        </w:tc>
        <w:tc>
          <w:tcPr>
            <w:tcW w:w="1410" w:type="dxa"/>
            <w:shd w:val="clear" w:color="auto" w:fill="auto"/>
            <w:vAlign w:val="center"/>
          </w:tcPr>
          <w:p w14:paraId="61A8933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77 %</w:t>
            </w:r>
            <w:r w:rsidRPr="004468BE">
              <w:rPr>
                <w:rFonts w:eastAsia="Calibri" w:cstheme="minorHAnsi"/>
                <w:color w:val="000000"/>
                <w:sz w:val="20"/>
                <w:vertAlign w:val="superscript"/>
                <w:lang w:val="en-US"/>
              </w:rPr>
              <w:t>***</w:t>
            </w:r>
          </w:p>
        </w:tc>
        <w:tc>
          <w:tcPr>
            <w:tcW w:w="1251" w:type="dxa"/>
            <w:shd w:val="clear" w:color="auto" w:fill="auto"/>
            <w:vAlign w:val="center"/>
          </w:tcPr>
          <w:p w14:paraId="1B24718F"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40 %</w:t>
            </w:r>
          </w:p>
        </w:tc>
        <w:tc>
          <w:tcPr>
            <w:tcW w:w="1488" w:type="dxa"/>
            <w:shd w:val="clear" w:color="auto" w:fill="auto"/>
            <w:vAlign w:val="center"/>
          </w:tcPr>
          <w:p w14:paraId="602546D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70 %</w:t>
            </w:r>
            <w:r w:rsidRPr="004468BE">
              <w:rPr>
                <w:rFonts w:eastAsia="Calibri" w:cstheme="minorHAnsi"/>
                <w:color w:val="000000"/>
                <w:sz w:val="20"/>
                <w:vertAlign w:val="superscript"/>
                <w:lang w:val="en-US"/>
              </w:rPr>
              <w:t>***†</w:t>
            </w:r>
          </w:p>
        </w:tc>
        <w:tc>
          <w:tcPr>
            <w:tcW w:w="1489" w:type="dxa"/>
            <w:shd w:val="clear" w:color="auto" w:fill="auto"/>
            <w:vAlign w:val="center"/>
          </w:tcPr>
          <w:p w14:paraId="111BF31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61 %</w:t>
            </w:r>
            <w:r w:rsidRPr="004468BE">
              <w:rPr>
                <w:rFonts w:eastAsia="Calibri" w:cstheme="minorHAnsi"/>
                <w:color w:val="000000"/>
                <w:sz w:val="20"/>
                <w:vertAlign w:val="superscript"/>
                <w:lang w:val="en-US"/>
              </w:rPr>
              <w:t>***</w:t>
            </w:r>
          </w:p>
        </w:tc>
      </w:tr>
      <w:tr w:rsidR="00A6463E" w:rsidRPr="000C4E6C" w14:paraId="743C84B9" w14:textId="77777777" w:rsidTr="00A6463E">
        <w:trPr>
          <w:trHeight w:val="278"/>
        </w:trPr>
        <w:tc>
          <w:tcPr>
            <w:tcW w:w="1276" w:type="dxa"/>
            <w:shd w:val="clear" w:color="auto" w:fill="auto"/>
            <w:vAlign w:val="center"/>
          </w:tcPr>
          <w:p w14:paraId="56316DD4"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175" w:type="dxa"/>
            <w:shd w:val="clear" w:color="auto" w:fill="auto"/>
            <w:vAlign w:val="center"/>
          </w:tcPr>
          <w:p w14:paraId="414F532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62 %</w:t>
            </w:r>
          </w:p>
        </w:tc>
        <w:tc>
          <w:tcPr>
            <w:tcW w:w="1409" w:type="dxa"/>
            <w:shd w:val="clear" w:color="auto" w:fill="auto"/>
            <w:vAlign w:val="center"/>
          </w:tcPr>
          <w:p w14:paraId="1B34EF2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77 %</w:t>
            </w:r>
            <w:r w:rsidRPr="004468BE">
              <w:rPr>
                <w:rFonts w:eastAsia="Calibri" w:cstheme="minorHAnsi"/>
                <w:color w:val="000000"/>
                <w:sz w:val="20"/>
                <w:vertAlign w:val="superscript"/>
                <w:lang w:val="en-US"/>
              </w:rPr>
              <w:t>**</w:t>
            </w:r>
          </w:p>
        </w:tc>
        <w:tc>
          <w:tcPr>
            <w:tcW w:w="1410" w:type="dxa"/>
            <w:shd w:val="clear" w:color="auto" w:fill="auto"/>
            <w:vAlign w:val="center"/>
          </w:tcPr>
          <w:p w14:paraId="58C7A70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78 %</w:t>
            </w:r>
            <w:r w:rsidRPr="004468BE">
              <w:rPr>
                <w:rFonts w:eastAsia="Calibri" w:cstheme="minorHAnsi"/>
                <w:color w:val="000000"/>
                <w:sz w:val="20"/>
                <w:vertAlign w:val="superscript"/>
                <w:lang w:val="en-US"/>
              </w:rPr>
              <w:t>***</w:t>
            </w:r>
          </w:p>
        </w:tc>
        <w:tc>
          <w:tcPr>
            <w:tcW w:w="1251" w:type="dxa"/>
            <w:shd w:val="clear" w:color="auto" w:fill="auto"/>
            <w:vAlign w:val="center"/>
          </w:tcPr>
          <w:p w14:paraId="7E5F74A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37 %</w:t>
            </w:r>
          </w:p>
        </w:tc>
        <w:tc>
          <w:tcPr>
            <w:tcW w:w="1488" w:type="dxa"/>
            <w:shd w:val="clear" w:color="auto" w:fill="auto"/>
            <w:vAlign w:val="center"/>
          </w:tcPr>
          <w:p w14:paraId="2F0C3FC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74 %</w:t>
            </w:r>
            <w:r w:rsidRPr="004468BE">
              <w:rPr>
                <w:rFonts w:eastAsia="Calibri" w:cstheme="minorHAnsi"/>
                <w:color w:val="000000"/>
                <w:sz w:val="20"/>
                <w:vertAlign w:val="superscript"/>
                <w:lang w:val="en-US"/>
              </w:rPr>
              <w:t>***†</w:t>
            </w:r>
          </w:p>
        </w:tc>
        <w:tc>
          <w:tcPr>
            <w:tcW w:w="1489" w:type="dxa"/>
            <w:shd w:val="clear" w:color="auto" w:fill="auto"/>
            <w:vAlign w:val="center"/>
          </w:tcPr>
          <w:p w14:paraId="03F8A0C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66 %</w:t>
            </w:r>
            <w:r w:rsidRPr="004468BE">
              <w:rPr>
                <w:rFonts w:eastAsia="Calibri" w:cstheme="minorHAnsi"/>
                <w:color w:val="000000"/>
                <w:sz w:val="20"/>
                <w:vertAlign w:val="superscript"/>
                <w:lang w:val="en-US"/>
              </w:rPr>
              <w:t>***</w:t>
            </w:r>
          </w:p>
        </w:tc>
      </w:tr>
      <w:tr w:rsidR="00A6463E" w:rsidRPr="000C4E6C" w14:paraId="370998EE" w14:textId="77777777" w:rsidTr="00A6463E">
        <w:trPr>
          <w:trHeight w:val="267"/>
        </w:trPr>
        <w:tc>
          <w:tcPr>
            <w:tcW w:w="1276" w:type="dxa"/>
            <w:shd w:val="clear" w:color="auto" w:fill="auto"/>
            <w:vAlign w:val="center"/>
          </w:tcPr>
          <w:p w14:paraId="50BCA145"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52</w:t>
            </w:r>
          </w:p>
        </w:tc>
        <w:tc>
          <w:tcPr>
            <w:tcW w:w="1175" w:type="dxa"/>
            <w:shd w:val="clear" w:color="auto" w:fill="auto"/>
            <w:vAlign w:val="center"/>
          </w:tcPr>
          <w:p w14:paraId="6F83BBD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56 %</w:t>
            </w:r>
          </w:p>
        </w:tc>
        <w:tc>
          <w:tcPr>
            <w:tcW w:w="1409" w:type="dxa"/>
            <w:shd w:val="clear" w:color="auto" w:fill="auto"/>
            <w:vAlign w:val="center"/>
          </w:tcPr>
          <w:p w14:paraId="2BCA16E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73 %</w:t>
            </w:r>
            <w:r w:rsidRPr="004468BE">
              <w:rPr>
                <w:rFonts w:eastAsia="Calibri" w:cstheme="minorHAnsi"/>
                <w:color w:val="000000"/>
                <w:sz w:val="20"/>
                <w:vertAlign w:val="superscript"/>
                <w:lang w:val="en-US"/>
              </w:rPr>
              <w:t>***</w:t>
            </w:r>
          </w:p>
        </w:tc>
        <w:tc>
          <w:tcPr>
            <w:tcW w:w="1410" w:type="dxa"/>
            <w:shd w:val="clear" w:color="auto" w:fill="auto"/>
            <w:vAlign w:val="center"/>
          </w:tcPr>
          <w:p w14:paraId="02DD4FB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73 %</w:t>
            </w:r>
            <w:r w:rsidRPr="004468BE">
              <w:rPr>
                <w:rFonts w:eastAsia="Calibri" w:cstheme="minorHAnsi"/>
                <w:color w:val="000000"/>
                <w:sz w:val="20"/>
                <w:vertAlign w:val="superscript"/>
                <w:lang w:val="en-US"/>
              </w:rPr>
              <w:t>***</w:t>
            </w:r>
          </w:p>
        </w:tc>
        <w:tc>
          <w:tcPr>
            <w:tcW w:w="1251" w:type="dxa"/>
            <w:shd w:val="clear" w:color="auto" w:fill="BFBFBF"/>
            <w:vAlign w:val="center"/>
          </w:tcPr>
          <w:p w14:paraId="7F4726D8" w14:textId="77777777" w:rsidR="00A6463E" w:rsidRPr="004468BE" w:rsidRDefault="00A6463E" w:rsidP="00A6463E">
            <w:pPr>
              <w:spacing w:before="40" w:after="40" w:line="240" w:lineRule="auto"/>
              <w:jc w:val="center"/>
              <w:rPr>
                <w:rFonts w:eastAsia="Calibri" w:cstheme="minorHAnsi"/>
                <w:color w:val="000000"/>
                <w:sz w:val="20"/>
                <w:szCs w:val="20"/>
                <w:lang w:val="en-US"/>
              </w:rPr>
            </w:pPr>
          </w:p>
        </w:tc>
        <w:tc>
          <w:tcPr>
            <w:tcW w:w="1488" w:type="dxa"/>
            <w:shd w:val="clear" w:color="auto" w:fill="auto"/>
            <w:vAlign w:val="center"/>
          </w:tcPr>
          <w:p w14:paraId="67AA1BB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71 %</w:t>
            </w:r>
            <w:r w:rsidRPr="004468BE">
              <w:rPr>
                <w:rFonts w:eastAsia="Calibri" w:cstheme="minorHAnsi"/>
                <w:color w:val="000000"/>
                <w:sz w:val="20"/>
                <w:vertAlign w:val="superscript"/>
                <w:lang w:val="en-US"/>
              </w:rPr>
              <w:t>††</w:t>
            </w:r>
          </w:p>
        </w:tc>
        <w:tc>
          <w:tcPr>
            <w:tcW w:w="1489" w:type="dxa"/>
            <w:shd w:val="clear" w:color="auto" w:fill="auto"/>
            <w:vAlign w:val="center"/>
          </w:tcPr>
          <w:p w14:paraId="03F7086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62 %</w:t>
            </w:r>
          </w:p>
        </w:tc>
      </w:tr>
      <w:tr w:rsidR="00A6463E" w:rsidRPr="000C4E6C" w14:paraId="604207F9" w14:textId="77777777" w:rsidTr="00A6463E">
        <w:trPr>
          <w:trHeight w:val="197"/>
        </w:trPr>
        <w:tc>
          <w:tcPr>
            <w:tcW w:w="9498" w:type="dxa"/>
            <w:gridSpan w:val="7"/>
            <w:shd w:val="clear" w:color="auto" w:fill="auto"/>
          </w:tcPr>
          <w:p w14:paraId="063CA992"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ACR 50</w:t>
            </w:r>
          </w:p>
        </w:tc>
      </w:tr>
      <w:tr w:rsidR="00A6463E" w:rsidRPr="000C4E6C" w14:paraId="419E26CA" w14:textId="77777777" w:rsidTr="00A6463E">
        <w:trPr>
          <w:trHeight w:val="331"/>
        </w:trPr>
        <w:tc>
          <w:tcPr>
            <w:tcW w:w="1276" w:type="dxa"/>
            <w:shd w:val="clear" w:color="auto" w:fill="auto"/>
            <w:vAlign w:val="center"/>
          </w:tcPr>
          <w:p w14:paraId="6038D5AA"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p>
        </w:tc>
        <w:tc>
          <w:tcPr>
            <w:tcW w:w="1175" w:type="dxa"/>
            <w:shd w:val="clear" w:color="auto" w:fill="auto"/>
            <w:vAlign w:val="center"/>
          </w:tcPr>
          <w:p w14:paraId="7F69BE6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33 %</w:t>
            </w:r>
          </w:p>
        </w:tc>
        <w:tc>
          <w:tcPr>
            <w:tcW w:w="1409" w:type="dxa"/>
            <w:shd w:val="clear" w:color="auto" w:fill="auto"/>
            <w:vAlign w:val="center"/>
          </w:tcPr>
          <w:p w14:paraId="16BAB25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55 %</w:t>
            </w:r>
            <w:r w:rsidRPr="004468BE">
              <w:rPr>
                <w:rFonts w:eastAsia="Calibri" w:cstheme="minorHAnsi"/>
                <w:color w:val="000000"/>
                <w:sz w:val="20"/>
                <w:vertAlign w:val="superscript"/>
                <w:lang w:val="en-US"/>
              </w:rPr>
              <w:t>***</w:t>
            </w:r>
          </w:p>
        </w:tc>
        <w:tc>
          <w:tcPr>
            <w:tcW w:w="1410" w:type="dxa"/>
            <w:shd w:val="clear" w:color="auto" w:fill="auto"/>
            <w:vAlign w:val="center"/>
          </w:tcPr>
          <w:p w14:paraId="13577DC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60 %</w:t>
            </w:r>
            <w:r w:rsidRPr="004468BE">
              <w:rPr>
                <w:rFonts w:eastAsia="Calibri" w:cstheme="minorHAnsi"/>
                <w:color w:val="000000"/>
                <w:sz w:val="20"/>
                <w:vertAlign w:val="superscript"/>
                <w:lang w:val="en-US"/>
              </w:rPr>
              <w:t>***</w:t>
            </w:r>
          </w:p>
        </w:tc>
        <w:tc>
          <w:tcPr>
            <w:tcW w:w="1251" w:type="dxa"/>
            <w:shd w:val="clear" w:color="auto" w:fill="auto"/>
            <w:vAlign w:val="center"/>
          </w:tcPr>
          <w:p w14:paraId="1E80350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17 %</w:t>
            </w:r>
          </w:p>
        </w:tc>
        <w:tc>
          <w:tcPr>
            <w:tcW w:w="1488" w:type="dxa"/>
            <w:shd w:val="clear" w:color="auto" w:fill="auto"/>
            <w:vAlign w:val="center"/>
          </w:tcPr>
          <w:p w14:paraId="377EEDD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45 %</w:t>
            </w:r>
            <w:r w:rsidRPr="004468BE">
              <w:rPr>
                <w:rFonts w:eastAsia="Calibri" w:cstheme="minorHAnsi"/>
                <w:color w:val="000000"/>
                <w:sz w:val="20"/>
                <w:vertAlign w:val="superscript"/>
                <w:lang w:val="en-US"/>
              </w:rPr>
              <w:t>***††</w:t>
            </w:r>
          </w:p>
        </w:tc>
        <w:tc>
          <w:tcPr>
            <w:tcW w:w="1489" w:type="dxa"/>
            <w:shd w:val="clear" w:color="auto" w:fill="auto"/>
            <w:vAlign w:val="center"/>
          </w:tcPr>
          <w:p w14:paraId="1B770F9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35 %</w:t>
            </w:r>
            <w:r w:rsidRPr="004468BE">
              <w:rPr>
                <w:rFonts w:eastAsia="Calibri" w:cstheme="minorHAnsi"/>
                <w:color w:val="000000"/>
                <w:sz w:val="20"/>
                <w:vertAlign w:val="superscript"/>
                <w:lang w:val="en-US"/>
              </w:rPr>
              <w:t>***</w:t>
            </w:r>
          </w:p>
        </w:tc>
      </w:tr>
      <w:tr w:rsidR="00A6463E" w:rsidRPr="000C4E6C" w14:paraId="653BE478" w14:textId="77777777" w:rsidTr="00A6463E">
        <w:trPr>
          <w:trHeight w:val="350"/>
        </w:trPr>
        <w:tc>
          <w:tcPr>
            <w:tcW w:w="1276" w:type="dxa"/>
            <w:shd w:val="clear" w:color="auto" w:fill="auto"/>
            <w:vAlign w:val="center"/>
          </w:tcPr>
          <w:p w14:paraId="6B42F4CA"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p>
        </w:tc>
        <w:tc>
          <w:tcPr>
            <w:tcW w:w="1175" w:type="dxa"/>
            <w:shd w:val="clear" w:color="auto" w:fill="auto"/>
            <w:vAlign w:val="center"/>
          </w:tcPr>
          <w:p w14:paraId="02B5C85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43 %</w:t>
            </w:r>
          </w:p>
        </w:tc>
        <w:tc>
          <w:tcPr>
            <w:tcW w:w="1409" w:type="dxa"/>
            <w:shd w:val="clear" w:color="auto" w:fill="auto"/>
            <w:vAlign w:val="center"/>
          </w:tcPr>
          <w:p w14:paraId="12D2AAA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60 %</w:t>
            </w:r>
            <w:r w:rsidRPr="004468BE">
              <w:rPr>
                <w:rFonts w:eastAsia="Calibri" w:cstheme="minorHAnsi"/>
                <w:color w:val="000000"/>
                <w:sz w:val="20"/>
                <w:vertAlign w:val="superscript"/>
                <w:lang w:val="en-US"/>
              </w:rPr>
              <w:t>**</w:t>
            </w:r>
          </w:p>
        </w:tc>
        <w:tc>
          <w:tcPr>
            <w:tcW w:w="1410" w:type="dxa"/>
            <w:shd w:val="clear" w:color="auto" w:fill="auto"/>
            <w:vAlign w:val="center"/>
          </w:tcPr>
          <w:p w14:paraId="36E9EA1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63 %</w:t>
            </w:r>
            <w:r w:rsidRPr="004468BE">
              <w:rPr>
                <w:rFonts w:eastAsia="Calibri" w:cstheme="minorHAnsi"/>
                <w:color w:val="000000"/>
                <w:sz w:val="20"/>
                <w:vertAlign w:val="superscript"/>
                <w:lang w:val="en-US"/>
              </w:rPr>
              <w:t>***</w:t>
            </w:r>
          </w:p>
        </w:tc>
        <w:tc>
          <w:tcPr>
            <w:tcW w:w="1251" w:type="dxa"/>
            <w:shd w:val="clear" w:color="auto" w:fill="auto"/>
            <w:vAlign w:val="center"/>
          </w:tcPr>
          <w:p w14:paraId="46C5626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19 %</w:t>
            </w:r>
          </w:p>
        </w:tc>
        <w:tc>
          <w:tcPr>
            <w:tcW w:w="1488" w:type="dxa"/>
            <w:shd w:val="clear" w:color="auto" w:fill="auto"/>
            <w:vAlign w:val="center"/>
          </w:tcPr>
          <w:p w14:paraId="1D5C9CD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51 %</w:t>
            </w:r>
            <w:r w:rsidRPr="004468BE">
              <w:rPr>
                <w:rFonts w:eastAsia="Calibri" w:cstheme="minorHAnsi"/>
                <w:color w:val="000000"/>
                <w:sz w:val="20"/>
                <w:vertAlign w:val="superscript"/>
                <w:lang w:val="en-US"/>
              </w:rPr>
              <w:t>***</w:t>
            </w:r>
          </w:p>
        </w:tc>
        <w:tc>
          <w:tcPr>
            <w:tcW w:w="1489" w:type="dxa"/>
            <w:shd w:val="clear" w:color="auto" w:fill="auto"/>
            <w:vAlign w:val="center"/>
          </w:tcPr>
          <w:p w14:paraId="04F92638"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45 %</w:t>
            </w:r>
            <w:r w:rsidRPr="004468BE">
              <w:rPr>
                <w:rFonts w:eastAsia="Calibri" w:cstheme="minorHAnsi"/>
                <w:color w:val="000000"/>
                <w:sz w:val="20"/>
                <w:vertAlign w:val="superscript"/>
                <w:lang w:val="en-US"/>
              </w:rPr>
              <w:t>***</w:t>
            </w:r>
          </w:p>
        </w:tc>
      </w:tr>
      <w:tr w:rsidR="00A6463E" w:rsidRPr="000C4E6C" w14:paraId="40196C23" w14:textId="77777777" w:rsidTr="00A6463E">
        <w:trPr>
          <w:trHeight w:val="283"/>
        </w:trPr>
        <w:tc>
          <w:tcPr>
            <w:tcW w:w="1276" w:type="dxa"/>
            <w:shd w:val="clear" w:color="auto" w:fill="auto"/>
            <w:vAlign w:val="center"/>
          </w:tcPr>
          <w:p w14:paraId="45B8BD4A"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52</w:t>
            </w:r>
          </w:p>
        </w:tc>
        <w:tc>
          <w:tcPr>
            <w:tcW w:w="1175" w:type="dxa"/>
            <w:shd w:val="clear" w:color="auto" w:fill="auto"/>
            <w:vAlign w:val="center"/>
          </w:tcPr>
          <w:p w14:paraId="5B4296B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38 %</w:t>
            </w:r>
          </w:p>
        </w:tc>
        <w:tc>
          <w:tcPr>
            <w:tcW w:w="1409" w:type="dxa"/>
            <w:shd w:val="clear" w:color="auto" w:fill="auto"/>
            <w:vAlign w:val="center"/>
          </w:tcPr>
          <w:p w14:paraId="249D250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57 %</w:t>
            </w:r>
            <w:r w:rsidRPr="004468BE">
              <w:rPr>
                <w:rFonts w:eastAsia="Calibri" w:cstheme="minorHAnsi"/>
                <w:color w:val="000000"/>
                <w:sz w:val="20"/>
                <w:vertAlign w:val="superscript"/>
                <w:lang w:val="en-US"/>
              </w:rPr>
              <w:t>***</w:t>
            </w:r>
          </w:p>
        </w:tc>
        <w:tc>
          <w:tcPr>
            <w:tcW w:w="1410" w:type="dxa"/>
            <w:shd w:val="clear" w:color="auto" w:fill="auto"/>
            <w:vAlign w:val="center"/>
          </w:tcPr>
          <w:p w14:paraId="3BA3488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62 %</w:t>
            </w:r>
            <w:r w:rsidRPr="004468BE">
              <w:rPr>
                <w:rFonts w:eastAsia="Calibri" w:cstheme="minorHAnsi"/>
                <w:color w:val="000000"/>
                <w:sz w:val="20"/>
                <w:vertAlign w:val="superscript"/>
                <w:lang w:val="en-US"/>
              </w:rPr>
              <w:t>***</w:t>
            </w:r>
          </w:p>
        </w:tc>
        <w:tc>
          <w:tcPr>
            <w:tcW w:w="1251" w:type="dxa"/>
            <w:shd w:val="clear" w:color="auto" w:fill="BFBFBF"/>
            <w:vAlign w:val="center"/>
          </w:tcPr>
          <w:p w14:paraId="02213C1B" w14:textId="77777777" w:rsidR="00A6463E" w:rsidRPr="004468BE" w:rsidRDefault="00A6463E" w:rsidP="00A6463E">
            <w:pPr>
              <w:spacing w:before="40" w:after="40" w:line="240" w:lineRule="auto"/>
              <w:jc w:val="center"/>
              <w:rPr>
                <w:rFonts w:eastAsia="Calibri" w:cstheme="minorHAnsi"/>
                <w:color w:val="000000"/>
                <w:sz w:val="20"/>
                <w:szCs w:val="20"/>
                <w:lang w:val="en-US"/>
              </w:rPr>
            </w:pPr>
          </w:p>
        </w:tc>
        <w:tc>
          <w:tcPr>
            <w:tcW w:w="1488" w:type="dxa"/>
            <w:shd w:val="clear" w:color="auto" w:fill="auto"/>
            <w:vAlign w:val="center"/>
          </w:tcPr>
          <w:p w14:paraId="500B96F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56 %</w:t>
            </w:r>
            <w:r w:rsidRPr="004468BE">
              <w:rPr>
                <w:rFonts w:eastAsia="Calibri" w:cstheme="minorHAnsi"/>
                <w:color w:val="000000"/>
                <w:sz w:val="20"/>
                <w:vertAlign w:val="superscript"/>
                <w:lang w:val="en-US"/>
              </w:rPr>
              <w:t>†</w:t>
            </w:r>
          </w:p>
        </w:tc>
        <w:tc>
          <w:tcPr>
            <w:tcW w:w="1489" w:type="dxa"/>
            <w:shd w:val="clear" w:color="auto" w:fill="auto"/>
            <w:vAlign w:val="center"/>
          </w:tcPr>
          <w:p w14:paraId="67ABAD0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47 %</w:t>
            </w:r>
          </w:p>
        </w:tc>
      </w:tr>
      <w:tr w:rsidR="00A6463E" w:rsidRPr="000C4E6C" w14:paraId="4CDF9E4B" w14:textId="77777777" w:rsidTr="00A6463E">
        <w:trPr>
          <w:trHeight w:val="206"/>
        </w:trPr>
        <w:tc>
          <w:tcPr>
            <w:tcW w:w="9498" w:type="dxa"/>
            <w:gridSpan w:val="7"/>
            <w:shd w:val="clear" w:color="auto" w:fill="auto"/>
          </w:tcPr>
          <w:p w14:paraId="2A5653F5"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ACR 70</w:t>
            </w:r>
          </w:p>
        </w:tc>
      </w:tr>
      <w:tr w:rsidR="00A6463E" w:rsidRPr="000C4E6C" w14:paraId="28358A36" w14:textId="77777777" w:rsidTr="00A6463E">
        <w:trPr>
          <w:trHeight w:val="333"/>
        </w:trPr>
        <w:tc>
          <w:tcPr>
            <w:tcW w:w="1276" w:type="dxa"/>
            <w:shd w:val="clear" w:color="auto" w:fill="auto"/>
            <w:vAlign w:val="center"/>
          </w:tcPr>
          <w:p w14:paraId="39C8773E"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p>
        </w:tc>
        <w:tc>
          <w:tcPr>
            <w:tcW w:w="1175" w:type="dxa"/>
            <w:shd w:val="clear" w:color="auto" w:fill="auto"/>
            <w:vAlign w:val="center"/>
          </w:tcPr>
          <w:p w14:paraId="5A9350C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16 %</w:t>
            </w:r>
          </w:p>
        </w:tc>
        <w:tc>
          <w:tcPr>
            <w:tcW w:w="1409" w:type="dxa"/>
            <w:shd w:val="clear" w:color="auto" w:fill="auto"/>
            <w:vAlign w:val="center"/>
          </w:tcPr>
          <w:p w14:paraId="608DBDA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31 %</w:t>
            </w:r>
            <w:r w:rsidRPr="004468BE">
              <w:rPr>
                <w:rFonts w:eastAsia="Calibri" w:cstheme="minorHAnsi"/>
                <w:color w:val="000000"/>
                <w:sz w:val="20"/>
                <w:vertAlign w:val="superscript"/>
                <w:lang w:val="en-US"/>
              </w:rPr>
              <w:t>***</w:t>
            </w:r>
          </w:p>
        </w:tc>
        <w:tc>
          <w:tcPr>
            <w:tcW w:w="1410" w:type="dxa"/>
            <w:shd w:val="clear" w:color="auto" w:fill="auto"/>
            <w:vAlign w:val="center"/>
          </w:tcPr>
          <w:p w14:paraId="38B26D3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33 %</w:t>
            </w:r>
            <w:r w:rsidRPr="004468BE">
              <w:rPr>
                <w:rFonts w:eastAsia="Calibri" w:cstheme="minorHAnsi"/>
                <w:color w:val="000000"/>
                <w:sz w:val="20"/>
                <w:vertAlign w:val="superscript"/>
                <w:lang w:val="en-US"/>
              </w:rPr>
              <w:t>***</w:t>
            </w:r>
          </w:p>
        </w:tc>
        <w:tc>
          <w:tcPr>
            <w:tcW w:w="1251" w:type="dxa"/>
            <w:shd w:val="clear" w:color="auto" w:fill="auto"/>
            <w:vAlign w:val="center"/>
          </w:tcPr>
          <w:p w14:paraId="3014A8E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5 %</w:t>
            </w:r>
          </w:p>
        </w:tc>
        <w:tc>
          <w:tcPr>
            <w:tcW w:w="1488" w:type="dxa"/>
            <w:shd w:val="clear" w:color="auto" w:fill="auto"/>
            <w:vAlign w:val="center"/>
          </w:tcPr>
          <w:p w14:paraId="239F87AC"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19 %</w:t>
            </w:r>
            <w:r w:rsidRPr="004468BE">
              <w:rPr>
                <w:rFonts w:eastAsia="Calibri" w:cstheme="minorHAnsi"/>
                <w:color w:val="000000"/>
                <w:sz w:val="20"/>
                <w:vertAlign w:val="superscript"/>
                <w:lang w:val="en-US"/>
              </w:rPr>
              <w:t>***†</w:t>
            </w:r>
          </w:p>
        </w:tc>
        <w:tc>
          <w:tcPr>
            <w:tcW w:w="1489" w:type="dxa"/>
            <w:shd w:val="clear" w:color="auto" w:fill="auto"/>
            <w:vAlign w:val="center"/>
          </w:tcPr>
          <w:p w14:paraId="3A24935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13 %</w:t>
            </w:r>
            <w:r w:rsidRPr="004468BE">
              <w:rPr>
                <w:rFonts w:eastAsia="Calibri" w:cstheme="minorHAnsi"/>
                <w:color w:val="000000"/>
                <w:sz w:val="20"/>
                <w:vertAlign w:val="superscript"/>
                <w:lang w:val="en-US"/>
              </w:rPr>
              <w:t>***</w:t>
            </w:r>
          </w:p>
        </w:tc>
      </w:tr>
      <w:tr w:rsidR="00A6463E" w:rsidRPr="000C4E6C" w14:paraId="616F0C38" w14:textId="77777777" w:rsidTr="00A6463E">
        <w:trPr>
          <w:trHeight w:val="282"/>
        </w:trPr>
        <w:tc>
          <w:tcPr>
            <w:tcW w:w="1276" w:type="dxa"/>
            <w:shd w:val="clear" w:color="auto" w:fill="auto"/>
            <w:vAlign w:val="center"/>
          </w:tcPr>
          <w:p w14:paraId="2903FB08"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p>
        </w:tc>
        <w:tc>
          <w:tcPr>
            <w:tcW w:w="1175" w:type="dxa"/>
            <w:shd w:val="clear" w:color="auto" w:fill="auto"/>
            <w:vAlign w:val="center"/>
          </w:tcPr>
          <w:p w14:paraId="18C22B5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21 %</w:t>
            </w:r>
          </w:p>
        </w:tc>
        <w:tc>
          <w:tcPr>
            <w:tcW w:w="1409" w:type="dxa"/>
            <w:shd w:val="clear" w:color="auto" w:fill="auto"/>
            <w:vAlign w:val="center"/>
          </w:tcPr>
          <w:p w14:paraId="6C055C6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42 %</w:t>
            </w:r>
            <w:r w:rsidRPr="004468BE">
              <w:rPr>
                <w:rFonts w:eastAsia="Calibri" w:cstheme="minorHAnsi"/>
                <w:color w:val="000000"/>
                <w:sz w:val="20"/>
                <w:vertAlign w:val="superscript"/>
                <w:lang w:val="en-US"/>
              </w:rPr>
              <w:t>***</w:t>
            </w:r>
          </w:p>
        </w:tc>
        <w:tc>
          <w:tcPr>
            <w:tcW w:w="1410" w:type="dxa"/>
            <w:shd w:val="clear" w:color="auto" w:fill="auto"/>
            <w:vAlign w:val="center"/>
          </w:tcPr>
          <w:p w14:paraId="24B5E2C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40 %</w:t>
            </w:r>
            <w:r w:rsidRPr="004468BE">
              <w:rPr>
                <w:rFonts w:eastAsia="Calibri" w:cstheme="minorHAnsi"/>
                <w:color w:val="000000"/>
                <w:sz w:val="20"/>
                <w:vertAlign w:val="superscript"/>
                <w:lang w:val="en-US"/>
              </w:rPr>
              <w:t>***</w:t>
            </w:r>
          </w:p>
        </w:tc>
        <w:tc>
          <w:tcPr>
            <w:tcW w:w="1251" w:type="dxa"/>
            <w:shd w:val="clear" w:color="auto" w:fill="auto"/>
            <w:vAlign w:val="center"/>
          </w:tcPr>
          <w:p w14:paraId="70CA021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8 %</w:t>
            </w:r>
          </w:p>
        </w:tc>
        <w:tc>
          <w:tcPr>
            <w:tcW w:w="1488" w:type="dxa"/>
            <w:shd w:val="clear" w:color="auto" w:fill="auto"/>
            <w:vAlign w:val="center"/>
          </w:tcPr>
          <w:p w14:paraId="10BE709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30 %</w:t>
            </w:r>
            <w:r w:rsidRPr="004468BE">
              <w:rPr>
                <w:rFonts w:eastAsia="Calibri" w:cstheme="minorHAnsi"/>
                <w:color w:val="000000"/>
                <w:sz w:val="20"/>
                <w:vertAlign w:val="superscript"/>
                <w:lang w:val="en-US"/>
              </w:rPr>
              <w:t>***†</w:t>
            </w:r>
          </w:p>
        </w:tc>
        <w:tc>
          <w:tcPr>
            <w:tcW w:w="1489" w:type="dxa"/>
            <w:shd w:val="clear" w:color="auto" w:fill="auto"/>
            <w:vAlign w:val="center"/>
          </w:tcPr>
          <w:p w14:paraId="74F1203F"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22 %</w:t>
            </w:r>
            <w:r w:rsidRPr="004468BE">
              <w:rPr>
                <w:rFonts w:eastAsia="Calibri" w:cstheme="minorHAnsi"/>
                <w:color w:val="000000"/>
                <w:sz w:val="20"/>
                <w:vertAlign w:val="superscript"/>
                <w:lang w:val="en-US"/>
              </w:rPr>
              <w:t>***</w:t>
            </w:r>
          </w:p>
        </w:tc>
      </w:tr>
      <w:tr w:rsidR="00A6463E" w:rsidRPr="000C4E6C" w14:paraId="1CA472C4" w14:textId="77777777" w:rsidTr="00A6463E">
        <w:trPr>
          <w:trHeight w:val="257"/>
        </w:trPr>
        <w:tc>
          <w:tcPr>
            <w:tcW w:w="1276" w:type="dxa"/>
            <w:shd w:val="clear" w:color="auto" w:fill="auto"/>
            <w:vAlign w:val="center"/>
          </w:tcPr>
          <w:p w14:paraId="7C349994"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52</w:t>
            </w:r>
          </w:p>
        </w:tc>
        <w:tc>
          <w:tcPr>
            <w:tcW w:w="1175" w:type="dxa"/>
            <w:shd w:val="clear" w:color="auto" w:fill="auto"/>
            <w:vAlign w:val="center"/>
          </w:tcPr>
          <w:p w14:paraId="08F4CFC9"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20"/>
                <w:lang w:val="en-US"/>
              </w:rPr>
              <w:t>25 %</w:t>
            </w:r>
          </w:p>
        </w:tc>
        <w:tc>
          <w:tcPr>
            <w:tcW w:w="1409" w:type="dxa"/>
            <w:shd w:val="clear" w:color="auto" w:fill="auto"/>
            <w:vAlign w:val="center"/>
          </w:tcPr>
          <w:p w14:paraId="32D3FFCD"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20"/>
                <w:lang w:val="en-US"/>
              </w:rPr>
              <w:t>42 %</w:t>
            </w:r>
            <w:r w:rsidRPr="004468BE">
              <w:rPr>
                <w:rFonts w:eastAsia="Calibri" w:cstheme="minorHAnsi"/>
                <w:color w:val="000000"/>
                <w:sz w:val="20"/>
                <w:vertAlign w:val="superscript"/>
                <w:lang w:val="en-US"/>
              </w:rPr>
              <w:t>***</w:t>
            </w:r>
          </w:p>
        </w:tc>
        <w:tc>
          <w:tcPr>
            <w:tcW w:w="1410" w:type="dxa"/>
            <w:shd w:val="clear" w:color="auto" w:fill="auto"/>
            <w:vAlign w:val="center"/>
          </w:tcPr>
          <w:p w14:paraId="0A0934A4"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20"/>
                <w:lang w:val="en-US"/>
              </w:rPr>
              <w:t>46 %</w:t>
            </w:r>
            <w:r w:rsidRPr="004468BE">
              <w:rPr>
                <w:rFonts w:eastAsia="Calibri" w:cstheme="minorHAnsi"/>
                <w:color w:val="000000"/>
                <w:sz w:val="20"/>
                <w:vertAlign w:val="superscript"/>
                <w:lang w:val="en-US"/>
              </w:rPr>
              <w:t>***</w:t>
            </w:r>
          </w:p>
        </w:tc>
        <w:tc>
          <w:tcPr>
            <w:tcW w:w="1251" w:type="dxa"/>
            <w:shd w:val="clear" w:color="auto" w:fill="BFBFBF"/>
            <w:vAlign w:val="center"/>
          </w:tcPr>
          <w:p w14:paraId="1E3530E7" w14:textId="77777777" w:rsidR="00A6463E" w:rsidRPr="004468BE" w:rsidRDefault="00A6463E" w:rsidP="00A6463E">
            <w:pPr>
              <w:spacing w:before="40" w:after="40" w:line="240" w:lineRule="auto"/>
              <w:jc w:val="center"/>
              <w:rPr>
                <w:rFonts w:eastAsia="Calibri" w:cstheme="minorHAnsi"/>
                <w:color w:val="000000"/>
                <w:sz w:val="18"/>
                <w:szCs w:val="18"/>
                <w:lang w:val="en-US"/>
              </w:rPr>
            </w:pPr>
          </w:p>
        </w:tc>
        <w:tc>
          <w:tcPr>
            <w:tcW w:w="1488" w:type="dxa"/>
            <w:shd w:val="clear" w:color="auto" w:fill="auto"/>
            <w:vAlign w:val="center"/>
          </w:tcPr>
          <w:p w14:paraId="79A1BFAB"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20"/>
                <w:lang w:val="en-US"/>
              </w:rPr>
              <w:t>37 %</w:t>
            </w:r>
          </w:p>
        </w:tc>
        <w:tc>
          <w:tcPr>
            <w:tcW w:w="1489" w:type="dxa"/>
            <w:shd w:val="clear" w:color="auto" w:fill="auto"/>
            <w:vAlign w:val="center"/>
          </w:tcPr>
          <w:p w14:paraId="4D42F456"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20"/>
                <w:lang w:val="en-US"/>
              </w:rPr>
              <w:t>31 %</w:t>
            </w:r>
          </w:p>
        </w:tc>
      </w:tr>
    </w:tbl>
    <w:p w14:paraId="6BD395C7" w14:textId="77777777" w:rsidR="00A6463E" w:rsidRPr="00EC003A" w:rsidRDefault="00A6463E" w:rsidP="00305EBA">
      <w:pPr>
        <w:tabs>
          <w:tab w:val="left" w:pos="0"/>
        </w:tabs>
        <w:spacing w:after="0" w:line="240" w:lineRule="auto"/>
        <w:contextualSpacing/>
        <w:rPr>
          <w:rFonts w:eastAsia="Times New Roman" w:cstheme="minorHAnsi"/>
          <w:sz w:val="18"/>
          <w:szCs w:val="18"/>
          <w:lang w:val="en-GB"/>
        </w:rPr>
      </w:pPr>
      <w:r w:rsidRPr="00EC003A">
        <w:rPr>
          <w:rFonts w:eastAsia="Times New Roman" w:cstheme="minorHAnsi"/>
          <w:sz w:val="18"/>
          <w:szCs w:val="18"/>
          <w:lang w:val="en-GB"/>
        </w:rPr>
        <w:t>Abbreviations: MTX = methotrexate</w:t>
      </w:r>
    </w:p>
    <w:p w14:paraId="2F25E58F" w14:textId="77777777" w:rsidR="00A6463E" w:rsidRPr="00EC003A" w:rsidRDefault="00A6463E" w:rsidP="00305EBA">
      <w:pPr>
        <w:spacing w:after="0" w:line="240" w:lineRule="auto"/>
        <w:ind w:right="-20"/>
        <w:contextualSpacing/>
        <w:rPr>
          <w:rFonts w:eastAsia="Times New Roman" w:cstheme="minorHAnsi"/>
          <w:sz w:val="18"/>
          <w:szCs w:val="18"/>
          <w:lang w:val="en-US"/>
        </w:rPr>
      </w:pPr>
      <w:r w:rsidRPr="00EC003A">
        <w:rPr>
          <w:rFonts w:eastAsia="Times New Roman" w:cstheme="minorHAnsi"/>
          <w:sz w:val="18"/>
          <w:szCs w:val="18"/>
        </w:rPr>
        <w:t>** p ≤ 0.01; *** p ≤ 0.001 vs. placebo (vs. MTX for RA-BEGIN)</w:t>
      </w:r>
    </w:p>
    <w:p w14:paraId="5BE478F0" w14:textId="77777777" w:rsidR="00A6463E" w:rsidRPr="00EC003A" w:rsidRDefault="00A6463E" w:rsidP="00305EBA">
      <w:pPr>
        <w:spacing w:after="0" w:line="240" w:lineRule="auto"/>
        <w:ind w:right="-23"/>
        <w:contextualSpacing/>
        <w:rPr>
          <w:rFonts w:eastAsia="Times New Roman" w:cstheme="minorHAnsi"/>
          <w:sz w:val="18"/>
          <w:szCs w:val="18"/>
        </w:rPr>
      </w:pPr>
      <w:r w:rsidRPr="00EC003A">
        <w:rPr>
          <w:rFonts w:eastAsia="Times New Roman" w:cstheme="minorHAnsi"/>
          <w:sz w:val="18"/>
          <w:szCs w:val="18"/>
          <w:lang w:val="en-US"/>
        </w:rPr>
        <w:t>† p</w:t>
      </w:r>
      <w:r w:rsidRPr="00EC003A">
        <w:rPr>
          <w:rFonts w:eastAsia="Times New Roman" w:cstheme="minorHAnsi"/>
          <w:sz w:val="18"/>
          <w:szCs w:val="18"/>
        </w:rPr>
        <w:t xml:space="preserve"> ≤ 0.05; †† p ≤ 0.01; </w:t>
      </w:r>
    </w:p>
    <w:p w14:paraId="16A75942" w14:textId="51565046" w:rsidR="00A6463E" w:rsidRPr="00DC7636" w:rsidRDefault="00A6463E" w:rsidP="00305EBA">
      <w:pPr>
        <w:pageBreakBefore/>
      </w:pPr>
      <w:bookmarkStart w:id="82" w:name="_Ref475706633"/>
      <w:r w:rsidRPr="00DC7636">
        <w:lastRenderedPageBreak/>
        <w:t xml:space="preserve">Table </w:t>
      </w:r>
      <w:bookmarkEnd w:id="82"/>
      <w:r w:rsidR="00446055">
        <w:rPr>
          <w:noProof/>
        </w:rPr>
        <w:t>8</w:t>
      </w:r>
      <w:r w:rsidRPr="00DC7636">
        <w:t xml:space="preserve"> </w:t>
      </w:r>
      <w:r w:rsidR="00625B9E" w:rsidRPr="00DC7636">
        <w:t xml:space="preserve"> </w:t>
      </w:r>
      <w:r w:rsidRPr="00DC7636">
        <w:t xml:space="preserve">ACR Response Rates – Placebo Controlled Trials </w:t>
      </w:r>
    </w:p>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1417"/>
        <w:gridCol w:w="1418"/>
        <w:gridCol w:w="1417"/>
        <w:gridCol w:w="1418"/>
        <w:gridCol w:w="1417"/>
        <w:gridCol w:w="1418"/>
      </w:tblGrid>
      <w:tr w:rsidR="00A6463E" w:rsidRPr="000C4E6C" w14:paraId="2CACA5D4" w14:textId="77777777" w:rsidTr="00A6463E">
        <w:trPr>
          <w:trHeight w:val="188"/>
        </w:trPr>
        <w:tc>
          <w:tcPr>
            <w:tcW w:w="1276" w:type="dxa"/>
            <w:vMerge w:val="restart"/>
            <w:shd w:val="clear" w:color="auto" w:fill="auto"/>
          </w:tcPr>
          <w:p w14:paraId="2D1807F4" w14:textId="77777777" w:rsidR="00A6463E" w:rsidRPr="004468BE" w:rsidRDefault="00A6463E" w:rsidP="00305EBA">
            <w:pPr>
              <w:spacing w:after="0" w:line="280" w:lineRule="exact"/>
              <w:rPr>
                <w:rFonts w:eastAsia="Times New Roman" w:cstheme="minorHAnsi"/>
                <w:b/>
                <w:sz w:val="20"/>
                <w:szCs w:val="20"/>
              </w:rPr>
            </w:pPr>
          </w:p>
        </w:tc>
        <w:tc>
          <w:tcPr>
            <w:tcW w:w="8505" w:type="dxa"/>
            <w:gridSpan w:val="6"/>
            <w:shd w:val="clear" w:color="auto" w:fill="auto"/>
          </w:tcPr>
          <w:p w14:paraId="0DF5E05A"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Percent of Patients</w:t>
            </w:r>
          </w:p>
        </w:tc>
      </w:tr>
      <w:tr w:rsidR="00A6463E" w:rsidRPr="000C4E6C" w14:paraId="3E509800" w14:textId="77777777" w:rsidTr="00A6463E">
        <w:trPr>
          <w:trHeight w:val="314"/>
        </w:trPr>
        <w:tc>
          <w:tcPr>
            <w:tcW w:w="1276" w:type="dxa"/>
            <w:vMerge/>
            <w:shd w:val="clear" w:color="auto" w:fill="auto"/>
          </w:tcPr>
          <w:p w14:paraId="76627447" w14:textId="77777777" w:rsidR="00A6463E" w:rsidRPr="007D6CDE" w:rsidRDefault="00A6463E" w:rsidP="00A6463E">
            <w:pPr>
              <w:keepNext/>
              <w:keepLines/>
              <w:spacing w:after="0" w:line="280" w:lineRule="exact"/>
              <w:rPr>
                <w:rFonts w:eastAsia="Times New Roman" w:cstheme="minorHAnsi"/>
                <w:b/>
                <w:sz w:val="20"/>
                <w:szCs w:val="20"/>
              </w:rPr>
            </w:pPr>
          </w:p>
        </w:tc>
        <w:tc>
          <w:tcPr>
            <w:tcW w:w="4252" w:type="dxa"/>
            <w:gridSpan w:val="3"/>
            <w:shd w:val="clear" w:color="auto" w:fill="auto"/>
            <w:vAlign w:val="bottom"/>
          </w:tcPr>
          <w:p w14:paraId="3A13C5D3" w14:textId="77777777" w:rsidR="00A6463E" w:rsidRPr="007D6CDE" w:rsidRDefault="00A6463E" w:rsidP="00A6463E">
            <w:pPr>
              <w:spacing w:before="40" w:after="40" w:line="240" w:lineRule="auto"/>
              <w:jc w:val="center"/>
              <w:rPr>
                <w:rFonts w:eastAsia="Calibri" w:cstheme="minorHAnsi"/>
                <w:b/>
                <w:color w:val="000000"/>
                <w:sz w:val="20"/>
                <w:szCs w:val="20"/>
                <w:lang w:val="en-US"/>
              </w:rPr>
            </w:pPr>
            <w:proofErr w:type="spellStart"/>
            <w:r w:rsidRPr="007D6CDE">
              <w:rPr>
                <w:rFonts w:eastAsia="Calibri" w:cstheme="minorHAnsi"/>
                <w:b/>
                <w:color w:val="000000"/>
                <w:sz w:val="20"/>
                <w:szCs w:val="20"/>
                <w:lang w:val="en-US"/>
              </w:rPr>
              <w:t>cDMARD</w:t>
            </w:r>
            <w:proofErr w:type="spellEnd"/>
            <w:r w:rsidRPr="007D6CDE">
              <w:rPr>
                <w:rFonts w:eastAsia="Calibri" w:cstheme="minorHAnsi"/>
                <w:b/>
                <w:color w:val="000000"/>
                <w:sz w:val="20"/>
                <w:szCs w:val="20"/>
                <w:lang w:val="en-US"/>
              </w:rPr>
              <w:t>-IR</w:t>
            </w:r>
          </w:p>
        </w:tc>
        <w:tc>
          <w:tcPr>
            <w:tcW w:w="4253" w:type="dxa"/>
            <w:gridSpan w:val="3"/>
            <w:shd w:val="clear" w:color="auto" w:fill="auto"/>
            <w:vAlign w:val="bottom"/>
          </w:tcPr>
          <w:p w14:paraId="2398F736" w14:textId="77777777" w:rsidR="00A6463E" w:rsidRPr="007D6CDE" w:rsidRDefault="00A6463E" w:rsidP="00A6463E">
            <w:pPr>
              <w:spacing w:before="40" w:after="40" w:line="240" w:lineRule="auto"/>
              <w:jc w:val="center"/>
              <w:rPr>
                <w:rFonts w:eastAsia="Calibri" w:cstheme="minorHAnsi"/>
                <w:b/>
                <w:color w:val="000000"/>
                <w:sz w:val="20"/>
                <w:szCs w:val="20"/>
                <w:lang w:val="en-US"/>
              </w:rPr>
            </w:pPr>
            <w:proofErr w:type="spellStart"/>
            <w:r w:rsidRPr="007D6CDE">
              <w:rPr>
                <w:rFonts w:eastAsia="Calibri" w:cstheme="minorHAnsi"/>
                <w:b/>
                <w:color w:val="000000"/>
                <w:sz w:val="20"/>
                <w:szCs w:val="20"/>
                <w:lang w:val="en-US"/>
              </w:rPr>
              <w:t>TNFi</w:t>
            </w:r>
            <w:proofErr w:type="spellEnd"/>
            <w:r w:rsidRPr="007D6CDE">
              <w:rPr>
                <w:rFonts w:eastAsia="Calibri" w:cstheme="minorHAnsi"/>
                <w:b/>
                <w:color w:val="000000"/>
                <w:sz w:val="20"/>
                <w:szCs w:val="20"/>
                <w:lang w:val="en-US"/>
              </w:rPr>
              <w:t>-IR</w:t>
            </w:r>
          </w:p>
        </w:tc>
      </w:tr>
      <w:tr w:rsidR="00A6463E" w:rsidRPr="000C4E6C" w14:paraId="252E817C" w14:textId="77777777" w:rsidTr="00A6463E">
        <w:trPr>
          <w:trHeight w:val="260"/>
        </w:trPr>
        <w:tc>
          <w:tcPr>
            <w:tcW w:w="1276" w:type="dxa"/>
            <w:vMerge/>
            <w:shd w:val="clear" w:color="auto" w:fill="auto"/>
          </w:tcPr>
          <w:p w14:paraId="34E4197C" w14:textId="77777777" w:rsidR="00A6463E" w:rsidRPr="007D6CDE" w:rsidRDefault="00A6463E" w:rsidP="00A6463E">
            <w:pPr>
              <w:keepNext/>
              <w:keepLines/>
              <w:spacing w:after="0" w:line="280" w:lineRule="exact"/>
              <w:rPr>
                <w:rFonts w:eastAsia="Times New Roman" w:cstheme="minorHAnsi"/>
                <w:b/>
                <w:sz w:val="20"/>
                <w:szCs w:val="20"/>
              </w:rPr>
            </w:pPr>
          </w:p>
        </w:tc>
        <w:tc>
          <w:tcPr>
            <w:tcW w:w="4252" w:type="dxa"/>
            <w:gridSpan w:val="3"/>
            <w:shd w:val="clear" w:color="auto" w:fill="auto"/>
            <w:vAlign w:val="bottom"/>
          </w:tcPr>
          <w:p w14:paraId="2DB26996"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RA-BUILD</w:t>
            </w:r>
          </w:p>
        </w:tc>
        <w:tc>
          <w:tcPr>
            <w:tcW w:w="4253" w:type="dxa"/>
            <w:gridSpan w:val="3"/>
            <w:shd w:val="clear" w:color="auto" w:fill="auto"/>
            <w:vAlign w:val="bottom"/>
          </w:tcPr>
          <w:p w14:paraId="30897A88"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RA-BEACON</w:t>
            </w:r>
          </w:p>
        </w:tc>
      </w:tr>
      <w:tr w:rsidR="00A6463E" w:rsidRPr="000C4E6C" w14:paraId="626CD2C9" w14:textId="77777777" w:rsidTr="00A6463E">
        <w:trPr>
          <w:trHeight w:val="584"/>
        </w:trPr>
        <w:tc>
          <w:tcPr>
            <w:tcW w:w="1276" w:type="dxa"/>
            <w:vMerge/>
            <w:shd w:val="clear" w:color="auto" w:fill="auto"/>
          </w:tcPr>
          <w:p w14:paraId="042A2FDE" w14:textId="77777777" w:rsidR="00A6463E" w:rsidRPr="007D6CDE" w:rsidRDefault="00A6463E" w:rsidP="00A6463E">
            <w:pPr>
              <w:keepNext/>
              <w:keepLines/>
              <w:spacing w:after="0" w:line="280" w:lineRule="exact"/>
              <w:rPr>
                <w:rFonts w:eastAsia="Times New Roman" w:cstheme="minorHAnsi"/>
                <w:b/>
                <w:sz w:val="20"/>
                <w:szCs w:val="20"/>
              </w:rPr>
            </w:pPr>
          </w:p>
        </w:tc>
        <w:tc>
          <w:tcPr>
            <w:tcW w:w="1417" w:type="dxa"/>
            <w:shd w:val="clear" w:color="auto" w:fill="auto"/>
            <w:vAlign w:val="bottom"/>
          </w:tcPr>
          <w:p w14:paraId="617B0581"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 xml:space="preserve">Placebo + </w:t>
            </w:r>
            <w:proofErr w:type="spellStart"/>
            <w:r w:rsidRPr="007D6CDE">
              <w:rPr>
                <w:rFonts w:eastAsia="Calibri" w:cstheme="minorHAnsi"/>
                <w:b/>
                <w:color w:val="000000"/>
                <w:sz w:val="20"/>
                <w:szCs w:val="20"/>
                <w:lang w:val="en-US"/>
              </w:rPr>
              <w:t>cDMARDs</w:t>
            </w:r>
            <w:proofErr w:type="spellEnd"/>
          </w:p>
        </w:tc>
        <w:tc>
          <w:tcPr>
            <w:tcW w:w="1418" w:type="dxa"/>
            <w:shd w:val="clear" w:color="auto" w:fill="auto"/>
            <w:vAlign w:val="bottom"/>
          </w:tcPr>
          <w:p w14:paraId="478F05FF"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 xml:space="preserve">2 mg/day + </w:t>
            </w:r>
            <w:proofErr w:type="spellStart"/>
            <w:r w:rsidRPr="007D6CDE">
              <w:rPr>
                <w:rFonts w:eastAsia="Calibri" w:cstheme="minorHAnsi"/>
                <w:b/>
                <w:color w:val="000000"/>
                <w:sz w:val="20"/>
                <w:szCs w:val="20"/>
                <w:lang w:val="en-US"/>
              </w:rPr>
              <w:t>cDMARDs</w:t>
            </w:r>
            <w:proofErr w:type="spellEnd"/>
          </w:p>
        </w:tc>
        <w:tc>
          <w:tcPr>
            <w:tcW w:w="1417" w:type="dxa"/>
            <w:shd w:val="clear" w:color="auto" w:fill="auto"/>
            <w:vAlign w:val="bottom"/>
          </w:tcPr>
          <w:p w14:paraId="54E5E333"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 xml:space="preserve">4 mg/day + </w:t>
            </w:r>
            <w:proofErr w:type="spellStart"/>
            <w:r w:rsidRPr="007D6CDE">
              <w:rPr>
                <w:rFonts w:eastAsia="Calibri" w:cstheme="minorHAnsi"/>
                <w:b/>
                <w:color w:val="000000"/>
                <w:sz w:val="20"/>
                <w:szCs w:val="20"/>
                <w:lang w:val="en-US"/>
              </w:rPr>
              <w:t>cDMARDs</w:t>
            </w:r>
            <w:proofErr w:type="spellEnd"/>
          </w:p>
        </w:tc>
        <w:tc>
          <w:tcPr>
            <w:tcW w:w="1418" w:type="dxa"/>
            <w:shd w:val="clear" w:color="auto" w:fill="auto"/>
            <w:vAlign w:val="bottom"/>
          </w:tcPr>
          <w:p w14:paraId="1249F405"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 xml:space="preserve">Placebo + </w:t>
            </w:r>
            <w:proofErr w:type="spellStart"/>
            <w:r w:rsidRPr="007D6CDE">
              <w:rPr>
                <w:rFonts w:eastAsia="Calibri" w:cstheme="minorHAnsi"/>
                <w:b/>
                <w:color w:val="000000"/>
                <w:sz w:val="20"/>
                <w:szCs w:val="20"/>
                <w:lang w:val="en-US"/>
              </w:rPr>
              <w:t>cDMARDs</w:t>
            </w:r>
            <w:proofErr w:type="spellEnd"/>
          </w:p>
        </w:tc>
        <w:tc>
          <w:tcPr>
            <w:tcW w:w="1417" w:type="dxa"/>
            <w:shd w:val="clear" w:color="auto" w:fill="auto"/>
            <w:vAlign w:val="bottom"/>
          </w:tcPr>
          <w:p w14:paraId="3A232B26"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 xml:space="preserve">2 mg/day + </w:t>
            </w:r>
            <w:proofErr w:type="spellStart"/>
            <w:r w:rsidRPr="007D6CDE">
              <w:rPr>
                <w:rFonts w:eastAsia="Calibri" w:cstheme="minorHAnsi"/>
                <w:b/>
                <w:color w:val="000000"/>
                <w:sz w:val="20"/>
                <w:szCs w:val="20"/>
                <w:lang w:val="en-US"/>
              </w:rPr>
              <w:t>cDMARDs</w:t>
            </w:r>
            <w:proofErr w:type="spellEnd"/>
          </w:p>
        </w:tc>
        <w:tc>
          <w:tcPr>
            <w:tcW w:w="1418" w:type="dxa"/>
            <w:shd w:val="clear" w:color="auto" w:fill="auto"/>
            <w:vAlign w:val="bottom"/>
          </w:tcPr>
          <w:p w14:paraId="723B27A5"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 xml:space="preserve">4 mg/day + </w:t>
            </w:r>
            <w:proofErr w:type="spellStart"/>
            <w:r w:rsidRPr="007D6CDE">
              <w:rPr>
                <w:rFonts w:eastAsia="Calibri" w:cstheme="minorHAnsi"/>
                <w:b/>
                <w:color w:val="000000"/>
                <w:sz w:val="20"/>
                <w:szCs w:val="20"/>
                <w:lang w:val="en-US"/>
              </w:rPr>
              <w:t>cDMARDs</w:t>
            </w:r>
            <w:proofErr w:type="spellEnd"/>
          </w:p>
        </w:tc>
      </w:tr>
      <w:tr w:rsidR="00A6463E" w:rsidRPr="000C4E6C" w14:paraId="1FF28613" w14:textId="77777777" w:rsidTr="00A6463E">
        <w:trPr>
          <w:trHeight w:val="305"/>
        </w:trPr>
        <w:tc>
          <w:tcPr>
            <w:tcW w:w="1276" w:type="dxa"/>
            <w:shd w:val="clear" w:color="auto" w:fill="auto"/>
            <w:vAlign w:val="bottom"/>
          </w:tcPr>
          <w:p w14:paraId="03DF4DF4" w14:textId="77777777" w:rsidR="00A6463E" w:rsidRPr="004468BE" w:rsidRDefault="00A6463E" w:rsidP="00305EBA">
            <w:pPr>
              <w:spacing w:before="40" w:after="40" w:line="240" w:lineRule="auto"/>
              <w:jc w:val="center"/>
              <w:rPr>
                <w:rFonts w:eastAsia="Calibri" w:cstheme="minorHAnsi"/>
                <w:color w:val="000000"/>
                <w:sz w:val="20"/>
                <w:szCs w:val="20"/>
                <w:lang w:val="en-US"/>
              </w:rPr>
            </w:pPr>
            <w:r w:rsidRPr="004468BE">
              <w:rPr>
                <w:rFonts w:eastAsia="Calibri" w:cstheme="minorHAnsi"/>
                <w:b/>
                <w:color w:val="000000"/>
                <w:sz w:val="20"/>
                <w:szCs w:val="20"/>
                <w:lang w:val="en-US"/>
              </w:rPr>
              <w:t>N</w:t>
            </w:r>
          </w:p>
        </w:tc>
        <w:tc>
          <w:tcPr>
            <w:tcW w:w="1417" w:type="dxa"/>
            <w:shd w:val="clear" w:color="auto" w:fill="auto"/>
            <w:vAlign w:val="bottom"/>
          </w:tcPr>
          <w:p w14:paraId="28BE3075"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228</w:t>
            </w:r>
          </w:p>
        </w:tc>
        <w:tc>
          <w:tcPr>
            <w:tcW w:w="1418" w:type="dxa"/>
            <w:shd w:val="clear" w:color="auto" w:fill="auto"/>
            <w:vAlign w:val="bottom"/>
          </w:tcPr>
          <w:p w14:paraId="2355AF6E"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229</w:t>
            </w:r>
          </w:p>
        </w:tc>
        <w:tc>
          <w:tcPr>
            <w:tcW w:w="1417" w:type="dxa"/>
            <w:shd w:val="clear" w:color="auto" w:fill="auto"/>
            <w:vAlign w:val="bottom"/>
          </w:tcPr>
          <w:p w14:paraId="2937C7E8"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227</w:t>
            </w:r>
          </w:p>
        </w:tc>
        <w:tc>
          <w:tcPr>
            <w:tcW w:w="1418" w:type="dxa"/>
            <w:shd w:val="clear" w:color="auto" w:fill="auto"/>
            <w:vAlign w:val="bottom"/>
          </w:tcPr>
          <w:p w14:paraId="5BFCEAEB"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176</w:t>
            </w:r>
          </w:p>
        </w:tc>
        <w:tc>
          <w:tcPr>
            <w:tcW w:w="1417" w:type="dxa"/>
            <w:shd w:val="clear" w:color="auto" w:fill="auto"/>
            <w:vAlign w:val="bottom"/>
          </w:tcPr>
          <w:p w14:paraId="10CD18D5"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174</w:t>
            </w:r>
          </w:p>
        </w:tc>
        <w:tc>
          <w:tcPr>
            <w:tcW w:w="1418" w:type="dxa"/>
            <w:shd w:val="clear" w:color="auto" w:fill="auto"/>
            <w:vAlign w:val="bottom"/>
          </w:tcPr>
          <w:p w14:paraId="273E6697"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177</w:t>
            </w:r>
          </w:p>
        </w:tc>
      </w:tr>
      <w:tr w:rsidR="00A6463E" w:rsidRPr="000C4E6C" w14:paraId="5D5AD075" w14:textId="77777777" w:rsidTr="00A6463E">
        <w:trPr>
          <w:trHeight w:val="134"/>
        </w:trPr>
        <w:tc>
          <w:tcPr>
            <w:tcW w:w="9781" w:type="dxa"/>
            <w:gridSpan w:val="7"/>
            <w:shd w:val="clear" w:color="auto" w:fill="auto"/>
          </w:tcPr>
          <w:p w14:paraId="360E4ADD" w14:textId="77777777" w:rsidR="00A6463E" w:rsidRPr="004468BE" w:rsidRDefault="00A6463E" w:rsidP="00305EBA">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ACR 20</w:t>
            </w:r>
          </w:p>
        </w:tc>
      </w:tr>
      <w:tr w:rsidR="00A6463E" w:rsidRPr="000C4E6C" w14:paraId="332515A7" w14:textId="77777777" w:rsidTr="00A6463E">
        <w:trPr>
          <w:trHeight w:val="332"/>
        </w:trPr>
        <w:tc>
          <w:tcPr>
            <w:tcW w:w="1276" w:type="dxa"/>
            <w:shd w:val="clear" w:color="auto" w:fill="auto"/>
            <w:vAlign w:val="center"/>
          </w:tcPr>
          <w:p w14:paraId="7FFBFFFA"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r w:rsidRPr="004468BE">
              <w:rPr>
                <w:rFonts w:eastAsia="Calibri" w:cstheme="minorHAnsi"/>
                <w:color w:val="FF0000"/>
                <w:sz w:val="18"/>
                <w:szCs w:val="18"/>
                <w:lang w:val="en-US"/>
              </w:rPr>
              <w:t xml:space="preserve"> </w:t>
            </w:r>
          </w:p>
        </w:tc>
        <w:tc>
          <w:tcPr>
            <w:tcW w:w="1417" w:type="dxa"/>
            <w:shd w:val="clear" w:color="auto" w:fill="auto"/>
            <w:vAlign w:val="center"/>
          </w:tcPr>
          <w:p w14:paraId="0198141B"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39 %</w:t>
            </w:r>
          </w:p>
        </w:tc>
        <w:tc>
          <w:tcPr>
            <w:tcW w:w="1418" w:type="dxa"/>
            <w:shd w:val="clear" w:color="auto" w:fill="auto"/>
            <w:vAlign w:val="center"/>
          </w:tcPr>
          <w:p w14:paraId="4248141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66 %</w:t>
            </w:r>
            <w:r w:rsidRPr="004468BE">
              <w:rPr>
                <w:rFonts w:eastAsia="Calibri" w:cstheme="minorHAnsi"/>
                <w:color w:val="000000"/>
                <w:sz w:val="20"/>
                <w:vertAlign w:val="superscript"/>
                <w:lang w:val="en-US"/>
              </w:rPr>
              <w:t>***</w:t>
            </w:r>
          </w:p>
        </w:tc>
        <w:tc>
          <w:tcPr>
            <w:tcW w:w="1417" w:type="dxa"/>
            <w:shd w:val="clear" w:color="auto" w:fill="auto"/>
            <w:vAlign w:val="center"/>
          </w:tcPr>
          <w:p w14:paraId="6236BC3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62 %</w:t>
            </w:r>
            <w:r w:rsidRPr="004468BE">
              <w:rPr>
                <w:rFonts w:eastAsia="Calibri" w:cstheme="minorHAnsi"/>
                <w:color w:val="000000"/>
                <w:sz w:val="20"/>
                <w:vertAlign w:val="superscript"/>
                <w:lang w:val="en-US"/>
              </w:rPr>
              <w:t>***</w:t>
            </w:r>
          </w:p>
        </w:tc>
        <w:tc>
          <w:tcPr>
            <w:tcW w:w="1418" w:type="dxa"/>
            <w:shd w:val="clear" w:color="auto" w:fill="auto"/>
            <w:vAlign w:val="center"/>
          </w:tcPr>
          <w:p w14:paraId="68DFB92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27 %</w:t>
            </w:r>
          </w:p>
        </w:tc>
        <w:tc>
          <w:tcPr>
            <w:tcW w:w="1417" w:type="dxa"/>
            <w:shd w:val="clear" w:color="auto" w:fill="auto"/>
            <w:vAlign w:val="center"/>
          </w:tcPr>
          <w:p w14:paraId="69CF4DA8"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49 %</w:t>
            </w:r>
            <w:r w:rsidRPr="004468BE">
              <w:rPr>
                <w:rFonts w:eastAsia="Calibri" w:cstheme="minorHAnsi"/>
                <w:color w:val="000000"/>
                <w:sz w:val="20"/>
                <w:vertAlign w:val="superscript"/>
                <w:lang w:val="en-US"/>
              </w:rPr>
              <w:t>***</w:t>
            </w:r>
          </w:p>
        </w:tc>
        <w:tc>
          <w:tcPr>
            <w:tcW w:w="1418" w:type="dxa"/>
            <w:shd w:val="clear" w:color="auto" w:fill="auto"/>
            <w:vAlign w:val="center"/>
          </w:tcPr>
          <w:p w14:paraId="50E3183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55 %</w:t>
            </w:r>
            <w:r w:rsidRPr="004468BE">
              <w:rPr>
                <w:rFonts w:eastAsia="Calibri" w:cstheme="minorHAnsi"/>
                <w:color w:val="000000"/>
                <w:sz w:val="20"/>
                <w:vertAlign w:val="superscript"/>
                <w:lang w:val="en-US"/>
              </w:rPr>
              <w:t>***</w:t>
            </w:r>
          </w:p>
        </w:tc>
      </w:tr>
      <w:tr w:rsidR="00A6463E" w:rsidRPr="000C4E6C" w14:paraId="07C14313" w14:textId="77777777" w:rsidTr="00A6463E">
        <w:trPr>
          <w:trHeight w:val="253"/>
        </w:trPr>
        <w:tc>
          <w:tcPr>
            <w:tcW w:w="1276" w:type="dxa"/>
            <w:shd w:val="clear" w:color="auto" w:fill="auto"/>
            <w:vAlign w:val="center"/>
          </w:tcPr>
          <w:p w14:paraId="30BC846E"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r w:rsidRPr="004468BE">
              <w:rPr>
                <w:rFonts w:eastAsia="Calibri" w:cstheme="minorHAnsi"/>
                <w:color w:val="FF0000"/>
                <w:sz w:val="18"/>
                <w:szCs w:val="18"/>
                <w:lang w:val="en-US"/>
              </w:rPr>
              <w:t xml:space="preserve"> </w:t>
            </w:r>
          </w:p>
        </w:tc>
        <w:tc>
          <w:tcPr>
            <w:tcW w:w="1417" w:type="dxa"/>
            <w:shd w:val="clear" w:color="auto" w:fill="auto"/>
            <w:vAlign w:val="center"/>
          </w:tcPr>
          <w:p w14:paraId="4B3144DB"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42 %</w:t>
            </w:r>
          </w:p>
        </w:tc>
        <w:tc>
          <w:tcPr>
            <w:tcW w:w="1418" w:type="dxa"/>
            <w:shd w:val="clear" w:color="auto" w:fill="auto"/>
            <w:vAlign w:val="center"/>
          </w:tcPr>
          <w:p w14:paraId="3C2B57A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61 %</w:t>
            </w:r>
            <w:r w:rsidRPr="004468BE">
              <w:rPr>
                <w:rFonts w:eastAsia="Calibri" w:cstheme="minorHAnsi"/>
                <w:color w:val="000000"/>
                <w:sz w:val="20"/>
                <w:vertAlign w:val="superscript"/>
                <w:lang w:val="en-US"/>
              </w:rPr>
              <w:t>***</w:t>
            </w:r>
          </w:p>
        </w:tc>
        <w:tc>
          <w:tcPr>
            <w:tcW w:w="1417" w:type="dxa"/>
            <w:shd w:val="clear" w:color="auto" w:fill="auto"/>
            <w:vAlign w:val="center"/>
          </w:tcPr>
          <w:p w14:paraId="65CF8B0C"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65 %</w:t>
            </w:r>
            <w:r w:rsidRPr="004468BE">
              <w:rPr>
                <w:rFonts w:eastAsia="Calibri" w:cstheme="minorHAnsi"/>
                <w:color w:val="000000"/>
                <w:sz w:val="20"/>
                <w:vertAlign w:val="superscript"/>
                <w:lang w:val="en-US"/>
              </w:rPr>
              <w:t>***</w:t>
            </w:r>
          </w:p>
        </w:tc>
        <w:tc>
          <w:tcPr>
            <w:tcW w:w="1418" w:type="dxa"/>
            <w:shd w:val="clear" w:color="auto" w:fill="auto"/>
            <w:vAlign w:val="center"/>
          </w:tcPr>
          <w:p w14:paraId="66162738"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27 %</w:t>
            </w:r>
          </w:p>
        </w:tc>
        <w:tc>
          <w:tcPr>
            <w:tcW w:w="1417" w:type="dxa"/>
            <w:shd w:val="clear" w:color="auto" w:fill="auto"/>
            <w:vAlign w:val="center"/>
          </w:tcPr>
          <w:p w14:paraId="7AEB83B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45 %</w:t>
            </w:r>
            <w:r w:rsidRPr="004468BE">
              <w:rPr>
                <w:rFonts w:eastAsia="Calibri" w:cstheme="minorHAnsi"/>
                <w:color w:val="000000"/>
                <w:sz w:val="20"/>
                <w:vertAlign w:val="superscript"/>
                <w:lang w:val="en-US"/>
              </w:rPr>
              <w:t>***</w:t>
            </w:r>
          </w:p>
        </w:tc>
        <w:tc>
          <w:tcPr>
            <w:tcW w:w="1418" w:type="dxa"/>
            <w:shd w:val="clear" w:color="auto" w:fill="auto"/>
            <w:vAlign w:val="center"/>
          </w:tcPr>
          <w:p w14:paraId="382893F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46 %</w:t>
            </w:r>
            <w:r w:rsidRPr="004468BE">
              <w:rPr>
                <w:rFonts w:eastAsia="Calibri" w:cstheme="minorHAnsi"/>
                <w:color w:val="000000"/>
                <w:sz w:val="20"/>
                <w:vertAlign w:val="superscript"/>
                <w:lang w:val="en-US"/>
              </w:rPr>
              <w:t>***</w:t>
            </w:r>
          </w:p>
        </w:tc>
      </w:tr>
      <w:tr w:rsidR="00A6463E" w:rsidRPr="000C4E6C" w14:paraId="01A0E7B3" w14:textId="77777777" w:rsidTr="00A6463E">
        <w:trPr>
          <w:trHeight w:val="197"/>
        </w:trPr>
        <w:tc>
          <w:tcPr>
            <w:tcW w:w="9781" w:type="dxa"/>
            <w:gridSpan w:val="7"/>
            <w:shd w:val="clear" w:color="auto" w:fill="auto"/>
          </w:tcPr>
          <w:p w14:paraId="1C36E94D"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ACR 50</w:t>
            </w:r>
          </w:p>
        </w:tc>
      </w:tr>
      <w:tr w:rsidR="00A6463E" w:rsidRPr="000C4E6C" w14:paraId="69ACBF0D" w14:textId="77777777" w:rsidTr="00A6463E">
        <w:trPr>
          <w:trHeight w:val="319"/>
        </w:trPr>
        <w:tc>
          <w:tcPr>
            <w:tcW w:w="1276" w:type="dxa"/>
            <w:shd w:val="clear" w:color="auto" w:fill="auto"/>
            <w:vAlign w:val="center"/>
          </w:tcPr>
          <w:p w14:paraId="14E55E66"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r w:rsidRPr="004468BE">
              <w:rPr>
                <w:rFonts w:eastAsia="Calibri" w:cstheme="minorHAnsi"/>
                <w:color w:val="FF0000"/>
                <w:sz w:val="18"/>
                <w:szCs w:val="18"/>
                <w:lang w:val="en-US"/>
              </w:rPr>
              <w:t xml:space="preserve"> </w:t>
            </w:r>
          </w:p>
        </w:tc>
        <w:tc>
          <w:tcPr>
            <w:tcW w:w="1417" w:type="dxa"/>
            <w:shd w:val="clear" w:color="auto" w:fill="auto"/>
            <w:vAlign w:val="center"/>
          </w:tcPr>
          <w:p w14:paraId="3E63348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13 %</w:t>
            </w:r>
          </w:p>
        </w:tc>
        <w:tc>
          <w:tcPr>
            <w:tcW w:w="1418" w:type="dxa"/>
            <w:shd w:val="clear" w:color="auto" w:fill="auto"/>
            <w:vAlign w:val="center"/>
          </w:tcPr>
          <w:p w14:paraId="7EE2798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34 %</w:t>
            </w:r>
            <w:r w:rsidRPr="004468BE">
              <w:rPr>
                <w:rFonts w:eastAsia="Calibri" w:cstheme="minorHAnsi"/>
                <w:color w:val="000000"/>
                <w:sz w:val="20"/>
                <w:vertAlign w:val="superscript"/>
                <w:lang w:val="en-US"/>
              </w:rPr>
              <w:t>***</w:t>
            </w:r>
          </w:p>
        </w:tc>
        <w:tc>
          <w:tcPr>
            <w:tcW w:w="1417" w:type="dxa"/>
            <w:shd w:val="clear" w:color="auto" w:fill="auto"/>
            <w:vAlign w:val="center"/>
          </w:tcPr>
          <w:p w14:paraId="515D938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33 %</w:t>
            </w:r>
            <w:r w:rsidRPr="004468BE">
              <w:rPr>
                <w:rFonts w:eastAsia="Calibri" w:cstheme="minorHAnsi"/>
                <w:color w:val="000000"/>
                <w:sz w:val="20"/>
                <w:vertAlign w:val="superscript"/>
                <w:lang w:val="en-US"/>
              </w:rPr>
              <w:t>***</w:t>
            </w:r>
          </w:p>
        </w:tc>
        <w:tc>
          <w:tcPr>
            <w:tcW w:w="1418" w:type="dxa"/>
            <w:shd w:val="clear" w:color="auto" w:fill="auto"/>
            <w:vAlign w:val="center"/>
          </w:tcPr>
          <w:p w14:paraId="0DF1673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8 %</w:t>
            </w:r>
          </w:p>
        </w:tc>
        <w:tc>
          <w:tcPr>
            <w:tcW w:w="1417" w:type="dxa"/>
            <w:shd w:val="clear" w:color="auto" w:fill="auto"/>
            <w:vAlign w:val="center"/>
          </w:tcPr>
          <w:p w14:paraId="0111027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20 %</w:t>
            </w:r>
            <w:r w:rsidRPr="004468BE">
              <w:rPr>
                <w:rFonts w:eastAsia="Calibri" w:cstheme="minorHAnsi"/>
                <w:color w:val="000000"/>
                <w:sz w:val="20"/>
                <w:vertAlign w:val="superscript"/>
                <w:lang w:val="en-US"/>
              </w:rPr>
              <w:t>**</w:t>
            </w:r>
          </w:p>
        </w:tc>
        <w:tc>
          <w:tcPr>
            <w:tcW w:w="1418" w:type="dxa"/>
            <w:shd w:val="clear" w:color="auto" w:fill="auto"/>
            <w:vAlign w:val="center"/>
          </w:tcPr>
          <w:p w14:paraId="0498818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28 %</w:t>
            </w:r>
            <w:r w:rsidRPr="004468BE">
              <w:rPr>
                <w:rFonts w:eastAsia="Calibri" w:cstheme="minorHAnsi"/>
                <w:color w:val="000000"/>
                <w:sz w:val="20"/>
                <w:vertAlign w:val="superscript"/>
                <w:lang w:val="en-US"/>
              </w:rPr>
              <w:t>***</w:t>
            </w:r>
          </w:p>
        </w:tc>
      </w:tr>
      <w:tr w:rsidR="00A6463E" w:rsidRPr="000C4E6C" w14:paraId="33C46663" w14:textId="77777777" w:rsidTr="00A6463E">
        <w:trPr>
          <w:trHeight w:val="297"/>
        </w:trPr>
        <w:tc>
          <w:tcPr>
            <w:tcW w:w="1276" w:type="dxa"/>
            <w:shd w:val="clear" w:color="auto" w:fill="auto"/>
            <w:vAlign w:val="center"/>
          </w:tcPr>
          <w:p w14:paraId="232A39DD"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r w:rsidRPr="004468BE">
              <w:rPr>
                <w:rFonts w:eastAsia="Calibri" w:cstheme="minorHAnsi"/>
                <w:color w:val="FF0000"/>
                <w:sz w:val="18"/>
                <w:szCs w:val="18"/>
                <w:lang w:val="en-US"/>
              </w:rPr>
              <w:t xml:space="preserve"> </w:t>
            </w:r>
          </w:p>
        </w:tc>
        <w:tc>
          <w:tcPr>
            <w:tcW w:w="1417" w:type="dxa"/>
            <w:shd w:val="clear" w:color="auto" w:fill="auto"/>
            <w:vAlign w:val="center"/>
          </w:tcPr>
          <w:p w14:paraId="25FA893C"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21 %</w:t>
            </w:r>
          </w:p>
        </w:tc>
        <w:tc>
          <w:tcPr>
            <w:tcW w:w="1418" w:type="dxa"/>
            <w:shd w:val="clear" w:color="auto" w:fill="auto"/>
            <w:vAlign w:val="center"/>
          </w:tcPr>
          <w:p w14:paraId="176F943F"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41 %</w:t>
            </w:r>
            <w:r w:rsidRPr="004468BE">
              <w:rPr>
                <w:rFonts w:eastAsia="Calibri" w:cstheme="minorHAnsi"/>
                <w:color w:val="000000"/>
                <w:sz w:val="20"/>
                <w:vertAlign w:val="superscript"/>
                <w:lang w:val="en-US"/>
              </w:rPr>
              <w:t>***</w:t>
            </w:r>
          </w:p>
        </w:tc>
        <w:tc>
          <w:tcPr>
            <w:tcW w:w="1417" w:type="dxa"/>
            <w:shd w:val="clear" w:color="auto" w:fill="auto"/>
            <w:vAlign w:val="center"/>
          </w:tcPr>
          <w:p w14:paraId="2E96F95F"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44 %</w:t>
            </w:r>
            <w:r w:rsidRPr="004468BE">
              <w:rPr>
                <w:rFonts w:eastAsia="Calibri" w:cstheme="minorHAnsi"/>
                <w:color w:val="000000"/>
                <w:sz w:val="20"/>
                <w:vertAlign w:val="superscript"/>
                <w:lang w:val="en-US"/>
              </w:rPr>
              <w:t>***</w:t>
            </w:r>
          </w:p>
        </w:tc>
        <w:tc>
          <w:tcPr>
            <w:tcW w:w="1418" w:type="dxa"/>
            <w:shd w:val="clear" w:color="auto" w:fill="auto"/>
            <w:vAlign w:val="center"/>
          </w:tcPr>
          <w:p w14:paraId="70E98C1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13 %</w:t>
            </w:r>
          </w:p>
        </w:tc>
        <w:tc>
          <w:tcPr>
            <w:tcW w:w="1417" w:type="dxa"/>
            <w:shd w:val="clear" w:color="auto" w:fill="auto"/>
            <w:vAlign w:val="center"/>
          </w:tcPr>
          <w:p w14:paraId="4AB08C1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23 %</w:t>
            </w:r>
            <w:r w:rsidRPr="004468BE">
              <w:rPr>
                <w:rFonts w:eastAsia="Calibri" w:cstheme="minorHAnsi"/>
                <w:color w:val="000000"/>
                <w:sz w:val="20"/>
                <w:vertAlign w:val="superscript"/>
                <w:lang w:val="en-US"/>
              </w:rPr>
              <w:t>*</w:t>
            </w:r>
          </w:p>
        </w:tc>
        <w:tc>
          <w:tcPr>
            <w:tcW w:w="1418" w:type="dxa"/>
            <w:shd w:val="clear" w:color="auto" w:fill="auto"/>
            <w:vAlign w:val="center"/>
          </w:tcPr>
          <w:p w14:paraId="71FA8B7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29 %</w:t>
            </w:r>
            <w:r w:rsidRPr="004468BE">
              <w:rPr>
                <w:rFonts w:eastAsia="Calibri" w:cstheme="minorHAnsi"/>
                <w:color w:val="000000"/>
                <w:sz w:val="20"/>
                <w:vertAlign w:val="superscript"/>
                <w:lang w:val="en-US"/>
              </w:rPr>
              <w:t>***</w:t>
            </w:r>
          </w:p>
        </w:tc>
      </w:tr>
      <w:tr w:rsidR="00A6463E" w:rsidRPr="000C4E6C" w14:paraId="4D186C21" w14:textId="77777777" w:rsidTr="00A6463E">
        <w:trPr>
          <w:trHeight w:val="206"/>
        </w:trPr>
        <w:tc>
          <w:tcPr>
            <w:tcW w:w="9781" w:type="dxa"/>
            <w:gridSpan w:val="7"/>
            <w:shd w:val="clear" w:color="auto" w:fill="auto"/>
          </w:tcPr>
          <w:p w14:paraId="1098B304"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ACR 70</w:t>
            </w:r>
          </w:p>
        </w:tc>
      </w:tr>
      <w:tr w:rsidR="00A6463E" w:rsidRPr="000C4E6C" w14:paraId="1C659791" w14:textId="77777777" w:rsidTr="00A6463E">
        <w:trPr>
          <w:trHeight w:val="325"/>
        </w:trPr>
        <w:tc>
          <w:tcPr>
            <w:tcW w:w="1276" w:type="dxa"/>
            <w:shd w:val="clear" w:color="auto" w:fill="auto"/>
            <w:vAlign w:val="center"/>
          </w:tcPr>
          <w:p w14:paraId="3CF9195C"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r w:rsidRPr="004468BE">
              <w:rPr>
                <w:rFonts w:eastAsia="Calibri" w:cstheme="minorHAnsi"/>
                <w:color w:val="FF0000"/>
                <w:sz w:val="18"/>
                <w:szCs w:val="18"/>
                <w:lang w:val="en-US"/>
              </w:rPr>
              <w:t xml:space="preserve"> </w:t>
            </w:r>
          </w:p>
        </w:tc>
        <w:tc>
          <w:tcPr>
            <w:tcW w:w="1417" w:type="dxa"/>
            <w:shd w:val="clear" w:color="auto" w:fill="auto"/>
            <w:vAlign w:val="center"/>
          </w:tcPr>
          <w:p w14:paraId="3B4EC36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3 %</w:t>
            </w:r>
          </w:p>
        </w:tc>
        <w:tc>
          <w:tcPr>
            <w:tcW w:w="1418" w:type="dxa"/>
            <w:shd w:val="clear" w:color="auto" w:fill="auto"/>
            <w:vAlign w:val="center"/>
          </w:tcPr>
          <w:p w14:paraId="57AC00B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18 %</w:t>
            </w:r>
            <w:r w:rsidRPr="004468BE">
              <w:rPr>
                <w:rFonts w:eastAsia="Calibri" w:cstheme="minorHAnsi"/>
                <w:color w:val="000000"/>
                <w:sz w:val="20"/>
                <w:vertAlign w:val="superscript"/>
                <w:lang w:val="en-US"/>
              </w:rPr>
              <w:t>***</w:t>
            </w:r>
          </w:p>
        </w:tc>
        <w:tc>
          <w:tcPr>
            <w:tcW w:w="1417" w:type="dxa"/>
            <w:shd w:val="clear" w:color="auto" w:fill="auto"/>
            <w:vAlign w:val="center"/>
          </w:tcPr>
          <w:p w14:paraId="7CA5522F"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18 %</w:t>
            </w:r>
            <w:r w:rsidRPr="004468BE">
              <w:rPr>
                <w:rFonts w:eastAsia="Calibri" w:cstheme="minorHAnsi"/>
                <w:color w:val="000000"/>
                <w:sz w:val="20"/>
                <w:vertAlign w:val="superscript"/>
                <w:lang w:val="en-US"/>
              </w:rPr>
              <w:t>***</w:t>
            </w:r>
          </w:p>
        </w:tc>
        <w:tc>
          <w:tcPr>
            <w:tcW w:w="1418" w:type="dxa"/>
            <w:shd w:val="clear" w:color="auto" w:fill="auto"/>
            <w:vAlign w:val="center"/>
          </w:tcPr>
          <w:p w14:paraId="6D4EDB1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2 %</w:t>
            </w:r>
          </w:p>
        </w:tc>
        <w:tc>
          <w:tcPr>
            <w:tcW w:w="1417" w:type="dxa"/>
            <w:shd w:val="clear" w:color="auto" w:fill="auto"/>
            <w:vAlign w:val="center"/>
          </w:tcPr>
          <w:p w14:paraId="05390C7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13 %</w:t>
            </w:r>
            <w:r w:rsidRPr="004468BE">
              <w:rPr>
                <w:rFonts w:eastAsia="Calibri" w:cstheme="minorHAnsi"/>
                <w:color w:val="000000"/>
                <w:sz w:val="20"/>
                <w:vertAlign w:val="superscript"/>
                <w:lang w:val="en-US"/>
              </w:rPr>
              <w:t>***</w:t>
            </w:r>
          </w:p>
        </w:tc>
        <w:tc>
          <w:tcPr>
            <w:tcW w:w="1418" w:type="dxa"/>
            <w:shd w:val="clear" w:color="auto" w:fill="auto"/>
            <w:vAlign w:val="center"/>
          </w:tcPr>
          <w:p w14:paraId="789F900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11 %</w:t>
            </w:r>
            <w:r w:rsidRPr="004468BE">
              <w:rPr>
                <w:rFonts w:eastAsia="Calibri" w:cstheme="minorHAnsi"/>
                <w:color w:val="000000"/>
                <w:sz w:val="20"/>
                <w:vertAlign w:val="superscript"/>
                <w:lang w:val="en-US"/>
              </w:rPr>
              <w:t>**</w:t>
            </w:r>
          </w:p>
        </w:tc>
      </w:tr>
      <w:tr w:rsidR="00A6463E" w:rsidRPr="000C4E6C" w14:paraId="14E33FEE" w14:textId="77777777" w:rsidTr="00A6463E">
        <w:trPr>
          <w:trHeight w:val="269"/>
        </w:trPr>
        <w:tc>
          <w:tcPr>
            <w:tcW w:w="1276" w:type="dxa"/>
            <w:shd w:val="clear" w:color="auto" w:fill="auto"/>
            <w:vAlign w:val="center"/>
          </w:tcPr>
          <w:p w14:paraId="0074578B"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r w:rsidRPr="004468BE">
              <w:rPr>
                <w:rFonts w:eastAsia="Calibri" w:cstheme="minorHAnsi"/>
                <w:color w:val="FF0000"/>
                <w:sz w:val="18"/>
                <w:szCs w:val="18"/>
                <w:lang w:val="en-US"/>
              </w:rPr>
              <w:t xml:space="preserve"> </w:t>
            </w:r>
          </w:p>
        </w:tc>
        <w:tc>
          <w:tcPr>
            <w:tcW w:w="1417" w:type="dxa"/>
            <w:shd w:val="clear" w:color="auto" w:fill="auto"/>
            <w:vAlign w:val="center"/>
          </w:tcPr>
          <w:p w14:paraId="0A4F160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8 %</w:t>
            </w:r>
          </w:p>
        </w:tc>
        <w:tc>
          <w:tcPr>
            <w:tcW w:w="1418" w:type="dxa"/>
            <w:shd w:val="clear" w:color="auto" w:fill="auto"/>
            <w:vAlign w:val="center"/>
          </w:tcPr>
          <w:p w14:paraId="170C328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25 %</w:t>
            </w:r>
            <w:r w:rsidRPr="004468BE">
              <w:rPr>
                <w:rFonts w:eastAsia="Calibri" w:cstheme="minorHAnsi"/>
                <w:color w:val="000000"/>
                <w:sz w:val="20"/>
                <w:vertAlign w:val="superscript"/>
                <w:lang w:val="en-US"/>
              </w:rPr>
              <w:t>***</w:t>
            </w:r>
          </w:p>
        </w:tc>
        <w:tc>
          <w:tcPr>
            <w:tcW w:w="1417" w:type="dxa"/>
            <w:shd w:val="clear" w:color="auto" w:fill="auto"/>
            <w:vAlign w:val="center"/>
          </w:tcPr>
          <w:p w14:paraId="49FA53CB"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24 %</w:t>
            </w:r>
            <w:r w:rsidRPr="004468BE">
              <w:rPr>
                <w:rFonts w:eastAsia="Calibri" w:cstheme="minorHAnsi"/>
                <w:color w:val="000000"/>
                <w:sz w:val="20"/>
                <w:vertAlign w:val="superscript"/>
                <w:lang w:val="en-US"/>
              </w:rPr>
              <w:t>***</w:t>
            </w:r>
          </w:p>
        </w:tc>
        <w:tc>
          <w:tcPr>
            <w:tcW w:w="1418" w:type="dxa"/>
            <w:shd w:val="clear" w:color="auto" w:fill="auto"/>
            <w:vAlign w:val="center"/>
          </w:tcPr>
          <w:p w14:paraId="236D7B8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3 %</w:t>
            </w:r>
          </w:p>
        </w:tc>
        <w:tc>
          <w:tcPr>
            <w:tcW w:w="1417" w:type="dxa"/>
            <w:shd w:val="clear" w:color="auto" w:fill="auto"/>
            <w:vAlign w:val="center"/>
          </w:tcPr>
          <w:p w14:paraId="3A28FE6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13 %</w:t>
            </w:r>
            <w:r w:rsidRPr="004468BE">
              <w:rPr>
                <w:rFonts w:eastAsia="Calibri" w:cstheme="minorHAnsi"/>
                <w:color w:val="000000"/>
                <w:sz w:val="20"/>
                <w:vertAlign w:val="superscript"/>
                <w:lang w:val="en-US"/>
              </w:rPr>
              <w:t>***</w:t>
            </w:r>
          </w:p>
        </w:tc>
        <w:tc>
          <w:tcPr>
            <w:tcW w:w="1418" w:type="dxa"/>
            <w:shd w:val="clear" w:color="auto" w:fill="auto"/>
            <w:vAlign w:val="center"/>
          </w:tcPr>
          <w:p w14:paraId="51B481C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17 %</w:t>
            </w:r>
            <w:r w:rsidRPr="004468BE">
              <w:rPr>
                <w:rFonts w:eastAsia="Calibri" w:cstheme="minorHAnsi"/>
                <w:color w:val="000000"/>
                <w:sz w:val="20"/>
                <w:vertAlign w:val="superscript"/>
                <w:lang w:val="en-US"/>
              </w:rPr>
              <w:t>***</w:t>
            </w:r>
          </w:p>
        </w:tc>
      </w:tr>
    </w:tbl>
    <w:p w14:paraId="6D184D5F" w14:textId="77777777" w:rsidR="00A6463E" w:rsidRPr="00EC003A" w:rsidRDefault="00A6463E" w:rsidP="00A6463E">
      <w:pPr>
        <w:spacing w:after="0" w:line="280" w:lineRule="exact"/>
        <w:rPr>
          <w:rFonts w:eastAsia="Times New Roman" w:cstheme="minorHAnsi"/>
          <w:sz w:val="18"/>
          <w:szCs w:val="18"/>
        </w:rPr>
      </w:pPr>
      <w:r w:rsidRPr="00EC003A">
        <w:rPr>
          <w:rFonts w:eastAsia="Times New Roman" w:cstheme="minorHAnsi"/>
          <w:sz w:val="18"/>
          <w:szCs w:val="18"/>
        </w:rPr>
        <w:t xml:space="preserve">* p ≤ 0.05; ** p ≤ 0.01; *** p ≤ 0.001 vs. placebo </w:t>
      </w:r>
    </w:p>
    <w:p w14:paraId="585D3364" w14:textId="77777777" w:rsidR="00A6463E" w:rsidRPr="00625B9E" w:rsidRDefault="00A6463E" w:rsidP="00A6463E">
      <w:pPr>
        <w:spacing w:after="0" w:line="280" w:lineRule="exact"/>
        <w:rPr>
          <w:rFonts w:ascii="Arial" w:eastAsia="Times New Roman" w:hAnsi="Arial" w:cs="Times New Roman"/>
          <w:sz w:val="20"/>
        </w:rPr>
      </w:pPr>
    </w:p>
    <w:p w14:paraId="53AE01F2" w14:textId="19BAE7AF" w:rsidR="00A6463E" w:rsidRPr="00305EBA" w:rsidRDefault="00A6463E" w:rsidP="00305EBA">
      <w:pPr>
        <w:rPr>
          <w:b/>
        </w:rPr>
      </w:pPr>
      <w:bookmarkStart w:id="83" w:name="_Ref475716430"/>
      <w:r w:rsidRPr="00305EBA">
        <w:rPr>
          <w:b/>
        </w:rPr>
        <w:t xml:space="preserve">Table </w:t>
      </w:r>
      <w:bookmarkEnd w:id="83"/>
      <w:r w:rsidR="00446055" w:rsidRPr="00305EBA">
        <w:rPr>
          <w:b/>
        </w:rPr>
        <w:t>9</w:t>
      </w:r>
      <w:r w:rsidR="00625B9E" w:rsidRPr="00305EBA">
        <w:rPr>
          <w:b/>
        </w:rPr>
        <w:t xml:space="preserve"> </w:t>
      </w:r>
      <w:r w:rsidRPr="00305EBA">
        <w:rPr>
          <w:b/>
        </w:rPr>
        <w:t xml:space="preserve"> Low Disease Activity and Clinical Remission – Active Comparator Trials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93"/>
        <w:gridCol w:w="1394"/>
        <w:gridCol w:w="1394"/>
        <w:gridCol w:w="1394"/>
        <w:gridCol w:w="1371"/>
        <w:gridCol w:w="1417"/>
      </w:tblGrid>
      <w:tr w:rsidR="00A6463E" w:rsidRPr="000C4E6C" w14:paraId="5D21B254" w14:textId="77777777" w:rsidTr="00305EBA">
        <w:trPr>
          <w:trHeight w:val="206"/>
          <w:tblHeader/>
        </w:trPr>
        <w:tc>
          <w:tcPr>
            <w:tcW w:w="1276" w:type="dxa"/>
            <w:vMerge w:val="restart"/>
            <w:shd w:val="clear" w:color="auto" w:fill="auto"/>
          </w:tcPr>
          <w:p w14:paraId="31EFB5AA" w14:textId="77777777" w:rsidR="00A6463E" w:rsidRPr="004468BE" w:rsidRDefault="00A6463E" w:rsidP="00305EBA">
            <w:pPr>
              <w:spacing w:before="40" w:after="40" w:line="240" w:lineRule="auto"/>
              <w:jc w:val="center"/>
              <w:rPr>
                <w:rFonts w:eastAsia="Calibri" w:cstheme="minorHAnsi"/>
                <w:b/>
                <w:color w:val="000000"/>
                <w:sz w:val="20"/>
                <w:szCs w:val="20"/>
                <w:lang w:val="en-US"/>
              </w:rPr>
            </w:pPr>
          </w:p>
        </w:tc>
        <w:tc>
          <w:tcPr>
            <w:tcW w:w="8363" w:type="dxa"/>
            <w:gridSpan w:val="6"/>
            <w:shd w:val="clear" w:color="auto" w:fill="auto"/>
          </w:tcPr>
          <w:p w14:paraId="5418F952" w14:textId="77777777" w:rsidR="00A6463E" w:rsidRPr="004468BE" w:rsidRDefault="00A6463E" w:rsidP="00A6463E">
            <w:pPr>
              <w:keepNext/>
              <w:keepLines/>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Percent of Patients</w:t>
            </w:r>
          </w:p>
        </w:tc>
      </w:tr>
      <w:tr w:rsidR="00A6463E" w:rsidRPr="000C4E6C" w14:paraId="0B4B40B5" w14:textId="77777777" w:rsidTr="00305EBA">
        <w:trPr>
          <w:trHeight w:val="161"/>
          <w:tblHeader/>
        </w:trPr>
        <w:tc>
          <w:tcPr>
            <w:tcW w:w="1276" w:type="dxa"/>
            <w:vMerge/>
            <w:shd w:val="clear" w:color="auto" w:fill="auto"/>
          </w:tcPr>
          <w:p w14:paraId="70C31DCC" w14:textId="77777777" w:rsidR="00A6463E" w:rsidRPr="007D6CDE" w:rsidRDefault="00A6463E" w:rsidP="00A6463E">
            <w:pPr>
              <w:spacing w:before="40" w:after="40" w:line="240" w:lineRule="auto"/>
              <w:jc w:val="center"/>
              <w:rPr>
                <w:rFonts w:eastAsia="Calibri" w:cstheme="minorHAnsi"/>
                <w:b/>
                <w:color w:val="000000"/>
                <w:sz w:val="20"/>
                <w:szCs w:val="20"/>
                <w:lang w:val="en-US"/>
              </w:rPr>
            </w:pPr>
          </w:p>
        </w:tc>
        <w:tc>
          <w:tcPr>
            <w:tcW w:w="4181" w:type="dxa"/>
            <w:gridSpan w:val="3"/>
            <w:shd w:val="clear" w:color="auto" w:fill="auto"/>
            <w:vAlign w:val="bottom"/>
          </w:tcPr>
          <w:p w14:paraId="085B20C9" w14:textId="77777777" w:rsidR="00A6463E" w:rsidRPr="007D6CDE" w:rsidRDefault="00A6463E" w:rsidP="00A6463E">
            <w:pPr>
              <w:keepNext/>
              <w:keepLines/>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DMARD-naïve</w:t>
            </w:r>
          </w:p>
        </w:tc>
        <w:tc>
          <w:tcPr>
            <w:tcW w:w="4182" w:type="dxa"/>
            <w:gridSpan w:val="3"/>
            <w:shd w:val="clear" w:color="auto" w:fill="auto"/>
            <w:vAlign w:val="bottom"/>
          </w:tcPr>
          <w:p w14:paraId="2B05744C" w14:textId="77777777" w:rsidR="00A6463E" w:rsidRPr="007D6CDE" w:rsidRDefault="00A6463E" w:rsidP="00A6463E">
            <w:pPr>
              <w:keepNext/>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MTX-IR</w:t>
            </w:r>
          </w:p>
        </w:tc>
      </w:tr>
      <w:tr w:rsidR="00A6463E" w:rsidRPr="000C4E6C" w14:paraId="0C647E56" w14:textId="77777777" w:rsidTr="00305EBA">
        <w:trPr>
          <w:trHeight w:val="242"/>
          <w:tblHeader/>
        </w:trPr>
        <w:tc>
          <w:tcPr>
            <w:tcW w:w="1276" w:type="dxa"/>
            <w:vMerge/>
            <w:shd w:val="clear" w:color="auto" w:fill="auto"/>
          </w:tcPr>
          <w:p w14:paraId="60FE22F7" w14:textId="77777777" w:rsidR="00A6463E" w:rsidRPr="007D6CDE" w:rsidRDefault="00A6463E" w:rsidP="00A6463E">
            <w:pPr>
              <w:spacing w:before="40" w:after="40" w:line="240" w:lineRule="auto"/>
              <w:jc w:val="center"/>
              <w:rPr>
                <w:rFonts w:eastAsia="Calibri" w:cstheme="minorHAnsi"/>
                <w:b/>
                <w:color w:val="000000"/>
                <w:sz w:val="20"/>
                <w:szCs w:val="20"/>
                <w:lang w:val="en-US"/>
              </w:rPr>
            </w:pPr>
          </w:p>
        </w:tc>
        <w:tc>
          <w:tcPr>
            <w:tcW w:w="4181" w:type="dxa"/>
            <w:gridSpan w:val="3"/>
            <w:shd w:val="clear" w:color="auto" w:fill="auto"/>
            <w:vAlign w:val="bottom"/>
          </w:tcPr>
          <w:p w14:paraId="109034F3"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RA-BEGIN</w:t>
            </w:r>
          </w:p>
        </w:tc>
        <w:tc>
          <w:tcPr>
            <w:tcW w:w="4182" w:type="dxa"/>
            <w:gridSpan w:val="3"/>
            <w:shd w:val="clear" w:color="auto" w:fill="auto"/>
            <w:vAlign w:val="bottom"/>
          </w:tcPr>
          <w:p w14:paraId="074C123E"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RA-BEAM</w:t>
            </w:r>
          </w:p>
        </w:tc>
      </w:tr>
      <w:tr w:rsidR="00A6463E" w:rsidRPr="000C4E6C" w14:paraId="0D348082" w14:textId="77777777" w:rsidTr="00305EBA">
        <w:trPr>
          <w:trHeight w:val="611"/>
          <w:tblHeader/>
        </w:trPr>
        <w:tc>
          <w:tcPr>
            <w:tcW w:w="1276" w:type="dxa"/>
            <w:vMerge/>
            <w:shd w:val="clear" w:color="auto" w:fill="auto"/>
          </w:tcPr>
          <w:p w14:paraId="064F6A5C" w14:textId="77777777" w:rsidR="00A6463E" w:rsidRPr="007D6CDE" w:rsidRDefault="00A6463E" w:rsidP="00A6463E">
            <w:pPr>
              <w:spacing w:before="40" w:after="40" w:line="240" w:lineRule="auto"/>
              <w:jc w:val="center"/>
              <w:rPr>
                <w:rFonts w:eastAsia="Calibri" w:cstheme="minorHAnsi"/>
                <w:b/>
                <w:color w:val="000000"/>
                <w:sz w:val="20"/>
                <w:szCs w:val="20"/>
                <w:lang w:val="en-US"/>
              </w:rPr>
            </w:pPr>
          </w:p>
        </w:tc>
        <w:tc>
          <w:tcPr>
            <w:tcW w:w="1393" w:type="dxa"/>
            <w:shd w:val="clear" w:color="auto" w:fill="auto"/>
            <w:vAlign w:val="bottom"/>
          </w:tcPr>
          <w:p w14:paraId="2FAFF8FB"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MTX</w:t>
            </w:r>
            <w:r w:rsidRPr="007D6CDE">
              <w:rPr>
                <w:rFonts w:eastAsia="Calibri" w:cstheme="minorHAnsi"/>
                <w:b/>
                <w:color w:val="000000"/>
                <w:sz w:val="20"/>
                <w:szCs w:val="20"/>
                <w:lang w:val="en-US"/>
              </w:rPr>
              <w:br/>
            </w:r>
          </w:p>
        </w:tc>
        <w:tc>
          <w:tcPr>
            <w:tcW w:w="1394" w:type="dxa"/>
            <w:shd w:val="clear" w:color="auto" w:fill="auto"/>
            <w:vAlign w:val="bottom"/>
          </w:tcPr>
          <w:p w14:paraId="0CEF7972"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 mg/day</w:t>
            </w:r>
          </w:p>
        </w:tc>
        <w:tc>
          <w:tcPr>
            <w:tcW w:w="1394" w:type="dxa"/>
            <w:shd w:val="clear" w:color="auto" w:fill="auto"/>
            <w:vAlign w:val="bottom"/>
          </w:tcPr>
          <w:p w14:paraId="5A12D019"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 mg/day + MTX</w:t>
            </w:r>
          </w:p>
        </w:tc>
        <w:tc>
          <w:tcPr>
            <w:tcW w:w="1394" w:type="dxa"/>
            <w:shd w:val="clear" w:color="auto" w:fill="auto"/>
            <w:vAlign w:val="bottom"/>
          </w:tcPr>
          <w:p w14:paraId="1EC62613"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Placebo</w:t>
            </w:r>
            <w:r w:rsidRPr="007D6CDE">
              <w:rPr>
                <w:rFonts w:eastAsia="Calibri" w:cstheme="minorHAnsi"/>
                <w:b/>
                <w:color w:val="000000"/>
                <w:sz w:val="20"/>
                <w:szCs w:val="20"/>
                <w:lang w:val="en-US"/>
              </w:rPr>
              <w:br/>
              <w:t>+ MTX</w:t>
            </w:r>
            <w:r w:rsidRPr="007D6CDE">
              <w:rPr>
                <w:rFonts w:eastAsia="Calibri" w:cstheme="minorHAnsi"/>
                <w:b/>
                <w:color w:val="000000"/>
                <w:sz w:val="20"/>
                <w:szCs w:val="20"/>
                <w:lang w:val="en-US"/>
              </w:rPr>
              <w:br/>
            </w:r>
          </w:p>
        </w:tc>
        <w:tc>
          <w:tcPr>
            <w:tcW w:w="1371" w:type="dxa"/>
            <w:shd w:val="clear" w:color="auto" w:fill="auto"/>
            <w:vAlign w:val="bottom"/>
          </w:tcPr>
          <w:p w14:paraId="32AF7C52"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w:t>
            </w:r>
            <w:r w:rsidRPr="007D6CDE">
              <w:rPr>
                <w:rFonts w:eastAsia="Calibri" w:cstheme="minorHAnsi"/>
                <w:color w:val="000000"/>
                <w:sz w:val="20"/>
                <w:lang w:val="en-US"/>
              </w:rPr>
              <w:t> </w:t>
            </w:r>
            <w:r w:rsidRPr="007D6CDE">
              <w:rPr>
                <w:rFonts w:eastAsia="Calibri" w:cstheme="minorHAnsi"/>
                <w:b/>
                <w:color w:val="000000"/>
                <w:sz w:val="20"/>
                <w:szCs w:val="20"/>
                <w:lang w:val="en-US"/>
              </w:rPr>
              <w:t>mg/day</w:t>
            </w:r>
            <w:r w:rsidRPr="007D6CDE">
              <w:rPr>
                <w:rFonts w:eastAsia="Calibri" w:cstheme="minorHAnsi"/>
                <w:b/>
                <w:color w:val="000000"/>
                <w:sz w:val="20"/>
                <w:szCs w:val="20"/>
                <w:lang w:val="en-US"/>
              </w:rPr>
              <w:br/>
              <w:t>+ MTX</w:t>
            </w:r>
          </w:p>
        </w:tc>
        <w:tc>
          <w:tcPr>
            <w:tcW w:w="1417" w:type="dxa"/>
            <w:shd w:val="clear" w:color="auto" w:fill="auto"/>
            <w:vAlign w:val="bottom"/>
          </w:tcPr>
          <w:p w14:paraId="11413254" w14:textId="77777777" w:rsidR="00A6463E" w:rsidRPr="007D6CDE" w:rsidRDefault="00A6463E" w:rsidP="00A6463E">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Adalimumab 40 mg Every Other Week</w:t>
            </w:r>
            <w:r w:rsidRPr="007D6CDE">
              <w:rPr>
                <w:rFonts w:eastAsia="Calibri" w:cstheme="minorHAnsi"/>
                <w:b/>
                <w:color w:val="000000"/>
                <w:sz w:val="20"/>
                <w:szCs w:val="20"/>
                <w:lang w:val="en-US"/>
              </w:rPr>
              <w:br/>
              <w:t>+ MTX</w:t>
            </w:r>
          </w:p>
        </w:tc>
      </w:tr>
      <w:tr w:rsidR="00A6463E" w:rsidRPr="000C4E6C" w14:paraId="77CDEF67" w14:textId="77777777" w:rsidTr="00A6463E">
        <w:trPr>
          <w:trHeight w:val="269"/>
        </w:trPr>
        <w:tc>
          <w:tcPr>
            <w:tcW w:w="1276" w:type="dxa"/>
            <w:shd w:val="clear" w:color="auto" w:fill="auto"/>
            <w:vAlign w:val="bottom"/>
          </w:tcPr>
          <w:p w14:paraId="3232B359"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N</w:t>
            </w:r>
          </w:p>
        </w:tc>
        <w:tc>
          <w:tcPr>
            <w:tcW w:w="1393" w:type="dxa"/>
            <w:shd w:val="clear" w:color="auto" w:fill="auto"/>
            <w:vAlign w:val="bottom"/>
          </w:tcPr>
          <w:p w14:paraId="5E17390B"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210</w:t>
            </w:r>
          </w:p>
        </w:tc>
        <w:tc>
          <w:tcPr>
            <w:tcW w:w="1394" w:type="dxa"/>
            <w:shd w:val="clear" w:color="auto" w:fill="auto"/>
            <w:vAlign w:val="bottom"/>
          </w:tcPr>
          <w:p w14:paraId="3BF4416C"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159</w:t>
            </w:r>
          </w:p>
        </w:tc>
        <w:tc>
          <w:tcPr>
            <w:tcW w:w="1394" w:type="dxa"/>
            <w:shd w:val="clear" w:color="auto" w:fill="auto"/>
            <w:vAlign w:val="bottom"/>
          </w:tcPr>
          <w:p w14:paraId="247EB1B0"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215</w:t>
            </w:r>
          </w:p>
        </w:tc>
        <w:tc>
          <w:tcPr>
            <w:tcW w:w="1394" w:type="dxa"/>
            <w:shd w:val="clear" w:color="auto" w:fill="auto"/>
            <w:vAlign w:val="bottom"/>
          </w:tcPr>
          <w:p w14:paraId="2B738488"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488</w:t>
            </w:r>
          </w:p>
        </w:tc>
        <w:tc>
          <w:tcPr>
            <w:tcW w:w="1371" w:type="dxa"/>
            <w:shd w:val="clear" w:color="auto" w:fill="auto"/>
            <w:vAlign w:val="bottom"/>
          </w:tcPr>
          <w:p w14:paraId="09B015D9"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487</w:t>
            </w:r>
          </w:p>
        </w:tc>
        <w:tc>
          <w:tcPr>
            <w:tcW w:w="1417" w:type="dxa"/>
            <w:shd w:val="clear" w:color="auto" w:fill="auto"/>
            <w:vAlign w:val="bottom"/>
          </w:tcPr>
          <w:p w14:paraId="4342E166" w14:textId="77777777" w:rsidR="00A6463E" w:rsidRPr="004468BE" w:rsidRDefault="00A6463E" w:rsidP="00A6463E">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330</w:t>
            </w:r>
          </w:p>
        </w:tc>
      </w:tr>
      <w:tr w:rsidR="00A6463E" w:rsidRPr="000C4E6C" w14:paraId="1490081F" w14:textId="77777777" w:rsidTr="00A6463E">
        <w:trPr>
          <w:trHeight w:val="260"/>
        </w:trPr>
        <w:tc>
          <w:tcPr>
            <w:tcW w:w="9639" w:type="dxa"/>
            <w:gridSpan w:val="7"/>
            <w:shd w:val="clear" w:color="auto" w:fill="auto"/>
            <w:vAlign w:val="center"/>
          </w:tcPr>
          <w:p w14:paraId="32662B18"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SDAI ≤3.3</w:t>
            </w:r>
            <w:r w:rsidRPr="004468BE">
              <w:rPr>
                <w:rFonts w:eastAsia="Times New Roman" w:cstheme="minorHAnsi"/>
                <w:b/>
                <w:sz w:val="20"/>
                <w:szCs w:val="20"/>
                <w:vertAlign w:val="superscript"/>
                <w:lang w:val="en-US"/>
              </w:rPr>
              <w:t>a</w:t>
            </w:r>
          </w:p>
        </w:tc>
      </w:tr>
      <w:tr w:rsidR="00A6463E" w:rsidRPr="000C4E6C" w14:paraId="05084AE4" w14:textId="77777777" w:rsidTr="00A6463E">
        <w:trPr>
          <w:trHeight w:val="386"/>
        </w:trPr>
        <w:tc>
          <w:tcPr>
            <w:tcW w:w="1276" w:type="dxa"/>
            <w:shd w:val="clear" w:color="auto" w:fill="auto"/>
            <w:vAlign w:val="center"/>
          </w:tcPr>
          <w:p w14:paraId="74943CEA"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 xml:space="preserve">Week 12 </w:t>
            </w:r>
            <w:r w:rsidRPr="004468BE">
              <w:rPr>
                <w:rFonts w:eastAsia="Calibri" w:cstheme="minorHAnsi"/>
                <w:color w:val="FF0000"/>
                <w:sz w:val="18"/>
                <w:szCs w:val="18"/>
                <w:lang w:val="en-US"/>
              </w:rPr>
              <w:t xml:space="preserve"> </w:t>
            </w:r>
          </w:p>
        </w:tc>
        <w:tc>
          <w:tcPr>
            <w:tcW w:w="1393" w:type="dxa"/>
            <w:shd w:val="clear" w:color="auto" w:fill="auto"/>
            <w:vAlign w:val="center"/>
          </w:tcPr>
          <w:p w14:paraId="75F1CAE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6 %</w:t>
            </w:r>
          </w:p>
        </w:tc>
        <w:tc>
          <w:tcPr>
            <w:tcW w:w="1394" w:type="dxa"/>
            <w:shd w:val="clear" w:color="auto" w:fill="auto"/>
            <w:vAlign w:val="center"/>
          </w:tcPr>
          <w:p w14:paraId="5802D1EB"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14 %</w:t>
            </w:r>
            <w:r w:rsidRPr="004468BE">
              <w:rPr>
                <w:rFonts w:eastAsia="Calibri" w:cstheme="minorHAnsi"/>
                <w:color w:val="000000"/>
                <w:sz w:val="20"/>
                <w:vertAlign w:val="superscript"/>
                <w:lang w:val="en-US"/>
              </w:rPr>
              <w:t>*</w:t>
            </w:r>
          </w:p>
        </w:tc>
        <w:tc>
          <w:tcPr>
            <w:tcW w:w="1394" w:type="dxa"/>
            <w:shd w:val="clear" w:color="auto" w:fill="auto"/>
            <w:vAlign w:val="center"/>
          </w:tcPr>
          <w:p w14:paraId="7F3C0CE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20 %</w:t>
            </w:r>
            <w:r w:rsidRPr="004468BE">
              <w:rPr>
                <w:rFonts w:eastAsia="Calibri" w:cstheme="minorHAnsi"/>
                <w:color w:val="000000"/>
                <w:sz w:val="20"/>
                <w:vertAlign w:val="superscript"/>
                <w:lang w:val="en-US"/>
              </w:rPr>
              <w:t>***</w:t>
            </w:r>
          </w:p>
        </w:tc>
        <w:tc>
          <w:tcPr>
            <w:tcW w:w="1394" w:type="dxa"/>
            <w:shd w:val="clear" w:color="auto" w:fill="auto"/>
            <w:vAlign w:val="center"/>
          </w:tcPr>
          <w:p w14:paraId="3DC795F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2 %</w:t>
            </w:r>
          </w:p>
        </w:tc>
        <w:tc>
          <w:tcPr>
            <w:tcW w:w="1371" w:type="dxa"/>
            <w:shd w:val="clear" w:color="auto" w:fill="auto"/>
            <w:vAlign w:val="center"/>
          </w:tcPr>
          <w:p w14:paraId="2CD015F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8 %</w:t>
            </w:r>
            <w:r w:rsidRPr="004468BE">
              <w:rPr>
                <w:rFonts w:eastAsia="Calibri" w:cstheme="minorHAnsi"/>
                <w:color w:val="000000"/>
                <w:sz w:val="20"/>
                <w:vertAlign w:val="superscript"/>
                <w:lang w:val="en-US"/>
              </w:rPr>
              <w:t>***</w:t>
            </w:r>
          </w:p>
        </w:tc>
        <w:tc>
          <w:tcPr>
            <w:tcW w:w="1417" w:type="dxa"/>
            <w:shd w:val="clear" w:color="auto" w:fill="auto"/>
            <w:vAlign w:val="center"/>
          </w:tcPr>
          <w:p w14:paraId="45E88A2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7 %</w:t>
            </w:r>
            <w:r w:rsidRPr="004468BE">
              <w:rPr>
                <w:rFonts w:eastAsia="Calibri" w:cstheme="minorHAnsi"/>
                <w:color w:val="000000"/>
                <w:sz w:val="20"/>
                <w:vertAlign w:val="superscript"/>
                <w:lang w:val="en-US"/>
              </w:rPr>
              <w:t>***</w:t>
            </w:r>
          </w:p>
        </w:tc>
      </w:tr>
      <w:tr w:rsidR="00A6463E" w:rsidRPr="000C4E6C" w14:paraId="561917A8" w14:textId="77777777" w:rsidTr="00A6463E">
        <w:trPr>
          <w:trHeight w:val="345"/>
        </w:trPr>
        <w:tc>
          <w:tcPr>
            <w:tcW w:w="1276" w:type="dxa"/>
            <w:shd w:val="clear" w:color="auto" w:fill="auto"/>
            <w:vAlign w:val="center"/>
          </w:tcPr>
          <w:p w14:paraId="2A2DCF11"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 xml:space="preserve">Week 24 </w:t>
            </w:r>
            <w:r w:rsidRPr="004468BE">
              <w:rPr>
                <w:rFonts w:eastAsia="Calibri" w:cstheme="minorHAnsi"/>
                <w:color w:val="FF0000"/>
                <w:sz w:val="18"/>
                <w:szCs w:val="18"/>
                <w:lang w:val="en-US"/>
              </w:rPr>
              <w:t xml:space="preserve"> </w:t>
            </w:r>
          </w:p>
        </w:tc>
        <w:tc>
          <w:tcPr>
            <w:tcW w:w="1393" w:type="dxa"/>
            <w:shd w:val="clear" w:color="auto" w:fill="auto"/>
            <w:vAlign w:val="center"/>
          </w:tcPr>
          <w:p w14:paraId="3A6D8888"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sz w:val="20"/>
                <w:lang w:val="en-US"/>
              </w:rPr>
              <w:t>10</w:t>
            </w:r>
            <w:r w:rsidRPr="004468BE">
              <w:rPr>
                <w:rFonts w:eastAsia="Calibri" w:cstheme="minorHAnsi"/>
                <w:color w:val="000000"/>
                <w:sz w:val="20"/>
                <w:lang w:val="en-US"/>
              </w:rPr>
              <w:t> %</w:t>
            </w:r>
          </w:p>
        </w:tc>
        <w:tc>
          <w:tcPr>
            <w:tcW w:w="1394" w:type="dxa"/>
            <w:shd w:val="clear" w:color="auto" w:fill="auto"/>
            <w:vAlign w:val="center"/>
          </w:tcPr>
          <w:p w14:paraId="171B9C9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22 %</w:t>
            </w:r>
            <w:r w:rsidRPr="004468BE">
              <w:rPr>
                <w:rFonts w:eastAsia="Calibri" w:cstheme="minorHAnsi"/>
                <w:color w:val="000000"/>
                <w:sz w:val="20"/>
                <w:vertAlign w:val="superscript"/>
                <w:lang w:val="en-US"/>
              </w:rPr>
              <w:t>**</w:t>
            </w:r>
          </w:p>
        </w:tc>
        <w:tc>
          <w:tcPr>
            <w:tcW w:w="1394" w:type="dxa"/>
            <w:shd w:val="clear" w:color="auto" w:fill="auto"/>
            <w:vAlign w:val="center"/>
          </w:tcPr>
          <w:p w14:paraId="1952A51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23 %</w:t>
            </w:r>
            <w:r w:rsidRPr="004468BE">
              <w:rPr>
                <w:rFonts w:eastAsia="Calibri" w:cstheme="minorHAnsi"/>
                <w:color w:val="000000"/>
                <w:sz w:val="20"/>
                <w:vertAlign w:val="superscript"/>
                <w:lang w:val="en-US"/>
              </w:rPr>
              <w:t>**</w:t>
            </w:r>
            <w:r w:rsidRPr="004468BE">
              <w:rPr>
                <w:rFonts w:eastAsia="Calibri" w:cstheme="minorHAnsi"/>
                <w:color w:val="0000FF"/>
                <w:sz w:val="20"/>
                <w:vertAlign w:val="superscript"/>
                <w:lang w:val="en-US"/>
              </w:rPr>
              <w:t>*</w:t>
            </w:r>
          </w:p>
        </w:tc>
        <w:tc>
          <w:tcPr>
            <w:tcW w:w="1394" w:type="dxa"/>
            <w:shd w:val="clear" w:color="auto" w:fill="auto"/>
            <w:vAlign w:val="center"/>
          </w:tcPr>
          <w:p w14:paraId="12936C1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3 %</w:t>
            </w:r>
          </w:p>
        </w:tc>
        <w:tc>
          <w:tcPr>
            <w:tcW w:w="1371" w:type="dxa"/>
            <w:shd w:val="clear" w:color="auto" w:fill="auto"/>
            <w:vAlign w:val="center"/>
          </w:tcPr>
          <w:p w14:paraId="3CA5C1C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16 %</w:t>
            </w:r>
            <w:r w:rsidRPr="004468BE">
              <w:rPr>
                <w:rFonts w:eastAsia="Calibri" w:cstheme="minorHAnsi"/>
                <w:color w:val="000000"/>
                <w:sz w:val="20"/>
                <w:vertAlign w:val="superscript"/>
                <w:lang w:val="en-US"/>
              </w:rPr>
              <w:t>***</w:t>
            </w:r>
          </w:p>
        </w:tc>
        <w:tc>
          <w:tcPr>
            <w:tcW w:w="1417" w:type="dxa"/>
            <w:shd w:val="clear" w:color="auto" w:fill="auto"/>
            <w:vAlign w:val="center"/>
          </w:tcPr>
          <w:p w14:paraId="3E080E4B"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14 %</w:t>
            </w:r>
            <w:r w:rsidRPr="004468BE">
              <w:rPr>
                <w:rFonts w:eastAsia="Calibri" w:cstheme="minorHAnsi"/>
                <w:color w:val="000000"/>
                <w:sz w:val="20"/>
                <w:vertAlign w:val="superscript"/>
                <w:lang w:val="en-US"/>
              </w:rPr>
              <w:t>***</w:t>
            </w:r>
          </w:p>
        </w:tc>
      </w:tr>
      <w:tr w:rsidR="00A6463E" w:rsidRPr="000C4E6C" w14:paraId="70C7F53A" w14:textId="77777777" w:rsidTr="00A6463E">
        <w:trPr>
          <w:trHeight w:val="367"/>
        </w:trPr>
        <w:tc>
          <w:tcPr>
            <w:tcW w:w="1276" w:type="dxa"/>
            <w:shd w:val="clear" w:color="auto" w:fill="auto"/>
            <w:vAlign w:val="center"/>
          </w:tcPr>
          <w:p w14:paraId="1BAD5BA7"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 xml:space="preserve">Week 52 </w:t>
            </w:r>
            <w:r w:rsidRPr="004468BE">
              <w:rPr>
                <w:rFonts w:eastAsia="Calibri" w:cstheme="minorHAnsi"/>
                <w:color w:val="FF0000"/>
                <w:sz w:val="18"/>
                <w:szCs w:val="18"/>
                <w:lang w:val="en-US"/>
              </w:rPr>
              <w:t xml:space="preserve"> </w:t>
            </w:r>
          </w:p>
        </w:tc>
        <w:tc>
          <w:tcPr>
            <w:tcW w:w="1393" w:type="dxa"/>
            <w:shd w:val="clear" w:color="auto" w:fill="auto"/>
            <w:vAlign w:val="center"/>
          </w:tcPr>
          <w:p w14:paraId="64A1E46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13 %</w:t>
            </w:r>
          </w:p>
        </w:tc>
        <w:tc>
          <w:tcPr>
            <w:tcW w:w="1394" w:type="dxa"/>
            <w:shd w:val="clear" w:color="auto" w:fill="auto"/>
            <w:vAlign w:val="center"/>
          </w:tcPr>
          <w:p w14:paraId="31C4B30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25 %</w:t>
            </w:r>
            <w:r w:rsidRPr="004468BE">
              <w:rPr>
                <w:rFonts w:eastAsia="Calibri" w:cstheme="minorHAnsi"/>
                <w:color w:val="000000"/>
                <w:sz w:val="20"/>
                <w:vertAlign w:val="superscript"/>
                <w:lang w:val="en-US"/>
              </w:rPr>
              <w:t>**</w:t>
            </w:r>
          </w:p>
        </w:tc>
        <w:tc>
          <w:tcPr>
            <w:tcW w:w="1394" w:type="dxa"/>
            <w:shd w:val="clear" w:color="auto" w:fill="auto"/>
            <w:vAlign w:val="center"/>
          </w:tcPr>
          <w:p w14:paraId="62155C2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30 %</w:t>
            </w:r>
            <w:r w:rsidRPr="004468BE">
              <w:rPr>
                <w:rFonts w:eastAsia="Calibri" w:cstheme="minorHAnsi"/>
                <w:color w:val="000000"/>
                <w:sz w:val="20"/>
                <w:vertAlign w:val="superscript"/>
                <w:lang w:val="en-US"/>
              </w:rPr>
              <w:t>***</w:t>
            </w:r>
          </w:p>
        </w:tc>
        <w:tc>
          <w:tcPr>
            <w:tcW w:w="1394" w:type="dxa"/>
            <w:shd w:val="clear" w:color="auto" w:fill="BFBFBF"/>
            <w:vAlign w:val="center"/>
          </w:tcPr>
          <w:p w14:paraId="687C1B21" w14:textId="77777777" w:rsidR="00A6463E" w:rsidRPr="004468BE" w:rsidRDefault="00A6463E" w:rsidP="00A6463E">
            <w:pPr>
              <w:spacing w:before="40" w:after="40" w:line="240" w:lineRule="auto"/>
              <w:jc w:val="center"/>
              <w:rPr>
                <w:rFonts w:eastAsia="Calibri" w:cstheme="minorHAnsi"/>
                <w:color w:val="000000"/>
                <w:sz w:val="20"/>
                <w:szCs w:val="20"/>
                <w:lang w:val="en-US"/>
              </w:rPr>
            </w:pPr>
          </w:p>
        </w:tc>
        <w:tc>
          <w:tcPr>
            <w:tcW w:w="1371" w:type="dxa"/>
            <w:shd w:val="clear" w:color="auto" w:fill="auto"/>
            <w:vAlign w:val="center"/>
          </w:tcPr>
          <w:p w14:paraId="7C29A33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23 %</w:t>
            </w:r>
          </w:p>
        </w:tc>
        <w:tc>
          <w:tcPr>
            <w:tcW w:w="1417" w:type="dxa"/>
            <w:shd w:val="clear" w:color="auto" w:fill="auto"/>
            <w:vAlign w:val="center"/>
          </w:tcPr>
          <w:p w14:paraId="64677A3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18 %</w:t>
            </w:r>
          </w:p>
        </w:tc>
      </w:tr>
      <w:tr w:rsidR="00A6463E" w:rsidRPr="000C4E6C" w14:paraId="23020F09" w14:textId="77777777" w:rsidTr="00A6463E">
        <w:trPr>
          <w:trHeight w:val="260"/>
        </w:trPr>
        <w:tc>
          <w:tcPr>
            <w:tcW w:w="9639" w:type="dxa"/>
            <w:gridSpan w:val="7"/>
            <w:shd w:val="clear" w:color="auto" w:fill="auto"/>
            <w:vAlign w:val="center"/>
          </w:tcPr>
          <w:p w14:paraId="4217B831"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CDAI ≤2.8</w:t>
            </w:r>
            <w:r w:rsidRPr="004468BE">
              <w:rPr>
                <w:rFonts w:eastAsia="Times New Roman" w:cstheme="minorHAnsi"/>
                <w:b/>
                <w:sz w:val="20"/>
                <w:szCs w:val="20"/>
                <w:vertAlign w:val="superscript"/>
                <w:lang w:val="en-US"/>
              </w:rPr>
              <w:t>b</w:t>
            </w:r>
          </w:p>
        </w:tc>
      </w:tr>
      <w:tr w:rsidR="00A6463E" w:rsidRPr="000C4E6C" w14:paraId="3A99D602" w14:textId="77777777" w:rsidTr="00A6463E">
        <w:tc>
          <w:tcPr>
            <w:tcW w:w="1276" w:type="dxa"/>
            <w:shd w:val="clear" w:color="auto" w:fill="auto"/>
            <w:vAlign w:val="center"/>
          </w:tcPr>
          <w:p w14:paraId="2107A0F1"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393" w:type="dxa"/>
            <w:shd w:val="clear" w:color="auto" w:fill="auto"/>
            <w:vAlign w:val="center"/>
          </w:tcPr>
          <w:p w14:paraId="3CB5FAC5"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7 %</w:t>
            </w:r>
          </w:p>
        </w:tc>
        <w:tc>
          <w:tcPr>
            <w:tcW w:w="1394" w:type="dxa"/>
            <w:shd w:val="clear" w:color="auto" w:fill="auto"/>
            <w:vAlign w:val="center"/>
          </w:tcPr>
          <w:p w14:paraId="2C621A67"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14 %</w:t>
            </w:r>
            <w:r w:rsidRPr="004468BE">
              <w:rPr>
                <w:rFonts w:eastAsia="Calibri" w:cstheme="minorHAnsi"/>
                <w:sz w:val="20"/>
                <w:szCs w:val="20"/>
                <w:vertAlign w:val="superscript"/>
                <w:lang w:val="en-US"/>
              </w:rPr>
              <w:t>*</w:t>
            </w:r>
          </w:p>
        </w:tc>
        <w:tc>
          <w:tcPr>
            <w:tcW w:w="1394" w:type="dxa"/>
            <w:shd w:val="clear" w:color="auto" w:fill="auto"/>
            <w:vAlign w:val="center"/>
          </w:tcPr>
          <w:p w14:paraId="4A9BBC2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19 %</w:t>
            </w:r>
            <w:r w:rsidRPr="004468BE">
              <w:rPr>
                <w:rFonts w:eastAsia="Calibri" w:cstheme="minorHAnsi"/>
                <w:sz w:val="20"/>
                <w:szCs w:val="20"/>
                <w:vertAlign w:val="superscript"/>
                <w:lang w:val="en-US"/>
              </w:rPr>
              <w:t>***</w:t>
            </w:r>
          </w:p>
        </w:tc>
        <w:tc>
          <w:tcPr>
            <w:tcW w:w="1394" w:type="dxa"/>
            <w:shd w:val="clear" w:color="auto" w:fill="auto"/>
            <w:vAlign w:val="center"/>
          </w:tcPr>
          <w:p w14:paraId="538E231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2 %</w:t>
            </w:r>
          </w:p>
        </w:tc>
        <w:tc>
          <w:tcPr>
            <w:tcW w:w="1371" w:type="dxa"/>
            <w:shd w:val="clear" w:color="auto" w:fill="auto"/>
            <w:vAlign w:val="center"/>
          </w:tcPr>
          <w:p w14:paraId="0EE54463"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8 %</w:t>
            </w:r>
            <w:r w:rsidRPr="004468BE">
              <w:rPr>
                <w:rFonts w:eastAsia="Calibri" w:cstheme="minorHAnsi"/>
                <w:sz w:val="20"/>
                <w:szCs w:val="20"/>
                <w:vertAlign w:val="superscript"/>
                <w:lang w:val="en-US"/>
              </w:rPr>
              <w:t>***</w:t>
            </w:r>
          </w:p>
        </w:tc>
        <w:tc>
          <w:tcPr>
            <w:tcW w:w="1417" w:type="dxa"/>
            <w:shd w:val="clear" w:color="auto" w:fill="auto"/>
            <w:vAlign w:val="center"/>
          </w:tcPr>
          <w:p w14:paraId="0C7D3653"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7 %</w:t>
            </w:r>
            <w:r w:rsidRPr="004468BE">
              <w:rPr>
                <w:rFonts w:eastAsia="Calibri" w:cstheme="minorHAnsi"/>
                <w:sz w:val="20"/>
                <w:szCs w:val="20"/>
                <w:vertAlign w:val="superscript"/>
                <w:lang w:val="en-US"/>
              </w:rPr>
              <w:t>**</w:t>
            </w:r>
          </w:p>
        </w:tc>
      </w:tr>
      <w:tr w:rsidR="00A6463E" w:rsidRPr="000C4E6C" w14:paraId="135A3F6B" w14:textId="77777777" w:rsidTr="00A6463E">
        <w:tc>
          <w:tcPr>
            <w:tcW w:w="1276" w:type="dxa"/>
            <w:shd w:val="clear" w:color="auto" w:fill="auto"/>
            <w:vAlign w:val="center"/>
          </w:tcPr>
          <w:p w14:paraId="3AB3EBFC"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393" w:type="dxa"/>
            <w:shd w:val="clear" w:color="auto" w:fill="auto"/>
            <w:vAlign w:val="center"/>
          </w:tcPr>
          <w:p w14:paraId="2370F38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11 %</w:t>
            </w:r>
          </w:p>
        </w:tc>
        <w:tc>
          <w:tcPr>
            <w:tcW w:w="1394" w:type="dxa"/>
            <w:shd w:val="clear" w:color="auto" w:fill="auto"/>
            <w:vAlign w:val="center"/>
          </w:tcPr>
          <w:p w14:paraId="3F3C02E6"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21 %</w:t>
            </w:r>
            <w:r w:rsidRPr="004468BE">
              <w:rPr>
                <w:rFonts w:eastAsia="Calibri" w:cstheme="minorHAnsi"/>
                <w:sz w:val="20"/>
                <w:szCs w:val="20"/>
                <w:vertAlign w:val="superscript"/>
                <w:lang w:val="en-US"/>
              </w:rPr>
              <w:t>**</w:t>
            </w:r>
          </w:p>
        </w:tc>
        <w:tc>
          <w:tcPr>
            <w:tcW w:w="1394" w:type="dxa"/>
            <w:shd w:val="clear" w:color="auto" w:fill="auto"/>
            <w:vAlign w:val="center"/>
          </w:tcPr>
          <w:p w14:paraId="7C47FE8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22 %</w:t>
            </w:r>
            <w:r w:rsidRPr="004468BE">
              <w:rPr>
                <w:rFonts w:eastAsia="Calibri" w:cstheme="minorHAnsi"/>
                <w:sz w:val="20"/>
                <w:szCs w:val="20"/>
                <w:vertAlign w:val="superscript"/>
                <w:lang w:val="en-US"/>
              </w:rPr>
              <w:t>**</w:t>
            </w:r>
          </w:p>
        </w:tc>
        <w:tc>
          <w:tcPr>
            <w:tcW w:w="1394" w:type="dxa"/>
            <w:shd w:val="clear" w:color="auto" w:fill="auto"/>
            <w:vAlign w:val="center"/>
          </w:tcPr>
          <w:p w14:paraId="70FB899B"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4 %</w:t>
            </w:r>
          </w:p>
        </w:tc>
        <w:tc>
          <w:tcPr>
            <w:tcW w:w="1371" w:type="dxa"/>
            <w:shd w:val="clear" w:color="auto" w:fill="auto"/>
            <w:vAlign w:val="center"/>
          </w:tcPr>
          <w:p w14:paraId="7CDAEB2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16 %</w:t>
            </w:r>
            <w:r w:rsidRPr="004468BE">
              <w:rPr>
                <w:rFonts w:eastAsia="Calibri" w:cstheme="minorHAnsi"/>
                <w:sz w:val="20"/>
                <w:szCs w:val="20"/>
                <w:vertAlign w:val="superscript"/>
                <w:lang w:val="en-US"/>
              </w:rPr>
              <w:t>***</w:t>
            </w:r>
          </w:p>
        </w:tc>
        <w:tc>
          <w:tcPr>
            <w:tcW w:w="1417" w:type="dxa"/>
            <w:shd w:val="clear" w:color="auto" w:fill="auto"/>
            <w:vAlign w:val="center"/>
          </w:tcPr>
          <w:p w14:paraId="757B3983"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12 %</w:t>
            </w:r>
            <w:r w:rsidRPr="004468BE">
              <w:rPr>
                <w:rFonts w:eastAsia="Calibri" w:cstheme="minorHAnsi"/>
                <w:sz w:val="20"/>
                <w:szCs w:val="20"/>
                <w:vertAlign w:val="superscript"/>
                <w:lang w:val="en-US"/>
              </w:rPr>
              <w:t>***</w:t>
            </w:r>
          </w:p>
        </w:tc>
      </w:tr>
      <w:tr w:rsidR="00A6463E" w:rsidRPr="000C4E6C" w14:paraId="1CCA87DB" w14:textId="77777777" w:rsidTr="00A6463E">
        <w:tc>
          <w:tcPr>
            <w:tcW w:w="1276" w:type="dxa"/>
            <w:shd w:val="clear" w:color="auto" w:fill="auto"/>
            <w:vAlign w:val="center"/>
          </w:tcPr>
          <w:p w14:paraId="083FA3D9"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52</w:t>
            </w:r>
          </w:p>
        </w:tc>
        <w:tc>
          <w:tcPr>
            <w:tcW w:w="1393" w:type="dxa"/>
            <w:shd w:val="clear" w:color="auto" w:fill="auto"/>
            <w:vAlign w:val="center"/>
          </w:tcPr>
          <w:p w14:paraId="0C7D633F"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16 %</w:t>
            </w:r>
          </w:p>
        </w:tc>
        <w:tc>
          <w:tcPr>
            <w:tcW w:w="1394" w:type="dxa"/>
            <w:shd w:val="clear" w:color="auto" w:fill="auto"/>
            <w:vAlign w:val="center"/>
          </w:tcPr>
          <w:p w14:paraId="4155303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25 %</w:t>
            </w:r>
            <w:r w:rsidRPr="004468BE">
              <w:rPr>
                <w:rFonts w:eastAsia="Calibri" w:cstheme="minorHAnsi"/>
                <w:sz w:val="20"/>
                <w:szCs w:val="20"/>
                <w:vertAlign w:val="superscript"/>
                <w:lang w:val="en-US"/>
              </w:rPr>
              <w:t>*</w:t>
            </w:r>
          </w:p>
        </w:tc>
        <w:tc>
          <w:tcPr>
            <w:tcW w:w="1394" w:type="dxa"/>
            <w:shd w:val="clear" w:color="auto" w:fill="auto"/>
            <w:vAlign w:val="center"/>
          </w:tcPr>
          <w:p w14:paraId="7C26AC8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28 %</w:t>
            </w:r>
            <w:r w:rsidRPr="004468BE">
              <w:rPr>
                <w:rFonts w:eastAsia="Calibri" w:cstheme="minorHAnsi"/>
                <w:sz w:val="20"/>
                <w:szCs w:val="20"/>
                <w:vertAlign w:val="superscript"/>
                <w:lang w:val="en-US"/>
              </w:rPr>
              <w:t>**</w:t>
            </w:r>
          </w:p>
        </w:tc>
        <w:tc>
          <w:tcPr>
            <w:tcW w:w="1394" w:type="dxa"/>
            <w:shd w:val="clear" w:color="auto" w:fill="BFBFBF"/>
            <w:vAlign w:val="center"/>
          </w:tcPr>
          <w:p w14:paraId="72B4AF7F" w14:textId="77777777" w:rsidR="00A6463E" w:rsidRPr="004468BE" w:rsidRDefault="00A6463E" w:rsidP="00A6463E">
            <w:pPr>
              <w:spacing w:before="40" w:after="40" w:line="240" w:lineRule="auto"/>
              <w:jc w:val="center"/>
              <w:rPr>
                <w:rFonts w:eastAsia="Calibri" w:cstheme="minorHAnsi"/>
                <w:sz w:val="20"/>
                <w:szCs w:val="20"/>
                <w:lang w:val="en-US"/>
              </w:rPr>
            </w:pPr>
          </w:p>
        </w:tc>
        <w:tc>
          <w:tcPr>
            <w:tcW w:w="1371" w:type="dxa"/>
            <w:shd w:val="clear" w:color="auto" w:fill="auto"/>
            <w:vAlign w:val="center"/>
          </w:tcPr>
          <w:p w14:paraId="18BD84DD"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22 %</w:t>
            </w:r>
          </w:p>
        </w:tc>
        <w:tc>
          <w:tcPr>
            <w:tcW w:w="1417" w:type="dxa"/>
            <w:shd w:val="clear" w:color="auto" w:fill="auto"/>
            <w:vAlign w:val="center"/>
          </w:tcPr>
          <w:p w14:paraId="399ED127"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18 %</w:t>
            </w:r>
          </w:p>
        </w:tc>
      </w:tr>
      <w:tr w:rsidR="00A6463E" w:rsidRPr="000C4E6C" w14:paraId="19D00F3B" w14:textId="77777777" w:rsidTr="00A6463E">
        <w:trPr>
          <w:trHeight w:val="188"/>
        </w:trPr>
        <w:tc>
          <w:tcPr>
            <w:tcW w:w="9639" w:type="dxa"/>
            <w:gridSpan w:val="7"/>
            <w:shd w:val="clear" w:color="auto" w:fill="auto"/>
            <w:vAlign w:val="center"/>
          </w:tcPr>
          <w:p w14:paraId="20CAA95D"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DAS28-hsCRP ≤3.2</w:t>
            </w:r>
            <w:r w:rsidRPr="004468BE">
              <w:rPr>
                <w:rFonts w:eastAsia="Times New Roman" w:cstheme="minorHAnsi"/>
                <w:b/>
                <w:sz w:val="20"/>
                <w:szCs w:val="20"/>
                <w:vertAlign w:val="superscript"/>
                <w:lang w:val="en-US"/>
              </w:rPr>
              <w:t>c</w:t>
            </w:r>
          </w:p>
        </w:tc>
      </w:tr>
      <w:tr w:rsidR="00A6463E" w:rsidRPr="000C4E6C" w14:paraId="06E8B981" w14:textId="77777777" w:rsidTr="00A6463E">
        <w:trPr>
          <w:trHeight w:val="314"/>
        </w:trPr>
        <w:tc>
          <w:tcPr>
            <w:tcW w:w="1276" w:type="dxa"/>
            <w:shd w:val="clear" w:color="auto" w:fill="auto"/>
            <w:vAlign w:val="center"/>
          </w:tcPr>
          <w:p w14:paraId="5DE517FC"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 xml:space="preserve">Week 12 </w:t>
            </w:r>
            <w:r w:rsidRPr="004468BE">
              <w:rPr>
                <w:rFonts w:eastAsia="Calibri" w:cstheme="minorHAnsi"/>
                <w:color w:val="FF0000"/>
                <w:sz w:val="18"/>
                <w:szCs w:val="18"/>
                <w:lang w:val="en-US"/>
              </w:rPr>
              <w:t xml:space="preserve"> </w:t>
            </w:r>
          </w:p>
        </w:tc>
        <w:tc>
          <w:tcPr>
            <w:tcW w:w="1393" w:type="dxa"/>
            <w:shd w:val="clear" w:color="auto" w:fill="auto"/>
            <w:vAlign w:val="center"/>
          </w:tcPr>
          <w:p w14:paraId="38D5F85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30 %</w:t>
            </w:r>
          </w:p>
        </w:tc>
        <w:tc>
          <w:tcPr>
            <w:tcW w:w="1394" w:type="dxa"/>
            <w:shd w:val="clear" w:color="auto" w:fill="auto"/>
            <w:vAlign w:val="center"/>
          </w:tcPr>
          <w:p w14:paraId="03A3DFC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47 %</w:t>
            </w:r>
            <w:r w:rsidRPr="004468BE">
              <w:rPr>
                <w:rFonts w:eastAsia="Calibri" w:cstheme="minorHAnsi"/>
                <w:color w:val="000000"/>
                <w:sz w:val="20"/>
                <w:vertAlign w:val="superscript"/>
                <w:lang w:val="en-US"/>
              </w:rPr>
              <w:t>***</w:t>
            </w:r>
          </w:p>
        </w:tc>
        <w:tc>
          <w:tcPr>
            <w:tcW w:w="1394" w:type="dxa"/>
            <w:shd w:val="clear" w:color="auto" w:fill="auto"/>
            <w:vAlign w:val="center"/>
          </w:tcPr>
          <w:p w14:paraId="40CC3FB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56 %</w:t>
            </w:r>
            <w:r w:rsidRPr="004468BE">
              <w:rPr>
                <w:rFonts w:eastAsia="Calibri" w:cstheme="minorHAnsi"/>
                <w:color w:val="000000"/>
                <w:sz w:val="20"/>
                <w:vertAlign w:val="superscript"/>
                <w:lang w:val="en-US"/>
              </w:rPr>
              <w:t>***</w:t>
            </w:r>
          </w:p>
        </w:tc>
        <w:tc>
          <w:tcPr>
            <w:tcW w:w="1394" w:type="dxa"/>
            <w:shd w:val="clear" w:color="auto" w:fill="auto"/>
            <w:vAlign w:val="center"/>
          </w:tcPr>
          <w:p w14:paraId="76B51D5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14 %</w:t>
            </w:r>
          </w:p>
        </w:tc>
        <w:tc>
          <w:tcPr>
            <w:tcW w:w="1371" w:type="dxa"/>
            <w:shd w:val="clear" w:color="auto" w:fill="auto"/>
            <w:vAlign w:val="center"/>
          </w:tcPr>
          <w:p w14:paraId="1D331528"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44 %</w:t>
            </w:r>
            <w:r w:rsidRPr="004468BE">
              <w:rPr>
                <w:rFonts w:eastAsia="Calibri" w:cstheme="minorHAnsi"/>
                <w:color w:val="000000"/>
                <w:sz w:val="20"/>
                <w:vertAlign w:val="superscript"/>
                <w:lang w:val="en-US"/>
              </w:rPr>
              <w:t>***††</w:t>
            </w:r>
          </w:p>
        </w:tc>
        <w:tc>
          <w:tcPr>
            <w:tcW w:w="1417" w:type="dxa"/>
            <w:shd w:val="clear" w:color="auto" w:fill="auto"/>
            <w:vAlign w:val="center"/>
          </w:tcPr>
          <w:p w14:paraId="4BBF59E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35 %</w:t>
            </w:r>
            <w:r w:rsidRPr="004468BE">
              <w:rPr>
                <w:rFonts w:eastAsia="Calibri" w:cstheme="minorHAnsi"/>
                <w:color w:val="000000"/>
                <w:sz w:val="20"/>
                <w:vertAlign w:val="superscript"/>
                <w:lang w:val="en-US"/>
              </w:rPr>
              <w:t>***</w:t>
            </w:r>
          </w:p>
        </w:tc>
      </w:tr>
      <w:tr w:rsidR="00A6463E" w:rsidRPr="000C4E6C" w14:paraId="4E971369" w14:textId="77777777" w:rsidTr="00A6463E">
        <w:trPr>
          <w:trHeight w:val="320"/>
        </w:trPr>
        <w:tc>
          <w:tcPr>
            <w:tcW w:w="1276" w:type="dxa"/>
            <w:shd w:val="clear" w:color="auto" w:fill="auto"/>
            <w:vAlign w:val="center"/>
          </w:tcPr>
          <w:p w14:paraId="29214163"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 xml:space="preserve">Week 24 </w:t>
            </w:r>
            <w:r w:rsidRPr="004468BE">
              <w:rPr>
                <w:rFonts w:eastAsia="Calibri" w:cstheme="minorHAnsi"/>
                <w:color w:val="FF0000"/>
                <w:sz w:val="18"/>
                <w:szCs w:val="18"/>
                <w:lang w:val="en-US"/>
              </w:rPr>
              <w:t xml:space="preserve"> </w:t>
            </w:r>
          </w:p>
        </w:tc>
        <w:tc>
          <w:tcPr>
            <w:tcW w:w="1393" w:type="dxa"/>
            <w:shd w:val="clear" w:color="auto" w:fill="auto"/>
            <w:vAlign w:val="center"/>
          </w:tcPr>
          <w:p w14:paraId="7BD63D4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38 %</w:t>
            </w:r>
          </w:p>
        </w:tc>
        <w:tc>
          <w:tcPr>
            <w:tcW w:w="1394" w:type="dxa"/>
            <w:shd w:val="clear" w:color="auto" w:fill="auto"/>
            <w:vAlign w:val="center"/>
          </w:tcPr>
          <w:p w14:paraId="64FA474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57 %</w:t>
            </w:r>
            <w:r w:rsidRPr="004468BE">
              <w:rPr>
                <w:rFonts w:eastAsia="Calibri" w:cstheme="minorHAnsi"/>
                <w:color w:val="000000"/>
                <w:sz w:val="20"/>
                <w:vertAlign w:val="superscript"/>
                <w:lang w:val="en-US"/>
              </w:rPr>
              <w:t>***</w:t>
            </w:r>
          </w:p>
        </w:tc>
        <w:tc>
          <w:tcPr>
            <w:tcW w:w="1394" w:type="dxa"/>
            <w:shd w:val="clear" w:color="auto" w:fill="auto"/>
            <w:vAlign w:val="center"/>
          </w:tcPr>
          <w:p w14:paraId="708D5152"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60 %</w:t>
            </w:r>
            <w:r w:rsidRPr="004468BE">
              <w:rPr>
                <w:rFonts w:eastAsia="Calibri" w:cstheme="minorHAnsi"/>
                <w:color w:val="000000"/>
                <w:sz w:val="20"/>
                <w:vertAlign w:val="superscript"/>
                <w:lang w:val="en-US"/>
              </w:rPr>
              <w:t>***</w:t>
            </w:r>
          </w:p>
        </w:tc>
        <w:tc>
          <w:tcPr>
            <w:tcW w:w="1394" w:type="dxa"/>
            <w:shd w:val="clear" w:color="auto" w:fill="auto"/>
            <w:vAlign w:val="center"/>
          </w:tcPr>
          <w:p w14:paraId="7875B18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19 %</w:t>
            </w:r>
          </w:p>
        </w:tc>
        <w:tc>
          <w:tcPr>
            <w:tcW w:w="1371" w:type="dxa"/>
            <w:shd w:val="clear" w:color="auto" w:fill="auto"/>
            <w:vAlign w:val="center"/>
          </w:tcPr>
          <w:p w14:paraId="5628298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52 %</w:t>
            </w:r>
            <w:r w:rsidRPr="004468BE">
              <w:rPr>
                <w:rFonts w:eastAsia="Calibri" w:cstheme="minorHAnsi"/>
                <w:color w:val="000000"/>
                <w:sz w:val="20"/>
                <w:vertAlign w:val="superscript"/>
                <w:lang w:val="en-US"/>
              </w:rPr>
              <w:t>***</w:t>
            </w:r>
          </w:p>
        </w:tc>
        <w:tc>
          <w:tcPr>
            <w:tcW w:w="1417" w:type="dxa"/>
            <w:shd w:val="clear" w:color="auto" w:fill="auto"/>
            <w:vAlign w:val="center"/>
          </w:tcPr>
          <w:p w14:paraId="5DCE4E1A"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48 %</w:t>
            </w:r>
            <w:r w:rsidRPr="004468BE">
              <w:rPr>
                <w:rFonts w:eastAsia="Calibri" w:cstheme="minorHAnsi"/>
                <w:color w:val="000000"/>
                <w:sz w:val="20"/>
                <w:vertAlign w:val="superscript"/>
                <w:lang w:val="en-US"/>
              </w:rPr>
              <w:t>***</w:t>
            </w:r>
          </w:p>
        </w:tc>
      </w:tr>
      <w:tr w:rsidR="00A6463E" w:rsidRPr="000C4E6C" w14:paraId="315359DB" w14:textId="77777777" w:rsidTr="00305EBA">
        <w:trPr>
          <w:trHeight w:val="574"/>
        </w:trPr>
        <w:tc>
          <w:tcPr>
            <w:tcW w:w="1276" w:type="dxa"/>
            <w:shd w:val="clear" w:color="auto" w:fill="auto"/>
            <w:vAlign w:val="center"/>
          </w:tcPr>
          <w:p w14:paraId="14D0866D"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 xml:space="preserve">Week 52 </w:t>
            </w:r>
            <w:r w:rsidRPr="004468BE">
              <w:rPr>
                <w:rFonts w:eastAsia="Calibri" w:cstheme="minorHAnsi"/>
                <w:color w:val="FF0000"/>
                <w:sz w:val="18"/>
                <w:szCs w:val="18"/>
                <w:lang w:val="en-US"/>
              </w:rPr>
              <w:t xml:space="preserve"> </w:t>
            </w:r>
          </w:p>
        </w:tc>
        <w:tc>
          <w:tcPr>
            <w:tcW w:w="1393" w:type="dxa"/>
            <w:shd w:val="clear" w:color="auto" w:fill="auto"/>
            <w:vAlign w:val="center"/>
          </w:tcPr>
          <w:p w14:paraId="1EC1D0E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38 %</w:t>
            </w:r>
          </w:p>
        </w:tc>
        <w:tc>
          <w:tcPr>
            <w:tcW w:w="1394" w:type="dxa"/>
            <w:shd w:val="clear" w:color="auto" w:fill="auto"/>
            <w:vAlign w:val="center"/>
          </w:tcPr>
          <w:p w14:paraId="0C78D8F6"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57 %</w:t>
            </w:r>
            <w:r w:rsidRPr="004468BE">
              <w:rPr>
                <w:rFonts w:eastAsia="Calibri" w:cstheme="minorHAnsi"/>
                <w:color w:val="000000"/>
                <w:sz w:val="20"/>
                <w:vertAlign w:val="superscript"/>
                <w:lang w:val="en-US"/>
              </w:rPr>
              <w:t>***</w:t>
            </w:r>
          </w:p>
        </w:tc>
        <w:tc>
          <w:tcPr>
            <w:tcW w:w="1394" w:type="dxa"/>
            <w:shd w:val="clear" w:color="auto" w:fill="auto"/>
            <w:vAlign w:val="center"/>
          </w:tcPr>
          <w:p w14:paraId="1328061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63 %</w:t>
            </w:r>
            <w:r w:rsidRPr="004468BE">
              <w:rPr>
                <w:rFonts w:eastAsia="Calibri" w:cstheme="minorHAnsi"/>
                <w:color w:val="000000"/>
                <w:sz w:val="20"/>
                <w:vertAlign w:val="superscript"/>
                <w:lang w:val="en-US"/>
              </w:rPr>
              <w:t>***</w:t>
            </w:r>
          </w:p>
        </w:tc>
        <w:tc>
          <w:tcPr>
            <w:tcW w:w="1394" w:type="dxa"/>
            <w:shd w:val="clear" w:color="auto" w:fill="BFBFBF"/>
            <w:vAlign w:val="center"/>
          </w:tcPr>
          <w:p w14:paraId="017DBCEE" w14:textId="77777777" w:rsidR="00A6463E" w:rsidRPr="004468BE" w:rsidRDefault="00A6463E" w:rsidP="00A6463E">
            <w:pPr>
              <w:spacing w:before="40" w:after="40" w:line="240" w:lineRule="auto"/>
              <w:jc w:val="center"/>
              <w:rPr>
                <w:rFonts w:eastAsia="Calibri" w:cstheme="minorHAnsi"/>
                <w:color w:val="000000"/>
                <w:sz w:val="20"/>
                <w:szCs w:val="20"/>
                <w:lang w:val="en-US"/>
              </w:rPr>
            </w:pPr>
          </w:p>
        </w:tc>
        <w:tc>
          <w:tcPr>
            <w:tcW w:w="1371" w:type="dxa"/>
            <w:shd w:val="clear" w:color="auto" w:fill="auto"/>
            <w:vAlign w:val="center"/>
          </w:tcPr>
          <w:p w14:paraId="4FC5A88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56 %</w:t>
            </w:r>
            <w:r w:rsidRPr="004468BE">
              <w:rPr>
                <w:rFonts w:eastAsia="Calibri" w:cstheme="minorHAnsi"/>
                <w:sz w:val="18"/>
                <w:szCs w:val="18"/>
                <w:vertAlign w:val="superscript"/>
                <w:lang w:val="en-US"/>
              </w:rPr>
              <w:t>†</w:t>
            </w:r>
          </w:p>
        </w:tc>
        <w:tc>
          <w:tcPr>
            <w:tcW w:w="1417" w:type="dxa"/>
            <w:shd w:val="clear" w:color="auto" w:fill="auto"/>
            <w:vAlign w:val="center"/>
          </w:tcPr>
          <w:p w14:paraId="6CDE905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48 %</w:t>
            </w:r>
          </w:p>
        </w:tc>
      </w:tr>
      <w:tr w:rsidR="00A6463E" w:rsidRPr="000C4E6C" w14:paraId="683BC8C4" w14:textId="77777777" w:rsidTr="00A6463E">
        <w:trPr>
          <w:trHeight w:val="188"/>
        </w:trPr>
        <w:tc>
          <w:tcPr>
            <w:tcW w:w="9639" w:type="dxa"/>
            <w:gridSpan w:val="7"/>
            <w:shd w:val="clear" w:color="auto" w:fill="auto"/>
            <w:vAlign w:val="center"/>
          </w:tcPr>
          <w:p w14:paraId="65AAE5B9"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lastRenderedPageBreak/>
              <w:t>DAS28-ESR ≤3.2</w:t>
            </w:r>
            <w:r w:rsidRPr="004468BE">
              <w:rPr>
                <w:rFonts w:eastAsia="Times New Roman" w:cstheme="minorHAnsi"/>
                <w:b/>
                <w:sz w:val="20"/>
                <w:szCs w:val="20"/>
                <w:vertAlign w:val="superscript"/>
                <w:lang w:val="en-US"/>
              </w:rPr>
              <w:t>d</w:t>
            </w:r>
          </w:p>
        </w:tc>
      </w:tr>
      <w:tr w:rsidR="00A6463E" w:rsidRPr="000C4E6C" w14:paraId="0AB4949B" w14:textId="77777777" w:rsidTr="00A6463E">
        <w:tc>
          <w:tcPr>
            <w:tcW w:w="1276" w:type="dxa"/>
            <w:shd w:val="clear" w:color="auto" w:fill="auto"/>
            <w:vAlign w:val="center"/>
          </w:tcPr>
          <w:p w14:paraId="5891E9E2"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393" w:type="dxa"/>
            <w:shd w:val="clear" w:color="auto" w:fill="auto"/>
            <w:vAlign w:val="center"/>
          </w:tcPr>
          <w:p w14:paraId="70C6656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15 %</w:t>
            </w:r>
          </w:p>
        </w:tc>
        <w:tc>
          <w:tcPr>
            <w:tcW w:w="1394" w:type="dxa"/>
            <w:shd w:val="clear" w:color="auto" w:fill="auto"/>
            <w:vAlign w:val="center"/>
          </w:tcPr>
          <w:p w14:paraId="062D2C9D"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21 %</w:t>
            </w:r>
          </w:p>
        </w:tc>
        <w:tc>
          <w:tcPr>
            <w:tcW w:w="1394" w:type="dxa"/>
            <w:shd w:val="clear" w:color="auto" w:fill="auto"/>
            <w:vAlign w:val="center"/>
          </w:tcPr>
          <w:p w14:paraId="0E1530D2"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34 %</w:t>
            </w:r>
            <w:r w:rsidRPr="004468BE">
              <w:rPr>
                <w:rFonts w:eastAsia="Calibri" w:cstheme="minorHAnsi"/>
                <w:sz w:val="20"/>
                <w:szCs w:val="20"/>
                <w:vertAlign w:val="superscript"/>
                <w:lang w:val="en-US"/>
              </w:rPr>
              <w:t>***</w:t>
            </w:r>
          </w:p>
        </w:tc>
        <w:tc>
          <w:tcPr>
            <w:tcW w:w="1394" w:type="dxa"/>
            <w:shd w:val="clear" w:color="auto" w:fill="auto"/>
            <w:vAlign w:val="center"/>
          </w:tcPr>
          <w:p w14:paraId="5DFE9B17"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7 %</w:t>
            </w:r>
          </w:p>
        </w:tc>
        <w:tc>
          <w:tcPr>
            <w:tcW w:w="1371" w:type="dxa"/>
            <w:shd w:val="clear" w:color="auto" w:fill="auto"/>
            <w:vAlign w:val="center"/>
          </w:tcPr>
          <w:p w14:paraId="0B90A10B"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24 %</w:t>
            </w:r>
            <w:r w:rsidRPr="004468BE">
              <w:rPr>
                <w:rFonts w:eastAsia="Calibri" w:cstheme="minorHAnsi"/>
                <w:sz w:val="20"/>
                <w:szCs w:val="20"/>
                <w:vertAlign w:val="superscript"/>
                <w:lang w:val="en-US"/>
              </w:rPr>
              <w:t>***</w:t>
            </w:r>
          </w:p>
        </w:tc>
        <w:tc>
          <w:tcPr>
            <w:tcW w:w="1417" w:type="dxa"/>
            <w:shd w:val="clear" w:color="auto" w:fill="auto"/>
            <w:vAlign w:val="center"/>
          </w:tcPr>
          <w:p w14:paraId="467ED4C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21 %</w:t>
            </w:r>
            <w:r w:rsidRPr="004468BE">
              <w:rPr>
                <w:rFonts w:eastAsia="Calibri" w:cstheme="minorHAnsi"/>
                <w:sz w:val="20"/>
                <w:szCs w:val="20"/>
                <w:vertAlign w:val="superscript"/>
                <w:lang w:val="en-US"/>
              </w:rPr>
              <w:t>***</w:t>
            </w:r>
          </w:p>
        </w:tc>
      </w:tr>
      <w:tr w:rsidR="00A6463E" w:rsidRPr="000C4E6C" w14:paraId="1BADD019" w14:textId="77777777" w:rsidTr="00A6463E">
        <w:tc>
          <w:tcPr>
            <w:tcW w:w="1276" w:type="dxa"/>
            <w:shd w:val="clear" w:color="auto" w:fill="auto"/>
            <w:vAlign w:val="center"/>
          </w:tcPr>
          <w:p w14:paraId="4CB5C364"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393" w:type="dxa"/>
            <w:shd w:val="clear" w:color="auto" w:fill="auto"/>
            <w:vAlign w:val="center"/>
          </w:tcPr>
          <w:p w14:paraId="7415BF4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23 %</w:t>
            </w:r>
          </w:p>
        </w:tc>
        <w:tc>
          <w:tcPr>
            <w:tcW w:w="1394" w:type="dxa"/>
            <w:shd w:val="clear" w:color="auto" w:fill="auto"/>
            <w:vAlign w:val="center"/>
          </w:tcPr>
          <w:p w14:paraId="0158BD0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36 %</w:t>
            </w:r>
            <w:r w:rsidRPr="004468BE">
              <w:rPr>
                <w:rFonts w:eastAsia="Calibri" w:cstheme="minorHAnsi"/>
                <w:sz w:val="20"/>
                <w:szCs w:val="20"/>
                <w:vertAlign w:val="superscript"/>
                <w:lang w:val="en-US"/>
              </w:rPr>
              <w:t>**</w:t>
            </w:r>
          </w:p>
        </w:tc>
        <w:tc>
          <w:tcPr>
            <w:tcW w:w="1394" w:type="dxa"/>
            <w:shd w:val="clear" w:color="auto" w:fill="auto"/>
            <w:vAlign w:val="center"/>
          </w:tcPr>
          <w:p w14:paraId="44575C2D"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39 %</w:t>
            </w:r>
            <w:r w:rsidRPr="004468BE">
              <w:rPr>
                <w:rFonts w:eastAsia="Calibri" w:cstheme="minorHAnsi"/>
                <w:sz w:val="20"/>
                <w:szCs w:val="20"/>
                <w:vertAlign w:val="superscript"/>
                <w:lang w:val="en-US"/>
              </w:rPr>
              <w:t>***</w:t>
            </w:r>
          </w:p>
        </w:tc>
        <w:tc>
          <w:tcPr>
            <w:tcW w:w="1394" w:type="dxa"/>
            <w:shd w:val="clear" w:color="auto" w:fill="auto"/>
            <w:vAlign w:val="center"/>
          </w:tcPr>
          <w:p w14:paraId="66780682"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10 %</w:t>
            </w:r>
          </w:p>
        </w:tc>
        <w:tc>
          <w:tcPr>
            <w:tcW w:w="1371" w:type="dxa"/>
            <w:shd w:val="clear" w:color="auto" w:fill="auto"/>
            <w:vAlign w:val="center"/>
          </w:tcPr>
          <w:p w14:paraId="259E9E9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32 %</w:t>
            </w:r>
            <w:r w:rsidRPr="004468BE">
              <w:rPr>
                <w:rFonts w:eastAsia="Calibri" w:cstheme="minorHAnsi"/>
                <w:sz w:val="20"/>
                <w:szCs w:val="20"/>
                <w:vertAlign w:val="superscript"/>
                <w:lang w:val="en-US"/>
              </w:rPr>
              <w:t>***</w:t>
            </w:r>
          </w:p>
        </w:tc>
        <w:tc>
          <w:tcPr>
            <w:tcW w:w="1417" w:type="dxa"/>
            <w:shd w:val="clear" w:color="auto" w:fill="auto"/>
            <w:vAlign w:val="center"/>
          </w:tcPr>
          <w:p w14:paraId="5135E562"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34 %</w:t>
            </w:r>
            <w:r w:rsidRPr="004468BE">
              <w:rPr>
                <w:rFonts w:eastAsia="Calibri" w:cstheme="minorHAnsi"/>
                <w:sz w:val="20"/>
                <w:szCs w:val="20"/>
                <w:vertAlign w:val="superscript"/>
                <w:lang w:val="en-US"/>
              </w:rPr>
              <w:t>***</w:t>
            </w:r>
          </w:p>
        </w:tc>
      </w:tr>
      <w:tr w:rsidR="00A6463E" w:rsidRPr="000C4E6C" w14:paraId="7D914EDF" w14:textId="77777777" w:rsidTr="00A6463E">
        <w:tc>
          <w:tcPr>
            <w:tcW w:w="1276" w:type="dxa"/>
            <w:shd w:val="clear" w:color="auto" w:fill="auto"/>
            <w:vAlign w:val="center"/>
          </w:tcPr>
          <w:p w14:paraId="76150D58"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52</w:t>
            </w:r>
          </w:p>
        </w:tc>
        <w:tc>
          <w:tcPr>
            <w:tcW w:w="1393" w:type="dxa"/>
            <w:shd w:val="clear" w:color="auto" w:fill="auto"/>
            <w:vAlign w:val="center"/>
          </w:tcPr>
          <w:p w14:paraId="20ADE70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27 %</w:t>
            </w:r>
          </w:p>
        </w:tc>
        <w:tc>
          <w:tcPr>
            <w:tcW w:w="1394" w:type="dxa"/>
            <w:shd w:val="clear" w:color="auto" w:fill="auto"/>
            <w:vAlign w:val="center"/>
          </w:tcPr>
          <w:p w14:paraId="4A83B28E"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36 %</w:t>
            </w:r>
          </w:p>
        </w:tc>
        <w:tc>
          <w:tcPr>
            <w:tcW w:w="1394" w:type="dxa"/>
            <w:shd w:val="clear" w:color="auto" w:fill="auto"/>
            <w:vAlign w:val="center"/>
          </w:tcPr>
          <w:p w14:paraId="3965DD55"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45 %</w:t>
            </w:r>
            <w:r w:rsidRPr="004468BE">
              <w:rPr>
                <w:rFonts w:eastAsia="Calibri" w:cstheme="minorHAnsi"/>
                <w:sz w:val="20"/>
                <w:szCs w:val="20"/>
                <w:vertAlign w:val="superscript"/>
                <w:lang w:val="en-US"/>
              </w:rPr>
              <w:t>***</w:t>
            </w:r>
          </w:p>
        </w:tc>
        <w:tc>
          <w:tcPr>
            <w:tcW w:w="1394" w:type="dxa"/>
            <w:shd w:val="clear" w:color="auto" w:fill="BFBFBF"/>
            <w:vAlign w:val="center"/>
          </w:tcPr>
          <w:p w14:paraId="13E8E75D" w14:textId="77777777" w:rsidR="00A6463E" w:rsidRPr="004468BE" w:rsidRDefault="00A6463E" w:rsidP="00A6463E">
            <w:pPr>
              <w:spacing w:before="40" w:after="40" w:line="240" w:lineRule="auto"/>
              <w:jc w:val="center"/>
              <w:rPr>
                <w:rFonts w:eastAsia="Calibri" w:cstheme="minorHAnsi"/>
                <w:sz w:val="20"/>
                <w:szCs w:val="20"/>
                <w:lang w:val="en-US"/>
              </w:rPr>
            </w:pPr>
          </w:p>
        </w:tc>
        <w:tc>
          <w:tcPr>
            <w:tcW w:w="1371" w:type="dxa"/>
            <w:shd w:val="clear" w:color="auto" w:fill="auto"/>
            <w:vAlign w:val="center"/>
          </w:tcPr>
          <w:p w14:paraId="69009A52"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39 %</w:t>
            </w:r>
          </w:p>
        </w:tc>
        <w:tc>
          <w:tcPr>
            <w:tcW w:w="1417" w:type="dxa"/>
            <w:shd w:val="clear" w:color="auto" w:fill="auto"/>
            <w:vAlign w:val="center"/>
          </w:tcPr>
          <w:p w14:paraId="572D3D3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36 %</w:t>
            </w:r>
          </w:p>
        </w:tc>
      </w:tr>
      <w:tr w:rsidR="00A6463E" w:rsidRPr="000C4E6C" w14:paraId="700CDAE1" w14:textId="77777777" w:rsidTr="00A6463E">
        <w:trPr>
          <w:trHeight w:val="188"/>
        </w:trPr>
        <w:tc>
          <w:tcPr>
            <w:tcW w:w="9639" w:type="dxa"/>
            <w:gridSpan w:val="7"/>
            <w:shd w:val="clear" w:color="auto" w:fill="auto"/>
            <w:vAlign w:val="center"/>
          </w:tcPr>
          <w:p w14:paraId="4A8BCB8E"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HAQ-DI Minimum Clinically Important Difference (decrease in score of ≥0.30):</w:t>
            </w:r>
            <w:r w:rsidRPr="004468BE">
              <w:rPr>
                <w:rFonts w:eastAsia="Times New Roman" w:cstheme="minorHAnsi"/>
                <w:b/>
                <w:sz w:val="20"/>
                <w:szCs w:val="20"/>
                <w:vertAlign w:val="superscript"/>
                <w:lang w:val="en-US"/>
              </w:rPr>
              <w:t>e</w:t>
            </w:r>
          </w:p>
        </w:tc>
      </w:tr>
      <w:tr w:rsidR="00A6463E" w:rsidRPr="000C4E6C" w14:paraId="718A7415" w14:textId="77777777" w:rsidTr="00A6463E">
        <w:tc>
          <w:tcPr>
            <w:tcW w:w="1276" w:type="dxa"/>
            <w:shd w:val="clear" w:color="auto" w:fill="auto"/>
            <w:vAlign w:val="center"/>
          </w:tcPr>
          <w:p w14:paraId="3835D0D7"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393" w:type="dxa"/>
            <w:shd w:val="clear" w:color="auto" w:fill="auto"/>
            <w:vAlign w:val="center"/>
          </w:tcPr>
          <w:p w14:paraId="03999F8D"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60 %</w:t>
            </w:r>
          </w:p>
        </w:tc>
        <w:tc>
          <w:tcPr>
            <w:tcW w:w="1394" w:type="dxa"/>
            <w:shd w:val="clear" w:color="auto" w:fill="auto"/>
            <w:vAlign w:val="center"/>
          </w:tcPr>
          <w:p w14:paraId="378A96BA"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81 %</w:t>
            </w:r>
            <w:r w:rsidRPr="004468BE">
              <w:rPr>
                <w:rFonts w:eastAsia="Calibri" w:cstheme="minorHAnsi"/>
                <w:sz w:val="20"/>
                <w:szCs w:val="20"/>
                <w:vertAlign w:val="superscript"/>
                <w:lang w:val="en-US"/>
              </w:rPr>
              <w:t>***</w:t>
            </w:r>
          </w:p>
        </w:tc>
        <w:tc>
          <w:tcPr>
            <w:tcW w:w="1394" w:type="dxa"/>
            <w:shd w:val="clear" w:color="auto" w:fill="auto"/>
            <w:vAlign w:val="center"/>
          </w:tcPr>
          <w:p w14:paraId="5AC5216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77 %</w:t>
            </w:r>
            <w:r w:rsidRPr="004468BE">
              <w:rPr>
                <w:rFonts w:eastAsia="Calibri" w:cstheme="minorHAnsi"/>
                <w:sz w:val="20"/>
                <w:szCs w:val="20"/>
                <w:vertAlign w:val="superscript"/>
                <w:lang w:val="en-US"/>
              </w:rPr>
              <w:t>***</w:t>
            </w:r>
          </w:p>
        </w:tc>
        <w:tc>
          <w:tcPr>
            <w:tcW w:w="1394" w:type="dxa"/>
            <w:shd w:val="clear" w:color="auto" w:fill="auto"/>
            <w:vAlign w:val="center"/>
          </w:tcPr>
          <w:p w14:paraId="579E6ED6"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46 %</w:t>
            </w:r>
          </w:p>
        </w:tc>
        <w:tc>
          <w:tcPr>
            <w:tcW w:w="1371" w:type="dxa"/>
            <w:shd w:val="clear" w:color="auto" w:fill="auto"/>
            <w:vAlign w:val="center"/>
          </w:tcPr>
          <w:p w14:paraId="740EF775"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68 %</w:t>
            </w:r>
            <w:r w:rsidRPr="004468BE">
              <w:rPr>
                <w:rFonts w:eastAsia="Calibri" w:cstheme="minorHAnsi"/>
                <w:sz w:val="20"/>
                <w:szCs w:val="20"/>
                <w:vertAlign w:val="superscript"/>
                <w:lang w:val="en-US"/>
              </w:rPr>
              <w:t>***</w:t>
            </w:r>
          </w:p>
        </w:tc>
        <w:tc>
          <w:tcPr>
            <w:tcW w:w="1417" w:type="dxa"/>
            <w:shd w:val="clear" w:color="auto" w:fill="auto"/>
            <w:vAlign w:val="center"/>
          </w:tcPr>
          <w:p w14:paraId="7D383D09"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64 %</w:t>
            </w:r>
            <w:r w:rsidRPr="004468BE">
              <w:rPr>
                <w:rFonts w:eastAsia="Calibri" w:cstheme="minorHAnsi"/>
                <w:sz w:val="20"/>
                <w:szCs w:val="20"/>
                <w:vertAlign w:val="superscript"/>
                <w:lang w:val="en-US"/>
              </w:rPr>
              <w:t>***</w:t>
            </w:r>
          </w:p>
        </w:tc>
      </w:tr>
      <w:tr w:rsidR="00A6463E" w:rsidRPr="000C4E6C" w14:paraId="3B124E9F" w14:textId="77777777" w:rsidTr="00A6463E">
        <w:tc>
          <w:tcPr>
            <w:tcW w:w="1276" w:type="dxa"/>
            <w:shd w:val="clear" w:color="auto" w:fill="auto"/>
            <w:vAlign w:val="center"/>
          </w:tcPr>
          <w:p w14:paraId="67944688"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393" w:type="dxa"/>
            <w:shd w:val="clear" w:color="auto" w:fill="auto"/>
            <w:vAlign w:val="center"/>
          </w:tcPr>
          <w:p w14:paraId="3E62C7D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66 %</w:t>
            </w:r>
          </w:p>
        </w:tc>
        <w:tc>
          <w:tcPr>
            <w:tcW w:w="1394" w:type="dxa"/>
            <w:shd w:val="clear" w:color="auto" w:fill="auto"/>
            <w:vAlign w:val="center"/>
          </w:tcPr>
          <w:p w14:paraId="6E9872CB"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77 %</w:t>
            </w:r>
            <w:r w:rsidRPr="004468BE">
              <w:rPr>
                <w:rFonts w:eastAsia="Calibri" w:cstheme="minorHAnsi"/>
                <w:sz w:val="20"/>
                <w:szCs w:val="20"/>
                <w:vertAlign w:val="superscript"/>
                <w:lang w:val="en-US"/>
              </w:rPr>
              <w:t>*</w:t>
            </w:r>
          </w:p>
        </w:tc>
        <w:tc>
          <w:tcPr>
            <w:tcW w:w="1394" w:type="dxa"/>
            <w:shd w:val="clear" w:color="auto" w:fill="auto"/>
            <w:vAlign w:val="center"/>
          </w:tcPr>
          <w:p w14:paraId="6978B5BA"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74 %</w:t>
            </w:r>
          </w:p>
        </w:tc>
        <w:tc>
          <w:tcPr>
            <w:tcW w:w="1394" w:type="dxa"/>
            <w:shd w:val="clear" w:color="auto" w:fill="auto"/>
            <w:vAlign w:val="center"/>
          </w:tcPr>
          <w:p w14:paraId="56E094A2"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37 %</w:t>
            </w:r>
          </w:p>
        </w:tc>
        <w:tc>
          <w:tcPr>
            <w:tcW w:w="1371" w:type="dxa"/>
            <w:shd w:val="clear" w:color="auto" w:fill="auto"/>
            <w:vAlign w:val="center"/>
          </w:tcPr>
          <w:p w14:paraId="00B2F28E"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67 %</w:t>
            </w:r>
            <w:r w:rsidRPr="004468BE">
              <w:rPr>
                <w:rFonts w:eastAsia="Calibri" w:cstheme="minorHAnsi"/>
                <w:sz w:val="20"/>
                <w:szCs w:val="20"/>
                <w:vertAlign w:val="superscript"/>
                <w:lang w:val="en-US"/>
              </w:rPr>
              <w:t>***</w:t>
            </w:r>
            <w:r w:rsidRPr="004468BE">
              <w:rPr>
                <w:rFonts w:eastAsia="Calibri" w:cstheme="minorHAnsi"/>
                <w:sz w:val="18"/>
                <w:szCs w:val="18"/>
                <w:vertAlign w:val="superscript"/>
                <w:lang w:val="en-US"/>
              </w:rPr>
              <w:t>†</w:t>
            </w:r>
          </w:p>
        </w:tc>
        <w:tc>
          <w:tcPr>
            <w:tcW w:w="1417" w:type="dxa"/>
            <w:shd w:val="clear" w:color="auto" w:fill="auto"/>
            <w:vAlign w:val="center"/>
          </w:tcPr>
          <w:p w14:paraId="6C0FF40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60 %</w:t>
            </w:r>
            <w:r w:rsidRPr="004468BE">
              <w:rPr>
                <w:rFonts w:eastAsia="Calibri" w:cstheme="minorHAnsi"/>
                <w:sz w:val="20"/>
                <w:szCs w:val="20"/>
                <w:vertAlign w:val="superscript"/>
                <w:lang w:val="en-US"/>
              </w:rPr>
              <w:t>***</w:t>
            </w:r>
          </w:p>
        </w:tc>
      </w:tr>
      <w:tr w:rsidR="00A6463E" w:rsidRPr="000C4E6C" w14:paraId="4AA59A4D" w14:textId="77777777" w:rsidTr="00A6463E">
        <w:tc>
          <w:tcPr>
            <w:tcW w:w="1276" w:type="dxa"/>
            <w:shd w:val="clear" w:color="auto" w:fill="auto"/>
            <w:vAlign w:val="center"/>
          </w:tcPr>
          <w:p w14:paraId="485EFC1C"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52</w:t>
            </w:r>
          </w:p>
        </w:tc>
        <w:tc>
          <w:tcPr>
            <w:tcW w:w="1393" w:type="dxa"/>
            <w:shd w:val="clear" w:color="auto" w:fill="auto"/>
            <w:vAlign w:val="center"/>
          </w:tcPr>
          <w:p w14:paraId="7EFA898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53 %</w:t>
            </w:r>
          </w:p>
        </w:tc>
        <w:tc>
          <w:tcPr>
            <w:tcW w:w="1394" w:type="dxa"/>
            <w:shd w:val="clear" w:color="auto" w:fill="auto"/>
            <w:vAlign w:val="center"/>
          </w:tcPr>
          <w:p w14:paraId="6C7BB5B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65 %</w:t>
            </w:r>
            <w:r w:rsidRPr="004468BE">
              <w:rPr>
                <w:rFonts w:eastAsia="Calibri" w:cstheme="minorHAnsi"/>
                <w:sz w:val="20"/>
                <w:szCs w:val="20"/>
                <w:vertAlign w:val="superscript"/>
                <w:lang w:val="en-US"/>
              </w:rPr>
              <w:t>*</w:t>
            </w:r>
          </w:p>
        </w:tc>
        <w:tc>
          <w:tcPr>
            <w:tcW w:w="1394" w:type="dxa"/>
            <w:shd w:val="clear" w:color="auto" w:fill="auto"/>
            <w:vAlign w:val="center"/>
          </w:tcPr>
          <w:p w14:paraId="60F7496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67 %</w:t>
            </w:r>
            <w:r w:rsidRPr="004468BE">
              <w:rPr>
                <w:rFonts w:eastAsia="Calibri" w:cstheme="minorHAnsi"/>
                <w:sz w:val="20"/>
                <w:szCs w:val="20"/>
                <w:vertAlign w:val="superscript"/>
                <w:lang w:val="en-US"/>
              </w:rPr>
              <w:t>**</w:t>
            </w:r>
          </w:p>
        </w:tc>
        <w:tc>
          <w:tcPr>
            <w:tcW w:w="1394" w:type="dxa"/>
            <w:shd w:val="clear" w:color="auto" w:fill="BFBFBF"/>
            <w:vAlign w:val="center"/>
          </w:tcPr>
          <w:p w14:paraId="09C7F479" w14:textId="77777777" w:rsidR="00A6463E" w:rsidRPr="004468BE" w:rsidRDefault="00A6463E" w:rsidP="00A6463E">
            <w:pPr>
              <w:spacing w:before="40" w:after="40" w:line="240" w:lineRule="auto"/>
              <w:jc w:val="center"/>
              <w:rPr>
                <w:rFonts w:eastAsia="Calibri" w:cstheme="minorHAnsi"/>
                <w:sz w:val="20"/>
                <w:szCs w:val="20"/>
                <w:lang w:val="en-US"/>
              </w:rPr>
            </w:pPr>
          </w:p>
        </w:tc>
        <w:tc>
          <w:tcPr>
            <w:tcW w:w="1371" w:type="dxa"/>
            <w:shd w:val="clear" w:color="auto" w:fill="auto"/>
            <w:vAlign w:val="center"/>
          </w:tcPr>
          <w:p w14:paraId="56FA89B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61 %</w:t>
            </w:r>
          </w:p>
        </w:tc>
        <w:tc>
          <w:tcPr>
            <w:tcW w:w="1417" w:type="dxa"/>
            <w:shd w:val="clear" w:color="auto" w:fill="auto"/>
            <w:vAlign w:val="center"/>
          </w:tcPr>
          <w:p w14:paraId="64812CEE"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55 %</w:t>
            </w:r>
          </w:p>
        </w:tc>
      </w:tr>
    </w:tbl>
    <w:p w14:paraId="4E1D4EC5"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lang w:val="en-US"/>
        </w:rPr>
        <w:t xml:space="preserve"> * p ≤ 0.05; ** p ≤ 0.01; *** p ≤ 0.001 vs. placebo (vs. MTX for RA-BEGIN)</w:t>
      </w:r>
    </w:p>
    <w:p w14:paraId="5563AA64" w14:textId="77777777" w:rsidR="00A6463E" w:rsidRPr="004468BE" w:rsidRDefault="00A6463E" w:rsidP="00A6463E">
      <w:pPr>
        <w:tabs>
          <w:tab w:val="left" w:pos="180"/>
        </w:tabs>
        <w:spacing w:after="20" w:line="240" w:lineRule="auto"/>
        <w:ind w:left="142" w:hanging="142"/>
        <w:rPr>
          <w:rFonts w:eastAsia="Times New Roman" w:cstheme="minorHAnsi"/>
          <w:sz w:val="18"/>
          <w:szCs w:val="18"/>
          <w:lang w:val="en-US"/>
        </w:rPr>
      </w:pPr>
      <w:r w:rsidRPr="004468BE">
        <w:rPr>
          <w:rFonts w:eastAsia="Times New Roman" w:cstheme="minorHAnsi"/>
          <w:sz w:val="18"/>
          <w:szCs w:val="18"/>
          <w:vertAlign w:val="superscript"/>
          <w:lang w:val="en-US"/>
        </w:rPr>
        <w:t>†</w:t>
      </w:r>
      <w:r w:rsidRPr="004468BE">
        <w:rPr>
          <w:rFonts w:eastAsia="Times New Roman" w:cstheme="minorHAnsi"/>
          <w:sz w:val="18"/>
          <w:szCs w:val="18"/>
          <w:lang w:val="en-US"/>
        </w:rPr>
        <w:t xml:space="preserve"> p ≤ 0.05; </w:t>
      </w:r>
      <w:r w:rsidRPr="004468BE">
        <w:rPr>
          <w:rFonts w:eastAsia="Times New Roman" w:cstheme="minorHAnsi"/>
          <w:sz w:val="18"/>
          <w:szCs w:val="18"/>
          <w:vertAlign w:val="superscript"/>
          <w:lang w:val="en-US"/>
        </w:rPr>
        <w:t>††</w:t>
      </w:r>
      <w:r w:rsidRPr="004468BE">
        <w:rPr>
          <w:rFonts w:eastAsia="Times New Roman" w:cstheme="minorHAnsi"/>
          <w:sz w:val="18"/>
          <w:szCs w:val="18"/>
          <w:lang w:val="en-US"/>
        </w:rPr>
        <w:t xml:space="preserve"> p ≤ 0.01; </w:t>
      </w:r>
      <w:r w:rsidRPr="004468BE">
        <w:rPr>
          <w:rFonts w:eastAsia="Times New Roman" w:cstheme="minorHAnsi"/>
          <w:sz w:val="18"/>
          <w:szCs w:val="20"/>
          <w:lang w:val="en-US"/>
        </w:rPr>
        <w:t>vs. adalimumab</w:t>
      </w:r>
    </w:p>
    <w:p w14:paraId="6B8C9B76" w14:textId="77777777" w:rsidR="00A6463E" w:rsidRPr="004468BE" w:rsidRDefault="00A6463E" w:rsidP="00A6463E">
      <w:pPr>
        <w:tabs>
          <w:tab w:val="left" w:pos="180"/>
        </w:tabs>
        <w:spacing w:after="20" w:line="240" w:lineRule="auto"/>
        <w:ind w:left="142" w:hanging="142"/>
        <w:rPr>
          <w:rFonts w:eastAsia="Times New Roman" w:cstheme="minorHAnsi"/>
          <w:sz w:val="18"/>
          <w:szCs w:val="18"/>
          <w:lang w:val="en-US"/>
        </w:rPr>
      </w:pPr>
      <w:r w:rsidRPr="004468BE">
        <w:rPr>
          <w:rFonts w:eastAsia="Times New Roman" w:cstheme="minorHAnsi"/>
          <w:sz w:val="18"/>
          <w:szCs w:val="18"/>
          <w:vertAlign w:val="superscript"/>
          <w:lang w:val="en-US"/>
        </w:rPr>
        <w:t>a</w:t>
      </w:r>
      <w:r w:rsidRPr="004468BE">
        <w:rPr>
          <w:rFonts w:eastAsia="Times New Roman" w:cstheme="minorHAnsi"/>
          <w:sz w:val="18"/>
          <w:szCs w:val="18"/>
          <w:lang w:val="en-US"/>
        </w:rPr>
        <w:tab/>
        <w:t>Simplified Disease Activity Index</w:t>
      </w:r>
      <w:r w:rsidRPr="004468BE" w:rsidDel="00761A52">
        <w:rPr>
          <w:rFonts w:eastAsia="Times New Roman" w:cstheme="minorHAnsi"/>
          <w:sz w:val="18"/>
          <w:szCs w:val="18"/>
          <w:lang w:val="en-US"/>
        </w:rPr>
        <w:t xml:space="preserve"> </w:t>
      </w:r>
    </w:p>
    <w:p w14:paraId="0C34F59B" w14:textId="77777777" w:rsidR="00A6463E" w:rsidRPr="004468BE" w:rsidRDefault="00A6463E" w:rsidP="00A6463E">
      <w:pPr>
        <w:tabs>
          <w:tab w:val="left" w:pos="180"/>
        </w:tabs>
        <w:spacing w:after="20" w:line="240" w:lineRule="auto"/>
        <w:ind w:left="142" w:hanging="142"/>
        <w:rPr>
          <w:rFonts w:eastAsia="Times New Roman" w:cstheme="minorHAnsi"/>
          <w:sz w:val="18"/>
          <w:szCs w:val="18"/>
          <w:lang w:val="en-US"/>
        </w:rPr>
      </w:pPr>
      <w:r w:rsidRPr="004468BE">
        <w:rPr>
          <w:rFonts w:eastAsia="Times New Roman" w:cstheme="minorHAnsi"/>
          <w:sz w:val="18"/>
          <w:szCs w:val="18"/>
          <w:vertAlign w:val="superscript"/>
          <w:lang w:val="en-US"/>
        </w:rPr>
        <w:t>b</w:t>
      </w:r>
      <w:r w:rsidRPr="004468BE">
        <w:rPr>
          <w:rFonts w:eastAsia="Times New Roman" w:cstheme="minorHAnsi"/>
          <w:sz w:val="18"/>
          <w:szCs w:val="18"/>
          <w:lang w:val="en-US"/>
        </w:rPr>
        <w:tab/>
        <w:t>Clinical Disease Activity Index</w:t>
      </w:r>
      <w:r w:rsidRPr="004468BE" w:rsidDel="00761A52">
        <w:rPr>
          <w:rFonts w:eastAsia="Times New Roman" w:cstheme="minorHAnsi"/>
          <w:sz w:val="18"/>
          <w:szCs w:val="18"/>
          <w:lang w:val="en-US"/>
        </w:rPr>
        <w:t xml:space="preserve"> </w:t>
      </w:r>
    </w:p>
    <w:p w14:paraId="66BEF8F9"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vertAlign w:val="superscript"/>
          <w:lang w:val="en-US"/>
        </w:rPr>
        <w:t>c</w:t>
      </w:r>
      <w:r w:rsidRPr="004468BE">
        <w:rPr>
          <w:rFonts w:eastAsia="Times New Roman" w:cstheme="minorHAnsi"/>
          <w:sz w:val="18"/>
          <w:szCs w:val="18"/>
          <w:lang w:val="en-US"/>
        </w:rPr>
        <w:tab/>
        <w:t>Disease Activity Score 28-high sensitivity C-reactive protein</w:t>
      </w:r>
      <w:r w:rsidRPr="004468BE" w:rsidDel="00761A52">
        <w:rPr>
          <w:rFonts w:eastAsia="Times New Roman" w:cstheme="minorHAnsi"/>
          <w:sz w:val="18"/>
          <w:szCs w:val="18"/>
          <w:lang w:val="en-US"/>
        </w:rPr>
        <w:t xml:space="preserve"> </w:t>
      </w:r>
    </w:p>
    <w:p w14:paraId="4762551A"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vertAlign w:val="superscript"/>
          <w:lang w:val="en-US"/>
        </w:rPr>
        <w:t>d</w:t>
      </w:r>
      <w:r w:rsidRPr="004468BE">
        <w:rPr>
          <w:rFonts w:eastAsia="Times New Roman" w:cstheme="minorHAnsi"/>
          <w:sz w:val="18"/>
          <w:szCs w:val="18"/>
          <w:lang w:val="en-US"/>
        </w:rPr>
        <w:tab/>
        <w:t>Disease Activity Score 28-erythrocyte sedimentation rate</w:t>
      </w:r>
      <w:r w:rsidRPr="004468BE" w:rsidDel="00761A52">
        <w:rPr>
          <w:rFonts w:eastAsia="Times New Roman" w:cstheme="minorHAnsi"/>
          <w:sz w:val="18"/>
          <w:szCs w:val="18"/>
          <w:lang w:val="en-US"/>
        </w:rPr>
        <w:t xml:space="preserve"> </w:t>
      </w:r>
    </w:p>
    <w:p w14:paraId="2267AED3"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vertAlign w:val="superscript"/>
          <w:lang w:val="en-US"/>
        </w:rPr>
        <w:t>e</w:t>
      </w:r>
      <w:r w:rsidRPr="004468BE">
        <w:rPr>
          <w:rFonts w:eastAsia="Times New Roman" w:cstheme="minorHAnsi"/>
          <w:sz w:val="18"/>
          <w:szCs w:val="18"/>
          <w:lang w:val="en-US"/>
        </w:rPr>
        <w:tab/>
        <w:t>Health Assessment Questionnaire–Disability Index</w:t>
      </w:r>
      <w:r w:rsidRPr="004468BE" w:rsidDel="00761A52">
        <w:rPr>
          <w:rFonts w:eastAsia="Times New Roman" w:cstheme="minorHAnsi"/>
          <w:sz w:val="18"/>
          <w:szCs w:val="18"/>
          <w:lang w:val="en-US"/>
        </w:rPr>
        <w:t xml:space="preserve"> </w:t>
      </w:r>
    </w:p>
    <w:p w14:paraId="45BC0294" w14:textId="77777777" w:rsidR="00305EBA" w:rsidRDefault="00305EBA" w:rsidP="00305EBA">
      <w:pPr>
        <w:rPr>
          <w:b/>
          <w:szCs w:val="20"/>
        </w:rPr>
      </w:pPr>
    </w:p>
    <w:p w14:paraId="63693760" w14:textId="628FE7C9" w:rsidR="00A6463E" w:rsidRPr="00305EBA" w:rsidRDefault="00A6463E" w:rsidP="00305EBA">
      <w:pPr>
        <w:rPr>
          <w:b/>
          <w:szCs w:val="20"/>
        </w:rPr>
      </w:pPr>
      <w:r w:rsidRPr="00305EBA">
        <w:rPr>
          <w:b/>
          <w:szCs w:val="20"/>
        </w:rPr>
        <w:t xml:space="preserve">Table </w:t>
      </w:r>
      <w:r w:rsidR="001B67AC" w:rsidRPr="00305EBA">
        <w:rPr>
          <w:b/>
          <w:szCs w:val="20"/>
        </w:rPr>
        <w:t>1</w:t>
      </w:r>
      <w:r w:rsidR="00446055" w:rsidRPr="00305EBA">
        <w:rPr>
          <w:b/>
          <w:szCs w:val="20"/>
        </w:rPr>
        <w:t>0</w:t>
      </w:r>
      <w:r w:rsidRPr="00305EBA">
        <w:rPr>
          <w:b/>
          <w:color w:val="0000FF"/>
          <w:szCs w:val="20"/>
        </w:rPr>
        <w:t xml:space="preserve"> </w:t>
      </w:r>
      <w:r w:rsidR="00625B9E" w:rsidRPr="00305EBA">
        <w:rPr>
          <w:b/>
          <w:color w:val="0000FF"/>
          <w:szCs w:val="20"/>
        </w:rPr>
        <w:t xml:space="preserve"> </w:t>
      </w:r>
      <w:r w:rsidRPr="00305EBA">
        <w:rPr>
          <w:b/>
        </w:rPr>
        <w:t>Low Disease Activity and Clinical Remission</w:t>
      </w:r>
      <w:r w:rsidRPr="00305EBA" w:rsidDel="00637DB1">
        <w:rPr>
          <w:b/>
          <w:szCs w:val="20"/>
        </w:rPr>
        <w:t xml:space="preserve"> </w:t>
      </w:r>
      <w:r w:rsidRPr="00305EBA">
        <w:rPr>
          <w:b/>
          <w:szCs w:val="20"/>
        </w:rPr>
        <w:t xml:space="preserve">– Placebo Controlled Trials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46"/>
        <w:gridCol w:w="1347"/>
        <w:gridCol w:w="1347"/>
        <w:gridCol w:w="1346"/>
        <w:gridCol w:w="1276"/>
        <w:gridCol w:w="1418"/>
      </w:tblGrid>
      <w:tr w:rsidR="00A6463E" w:rsidRPr="000C4E6C" w14:paraId="56BF0F2E" w14:textId="77777777" w:rsidTr="00105060">
        <w:trPr>
          <w:trHeight w:val="206"/>
          <w:tblHeader/>
        </w:trPr>
        <w:tc>
          <w:tcPr>
            <w:tcW w:w="1276" w:type="dxa"/>
            <w:vMerge w:val="restart"/>
            <w:shd w:val="clear" w:color="auto" w:fill="auto"/>
          </w:tcPr>
          <w:p w14:paraId="567E56CF" w14:textId="77777777" w:rsidR="00A6463E" w:rsidRPr="004468BE" w:rsidRDefault="00A6463E" w:rsidP="00305EBA">
            <w:pPr>
              <w:spacing w:before="40" w:after="40" w:line="240" w:lineRule="auto"/>
              <w:jc w:val="center"/>
              <w:rPr>
                <w:rFonts w:eastAsia="Calibri" w:cstheme="minorHAnsi"/>
                <w:b/>
                <w:color w:val="000000"/>
                <w:sz w:val="20"/>
                <w:szCs w:val="20"/>
                <w:lang w:val="en-US"/>
              </w:rPr>
            </w:pPr>
          </w:p>
        </w:tc>
        <w:tc>
          <w:tcPr>
            <w:tcW w:w="8080" w:type="dxa"/>
            <w:gridSpan w:val="6"/>
            <w:shd w:val="clear" w:color="auto" w:fill="auto"/>
          </w:tcPr>
          <w:p w14:paraId="47D5237B"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Percent of Patients</w:t>
            </w:r>
          </w:p>
        </w:tc>
      </w:tr>
      <w:tr w:rsidR="00A6463E" w:rsidRPr="000C4E6C" w14:paraId="782768F4" w14:textId="77777777" w:rsidTr="00105060">
        <w:trPr>
          <w:trHeight w:val="161"/>
          <w:tblHeader/>
        </w:trPr>
        <w:tc>
          <w:tcPr>
            <w:tcW w:w="1276" w:type="dxa"/>
            <w:vMerge/>
            <w:shd w:val="clear" w:color="auto" w:fill="auto"/>
          </w:tcPr>
          <w:p w14:paraId="7AB64E52" w14:textId="77777777" w:rsidR="00A6463E" w:rsidRPr="007D6CDE" w:rsidRDefault="00A6463E" w:rsidP="00305EBA">
            <w:pPr>
              <w:spacing w:before="40" w:after="40" w:line="240" w:lineRule="auto"/>
              <w:jc w:val="center"/>
              <w:rPr>
                <w:rFonts w:eastAsia="Calibri" w:cstheme="minorHAnsi"/>
                <w:b/>
                <w:color w:val="000000"/>
                <w:sz w:val="20"/>
                <w:szCs w:val="20"/>
                <w:lang w:val="en-US"/>
              </w:rPr>
            </w:pPr>
          </w:p>
        </w:tc>
        <w:tc>
          <w:tcPr>
            <w:tcW w:w="4040" w:type="dxa"/>
            <w:gridSpan w:val="3"/>
            <w:shd w:val="clear" w:color="auto" w:fill="auto"/>
            <w:vAlign w:val="bottom"/>
          </w:tcPr>
          <w:p w14:paraId="3EE78E3C" w14:textId="77777777" w:rsidR="00A6463E" w:rsidRPr="007D6CDE" w:rsidRDefault="00A6463E" w:rsidP="00305EBA">
            <w:pPr>
              <w:spacing w:before="40" w:after="40" w:line="240" w:lineRule="auto"/>
              <w:jc w:val="center"/>
              <w:rPr>
                <w:rFonts w:eastAsia="Calibri" w:cstheme="minorHAnsi"/>
                <w:b/>
                <w:color w:val="000000"/>
                <w:sz w:val="20"/>
                <w:szCs w:val="20"/>
                <w:lang w:val="en-US"/>
              </w:rPr>
            </w:pPr>
            <w:proofErr w:type="spellStart"/>
            <w:r w:rsidRPr="007D6CDE">
              <w:rPr>
                <w:rFonts w:eastAsia="Calibri" w:cstheme="minorHAnsi"/>
                <w:b/>
                <w:color w:val="000000"/>
                <w:sz w:val="20"/>
                <w:szCs w:val="20"/>
                <w:lang w:val="en-US"/>
              </w:rPr>
              <w:t>cDMARD</w:t>
            </w:r>
            <w:proofErr w:type="spellEnd"/>
            <w:r w:rsidRPr="007D6CDE">
              <w:rPr>
                <w:rFonts w:eastAsia="Calibri" w:cstheme="minorHAnsi"/>
                <w:b/>
                <w:color w:val="000000"/>
                <w:sz w:val="20"/>
                <w:szCs w:val="20"/>
                <w:lang w:val="en-US"/>
              </w:rPr>
              <w:t>-IR</w:t>
            </w:r>
          </w:p>
        </w:tc>
        <w:tc>
          <w:tcPr>
            <w:tcW w:w="4040" w:type="dxa"/>
            <w:gridSpan w:val="3"/>
            <w:shd w:val="clear" w:color="auto" w:fill="auto"/>
            <w:vAlign w:val="bottom"/>
          </w:tcPr>
          <w:p w14:paraId="544863BF" w14:textId="77777777" w:rsidR="00A6463E" w:rsidRPr="007D6CDE" w:rsidRDefault="00A6463E" w:rsidP="00305EBA">
            <w:pPr>
              <w:spacing w:before="40" w:after="40" w:line="240" w:lineRule="auto"/>
              <w:jc w:val="center"/>
              <w:rPr>
                <w:rFonts w:eastAsia="Calibri" w:cstheme="minorHAnsi"/>
                <w:b/>
                <w:color w:val="000000"/>
                <w:sz w:val="20"/>
                <w:szCs w:val="20"/>
                <w:lang w:val="en-US"/>
              </w:rPr>
            </w:pPr>
            <w:proofErr w:type="spellStart"/>
            <w:r w:rsidRPr="007D6CDE">
              <w:rPr>
                <w:rFonts w:eastAsia="Calibri" w:cstheme="minorHAnsi"/>
                <w:b/>
                <w:color w:val="000000"/>
                <w:sz w:val="20"/>
                <w:szCs w:val="20"/>
                <w:lang w:val="en-US"/>
              </w:rPr>
              <w:t>TNFi</w:t>
            </w:r>
            <w:proofErr w:type="spellEnd"/>
            <w:r w:rsidRPr="007D6CDE">
              <w:rPr>
                <w:rFonts w:eastAsia="Calibri" w:cstheme="minorHAnsi"/>
                <w:b/>
                <w:color w:val="000000"/>
                <w:sz w:val="20"/>
                <w:szCs w:val="20"/>
                <w:lang w:val="en-US"/>
              </w:rPr>
              <w:t>-IR</w:t>
            </w:r>
          </w:p>
        </w:tc>
      </w:tr>
      <w:tr w:rsidR="00A6463E" w:rsidRPr="000C4E6C" w14:paraId="16431326" w14:textId="77777777" w:rsidTr="00105060">
        <w:trPr>
          <w:trHeight w:val="242"/>
          <w:tblHeader/>
        </w:trPr>
        <w:tc>
          <w:tcPr>
            <w:tcW w:w="1276" w:type="dxa"/>
            <w:vMerge/>
            <w:shd w:val="clear" w:color="auto" w:fill="auto"/>
          </w:tcPr>
          <w:p w14:paraId="1AF25F4A" w14:textId="77777777" w:rsidR="00A6463E" w:rsidRPr="007D6CDE" w:rsidRDefault="00A6463E" w:rsidP="00305EBA">
            <w:pPr>
              <w:spacing w:before="40" w:after="40" w:line="240" w:lineRule="auto"/>
              <w:jc w:val="center"/>
              <w:rPr>
                <w:rFonts w:eastAsia="Calibri" w:cstheme="minorHAnsi"/>
                <w:b/>
                <w:color w:val="000000"/>
                <w:sz w:val="20"/>
                <w:szCs w:val="20"/>
                <w:lang w:val="en-US"/>
              </w:rPr>
            </w:pPr>
          </w:p>
        </w:tc>
        <w:tc>
          <w:tcPr>
            <w:tcW w:w="4040" w:type="dxa"/>
            <w:gridSpan w:val="3"/>
            <w:shd w:val="clear" w:color="auto" w:fill="auto"/>
            <w:vAlign w:val="bottom"/>
          </w:tcPr>
          <w:p w14:paraId="5F3E5D18"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RA-BUILD</w:t>
            </w:r>
          </w:p>
        </w:tc>
        <w:tc>
          <w:tcPr>
            <w:tcW w:w="4040" w:type="dxa"/>
            <w:gridSpan w:val="3"/>
            <w:shd w:val="clear" w:color="auto" w:fill="auto"/>
            <w:vAlign w:val="bottom"/>
          </w:tcPr>
          <w:p w14:paraId="768638EF"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Study RA-BEACON</w:t>
            </w:r>
          </w:p>
        </w:tc>
      </w:tr>
      <w:tr w:rsidR="00A6463E" w:rsidRPr="000C4E6C" w14:paraId="366E09C9" w14:textId="77777777" w:rsidTr="00105060">
        <w:trPr>
          <w:trHeight w:val="611"/>
          <w:tblHeader/>
        </w:trPr>
        <w:tc>
          <w:tcPr>
            <w:tcW w:w="1276" w:type="dxa"/>
            <w:vMerge/>
            <w:shd w:val="clear" w:color="auto" w:fill="auto"/>
          </w:tcPr>
          <w:p w14:paraId="2642690E" w14:textId="77777777" w:rsidR="00A6463E" w:rsidRPr="007D6CDE" w:rsidRDefault="00A6463E" w:rsidP="00305EBA">
            <w:pPr>
              <w:spacing w:before="40" w:after="40" w:line="240" w:lineRule="auto"/>
              <w:jc w:val="center"/>
              <w:rPr>
                <w:rFonts w:eastAsia="Calibri" w:cstheme="minorHAnsi"/>
                <w:b/>
                <w:color w:val="000000"/>
                <w:sz w:val="20"/>
                <w:szCs w:val="20"/>
                <w:lang w:val="en-US"/>
              </w:rPr>
            </w:pPr>
          </w:p>
        </w:tc>
        <w:tc>
          <w:tcPr>
            <w:tcW w:w="1346" w:type="dxa"/>
            <w:shd w:val="clear" w:color="auto" w:fill="auto"/>
            <w:vAlign w:val="bottom"/>
          </w:tcPr>
          <w:p w14:paraId="5CC5062A"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Placebo</w:t>
            </w:r>
            <w:r w:rsidRPr="007D6CDE">
              <w:rPr>
                <w:rFonts w:eastAsia="Calibri" w:cstheme="minorHAnsi"/>
                <w:b/>
                <w:color w:val="000000"/>
                <w:sz w:val="20"/>
                <w:szCs w:val="20"/>
                <w:lang w:val="en-US"/>
              </w:rPr>
              <w:br/>
              <w:t xml:space="preserve">+ </w:t>
            </w:r>
            <w:proofErr w:type="spellStart"/>
            <w:r w:rsidRPr="007D6CDE">
              <w:rPr>
                <w:rFonts w:eastAsia="Calibri" w:cstheme="minorHAnsi"/>
                <w:b/>
                <w:color w:val="000000"/>
                <w:sz w:val="20"/>
                <w:szCs w:val="20"/>
                <w:lang w:val="en-US"/>
              </w:rPr>
              <w:t>cDMARDs</w:t>
            </w:r>
            <w:proofErr w:type="spellEnd"/>
          </w:p>
        </w:tc>
        <w:tc>
          <w:tcPr>
            <w:tcW w:w="1347" w:type="dxa"/>
            <w:shd w:val="clear" w:color="auto" w:fill="auto"/>
            <w:vAlign w:val="bottom"/>
          </w:tcPr>
          <w:p w14:paraId="0D8A6F6C"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2 mg/day</w:t>
            </w:r>
            <w:r w:rsidRPr="007D6CDE">
              <w:rPr>
                <w:rFonts w:eastAsia="Calibri" w:cstheme="minorHAnsi"/>
                <w:b/>
                <w:color w:val="000000"/>
                <w:sz w:val="20"/>
                <w:szCs w:val="20"/>
                <w:lang w:val="en-US"/>
              </w:rPr>
              <w:br/>
              <w:t xml:space="preserve">+ </w:t>
            </w:r>
            <w:proofErr w:type="spellStart"/>
            <w:r w:rsidRPr="007D6CDE">
              <w:rPr>
                <w:rFonts w:eastAsia="Calibri" w:cstheme="minorHAnsi"/>
                <w:b/>
                <w:color w:val="000000"/>
                <w:sz w:val="20"/>
                <w:szCs w:val="20"/>
                <w:lang w:val="en-US"/>
              </w:rPr>
              <w:t>cDMARDs</w:t>
            </w:r>
            <w:proofErr w:type="spellEnd"/>
          </w:p>
        </w:tc>
        <w:tc>
          <w:tcPr>
            <w:tcW w:w="1347" w:type="dxa"/>
            <w:shd w:val="clear" w:color="auto" w:fill="auto"/>
            <w:vAlign w:val="bottom"/>
          </w:tcPr>
          <w:p w14:paraId="12E146DF"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 mg/day</w:t>
            </w:r>
            <w:r w:rsidRPr="007D6CDE">
              <w:rPr>
                <w:rFonts w:eastAsia="Calibri" w:cstheme="minorHAnsi"/>
                <w:b/>
                <w:color w:val="000000"/>
                <w:sz w:val="20"/>
                <w:szCs w:val="20"/>
                <w:lang w:val="en-US"/>
              </w:rPr>
              <w:br/>
              <w:t xml:space="preserve">+ </w:t>
            </w:r>
            <w:proofErr w:type="spellStart"/>
            <w:r w:rsidRPr="007D6CDE">
              <w:rPr>
                <w:rFonts w:eastAsia="Calibri" w:cstheme="minorHAnsi"/>
                <w:b/>
                <w:color w:val="000000"/>
                <w:sz w:val="20"/>
                <w:szCs w:val="20"/>
                <w:lang w:val="en-US"/>
              </w:rPr>
              <w:t>cDMARDs</w:t>
            </w:r>
            <w:proofErr w:type="spellEnd"/>
          </w:p>
        </w:tc>
        <w:tc>
          <w:tcPr>
            <w:tcW w:w="1346" w:type="dxa"/>
            <w:shd w:val="clear" w:color="auto" w:fill="auto"/>
            <w:vAlign w:val="bottom"/>
          </w:tcPr>
          <w:p w14:paraId="67689B2C"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Placebo</w:t>
            </w:r>
            <w:r w:rsidRPr="007D6CDE">
              <w:rPr>
                <w:rFonts w:eastAsia="Calibri" w:cstheme="minorHAnsi"/>
                <w:b/>
                <w:color w:val="000000"/>
                <w:sz w:val="20"/>
                <w:szCs w:val="20"/>
                <w:lang w:val="en-US"/>
              </w:rPr>
              <w:br/>
              <w:t xml:space="preserve">+ </w:t>
            </w:r>
            <w:proofErr w:type="spellStart"/>
            <w:r w:rsidRPr="007D6CDE">
              <w:rPr>
                <w:rFonts w:eastAsia="Calibri" w:cstheme="minorHAnsi"/>
                <w:b/>
                <w:color w:val="000000"/>
                <w:sz w:val="20"/>
                <w:szCs w:val="20"/>
                <w:lang w:val="en-US"/>
              </w:rPr>
              <w:t>cDMARDs</w:t>
            </w:r>
            <w:proofErr w:type="spellEnd"/>
          </w:p>
        </w:tc>
        <w:tc>
          <w:tcPr>
            <w:tcW w:w="1276" w:type="dxa"/>
            <w:shd w:val="clear" w:color="auto" w:fill="auto"/>
            <w:vAlign w:val="bottom"/>
          </w:tcPr>
          <w:p w14:paraId="3315CFBC"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2 mg/day</w:t>
            </w:r>
            <w:r w:rsidRPr="007D6CDE">
              <w:rPr>
                <w:rFonts w:eastAsia="Calibri" w:cstheme="minorHAnsi"/>
                <w:b/>
                <w:color w:val="000000"/>
                <w:sz w:val="20"/>
                <w:szCs w:val="20"/>
                <w:lang w:val="en-US"/>
              </w:rPr>
              <w:br/>
              <w:t xml:space="preserve">+ </w:t>
            </w:r>
            <w:proofErr w:type="spellStart"/>
            <w:r w:rsidRPr="007D6CDE">
              <w:rPr>
                <w:rFonts w:eastAsia="Calibri" w:cstheme="minorHAnsi"/>
                <w:b/>
                <w:color w:val="000000"/>
                <w:sz w:val="20"/>
                <w:szCs w:val="20"/>
                <w:lang w:val="en-US"/>
              </w:rPr>
              <w:t>cDMARDs</w:t>
            </w:r>
            <w:proofErr w:type="spellEnd"/>
          </w:p>
        </w:tc>
        <w:tc>
          <w:tcPr>
            <w:tcW w:w="1418" w:type="dxa"/>
            <w:shd w:val="clear" w:color="auto" w:fill="auto"/>
            <w:vAlign w:val="bottom"/>
          </w:tcPr>
          <w:p w14:paraId="66CF3696" w14:textId="77777777" w:rsidR="00A6463E" w:rsidRPr="007D6CDE" w:rsidRDefault="00A6463E" w:rsidP="00305EBA">
            <w:pPr>
              <w:spacing w:before="40" w:after="40" w:line="240" w:lineRule="auto"/>
              <w:jc w:val="center"/>
              <w:rPr>
                <w:rFonts w:eastAsia="Calibri" w:cstheme="minorHAnsi"/>
                <w:b/>
                <w:color w:val="000000"/>
                <w:sz w:val="20"/>
                <w:szCs w:val="20"/>
                <w:lang w:val="en-US"/>
              </w:rPr>
            </w:pPr>
            <w:r w:rsidRPr="007D6CDE">
              <w:rPr>
                <w:rFonts w:eastAsia="Calibri" w:cstheme="minorHAnsi"/>
                <w:b/>
                <w:color w:val="000000"/>
                <w:sz w:val="20"/>
                <w:szCs w:val="20"/>
                <w:lang w:val="en-US"/>
              </w:rPr>
              <w:t>OLUMIANT</w:t>
            </w:r>
            <w:r w:rsidRPr="007D6CDE">
              <w:rPr>
                <w:rFonts w:eastAsia="Calibri" w:cstheme="minorHAnsi"/>
                <w:b/>
                <w:color w:val="000000"/>
                <w:sz w:val="20"/>
                <w:szCs w:val="20"/>
                <w:lang w:val="en-US"/>
              </w:rPr>
              <w:br/>
              <w:t>4</w:t>
            </w:r>
            <w:r w:rsidRPr="007D6CDE">
              <w:rPr>
                <w:rFonts w:eastAsia="Calibri" w:cstheme="minorHAnsi"/>
                <w:color w:val="000000"/>
                <w:sz w:val="20"/>
                <w:lang w:val="en-US"/>
              </w:rPr>
              <w:t> </w:t>
            </w:r>
            <w:r w:rsidRPr="007D6CDE">
              <w:rPr>
                <w:rFonts w:eastAsia="Calibri" w:cstheme="minorHAnsi"/>
                <w:b/>
                <w:color w:val="000000"/>
                <w:sz w:val="20"/>
                <w:szCs w:val="20"/>
                <w:lang w:val="en-US"/>
              </w:rPr>
              <w:t>mg/day</w:t>
            </w:r>
            <w:r w:rsidRPr="007D6CDE">
              <w:rPr>
                <w:rFonts w:eastAsia="Calibri" w:cstheme="minorHAnsi"/>
                <w:b/>
                <w:color w:val="000000"/>
                <w:sz w:val="20"/>
                <w:szCs w:val="20"/>
                <w:lang w:val="en-US"/>
              </w:rPr>
              <w:br/>
              <w:t xml:space="preserve">+ </w:t>
            </w:r>
            <w:proofErr w:type="spellStart"/>
            <w:r w:rsidRPr="007D6CDE">
              <w:rPr>
                <w:rFonts w:eastAsia="Calibri" w:cstheme="minorHAnsi"/>
                <w:b/>
                <w:color w:val="000000"/>
                <w:sz w:val="20"/>
                <w:szCs w:val="20"/>
                <w:lang w:val="en-US"/>
              </w:rPr>
              <w:t>cDMARDs</w:t>
            </w:r>
            <w:proofErr w:type="spellEnd"/>
          </w:p>
        </w:tc>
      </w:tr>
      <w:tr w:rsidR="00A6463E" w:rsidRPr="000C4E6C" w14:paraId="41C9DAAD" w14:textId="77777777" w:rsidTr="00A6463E">
        <w:trPr>
          <w:trHeight w:val="269"/>
        </w:trPr>
        <w:tc>
          <w:tcPr>
            <w:tcW w:w="1276" w:type="dxa"/>
            <w:shd w:val="clear" w:color="auto" w:fill="auto"/>
            <w:vAlign w:val="bottom"/>
          </w:tcPr>
          <w:p w14:paraId="367A3013"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N</w:t>
            </w:r>
          </w:p>
        </w:tc>
        <w:tc>
          <w:tcPr>
            <w:tcW w:w="1346" w:type="dxa"/>
            <w:shd w:val="clear" w:color="auto" w:fill="auto"/>
            <w:vAlign w:val="bottom"/>
          </w:tcPr>
          <w:p w14:paraId="08930A65"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228</w:t>
            </w:r>
          </w:p>
        </w:tc>
        <w:tc>
          <w:tcPr>
            <w:tcW w:w="1347" w:type="dxa"/>
            <w:shd w:val="clear" w:color="auto" w:fill="auto"/>
            <w:vAlign w:val="bottom"/>
          </w:tcPr>
          <w:p w14:paraId="0C026EBB"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229</w:t>
            </w:r>
          </w:p>
        </w:tc>
        <w:tc>
          <w:tcPr>
            <w:tcW w:w="1347" w:type="dxa"/>
            <w:shd w:val="clear" w:color="auto" w:fill="auto"/>
            <w:vAlign w:val="bottom"/>
          </w:tcPr>
          <w:p w14:paraId="545EAB96"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227</w:t>
            </w:r>
          </w:p>
        </w:tc>
        <w:tc>
          <w:tcPr>
            <w:tcW w:w="1346" w:type="dxa"/>
            <w:shd w:val="clear" w:color="auto" w:fill="auto"/>
            <w:vAlign w:val="bottom"/>
          </w:tcPr>
          <w:p w14:paraId="4EE98769"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176</w:t>
            </w:r>
          </w:p>
        </w:tc>
        <w:tc>
          <w:tcPr>
            <w:tcW w:w="1276" w:type="dxa"/>
            <w:shd w:val="clear" w:color="auto" w:fill="auto"/>
            <w:vAlign w:val="bottom"/>
          </w:tcPr>
          <w:p w14:paraId="6FFCB2E4"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174</w:t>
            </w:r>
          </w:p>
        </w:tc>
        <w:tc>
          <w:tcPr>
            <w:tcW w:w="1418" w:type="dxa"/>
            <w:shd w:val="clear" w:color="auto" w:fill="auto"/>
            <w:vAlign w:val="bottom"/>
          </w:tcPr>
          <w:p w14:paraId="4C67B64F" w14:textId="77777777" w:rsidR="00A6463E" w:rsidRPr="004468BE" w:rsidRDefault="00A6463E" w:rsidP="00305EBA">
            <w:pPr>
              <w:spacing w:before="40" w:after="40" w:line="240" w:lineRule="auto"/>
              <w:jc w:val="center"/>
              <w:rPr>
                <w:rFonts w:eastAsia="Calibri" w:cstheme="minorHAnsi"/>
                <w:b/>
                <w:color w:val="000000"/>
                <w:sz w:val="20"/>
                <w:szCs w:val="20"/>
                <w:lang w:val="en-US"/>
              </w:rPr>
            </w:pPr>
            <w:r w:rsidRPr="004468BE">
              <w:rPr>
                <w:rFonts w:eastAsia="Calibri" w:cstheme="minorHAnsi"/>
                <w:b/>
                <w:color w:val="000000"/>
                <w:sz w:val="20"/>
                <w:szCs w:val="20"/>
                <w:lang w:val="en-US"/>
              </w:rPr>
              <w:t>177</w:t>
            </w:r>
          </w:p>
        </w:tc>
      </w:tr>
      <w:tr w:rsidR="00A6463E" w:rsidRPr="000C4E6C" w14:paraId="0E489B84" w14:textId="77777777" w:rsidTr="00A6463E">
        <w:trPr>
          <w:trHeight w:val="260"/>
        </w:trPr>
        <w:tc>
          <w:tcPr>
            <w:tcW w:w="9356" w:type="dxa"/>
            <w:gridSpan w:val="7"/>
            <w:shd w:val="clear" w:color="auto" w:fill="auto"/>
            <w:vAlign w:val="center"/>
          </w:tcPr>
          <w:p w14:paraId="77D700DA" w14:textId="77777777" w:rsidR="00A6463E" w:rsidRPr="004468BE" w:rsidRDefault="00A6463E" w:rsidP="00305EBA">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SDAI ≤3.3</w:t>
            </w:r>
            <w:r w:rsidRPr="004468BE">
              <w:rPr>
                <w:rFonts w:eastAsia="Times New Roman" w:cstheme="minorHAnsi"/>
                <w:b/>
                <w:sz w:val="20"/>
                <w:szCs w:val="20"/>
                <w:vertAlign w:val="superscript"/>
                <w:lang w:val="en-US"/>
              </w:rPr>
              <w:t>a</w:t>
            </w:r>
          </w:p>
        </w:tc>
      </w:tr>
      <w:tr w:rsidR="00A6463E" w:rsidRPr="000C4E6C" w14:paraId="48F9BF19" w14:textId="77777777" w:rsidTr="00A6463E">
        <w:trPr>
          <w:trHeight w:val="389"/>
        </w:trPr>
        <w:tc>
          <w:tcPr>
            <w:tcW w:w="1276" w:type="dxa"/>
            <w:shd w:val="clear" w:color="auto" w:fill="auto"/>
            <w:vAlign w:val="center"/>
          </w:tcPr>
          <w:p w14:paraId="1282D539"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p>
        </w:tc>
        <w:tc>
          <w:tcPr>
            <w:tcW w:w="1346" w:type="dxa"/>
            <w:shd w:val="clear" w:color="auto" w:fill="auto"/>
            <w:vAlign w:val="center"/>
          </w:tcPr>
          <w:p w14:paraId="403A9D0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1 %</w:t>
            </w:r>
          </w:p>
        </w:tc>
        <w:tc>
          <w:tcPr>
            <w:tcW w:w="1347" w:type="dxa"/>
            <w:shd w:val="clear" w:color="auto" w:fill="auto"/>
            <w:vAlign w:val="center"/>
          </w:tcPr>
          <w:p w14:paraId="23A6438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9 %</w:t>
            </w:r>
            <w:r w:rsidRPr="004468BE">
              <w:rPr>
                <w:rFonts w:eastAsia="Calibri" w:cstheme="minorHAnsi"/>
                <w:color w:val="000000"/>
                <w:sz w:val="20"/>
                <w:vertAlign w:val="superscript"/>
                <w:lang w:val="en-US"/>
              </w:rPr>
              <w:t>***</w:t>
            </w:r>
          </w:p>
        </w:tc>
        <w:tc>
          <w:tcPr>
            <w:tcW w:w="1347" w:type="dxa"/>
            <w:shd w:val="clear" w:color="auto" w:fill="auto"/>
            <w:vAlign w:val="center"/>
          </w:tcPr>
          <w:p w14:paraId="3C783CF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9 %</w:t>
            </w:r>
            <w:r w:rsidRPr="004468BE">
              <w:rPr>
                <w:rFonts w:eastAsia="Calibri" w:cstheme="minorHAnsi"/>
                <w:color w:val="000000"/>
                <w:sz w:val="20"/>
                <w:vertAlign w:val="superscript"/>
                <w:lang w:val="en-US"/>
              </w:rPr>
              <w:t>***</w:t>
            </w:r>
          </w:p>
        </w:tc>
        <w:tc>
          <w:tcPr>
            <w:tcW w:w="1346" w:type="dxa"/>
            <w:shd w:val="clear" w:color="auto" w:fill="auto"/>
            <w:vAlign w:val="center"/>
          </w:tcPr>
          <w:p w14:paraId="6BC6F9A3"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2 %</w:t>
            </w:r>
          </w:p>
        </w:tc>
        <w:tc>
          <w:tcPr>
            <w:tcW w:w="1276" w:type="dxa"/>
            <w:shd w:val="clear" w:color="auto" w:fill="auto"/>
            <w:vAlign w:val="center"/>
          </w:tcPr>
          <w:p w14:paraId="4B63C75E"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2 %</w:t>
            </w:r>
          </w:p>
        </w:tc>
        <w:tc>
          <w:tcPr>
            <w:tcW w:w="1418" w:type="dxa"/>
            <w:shd w:val="clear" w:color="auto" w:fill="auto"/>
            <w:vAlign w:val="center"/>
          </w:tcPr>
          <w:p w14:paraId="4DE4436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5 %</w:t>
            </w:r>
          </w:p>
        </w:tc>
      </w:tr>
      <w:tr w:rsidR="00A6463E" w:rsidRPr="000C4E6C" w14:paraId="055DCF76" w14:textId="77777777" w:rsidTr="00A6463E">
        <w:trPr>
          <w:trHeight w:val="389"/>
        </w:trPr>
        <w:tc>
          <w:tcPr>
            <w:tcW w:w="1276" w:type="dxa"/>
            <w:shd w:val="clear" w:color="auto" w:fill="auto"/>
            <w:vAlign w:val="center"/>
          </w:tcPr>
          <w:p w14:paraId="3024FA46"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p>
        </w:tc>
        <w:tc>
          <w:tcPr>
            <w:tcW w:w="1346" w:type="dxa"/>
            <w:shd w:val="clear" w:color="auto" w:fill="auto"/>
            <w:vAlign w:val="center"/>
          </w:tcPr>
          <w:p w14:paraId="15A22141"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4 %</w:t>
            </w:r>
          </w:p>
        </w:tc>
        <w:tc>
          <w:tcPr>
            <w:tcW w:w="1347" w:type="dxa"/>
            <w:shd w:val="clear" w:color="auto" w:fill="auto"/>
            <w:vAlign w:val="center"/>
          </w:tcPr>
          <w:p w14:paraId="07E27B9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17 %</w:t>
            </w:r>
            <w:r w:rsidRPr="004468BE">
              <w:rPr>
                <w:rFonts w:eastAsia="Calibri" w:cstheme="minorHAnsi"/>
                <w:color w:val="000000"/>
                <w:sz w:val="20"/>
                <w:vertAlign w:val="superscript"/>
                <w:lang w:val="en-US"/>
              </w:rPr>
              <w:t>***</w:t>
            </w:r>
          </w:p>
        </w:tc>
        <w:tc>
          <w:tcPr>
            <w:tcW w:w="1347" w:type="dxa"/>
            <w:shd w:val="clear" w:color="auto" w:fill="auto"/>
            <w:vAlign w:val="center"/>
          </w:tcPr>
          <w:p w14:paraId="16ABA2C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15 %</w:t>
            </w:r>
            <w:r w:rsidRPr="004468BE">
              <w:rPr>
                <w:rFonts w:eastAsia="Calibri" w:cstheme="minorHAnsi"/>
                <w:color w:val="000000"/>
                <w:sz w:val="20"/>
                <w:vertAlign w:val="superscript"/>
                <w:lang w:val="en-US"/>
              </w:rPr>
              <w:t>***</w:t>
            </w:r>
          </w:p>
        </w:tc>
        <w:tc>
          <w:tcPr>
            <w:tcW w:w="1346" w:type="dxa"/>
            <w:shd w:val="clear" w:color="auto" w:fill="auto"/>
            <w:vAlign w:val="center"/>
          </w:tcPr>
          <w:p w14:paraId="518F6C4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2 %</w:t>
            </w:r>
          </w:p>
        </w:tc>
        <w:tc>
          <w:tcPr>
            <w:tcW w:w="1276" w:type="dxa"/>
            <w:shd w:val="clear" w:color="auto" w:fill="auto"/>
            <w:vAlign w:val="center"/>
          </w:tcPr>
          <w:p w14:paraId="0638BE8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5 %</w:t>
            </w:r>
          </w:p>
        </w:tc>
        <w:tc>
          <w:tcPr>
            <w:tcW w:w="1418" w:type="dxa"/>
            <w:shd w:val="clear" w:color="auto" w:fill="auto"/>
            <w:vAlign w:val="center"/>
          </w:tcPr>
          <w:p w14:paraId="49F2DEE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9 %</w:t>
            </w:r>
            <w:r w:rsidRPr="004468BE">
              <w:rPr>
                <w:rFonts w:eastAsia="Calibri" w:cstheme="minorHAnsi"/>
                <w:color w:val="000000"/>
                <w:sz w:val="20"/>
                <w:vertAlign w:val="superscript"/>
                <w:lang w:val="en-US"/>
              </w:rPr>
              <w:t>**</w:t>
            </w:r>
          </w:p>
        </w:tc>
      </w:tr>
      <w:tr w:rsidR="00A6463E" w:rsidRPr="000C4E6C" w14:paraId="6101E473" w14:textId="77777777" w:rsidTr="00A6463E">
        <w:trPr>
          <w:trHeight w:val="260"/>
        </w:trPr>
        <w:tc>
          <w:tcPr>
            <w:tcW w:w="9356" w:type="dxa"/>
            <w:gridSpan w:val="7"/>
            <w:shd w:val="clear" w:color="auto" w:fill="auto"/>
            <w:vAlign w:val="center"/>
          </w:tcPr>
          <w:p w14:paraId="7AEC944A"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CDAI ≤2.8</w:t>
            </w:r>
            <w:r w:rsidRPr="004468BE">
              <w:rPr>
                <w:rFonts w:eastAsia="Times New Roman" w:cstheme="minorHAnsi"/>
                <w:b/>
                <w:sz w:val="20"/>
                <w:szCs w:val="20"/>
                <w:vertAlign w:val="superscript"/>
                <w:lang w:val="en-US"/>
              </w:rPr>
              <w:t>b</w:t>
            </w:r>
          </w:p>
        </w:tc>
      </w:tr>
      <w:tr w:rsidR="00A6463E" w:rsidRPr="000C4E6C" w14:paraId="3B1251FD" w14:textId="77777777" w:rsidTr="00A6463E">
        <w:tc>
          <w:tcPr>
            <w:tcW w:w="1276" w:type="dxa"/>
            <w:shd w:val="clear" w:color="auto" w:fill="auto"/>
            <w:vAlign w:val="center"/>
          </w:tcPr>
          <w:p w14:paraId="20A5FC80"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346" w:type="dxa"/>
            <w:shd w:val="clear" w:color="auto" w:fill="auto"/>
            <w:vAlign w:val="center"/>
          </w:tcPr>
          <w:p w14:paraId="1AD4837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2 %</w:t>
            </w:r>
          </w:p>
        </w:tc>
        <w:tc>
          <w:tcPr>
            <w:tcW w:w="1347" w:type="dxa"/>
            <w:shd w:val="clear" w:color="auto" w:fill="auto"/>
            <w:vAlign w:val="center"/>
          </w:tcPr>
          <w:p w14:paraId="65C4DC6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10 %</w:t>
            </w:r>
            <w:r w:rsidRPr="004468BE">
              <w:rPr>
                <w:rFonts w:eastAsia="Calibri" w:cstheme="minorHAnsi"/>
                <w:sz w:val="20"/>
                <w:szCs w:val="20"/>
                <w:vertAlign w:val="superscript"/>
                <w:lang w:val="en-US"/>
              </w:rPr>
              <w:t>***</w:t>
            </w:r>
          </w:p>
        </w:tc>
        <w:tc>
          <w:tcPr>
            <w:tcW w:w="1347" w:type="dxa"/>
            <w:shd w:val="clear" w:color="auto" w:fill="auto"/>
            <w:vAlign w:val="center"/>
          </w:tcPr>
          <w:p w14:paraId="4C472EC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9 %</w:t>
            </w:r>
            <w:r w:rsidRPr="004468BE">
              <w:rPr>
                <w:rFonts w:eastAsia="Calibri" w:cstheme="minorHAnsi"/>
                <w:sz w:val="20"/>
                <w:szCs w:val="20"/>
                <w:vertAlign w:val="superscript"/>
                <w:lang w:val="en-US"/>
              </w:rPr>
              <w:t>***</w:t>
            </w:r>
          </w:p>
        </w:tc>
        <w:tc>
          <w:tcPr>
            <w:tcW w:w="1346" w:type="dxa"/>
            <w:shd w:val="clear" w:color="auto" w:fill="auto"/>
            <w:vAlign w:val="center"/>
          </w:tcPr>
          <w:p w14:paraId="61DA9BAD"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2 %</w:t>
            </w:r>
          </w:p>
        </w:tc>
        <w:tc>
          <w:tcPr>
            <w:tcW w:w="1276" w:type="dxa"/>
            <w:shd w:val="clear" w:color="auto" w:fill="auto"/>
            <w:vAlign w:val="center"/>
          </w:tcPr>
          <w:p w14:paraId="1A9320B4"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3 %</w:t>
            </w:r>
          </w:p>
        </w:tc>
        <w:tc>
          <w:tcPr>
            <w:tcW w:w="1418" w:type="dxa"/>
            <w:shd w:val="clear" w:color="auto" w:fill="auto"/>
            <w:vAlign w:val="center"/>
          </w:tcPr>
          <w:p w14:paraId="195A5F9A"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6 %</w:t>
            </w:r>
          </w:p>
        </w:tc>
      </w:tr>
      <w:tr w:rsidR="00A6463E" w:rsidRPr="000C4E6C" w14:paraId="01CFC5D2" w14:textId="77777777" w:rsidTr="00A6463E">
        <w:tc>
          <w:tcPr>
            <w:tcW w:w="1276" w:type="dxa"/>
            <w:shd w:val="clear" w:color="auto" w:fill="auto"/>
            <w:vAlign w:val="center"/>
          </w:tcPr>
          <w:p w14:paraId="48E035D8"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346" w:type="dxa"/>
            <w:shd w:val="clear" w:color="auto" w:fill="auto"/>
            <w:vAlign w:val="center"/>
          </w:tcPr>
          <w:p w14:paraId="5C7E7EA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4 %</w:t>
            </w:r>
          </w:p>
        </w:tc>
        <w:tc>
          <w:tcPr>
            <w:tcW w:w="1347" w:type="dxa"/>
            <w:shd w:val="clear" w:color="auto" w:fill="auto"/>
            <w:vAlign w:val="center"/>
          </w:tcPr>
          <w:p w14:paraId="7BCCB43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15 %</w:t>
            </w:r>
            <w:r w:rsidRPr="004468BE">
              <w:rPr>
                <w:rFonts w:eastAsia="Calibri" w:cstheme="minorHAnsi"/>
                <w:sz w:val="20"/>
                <w:szCs w:val="20"/>
                <w:vertAlign w:val="superscript"/>
                <w:lang w:val="en-US"/>
              </w:rPr>
              <w:t>***</w:t>
            </w:r>
          </w:p>
        </w:tc>
        <w:tc>
          <w:tcPr>
            <w:tcW w:w="1347" w:type="dxa"/>
            <w:shd w:val="clear" w:color="auto" w:fill="auto"/>
            <w:vAlign w:val="center"/>
          </w:tcPr>
          <w:p w14:paraId="77297D23"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15 %</w:t>
            </w:r>
            <w:r w:rsidRPr="004468BE">
              <w:rPr>
                <w:rFonts w:eastAsia="Calibri" w:cstheme="minorHAnsi"/>
                <w:sz w:val="20"/>
                <w:szCs w:val="20"/>
                <w:vertAlign w:val="superscript"/>
                <w:lang w:val="en-US"/>
              </w:rPr>
              <w:t>***</w:t>
            </w:r>
          </w:p>
        </w:tc>
        <w:tc>
          <w:tcPr>
            <w:tcW w:w="1346" w:type="dxa"/>
            <w:shd w:val="clear" w:color="auto" w:fill="auto"/>
            <w:vAlign w:val="center"/>
          </w:tcPr>
          <w:p w14:paraId="0DB2908B"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3 %</w:t>
            </w:r>
          </w:p>
        </w:tc>
        <w:tc>
          <w:tcPr>
            <w:tcW w:w="1276" w:type="dxa"/>
            <w:shd w:val="clear" w:color="auto" w:fill="auto"/>
            <w:vAlign w:val="center"/>
          </w:tcPr>
          <w:p w14:paraId="165FDC78"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5 %</w:t>
            </w:r>
          </w:p>
        </w:tc>
        <w:tc>
          <w:tcPr>
            <w:tcW w:w="1418" w:type="dxa"/>
            <w:shd w:val="clear" w:color="auto" w:fill="auto"/>
            <w:vAlign w:val="center"/>
          </w:tcPr>
          <w:p w14:paraId="7699B55E"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9 %</w:t>
            </w:r>
            <w:r w:rsidRPr="004468BE">
              <w:rPr>
                <w:rFonts w:eastAsia="Calibri" w:cstheme="minorHAnsi"/>
                <w:sz w:val="20"/>
                <w:szCs w:val="20"/>
                <w:vertAlign w:val="superscript"/>
                <w:lang w:val="en-US"/>
              </w:rPr>
              <w:t>*</w:t>
            </w:r>
          </w:p>
        </w:tc>
      </w:tr>
      <w:tr w:rsidR="00A6463E" w:rsidRPr="000C4E6C" w14:paraId="55CE29FF" w14:textId="77777777" w:rsidTr="00A6463E">
        <w:trPr>
          <w:trHeight w:val="188"/>
        </w:trPr>
        <w:tc>
          <w:tcPr>
            <w:tcW w:w="9356" w:type="dxa"/>
            <w:gridSpan w:val="7"/>
            <w:shd w:val="clear" w:color="auto" w:fill="auto"/>
            <w:vAlign w:val="center"/>
          </w:tcPr>
          <w:p w14:paraId="1AE4C7B5"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DAS28-hsCRP ≤3.2</w:t>
            </w:r>
            <w:r w:rsidRPr="004468BE">
              <w:rPr>
                <w:rFonts w:eastAsia="Times New Roman" w:cstheme="minorHAnsi"/>
                <w:b/>
                <w:sz w:val="20"/>
                <w:szCs w:val="20"/>
                <w:vertAlign w:val="superscript"/>
                <w:lang w:val="en-US"/>
              </w:rPr>
              <w:t>c</w:t>
            </w:r>
          </w:p>
        </w:tc>
      </w:tr>
      <w:tr w:rsidR="00A6463E" w:rsidRPr="000C4E6C" w14:paraId="6DC22D62" w14:textId="77777777" w:rsidTr="00A6463E">
        <w:trPr>
          <w:trHeight w:val="314"/>
        </w:trPr>
        <w:tc>
          <w:tcPr>
            <w:tcW w:w="1276" w:type="dxa"/>
            <w:shd w:val="clear" w:color="auto" w:fill="auto"/>
            <w:vAlign w:val="center"/>
          </w:tcPr>
          <w:p w14:paraId="612DF1CD"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12</w:t>
            </w:r>
          </w:p>
        </w:tc>
        <w:tc>
          <w:tcPr>
            <w:tcW w:w="1346" w:type="dxa"/>
            <w:shd w:val="clear" w:color="auto" w:fill="auto"/>
            <w:vAlign w:val="center"/>
          </w:tcPr>
          <w:p w14:paraId="3AA2415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17 %</w:t>
            </w:r>
          </w:p>
        </w:tc>
        <w:tc>
          <w:tcPr>
            <w:tcW w:w="1347" w:type="dxa"/>
            <w:shd w:val="clear" w:color="auto" w:fill="auto"/>
            <w:vAlign w:val="center"/>
          </w:tcPr>
          <w:p w14:paraId="7DB1170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36 %</w:t>
            </w:r>
            <w:r w:rsidRPr="004468BE">
              <w:rPr>
                <w:rFonts w:eastAsia="Calibri" w:cstheme="minorHAnsi"/>
                <w:color w:val="000000"/>
                <w:sz w:val="20"/>
                <w:vertAlign w:val="superscript"/>
                <w:lang w:val="en-US"/>
              </w:rPr>
              <w:t>***</w:t>
            </w:r>
          </w:p>
        </w:tc>
        <w:tc>
          <w:tcPr>
            <w:tcW w:w="1347" w:type="dxa"/>
            <w:shd w:val="clear" w:color="auto" w:fill="auto"/>
            <w:vAlign w:val="center"/>
          </w:tcPr>
          <w:p w14:paraId="0DCCFD0D"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39 %</w:t>
            </w:r>
            <w:r w:rsidRPr="004468BE">
              <w:rPr>
                <w:rFonts w:eastAsia="Calibri" w:cstheme="minorHAnsi"/>
                <w:color w:val="000000"/>
                <w:sz w:val="20"/>
                <w:vertAlign w:val="superscript"/>
                <w:lang w:val="en-US"/>
              </w:rPr>
              <w:t>***</w:t>
            </w:r>
          </w:p>
        </w:tc>
        <w:tc>
          <w:tcPr>
            <w:tcW w:w="1346" w:type="dxa"/>
            <w:shd w:val="clear" w:color="auto" w:fill="auto"/>
            <w:vAlign w:val="center"/>
          </w:tcPr>
          <w:p w14:paraId="0C14944C"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9 %</w:t>
            </w:r>
          </w:p>
        </w:tc>
        <w:tc>
          <w:tcPr>
            <w:tcW w:w="1276" w:type="dxa"/>
            <w:shd w:val="clear" w:color="auto" w:fill="auto"/>
            <w:vAlign w:val="center"/>
          </w:tcPr>
          <w:p w14:paraId="0C89E06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24 %</w:t>
            </w:r>
            <w:r w:rsidRPr="004468BE">
              <w:rPr>
                <w:rFonts w:eastAsia="Calibri" w:cstheme="minorHAnsi"/>
                <w:color w:val="000000"/>
                <w:sz w:val="20"/>
                <w:vertAlign w:val="superscript"/>
                <w:lang w:val="en-US"/>
              </w:rPr>
              <w:t>***</w:t>
            </w:r>
          </w:p>
        </w:tc>
        <w:tc>
          <w:tcPr>
            <w:tcW w:w="1418" w:type="dxa"/>
            <w:shd w:val="clear" w:color="auto" w:fill="auto"/>
            <w:vAlign w:val="center"/>
          </w:tcPr>
          <w:p w14:paraId="2072C37C"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32 %</w:t>
            </w:r>
            <w:r w:rsidRPr="004468BE">
              <w:rPr>
                <w:rFonts w:eastAsia="Calibri" w:cstheme="minorHAnsi"/>
                <w:color w:val="000000"/>
                <w:sz w:val="20"/>
                <w:vertAlign w:val="superscript"/>
                <w:lang w:val="en-US"/>
              </w:rPr>
              <w:t>***</w:t>
            </w:r>
          </w:p>
        </w:tc>
      </w:tr>
      <w:tr w:rsidR="00A6463E" w:rsidRPr="000C4E6C" w14:paraId="05867874" w14:textId="77777777" w:rsidTr="00A6463E">
        <w:trPr>
          <w:trHeight w:val="320"/>
        </w:trPr>
        <w:tc>
          <w:tcPr>
            <w:tcW w:w="1276" w:type="dxa"/>
            <w:shd w:val="clear" w:color="auto" w:fill="auto"/>
            <w:vAlign w:val="center"/>
          </w:tcPr>
          <w:p w14:paraId="4D53F16D" w14:textId="77777777" w:rsidR="00A6463E" w:rsidRPr="004468BE" w:rsidRDefault="00A6463E" w:rsidP="00A6463E">
            <w:pPr>
              <w:spacing w:before="40" w:after="40" w:line="240" w:lineRule="auto"/>
              <w:jc w:val="center"/>
              <w:rPr>
                <w:rFonts w:eastAsia="Calibri" w:cstheme="minorHAnsi"/>
                <w:color w:val="000000"/>
                <w:sz w:val="18"/>
                <w:szCs w:val="18"/>
                <w:lang w:val="en-US"/>
              </w:rPr>
            </w:pPr>
            <w:r w:rsidRPr="004468BE">
              <w:rPr>
                <w:rFonts w:eastAsia="Calibri" w:cstheme="minorHAnsi"/>
                <w:color w:val="000000"/>
                <w:sz w:val="18"/>
                <w:szCs w:val="18"/>
                <w:lang w:val="en-US"/>
              </w:rPr>
              <w:t>Week 24</w:t>
            </w:r>
          </w:p>
        </w:tc>
        <w:tc>
          <w:tcPr>
            <w:tcW w:w="1346" w:type="dxa"/>
            <w:shd w:val="clear" w:color="auto" w:fill="auto"/>
            <w:vAlign w:val="center"/>
          </w:tcPr>
          <w:p w14:paraId="2861C0EF"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24 %</w:t>
            </w:r>
          </w:p>
        </w:tc>
        <w:tc>
          <w:tcPr>
            <w:tcW w:w="1347" w:type="dxa"/>
            <w:shd w:val="clear" w:color="auto" w:fill="auto"/>
            <w:vAlign w:val="center"/>
          </w:tcPr>
          <w:p w14:paraId="49335E99"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46 %</w:t>
            </w:r>
            <w:r w:rsidRPr="004468BE">
              <w:rPr>
                <w:rFonts w:eastAsia="Calibri" w:cstheme="minorHAnsi"/>
                <w:color w:val="000000"/>
                <w:sz w:val="20"/>
                <w:vertAlign w:val="superscript"/>
                <w:lang w:val="en-US"/>
              </w:rPr>
              <w:t>***</w:t>
            </w:r>
          </w:p>
        </w:tc>
        <w:tc>
          <w:tcPr>
            <w:tcW w:w="1347" w:type="dxa"/>
            <w:shd w:val="clear" w:color="auto" w:fill="auto"/>
            <w:vAlign w:val="center"/>
          </w:tcPr>
          <w:p w14:paraId="52C10240"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52 %</w:t>
            </w:r>
            <w:r w:rsidRPr="004468BE">
              <w:rPr>
                <w:rFonts w:eastAsia="Calibri" w:cstheme="minorHAnsi"/>
                <w:color w:val="000000"/>
                <w:sz w:val="20"/>
                <w:vertAlign w:val="superscript"/>
                <w:lang w:val="en-US"/>
              </w:rPr>
              <w:t>***</w:t>
            </w:r>
          </w:p>
        </w:tc>
        <w:tc>
          <w:tcPr>
            <w:tcW w:w="1346" w:type="dxa"/>
            <w:shd w:val="clear" w:color="auto" w:fill="auto"/>
            <w:vAlign w:val="center"/>
          </w:tcPr>
          <w:p w14:paraId="518035F4"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11 %</w:t>
            </w:r>
          </w:p>
        </w:tc>
        <w:tc>
          <w:tcPr>
            <w:tcW w:w="1276" w:type="dxa"/>
            <w:shd w:val="clear" w:color="auto" w:fill="auto"/>
            <w:vAlign w:val="center"/>
          </w:tcPr>
          <w:p w14:paraId="3EA2B047"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20 %</w:t>
            </w:r>
            <w:r w:rsidRPr="004468BE">
              <w:rPr>
                <w:rFonts w:eastAsia="Calibri" w:cstheme="minorHAnsi"/>
                <w:color w:val="000000"/>
                <w:sz w:val="20"/>
                <w:vertAlign w:val="superscript"/>
                <w:lang w:val="en-US"/>
              </w:rPr>
              <w:t>*</w:t>
            </w:r>
          </w:p>
        </w:tc>
        <w:tc>
          <w:tcPr>
            <w:tcW w:w="1418" w:type="dxa"/>
            <w:shd w:val="clear" w:color="auto" w:fill="auto"/>
            <w:vAlign w:val="center"/>
          </w:tcPr>
          <w:p w14:paraId="02515715" w14:textId="77777777" w:rsidR="00A6463E" w:rsidRPr="004468BE" w:rsidRDefault="00A6463E" w:rsidP="00A6463E">
            <w:pPr>
              <w:spacing w:before="40" w:after="40" w:line="240" w:lineRule="auto"/>
              <w:jc w:val="center"/>
              <w:rPr>
                <w:rFonts w:eastAsia="Calibri" w:cstheme="minorHAnsi"/>
                <w:color w:val="000000"/>
                <w:sz w:val="20"/>
                <w:szCs w:val="20"/>
                <w:lang w:val="en-US"/>
              </w:rPr>
            </w:pPr>
            <w:r w:rsidRPr="004468BE">
              <w:rPr>
                <w:rFonts w:eastAsia="Calibri" w:cstheme="minorHAnsi"/>
                <w:color w:val="000000"/>
                <w:sz w:val="20"/>
                <w:lang w:val="en-US"/>
              </w:rPr>
              <w:t>33 %</w:t>
            </w:r>
            <w:r w:rsidRPr="004468BE">
              <w:rPr>
                <w:rFonts w:eastAsia="Calibri" w:cstheme="minorHAnsi"/>
                <w:color w:val="000000"/>
                <w:sz w:val="20"/>
                <w:vertAlign w:val="superscript"/>
                <w:lang w:val="en-US"/>
              </w:rPr>
              <w:t>***</w:t>
            </w:r>
          </w:p>
        </w:tc>
      </w:tr>
      <w:tr w:rsidR="00A6463E" w:rsidRPr="000C4E6C" w14:paraId="1336B9BA" w14:textId="77777777" w:rsidTr="00A6463E">
        <w:trPr>
          <w:trHeight w:val="188"/>
        </w:trPr>
        <w:tc>
          <w:tcPr>
            <w:tcW w:w="9356" w:type="dxa"/>
            <w:gridSpan w:val="7"/>
            <w:shd w:val="clear" w:color="auto" w:fill="auto"/>
            <w:vAlign w:val="center"/>
          </w:tcPr>
          <w:p w14:paraId="12C7B9FC"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t>DAS28-ESR ≤3.2</w:t>
            </w:r>
            <w:r w:rsidRPr="004468BE">
              <w:rPr>
                <w:rFonts w:eastAsia="Times New Roman" w:cstheme="minorHAnsi"/>
                <w:b/>
                <w:sz w:val="20"/>
                <w:szCs w:val="20"/>
                <w:vertAlign w:val="superscript"/>
                <w:lang w:val="en-US"/>
              </w:rPr>
              <w:t>d</w:t>
            </w:r>
          </w:p>
        </w:tc>
      </w:tr>
      <w:tr w:rsidR="00A6463E" w:rsidRPr="000C4E6C" w14:paraId="119CA36B" w14:textId="77777777" w:rsidTr="00A6463E">
        <w:tc>
          <w:tcPr>
            <w:tcW w:w="1276" w:type="dxa"/>
            <w:shd w:val="clear" w:color="auto" w:fill="auto"/>
            <w:vAlign w:val="center"/>
          </w:tcPr>
          <w:p w14:paraId="357FE036"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346" w:type="dxa"/>
            <w:shd w:val="clear" w:color="auto" w:fill="auto"/>
            <w:vAlign w:val="center"/>
          </w:tcPr>
          <w:p w14:paraId="05C94C54"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7 %</w:t>
            </w:r>
          </w:p>
        </w:tc>
        <w:tc>
          <w:tcPr>
            <w:tcW w:w="1347" w:type="dxa"/>
            <w:shd w:val="clear" w:color="auto" w:fill="auto"/>
            <w:vAlign w:val="center"/>
          </w:tcPr>
          <w:p w14:paraId="1681E013"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21 %</w:t>
            </w:r>
            <w:r w:rsidRPr="004468BE">
              <w:rPr>
                <w:rFonts w:eastAsia="Calibri" w:cstheme="minorHAnsi"/>
                <w:sz w:val="20"/>
                <w:szCs w:val="20"/>
                <w:vertAlign w:val="superscript"/>
                <w:lang w:val="en-US"/>
              </w:rPr>
              <w:t>***</w:t>
            </w:r>
          </w:p>
        </w:tc>
        <w:tc>
          <w:tcPr>
            <w:tcW w:w="1347" w:type="dxa"/>
            <w:shd w:val="clear" w:color="auto" w:fill="auto"/>
            <w:vAlign w:val="center"/>
          </w:tcPr>
          <w:p w14:paraId="0F7DFD2A"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22 %</w:t>
            </w:r>
            <w:r w:rsidRPr="004468BE">
              <w:rPr>
                <w:rFonts w:eastAsia="Calibri" w:cstheme="minorHAnsi"/>
                <w:sz w:val="20"/>
                <w:szCs w:val="20"/>
                <w:vertAlign w:val="superscript"/>
                <w:lang w:val="en-US"/>
              </w:rPr>
              <w:t>***</w:t>
            </w:r>
          </w:p>
        </w:tc>
        <w:tc>
          <w:tcPr>
            <w:tcW w:w="1346" w:type="dxa"/>
            <w:shd w:val="clear" w:color="auto" w:fill="auto"/>
            <w:vAlign w:val="center"/>
          </w:tcPr>
          <w:p w14:paraId="6F65F9F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4 %</w:t>
            </w:r>
          </w:p>
        </w:tc>
        <w:tc>
          <w:tcPr>
            <w:tcW w:w="1276" w:type="dxa"/>
            <w:shd w:val="clear" w:color="auto" w:fill="auto"/>
            <w:vAlign w:val="center"/>
          </w:tcPr>
          <w:p w14:paraId="3632698B"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13 %</w:t>
            </w:r>
            <w:r w:rsidRPr="004468BE">
              <w:rPr>
                <w:rFonts w:eastAsia="Calibri" w:cstheme="minorHAnsi"/>
                <w:sz w:val="20"/>
                <w:szCs w:val="20"/>
                <w:vertAlign w:val="superscript"/>
                <w:lang w:val="en-US"/>
              </w:rPr>
              <w:t>**</w:t>
            </w:r>
          </w:p>
        </w:tc>
        <w:tc>
          <w:tcPr>
            <w:tcW w:w="1418" w:type="dxa"/>
            <w:shd w:val="clear" w:color="auto" w:fill="auto"/>
            <w:vAlign w:val="center"/>
          </w:tcPr>
          <w:p w14:paraId="4707CEFD"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12 %</w:t>
            </w:r>
            <w:r w:rsidRPr="004468BE">
              <w:rPr>
                <w:rFonts w:eastAsia="Calibri" w:cstheme="minorHAnsi"/>
                <w:sz w:val="20"/>
                <w:szCs w:val="20"/>
                <w:vertAlign w:val="superscript"/>
                <w:lang w:val="en-US"/>
              </w:rPr>
              <w:t>**</w:t>
            </w:r>
          </w:p>
        </w:tc>
      </w:tr>
      <w:tr w:rsidR="00A6463E" w:rsidRPr="000C4E6C" w14:paraId="0C17ABFD" w14:textId="77777777" w:rsidTr="00A6463E">
        <w:tc>
          <w:tcPr>
            <w:tcW w:w="1276" w:type="dxa"/>
            <w:shd w:val="clear" w:color="auto" w:fill="auto"/>
            <w:vAlign w:val="center"/>
          </w:tcPr>
          <w:p w14:paraId="4135FBBD"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346" w:type="dxa"/>
            <w:shd w:val="clear" w:color="auto" w:fill="auto"/>
            <w:vAlign w:val="center"/>
          </w:tcPr>
          <w:p w14:paraId="4F076085"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10 %</w:t>
            </w:r>
          </w:p>
        </w:tc>
        <w:tc>
          <w:tcPr>
            <w:tcW w:w="1347" w:type="dxa"/>
            <w:shd w:val="clear" w:color="auto" w:fill="auto"/>
            <w:vAlign w:val="center"/>
          </w:tcPr>
          <w:p w14:paraId="690EA68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29 %</w:t>
            </w:r>
            <w:r w:rsidRPr="004468BE">
              <w:rPr>
                <w:rFonts w:eastAsia="Calibri" w:cstheme="minorHAnsi"/>
                <w:sz w:val="20"/>
                <w:szCs w:val="20"/>
                <w:vertAlign w:val="superscript"/>
                <w:lang w:val="en-US"/>
              </w:rPr>
              <w:t>***</w:t>
            </w:r>
          </w:p>
        </w:tc>
        <w:tc>
          <w:tcPr>
            <w:tcW w:w="1347" w:type="dxa"/>
            <w:shd w:val="clear" w:color="auto" w:fill="auto"/>
            <w:vAlign w:val="center"/>
          </w:tcPr>
          <w:p w14:paraId="72169B0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32 %</w:t>
            </w:r>
            <w:r w:rsidRPr="004468BE">
              <w:rPr>
                <w:rFonts w:eastAsia="Calibri" w:cstheme="minorHAnsi"/>
                <w:sz w:val="20"/>
                <w:szCs w:val="20"/>
                <w:vertAlign w:val="superscript"/>
                <w:lang w:val="en-US"/>
              </w:rPr>
              <w:t>***</w:t>
            </w:r>
          </w:p>
        </w:tc>
        <w:tc>
          <w:tcPr>
            <w:tcW w:w="1346" w:type="dxa"/>
            <w:shd w:val="clear" w:color="auto" w:fill="auto"/>
            <w:vAlign w:val="center"/>
          </w:tcPr>
          <w:p w14:paraId="684702AF"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7 %</w:t>
            </w:r>
          </w:p>
        </w:tc>
        <w:tc>
          <w:tcPr>
            <w:tcW w:w="1276" w:type="dxa"/>
            <w:shd w:val="clear" w:color="auto" w:fill="auto"/>
            <w:vAlign w:val="center"/>
          </w:tcPr>
          <w:p w14:paraId="073EE00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11 %</w:t>
            </w:r>
          </w:p>
        </w:tc>
        <w:tc>
          <w:tcPr>
            <w:tcW w:w="1418" w:type="dxa"/>
            <w:shd w:val="clear" w:color="auto" w:fill="auto"/>
            <w:vAlign w:val="center"/>
          </w:tcPr>
          <w:p w14:paraId="12240D1C"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17 %</w:t>
            </w:r>
            <w:r w:rsidRPr="004468BE">
              <w:rPr>
                <w:rFonts w:eastAsia="Calibri" w:cstheme="minorHAnsi"/>
                <w:sz w:val="20"/>
                <w:szCs w:val="20"/>
                <w:vertAlign w:val="superscript"/>
                <w:lang w:val="en-US"/>
              </w:rPr>
              <w:t>**</w:t>
            </w:r>
          </w:p>
        </w:tc>
      </w:tr>
      <w:tr w:rsidR="00A6463E" w:rsidRPr="000C4E6C" w14:paraId="0D504BC0" w14:textId="77777777" w:rsidTr="00A6463E">
        <w:trPr>
          <w:trHeight w:val="188"/>
        </w:trPr>
        <w:tc>
          <w:tcPr>
            <w:tcW w:w="9356" w:type="dxa"/>
            <w:gridSpan w:val="7"/>
            <w:shd w:val="clear" w:color="auto" w:fill="auto"/>
            <w:vAlign w:val="center"/>
          </w:tcPr>
          <w:p w14:paraId="032DC0F6" w14:textId="77777777" w:rsidR="00A6463E" w:rsidRPr="004468BE" w:rsidRDefault="00A6463E" w:rsidP="00A6463E">
            <w:pPr>
              <w:spacing w:after="0" w:line="240" w:lineRule="auto"/>
              <w:rPr>
                <w:rFonts w:eastAsia="Times New Roman" w:cstheme="minorHAnsi"/>
                <w:b/>
                <w:sz w:val="20"/>
                <w:szCs w:val="20"/>
                <w:lang w:val="en-US"/>
              </w:rPr>
            </w:pPr>
            <w:r w:rsidRPr="004468BE">
              <w:rPr>
                <w:rFonts w:eastAsia="Times New Roman" w:cstheme="minorHAnsi"/>
                <w:b/>
                <w:sz w:val="20"/>
                <w:szCs w:val="20"/>
                <w:lang w:val="en-US"/>
              </w:rPr>
              <w:lastRenderedPageBreak/>
              <w:t>HAQ-DI Minimum Clinically Important Difference (decrease in score of ≥0.30):</w:t>
            </w:r>
            <w:r w:rsidRPr="004468BE">
              <w:rPr>
                <w:rFonts w:eastAsia="Times New Roman" w:cstheme="minorHAnsi"/>
                <w:b/>
                <w:sz w:val="20"/>
                <w:szCs w:val="20"/>
                <w:vertAlign w:val="superscript"/>
                <w:lang w:val="en-US"/>
              </w:rPr>
              <w:t>e</w:t>
            </w:r>
          </w:p>
        </w:tc>
      </w:tr>
      <w:tr w:rsidR="00A6463E" w:rsidRPr="000C4E6C" w14:paraId="2B885054" w14:textId="77777777" w:rsidTr="00A6463E">
        <w:tc>
          <w:tcPr>
            <w:tcW w:w="1276" w:type="dxa"/>
            <w:shd w:val="clear" w:color="auto" w:fill="auto"/>
            <w:vAlign w:val="center"/>
          </w:tcPr>
          <w:p w14:paraId="5C76C8F0"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12</w:t>
            </w:r>
          </w:p>
        </w:tc>
        <w:tc>
          <w:tcPr>
            <w:tcW w:w="1346" w:type="dxa"/>
            <w:shd w:val="clear" w:color="auto" w:fill="auto"/>
            <w:vAlign w:val="center"/>
          </w:tcPr>
          <w:p w14:paraId="540774E5"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44 %</w:t>
            </w:r>
          </w:p>
        </w:tc>
        <w:tc>
          <w:tcPr>
            <w:tcW w:w="1347" w:type="dxa"/>
            <w:shd w:val="clear" w:color="auto" w:fill="auto"/>
            <w:vAlign w:val="center"/>
          </w:tcPr>
          <w:p w14:paraId="3D1C5E5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60 %</w:t>
            </w:r>
            <w:r w:rsidRPr="004468BE">
              <w:rPr>
                <w:rFonts w:eastAsia="Calibri" w:cstheme="minorHAnsi"/>
                <w:sz w:val="20"/>
                <w:szCs w:val="20"/>
                <w:vertAlign w:val="superscript"/>
                <w:lang w:val="en-US"/>
              </w:rPr>
              <w:t>***</w:t>
            </w:r>
          </w:p>
        </w:tc>
        <w:tc>
          <w:tcPr>
            <w:tcW w:w="1347" w:type="dxa"/>
            <w:shd w:val="clear" w:color="auto" w:fill="auto"/>
            <w:vAlign w:val="center"/>
          </w:tcPr>
          <w:p w14:paraId="045B1D33"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56 %</w:t>
            </w:r>
            <w:r w:rsidRPr="004468BE">
              <w:rPr>
                <w:rFonts w:eastAsia="Calibri" w:cstheme="minorHAnsi"/>
                <w:sz w:val="20"/>
                <w:szCs w:val="20"/>
                <w:vertAlign w:val="superscript"/>
                <w:lang w:val="en-US"/>
              </w:rPr>
              <w:t>**</w:t>
            </w:r>
          </w:p>
        </w:tc>
        <w:tc>
          <w:tcPr>
            <w:tcW w:w="1346" w:type="dxa"/>
            <w:shd w:val="clear" w:color="auto" w:fill="auto"/>
            <w:vAlign w:val="center"/>
          </w:tcPr>
          <w:p w14:paraId="367BE3DA"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35 %</w:t>
            </w:r>
          </w:p>
        </w:tc>
        <w:tc>
          <w:tcPr>
            <w:tcW w:w="1276" w:type="dxa"/>
            <w:shd w:val="clear" w:color="auto" w:fill="auto"/>
            <w:vAlign w:val="center"/>
          </w:tcPr>
          <w:p w14:paraId="49E0F01F"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48 %</w:t>
            </w:r>
            <w:r w:rsidRPr="004468BE">
              <w:rPr>
                <w:rFonts w:eastAsia="Calibri" w:cstheme="minorHAnsi"/>
                <w:sz w:val="20"/>
                <w:szCs w:val="20"/>
                <w:vertAlign w:val="superscript"/>
                <w:lang w:val="en-US"/>
              </w:rPr>
              <w:t>*</w:t>
            </w:r>
          </w:p>
        </w:tc>
        <w:tc>
          <w:tcPr>
            <w:tcW w:w="1418" w:type="dxa"/>
            <w:shd w:val="clear" w:color="auto" w:fill="auto"/>
            <w:vAlign w:val="center"/>
          </w:tcPr>
          <w:p w14:paraId="5568AB8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54 %</w:t>
            </w:r>
            <w:r w:rsidRPr="004468BE">
              <w:rPr>
                <w:rFonts w:eastAsia="Calibri" w:cstheme="minorHAnsi"/>
                <w:sz w:val="20"/>
                <w:szCs w:val="20"/>
                <w:vertAlign w:val="superscript"/>
                <w:lang w:val="en-US"/>
              </w:rPr>
              <w:t>***</w:t>
            </w:r>
          </w:p>
        </w:tc>
      </w:tr>
      <w:tr w:rsidR="00A6463E" w:rsidRPr="000C4E6C" w14:paraId="749AED8C" w14:textId="77777777" w:rsidTr="00A6463E">
        <w:tc>
          <w:tcPr>
            <w:tcW w:w="1276" w:type="dxa"/>
            <w:shd w:val="clear" w:color="auto" w:fill="auto"/>
            <w:vAlign w:val="center"/>
          </w:tcPr>
          <w:p w14:paraId="277E5F8A" w14:textId="77777777" w:rsidR="00A6463E" w:rsidRPr="004468BE" w:rsidRDefault="00A6463E" w:rsidP="00A6463E">
            <w:pPr>
              <w:spacing w:before="40" w:after="40" w:line="240" w:lineRule="auto"/>
              <w:jc w:val="center"/>
              <w:rPr>
                <w:rFonts w:eastAsia="Calibri" w:cstheme="minorHAnsi"/>
                <w:sz w:val="18"/>
                <w:szCs w:val="18"/>
                <w:lang w:val="en-US"/>
              </w:rPr>
            </w:pPr>
            <w:r w:rsidRPr="004468BE">
              <w:rPr>
                <w:rFonts w:eastAsia="Calibri" w:cstheme="minorHAnsi"/>
                <w:sz w:val="18"/>
                <w:szCs w:val="18"/>
                <w:lang w:val="en-US"/>
              </w:rPr>
              <w:t>Week 24</w:t>
            </w:r>
          </w:p>
        </w:tc>
        <w:tc>
          <w:tcPr>
            <w:tcW w:w="1346" w:type="dxa"/>
            <w:shd w:val="clear" w:color="auto" w:fill="auto"/>
            <w:vAlign w:val="center"/>
          </w:tcPr>
          <w:p w14:paraId="3623ED60"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37 %</w:t>
            </w:r>
          </w:p>
        </w:tc>
        <w:tc>
          <w:tcPr>
            <w:tcW w:w="1347" w:type="dxa"/>
            <w:shd w:val="clear" w:color="auto" w:fill="auto"/>
            <w:vAlign w:val="center"/>
          </w:tcPr>
          <w:p w14:paraId="1B565737"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58 %</w:t>
            </w:r>
            <w:r w:rsidRPr="004468BE">
              <w:rPr>
                <w:rFonts w:eastAsia="Calibri" w:cstheme="minorHAnsi"/>
                <w:sz w:val="20"/>
                <w:szCs w:val="20"/>
                <w:vertAlign w:val="superscript"/>
                <w:lang w:val="en-US"/>
              </w:rPr>
              <w:t>***</w:t>
            </w:r>
          </w:p>
        </w:tc>
        <w:tc>
          <w:tcPr>
            <w:tcW w:w="1347" w:type="dxa"/>
            <w:shd w:val="clear" w:color="auto" w:fill="auto"/>
            <w:vAlign w:val="center"/>
          </w:tcPr>
          <w:p w14:paraId="5A5C9C91"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55 %</w:t>
            </w:r>
            <w:r w:rsidRPr="004468BE">
              <w:rPr>
                <w:rFonts w:eastAsia="Calibri" w:cstheme="minorHAnsi"/>
                <w:sz w:val="20"/>
                <w:szCs w:val="20"/>
                <w:vertAlign w:val="superscript"/>
                <w:lang w:val="en-US"/>
              </w:rPr>
              <w:t>***</w:t>
            </w:r>
          </w:p>
        </w:tc>
        <w:tc>
          <w:tcPr>
            <w:tcW w:w="1346" w:type="dxa"/>
            <w:shd w:val="clear" w:color="auto" w:fill="auto"/>
            <w:vAlign w:val="center"/>
          </w:tcPr>
          <w:p w14:paraId="2DEF3A5F"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24 %</w:t>
            </w:r>
          </w:p>
        </w:tc>
        <w:tc>
          <w:tcPr>
            <w:tcW w:w="1276" w:type="dxa"/>
            <w:shd w:val="clear" w:color="auto" w:fill="auto"/>
            <w:vAlign w:val="center"/>
          </w:tcPr>
          <w:p w14:paraId="4D9F243B"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41 %</w:t>
            </w:r>
            <w:r w:rsidRPr="004468BE">
              <w:rPr>
                <w:rFonts w:eastAsia="Calibri" w:cstheme="minorHAnsi"/>
                <w:sz w:val="20"/>
                <w:szCs w:val="20"/>
                <w:vertAlign w:val="superscript"/>
                <w:lang w:val="en-US"/>
              </w:rPr>
              <w:t>***</w:t>
            </w:r>
          </w:p>
        </w:tc>
        <w:tc>
          <w:tcPr>
            <w:tcW w:w="1418" w:type="dxa"/>
            <w:shd w:val="clear" w:color="auto" w:fill="auto"/>
            <w:vAlign w:val="center"/>
          </w:tcPr>
          <w:p w14:paraId="6D3DBD7A" w14:textId="77777777" w:rsidR="00A6463E" w:rsidRPr="004468BE" w:rsidRDefault="00A6463E" w:rsidP="00A6463E">
            <w:pPr>
              <w:spacing w:before="40" w:after="40" w:line="240" w:lineRule="auto"/>
              <w:jc w:val="center"/>
              <w:rPr>
                <w:rFonts w:eastAsia="Calibri" w:cstheme="minorHAnsi"/>
                <w:sz w:val="20"/>
                <w:szCs w:val="20"/>
                <w:lang w:val="en-US"/>
              </w:rPr>
            </w:pPr>
            <w:r w:rsidRPr="004468BE">
              <w:rPr>
                <w:rFonts w:eastAsia="Calibri" w:cstheme="minorHAnsi"/>
                <w:sz w:val="20"/>
                <w:szCs w:val="20"/>
                <w:lang w:val="en-US"/>
              </w:rPr>
              <w:t>44 %</w:t>
            </w:r>
            <w:r w:rsidRPr="004468BE">
              <w:rPr>
                <w:rFonts w:eastAsia="Calibri" w:cstheme="minorHAnsi"/>
                <w:sz w:val="20"/>
                <w:szCs w:val="20"/>
                <w:vertAlign w:val="superscript"/>
                <w:lang w:val="en-US"/>
              </w:rPr>
              <w:t>***</w:t>
            </w:r>
          </w:p>
        </w:tc>
      </w:tr>
    </w:tbl>
    <w:p w14:paraId="76981A5A" w14:textId="77777777" w:rsidR="00A6463E" w:rsidRPr="004468BE" w:rsidRDefault="00A6463E" w:rsidP="00A6463E">
      <w:pPr>
        <w:tabs>
          <w:tab w:val="left" w:pos="180"/>
        </w:tabs>
        <w:spacing w:after="20" w:line="240" w:lineRule="auto"/>
        <w:rPr>
          <w:rFonts w:eastAsia="Times New Roman" w:cstheme="minorHAnsi"/>
          <w:sz w:val="18"/>
          <w:szCs w:val="18"/>
          <w:lang w:val="en-US"/>
        </w:rPr>
      </w:pPr>
      <w:r w:rsidRPr="004468BE">
        <w:rPr>
          <w:rFonts w:eastAsia="Times New Roman" w:cstheme="minorHAnsi"/>
          <w:sz w:val="18"/>
          <w:szCs w:val="18"/>
          <w:lang w:val="en-US"/>
        </w:rPr>
        <w:t>* p ≤ 0.05; ** p ≤ 0.01; *** p ≤ 0.001 vs. placebo</w:t>
      </w:r>
      <w:r w:rsidRPr="004468BE" w:rsidDel="006B6A45">
        <w:rPr>
          <w:rFonts w:eastAsia="Times New Roman" w:cstheme="minorHAnsi"/>
          <w:sz w:val="18"/>
          <w:szCs w:val="18"/>
          <w:lang w:val="en-US"/>
        </w:rPr>
        <w:t xml:space="preserve"> </w:t>
      </w:r>
    </w:p>
    <w:p w14:paraId="4437F0B2" w14:textId="77777777" w:rsidR="00A6463E" w:rsidRPr="004468BE" w:rsidRDefault="00A6463E" w:rsidP="00A6463E">
      <w:pPr>
        <w:tabs>
          <w:tab w:val="left" w:pos="180"/>
        </w:tabs>
        <w:spacing w:after="20" w:line="240" w:lineRule="auto"/>
        <w:ind w:left="142" w:hanging="142"/>
        <w:rPr>
          <w:rFonts w:eastAsia="Times New Roman" w:cstheme="minorHAnsi"/>
          <w:sz w:val="18"/>
          <w:szCs w:val="18"/>
          <w:lang w:val="en-US"/>
        </w:rPr>
      </w:pPr>
      <w:r w:rsidRPr="004468BE">
        <w:rPr>
          <w:rFonts w:eastAsia="Times New Roman" w:cstheme="minorHAnsi"/>
          <w:sz w:val="18"/>
          <w:szCs w:val="18"/>
          <w:vertAlign w:val="superscript"/>
          <w:lang w:val="en-US"/>
        </w:rPr>
        <w:t>a</w:t>
      </w:r>
      <w:r w:rsidRPr="004468BE">
        <w:rPr>
          <w:rFonts w:eastAsia="Times New Roman" w:cstheme="minorHAnsi"/>
          <w:sz w:val="18"/>
          <w:szCs w:val="18"/>
          <w:lang w:val="en-US"/>
        </w:rPr>
        <w:t xml:space="preserve"> Simplified Disease Activity Index</w:t>
      </w:r>
      <w:r w:rsidRPr="004468BE" w:rsidDel="00761A52">
        <w:rPr>
          <w:rFonts w:eastAsia="Times New Roman" w:cstheme="minorHAnsi"/>
          <w:sz w:val="18"/>
          <w:szCs w:val="18"/>
          <w:lang w:val="en-US"/>
        </w:rPr>
        <w:t xml:space="preserve"> </w:t>
      </w:r>
    </w:p>
    <w:p w14:paraId="3119BC33" w14:textId="77777777" w:rsidR="00A6463E" w:rsidRPr="004468BE" w:rsidRDefault="00A6463E" w:rsidP="00A6463E">
      <w:pPr>
        <w:tabs>
          <w:tab w:val="left" w:pos="180"/>
        </w:tabs>
        <w:spacing w:after="20" w:line="240" w:lineRule="auto"/>
        <w:ind w:left="142" w:hanging="142"/>
        <w:rPr>
          <w:rFonts w:eastAsia="Times New Roman" w:cstheme="minorHAnsi"/>
          <w:sz w:val="18"/>
          <w:szCs w:val="18"/>
          <w:lang w:val="en-US"/>
        </w:rPr>
      </w:pPr>
      <w:r w:rsidRPr="004468BE">
        <w:rPr>
          <w:rFonts w:eastAsia="Times New Roman" w:cstheme="minorHAnsi"/>
          <w:sz w:val="18"/>
          <w:szCs w:val="18"/>
          <w:vertAlign w:val="superscript"/>
          <w:lang w:val="en-US"/>
        </w:rPr>
        <w:t>b</w:t>
      </w:r>
      <w:r w:rsidRPr="004468BE">
        <w:rPr>
          <w:rFonts w:eastAsia="Times New Roman" w:cstheme="minorHAnsi"/>
          <w:sz w:val="18"/>
          <w:szCs w:val="18"/>
          <w:lang w:val="en-US"/>
        </w:rPr>
        <w:tab/>
        <w:t>Clinical Disease Activity Index</w:t>
      </w:r>
      <w:r w:rsidRPr="004468BE" w:rsidDel="00761A52">
        <w:rPr>
          <w:rFonts w:eastAsia="Times New Roman" w:cstheme="minorHAnsi"/>
          <w:sz w:val="18"/>
          <w:szCs w:val="18"/>
          <w:lang w:val="en-US"/>
        </w:rPr>
        <w:t xml:space="preserve"> </w:t>
      </w:r>
    </w:p>
    <w:p w14:paraId="4355BAB5"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vertAlign w:val="superscript"/>
          <w:lang w:val="en-US"/>
        </w:rPr>
        <w:t>c</w:t>
      </w:r>
      <w:r w:rsidRPr="004468BE">
        <w:rPr>
          <w:rFonts w:eastAsia="Times New Roman" w:cstheme="minorHAnsi"/>
          <w:sz w:val="18"/>
          <w:szCs w:val="18"/>
          <w:lang w:val="en-US"/>
        </w:rPr>
        <w:t xml:space="preserve"> Disease Activity Score 28-high sensitivity C-reactive protein</w:t>
      </w:r>
      <w:r w:rsidRPr="004468BE" w:rsidDel="00761A52">
        <w:rPr>
          <w:rFonts w:eastAsia="Times New Roman" w:cstheme="minorHAnsi"/>
          <w:sz w:val="18"/>
          <w:szCs w:val="18"/>
          <w:lang w:val="en-US"/>
        </w:rPr>
        <w:t xml:space="preserve"> </w:t>
      </w:r>
    </w:p>
    <w:p w14:paraId="4AE884D9"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vertAlign w:val="superscript"/>
          <w:lang w:val="en-US"/>
        </w:rPr>
        <w:t>d</w:t>
      </w:r>
      <w:r w:rsidRPr="004468BE">
        <w:rPr>
          <w:rFonts w:eastAsia="Times New Roman" w:cstheme="minorHAnsi"/>
          <w:sz w:val="18"/>
          <w:szCs w:val="18"/>
          <w:lang w:val="en-US"/>
        </w:rPr>
        <w:tab/>
        <w:t>Disease Activity Score 28-erythrocyte sedimentation rate</w:t>
      </w:r>
    </w:p>
    <w:p w14:paraId="553D6387" w14:textId="77777777" w:rsidR="00A6463E" w:rsidRPr="004468BE" w:rsidRDefault="00A6463E" w:rsidP="00A6463E">
      <w:pPr>
        <w:tabs>
          <w:tab w:val="left" w:pos="180"/>
        </w:tabs>
        <w:spacing w:after="20" w:line="240" w:lineRule="auto"/>
        <w:ind w:left="360" w:hanging="360"/>
        <w:rPr>
          <w:rFonts w:eastAsia="Times New Roman" w:cstheme="minorHAnsi"/>
          <w:sz w:val="18"/>
          <w:szCs w:val="18"/>
          <w:lang w:val="en-US"/>
        </w:rPr>
      </w:pPr>
      <w:r w:rsidRPr="004468BE">
        <w:rPr>
          <w:rFonts w:eastAsia="Times New Roman" w:cstheme="minorHAnsi"/>
          <w:sz w:val="18"/>
          <w:szCs w:val="18"/>
          <w:vertAlign w:val="superscript"/>
          <w:lang w:val="en-US"/>
        </w:rPr>
        <w:t>e</w:t>
      </w:r>
      <w:r w:rsidRPr="004468BE">
        <w:rPr>
          <w:rFonts w:eastAsia="Times New Roman" w:cstheme="minorHAnsi"/>
          <w:sz w:val="18"/>
          <w:szCs w:val="18"/>
          <w:lang w:val="en-US"/>
        </w:rPr>
        <w:tab/>
        <w:t>Health Assessment Questionnaire–Disability Index</w:t>
      </w:r>
      <w:r w:rsidRPr="004468BE" w:rsidDel="00761A52">
        <w:rPr>
          <w:rFonts w:eastAsia="Times New Roman" w:cstheme="minorHAnsi"/>
          <w:sz w:val="18"/>
          <w:szCs w:val="18"/>
          <w:lang w:val="en-US"/>
        </w:rPr>
        <w:t xml:space="preserve"> </w:t>
      </w:r>
    </w:p>
    <w:p w14:paraId="2F20250F" w14:textId="77777777" w:rsidR="00A6463E" w:rsidRPr="00625B9E" w:rsidRDefault="00A6463E" w:rsidP="00A6463E">
      <w:pPr>
        <w:spacing w:after="0" w:line="280" w:lineRule="exact"/>
        <w:rPr>
          <w:rFonts w:ascii="Arial" w:eastAsia="Times New Roman" w:hAnsi="Arial" w:cs="Times New Roman"/>
          <w:sz w:val="24"/>
          <w:szCs w:val="24"/>
        </w:rPr>
      </w:pPr>
    </w:p>
    <w:p w14:paraId="02CCB696" w14:textId="28917CDF" w:rsidR="00A6463E" w:rsidRDefault="00A6463E" w:rsidP="00105060">
      <w:pPr>
        <w:pStyle w:val="Heading3"/>
      </w:pPr>
      <w:r w:rsidRPr="00625B9E">
        <w:t xml:space="preserve">Figure </w:t>
      </w:r>
      <w:r w:rsidR="00F02429">
        <w:rPr>
          <w:noProof/>
        </w:rPr>
        <w:fldChar w:fldCharType="begin"/>
      </w:r>
      <w:r w:rsidR="00F02429">
        <w:rPr>
          <w:noProof/>
        </w:rPr>
        <w:instrText xml:space="preserve"> SEQ Figure \* ARABIC </w:instrText>
      </w:r>
      <w:r w:rsidR="00F02429">
        <w:rPr>
          <w:noProof/>
        </w:rPr>
        <w:fldChar w:fldCharType="separate"/>
      </w:r>
      <w:r w:rsidR="00A368FA">
        <w:rPr>
          <w:noProof/>
        </w:rPr>
        <w:t>1</w:t>
      </w:r>
      <w:r w:rsidR="00F02429">
        <w:rPr>
          <w:noProof/>
        </w:rPr>
        <w:fldChar w:fldCharType="end"/>
      </w:r>
      <w:r w:rsidRPr="00625B9E">
        <w:tab/>
        <w:t>Percent of Patients Achieving ACR20 in RA-BEAM (</w:t>
      </w:r>
      <w:proofErr w:type="spellStart"/>
      <w:r w:rsidRPr="00625B9E">
        <w:t>mITT</w:t>
      </w:r>
      <w:proofErr w:type="spellEnd"/>
      <w:r w:rsidRPr="00625B9E">
        <w:t>, using NRI)</w:t>
      </w:r>
    </w:p>
    <w:p w14:paraId="70704CE0" w14:textId="4C26BD59" w:rsidR="00105060" w:rsidRDefault="00105060" w:rsidP="00105060">
      <w:r>
        <w:rPr>
          <w:noProof/>
          <w:lang w:eastAsia="en-AU"/>
        </w:rPr>
        <w:drawing>
          <wp:inline distT="0" distB="0" distL="0" distR="0" wp14:anchorId="4084CBCE" wp14:editId="418B62EC">
            <wp:extent cx="5414010" cy="3462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4010" cy="3462655"/>
                    </a:xfrm>
                    <a:prstGeom prst="rect">
                      <a:avLst/>
                    </a:prstGeom>
                    <a:noFill/>
                  </pic:spPr>
                </pic:pic>
              </a:graphicData>
            </a:graphic>
          </wp:inline>
        </w:drawing>
      </w:r>
    </w:p>
    <w:p w14:paraId="1990D56D" w14:textId="77777777" w:rsidR="00105060" w:rsidRPr="00105060" w:rsidRDefault="00105060" w:rsidP="00105060">
      <w:pPr>
        <w:spacing w:before="120" w:after="120" w:line="240" w:lineRule="auto"/>
        <w:rPr>
          <w:rFonts w:ascii="Cambria" w:eastAsia="Cambria" w:hAnsi="Cambria" w:cs="Times New Roman"/>
          <w:sz w:val="18"/>
        </w:rPr>
      </w:pPr>
      <w:r w:rsidRPr="00105060">
        <w:rPr>
          <w:rFonts w:ascii="Cambria" w:eastAsia="Cambria" w:hAnsi="Cambria" w:cs="Times New Roman"/>
          <w:sz w:val="18"/>
        </w:rPr>
        <w:t>ACR20 ≥ 20% improvement in American College of Rheumatology criteria</w:t>
      </w:r>
    </w:p>
    <w:p w14:paraId="64587FE0" w14:textId="77777777" w:rsidR="00105060" w:rsidRPr="00105060" w:rsidRDefault="00105060" w:rsidP="00105060">
      <w:pPr>
        <w:spacing w:before="120" w:after="120" w:line="240" w:lineRule="auto"/>
        <w:rPr>
          <w:rFonts w:ascii="Cambria" w:eastAsia="Cambria" w:hAnsi="Cambria" w:cs="Times New Roman"/>
          <w:sz w:val="18"/>
        </w:rPr>
      </w:pPr>
      <w:r w:rsidRPr="00105060">
        <w:rPr>
          <w:rFonts w:ascii="Cambria" w:eastAsia="Cambria" w:hAnsi="Cambria" w:cs="Times New Roman"/>
          <w:sz w:val="18"/>
        </w:rPr>
        <w:t>N = number of modified intent-to-treat (</w:t>
      </w:r>
      <w:proofErr w:type="spellStart"/>
      <w:r w:rsidRPr="00105060">
        <w:rPr>
          <w:rFonts w:ascii="Cambria" w:eastAsia="Cambria" w:hAnsi="Cambria" w:cs="Times New Roman"/>
          <w:sz w:val="18"/>
        </w:rPr>
        <w:t>mITT</w:t>
      </w:r>
      <w:proofErr w:type="spellEnd"/>
      <w:r w:rsidRPr="00105060">
        <w:rPr>
          <w:rFonts w:ascii="Cambria" w:eastAsia="Cambria" w:hAnsi="Cambria" w:cs="Times New Roman"/>
          <w:sz w:val="18"/>
        </w:rPr>
        <w:t>) patients</w:t>
      </w:r>
    </w:p>
    <w:p w14:paraId="053AD38E" w14:textId="322EA6F1" w:rsidR="00105060" w:rsidRPr="00105060" w:rsidRDefault="00105060" w:rsidP="00105060">
      <w:r w:rsidRPr="00105060">
        <w:rPr>
          <w:rFonts w:ascii="Cambria" w:eastAsia="Cambria" w:hAnsi="Cambria" w:cs="Times New Roman"/>
        </w:rPr>
        <w:t>NRI = non-responder imputation.</w:t>
      </w:r>
    </w:p>
    <w:p w14:paraId="00FBBE65" w14:textId="77777777" w:rsidR="00A6463E" w:rsidRPr="00094A0C" w:rsidRDefault="00A6463E" w:rsidP="00094A0C">
      <w:pPr>
        <w:rPr>
          <w:b/>
        </w:rPr>
      </w:pPr>
      <w:r w:rsidRPr="00094A0C">
        <w:rPr>
          <w:b/>
        </w:rPr>
        <w:t>Physical Function Response and Health-Related Outcomes</w:t>
      </w:r>
    </w:p>
    <w:p w14:paraId="54C3E1C9" w14:textId="7F93D92D" w:rsidR="00A6463E" w:rsidRPr="00625B9E" w:rsidRDefault="00A6463E" w:rsidP="00A6463E">
      <w:r w:rsidRPr="00625B9E">
        <w:t xml:space="preserve">Treatment with OLUMIANT 4 mg, alone or in combination with </w:t>
      </w:r>
      <w:proofErr w:type="spellStart"/>
      <w:r w:rsidRPr="00625B9E">
        <w:t>cDMARDs</w:t>
      </w:r>
      <w:proofErr w:type="spellEnd"/>
      <w:r w:rsidRPr="00625B9E">
        <w:t xml:space="preserve">, resulted in a statistically significant improvement in physical function compared to placebo and MTX as measured by HAQ-DI, at 12, 24 and 52 weeks.  Improvements with OLUMIANT 4 mg treatment were also shown versus </w:t>
      </w:r>
      <w:r w:rsidRPr="00625B9E">
        <w:lastRenderedPageBreak/>
        <w:t>adalimumab at these time points.  The proportion of patients achieving a clinically significant improvement (HAQ-DI improvement from baseline ≥0.30) was also higher with OLUMIANT compared to placebo or MTX at week 12 (</w:t>
      </w:r>
      <w:r w:rsidRPr="00625B9E">
        <w:fldChar w:fldCharType="begin"/>
      </w:r>
      <w:r w:rsidRPr="00625B9E">
        <w:instrText xml:space="preserve"> REF _Ref475716430 \h  \* MERGEFORMAT </w:instrText>
      </w:r>
      <w:r w:rsidRPr="00625B9E">
        <w:fldChar w:fldCharType="separate"/>
      </w:r>
      <w:r w:rsidR="00A368FA" w:rsidRPr="00A368FA">
        <w:t xml:space="preserve">Table </w:t>
      </w:r>
      <w:r w:rsidRPr="00625B9E">
        <w:rPr>
          <w:lang w:val="en-US"/>
        </w:rPr>
        <w:fldChar w:fldCharType="end"/>
      </w:r>
      <w:r w:rsidR="007A5A0F">
        <w:rPr>
          <w:lang w:val="en-US"/>
        </w:rPr>
        <w:t xml:space="preserve"> 9</w:t>
      </w:r>
      <w:r w:rsidRPr="00625B9E">
        <w:t xml:space="preserve"> and </w:t>
      </w:r>
      <w:r w:rsidR="001B67AC">
        <w:t>1</w:t>
      </w:r>
      <w:r w:rsidR="00446055">
        <w:t>0</w:t>
      </w:r>
      <w:r w:rsidRPr="00625B9E">
        <w:t>). Improvements were seen as early as Week 1 and, in RA-BEGIN and RA-BEAM (see Figure 2), these were maintained for up to 52 weeks.</w:t>
      </w:r>
    </w:p>
    <w:p w14:paraId="66DE3AE6" w14:textId="184EF762" w:rsidR="00A6463E" w:rsidRPr="00625B9E" w:rsidRDefault="00A6463E" w:rsidP="00A6463E">
      <w:pPr>
        <w:keepNext/>
        <w:keepLines/>
        <w:spacing w:after="120" w:line="280" w:lineRule="exact"/>
        <w:ind w:left="1440" w:hanging="1440"/>
        <w:rPr>
          <w:rFonts w:ascii="Arial" w:eastAsia="Times New Roman" w:hAnsi="Arial" w:cs="Times New Roman"/>
          <w:b/>
          <w:bCs/>
          <w:szCs w:val="20"/>
        </w:rPr>
      </w:pPr>
      <w:r w:rsidRPr="00105060">
        <w:rPr>
          <w:rStyle w:val="Heading3Char"/>
        </w:rPr>
        <w:t>Figure 2</w:t>
      </w:r>
      <w:r w:rsidRPr="00105060">
        <w:rPr>
          <w:rStyle w:val="Heading3Char"/>
        </w:rPr>
        <w:tab/>
        <w:t>Change in HAQ-DI from Baseline to Week 52 in RA-BEAM (</w:t>
      </w:r>
      <w:proofErr w:type="spellStart"/>
      <w:r w:rsidRPr="00105060">
        <w:rPr>
          <w:rStyle w:val="Heading3Char"/>
        </w:rPr>
        <w:t>mITT</w:t>
      </w:r>
      <w:proofErr w:type="spellEnd"/>
      <w:r w:rsidRPr="00105060">
        <w:rPr>
          <w:rStyle w:val="Heading3Char"/>
        </w:rPr>
        <w:t>, using</w:t>
      </w:r>
      <w:r w:rsidRPr="00625B9E">
        <w:rPr>
          <w:rFonts w:ascii="Arial" w:eastAsia="Times New Roman" w:hAnsi="Arial" w:cs="Times New Roman"/>
          <w:b/>
          <w:bCs/>
          <w:szCs w:val="20"/>
        </w:rPr>
        <w:t xml:space="preserve"> </w:t>
      </w:r>
      <w:proofErr w:type="spellStart"/>
      <w:r w:rsidRPr="00625B9E">
        <w:rPr>
          <w:rFonts w:ascii="Arial" w:eastAsia="Times New Roman" w:hAnsi="Arial" w:cs="Times New Roman"/>
          <w:b/>
          <w:bCs/>
          <w:szCs w:val="20"/>
        </w:rPr>
        <w:t>mLOCF</w:t>
      </w:r>
      <w:proofErr w:type="spellEnd"/>
      <w:r w:rsidRPr="00625B9E">
        <w:rPr>
          <w:rFonts w:ascii="Arial" w:eastAsia="Times New Roman" w:hAnsi="Arial" w:cs="Times New Roman"/>
          <w:b/>
          <w:bCs/>
          <w:szCs w:val="20"/>
        </w:rPr>
        <w:t>)</w:t>
      </w:r>
    </w:p>
    <w:p w14:paraId="76866BEF" w14:textId="16D29CF8" w:rsidR="00A6463E" w:rsidRPr="00625B9E" w:rsidRDefault="00105060" w:rsidP="00105060">
      <w:pPr>
        <w:rPr>
          <w:lang w:val="en-US"/>
        </w:rPr>
      </w:pPr>
      <w:r>
        <w:rPr>
          <w:noProof/>
          <w:lang w:eastAsia="en-AU"/>
        </w:rPr>
        <w:drawing>
          <wp:inline distT="0" distB="0" distL="0" distR="0" wp14:anchorId="321E7F4F" wp14:editId="3AEFA67B">
            <wp:extent cx="5340350" cy="36334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350" cy="3633470"/>
                    </a:xfrm>
                    <a:prstGeom prst="rect">
                      <a:avLst/>
                    </a:prstGeom>
                    <a:noFill/>
                  </pic:spPr>
                </pic:pic>
              </a:graphicData>
            </a:graphic>
          </wp:inline>
        </w:drawing>
      </w:r>
    </w:p>
    <w:p w14:paraId="650D2B4C" w14:textId="77777777" w:rsidR="00105060" w:rsidRPr="00105060" w:rsidRDefault="00105060" w:rsidP="00105060">
      <w:pPr>
        <w:spacing w:before="120" w:after="120" w:line="240" w:lineRule="auto"/>
        <w:rPr>
          <w:rFonts w:ascii="Cambria" w:eastAsia="Cambria" w:hAnsi="Cambria" w:cs="Times New Roman"/>
          <w:sz w:val="18"/>
        </w:rPr>
      </w:pPr>
      <w:r w:rsidRPr="00105060">
        <w:rPr>
          <w:rFonts w:ascii="Cambria" w:eastAsia="Cambria" w:hAnsi="Cambria" w:cs="Times New Roman"/>
          <w:sz w:val="18"/>
        </w:rPr>
        <w:t>HAQ-DI = Health Assessment Questionnaire-Disability Index</w:t>
      </w:r>
    </w:p>
    <w:p w14:paraId="4542F2C7" w14:textId="77777777" w:rsidR="00105060" w:rsidRPr="00105060" w:rsidRDefault="00105060" w:rsidP="00105060">
      <w:pPr>
        <w:spacing w:before="120" w:after="120" w:line="240" w:lineRule="auto"/>
        <w:rPr>
          <w:rFonts w:ascii="Cambria" w:eastAsia="Cambria" w:hAnsi="Cambria" w:cs="Times New Roman"/>
          <w:sz w:val="18"/>
        </w:rPr>
      </w:pPr>
      <w:r w:rsidRPr="00105060">
        <w:rPr>
          <w:rFonts w:ascii="Cambria" w:eastAsia="Cambria" w:hAnsi="Cambria" w:cs="Times New Roman"/>
          <w:sz w:val="18"/>
        </w:rPr>
        <w:t>N = number of modified intent-to-treat (</w:t>
      </w:r>
      <w:proofErr w:type="spellStart"/>
      <w:r w:rsidRPr="00105060">
        <w:rPr>
          <w:rFonts w:ascii="Cambria" w:eastAsia="Cambria" w:hAnsi="Cambria" w:cs="Times New Roman"/>
          <w:sz w:val="18"/>
        </w:rPr>
        <w:t>mITT</w:t>
      </w:r>
      <w:proofErr w:type="spellEnd"/>
      <w:r w:rsidRPr="00105060">
        <w:rPr>
          <w:rFonts w:ascii="Cambria" w:eastAsia="Cambria" w:hAnsi="Cambria" w:cs="Times New Roman"/>
          <w:sz w:val="18"/>
        </w:rPr>
        <w:t>) patients</w:t>
      </w:r>
    </w:p>
    <w:p w14:paraId="346892E9" w14:textId="77777777" w:rsidR="00105060" w:rsidRPr="00105060" w:rsidRDefault="00105060" w:rsidP="00105060">
      <w:pPr>
        <w:spacing w:before="120" w:after="120" w:line="240" w:lineRule="auto"/>
        <w:rPr>
          <w:rFonts w:ascii="Cambria" w:eastAsia="Cambria" w:hAnsi="Cambria" w:cs="Times New Roman"/>
          <w:sz w:val="18"/>
        </w:rPr>
      </w:pPr>
      <w:proofErr w:type="spellStart"/>
      <w:r w:rsidRPr="00105060">
        <w:rPr>
          <w:rFonts w:ascii="Cambria" w:eastAsia="Cambria" w:hAnsi="Cambria" w:cs="Times New Roman"/>
          <w:sz w:val="18"/>
        </w:rPr>
        <w:t>mLOCF</w:t>
      </w:r>
      <w:proofErr w:type="spellEnd"/>
      <w:r w:rsidRPr="00105060">
        <w:rPr>
          <w:rFonts w:ascii="Cambria" w:eastAsia="Cambria" w:hAnsi="Cambria" w:cs="Times New Roman"/>
          <w:sz w:val="18"/>
        </w:rPr>
        <w:t xml:space="preserve"> = modified last observation carried forward</w:t>
      </w:r>
    </w:p>
    <w:p w14:paraId="39F3F0D8" w14:textId="77777777" w:rsidR="00A6463E" w:rsidRPr="00625B9E" w:rsidRDefault="00A6463E" w:rsidP="00A6463E">
      <w:r w:rsidRPr="00625B9E">
        <w:t xml:space="preserve">Treatment with OLUMIANT 4 mg, alone or in combination with </w:t>
      </w:r>
      <w:proofErr w:type="spellStart"/>
      <w:r w:rsidRPr="00625B9E">
        <w:t>cDMARDs</w:t>
      </w:r>
      <w:proofErr w:type="spellEnd"/>
      <w:r w:rsidRPr="00625B9E">
        <w:t>, resulted in a significant improvement in pain compared to all comparators (placebo, MTX, and adalimumab), as measured on a 0-100 visual analogue scale, at 12 weeks. Greater pain reduction was seen as early as Week 1 and, in RA-BEGIN and RA</w:t>
      </w:r>
      <w:r w:rsidRPr="00625B9E">
        <w:noBreakHyphen/>
        <w:t xml:space="preserve">BEAM, this was maintained for up to 52 weeks. </w:t>
      </w:r>
    </w:p>
    <w:p w14:paraId="5E6B5EB7" w14:textId="77777777" w:rsidR="00A6463E" w:rsidRPr="00A6463E" w:rsidRDefault="00A6463E" w:rsidP="00A6463E">
      <w:r w:rsidRPr="00625B9E">
        <w:t>In RA-BEAM and RA-BUILD, treatment with OLUMIANT 4 mg resulted in an improvement in the mean duration and severity of morning joint stiffness, and mean worst tiredness, compared to placebo or adalimumab as assessed using daily electronic patient diaries for 12 weeks.</w:t>
      </w:r>
    </w:p>
    <w:p w14:paraId="581D8C63" w14:textId="77777777" w:rsidR="00A6463E" w:rsidRPr="00625B9E" w:rsidRDefault="00A6463E" w:rsidP="00A6463E">
      <w:pPr>
        <w:rPr>
          <w:lang w:val="en-US"/>
        </w:rPr>
      </w:pPr>
      <w:r w:rsidRPr="00625B9E">
        <w:t>In all studies, OLUMIANT-treated patients reported improvements in patient-reported quality of life, as measured by the Short Form (36) Health Survey (SF36) Physical Component Score, fatigue, as measured by the Functional Assessment of Chronic Illness Therapy-Fatigue score (FACIT-F) and work productivity, as measured by the Work Productivity and Activity Impairment Questionnaire: Rheumatoid Arthritis (WPAI</w:t>
      </w:r>
      <w:r w:rsidRPr="00625B9E">
        <w:noBreakHyphen/>
        <w:t>RA)</w:t>
      </w:r>
    </w:p>
    <w:p w14:paraId="451CFC6E" w14:textId="77777777" w:rsidR="00105060" w:rsidRDefault="00105060" w:rsidP="00094A0C">
      <w:pPr>
        <w:rPr>
          <w:b/>
        </w:rPr>
      </w:pPr>
    </w:p>
    <w:p w14:paraId="009FA01D" w14:textId="7B60A168" w:rsidR="00A6463E" w:rsidRPr="00094A0C" w:rsidRDefault="00A6463E" w:rsidP="00094A0C">
      <w:pPr>
        <w:rPr>
          <w:b/>
        </w:rPr>
      </w:pPr>
      <w:r w:rsidRPr="00094A0C">
        <w:rPr>
          <w:b/>
        </w:rPr>
        <w:lastRenderedPageBreak/>
        <w:t>Radiographic Response</w:t>
      </w:r>
    </w:p>
    <w:p w14:paraId="06CE2C77" w14:textId="77777777" w:rsidR="00A6463E" w:rsidRPr="00625B9E" w:rsidRDefault="00A6463E" w:rsidP="00A6463E">
      <w:r w:rsidRPr="00625B9E">
        <w:t>The effect of OLUMIANT on progression of structural joint damage was evaluated radiographically in RA-BEGIN, RA-BEAM, and RA-BUILD and assessed using the modified Total Sharp Score (</w:t>
      </w:r>
      <w:proofErr w:type="spellStart"/>
      <w:r w:rsidRPr="00625B9E">
        <w:t>mTSS</w:t>
      </w:r>
      <w:proofErr w:type="spellEnd"/>
      <w:r w:rsidRPr="00625B9E">
        <w:t xml:space="preserve">) and its components, the erosion score and joint space narrowing score. </w:t>
      </w:r>
    </w:p>
    <w:p w14:paraId="2E8C7FFD" w14:textId="709BED4C" w:rsidR="00A6463E" w:rsidRPr="00625B9E" w:rsidRDefault="00A6463E" w:rsidP="00A6463E">
      <w:r w:rsidRPr="00625B9E">
        <w:t>Treatment with OLUMIANT 4 mg resulted in a statistically significant inhibition of progression of structural joint damage (Table</w:t>
      </w:r>
      <w:r w:rsidR="00625B9E">
        <w:t xml:space="preserve"> </w:t>
      </w:r>
      <w:r w:rsidR="003A1803">
        <w:t>1</w:t>
      </w:r>
      <w:r w:rsidR="00446055">
        <w:t>1</w:t>
      </w:r>
      <w:r w:rsidRPr="00625B9E">
        <w:t>). Analyses of erosion and joint space narrowing scores were consistent with the overall scores. The proportion of patients with no radiographic progression (</w:t>
      </w:r>
      <w:proofErr w:type="spellStart"/>
      <w:r w:rsidRPr="00625B9E">
        <w:t>mTSS</w:t>
      </w:r>
      <w:proofErr w:type="spellEnd"/>
      <w:r w:rsidRPr="00625B9E">
        <w:t xml:space="preserve"> change ≤0) was statistically significantly higher with OLUMIANT 4 mg compared to placebo at week 24.</w:t>
      </w:r>
    </w:p>
    <w:p w14:paraId="5F16D913" w14:textId="28EB6177" w:rsidR="00A6463E" w:rsidRPr="00105060" w:rsidRDefault="00A6463E" w:rsidP="00105060">
      <w:pPr>
        <w:rPr>
          <w:b/>
        </w:rPr>
      </w:pPr>
      <w:bookmarkStart w:id="84" w:name="_Ref472068585"/>
      <w:r w:rsidRPr="00105060">
        <w:rPr>
          <w:b/>
        </w:rPr>
        <w:t xml:space="preserve">Table </w:t>
      </w:r>
      <w:bookmarkEnd w:id="84"/>
      <w:r w:rsidR="003A1803" w:rsidRPr="00105060">
        <w:rPr>
          <w:b/>
        </w:rPr>
        <w:t>1</w:t>
      </w:r>
      <w:r w:rsidR="00446055" w:rsidRPr="00105060">
        <w:rPr>
          <w:b/>
        </w:rPr>
        <w:t>1</w:t>
      </w:r>
      <w:r w:rsidR="00625B9E" w:rsidRPr="00105060">
        <w:rPr>
          <w:b/>
        </w:rPr>
        <w:t xml:space="preserve">  </w:t>
      </w:r>
      <w:r w:rsidRPr="00105060">
        <w:rPr>
          <w:b/>
        </w:rPr>
        <w:t>Radiographic Changes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1"/>
        <w:gridCol w:w="897"/>
        <w:gridCol w:w="898"/>
        <w:gridCol w:w="897"/>
        <w:gridCol w:w="898"/>
        <w:gridCol w:w="898"/>
        <w:gridCol w:w="897"/>
        <w:gridCol w:w="898"/>
        <w:gridCol w:w="898"/>
      </w:tblGrid>
      <w:tr w:rsidR="00A6463E" w:rsidRPr="000C4E6C" w14:paraId="6B2570BB" w14:textId="77777777" w:rsidTr="00A6463E">
        <w:tc>
          <w:tcPr>
            <w:tcW w:w="1188" w:type="dxa"/>
            <w:tcBorders>
              <w:top w:val="single" w:sz="4" w:space="0" w:color="auto"/>
              <w:left w:val="single" w:sz="4" w:space="0" w:color="auto"/>
              <w:bottom w:val="single" w:sz="4" w:space="0" w:color="auto"/>
              <w:right w:val="single" w:sz="12" w:space="0" w:color="auto"/>
            </w:tcBorders>
            <w:vAlign w:val="center"/>
            <w:hideMark/>
          </w:tcPr>
          <w:p w14:paraId="0A928D0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Study</w:t>
            </w:r>
          </w:p>
        </w:tc>
        <w:tc>
          <w:tcPr>
            <w:tcW w:w="2606" w:type="dxa"/>
            <w:gridSpan w:val="3"/>
            <w:tcBorders>
              <w:top w:val="single" w:sz="4" w:space="0" w:color="auto"/>
              <w:left w:val="single" w:sz="12" w:space="0" w:color="auto"/>
              <w:bottom w:val="single" w:sz="4" w:space="0" w:color="auto"/>
              <w:right w:val="single" w:sz="12" w:space="0" w:color="auto"/>
            </w:tcBorders>
            <w:vAlign w:val="center"/>
            <w:hideMark/>
          </w:tcPr>
          <w:p w14:paraId="3338FC8B" w14:textId="77777777" w:rsidR="00A6463E" w:rsidRPr="004468BE" w:rsidRDefault="00A6463E" w:rsidP="00105060">
            <w:pPr>
              <w:spacing w:after="0" w:line="240" w:lineRule="auto"/>
              <w:jc w:val="center"/>
              <w:rPr>
                <w:rFonts w:eastAsia="Times New Roman" w:cstheme="minorHAnsi"/>
                <w:b/>
                <w:sz w:val="20"/>
                <w:szCs w:val="24"/>
              </w:rPr>
            </w:pPr>
            <w:r w:rsidRPr="004468BE">
              <w:rPr>
                <w:rFonts w:eastAsia="Times New Roman" w:cstheme="minorHAnsi"/>
                <w:b/>
                <w:sz w:val="20"/>
                <w:szCs w:val="24"/>
              </w:rPr>
              <w:t>RA-BEGIN</w:t>
            </w:r>
          </w:p>
          <w:p w14:paraId="2C3D2069"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MTX-naïve patients</w:t>
            </w:r>
          </w:p>
        </w:tc>
        <w:tc>
          <w:tcPr>
            <w:tcW w:w="2693" w:type="dxa"/>
            <w:gridSpan w:val="3"/>
            <w:tcBorders>
              <w:top w:val="single" w:sz="4" w:space="0" w:color="auto"/>
              <w:left w:val="single" w:sz="12" w:space="0" w:color="auto"/>
              <w:bottom w:val="single" w:sz="4" w:space="0" w:color="auto"/>
              <w:right w:val="single" w:sz="12" w:space="0" w:color="auto"/>
            </w:tcBorders>
            <w:vAlign w:val="center"/>
            <w:hideMark/>
          </w:tcPr>
          <w:p w14:paraId="401133A9" w14:textId="77777777" w:rsidR="00A6463E" w:rsidRPr="004468BE" w:rsidRDefault="00A6463E" w:rsidP="00105060">
            <w:pPr>
              <w:spacing w:after="0" w:line="240" w:lineRule="auto"/>
              <w:jc w:val="center"/>
              <w:rPr>
                <w:rFonts w:eastAsia="Times New Roman" w:cstheme="minorHAnsi"/>
                <w:b/>
                <w:sz w:val="20"/>
                <w:szCs w:val="24"/>
              </w:rPr>
            </w:pPr>
            <w:r w:rsidRPr="004468BE">
              <w:rPr>
                <w:rFonts w:eastAsia="Times New Roman" w:cstheme="minorHAnsi"/>
                <w:b/>
                <w:sz w:val="20"/>
                <w:szCs w:val="24"/>
              </w:rPr>
              <w:t>RA-BEAM</w:t>
            </w:r>
          </w:p>
          <w:p w14:paraId="6EF7BA3A"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MTX-IR patients</w:t>
            </w:r>
          </w:p>
        </w:tc>
        <w:tc>
          <w:tcPr>
            <w:tcW w:w="2693" w:type="dxa"/>
            <w:gridSpan w:val="3"/>
            <w:tcBorders>
              <w:top w:val="single" w:sz="4" w:space="0" w:color="auto"/>
              <w:left w:val="single" w:sz="12" w:space="0" w:color="auto"/>
              <w:bottom w:val="single" w:sz="4" w:space="0" w:color="auto"/>
              <w:right w:val="single" w:sz="12" w:space="0" w:color="auto"/>
            </w:tcBorders>
            <w:vAlign w:val="center"/>
            <w:hideMark/>
          </w:tcPr>
          <w:p w14:paraId="30B02920" w14:textId="77777777" w:rsidR="00A6463E" w:rsidRPr="004468BE" w:rsidRDefault="00A6463E" w:rsidP="00105060">
            <w:pPr>
              <w:spacing w:after="0" w:line="240" w:lineRule="auto"/>
              <w:jc w:val="center"/>
              <w:rPr>
                <w:rFonts w:eastAsia="Times New Roman" w:cstheme="minorHAnsi"/>
                <w:b/>
                <w:sz w:val="20"/>
                <w:szCs w:val="24"/>
              </w:rPr>
            </w:pPr>
            <w:r w:rsidRPr="004468BE">
              <w:rPr>
                <w:rFonts w:eastAsia="Times New Roman" w:cstheme="minorHAnsi"/>
                <w:b/>
                <w:sz w:val="20"/>
                <w:szCs w:val="24"/>
              </w:rPr>
              <w:t>RA-BUILD</w:t>
            </w:r>
          </w:p>
          <w:p w14:paraId="71267362"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proofErr w:type="spellStart"/>
            <w:r w:rsidRPr="004468BE">
              <w:rPr>
                <w:rFonts w:eastAsia="Times New Roman" w:cstheme="minorHAnsi"/>
                <w:sz w:val="20"/>
                <w:szCs w:val="24"/>
              </w:rPr>
              <w:t>cDMARD</w:t>
            </w:r>
            <w:proofErr w:type="spellEnd"/>
            <w:r w:rsidRPr="004468BE">
              <w:rPr>
                <w:rFonts w:eastAsia="Times New Roman" w:cstheme="minorHAnsi"/>
                <w:sz w:val="20"/>
                <w:szCs w:val="24"/>
              </w:rPr>
              <w:t>-IR patients</w:t>
            </w:r>
          </w:p>
        </w:tc>
      </w:tr>
      <w:tr w:rsidR="00A6463E" w:rsidRPr="000C4E6C" w14:paraId="1F7222DA" w14:textId="77777777" w:rsidTr="00A6463E">
        <w:tc>
          <w:tcPr>
            <w:tcW w:w="1188" w:type="dxa"/>
            <w:tcBorders>
              <w:top w:val="single" w:sz="4" w:space="0" w:color="auto"/>
              <w:left w:val="single" w:sz="4" w:space="0" w:color="auto"/>
              <w:bottom w:val="single" w:sz="4" w:space="0" w:color="auto"/>
              <w:right w:val="single" w:sz="12" w:space="0" w:color="auto"/>
            </w:tcBorders>
            <w:vAlign w:val="center"/>
            <w:hideMark/>
          </w:tcPr>
          <w:p w14:paraId="1662B923"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Treatment group</w:t>
            </w:r>
          </w:p>
        </w:tc>
        <w:tc>
          <w:tcPr>
            <w:tcW w:w="811" w:type="dxa"/>
            <w:tcBorders>
              <w:top w:val="single" w:sz="4" w:space="0" w:color="auto"/>
              <w:left w:val="single" w:sz="12" w:space="0" w:color="auto"/>
              <w:bottom w:val="single" w:sz="4" w:space="0" w:color="auto"/>
              <w:right w:val="single" w:sz="4" w:space="0" w:color="auto"/>
            </w:tcBorders>
            <w:vAlign w:val="center"/>
            <w:hideMark/>
          </w:tcPr>
          <w:p w14:paraId="64652949"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MTX</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EDD0DB"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OLU 4 mg</w:t>
            </w:r>
          </w:p>
        </w:tc>
        <w:tc>
          <w:tcPr>
            <w:tcW w:w="898" w:type="dxa"/>
            <w:tcBorders>
              <w:top w:val="single" w:sz="4" w:space="0" w:color="auto"/>
              <w:left w:val="single" w:sz="4" w:space="0" w:color="auto"/>
              <w:bottom w:val="single" w:sz="4" w:space="0" w:color="auto"/>
              <w:right w:val="single" w:sz="12" w:space="0" w:color="auto"/>
            </w:tcBorders>
            <w:vAlign w:val="center"/>
            <w:hideMark/>
          </w:tcPr>
          <w:p w14:paraId="1972144A" w14:textId="77777777" w:rsidR="00A6463E" w:rsidRPr="004468BE" w:rsidRDefault="00A6463E" w:rsidP="00105060">
            <w:pPr>
              <w:spacing w:after="0" w:line="240" w:lineRule="auto"/>
              <w:jc w:val="center"/>
              <w:rPr>
                <w:rFonts w:eastAsia="Times New Roman" w:cstheme="minorHAnsi"/>
                <w:sz w:val="20"/>
                <w:szCs w:val="24"/>
              </w:rPr>
            </w:pPr>
            <w:r w:rsidRPr="004468BE">
              <w:rPr>
                <w:rFonts w:eastAsia="Times New Roman" w:cstheme="minorHAnsi"/>
                <w:sz w:val="20"/>
                <w:szCs w:val="24"/>
              </w:rPr>
              <w:t>OLU 4 mg</w:t>
            </w:r>
          </w:p>
          <w:p w14:paraId="48810D3C"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 MTX</w:t>
            </w:r>
          </w:p>
        </w:tc>
        <w:tc>
          <w:tcPr>
            <w:tcW w:w="897" w:type="dxa"/>
            <w:tcBorders>
              <w:top w:val="single" w:sz="4" w:space="0" w:color="auto"/>
              <w:left w:val="single" w:sz="12" w:space="0" w:color="auto"/>
              <w:bottom w:val="single" w:sz="4" w:space="0" w:color="auto"/>
              <w:right w:val="single" w:sz="4" w:space="0" w:color="auto"/>
            </w:tcBorders>
            <w:vAlign w:val="center"/>
          </w:tcPr>
          <w:p w14:paraId="19E59309" w14:textId="77777777" w:rsidR="00A6463E" w:rsidRPr="004468BE" w:rsidRDefault="00A6463E" w:rsidP="00105060">
            <w:pPr>
              <w:spacing w:after="0" w:line="240" w:lineRule="auto"/>
              <w:jc w:val="center"/>
              <w:rPr>
                <w:rFonts w:eastAsia="Times New Roman" w:cstheme="minorHAnsi"/>
                <w:sz w:val="20"/>
                <w:szCs w:val="24"/>
              </w:rPr>
            </w:pPr>
            <w:r w:rsidRPr="004468BE">
              <w:rPr>
                <w:rFonts w:eastAsia="Times New Roman" w:cstheme="minorHAnsi"/>
                <w:sz w:val="20"/>
                <w:szCs w:val="24"/>
              </w:rPr>
              <w:t>PBO</w:t>
            </w:r>
          </w:p>
          <w:p w14:paraId="17468AC0" w14:textId="77777777" w:rsidR="00A6463E" w:rsidRPr="004468BE" w:rsidRDefault="00A6463E" w:rsidP="00105060">
            <w:pPr>
              <w:spacing w:after="0" w:line="240" w:lineRule="auto"/>
              <w:jc w:val="center"/>
              <w:rPr>
                <w:rFonts w:eastAsia="Times New Roman" w:cstheme="minorHAnsi"/>
                <w:sz w:val="20"/>
                <w:szCs w:val="24"/>
              </w:rPr>
            </w:pPr>
          </w:p>
          <w:p w14:paraId="0845B05C"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tcPr>
          <w:p w14:paraId="748B6D45" w14:textId="77777777" w:rsidR="00A6463E" w:rsidRPr="004468BE" w:rsidRDefault="00A6463E" w:rsidP="00105060">
            <w:pPr>
              <w:spacing w:after="0" w:line="240" w:lineRule="auto"/>
              <w:jc w:val="center"/>
              <w:rPr>
                <w:rFonts w:eastAsia="Times New Roman" w:cstheme="minorHAnsi"/>
                <w:sz w:val="20"/>
                <w:szCs w:val="24"/>
              </w:rPr>
            </w:pPr>
            <w:r w:rsidRPr="004468BE">
              <w:rPr>
                <w:rFonts w:eastAsia="Times New Roman" w:cstheme="minorHAnsi"/>
                <w:sz w:val="20"/>
                <w:szCs w:val="24"/>
              </w:rPr>
              <w:t>OLU 4 mg</w:t>
            </w:r>
          </w:p>
          <w:p w14:paraId="23EBE495"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12" w:space="0" w:color="auto"/>
            </w:tcBorders>
            <w:vAlign w:val="center"/>
            <w:hideMark/>
          </w:tcPr>
          <w:p w14:paraId="2BACECFD"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ADA 40 mg Q2W</w:t>
            </w:r>
          </w:p>
        </w:tc>
        <w:tc>
          <w:tcPr>
            <w:tcW w:w="897" w:type="dxa"/>
            <w:tcBorders>
              <w:top w:val="single" w:sz="4" w:space="0" w:color="auto"/>
              <w:left w:val="single" w:sz="12" w:space="0" w:color="auto"/>
              <w:bottom w:val="single" w:sz="4" w:space="0" w:color="auto"/>
              <w:right w:val="single" w:sz="4" w:space="0" w:color="auto"/>
            </w:tcBorders>
            <w:vAlign w:val="center"/>
            <w:hideMark/>
          </w:tcPr>
          <w:p w14:paraId="240C7CFB"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PBO</w:t>
            </w:r>
          </w:p>
        </w:tc>
        <w:tc>
          <w:tcPr>
            <w:tcW w:w="898" w:type="dxa"/>
            <w:tcBorders>
              <w:top w:val="single" w:sz="4" w:space="0" w:color="auto"/>
              <w:left w:val="single" w:sz="4" w:space="0" w:color="auto"/>
              <w:bottom w:val="single" w:sz="4" w:space="0" w:color="auto"/>
              <w:right w:val="single" w:sz="4" w:space="0" w:color="auto"/>
            </w:tcBorders>
            <w:vAlign w:val="center"/>
            <w:hideMark/>
          </w:tcPr>
          <w:p w14:paraId="0E235F36"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OLU 2 mg</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E084CAA"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OLU 4 mg</w:t>
            </w:r>
          </w:p>
        </w:tc>
      </w:tr>
      <w:tr w:rsidR="00A6463E" w:rsidRPr="000C4E6C" w14:paraId="1DBD55E0"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78AFB9DE" w14:textId="77777777" w:rsidR="00A6463E" w:rsidRPr="004468BE" w:rsidRDefault="00A6463E" w:rsidP="00105060">
            <w:pPr>
              <w:tabs>
                <w:tab w:val="left" w:pos="567"/>
              </w:tabs>
              <w:spacing w:after="0" w:line="240" w:lineRule="auto"/>
              <w:jc w:val="center"/>
              <w:rPr>
                <w:rFonts w:eastAsia="Calibri" w:cstheme="minorHAnsi"/>
                <w:b/>
                <w:bCs/>
                <w:sz w:val="20"/>
                <w:szCs w:val="24"/>
                <w:lang w:val="en-GB"/>
              </w:rPr>
            </w:pPr>
            <w:r w:rsidRPr="004468BE">
              <w:rPr>
                <w:rFonts w:eastAsia="Calibri" w:cstheme="minorHAnsi"/>
                <w:b/>
                <w:bCs/>
                <w:sz w:val="20"/>
                <w:szCs w:val="24"/>
              </w:rPr>
              <w:t>N</w:t>
            </w:r>
          </w:p>
        </w:tc>
        <w:tc>
          <w:tcPr>
            <w:tcW w:w="811" w:type="dxa"/>
            <w:tcBorders>
              <w:top w:val="single" w:sz="4" w:space="0" w:color="auto"/>
              <w:left w:val="single" w:sz="12" w:space="0" w:color="auto"/>
              <w:bottom w:val="single" w:sz="4" w:space="0" w:color="auto"/>
              <w:right w:val="single" w:sz="4" w:space="0" w:color="auto"/>
            </w:tcBorders>
            <w:vAlign w:val="center"/>
            <w:hideMark/>
          </w:tcPr>
          <w:p w14:paraId="087A6E1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210</w:t>
            </w:r>
          </w:p>
        </w:tc>
        <w:tc>
          <w:tcPr>
            <w:tcW w:w="897" w:type="dxa"/>
            <w:tcBorders>
              <w:top w:val="single" w:sz="4" w:space="0" w:color="auto"/>
              <w:left w:val="single" w:sz="4" w:space="0" w:color="auto"/>
              <w:bottom w:val="single" w:sz="4" w:space="0" w:color="auto"/>
              <w:right w:val="single" w:sz="4" w:space="0" w:color="auto"/>
            </w:tcBorders>
            <w:vAlign w:val="center"/>
            <w:hideMark/>
          </w:tcPr>
          <w:p w14:paraId="5BDE2652"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159</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470F9F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215</w:t>
            </w:r>
          </w:p>
        </w:tc>
        <w:tc>
          <w:tcPr>
            <w:tcW w:w="897" w:type="dxa"/>
            <w:tcBorders>
              <w:top w:val="single" w:sz="4" w:space="0" w:color="auto"/>
              <w:left w:val="single" w:sz="12" w:space="0" w:color="auto"/>
              <w:bottom w:val="single" w:sz="4" w:space="0" w:color="auto"/>
              <w:right w:val="single" w:sz="4" w:space="0" w:color="auto"/>
            </w:tcBorders>
            <w:vAlign w:val="center"/>
            <w:hideMark/>
          </w:tcPr>
          <w:p w14:paraId="2D3190C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488</w:t>
            </w:r>
          </w:p>
        </w:tc>
        <w:tc>
          <w:tcPr>
            <w:tcW w:w="898" w:type="dxa"/>
            <w:tcBorders>
              <w:top w:val="single" w:sz="4" w:space="0" w:color="auto"/>
              <w:left w:val="single" w:sz="4" w:space="0" w:color="auto"/>
              <w:bottom w:val="single" w:sz="4" w:space="0" w:color="auto"/>
              <w:right w:val="single" w:sz="4" w:space="0" w:color="auto"/>
            </w:tcBorders>
            <w:vAlign w:val="center"/>
            <w:hideMark/>
          </w:tcPr>
          <w:p w14:paraId="618D0B39"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487</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AF4621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330</w:t>
            </w:r>
          </w:p>
        </w:tc>
        <w:tc>
          <w:tcPr>
            <w:tcW w:w="897" w:type="dxa"/>
            <w:tcBorders>
              <w:top w:val="single" w:sz="4" w:space="0" w:color="auto"/>
              <w:left w:val="single" w:sz="12" w:space="0" w:color="auto"/>
              <w:bottom w:val="single" w:sz="4" w:space="0" w:color="auto"/>
              <w:right w:val="single" w:sz="4" w:space="0" w:color="auto"/>
            </w:tcBorders>
            <w:vAlign w:val="center"/>
            <w:hideMark/>
          </w:tcPr>
          <w:p w14:paraId="0C6525F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228</w:t>
            </w:r>
          </w:p>
        </w:tc>
        <w:tc>
          <w:tcPr>
            <w:tcW w:w="898" w:type="dxa"/>
            <w:tcBorders>
              <w:top w:val="single" w:sz="4" w:space="0" w:color="auto"/>
              <w:left w:val="single" w:sz="4" w:space="0" w:color="auto"/>
              <w:bottom w:val="single" w:sz="4" w:space="0" w:color="auto"/>
              <w:right w:val="single" w:sz="4" w:space="0" w:color="auto"/>
            </w:tcBorders>
            <w:vAlign w:val="center"/>
            <w:hideMark/>
          </w:tcPr>
          <w:p w14:paraId="1F6F35F3"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229</w:t>
            </w:r>
          </w:p>
        </w:tc>
        <w:tc>
          <w:tcPr>
            <w:tcW w:w="898" w:type="dxa"/>
            <w:tcBorders>
              <w:top w:val="single" w:sz="4" w:space="0" w:color="auto"/>
              <w:left w:val="single" w:sz="4" w:space="0" w:color="auto"/>
              <w:bottom w:val="single" w:sz="4" w:space="0" w:color="auto"/>
              <w:right w:val="single" w:sz="12" w:space="0" w:color="auto"/>
            </w:tcBorders>
            <w:vAlign w:val="center"/>
            <w:hideMark/>
          </w:tcPr>
          <w:p w14:paraId="0875795B"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227</w:t>
            </w:r>
          </w:p>
        </w:tc>
      </w:tr>
      <w:tr w:rsidR="00A6463E" w:rsidRPr="000C4E6C" w14:paraId="6A651559" w14:textId="77777777"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14:paraId="03944699"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b/>
                <w:sz w:val="20"/>
                <w:szCs w:val="24"/>
              </w:rPr>
              <w:t>Modified Total Sharp Score, mean change from baseline:</w:t>
            </w:r>
          </w:p>
        </w:tc>
      </w:tr>
      <w:tr w:rsidR="00A6463E" w:rsidRPr="000C4E6C" w14:paraId="7A64DC2A"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42F0F942"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14:paraId="31973178"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0.61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0518FE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0.39</w:t>
            </w:r>
          </w:p>
        </w:tc>
        <w:tc>
          <w:tcPr>
            <w:tcW w:w="898" w:type="dxa"/>
            <w:tcBorders>
              <w:top w:val="single" w:sz="4" w:space="0" w:color="auto"/>
              <w:left w:val="single" w:sz="4" w:space="0" w:color="auto"/>
              <w:bottom w:val="single" w:sz="4" w:space="0" w:color="auto"/>
              <w:right w:val="single" w:sz="12" w:space="0" w:color="auto"/>
            </w:tcBorders>
            <w:vAlign w:val="center"/>
            <w:hideMark/>
          </w:tcPr>
          <w:p w14:paraId="240B4DF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0.29</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tcPr>
          <w:p w14:paraId="60B9DE08"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0.90</w:t>
            </w:r>
          </w:p>
        </w:tc>
        <w:tc>
          <w:tcPr>
            <w:tcW w:w="898" w:type="dxa"/>
            <w:tcBorders>
              <w:top w:val="single" w:sz="4" w:space="0" w:color="auto"/>
              <w:left w:val="single" w:sz="4" w:space="0" w:color="auto"/>
              <w:bottom w:val="single" w:sz="4" w:space="0" w:color="auto"/>
              <w:right w:val="single" w:sz="4" w:space="0" w:color="auto"/>
            </w:tcBorders>
            <w:vAlign w:val="center"/>
            <w:hideMark/>
          </w:tcPr>
          <w:p w14:paraId="5587BDA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0.41</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5384C82D"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0.33</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14:paraId="28004BE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0.70</w:t>
            </w:r>
          </w:p>
        </w:tc>
        <w:tc>
          <w:tcPr>
            <w:tcW w:w="898" w:type="dxa"/>
            <w:tcBorders>
              <w:top w:val="single" w:sz="4" w:space="0" w:color="auto"/>
              <w:left w:val="single" w:sz="4" w:space="0" w:color="auto"/>
              <w:bottom w:val="single" w:sz="4" w:space="0" w:color="auto"/>
              <w:right w:val="single" w:sz="4" w:space="0" w:color="auto"/>
            </w:tcBorders>
            <w:vAlign w:val="center"/>
            <w:hideMark/>
          </w:tcPr>
          <w:p w14:paraId="2E6BAEF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0.33</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422E98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0.15</w:t>
            </w:r>
            <w:r w:rsidRPr="004468BE">
              <w:rPr>
                <w:rFonts w:eastAsia="Times New Roman" w:cstheme="minorHAnsi"/>
                <w:sz w:val="20"/>
                <w:szCs w:val="24"/>
                <w:vertAlign w:val="superscript"/>
              </w:rPr>
              <w:t>**</w:t>
            </w:r>
          </w:p>
        </w:tc>
      </w:tr>
      <w:tr w:rsidR="00A6463E" w:rsidRPr="000C4E6C" w14:paraId="6B5979B1"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0A5F4374"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14:paraId="03AB66ED"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1.02</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9844E6"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0.80</w:t>
            </w:r>
          </w:p>
        </w:tc>
        <w:tc>
          <w:tcPr>
            <w:tcW w:w="898" w:type="dxa"/>
            <w:tcBorders>
              <w:top w:val="single" w:sz="4" w:space="0" w:color="auto"/>
              <w:left w:val="single" w:sz="4" w:space="0" w:color="auto"/>
              <w:bottom w:val="single" w:sz="4" w:space="0" w:color="auto"/>
              <w:right w:val="single" w:sz="12" w:space="0" w:color="auto"/>
            </w:tcBorders>
            <w:vAlign w:val="center"/>
            <w:hideMark/>
          </w:tcPr>
          <w:p w14:paraId="29980B3D"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0.40</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8F3FB4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52FB9DA5"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0.71</w:t>
            </w:r>
          </w:p>
        </w:tc>
        <w:tc>
          <w:tcPr>
            <w:tcW w:w="898" w:type="dxa"/>
            <w:tcBorders>
              <w:top w:val="single" w:sz="4" w:space="0" w:color="auto"/>
              <w:left w:val="single" w:sz="4" w:space="0" w:color="auto"/>
              <w:bottom w:val="single" w:sz="4" w:space="0" w:color="auto"/>
              <w:right w:val="single" w:sz="12" w:space="0" w:color="auto"/>
            </w:tcBorders>
            <w:vAlign w:val="center"/>
            <w:hideMark/>
          </w:tcPr>
          <w:p w14:paraId="19DBAE64"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0.60</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14:paraId="1BBDF7F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14:paraId="61DD8236"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14:paraId="09D92B29"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r>
      <w:tr w:rsidR="00A6463E" w:rsidRPr="000C4E6C" w14:paraId="719C3C25" w14:textId="77777777"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14:paraId="629E652C"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b/>
                <w:sz w:val="20"/>
                <w:szCs w:val="24"/>
              </w:rPr>
              <w:t>Erosion Score, mean change from baseline:</w:t>
            </w:r>
          </w:p>
        </w:tc>
      </w:tr>
      <w:tr w:rsidR="00A6463E" w:rsidRPr="000C4E6C" w14:paraId="06FCE469"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11BC5E9D"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14:paraId="02867A9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C19A64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0.33</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F0BFCA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0.26</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tcPr>
          <w:p w14:paraId="09E993BA"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0.61</w:t>
            </w:r>
          </w:p>
        </w:tc>
        <w:tc>
          <w:tcPr>
            <w:tcW w:w="898" w:type="dxa"/>
            <w:tcBorders>
              <w:top w:val="single" w:sz="4" w:space="0" w:color="auto"/>
              <w:left w:val="single" w:sz="4" w:space="0" w:color="auto"/>
              <w:bottom w:val="single" w:sz="4" w:space="0" w:color="auto"/>
              <w:right w:val="single" w:sz="4" w:space="0" w:color="auto"/>
            </w:tcBorders>
            <w:vAlign w:val="center"/>
            <w:hideMark/>
          </w:tcPr>
          <w:p w14:paraId="60D50B6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0.29</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6824520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0.24</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14:paraId="546BB2E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0.47</w:t>
            </w:r>
          </w:p>
        </w:tc>
        <w:tc>
          <w:tcPr>
            <w:tcW w:w="898" w:type="dxa"/>
            <w:tcBorders>
              <w:top w:val="single" w:sz="4" w:space="0" w:color="auto"/>
              <w:left w:val="single" w:sz="4" w:space="0" w:color="auto"/>
              <w:bottom w:val="single" w:sz="4" w:space="0" w:color="auto"/>
              <w:right w:val="single" w:sz="4" w:space="0" w:color="auto"/>
            </w:tcBorders>
            <w:vAlign w:val="center"/>
            <w:hideMark/>
          </w:tcPr>
          <w:p w14:paraId="42BC2CE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0.30</w:t>
            </w:r>
          </w:p>
        </w:tc>
        <w:tc>
          <w:tcPr>
            <w:tcW w:w="898" w:type="dxa"/>
            <w:tcBorders>
              <w:top w:val="single" w:sz="4" w:space="0" w:color="auto"/>
              <w:left w:val="single" w:sz="4" w:space="0" w:color="auto"/>
              <w:bottom w:val="single" w:sz="4" w:space="0" w:color="auto"/>
              <w:right w:val="single" w:sz="12" w:space="0" w:color="auto"/>
            </w:tcBorders>
            <w:vAlign w:val="center"/>
            <w:hideMark/>
          </w:tcPr>
          <w:p w14:paraId="4812741A"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0.11</w:t>
            </w:r>
            <w:r w:rsidRPr="004468BE">
              <w:rPr>
                <w:rFonts w:eastAsia="Times New Roman" w:cstheme="minorHAnsi"/>
                <w:sz w:val="20"/>
                <w:szCs w:val="24"/>
                <w:vertAlign w:val="superscript"/>
              </w:rPr>
              <w:t>**</w:t>
            </w:r>
          </w:p>
        </w:tc>
      </w:tr>
      <w:tr w:rsidR="00A6463E" w:rsidRPr="000C4E6C" w14:paraId="4E9378BD"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2ED35741"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14:paraId="7CC71A8C"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0.81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52671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0.55</w:t>
            </w:r>
          </w:p>
        </w:tc>
        <w:tc>
          <w:tcPr>
            <w:tcW w:w="898" w:type="dxa"/>
            <w:tcBorders>
              <w:top w:val="single" w:sz="4" w:space="0" w:color="auto"/>
              <w:left w:val="single" w:sz="4" w:space="0" w:color="auto"/>
              <w:bottom w:val="single" w:sz="4" w:space="0" w:color="auto"/>
              <w:right w:val="single" w:sz="12" w:space="0" w:color="auto"/>
            </w:tcBorders>
            <w:vAlign w:val="center"/>
            <w:hideMark/>
          </w:tcPr>
          <w:p w14:paraId="5D48DAE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0.34</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F02C72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389E1674"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0.51</w:t>
            </w:r>
          </w:p>
        </w:tc>
        <w:tc>
          <w:tcPr>
            <w:tcW w:w="898" w:type="dxa"/>
            <w:tcBorders>
              <w:top w:val="single" w:sz="4" w:space="0" w:color="auto"/>
              <w:left w:val="single" w:sz="4" w:space="0" w:color="auto"/>
              <w:bottom w:val="single" w:sz="4" w:space="0" w:color="auto"/>
              <w:right w:val="single" w:sz="12" w:space="0" w:color="auto"/>
            </w:tcBorders>
            <w:vAlign w:val="center"/>
            <w:hideMark/>
          </w:tcPr>
          <w:p w14:paraId="23D03556"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0.42</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14:paraId="059AEBE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14:paraId="2357BCBB"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14:paraId="77F008E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r>
      <w:tr w:rsidR="00A6463E" w:rsidRPr="000C4E6C" w14:paraId="2EA7F80E" w14:textId="77777777"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14:paraId="0A8BC24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b/>
                <w:sz w:val="20"/>
                <w:szCs w:val="24"/>
              </w:rPr>
              <w:t>Joint Space Narrowing Score, mean change from baseline:</w:t>
            </w:r>
          </w:p>
        </w:tc>
      </w:tr>
      <w:tr w:rsidR="00A6463E" w:rsidRPr="000C4E6C" w14:paraId="10848725"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7CE3ECA7"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14:paraId="4EFAAC04"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0.14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A5FE48"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0.06</w:t>
            </w:r>
          </w:p>
        </w:tc>
        <w:tc>
          <w:tcPr>
            <w:tcW w:w="898" w:type="dxa"/>
            <w:tcBorders>
              <w:top w:val="single" w:sz="4" w:space="0" w:color="auto"/>
              <w:left w:val="single" w:sz="4" w:space="0" w:color="auto"/>
              <w:bottom w:val="single" w:sz="4" w:space="0" w:color="auto"/>
              <w:right w:val="single" w:sz="12" w:space="0" w:color="auto"/>
            </w:tcBorders>
            <w:vAlign w:val="center"/>
            <w:hideMark/>
          </w:tcPr>
          <w:p w14:paraId="5818C80D"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0.03</w:t>
            </w:r>
          </w:p>
        </w:tc>
        <w:tc>
          <w:tcPr>
            <w:tcW w:w="897" w:type="dxa"/>
            <w:tcBorders>
              <w:top w:val="single" w:sz="4" w:space="0" w:color="auto"/>
              <w:left w:val="single" w:sz="12" w:space="0" w:color="auto"/>
              <w:bottom w:val="single" w:sz="4" w:space="0" w:color="auto"/>
              <w:right w:val="single" w:sz="4" w:space="0" w:color="auto"/>
            </w:tcBorders>
            <w:vAlign w:val="center"/>
          </w:tcPr>
          <w:p w14:paraId="49BF87E5"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0.29</w:t>
            </w:r>
          </w:p>
        </w:tc>
        <w:tc>
          <w:tcPr>
            <w:tcW w:w="898" w:type="dxa"/>
            <w:tcBorders>
              <w:top w:val="single" w:sz="4" w:space="0" w:color="auto"/>
              <w:left w:val="single" w:sz="4" w:space="0" w:color="auto"/>
              <w:bottom w:val="single" w:sz="4" w:space="0" w:color="auto"/>
              <w:right w:val="single" w:sz="4" w:space="0" w:color="auto"/>
            </w:tcBorders>
            <w:vAlign w:val="center"/>
            <w:hideMark/>
          </w:tcPr>
          <w:p w14:paraId="53CD3415"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0.12</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0253E5F2"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0.10</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14:paraId="67A91FF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0.23</w:t>
            </w:r>
          </w:p>
        </w:tc>
        <w:tc>
          <w:tcPr>
            <w:tcW w:w="898" w:type="dxa"/>
            <w:tcBorders>
              <w:top w:val="single" w:sz="4" w:space="0" w:color="auto"/>
              <w:left w:val="single" w:sz="4" w:space="0" w:color="auto"/>
              <w:bottom w:val="single" w:sz="4" w:space="0" w:color="auto"/>
              <w:right w:val="single" w:sz="4" w:space="0" w:color="auto"/>
            </w:tcBorders>
            <w:vAlign w:val="center"/>
            <w:hideMark/>
          </w:tcPr>
          <w:p w14:paraId="5E3D647C"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0.03</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444DAA3"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0.04</w:t>
            </w:r>
            <w:r w:rsidRPr="004468BE">
              <w:rPr>
                <w:rFonts w:eastAsia="Times New Roman" w:cstheme="minorHAnsi"/>
                <w:sz w:val="20"/>
                <w:szCs w:val="24"/>
                <w:vertAlign w:val="superscript"/>
              </w:rPr>
              <w:t>*</w:t>
            </w:r>
          </w:p>
        </w:tc>
      </w:tr>
      <w:tr w:rsidR="00A6463E" w:rsidRPr="000C4E6C" w14:paraId="73800F8B"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47414785" w14:textId="77777777" w:rsidR="00A6463E" w:rsidRPr="004468BE" w:rsidRDefault="00A6463E" w:rsidP="00105060">
            <w:pPr>
              <w:tabs>
                <w:tab w:val="left" w:pos="567"/>
              </w:tabs>
              <w:spacing w:after="0" w:line="240" w:lineRule="auto"/>
              <w:jc w:val="center"/>
              <w:rPr>
                <w:rFonts w:eastAsia="Times New Roman" w:cstheme="minorHAnsi"/>
                <w:b/>
                <w:sz w:val="20"/>
                <w:szCs w:val="24"/>
                <w:lang w:val="en-GB"/>
              </w:rPr>
            </w:pPr>
            <w:r w:rsidRPr="004468BE">
              <w:rPr>
                <w:rFonts w:eastAsia="Times New Roman" w:cstheme="minorHAnsi"/>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14:paraId="2E61922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031D8E2"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0.25</w:t>
            </w:r>
          </w:p>
        </w:tc>
        <w:tc>
          <w:tcPr>
            <w:tcW w:w="898" w:type="dxa"/>
            <w:tcBorders>
              <w:top w:val="single" w:sz="4" w:space="0" w:color="auto"/>
              <w:left w:val="single" w:sz="4" w:space="0" w:color="auto"/>
              <w:bottom w:val="single" w:sz="4" w:space="0" w:color="auto"/>
              <w:right w:val="single" w:sz="12" w:space="0" w:color="auto"/>
            </w:tcBorders>
            <w:vAlign w:val="center"/>
            <w:hideMark/>
          </w:tcPr>
          <w:p w14:paraId="435A3EB4"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0.06</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2448B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23079A8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0.21</w:t>
            </w:r>
          </w:p>
        </w:tc>
        <w:tc>
          <w:tcPr>
            <w:tcW w:w="898" w:type="dxa"/>
            <w:tcBorders>
              <w:top w:val="single" w:sz="4" w:space="0" w:color="auto"/>
              <w:left w:val="single" w:sz="4" w:space="0" w:color="auto"/>
              <w:bottom w:val="single" w:sz="4" w:space="0" w:color="auto"/>
              <w:right w:val="single" w:sz="12" w:space="0" w:color="auto"/>
            </w:tcBorders>
            <w:vAlign w:val="center"/>
            <w:hideMark/>
          </w:tcPr>
          <w:p w14:paraId="75C12B66" w14:textId="77777777" w:rsidR="00A6463E" w:rsidRPr="004468BE" w:rsidRDefault="00A6463E" w:rsidP="00105060">
            <w:pPr>
              <w:tabs>
                <w:tab w:val="left" w:pos="567"/>
              </w:tabs>
              <w:spacing w:after="0" w:line="240" w:lineRule="auto"/>
              <w:jc w:val="center"/>
              <w:rPr>
                <w:rFonts w:eastAsia="Times New Roman" w:cstheme="minorHAnsi"/>
                <w:sz w:val="20"/>
                <w:szCs w:val="24"/>
              </w:rPr>
            </w:pPr>
            <w:r w:rsidRPr="004468BE">
              <w:rPr>
                <w:rFonts w:eastAsia="Times New Roman" w:cstheme="minorHAnsi"/>
                <w:sz w:val="20"/>
                <w:szCs w:val="24"/>
              </w:rPr>
              <w:t>0.19</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14:paraId="0EAAE4E3"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14:paraId="4D1BA39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14:paraId="3860C55B"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r>
      <w:tr w:rsidR="00A6463E" w:rsidRPr="000C4E6C" w14:paraId="66495E0D" w14:textId="77777777"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14:paraId="12E13F62"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b/>
                <w:sz w:val="20"/>
                <w:szCs w:val="24"/>
              </w:rPr>
              <w:t xml:space="preserve">Proportion of patients with no radiographic </w:t>
            </w:r>
            <w:proofErr w:type="spellStart"/>
            <w:r w:rsidRPr="004468BE">
              <w:rPr>
                <w:rFonts w:eastAsia="Times New Roman" w:cstheme="minorHAnsi"/>
                <w:b/>
                <w:sz w:val="20"/>
                <w:szCs w:val="24"/>
              </w:rPr>
              <w:t>progression</w:t>
            </w:r>
            <w:r w:rsidRPr="004468BE">
              <w:rPr>
                <w:rFonts w:eastAsia="Times New Roman" w:cstheme="minorHAnsi"/>
                <w:b/>
                <w:sz w:val="20"/>
                <w:szCs w:val="24"/>
                <w:vertAlign w:val="superscript"/>
              </w:rPr>
              <w:t>a</w:t>
            </w:r>
            <w:proofErr w:type="spellEnd"/>
            <w:r w:rsidRPr="004468BE">
              <w:rPr>
                <w:rFonts w:eastAsia="Times New Roman" w:cstheme="minorHAnsi"/>
                <w:b/>
                <w:sz w:val="20"/>
                <w:szCs w:val="24"/>
              </w:rPr>
              <w:t>:</w:t>
            </w:r>
          </w:p>
        </w:tc>
      </w:tr>
      <w:tr w:rsidR="00A6463E" w:rsidRPr="000C4E6C" w14:paraId="59083FCE"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27AA158E"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14:paraId="4309B397"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68 %</w:t>
            </w:r>
          </w:p>
        </w:tc>
        <w:tc>
          <w:tcPr>
            <w:tcW w:w="897" w:type="dxa"/>
            <w:tcBorders>
              <w:top w:val="single" w:sz="4" w:space="0" w:color="auto"/>
              <w:left w:val="single" w:sz="4" w:space="0" w:color="auto"/>
              <w:bottom w:val="single" w:sz="4" w:space="0" w:color="auto"/>
              <w:right w:val="single" w:sz="4" w:space="0" w:color="auto"/>
            </w:tcBorders>
            <w:vAlign w:val="center"/>
            <w:hideMark/>
          </w:tcPr>
          <w:p w14:paraId="663B7AE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76 %</w:t>
            </w:r>
          </w:p>
        </w:tc>
        <w:tc>
          <w:tcPr>
            <w:tcW w:w="898" w:type="dxa"/>
            <w:tcBorders>
              <w:top w:val="single" w:sz="4" w:space="0" w:color="auto"/>
              <w:left w:val="single" w:sz="4" w:space="0" w:color="auto"/>
              <w:bottom w:val="single" w:sz="4" w:space="0" w:color="auto"/>
              <w:right w:val="single" w:sz="12" w:space="0" w:color="auto"/>
            </w:tcBorders>
            <w:vAlign w:val="center"/>
            <w:hideMark/>
          </w:tcPr>
          <w:p w14:paraId="12E5C71C"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81 %</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tcPr>
          <w:p w14:paraId="14142796"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70 %</w:t>
            </w:r>
          </w:p>
        </w:tc>
        <w:tc>
          <w:tcPr>
            <w:tcW w:w="898" w:type="dxa"/>
            <w:tcBorders>
              <w:top w:val="single" w:sz="4" w:space="0" w:color="auto"/>
              <w:left w:val="single" w:sz="4" w:space="0" w:color="auto"/>
              <w:bottom w:val="single" w:sz="4" w:space="0" w:color="auto"/>
              <w:right w:val="single" w:sz="4" w:space="0" w:color="auto"/>
            </w:tcBorders>
            <w:vAlign w:val="center"/>
            <w:hideMark/>
          </w:tcPr>
          <w:p w14:paraId="643F51A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81 %</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6C2B407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83 %</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14:paraId="5253F64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74 %</w:t>
            </w:r>
          </w:p>
        </w:tc>
        <w:tc>
          <w:tcPr>
            <w:tcW w:w="898" w:type="dxa"/>
            <w:tcBorders>
              <w:top w:val="single" w:sz="4" w:space="0" w:color="auto"/>
              <w:left w:val="single" w:sz="4" w:space="0" w:color="auto"/>
              <w:bottom w:val="single" w:sz="4" w:space="0" w:color="auto"/>
              <w:right w:val="single" w:sz="4" w:space="0" w:color="auto"/>
            </w:tcBorders>
            <w:vAlign w:val="center"/>
            <w:hideMark/>
          </w:tcPr>
          <w:p w14:paraId="7A1D04A5"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72 %</w:t>
            </w:r>
            <w:r w:rsidRPr="004468BE">
              <w:rPr>
                <w:rFonts w:eastAsia="Times New Roman" w:cstheme="minorHAnsi"/>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14:paraId="464826E0"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80 %</w:t>
            </w:r>
            <w:r w:rsidRPr="004468BE">
              <w:rPr>
                <w:rFonts w:eastAsia="Times New Roman" w:cstheme="minorHAnsi"/>
                <w:sz w:val="20"/>
                <w:szCs w:val="24"/>
                <w:vertAlign w:val="superscript"/>
              </w:rPr>
              <w:t>**</w:t>
            </w:r>
          </w:p>
        </w:tc>
      </w:tr>
      <w:tr w:rsidR="00A6463E" w:rsidRPr="000C4E6C" w14:paraId="14BEB14C" w14:textId="77777777"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14:paraId="2C84B946"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14:paraId="7AC47A6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66 %</w:t>
            </w:r>
          </w:p>
        </w:tc>
        <w:tc>
          <w:tcPr>
            <w:tcW w:w="897" w:type="dxa"/>
            <w:tcBorders>
              <w:top w:val="single" w:sz="4" w:space="0" w:color="auto"/>
              <w:left w:val="single" w:sz="4" w:space="0" w:color="auto"/>
              <w:bottom w:val="single" w:sz="4" w:space="0" w:color="auto"/>
              <w:right w:val="single" w:sz="4" w:space="0" w:color="auto"/>
            </w:tcBorders>
            <w:vAlign w:val="center"/>
            <w:hideMark/>
          </w:tcPr>
          <w:p w14:paraId="5E99E384"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69 %</w:t>
            </w:r>
          </w:p>
        </w:tc>
        <w:tc>
          <w:tcPr>
            <w:tcW w:w="898" w:type="dxa"/>
            <w:tcBorders>
              <w:top w:val="single" w:sz="4" w:space="0" w:color="auto"/>
              <w:left w:val="single" w:sz="4" w:space="0" w:color="auto"/>
              <w:bottom w:val="single" w:sz="4" w:space="0" w:color="auto"/>
              <w:right w:val="single" w:sz="12" w:space="0" w:color="auto"/>
            </w:tcBorders>
            <w:vAlign w:val="center"/>
            <w:hideMark/>
          </w:tcPr>
          <w:p w14:paraId="50BA2E12"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80 %</w:t>
            </w:r>
            <w:r w:rsidRPr="004468BE">
              <w:rPr>
                <w:rFonts w:eastAsia="Times New Roman" w:cstheme="minorHAnsi"/>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18650B1"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68D25C35" w14:textId="77777777" w:rsidR="00A6463E" w:rsidRPr="004468BE" w:rsidRDefault="00A6463E" w:rsidP="00105060">
            <w:pPr>
              <w:tabs>
                <w:tab w:val="left" w:pos="567"/>
              </w:tabs>
              <w:spacing w:after="0" w:line="240" w:lineRule="auto"/>
              <w:jc w:val="center"/>
              <w:rPr>
                <w:rFonts w:eastAsia="Times New Roman" w:cstheme="minorHAnsi"/>
                <w:sz w:val="20"/>
                <w:szCs w:val="24"/>
                <w:vertAlign w:val="superscript"/>
              </w:rPr>
            </w:pPr>
            <w:r w:rsidRPr="004468BE">
              <w:rPr>
                <w:rFonts w:eastAsia="Times New Roman" w:cstheme="minorHAnsi"/>
                <w:sz w:val="20"/>
                <w:szCs w:val="24"/>
              </w:rPr>
              <w:t>79 %</w:t>
            </w:r>
          </w:p>
        </w:tc>
        <w:tc>
          <w:tcPr>
            <w:tcW w:w="898" w:type="dxa"/>
            <w:tcBorders>
              <w:top w:val="single" w:sz="4" w:space="0" w:color="auto"/>
              <w:left w:val="single" w:sz="4" w:space="0" w:color="auto"/>
              <w:bottom w:val="single" w:sz="4" w:space="0" w:color="auto"/>
              <w:right w:val="single" w:sz="12" w:space="0" w:color="auto"/>
            </w:tcBorders>
            <w:vAlign w:val="center"/>
            <w:hideMark/>
          </w:tcPr>
          <w:p w14:paraId="69284926"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r w:rsidRPr="004468BE">
              <w:rPr>
                <w:rFonts w:eastAsia="Times New Roman" w:cstheme="minorHAnsi"/>
                <w:sz w:val="20"/>
                <w:szCs w:val="24"/>
              </w:rPr>
              <w:t>81 %</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14:paraId="498B2639"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14:paraId="7A46365D"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14:paraId="72A08FEF" w14:textId="77777777" w:rsidR="00A6463E" w:rsidRPr="004468BE" w:rsidRDefault="00A6463E" w:rsidP="00105060">
            <w:pPr>
              <w:tabs>
                <w:tab w:val="left" w:pos="567"/>
              </w:tabs>
              <w:spacing w:after="0" w:line="240" w:lineRule="auto"/>
              <w:jc w:val="center"/>
              <w:rPr>
                <w:rFonts w:eastAsia="Times New Roman" w:cstheme="minorHAnsi"/>
                <w:sz w:val="20"/>
                <w:szCs w:val="24"/>
                <w:lang w:val="en-GB"/>
              </w:rPr>
            </w:pPr>
          </w:p>
        </w:tc>
      </w:tr>
    </w:tbl>
    <w:p w14:paraId="72A4729E" w14:textId="77777777" w:rsidR="00A6463E" w:rsidRPr="004468BE" w:rsidRDefault="00A6463E" w:rsidP="00105060">
      <w:pPr>
        <w:tabs>
          <w:tab w:val="left" w:pos="259"/>
        </w:tabs>
        <w:spacing w:after="0" w:line="240" w:lineRule="auto"/>
        <w:rPr>
          <w:rFonts w:eastAsia="Times New Roman" w:cstheme="minorHAnsi"/>
          <w:sz w:val="18"/>
          <w:szCs w:val="18"/>
          <w:lang w:val="en-GB"/>
        </w:rPr>
      </w:pPr>
      <w:r w:rsidRPr="004468BE">
        <w:rPr>
          <w:rFonts w:eastAsia="Times New Roman" w:cstheme="minorHAnsi"/>
          <w:sz w:val="18"/>
          <w:szCs w:val="18"/>
          <w:lang w:val="en-GB"/>
        </w:rPr>
        <w:t xml:space="preserve">Abbreviations: ADA = adalimumab; MTX = methotrexate; OLU = </w:t>
      </w:r>
      <w:proofErr w:type="spellStart"/>
      <w:r w:rsidRPr="004468BE">
        <w:rPr>
          <w:rFonts w:eastAsia="Times New Roman" w:cstheme="minorHAnsi"/>
          <w:sz w:val="18"/>
          <w:szCs w:val="18"/>
          <w:lang w:val="en-GB"/>
        </w:rPr>
        <w:t>Olumiant</w:t>
      </w:r>
      <w:proofErr w:type="spellEnd"/>
      <w:r w:rsidRPr="004468BE">
        <w:rPr>
          <w:rFonts w:eastAsia="Times New Roman" w:cstheme="minorHAnsi"/>
          <w:sz w:val="18"/>
          <w:szCs w:val="18"/>
          <w:lang w:val="en-GB"/>
        </w:rPr>
        <w:t xml:space="preserve">; PBO = Placebo ; MTX-IR = methotrexate inadequate responders; </w:t>
      </w:r>
      <w:proofErr w:type="spellStart"/>
      <w:r w:rsidRPr="004468BE">
        <w:rPr>
          <w:rFonts w:eastAsia="Times New Roman" w:cstheme="minorHAnsi"/>
          <w:sz w:val="18"/>
          <w:szCs w:val="18"/>
          <w:lang w:val="en-GB"/>
        </w:rPr>
        <w:t>cDMARD</w:t>
      </w:r>
      <w:proofErr w:type="spellEnd"/>
      <w:r w:rsidRPr="004468BE">
        <w:rPr>
          <w:rFonts w:eastAsia="Times New Roman" w:cstheme="minorHAnsi"/>
          <w:sz w:val="18"/>
          <w:szCs w:val="18"/>
          <w:lang w:val="en-GB"/>
        </w:rPr>
        <w:t xml:space="preserve"> -IR = conventional disease-modifying </w:t>
      </w:r>
      <w:proofErr w:type="spellStart"/>
      <w:r w:rsidRPr="004468BE">
        <w:rPr>
          <w:rFonts w:eastAsia="Times New Roman" w:cstheme="minorHAnsi"/>
          <w:sz w:val="18"/>
          <w:szCs w:val="18"/>
          <w:lang w:val="en-GB"/>
        </w:rPr>
        <w:t>antirheumatic</w:t>
      </w:r>
      <w:proofErr w:type="spellEnd"/>
      <w:r w:rsidRPr="004468BE">
        <w:rPr>
          <w:rFonts w:eastAsia="Times New Roman" w:cstheme="minorHAnsi"/>
          <w:sz w:val="18"/>
          <w:szCs w:val="18"/>
          <w:lang w:val="en-GB"/>
        </w:rPr>
        <w:t xml:space="preserve"> drug</w:t>
      </w:r>
      <w:r w:rsidRPr="004468BE" w:rsidDel="001D45D4">
        <w:rPr>
          <w:rFonts w:eastAsia="Times New Roman" w:cstheme="minorHAnsi"/>
          <w:sz w:val="18"/>
          <w:szCs w:val="18"/>
          <w:lang w:val="en-GB"/>
        </w:rPr>
        <w:t xml:space="preserve"> </w:t>
      </w:r>
      <w:r w:rsidRPr="004468BE">
        <w:rPr>
          <w:rFonts w:eastAsia="Times New Roman" w:cstheme="minorHAnsi"/>
          <w:sz w:val="18"/>
          <w:szCs w:val="18"/>
          <w:lang w:val="en-GB"/>
        </w:rPr>
        <w:t>inadequate responders.</w:t>
      </w:r>
    </w:p>
    <w:p w14:paraId="29CE1894" w14:textId="77777777" w:rsidR="00A6463E" w:rsidRPr="004468BE" w:rsidRDefault="00A6463E" w:rsidP="00105060">
      <w:pPr>
        <w:spacing w:after="0" w:line="240" w:lineRule="auto"/>
        <w:rPr>
          <w:rFonts w:eastAsia="Calibri" w:cstheme="minorHAnsi"/>
          <w:sz w:val="18"/>
          <w:szCs w:val="18"/>
          <w:lang w:val="en-GB"/>
        </w:rPr>
      </w:pPr>
    </w:p>
    <w:p w14:paraId="62919EEF" w14:textId="77777777" w:rsidR="00A6463E" w:rsidRPr="004468BE" w:rsidRDefault="00A6463E" w:rsidP="00105060">
      <w:pPr>
        <w:spacing w:after="0" w:line="240" w:lineRule="auto"/>
        <w:rPr>
          <w:rFonts w:eastAsia="Calibri" w:cstheme="minorHAnsi"/>
          <w:sz w:val="18"/>
          <w:szCs w:val="18"/>
        </w:rPr>
      </w:pPr>
      <w:r w:rsidRPr="004468BE">
        <w:rPr>
          <w:rFonts w:eastAsia="Calibri" w:cstheme="minorHAnsi"/>
          <w:sz w:val="18"/>
          <w:szCs w:val="18"/>
          <w:vertAlign w:val="superscript"/>
        </w:rPr>
        <w:t>a</w:t>
      </w:r>
      <w:r w:rsidRPr="004468BE">
        <w:rPr>
          <w:rFonts w:eastAsia="Calibri" w:cstheme="minorHAnsi"/>
          <w:sz w:val="18"/>
          <w:szCs w:val="18"/>
        </w:rPr>
        <w:t xml:space="preserve"> No progression defined as </w:t>
      </w:r>
      <w:proofErr w:type="spellStart"/>
      <w:r w:rsidRPr="004468BE">
        <w:rPr>
          <w:rFonts w:eastAsia="Calibri" w:cstheme="minorHAnsi"/>
          <w:sz w:val="18"/>
          <w:szCs w:val="18"/>
        </w:rPr>
        <w:t>mTSS</w:t>
      </w:r>
      <w:proofErr w:type="spellEnd"/>
      <w:r w:rsidRPr="004468BE">
        <w:rPr>
          <w:rFonts w:eastAsia="Calibri" w:cstheme="minorHAnsi"/>
          <w:sz w:val="18"/>
          <w:szCs w:val="18"/>
        </w:rPr>
        <w:t xml:space="preserve"> change ≤ 0. </w:t>
      </w:r>
    </w:p>
    <w:p w14:paraId="078B275F" w14:textId="77777777" w:rsidR="00A6463E" w:rsidRPr="004468BE" w:rsidRDefault="00A6463E" w:rsidP="00105060">
      <w:pPr>
        <w:spacing w:after="0" w:line="240" w:lineRule="auto"/>
        <w:ind w:right="-23"/>
        <w:contextualSpacing/>
        <w:rPr>
          <w:rFonts w:eastAsia="Times New Roman" w:cstheme="minorHAnsi"/>
          <w:sz w:val="18"/>
          <w:szCs w:val="18"/>
        </w:rPr>
      </w:pPr>
      <w:r w:rsidRPr="004468BE">
        <w:rPr>
          <w:rFonts w:eastAsia="Times New Roman" w:cstheme="minorHAnsi"/>
          <w:sz w:val="18"/>
          <w:szCs w:val="18"/>
        </w:rPr>
        <w:t>* p ≤ 0.05; ** p ≤ 0.01; *** p ≤ 0.001 vs. placebo (vs. MTX for study RA-BEGIN)</w:t>
      </w:r>
    </w:p>
    <w:p w14:paraId="00721440" w14:textId="77777777" w:rsidR="00AA2C34" w:rsidRPr="00625B9E" w:rsidRDefault="00AA2C34" w:rsidP="00DB09BB">
      <w:pPr>
        <w:rPr>
          <w:lang w:val="en-US"/>
        </w:rPr>
      </w:pPr>
    </w:p>
    <w:p w14:paraId="337F7939" w14:textId="77777777" w:rsidR="00A6463E" w:rsidRPr="00094A0C" w:rsidRDefault="00A6463E" w:rsidP="00094A0C">
      <w:pPr>
        <w:rPr>
          <w:b/>
          <w:u w:val="single"/>
        </w:rPr>
      </w:pPr>
      <w:r w:rsidRPr="00094A0C">
        <w:rPr>
          <w:b/>
        </w:rPr>
        <w:t>OLUMIANT 4</w:t>
      </w:r>
      <w:r w:rsidR="00625B9E" w:rsidRPr="00094A0C">
        <w:rPr>
          <w:b/>
        </w:rPr>
        <w:t> </w:t>
      </w:r>
      <w:r w:rsidRPr="00094A0C">
        <w:rPr>
          <w:b/>
        </w:rPr>
        <w:t>mg vs. 2</w:t>
      </w:r>
      <w:r w:rsidR="00625B9E" w:rsidRPr="00094A0C">
        <w:rPr>
          <w:b/>
        </w:rPr>
        <w:t> </w:t>
      </w:r>
      <w:r w:rsidRPr="00094A0C">
        <w:rPr>
          <w:b/>
        </w:rPr>
        <w:t>mg</w:t>
      </w:r>
    </w:p>
    <w:p w14:paraId="3C5A4C5C" w14:textId="77777777" w:rsidR="00A6463E" w:rsidRPr="00625B9E" w:rsidRDefault="00A6463E" w:rsidP="00A6463E">
      <w:r w:rsidRPr="00625B9E">
        <w:t xml:space="preserve">In clinical trials that included doses of 2 mg and 4 mg OLUMIANT once daily (RA-BUILD and RA-BEACON), efficacy on signs and symptoms was demonstrated with both doses. However, more consistent improvements in remission and low disease activity were seen with the 4 mg dose. The differences were most notable in the </w:t>
      </w:r>
      <w:proofErr w:type="spellStart"/>
      <w:r w:rsidRPr="00625B9E">
        <w:t>bDMARD</w:t>
      </w:r>
      <w:proofErr w:type="spellEnd"/>
      <w:r w:rsidRPr="00625B9E">
        <w:t xml:space="preserve">-IR population (RA-BEACON), in which statistically significant improvements in the ACR components of swollen joint count, tender joint count and ESR were shown for OLUMIANT 4 mg compared to placebo at week 24 but not for OLUMIANT 2 mg </w:t>
      </w:r>
      <w:r w:rsidRPr="00625B9E">
        <w:lastRenderedPageBreak/>
        <w:t xml:space="preserve">compared to placebo. In addition, onset of efficacy was fastest and the effect size was generally largest for the 4 mg dose groups compared to 2 mg.  </w:t>
      </w:r>
    </w:p>
    <w:p w14:paraId="6F3043CB" w14:textId="77777777" w:rsidR="00A6463E" w:rsidRPr="00625B9E" w:rsidRDefault="00A6463E" w:rsidP="00A6463E">
      <w:r w:rsidRPr="00625B9E">
        <w:t>In a long-term extension study, patients from RA-BEAM, RA-BUILD and RA-BEACON who achieved sustained low disease activity or remission (CDAI≤10) after at least 15 months of treatment with OLUMIANT 4 mg once daily (N = 502) were re-randomised 1:1 in a double-blind manner to continue 4 mg once daily or reduce dose to 2 mg once daily. A down titration in the baricitinib dose was associated with a significant reduction in efficacy.  The majority of patients maintained low disease activity or remission based on CDAI score:</w:t>
      </w:r>
    </w:p>
    <w:p w14:paraId="29A5A727" w14:textId="77777777" w:rsidR="00A6463E" w:rsidRPr="00625B9E" w:rsidRDefault="00A6463E" w:rsidP="00A6463E">
      <w:pPr>
        <w:numPr>
          <w:ilvl w:val="0"/>
          <w:numId w:val="15"/>
        </w:numPr>
      </w:pPr>
      <w:r w:rsidRPr="00625B9E">
        <w:t>At week 12: 234/251 (93%) continuing 4 mg vs 207/251 (82%) reduced to 2 mg (p ≤ 0.001)</w:t>
      </w:r>
    </w:p>
    <w:p w14:paraId="530A45EE" w14:textId="77777777" w:rsidR="00A6463E" w:rsidRPr="00625B9E" w:rsidRDefault="00A6463E" w:rsidP="00A6463E">
      <w:pPr>
        <w:numPr>
          <w:ilvl w:val="0"/>
          <w:numId w:val="15"/>
        </w:numPr>
      </w:pPr>
      <w:r w:rsidRPr="00625B9E">
        <w:t>At week 24: 163/191 (85%) continuing 4 mg vs 144/189 (76%) reduced to 2 mg (p ≤ 0.05)</w:t>
      </w:r>
    </w:p>
    <w:p w14:paraId="4C298F3B" w14:textId="77777777" w:rsidR="00A6463E" w:rsidRPr="00625B9E" w:rsidRDefault="00A6463E" w:rsidP="00A6463E">
      <w:pPr>
        <w:numPr>
          <w:ilvl w:val="0"/>
          <w:numId w:val="15"/>
        </w:numPr>
      </w:pPr>
      <w:r w:rsidRPr="00625B9E">
        <w:t>At week 48: 57/73 (78%) continuing 4 mg vs 51/86 (59%) reduced to 2 mg (p ≤ 0.05)</w:t>
      </w:r>
    </w:p>
    <w:p w14:paraId="7168A71E" w14:textId="77777777" w:rsidR="00A6463E" w:rsidRPr="00625B9E" w:rsidRDefault="00A6463E" w:rsidP="00A6463E">
      <w:r w:rsidRPr="00625B9E">
        <w:t>The majority of patients who lost their low disease activity or remission status after dose reduction could regain disease control after the dose was returned to 4 mg.</w:t>
      </w:r>
    </w:p>
    <w:p w14:paraId="56E01E30" w14:textId="77777777" w:rsidR="00A6463E" w:rsidRPr="00625B9E" w:rsidRDefault="00A6463E" w:rsidP="00A6463E">
      <w:pPr>
        <w:rPr>
          <w:b/>
        </w:rPr>
      </w:pPr>
      <w:r w:rsidRPr="00625B9E">
        <w:rPr>
          <w:b/>
        </w:rPr>
        <w:t>OLUMIANT Used as Monotherapy or in Combination with Methotrexate</w:t>
      </w:r>
    </w:p>
    <w:p w14:paraId="6EF2EDAD" w14:textId="6906D896" w:rsidR="00A6463E" w:rsidRPr="00625B9E" w:rsidRDefault="00A6463E" w:rsidP="00A6463E">
      <w:r w:rsidRPr="00625B9E">
        <w:t xml:space="preserve">In RA-BEGIN, OLUMIANT 4 mg monotherapy was statistically significantly superior to methotrexate monotherapy with respect to ACR20 response rates at 24 weeks (see Table </w:t>
      </w:r>
      <w:r w:rsidR="00925AA3">
        <w:t>1</w:t>
      </w:r>
      <w:r w:rsidR="00446055">
        <w:t>2</w:t>
      </w:r>
      <w:r w:rsidRPr="00625B9E">
        <w:t>). Combination of OLUMIANT 4 mg with methotrexate therapy was associated with larger improvements in inflammation related measures, including ESR; correspondingly, although most patients did not exhibit radiographic progression across the treatment groups, the lowest radiographic progression rates were seen in the combination group. OLUMIANT 2 mg was not studied in this trial.</w:t>
      </w:r>
    </w:p>
    <w:p w14:paraId="789508AB" w14:textId="77777777" w:rsidR="00A6463E" w:rsidRPr="00625B9E" w:rsidRDefault="00A6463E" w:rsidP="00A6463E">
      <w:r w:rsidRPr="00625B9E">
        <w:t xml:space="preserve">In RA-BUILD, treatment effects compared to placebo were robust whether OLUMIANT was used as monotherapy, in combination with methotrexate, or in combination with </w:t>
      </w:r>
      <w:proofErr w:type="spellStart"/>
      <w:r w:rsidRPr="00625B9E">
        <w:t>cDMARDs</w:t>
      </w:r>
      <w:proofErr w:type="spellEnd"/>
      <w:r w:rsidRPr="00625B9E">
        <w:t xml:space="preserve"> other than methotrexate.</w:t>
      </w:r>
    </w:p>
    <w:p w14:paraId="087A8E06" w14:textId="77777777" w:rsidR="00A6463E" w:rsidRPr="00625B9E" w:rsidRDefault="00A6463E" w:rsidP="00A6463E">
      <w:pPr>
        <w:rPr>
          <w:b/>
        </w:rPr>
      </w:pPr>
      <w:r w:rsidRPr="00625B9E">
        <w:rPr>
          <w:b/>
        </w:rPr>
        <w:t>DMARD-Naïve RA Patients</w:t>
      </w:r>
    </w:p>
    <w:p w14:paraId="60A72012" w14:textId="77777777" w:rsidR="00A6463E" w:rsidRPr="00625B9E" w:rsidRDefault="00A6463E" w:rsidP="00A6463E">
      <w:r w:rsidRPr="00625B9E">
        <w:t xml:space="preserve">RA-BEGIN, a 52-week study with the planned primary analysis at week 24, evaluated 584 DMARD-naïve adult patients with moderate to severe, active RA (mean disease duration was 1.3 years) and indicators of poor prognosis, such as elevated inflammatory markers (CRP) and the presence of rheumatoid factor or anti-cyclic </w:t>
      </w:r>
      <w:proofErr w:type="spellStart"/>
      <w:r w:rsidRPr="00625B9E">
        <w:t>citrullinated</w:t>
      </w:r>
      <w:proofErr w:type="spellEnd"/>
      <w:r w:rsidRPr="00625B9E">
        <w:t xml:space="preserve"> peptides. This study evaluated the efficacy of OLUMIANT 4 mg monotherapy, OLUMIANT 4 mg + MTX, and MTX alone in improving the signs and symptoms of RA, physical function, and rate of progression of joint damage. The primary endpoint was the proportion of patients achieving ACR20 at week 24. </w:t>
      </w:r>
    </w:p>
    <w:p w14:paraId="06862C9B" w14:textId="46AFE1D6" w:rsidR="00A6463E" w:rsidRDefault="00E22F8A" w:rsidP="00A6463E">
      <w:r w:rsidRPr="00625B9E">
        <w:t xml:space="preserve">A significantly higher proportion of patients in the OLUMIANT 4 mg and OLUMIANT 4 mg + MTX groups compared to MTX alone achieved an ACR20 response at week 24: 77% versus 62% (p = 0.003) for OLUMIANT 4 mg monotherapy and 78% versus 62% (p ≤ 0.001) for OLUMIANT 4 mg + MTX. The OLUMIANT 4 mg monotherapy and OLUMIANT 4 mg + MTX groups also showed </w:t>
      </w:r>
      <w:r w:rsidRPr="00625B9E" w:rsidDel="00E12A74">
        <w:t xml:space="preserve">statistically </w:t>
      </w:r>
      <w:r w:rsidRPr="00625B9E">
        <w:t xml:space="preserve">significant improvement compared to MTX alone across the key secondary endpoints at week 24 </w:t>
      </w:r>
      <w:r w:rsidRPr="00625B9E">
        <w:lastRenderedPageBreak/>
        <w:t xml:space="preserve">and 52, including ACR20, SDAI remission, and change from baseline in DAS28-hsCRP and HAQ-DI. At 52 weeks, the OLUMIANT 4 mg + MTX group showed </w:t>
      </w:r>
      <w:r w:rsidRPr="00625B9E" w:rsidDel="00E12A74">
        <w:t xml:space="preserve">statistically </w:t>
      </w:r>
      <w:r w:rsidRPr="00625B9E">
        <w:t xml:space="preserve">significant improvement compared to MTX as measured by </w:t>
      </w:r>
      <w:proofErr w:type="spellStart"/>
      <w:r w:rsidRPr="00625B9E">
        <w:t>mTSS</w:t>
      </w:r>
      <w:proofErr w:type="spellEnd"/>
      <w:r w:rsidRPr="00625B9E">
        <w:t xml:space="preserve"> and a numerically greater response in the OLUMIANT 4 mg monotherapy group compared with MTX alone. The efficacy results from RA-BEGIN are shown in Table </w:t>
      </w:r>
      <w:r w:rsidR="00925AA3">
        <w:t>1</w:t>
      </w:r>
      <w:r w:rsidR="00446055">
        <w:t>2</w:t>
      </w:r>
      <w:r w:rsidRPr="00625B9E">
        <w:t>.</w:t>
      </w:r>
    </w:p>
    <w:p w14:paraId="734FD21A" w14:textId="6477A56F" w:rsidR="00A6463E" w:rsidRPr="00105060" w:rsidRDefault="00A6463E" w:rsidP="00105060">
      <w:pPr>
        <w:rPr>
          <w:b/>
        </w:rPr>
      </w:pPr>
      <w:bookmarkStart w:id="85" w:name="_Ref473923944"/>
      <w:r w:rsidRPr="00105060">
        <w:rPr>
          <w:b/>
        </w:rPr>
        <w:t xml:space="preserve">Table </w:t>
      </w:r>
      <w:bookmarkEnd w:id="85"/>
      <w:r w:rsidR="00925AA3" w:rsidRPr="00105060">
        <w:rPr>
          <w:b/>
        </w:rPr>
        <w:t>1</w:t>
      </w:r>
      <w:r w:rsidR="00446055" w:rsidRPr="00105060">
        <w:rPr>
          <w:b/>
        </w:rPr>
        <w:t>2</w:t>
      </w:r>
      <w:r w:rsidR="00170588" w:rsidRPr="00105060">
        <w:rPr>
          <w:b/>
        </w:rPr>
        <w:t xml:space="preserve">  </w:t>
      </w:r>
      <w:r w:rsidRPr="00105060">
        <w:rPr>
          <w:b/>
        </w:rPr>
        <w:t>Efficacy Results for RA-BEGIN in DMARD-naïve Patients</w:t>
      </w:r>
    </w:p>
    <w:tbl>
      <w:tblPr>
        <w:tblStyle w:val="TableGrid"/>
        <w:tblW w:w="9360" w:type="dxa"/>
        <w:tblLook w:val="04A0" w:firstRow="1" w:lastRow="0" w:firstColumn="1" w:lastColumn="0" w:noHBand="0" w:noVBand="1"/>
      </w:tblPr>
      <w:tblGrid>
        <w:gridCol w:w="1278"/>
        <w:gridCol w:w="1564"/>
        <w:gridCol w:w="1594"/>
        <w:gridCol w:w="1675"/>
        <w:gridCol w:w="1794"/>
        <w:gridCol w:w="1455"/>
      </w:tblGrid>
      <w:tr w:rsidR="00A6463E" w:rsidRPr="000C4E6C" w14:paraId="1CCA2275" w14:textId="77777777" w:rsidTr="00A6463E">
        <w:tc>
          <w:tcPr>
            <w:tcW w:w="1278" w:type="dxa"/>
            <w:tcBorders>
              <w:bottom w:val="nil"/>
              <w:right w:val="nil"/>
            </w:tcBorders>
          </w:tcPr>
          <w:p w14:paraId="583C16FF" w14:textId="77777777" w:rsidR="00A6463E" w:rsidRPr="004743AB" w:rsidRDefault="00A6463E" w:rsidP="00A6463E">
            <w:pPr>
              <w:contextualSpacing/>
              <w:jc w:val="center"/>
              <w:rPr>
                <w:rFonts w:asciiTheme="minorHAnsi" w:hAnsiTheme="minorHAnsi" w:cstheme="minorHAnsi"/>
                <w:lang w:eastAsia="ja-JP"/>
              </w:rPr>
            </w:pPr>
            <w:bookmarkStart w:id="86" w:name="_Toc474757142"/>
            <w:bookmarkStart w:id="87" w:name="_Toc474761181"/>
            <w:bookmarkStart w:id="88" w:name="_Toc474763783"/>
            <w:bookmarkStart w:id="89" w:name="_Toc474783928"/>
          </w:p>
        </w:tc>
        <w:tc>
          <w:tcPr>
            <w:tcW w:w="1564" w:type="dxa"/>
            <w:tcBorders>
              <w:left w:val="nil"/>
              <w:bottom w:val="nil"/>
              <w:right w:val="nil"/>
            </w:tcBorders>
          </w:tcPr>
          <w:p w14:paraId="144B0FAD" w14:textId="77777777" w:rsidR="00A6463E" w:rsidRPr="004743AB" w:rsidRDefault="00A6463E" w:rsidP="00A6463E">
            <w:pPr>
              <w:contextualSpacing/>
              <w:jc w:val="center"/>
              <w:rPr>
                <w:rFonts w:asciiTheme="minorHAnsi" w:hAnsiTheme="minorHAnsi" w:cstheme="minorHAnsi"/>
                <w:lang w:eastAsia="ja-JP"/>
              </w:rPr>
            </w:pPr>
          </w:p>
        </w:tc>
        <w:tc>
          <w:tcPr>
            <w:tcW w:w="1594" w:type="dxa"/>
            <w:tcBorders>
              <w:left w:val="nil"/>
              <w:bottom w:val="nil"/>
              <w:right w:val="nil"/>
            </w:tcBorders>
          </w:tcPr>
          <w:p w14:paraId="1EA52DED" w14:textId="77777777" w:rsidR="00A6463E" w:rsidRPr="004743AB" w:rsidRDefault="00A6463E" w:rsidP="00A6463E">
            <w:pPr>
              <w:contextualSpacing/>
              <w:jc w:val="center"/>
              <w:rPr>
                <w:rFonts w:asciiTheme="minorHAnsi" w:hAnsiTheme="minorHAnsi" w:cstheme="minorHAnsi"/>
                <w:lang w:eastAsia="ja-JP"/>
              </w:rPr>
            </w:pPr>
          </w:p>
        </w:tc>
        <w:tc>
          <w:tcPr>
            <w:tcW w:w="1675" w:type="dxa"/>
            <w:tcBorders>
              <w:left w:val="nil"/>
              <w:bottom w:val="nil"/>
              <w:right w:val="nil"/>
            </w:tcBorders>
          </w:tcPr>
          <w:p w14:paraId="41DF9AEA" w14:textId="77777777" w:rsidR="00A6463E" w:rsidRPr="004743AB" w:rsidRDefault="00A6463E" w:rsidP="00A6463E">
            <w:pPr>
              <w:contextualSpacing/>
              <w:jc w:val="center"/>
              <w:rPr>
                <w:rFonts w:asciiTheme="minorHAnsi" w:hAnsiTheme="minorHAnsi" w:cstheme="minorHAnsi"/>
                <w:lang w:eastAsia="ja-JP"/>
              </w:rPr>
            </w:pPr>
            <w:r w:rsidRPr="004743AB">
              <w:rPr>
                <w:rFonts w:asciiTheme="minorHAnsi" w:hAnsiTheme="minorHAnsi" w:cstheme="minorHAnsi"/>
                <w:b/>
              </w:rPr>
              <w:t>OLUMIANT</w:t>
            </w:r>
            <w:r w:rsidRPr="004743AB">
              <w:rPr>
                <w:rFonts w:asciiTheme="minorHAnsi" w:hAnsiTheme="minorHAnsi" w:cstheme="minorHAnsi"/>
                <w:b/>
              </w:rPr>
              <w:br/>
              <w:t>4 mg/day</w:t>
            </w:r>
          </w:p>
        </w:tc>
        <w:tc>
          <w:tcPr>
            <w:tcW w:w="1794" w:type="dxa"/>
            <w:tcBorders>
              <w:left w:val="nil"/>
              <w:bottom w:val="nil"/>
              <w:right w:val="nil"/>
            </w:tcBorders>
          </w:tcPr>
          <w:p w14:paraId="3A46D73A" w14:textId="77777777" w:rsidR="00A6463E" w:rsidRPr="004743AB" w:rsidRDefault="00A6463E" w:rsidP="00A6463E">
            <w:pPr>
              <w:contextualSpacing/>
              <w:jc w:val="center"/>
              <w:rPr>
                <w:rFonts w:asciiTheme="minorHAnsi" w:hAnsiTheme="minorHAnsi" w:cstheme="minorHAnsi"/>
                <w:lang w:eastAsia="ja-JP"/>
              </w:rPr>
            </w:pPr>
            <w:r w:rsidRPr="004743AB">
              <w:rPr>
                <w:rFonts w:asciiTheme="minorHAnsi" w:hAnsiTheme="minorHAnsi" w:cstheme="minorHAnsi"/>
                <w:b/>
              </w:rPr>
              <w:t>OLUMIANT</w:t>
            </w:r>
            <w:r w:rsidRPr="004743AB">
              <w:rPr>
                <w:rFonts w:asciiTheme="minorHAnsi" w:hAnsiTheme="minorHAnsi" w:cstheme="minorHAnsi"/>
                <w:b/>
              </w:rPr>
              <w:br/>
              <w:t>4 mg/day + MTX</w:t>
            </w:r>
          </w:p>
        </w:tc>
        <w:tc>
          <w:tcPr>
            <w:tcW w:w="1455" w:type="dxa"/>
            <w:tcBorders>
              <w:left w:val="nil"/>
              <w:bottom w:val="nil"/>
            </w:tcBorders>
          </w:tcPr>
          <w:p w14:paraId="4ABBAC34" w14:textId="77777777" w:rsidR="00A6463E" w:rsidRPr="004743AB" w:rsidRDefault="00A6463E" w:rsidP="00A6463E">
            <w:pPr>
              <w:contextualSpacing/>
              <w:jc w:val="center"/>
              <w:rPr>
                <w:rFonts w:asciiTheme="minorHAnsi" w:hAnsiTheme="minorHAnsi" w:cstheme="minorHAnsi"/>
                <w:b/>
                <w:lang w:eastAsia="ja-JP"/>
              </w:rPr>
            </w:pPr>
            <w:r w:rsidRPr="004743AB">
              <w:rPr>
                <w:rFonts w:asciiTheme="minorHAnsi" w:hAnsiTheme="minorHAnsi" w:cstheme="minorHAnsi"/>
                <w:b/>
                <w:lang w:eastAsia="ja-JP"/>
              </w:rPr>
              <w:t>MTX</w:t>
            </w:r>
          </w:p>
        </w:tc>
      </w:tr>
      <w:tr w:rsidR="00A6463E" w:rsidRPr="000C4E6C" w14:paraId="25871AFB" w14:textId="77777777" w:rsidTr="00A6463E">
        <w:tc>
          <w:tcPr>
            <w:tcW w:w="1278" w:type="dxa"/>
            <w:tcBorders>
              <w:top w:val="nil"/>
              <w:right w:val="nil"/>
            </w:tcBorders>
          </w:tcPr>
          <w:p w14:paraId="119894A2" w14:textId="77777777" w:rsidR="00A6463E" w:rsidRPr="004743AB" w:rsidRDefault="00A6463E" w:rsidP="00A6463E">
            <w:pPr>
              <w:contextualSpacing/>
              <w:jc w:val="center"/>
              <w:rPr>
                <w:rFonts w:asciiTheme="minorHAnsi" w:hAnsiTheme="minorHAnsi" w:cstheme="minorHAnsi"/>
                <w:lang w:eastAsia="ja-JP"/>
              </w:rPr>
            </w:pPr>
          </w:p>
        </w:tc>
        <w:tc>
          <w:tcPr>
            <w:tcW w:w="1564" w:type="dxa"/>
            <w:tcBorders>
              <w:top w:val="nil"/>
              <w:left w:val="nil"/>
              <w:right w:val="nil"/>
            </w:tcBorders>
          </w:tcPr>
          <w:p w14:paraId="258AD22F" w14:textId="77777777" w:rsidR="00A6463E" w:rsidRPr="004743AB" w:rsidRDefault="00A6463E" w:rsidP="00A6463E">
            <w:pPr>
              <w:contextualSpacing/>
              <w:jc w:val="center"/>
              <w:rPr>
                <w:rFonts w:asciiTheme="minorHAnsi" w:hAnsiTheme="minorHAnsi" w:cstheme="minorHAnsi"/>
                <w:lang w:eastAsia="ja-JP"/>
              </w:rPr>
            </w:pPr>
          </w:p>
        </w:tc>
        <w:tc>
          <w:tcPr>
            <w:tcW w:w="1594" w:type="dxa"/>
            <w:tcBorders>
              <w:top w:val="nil"/>
              <w:left w:val="nil"/>
              <w:right w:val="nil"/>
            </w:tcBorders>
          </w:tcPr>
          <w:p w14:paraId="59AE2BEA" w14:textId="77777777" w:rsidR="00A6463E" w:rsidRPr="004743AB" w:rsidRDefault="00A6463E" w:rsidP="00A6463E">
            <w:pPr>
              <w:contextualSpacing/>
              <w:jc w:val="center"/>
              <w:rPr>
                <w:rFonts w:asciiTheme="minorHAnsi" w:hAnsiTheme="minorHAnsi" w:cstheme="minorHAnsi"/>
                <w:lang w:eastAsia="ja-JP"/>
              </w:rPr>
            </w:pPr>
          </w:p>
        </w:tc>
        <w:tc>
          <w:tcPr>
            <w:tcW w:w="1675" w:type="dxa"/>
            <w:tcBorders>
              <w:top w:val="nil"/>
              <w:left w:val="nil"/>
              <w:right w:val="nil"/>
            </w:tcBorders>
          </w:tcPr>
          <w:p w14:paraId="09D79DDB" w14:textId="77777777" w:rsidR="00A6463E" w:rsidRPr="004743AB" w:rsidRDefault="00A6463E" w:rsidP="00A6463E">
            <w:pPr>
              <w:contextualSpacing/>
              <w:jc w:val="center"/>
              <w:rPr>
                <w:rFonts w:asciiTheme="minorHAnsi" w:hAnsiTheme="minorHAnsi" w:cstheme="minorHAnsi"/>
                <w:b/>
              </w:rPr>
            </w:pPr>
            <w:r w:rsidRPr="004743AB">
              <w:rPr>
                <w:rFonts w:asciiTheme="minorHAnsi" w:hAnsiTheme="minorHAnsi" w:cstheme="minorHAnsi"/>
                <w:b/>
              </w:rPr>
              <w:t>N=159</w:t>
            </w:r>
          </w:p>
        </w:tc>
        <w:tc>
          <w:tcPr>
            <w:tcW w:w="1794" w:type="dxa"/>
            <w:tcBorders>
              <w:top w:val="nil"/>
              <w:left w:val="nil"/>
              <w:right w:val="nil"/>
            </w:tcBorders>
          </w:tcPr>
          <w:p w14:paraId="2FCF98FA" w14:textId="77777777" w:rsidR="00A6463E" w:rsidRPr="004743AB" w:rsidRDefault="00A6463E" w:rsidP="00A6463E">
            <w:pPr>
              <w:contextualSpacing/>
              <w:jc w:val="center"/>
              <w:rPr>
                <w:rFonts w:asciiTheme="minorHAnsi" w:hAnsiTheme="minorHAnsi" w:cstheme="minorHAnsi"/>
                <w:b/>
              </w:rPr>
            </w:pPr>
            <w:r w:rsidRPr="004743AB">
              <w:rPr>
                <w:rFonts w:asciiTheme="minorHAnsi" w:hAnsiTheme="minorHAnsi" w:cstheme="minorHAnsi"/>
                <w:b/>
              </w:rPr>
              <w:t>N=215</w:t>
            </w:r>
          </w:p>
        </w:tc>
        <w:tc>
          <w:tcPr>
            <w:tcW w:w="1455" w:type="dxa"/>
            <w:tcBorders>
              <w:top w:val="nil"/>
              <w:left w:val="nil"/>
            </w:tcBorders>
          </w:tcPr>
          <w:p w14:paraId="4A2C6E0F" w14:textId="77777777" w:rsidR="00A6463E" w:rsidRPr="004743AB" w:rsidRDefault="00A6463E" w:rsidP="00A6463E">
            <w:pPr>
              <w:contextualSpacing/>
              <w:jc w:val="center"/>
              <w:rPr>
                <w:rFonts w:asciiTheme="minorHAnsi" w:hAnsiTheme="minorHAnsi" w:cstheme="minorHAnsi"/>
                <w:b/>
                <w:lang w:eastAsia="ja-JP"/>
              </w:rPr>
            </w:pPr>
            <w:r w:rsidRPr="004743AB">
              <w:rPr>
                <w:rFonts w:asciiTheme="minorHAnsi" w:hAnsiTheme="minorHAnsi" w:cstheme="minorHAnsi"/>
                <w:b/>
                <w:lang w:eastAsia="ja-JP"/>
              </w:rPr>
              <w:t>N=210</w:t>
            </w:r>
          </w:p>
        </w:tc>
      </w:tr>
      <w:tr w:rsidR="00A6463E" w:rsidRPr="000C4E6C" w14:paraId="1047B6EC" w14:textId="77777777" w:rsidTr="00A6463E">
        <w:tc>
          <w:tcPr>
            <w:tcW w:w="9360" w:type="dxa"/>
            <w:gridSpan w:val="6"/>
            <w:tcBorders>
              <w:bottom w:val="single" w:sz="4" w:space="0" w:color="auto"/>
            </w:tcBorders>
          </w:tcPr>
          <w:p w14:paraId="4B22C761" w14:textId="77777777" w:rsidR="00A6463E" w:rsidRPr="004743AB" w:rsidRDefault="00A6463E" w:rsidP="00A6463E">
            <w:pPr>
              <w:spacing w:before="60"/>
              <w:contextualSpacing/>
              <w:rPr>
                <w:rFonts w:asciiTheme="minorHAnsi" w:hAnsiTheme="minorHAnsi" w:cstheme="minorHAnsi"/>
                <w:b/>
                <w:lang w:eastAsia="ja-JP"/>
              </w:rPr>
            </w:pPr>
            <w:r w:rsidRPr="004743AB">
              <w:rPr>
                <w:rFonts w:asciiTheme="minorHAnsi" w:hAnsiTheme="minorHAnsi" w:cstheme="minorHAnsi"/>
                <w:b/>
                <w:lang w:eastAsia="ja-JP"/>
              </w:rPr>
              <w:t>Primary Endpoint</w:t>
            </w:r>
          </w:p>
        </w:tc>
      </w:tr>
      <w:tr w:rsidR="00A6463E" w:rsidRPr="000C4E6C" w14:paraId="25C355F9" w14:textId="77777777" w:rsidTr="00A6463E">
        <w:tc>
          <w:tcPr>
            <w:tcW w:w="1278" w:type="dxa"/>
            <w:tcBorders>
              <w:top w:val="nil"/>
              <w:right w:val="nil"/>
            </w:tcBorders>
            <w:vAlign w:val="center"/>
          </w:tcPr>
          <w:p w14:paraId="2A4137AE"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ACR20 (%)</w:t>
            </w:r>
          </w:p>
        </w:tc>
        <w:tc>
          <w:tcPr>
            <w:tcW w:w="1564" w:type="dxa"/>
            <w:tcBorders>
              <w:top w:val="nil"/>
              <w:left w:val="nil"/>
              <w:right w:val="nil"/>
            </w:tcBorders>
            <w:vAlign w:val="center"/>
          </w:tcPr>
          <w:p w14:paraId="2301CDA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24</w:t>
            </w:r>
          </w:p>
        </w:tc>
        <w:tc>
          <w:tcPr>
            <w:tcW w:w="1594" w:type="dxa"/>
            <w:tcBorders>
              <w:top w:val="nil"/>
              <w:left w:val="nil"/>
              <w:right w:val="nil"/>
            </w:tcBorders>
            <w:vAlign w:val="center"/>
          </w:tcPr>
          <w:p w14:paraId="173C39EC"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right w:val="nil"/>
            </w:tcBorders>
            <w:vAlign w:val="center"/>
          </w:tcPr>
          <w:p w14:paraId="7C86BE90"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77**</w:t>
            </w:r>
          </w:p>
        </w:tc>
        <w:tc>
          <w:tcPr>
            <w:tcW w:w="1794" w:type="dxa"/>
            <w:tcBorders>
              <w:top w:val="nil"/>
              <w:left w:val="nil"/>
              <w:right w:val="nil"/>
            </w:tcBorders>
            <w:vAlign w:val="center"/>
          </w:tcPr>
          <w:p w14:paraId="5849A47B"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NA</w:t>
            </w:r>
          </w:p>
        </w:tc>
        <w:tc>
          <w:tcPr>
            <w:tcW w:w="1455" w:type="dxa"/>
            <w:tcBorders>
              <w:top w:val="nil"/>
              <w:left w:val="nil"/>
            </w:tcBorders>
            <w:vAlign w:val="center"/>
          </w:tcPr>
          <w:p w14:paraId="1C37DA6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62</w:t>
            </w:r>
          </w:p>
        </w:tc>
      </w:tr>
      <w:tr w:rsidR="00A6463E" w:rsidRPr="000C4E6C" w14:paraId="35A6748A" w14:textId="77777777" w:rsidTr="00A6463E">
        <w:tc>
          <w:tcPr>
            <w:tcW w:w="9360" w:type="dxa"/>
            <w:gridSpan w:val="6"/>
            <w:tcBorders>
              <w:bottom w:val="single" w:sz="4" w:space="0" w:color="auto"/>
            </w:tcBorders>
          </w:tcPr>
          <w:p w14:paraId="51C60B25" w14:textId="77777777" w:rsidR="00A6463E" w:rsidRPr="004743AB" w:rsidRDefault="00A6463E" w:rsidP="00A6463E">
            <w:pPr>
              <w:spacing w:before="60"/>
              <w:contextualSpacing/>
              <w:rPr>
                <w:rFonts w:asciiTheme="minorHAnsi" w:hAnsiTheme="minorHAnsi" w:cstheme="minorHAnsi"/>
                <w:b/>
                <w:lang w:eastAsia="ja-JP"/>
              </w:rPr>
            </w:pPr>
            <w:r w:rsidRPr="004743AB">
              <w:rPr>
                <w:rFonts w:asciiTheme="minorHAnsi" w:hAnsiTheme="minorHAnsi" w:cstheme="minorHAnsi"/>
                <w:b/>
                <w:lang w:eastAsia="ja-JP"/>
              </w:rPr>
              <w:t>Key Secondary Endpoints</w:t>
            </w:r>
          </w:p>
        </w:tc>
      </w:tr>
      <w:tr w:rsidR="00A6463E" w:rsidRPr="000C4E6C" w14:paraId="050F01A7" w14:textId="77777777" w:rsidTr="00A6463E">
        <w:tc>
          <w:tcPr>
            <w:tcW w:w="1278" w:type="dxa"/>
            <w:tcBorders>
              <w:top w:val="nil"/>
              <w:bottom w:val="nil"/>
              <w:right w:val="nil"/>
            </w:tcBorders>
            <w:vAlign w:val="center"/>
          </w:tcPr>
          <w:p w14:paraId="4DD1B3C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 (%)</w:t>
            </w:r>
          </w:p>
        </w:tc>
        <w:tc>
          <w:tcPr>
            <w:tcW w:w="1564" w:type="dxa"/>
            <w:tcBorders>
              <w:top w:val="nil"/>
              <w:left w:val="nil"/>
              <w:bottom w:val="nil"/>
              <w:right w:val="nil"/>
            </w:tcBorders>
            <w:vAlign w:val="center"/>
          </w:tcPr>
          <w:p w14:paraId="00EA33AF"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24</w:t>
            </w:r>
          </w:p>
        </w:tc>
        <w:tc>
          <w:tcPr>
            <w:tcW w:w="1594" w:type="dxa"/>
            <w:tcBorders>
              <w:top w:val="nil"/>
              <w:left w:val="nil"/>
              <w:bottom w:val="nil"/>
              <w:right w:val="nil"/>
            </w:tcBorders>
            <w:vAlign w:val="center"/>
          </w:tcPr>
          <w:p w14:paraId="33CD6D0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ACR20</w:t>
            </w:r>
          </w:p>
        </w:tc>
        <w:tc>
          <w:tcPr>
            <w:tcW w:w="1675" w:type="dxa"/>
            <w:tcBorders>
              <w:top w:val="nil"/>
              <w:left w:val="nil"/>
              <w:bottom w:val="nil"/>
              <w:right w:val="nil"/>
            </w:tcBorders>
            <w:vAlign w:val="center"/>
          </w:tcPr>
          <w:p w14:paraId="6ADBB48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NA</w:t>
            </w:r>
          </w:p>
        </w:tc>
        <w:tc>
          <w:tcPr>
            <w:tcW w:w="1794" w:type="dxa"/>
            <w:tcBorders>
              <w:top w:val="nil"/>
              <w:left w:val="nil"/>
              <w:bottom w:val="nil"/>
              <w:right w:val="nil"/>
            </w:tcBorders>
            <w:vAlign w:val="center"/>
          </w:tcPr>
          <w:p w14:paraId="09AA6DD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78***</w:t>
            </w:r>
          </w:p>
        </w:tc>
        <w:tc>
          <w:tcPr>
            <w:tcW w:w="1455" w:type="dxa"/>
            <w:tcBorders>
              <w:top w:val="nil"/>
              <w:left w:val="nil"/>
              <w:bottom w:val="nil"/>
            </w:tcBorders>
            <w:vAlign w:val="center"/>
          </w:tcPr>
          <w:p w14:paraId="6A45710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62</w:t>
            </w:r>
          </w:p>
        </w:tc>
      </w:tr>
      <w:tr w:rsidR="00A6463E" w:rsidRPr="000C4E6C" w14:paraId="6B9AABDC" w14:textId="77777777" w:rsidTr="00A6463E">
        <w:tc>
          <w:tcPr>
            <w:tcW w:w="1278" w:type="dxa"/>
            <w:tcBorders>
              <w:top w:val="nil"/>
              <w:bottom w:val="nil"/>
              <w:right w:val="nil"/>
            </w:tcBorders>
            <w:vAlign w:val="center"/>
          </w:tcPr>
          <w:p w14:paraId="2BBF15CC"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5CB3FA71" w14:textId="77777777" w:rsidR="00A6463E" w:rsidRPr="004743AB" w:rsidRDefault="00A6463E" w:rsidP="00A6463E">
            <w:pPr>
              <w:spacing w:before="60" w:after="20"/>
              <w:contextualSpacing/>
              <w:rPr>
                <w:rFonts w:asciiTheme="minorHAnsi" w:hAnsiTheme="minorHAnsi" w:cstheme="minorHAnsi"/>
                <w:lang w:eastAsia="ja-JP"/>
              </w:rPr>
            </w:pPr>
          </w:p>
        </w:tc>
        <w:tc>
          <w:tcPr>
            <w:tcW w:w="1594" w:type="dxa"/>
            <w:tcBorders>
              <w:top w:val="nil"/>
              <w:left w:val="nil"/>
              <w:bottom w:val="nil"/>
              <w:right w:val="nil"/>
            </w:tcBorders>
            <w:vAlign w:val="center"/>
          </w:tcPr>
          <w:p w14:paraId="7F9B97E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ACR50</w:t>
            </w:r>
          </w:p>
        </w:tc>
        <w:tc>
          <w:tcPr>
            <w:tcW w:w="1675" w:type="dxa"/>
            <w:tcBorders>
              <w:top w:val="nil"/>
              <w:left w:val="nil"/>
              <w:bottom w:val="nil"/>
              <w:right w:val="nil"/>
            </w:tcBorders>
            <w:vAlign w:val="center"/>
          </w:tcPr>
          <w:p w14:paraId="0F1EF3AD"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60**</w:t>
            </w:r>
          </w:p>
        </w:tc>
        <w:tc>
          <w:tcPr>
            <w:tcW w:w="1794" w:type="dxa"/>
            <w:tcBorders>
              <w:top w:val="nil"/>
              <w:left w:val="nil"/>
              <w:bottom w:val="nil"/>
              <w:right w:val="nil"/>
            </w:tcBorders>
            <w:vAlign w:val="center"/>
          </w:tcPr>
          <w:p w14:paraId="3176F26A"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63</w:t>
            </w:r>
            <w:r w:rsidRPr="004743AB">
              <w:rPr>
                <w:rFonts w:asciiTheme="minorHAnsi" w:hAnsiTheme="minorHAnsi" w:cstheme="minorHAnsi"/>
                <w:lang w:eastAsia="ja-JP"/>
              </w:rPr>
              <w:t>***</w:t>
            </w:r>
          </w:p>
        </w:tc>
        <w:tc>
          <w:tcPr>
            <w:tcW w:w="1455" w:type="dxa"/>
            <w:tcBorders>
              <w:top w:val="nil"/>
              <w:left w:val="nil"/>
              <w:bottom w:val="nil"/>
            </w:tcBorders>
            <w:vAlign w:val="center"/>
          </w:tcPr>
          <w:p w14:paraId="3B3E99AF"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43</w:t>
            </w:r>
          </w:p>
        </w:tc>
      </w:tr>
      <w:tr w:rsidR="00A6463E" w:rsidRPr="000C4E6C" w14:paraId="1369C6A4" w14:textId="77777777" w:rsidTr="00A6463E">
        <w:tc>
          <w:tcPr>
            <w:tcW w:w="1278" w:type="dxa"/>
            <w:tcBorders>
              <w:top w:val="nil"/>
              <w:bottom w:val="nil"/>
              <w:right w:val="nil"/>
            </w:tcBorders>
            <w:vAlign w:val="center"/>
          </w:tcPr>
          <w:p w14:paraId="27BFF63C"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0A561113" w14:textId="77777777" w:rsidR="00A6463E" w:rsidRPr="004743AB" w:rsidRDefault="00A6463E" w:rsidP="00A6463E">
            <w:pPr>
              <w:spacing w:before="60" w:after="20"/>
              <w:contextualSpacing/>
              <w:rPr>
                <w:rFonts w:asciiTheme="minorHAnsi" w:hAnsiTheme="minorHAnsi" w:cstheme="minorHAnsi"/>
                <w:lang w:eastAsia="ja-JP"/>
              </w:rPr>
            </w:pPr>
          </w:p>
        </w:tc>
        <w:tc>
          <w:tcPr>
            <w:tcW w:w="1594" w:type="dxa"/>
            <w:tcBorders>
              <w:top w:val="nil"/>
              <w:left w:val="nil"/>
              <w:bottom w:val="nil"/>
              <w:right w:val="nil"/>
            </w:tcBorders>
            <w:vAlign w:val="center"/>
          </w:tcPr>
          <w:p w14:paraId="22D9BF00"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ACR70</w:t>
            </w:r>
          </w:p>
        </w:tc>
        <w:tc>
          <w:tcPr>
            <w:tcW w:w="1675" w:type="dxa"/>
            <w:tcBorders>
              <w:top w:val="nil"/>
              <w:left w:val="nil"/>
              <w:bottom w:val="nil"/>
              <w:right w:val="nil"/>
            </w:tcBorders>
            <w:vAlign w:val="center"/>
          </w:tcPr>
          <w:p w14:paraId="16812637"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42</w:t>
            </w:r>
            <w:r w:rsidRPr="004743AB">
              <w:rPr>
                <w:rFonts w:asciiTheme="minorHAnsi" w:hAnsiTheme="minorHAnsi" w:cstheme="minorHAnsi"/>
                <w:lang w:eastAsia="ja-JP"/>
              </w:rPr>
              <w:t>***</w:t>
            </w:r>
          </w:p>
        </w:tc>
        <w:tc>
          <w:tcPr>
            <w:tcW w:w="1794" w:type="dxa"/>
            <w:tcBorders>
              <w:top w:val="nil"/>
              <w:left w:val="nil"/>
              <w:bottom w:val="nil"/>
              <w:right w:val="nil"/>
            </w:tcBorders>
            <w:vAlign w:val="center"/>
          </w:tcPr>
          <w:p w14:paraId="73A3BCD5"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40</w:t>
            </w:r>
            <w:r w:rsidRPr="004743AB">
              <w:rPr>
                <w:rFonts w:asciiTheme="minorHAnsi" w:hAnsiTheme="minorHAnsi" w:cstheme="minorHAnsi"/>
                <w:lang w:eastAsia="ja-JP"/>
              </w:rPr>
              <w:t>***</w:t>
            </w:r>
          </w:p>
        </w:tc>
        <w:tc>
          <w:tcPr>
            <w:tcW w:w="1455" w:type="dxa"/>
            <w:tcBorders>
              <w:top w:val="nil"/>
              <w:left w:val="nil"/>
              <w:bottom w:val="nil"/>
            </w:tcBorders>
            <w:vAlign w:val="center"/>
          </w:tcPr>
          <w:p w14:paraId="6B9021B3"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21</w:t>
            </w:r>
          </w:p>
        </w:tc>
      </w:tr>
      <w:tr w:rsidR="00A6463E" w:rsidRPr="000C4E6C" w14:paraId="1CA1A11E" w14:textId="77777777" w:rsidTr="00A6463E">
        <w:tc>
          <w:tcPr>
            <w:tcW w:w="1278" w:type="dxa"/>
            <w:tcBorders>
              <w:top w:val="nil"/>
              <w:bottom w:val="nil"/>
              <w:right w:val="nil"/>
            </w:tcBorders>
            <w:vAlign w:val="center"/>
          </w:tcPr>
          <w:p w14:paraId="5BF649BC"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12778811"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52</w:t>
            </w:r>
          </w:p>
        </w:tc>
        <w:tc>
          <w:tcPr>
            <w:tcW w:w="1594" w:type="dxa"/>
            <w:tcBorders>
              <w:top w:val="nil"/>
              <w:left w:val="nil"/>
              <w:bottom w:val="nil"/>
              <w:right w:val="nil"/>
            </w:tcBorders>
            <w:vAlign w:val="center"/>
          </w:tcPr>
          <w:p w14:paraId="0EABB4B1"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ACR20</w:t>
            </w:r>
          </w:p>
        </w:tc>
        <w:tc>
          <w:tcPr>
            <w:tcW w:w="1675" w:type="dxa"/>
            <w:tcBorders>
              <w:top w:val="nil"/>
              <w:left w:val="nil"/>
              <w:bottom w:val="nil"/>
              <w:right w:val="nil"/>
            </w:tcBorders>
            <w:vAlign w:val="center"/>
          </w:tcPr>
          <w:p w14:paraId="6C3FACD6"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73</w:t>
            </w:r>
            <w:r w:rsidRPr="004743AB">
              <w:rPr>
                <w:rFonts w:asciiTheme="minorHAnsi" w:hAnsiTheme="minorHAnsi" w:cstheme="minorHAnsi"/>
                <w:lang w:eastAsia="ja-JP"/>
              </w:rPr>
              <w:t>***</w:t>
            </w:r>
          </w:p>
        </w:tc>
        <w:tc>
          <w:tcPr>
            <w:tcW w:w="1794" w:type="dxa"/>
            <w:tcBorders>
              <w:top w:val="nil"/>
              <w:left w:val="nil"/>
              <w:bottom w:val="nil"/>
              <w:right w:val="nil"/>
            </w:tcBorders>
            <w:vAlign w:val="center"/>
          </w:tcPr>
          <w:p w14:paraId="61D672F8"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73</w:t>
            </w:r>
            <w:r w:rsidRPr="004743AB">
              <w:rPr>
                <w:rFonts w:asciiTheme="minorHAnsi" w:hAnsiTheme="minorHAnsi" w:cstheme="minorHAnsi"/>
                <w:lang w:eastAsia="ja-JP"/>
              </w:rPr>
              <w:t>***</w:t>
            </w:r>
          </w:p>
        </w:tc>
        <w:tc>
          <w:tcPr>
            <w:tcW w:w="1455" w:type="dxa"/>
            <w:tcBorders>
              <w:top w:val="nil"/>
              <w:left w:val="nil"/>
              <w:bottom w:val="nil"/>
            </w:tcBorders>
            <w:vAlign w:val="center"/>
          </w:tcPr>
          <w:p w14:paraId="7B057D37" w14:textId="77777777" w:rsidR="00A6463E" w:rsidRPr="004743AB" w:rsidRDefault="00A6463E" w:rsidP="00A6463E">
            <w:pPr>
              <w:spacing w:before="60" w:after="20"/>
              <w:contextualSpacing/>
              <w:rPr>
                <w:rFonts w:asciiTheme="minorHAnsi" w:hAnsiTheme="minorHAnsi" w:cstheme="minorHAnsi"/>
              </w:rPr>
            </w:pPr>
            <w:r w:rsidRPr="004743AB">
              <w:rPr>
                <w:rFonts w:asciiTheme="minorHAnsi" w:hAnsiTheme="minorHAnsi" w:cstheme="minorHAnsi"/>
              </w:rPr>
              <w:t>56</w:t>
            </w:r>
          </w:p>
        </w:tc>
      </w:tr>
      <w:tr w:rsidR="00A6463E" w:rsidRPr="000C4E6C" w14:paraId="7CC3F9F3" w14:textId="77777777" w:rsidTr="00A6463E">
        <w:tc>
          <w:tcPr>
            <w:tcW w:w="1278" w:type="dxa"/>
            <w:tcBorders>
              <w:top w:val="nil"/>
              <w:bottom w:val="nil"/>
              <w:right w:val="nil"/>
            </w:tcBorders>
            <w:vAlign w:val="center"/>
          </w:tcPr>
          <w:p w14:paraId="7FAEB25E"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6BFDC25F" w14:textId="77777777" w:rsidR="00A6463E" w:rsidRPr="004743AB" w:rsidRDefault="00A6463E" w:rsidP="00A6463E">
            <w:pPr>
              <w:spacing w:before="60" w:after="20"/>
              <w:contextualSpacing/>
              <w:rPr>
                <w:rFonts w:asciiTheme="minorHAnsi" w:hAnsiTheme="minorHAnsi" w:cstheme="minorHAnsi"/>
                <w:lang w:eastAsia="ja-JP"/>
              </w:rPr>
            </w:pPr>
          </w:p>
        </w:tc>
        <w:tc>
          <w:tcPr>
            <w:tcW w:w="1594" w:type="dxa"/>
            <w:tcBorders>
              <w:top w:val="nil"/>
              <w:left w:val="nil"/>
              <w:bottom w:val="nil"/>
              <w:right w:val="nil"/>
            </w:tcBorders>
            <w:vAlign w:val="center"/>
          </w:tcPr>
          <w:p w14:paraId="0116AB08"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ACR50</w:t>
            </w:r>
          </w:p>
        </w:tc>
        <w:tc>
          <w:tcPr>
            <w:tcW w:w="1675" w:type="dxa"/>
            <w:tcBorders>
              <w:top w:val="nil"/>
              <w:left w:val="nil"/>
              <w:bottom w:val="nil"/>
              <w:right w:val="nil"/>
            </w:tcBorders>
            <w:vAlign w:val="center"/>
          </w:tcPr>
          <w:p w14:paraId="5DABF067"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57***</w:t>
            </w:r>
          </w:p>
        </w:tc>
        <w:tc>
          <w:tcPr>
            <w:tcW w:w="1794" w:type="dxa"/>
            <w:tcBorders>
              <w:top w:val="nil"/>
              <w:left w:val="nil"/>
              <w:bottom w:val="nil"/>
              <w:right w:val="nil"/>
            </w:tcBorders>
            <w:vAlign w:val="center"/>
          </w:tcPr>
          <w:p w14:paraId="2832767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62***</w:t>
            </w:r>
          </w:p>
        </w:tc>
        <w:tc>
          <w:tcPr>
            <w:tcW w:w="1455" w:type="dxa"/>
            <w:tcBorders>
              <w:top w:val="nil"/>
              <w:left w:val="nil"/>
              <w:bottom w:val="nil"/>
            </w:tcBorders>
            <w:vAlign w:val="center"/>
          </w:tcPr>
          <w:p w14:paraId="32F85AE6"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38</w:t>
            </w:r>
          </w:p>
        </w:tc>
      </w:tr>
      <w:tr w:rsidR="00A6463E" w:rsidRPr="000C4E6C" w14:paraId="00D98362" w14:textId="77777777" w:rsidTr="00A6463E">
        <w:tc>
          <w:tcPr>
            <w:tcW w:w="1278" w:type="dxa"/>
            <w:tcBorders>
              <w:top w:val="nil"/>
              <w:bottom w:val="single" w:sz="4" w:space="0" w:color="auto"/>
              <w:right w:val="nil"/>
            </w:tcBorders>
            <w:vAlign w:val="center"/>
          </w:tcPr>
          <w:p w14:paraId="0558DBAA"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single" w:sz="4" w:space="0" w:color="auto"/>
              <w:right w:val="nil"/>
            </w:tcBorders>
            <w:vAlign w:val="center"/>
          </w:tcPr>
          <w:p w14:paraId="3CEFA9F4" w14:textId="77777777" w:rsidR="00A6463E" w:rsidRPr="004743AB" w:rsidRDefault="00A6463E" w:rsidP="00A6463E">
            <w:pPr>
              <w:spacing w:before="60" w:after="20"/>
              <w:contextualSpacing/>
              <w:rPr>
                <w:rFonts w:asciiTheme="minorHAnsi" w:hAnsiTheme="minorHAnsi" w:cstheme="minorHAnsi"/>
                <w:lang w:eastAsia="ja-JP"/>
              </w:rPr>
            </w:pPr>
          </w:p>
        </w:tc>
        <w:tc>
          <w:tcPr>
            <w:tcW w:w="1594" w:type="dxa"/>
            <w:tcBorders>
              <w:top w:val="nil"/>
              <w:left w:val="nil"/>
              <w:bottom w:val="single" w:sz="4" w:space="0" w:color="auto"/>
              <w:right w:val="nil"/>
            </w:tcBorders>
            <w:vAlign w:val="center"/>
          </w:tcPr>
          <w:p w14:paraId="5157BB06"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ACR70</w:t>
            </w:r>
          </w:p>
        </w:tc>
        <w:tc>
          <w:tcPr>
            <w:tcW w:w="1675" w:type="dxa"/>
            <w:tcBorders>
              <w:top w:val="nil"/>
              <w:left w:val="nil"/>
              <w:bottom w:val="single" w:sz="4" w:space="0" w:color="auto"/>
              <w:right w:val="nil"/>
            </w:tcBorders>
            <w:vAlign w:val="center"/>
          </w:tcPr>
          <w:p w14:paraId="2DAEB6AA"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42***</w:t>
            </w:r>
          </w:p>
        </w:tc>
        <w:tc>
          <w:tcPr>
            <w:tcW w:w="1794" w:type="dxa"/>
            <w:tcBorders>
              <w:top w:val="nil"/>
              <w:left w:val="nil"/>
              <w:bottom w:val="single" w:sz="4" w:space="0" w:color="auto"/>
              <w:right w:val="nil"/>
            </w:tcBorders>
            <w:vAlign w:val="center"/>
          </w:tcPr>
          <w:p w14:paraId="22A2574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46***</w:t>
            </w:r>
          </w:p>
        </w:tc>
        <w:tc>
          <w:tcPr>
            <w:tcW w:w="1455" w:type="dxa"/>
            <w:tcBorders>
              <w:top w:val="nil"/>
              <w:left w:val="nil"/>
              <w:bottom w:val="single" w:sz="4" w:space="0" w:color="auto"/>
            </w:tcBorders>
            <w:vAlign w:val="center"/>
          </w:tcPr>
          <w:p w14:paraId="48FBD9A6"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25</w:t>
            </w:r>
          </w:p>
        </w:tc>
      </w:tr>
      <w:tr w:rsidR="00A6463E" w:rsidRPr="000C4E6C" w14:paraId="03C05118" w14:textId="77777777" w:rsidTr="00A6463E">
        <w:tc>
          <w:tcPr>
            <w:tcW w:w="9360" w:type="dxa"/>
            <w:gridSpan w:val="6"/>
            <w:tcBorders>
              <w:bottom w:val="nil"/>
            </w:tcBorders>
          </w:tcPr>
          <w:p w14:paraId="3392046B" w14:textId="77777777" w:rsidR="00A6463E" w:rsidRPr="004743AB" w:rsidRDefault="00A6463E" w:rsidP="00A6463E">
            <w:pPr>
              <w:contextualSpacing/>
              <w:rPr>
                <w:rFonts w:asciiTheme="minorHAnsi" w:hAnsiTheme="minorHAnsi" w:cstheme="minorHAnsi"/>
                <w:lang w:eastAsia="ja-JP"/>
              </w:rPr>
            </w:pPr>
            <w:r w:rsidRPr="004743AB">
              <w:rPr>
                <w:rFonts w:asciiTheme="minorHAnsi" w:hAnsiTheme="minorHAnsi" w:cstheme="minorHAnsi"/>
                <w:lang w:eastAsia="ja-JP"/>
              </w:rPr>
              <w:t>HAQ-DI (mean change from baseline)</w:t>
            </w:r>
          </w:p>
        </w:tc>
      </w:tr>
      <w:tr w:rsidR="00A6463E" w:rsidRPr="000C4E6C" w14:paraId="15792B11" w14:textId="77777777" w:rsidTr="00A6463E">
        <w:tc>
          <w:tcPr>
            <w:tcW w:w="1278" w:type="dxa"/>
            <w:tcBorders>
              <w:top w:val="nil"/>
              <w:bottom w:val="nil"/>
              <w:right w:val="nil"/>
            </w:tcBorders>
            <w:vAlign w:val="center"/>
          </w:tcPr>
          <w:p w14:paraId="03F3CAFE"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3ABF361F"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24</w:t>
            </w:r>
          </w:p>
        </w:tc>
        <w:tc>
          <w:tcPr>
            <w:tcW w:w="1594" w:type="dxa"/>
            <w:tcBorders>
              <w:top w:val="nil"/>
              <w:left w:val="nil"/>
              <w:bottom w:val="nil"/>
              <w:right w:val="nil"/>
            </w:tcBorders>
            <w:vAlign w:val="center"/>
          </w:tcPr>
          <w:p w14:paraId="548C1C2A"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nil"/>
              <w:right w:val="nil"/>
            </w:tcBorders>
            <w:vAlign w:val="center"/>
          </w:tcPr>
          <w:p w14:paraId="1E2151C6"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-1.04***</w:t>
            </w:r>
          </w:p>
        </w:tc>
        <w:tc>
          <w:tcPr>
            <w:tcW w:w="1794" w:type="dxa"/>
            <w:tcBorders>
              <w:top w:val="nil"/>
              <w:left w:val="nil"/>
              <w:bottom w:val="nil"/>
              <w:right w:val="nil"/>
            </w:tcBorders>
            <w:vAlign w:val="center"/>
          </w:tcPr>
          <w:p w14:paraId="7F4ADC96"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-1.03***</w:t>
            </w:r>
          </w:p>
        </w:tc>
        <w:tc>
          <w:tcPr>
            <w:tcW w:w="1455" w:type="dxa"/>
            <w:tcBorders>
              <w:top w:val="nil"/>
              <w:left w:val="nil"/>
              <w:bottom w:val="nil"/>
            </w:tcBorders>
            <w:vAlign w:val="center"/>
          </w:tcPr>
          <w:p w14:paraId="75FD678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-0.74</w:t>
            </w:r>
          </w:p>
        </w:tc>
      </w:tr>
      <w:tr w:rsidR="00A6463E" w:rsidRPr="000C4E6C" w14:paraId="50228425" w14:textId="77777777" w:rsidTr="00A6463E">
        <w:tc>
          <w:tcPr>
            <w:tcW w:w="1278" w:type="dxa"/>
            <w:tcBorders>
              <w:top w:val="nil"/>
              <w:bottom w:val="single" w:sz="4" w:space="0" w:color="auto"/>
              <w:right w:val="nil"/>
            </w:tcBorders>
            <w:vAlign w:val="center"/>
          </w:tcPr>
          <w:p w14:paraId="6475E53E"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single" w:sz="4" w:space="0" w:color="auto"/>
              <w:right w:val="nil"/>
            </w:tcBorders>
            <w:vAlign w:val="center"/>
          </w:tcPr>
          <w:p w14:paraId="19E872F6"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52</w:t>
            </w:r>
          </w:p>
        </w:tc>
        <w:tc>
          <w:tcPr>
            <w:tcW w:w="1594" w:type="dxa"/>
            <w:tcBorders>
              <w:top w:val="nil"/>
              <w:left w:val="nil"/>
              <w:bottom w:val="single" w:sz="4" w:space="0" w:color="auto"/>
              <w:right w:val="nil"/>
            </w:tcBorders>
            <w:vAlign w:val="center"/>
          </w:tcPr>
          <w:p w14:paraId="058F0F61"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single" w:sz="4" w:space="0" w:color="auto"/>
              <w:right w:val="nil"/>
            </w:tcBorders>
            <w:vAlign w:val="center"/>
          </w:tcPr>
          <w:p w14:paraId="5C4D9EB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-0.99***</w:t>
            </w:r>
          </w:p>
        </w:tc>
        <w:tc>
          <w:tcPr>
            <w:tcW w:w="1794" w:type="dxa"/>
            <w:tcBorders>
              <w:top w:val="nil"/>
              <w:left w:val="nil"/>
              <w:bottom w:val="single" w:sz="4" w:space="0" w:color="auto"/>
              <w:right w:val="nil"/>
            </w:tcBorders>
            <w:vAlign w:val="center"/>
          </w:tcPr>
          <w:p w14:paraId="28CE4E83"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-1.06***</w:t>
            </w:r>
          </w:p>
        </w:tc>
        <w:tc>
          <w:tcPr>
            <w:tcW w:w="1455" w:type="dxa"/>
            <w:tcBorders>
              <w:top w:val="nil"/>
              <w:left w:val="nil"/>
              <w:bottom w:val="single" w:sz="4" w:space="0" w:color="auto"/>
            </w:tcBorders>
            <w:vAlign w:val="center"/>
          </w:tcPr>
          <w:p w14:paraId="0DA6B961" w14:textId="77777777" w:rsidR="00A6463E" w:rsidRPr="004743AB" w:rsidRDefault="00A6463E" w:rsidP="00A6463E">
            <w:pPr>
              <w:spacing w:before="60" w:after="20"/>
              <w:contextualSpacing/>
              <w:rPr>
                <w:rFonts w:asciiTheme="minorHAnsi" w:hAnsiTheme="minorHAnsi" w:cstheme="minorHAnsi"/>
                <w:sz w:val="24"/>
                <w:lang w:eastAsia="ja-JP"/>
              </w:rPr>
            </w:pPr>
            <w:r w:rsidRPr="004743AB">
              <w:rPr>
                <w:rFonts w:asciiTheme="minorHAnsi" w:hAnsiTheme="minorHAnsi" w:cstheme="minorHAnsi"/>
                <w:lang w:eastAsia="ja-JP"/>
              </w:rPr>
              <w:t>-0.71</w:t>
            </w:r>
          </w:p>
        </w:tc>
      </w:tr>
      <w:tr w:rsidR="00A6463E" w:rsidRPr="000C4E6C" w14:paraId="1106B1AA" w14:textId="77777777" w:rsidTr="00A6463E">
        <w:tc>
          <w:tcPr>
            <w:tcW w:w="9360" w:type="dxa"/>
            <w:gridSpan w:val="6"/>
            <w:tcBorders>
              <w:bottom w:val="nil"/>
            </w:tcBorders>
          </w:tcPr>
          <w:p w14:paraId="57346B56" w14:textId="77777777" w:rsidR="00A6463E" w:rsidRPr="004743AB" w:rsidRDefault="00A6463E" w:rsidP="00A6463E">
            <w:pPr>
              <w:contextualSpacing/>
              <w:rPr>
                <w:rFonts w:asciiTheme="minorHAnsi" w:hAnsiTheme="minorHAnsi" w:cstheme="minorHAnsi"/>
                <w:lang w:eastAsia="ja-JP"/>
              </w:rPr>
            </w:pPr>
            <w:r w:rsidRPr="004743AB">
              <w:rPr>
                <w:rFonts w:asciiTheme="minorHAnsi" w:hAnsiTheme="minorHAnsi" w:cstheme="minorHAnsi"/>
                <w:lang w:eastAsia="ja-JP"/>
              </w:rPr>
              <w:t>DAS28-hsCRP &lt;2.6 response (%)</w:t>
            </w:r>
          </w:p>
        </w:tc>
      </w:tr>
      <w:tr w:rsidR="00A6463E" w:rsidRPr="000C4E6C" w14:paraId="42007E3D" w14:textId="77777777" w:rsidTr="00A6463E">
        <w:tc>
          <w:tcPr>
            <w:tcW w:w="1278" w:type="dxa"/>
            <w:tcBorders>
              <w:top w:val="nil"/>
              <w:bottom w:val="nil"/>
              <w:right w:val="nil"/>
            </w:tcBorders>
            <w:vAlign w:val="center"/>
          </w:tcPr>
          <w:p w14:paraId="48DA7E0E"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0122BAE1"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24</w:t>
            </w:r>
          </w:p>
        </w:tc>
        <w:tc>
          <w:tcPr>
            <w:tcW w:w="1594" w:type="dxa"/>
            <w:tcBorders>
              <w:top w:val="nil"/>
              <w:left w:val="nil"/>
              <w:bottom w:val="nil"/>
              <w:right w:val="nil"/>
            </w:tcBorders>
            <w:vAlign w:val="center"/>
          </w:tcPr>
          <w:p w14:paraId="2C67EA69"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nil"/>
              <w:right w:val="nil"/>
            </w:tcBorders>
            <w:vAlign w:val="center"/>
          </w:tcPr>
          <w:p w14:paraId="2998791E"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40***</w:t>
            </w:r>
          </w:p>
        </w:tc>
        <w:tc>
          <w:tcPr>
            <w:tcW w:w="1794" w:type="dxa"/>
            <w:tcBorders>
              <w:top w:val="nil"/>
              <w:left w:val="nil"/>
              <w:bottom w:val="nil"/>
              <w:right w:val="nil"/>
            </w:tcBorders>
            <w:vAlign w:val="center"/>
          </w:tcPr>
          <w:p w14:paraId="596B3100"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40***</w:t>
            </w:r>
          </w:p>
        </w:tc>
        <w:tc>
          <w:tcPr>
            <w:tcW w:w="1455" w:type="dxa"/>
            <w:tcBorders>
              <w:top w:val="nil"/>
              <w:left w:val="nil"/>
              <w:bottom w:val="nil"/>
            </w:tcBorders>
            <w:vAlign w:val="center"/>
          </w:tcPr>
          <w:p w14:paraId="0043BEEF"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24</w:t>
            </w:r>
          </w:p>
        </w:tc>
      </w:tr>
      <w:tr w:rsidR="00A6463E" w:rsidRPr="000C4E6C" w14:paraId="02029604" w14:textId="77777777" w:rsidTr="00A6463E">
        <w:tc>
          <w:tcPr>
            <w:tcW w:w="1278" w:type="dxa"/>
            <w:tcBorders>
              <w:top w:val="nil"/>
              <w:bottom w:val="single" w:sz="4" w:space="0" w:color="auto"/>
              <w:right w:val="nil"/>
            </w:tcBorders>
            <w:vAlign w:val="center"/>
          </w:tcPr>
          <w:p w14:paraId="27F7B278"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single" w:sz="4" w:space="0" w:color="auto"/>
              <w:right w:val="nil"/>
            </w:tcBorders>
            <w:vAlign w:val="center"/>
          </w:tcPr>
          <w:p w14:paraId="6486725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52</w:t>
            </w:r>
          </w:p>
        </w:tc>
        <w:tc>
          <w:tcPr>
            <w:tcW w:w="1594" w:type="dxa"/>
            <w:tcBorders>
              <w:top w:val="nil"/>
              <w:left w:val="nil"/>
              <w:bottom w:val="single" w:sz="4" w:space="0" w:color="auto"/>
              <w:right w:val="nil"/>
            </w:tcBorders>
            <w:vAlign w:val="center"/>
          </w:tcPr>
          <w:p w14:paraId="14DC8DA2"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single" w:sz="4" w:space="0" w:color="auto"/>
              <w:right w:val="nil"/>
            </w:tcBorders>
            <w:vAlign w:val="center"/>
          </w:tcPr>
          <w:p w14:paraId="6C322B28"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44***</w:t>
            </w:r>
          </w:p>
        </w:tc>
        <w:tc>
          <w:tcPr>
            <w:tcW w:w="1794" w:type="dxa"/>
            <w:tcBorders>
              <w:top w:val="nil"/>
              <w:left w:val="nil"/>
              <w:bottom w:val="single" w:sz="4" w:space="0" w:color="auto"/>
              <w:right w:val="nil"/>
            </w:tcBorders>
            <w:vAlign w:val="center"/>
          </w:tcPr>
          <w:p w14:paraId="5BAE9D48"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49***</w:t>
            </w:r>
          </w:p>
        </w:tc>
        <w:tc>
          <w:tcPr>
            <w:tcW w:w="1455" w:type="dxa"/>
            <w:tcBorders>
              <w:top w:val="nil"/>
              <w:left w:val="nil"/>
              <w:bottom w:val="single" w:sz="4" w:space="0" w:color="auto"/>
            </w:tcBorders>
            <w:vAlign w:val="center"/>
          </w:tcPr>
          <w:p w14:paraId="54D4C7D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24</w:t>
            </w:r>
          </w:p>
        </w:tc>
      </w:tr>
      <w:tr w:rsidR="00A6463E" w:rsidRPr="000C4E6C" w14:paraId="4C60FD2C" w14:textId="77777777" w:rsidTr="00A6463E">
        <w:tc>
          <w:tcPr>
            <w:tcW w:w="9360" w:type="dxa"/>
            <w:gridSpan w:val="6"/>
            <w:tcBorders>
              <w:bottom w:val="nil"/>
            </w:tcBorders>
          </w:tcPr>
          <w:p w14:paraId="3841B8F2" w14:textId="77777777" w:rsidR="00A6463E" w:rsidRPr="004743AB" w:rsidRDefault="00A6463E" w:rsidP="00A6463E">
            <w:pPr>
              <w:contextualSpacing/>
              <w:rPr>
                <w:rFonts w:asciiTheme="minorHAnsi" w:hAnsiTheme="minorHAnsi" w:cstheme="minorHAnsi"/>
                <w:lang w:eastAsia="ja-JP"/>
              </w:rPr>
            </w:pPr>
            <w:r w:rsidRPr="004743AB">
              <w:rPr>
                <w:rFonts w:asciiTheme="minorHAnsi" w:hAnsiTheme="minorHAnsi" w:cstheme="minorHAnsi"/>
                <w:lang w:eastAsia="ja-JP"/>
              </w:rPr>
              <w:t>DAS28-hsCRP ≤3.2 response (%)</w:t>
            </w:r>
          </w:p>
        </w:tc>
      </w:tr>
      <w:tr w:rsidR="00A6463E" w:rsidRPr="000C4E6C" w14:paraId="742D340A" w14:textId="77777777" w:rsidTr="00A6463E">
        <w:tc>
          <w:tcPr>
            <w:tcW w:w="1278" w:type="dxa"/>
            <w:tcBorders>
              <w:top w:val="nil"/>
              <w:bottom w:val="nil"/>
              <w:right w:val="nil"/>
            </w:tcBorders>
            <w:vAlign w:val="center"/>
          </w:tcPr>
          <w:p w14:paraId="3FDD68FC"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2C1169E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24</w:t>
            </w:r>
          </w:p>
        </w:tc>
        <w:tc>
          <w:tcPr>
            <w:tcW w:w="1594" w:type="dxa"/>
            <w:tcBorders>
              <w:top w:val="nil"/>
              <w:left w:val="nil"/>
              <w:bottom w:val="nil"/>
              <w:right w:val="nil"/>
            </w:tcBorders>
            <w:vAlign w:val="center"/>
          </w:tcPr>
          <w:p w14:paraId="3317D0E1"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nil"/>
              <w:right w:val="nil"/>
            </w:tcBorders>
            <w:vAlign w:val="center"/>
          </w:tcPr>
          <w:p w14:paraId="33B5100C"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57***</w:t>
            </w:r>
          </w:p>
        </w:tc>
        <w:tc>
          <w:tcPr>
            <w:tcW w:w="1794" w:type="dxa"/>
            <w:tcBorders>
              <w:top w:val="nil"/>
              <w:left w:val="nil"/>
              <w:bottom w:val="nil"/>
              <w:right w:val="nil"/>
            </w:tcBorders>
            <w:vAlign w:val="center"/>
          </w:tcPr>
          <w:p w14:paraId="44355AB3"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60***</w:t>
            </w:r>
          </w:p>
        </w:tc>
        <w:tc>
          <w:tcPr>
            <w:tcW w:w="1455" w:type="dxa"/>
            <w:tcBorders>
              <w:top w:val="nil"/>
              <w:left w:val="nil"/>
              <w:bottom w:val="nil"/>
            </w:tcBorders>
            <w:vAlign w:val="center"/>
          </w:tcPr>
          <w:p w14:paraId="4DE563A9"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38</w:t>
            </w:r>
          </w:p>
        </w:tc>
      </w:tr>
      <w:tr w:rsidR="00A6463E" w:rsidRPr="000C4E6C" w14:paraId="30247403" w14:textId="77777777" w:rsidTr="00A6463E">
        <w:tc>
          <w:tcPr>
            <w:tcW w:w="1278" w:type="dxa"/>
            <w:tcBorders>
              <w:top w:val="nil"/>
              <w:bottom w:val="single" w:sz="4" w:space="0" w:color="auto"/>
              <w:right w:val="nil"/>
            </w:tcBorders>
            <w:vAlign w:val="center"/>
          </w:tcPr>
          <w:p w14:paraId="0532682F"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single" w:sz="4" w:space="0" w:color="auto"/>
              <w:right w:val="nil"/>
            </w:tcBorders>
            <w:vAlign w:val="center"/>
          </w:tcPr>
          <w:p w14:paraId="79D392FC"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52</w:t>
            </w:r>
          </w:p>
        </w:tc>
        <w:tc>
          <w:tcPr>
            <w:tcW w:w="1594" w:type="dxa"/>
            <w:tcBorders>
              <w:top w:val="nil"/>
              <w:left w:val="nil"/>
              <w:bottom w:val="single" w:sz="4" w:space="0" w:color="auto"/>
              <w:right w:val="nil"/>
            </w:tcBorders>
            <w:vAlign w:val="center"/>
          </w:tcPr>
          <w:p w14:paraId="44BACB6D"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single" w:sz="4" w:space="0" w:color="auto"/>
              <w:right w:val="nil"/>
            </w:tcBorders>
            <w:vAlign w:val="center"/>
          </w:tcPr>
          <w:p w14:paraId="4D1AF46E"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57***</w:t>
            </w:r>
          </w:p>
        </w:tc>
        <w:tc>
          <w:tcPr>
            <w:tcW w:w="1794" w:type="dxa"/>
            <w:tcBorders>
              <w:top w:val="nil"/>
              <w:left w:val="nil"/>
              <w:bottom w:val="single" w:sz="4" w:space="0" w:color="auto"/>
              <w:right w:val="nil"/>
            </w:tcBorders>
            <w:vAlign w:val="center"/>
          </w:tcPr>
          <w:p w14:paraId="1E20060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63***</w:t>
            </w:r>
          </w:p>
        </w:tc>
        <w:tc>
          <w:tcPr>
            <w:tcW w:w="1455" w:type="dxa"/>
            <w:tcBorders>
              <w:top w:val="nil"/>
              <w:left w:val="nil"/>
              <w:bottom w:val="single" w:sz="4" w:space="0" w:color="auto"/>
            </w:tcBorders>
            <w:vAlign w:val="center"/>
          </w:tcPr>
          <w:p w14:paraId="4D938A10"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38</w:t>
            </w:r>
          </w:p>
        </w:tc>
      </w:tr>
      <w:tr w:rsidR="00A6463E" w:rsidRPr="000C4E6C" w14:paraId="2679DB36" w14:textId="77777777" w:rsidTr="00A6463E">
        <w:tc>
          <w:tcPr>
            <w:tcW w:w="9360" w:type="dxa"/>
            <w:gridSpan w:val="6"/>
            <w:tcBorders>
              <w:bottom w:val="nil"/>
            </w:tcBorders>
          </w:tcPr>
          <w:p w14:paraId="018355A9" w14:textId="77777777" w:rsidR="00A6463E" w:rsidRPr="004743AB" w:rsidRDefault="00A6463E" w:rsidP="00A6463E">
            <w:pPr>
              <w:contextualSpacing/>
              <w:rPr>
                <w:rFonts w:asciiTheme="minorHAnsi" w:hAnsiTheme="minorHAnsi" w:cstheme="minorHAnsi"/>
                <w:lang w:eastAsia="ja-JP"/>
              </w:rPr>
            </w:pPr>
            <w:r w:rsidRPr="004743AB">
              <w:rPr>
                <w:rFonts w:asciiTheme="minorHAnsi" w:hAnsiTheme="minorHAnsi" w:cstheme="minorHAnsi"/>
                <w:lang w:eastAsia="ja-JP"/>
              </w:rPr>
              <w:t>SDAI remission ≤3.3 (%)</w:t>
            </w:r>
          </w:p>
        </w:tc>
      </w:tr>
      <w:tr w:rsidR="00A6463E" w:rsidRPr="000C4E6C" w14:paraId="6BD2C4E3" w14:textId="77777777" w:rsidTr="00A6463E">
        <w:tc>
          <w:tcPr>
            <w:tcW w:w="1278" w:type="dxa"/>
            <w:tcBorders>
              <w:top w:val="nil"/>
              <w:bottom w:val="nil"/>
              <w:right w:val="nil"/>
            </w:tcBorders>
            <w:vAlign w:val="center"/>
          </w:tcPr>
          <w:p w14:paraId="2BDB5D8B"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19A061F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24</w:t>
            </w:r>
          </w:p>
        </w:tc>
        <w:tc>
          <w:tcPr>
            <w:tcW w:w="1594" w:type="dxa"/>
            <w:tcBorders>
              <w:top w:val="nil"/>
              <w:left w:val="nil"/>
              <w:bottom w:val="nil"/>
              <w:right w:val="nil"/>
            </w:tcBorders>
            <w:vAlign w:val="center"/>
          </w:tcPr>
          <w:p w14:paraId="38DA44D6"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bottom w:val="nil"/>
              <w:right w:val="nil"/>
            </w:tcBorders>
            <w:vAlign w:val="center"/>
          </w:tcPr>
          <w:p w14:paraId="288FA59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22**</w:t>
            </w:r>
          </w:p>
        </w:tc>
        <w:tc>
          <w:tcPr>
            <w:tcW w:w="1794" w:type="dxa"/>
            <w:tcBorders>
              <w:top w:val="nil"/>
              <w:left w:val="nil"/>
              <w:bottom w:val="nil"/>
              <w:right w:val="nil"/>
            </w:tcBorders>
            <w:vAlign w:val="center"/>
          </w:tcPr>
          <w:p w14:paraId="29D14E5B"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23***</w:t>
            </w:r>
          </w:p>
        </w:tc>
        <w:tc>
          <w:tcPr>
            <w:tcW w:w="1455" w:type="dxa"/>
            <w:tcBorders>
              <w:top w:val="nil"/>
              <w:left w:val="nil"/>
              <w:bottom w:val="nil"/>
            </w:tcBorders>
            <w:vAlign w:val="center"/>
          </w:tcPr>
          <w:p w14:paraId="5DB7B620"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10</w:t>
            </w:r>
          </w:p>
        </w:tc>
      </w:tr>
      <w:tr w:rsidR="00A6463E" w:rsidRPr="000C4E6C" w14:paraId="619C07B0" w14:textId="77777777" w:rsidTr="00A6463E">
        <w:tc>
          <w:tcPr>
            <w:tcW w:w="1278" w:type="dxa"/>
            <w:tcBorders>
              <w:top w:val="nil"/>
              <w:right w:val="nil"/>
            </w:tcBorders>
            <w:vAlign w:val="center"/>
          </w:tcPr>
          <w:p w14:paraId="0FD81B73"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right w:val="nil"/>
            </w:tcBorders>
            <w:vAlign w:val="center"/>
          </w:tcPr>
          <w:p w14:paraId="70A1BC4D"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52</w:t>
            </w:r>
          </w:p>
        </w:tc>
        <w:tc>
          <w:tcPr>
            <w:tcW w:w="1594" w:type="dxa"/>
            <w:tcBorders>
              <w:top w:val="nil"/>
              <w:left w:val="nil"/>
              <w:right w:val="nil"/>
            </w:tcBorders>
            <w:vAlign w:val="center"/>
          </w:tcPr>
          <w:p w14:paraId="07C1D8A7" w14:textId="77777777" w:rsidR="00A6463E" w:rsidRPr="004743AB" w:rsidRDefault="00A6463E" w:rsidP="00A6463E">
            <w:pPr>
              <w:spacing w:before="60" w:after="20"/>
              <w:contextualSpacing/>
              <w:rPr>
                <w:rFonts w:asciiTheme="minorHAnsi" w:hAnsiTheme="minorHAnsi" w:cstheme="minorHAnsi"/>
                <w:lang w:eastAsia="ja-JP"/>
              </w:rPr>
            </w:pPr>
          </w:p>
        </w:tc>
        <w:tc>
          <w:tcPr>
            <w:tcW w:w="1675" w:type="dxa"/>
            <w:tcBorders>
              <w:top w:val="nil"/>
              <w:left w:val="nil"/>
              <w:right w:val="nil"/>
            </w:tcBorders>
            <w:vAlign w:val="center"/>
          </w:tcPr>
          <w:p w14:paraId="32A129C1"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25**</w:t>
            </w:r>
          </w:p>
        </w:tc>
        <w:tc>
          <w:tcPr>
            <w:tcW w:w="1794" w:type="dxa"/>
            <w:tcBorders>
              <w:top w:val="nil"/>
              <w:left w:val="nil"/>
              <w:right w:val="nil"/>
            </w:tcBorders>
            <w:vAlign w:val="center"/>
          </w:tcPr>
          <w:p w14:paraId="6BCB9598"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30***</w:t>
            </w:r>
          </w:p>
        </w:tc>
        <w:tc>
          <w:tcPr>
            <w:tcW w:w="1455" w:type="dxa"/>
            <w:tcBorders>
              <w:top w:val="nil"/>
              <w:left w:val="nil"/>
            </w:tcBorders>
            <w:vAlign w:val="center"/>
          </w:tcPr>
          <w:p w14:paraId="7C36E92B"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13</w:t>
            </w:r>
          </w:p>
        </w:tc>
      </w:tr>
      <w:tr w:rsidR="00A6463E" w:rsidRPr="000C4E6C" w14:paraId="591C917F" w14:textId="77777777" w:rsidTr="00A6463E">
        <w:tc>
          <w:tcPr>
            <w:tcW w:w="9360" w:type="dxa"/>
            <w:gridSpan w:val="6"/>
            <w:tcBorders>
              <w:bottom w:val="single" w:sz="4" w:space="0" w:color="auto"/>
            </w:tcBorders>
          </w:tcPr>
          <w:p w14:paraId="39DFC886" w14:textId="77777777" w:rsidR="00A6463E" w:rsidRPr="004743AB" w:rsidRDefault="00A6463E" w:rsidP="00A6463E">
            <w:pPr>
              <w:spacing w:before="60"/>
              <w:contextualSpacing/>
              <w:rPr>
                <w:rFonts w:asciiTheme="minorHAnsi" w:hAnsiTheme="minorHAnsi" w:cstheme="minorHAnsi"/>
                <w:b/>
                <w:lang w:eastAsia="ja-JP"/>
              </w:rPr>
            </w:pPr>
            <w:r w:rsidRPr="004743AB">
              <w:rPr>
                <w:rFonts w:asciiTheme="minorHAnsi" w:hAnsiTheme="minorHAnsi" w:cstheme="minorHAnsi"/>
                <w:b/>
                <w:lang w:eastAsia="ja-JP"/>
              </w:rPr>
              <w:t>Radiographic Endpoints (mean change from baseline)</w:t>
            </w:r>
          </w:p>
        </w:tc>
      </w:tr>
      <w:tr w:rsidR="00A6463E" w:rsidRPr="000C4E6C" w14:paraId="696D9FBE" w14:textId="77777777" w:rsidTr="00A6463E">
        <w:tc>
          <w:tcPr>
            <w:tcW w:w="1278" w:type="dxa"/>
            <w:tcBorders>
              <w:top w:val="nil"/>
              <w:bottom w:val="nil"/>
              <w:right w:val="nil"/>
            </w:tcBorders>
          </w:tcPr>
          <w:p w14:paraId="3806A6A7"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7234359F"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Week 52</w:t>
            </w:r>
          </w:p>
        </w:tc>
        <w:tc>
          <w:tcPr>
            <w:tcW w:w="1594" w:type="dxa"/>
            <w:tcBorders>
              <w:top w:val="nil"/>
              <w:left w:val="nil"/>
              <w:bottom w:val="nil"/>
              <w:right w:val="nil"/>
            </w:tcBorders>
            <w:vAlign w:val="center"/>
          </w:tcPr>
          <w:p w14:paraId="57FA169C" w14:textId="77777777" w:rsidR="00A6463E" w:rsidRPr="004743AB" w:rsidRDefault="00A6463E" w:rsidP="00A6463E">
            <w:pPr>
              <w:spacing w:before="60" w:after="20"/>
              <w:contextualSpacing/>
              <w:rPr>
                <w:rFonts w:asciiTheme="minorHAnsi" w:hAnsiTheme="minorHAnsi" w:cstheme="minorHAnsi"/>
                <w:lang w:eastAsia="ja-JP"/>
              </w:rPr>
            </w:pPr>
            <w:proofErr w:type="spellStart"/>
            <w:r w:rsidRPr="004743AB">
              <w:rPr>
                <w:rFonts w:asciiTheme="minorHAnsi" w:hAnsiTheme="minorHAnsi" w:cstheme="minorHAnsi"/>
                <w:lang w:eastAsia="ja-JP"/>
              </w:rPr>
              <w:t>mTSS</w:t>
            </w:r>
            <w:proofErr w:type="spellEnd"/>
          </w:p>
        </w:tc>
        <w:tc>
          <w:tcPr>
            <w:tcW w:w="1675" w:type="dxa"/>
            <w:tcBorders>
              <w:top w:val="nil"/>
              <w:left w:val="nil"/>
              <w:bottom w:val="nil"/>
              <w:right w:val="nil"/>
            </w:tcBorders>
            <w:vAlign w:val="center"/>
          </w:tcPr>
          <w:p w14:paraId="304256A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0.80</w:t>
            </w:r>
          </w:p>
        </w:tc>
        <w:tc>
          <w:tcPr>
            <w:tcW w:w="1794" w:type="dxa"/>
            <w:tcBorders>
              <w:top w:val="nil"/>
              <w:left w:val="nil"/>
              <w:bottom w:val="nil"/>
              <w:right w:val="nil"/>
            </w:tcBorders>
            <w:vAlign w:val="center"/>
          </w:tcPr>
          <w:p w14:paraId="7C025745"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0.40**</w:t>
            </w:r>
          </w:p>
        </w:tc>
        <w:tc>
          <w:tcPr>
            <w:tcW w:w="1455" w:type="dxa"/>
            <w:tcBorders>
              <w:top w:val="nil"/>
              <w:left w:val="nil"/>
              <w:bottom w:val="nil"/>
            </w:tcBorders>
            <w:vAlign w:val="center"/>
          </w:tcPr>
          <w:p w14:paraId="00DAEAC8"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1.02</w:t>
            </w:r>
          </w:p>
        </w:tc>
      </w:tr>
      <w:tr w:rsidR="00A6463E" w:rsidRPr="000C4E6C" w14:paraId="58548FD9" w14:textId="77777777" w:rsidTr="00A6463E">
        <w:tc>
          <w:tcPr>
            <w:tcW w:w="1278" w:type="dxa"/>
            <w:tcBorders>
              <w:top w:val="nil"/>
              <w:bottom w:val="nil"/>
              <w:right w:val="nil"/>
            </w:tcBorders>
          </w:tcPr>
          <w:p w14:paraId="2D9638DB"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77100006" w14:textId="77777777" w:rsidR="00A6463E" w:rsidRPr="004743AB" w:rsidRDefault="00A6463E" w:rsidP="00A6463E">
            <w:pPr>
              <w:spacing w:before="60" w:after="20"/>
              <w:contextualSpacing/>
              <w:rPr>
                <w:rFonts w:asciiTheme="minorHAnsi" w:hAnsiTheme="minorHAnsi" w:cstheme="minorHAnsi"/>
                <w:lang w:eastAsia="ja-JP"/>
              </w:rPr>
            </w:pPr>
          </w:p>
        </w:tc>
        <w:tc>
          <w:tcPr>
            <w:tcW w:w="1594" w:type="dxa"/>
            <w:tcBorders>
              <w:top w:val="nil"/>
              <w:left w:val="nil"/>
              <w:bottom w:val="nil"/>
              <w:right w:val="nil"/>
            </w:tcBorders>
            <w:vAlign w:val="center"/>
          </w:tcPr>
          <w:p w14:paraId="3BDDD78C"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Erosion Score</w:t>
            </w:r>
          </w:p>
        </w:tc>
        <w:tc>
          <w:tcPr>
            <w:tcW w:w="1675" w:type="dxa"/>
            <w:tcBorders>
              <w:top w:val="nil"/>
              <w:left w:val="nil"/>
              <w:bottom w:val="nil"/>
              <w:right w:val="nil"/>
            </w:tcBorders>
            <w:vAlign w:val="center"/>
          </w:tcPr>
          <w:p w14:paraId="48A2E8F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0.55</w:t>
            </w:r>
          </w:p>
        </w:tc>
        <w:tc>
          <w:tcPr>
            <w:tcW w:w="1794" w:type="dxa"/>
            <w:tcBorders>
              <w:top w:val="nil"/>
              <w:left w:val="nil"/>
              <w:bottom w:val="nil"/>
              <w:right w:val="nil"/>
            </w:tcBorders>
            <w:vAlign w:val="center"/>
          </w:tcPr>
          <w:p w14:paraId="2CCFC357"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0.34**</w:t>
            </w:r>
          </w:p>
        </w:tc>
        <w:tc>
          <w:tcPr>
            <w:tcW w:w="1455" w:type="dxa"/>
            <w:tcBorders>
              <w:top w:val="nil"/>
              <w:left w:val="nil"/>
              <w:bottom w:val="nil"/>
            </w:tcBorders>
            <w:vAlign w:val="center"/>
          </w:tcPr>
          <w:p w14:paraId="3985AD42"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0.81</w:t>
            </w:r>
          </w:p>
        </w:tc>
      </w:tr>
      <w:tr w:rsidR="00A6463E" w:rsidRPr="000C4E6C" w14:paraId="503939B3" w14:textId="77777777" w:rsidTr="00A6463E">
        <w:tc>
          <w:tcPr>
            <w:tcW w:w="1278" w:type="dxa"/>
            <w:tcBorders>
              <w:top w:val="nil"/>
              <w:bottom w:val="nil"/>
              <w:right w:val="nil"/>
            </w:tcBorders>
          </w:tcPr>
          <w:p w14:paraId="3F1F4DA0" w14:textId="77777777" w:rsidR="00A6463E" w:rsidRPr="004743AB" w:rsidRDefault="00A6463E" w:rsidP="00A6463E">
            <w:pPr>
              <w:spacing w:before="60" w:after="20"/>
              <w:contextualSpacing/>
              <w:rPr>
                <w:rFonts w:asciiTheme="minorHAnsi" w:hAnsiTheme="minorHAnsi" w:cstheme="minorHAnsi"/>
                <w:lang w:eastAsia="ja-JP"/>
              </w:rPr>
            </w:pPr>
          </w:p>
        </w:tc>
        <w:tc>
          <w:tcPr>
            <w:tcW w:w="1564" w:type="dxa"/>
            <w:tcBorders>
              <w:top w:val="nil"/>
              <w:left w:val="nil"/>
              <w:bottom w:val="nil"/>
              <w:right w:val="nil"/>
            </w:tcBorders>
            <w:vAlign w:val="center"/>
          </w:tcPr>
          <w:p w14:paraId="2EF1CC24" w14:textId="77777777" w:rsidR="00A6463E" w:rsidRPr="004743AB" w:rsidRDefault="00A6463E" w:rsidP="00A6463E">
            <w:pPr>
              <w:spacing w:before="60" w:after="20"/>
              <w:contextualSpacing/>
              <w:rPr>
                <w:rFonts w:asciiTheme="minorHAnsi" w:hAnsiTheme="minorHAnsi" w:cstheme="minorHAnsi"/>
                <w:lang w:eastAsia="ja-JP"/>
              </w:rPr>
            </w:pPr>
          </w:p>
        </w:tc>
        <w:tc>
          <w:tcPr>
            <w:tcW w:w="1594" w:type="dxa"/>
            <w:tcBorders>
              <w:top w:val="nil"/>
              <w:left w:val="nil"/>
              <w:bottom w:val="nil"/>
              <w:right w:val="nil"/>
            </w:tcBorders>
            <w:vAlign w:val="center"/>
          </w:tcPr>
          <w:p w14:paraId="0D3152D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JSN</w:t>
            </w:r>
          </w:p>
        </w:tc>
        <w:tc>
          <w:tcPr>
            <w:tcW w:w="1675" w:type="dxa"/>
            <w:tcBorders>
              <w:top w:val="nil"/>
              <w:left w:val="nil"/>
              <w:bottom w:val="nil"/>
              <w:right w:val="nil"/>
            </w:tcBorders>
            <w:vAlign w:val="center"/>
          </w:tcPr>
          <w:p w14:paraId="38434903"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0.25</w:t>
            </w:r>
          </w:p>
        </w:tc>
        <w:tc>
          <w:tcPr>
            <w:tcW w:w="1794" w:type="dxa"/>
            <w:tcBorders>
              <w:top w:val="nil"/>
              <w:left w:val="nil"/>
              <w:bottom w:val="nil"/>
              <w:right w:val="nil"/>
            </w:tcBorders>
            <w:vAlign w:val="center"/>
          </w:tcPr>
          <w:p w14:paraId="0854C233"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0.06</w:t>
            </w:r>
          </w:p>
        </w:tc>
        <w:tc>
          <w:tcPr>
            <w:tcW w:w="1455" w:type="dxa"/>
            <w:tcBorders>
              <w:top w:val="nil"/>
              <w:left w:val="nil"/>
              <w:bottom w:val="nil"/>
            </w:tcBorders>
            <w:vAlign w:val="center"/>
          </w:tcPr>
          <w:p w14:paraId="36AAC44B"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0.21</w:t>
            </w:r>
          </w:p>
        </w:tc>
      </w:tr>
      <w:tr w:rsidR="00A6463E" w:rsidRPr="000C4E6C" w14:paraId="0E0D1990" w14:textId="77777777" w:rsidTr="00A6463E">
        <w:trPr>
          <w:trHeight w:val="599"/>
        </w:trPr>
        <w:tc>
          <w:tcPr>
            <w:tcW w:w="4436" w:type="dxa"/>
            <w:gridSpan w:val="3"/>
            <w:tcBorders>
              <w:top w:val="nil"/>
              <w:right w:val="nil"/>
            </w:tcBorders>
          </w:tcPr>
          <w:p w14:paraId="3E677AAB" w14:textId="77777777" w:rsidR="00A6463E" w:rsidRPr="004743AB" w:rsidRDefault="00A6463E" w:rsidP="00A6463E">
            <w:pPr>
              <w:spacing w:before="60" w:after="20"/>
              <w:ind w:left="720"/>
              <w:contextualSpacing/>
              <w:rPr>
                <w:rFonts w:asciiTheme="minorHAnsi" w:hAnsiTheme="minorHAnsi" w:cstheme="minorHAnsi"/>
                <w:lang w:eastAsia="ja-JP"/>
              </w:rPr>
            </w:pPr>
            <w:r w:rsidRPr="004743AB">
              <w:rPr>
                <w:rFonts w:asciiTheme="minorHAnsi" w:hAnsiTheme="minorHAnsi" w:cstheme="minorHAnsi"/>
                <w:lang w:eastAsia="ja-JP"/>
              </w:rPr>
              <w:t>Radiographic non-progression (%)</w:t>
            </w:r>
          </w:p>
          <w:p w14:paraId="22D9C884" w14:textId="77777777" w:rsidR="00A6463E" w:rsidRPr="004743AB" w:rsidRDefault="00A6463E" w:rsidP="00A6463E">
            <w:pPr>
              <w:spacing w:before="60" w:after="20"/>
              <w:ind w:left="720" w:right="-84"/>
              <w:contextualSpacing/>
              <w:rPr>
                <w:rFonts w:asciiTheme="minorHAnsi" w:hAnsiTheme="minorHAnsi" w:cstheme="minorHAnsi"/>
                <w:lang w:eastAsia="ja-JP"/>
              </w:rPr>
            </w:pPr>
            <w:r w:rsidRPr="004743AB">
              <w:rPr>
                <w:rFonts w:asciiTheme="minorHAnsi" w:hAnsiTheme="minorHAnsi" w:cstheme="minorHAnsi"/>
                <w:lang w:eastAsia="ja-JP"/>
              </w:rPr>
              <w:t xml:space="preserve">(change from baseline in </w:t>
            </w:r>
            <w:proofErr w:type="spellStart"/>
            <w:r w:rsidRPr="004743AB">
              <w:rPr>
                <w:rFonts w:asciiTheme="minorHAnsi" w:hAnsiTheme="minorHAnsi" w:cstheme="minorHAnsi"/>
                <w:lang w:eastAsia="ja-JP"/>
              </w:rPr>
              <w:t>mTSS</w:t>
            </w:r>
            <w:proofErr w:type="spellEnd"/>
            <w:r w:rsidRPr="004743AB">
              <w:rPr>
                <w:rFonts w:asciiTheme="minorHAnsi" w:hAnsiTheme="minorHAnsi" w:cstheme="minorHAnsi"/>
                <w:lang w:eastAsia="ja-JP"/>
              </w:rPr>
              <w:t xml:space="preserve"> ≤0)</w:t>
            </w:r>
          </w:p>
        </w:tc>
        <w:tc>
          <w:tcPr>
            <w:tcW w:w="1675" w:type="dxa"/>
            <w:tcBorders>
              <w:top w:val="nil"/>
              <w:left w:val="nil"/>
              <w:right w:val="nil"/>
            </w:tcBorders>
          </w:tcPr>
          <w:p w14:paraId="17EE33FE"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69</w:t>
            </w:r>
          </w:p>
        </w:tc>
        <w:tc>
          <w:tcPr>
            <w:tcW w:w="1794" w:type="dxa"/>
            <w:tcBorders>
              <w:top w:val="nil"/>
              <w:left w:val="nil"/>
              <w:right w:val="nil"/>
            </w:tcBorders>
          </w:tcPr>
          <w:p w14:paraId="284D480E"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80**</w:t>
            </w:r>
          </w:p>
        </w:tc>
        <w:tc>
          <w:tcPr>
            <w:tcW w:w="1455" w:type="dxa"/>
            <w:tcBorders>
              <w:top w:val="nil"/>
              <w:left w:val="nil"/>
            </w:tcBorders>
          </w:tcPr>
          <w:p w14:paraId="37D1FE14" w14:textId="77777777" w:rsidR="00A6463E" w:rsidRPr="004743AB" w:rsidRDefault="00A6463E" w:rsidP="00A6463E">
            <w:pPr>
              <w:spacing w:before="60" w:after="20"/>
              <w:contextualSpacing/>
              <w:rPr>
                <w:rFonts w:asciiTheme="minorHAnsi" w:hAnsiTheme="minorHAnsi" w:cstheme="minorHAnsi"/>
                <w:lang w:eastAsia="ja-JP"/>
              </w:rPr>
            </w:pPr>
            <w:r w:rsidRPr="004743AB">
              <w:rPr>
                <w:rFonts w:asciiTheme="minorHAnsi" w:hAnsiTheme="minorHAnsi" w:cstheme="minorHAnsi"/>
                <w:lang w:eastAsia="ja-JP"/>
              </w:rPr>
              <w:t>66</w:t>
            </w:r>
          </w:p>
        </w:tc>
      </w:tr>
    </w:tbl>
    <w:bookmarkEnd w:id="86"/>
    <w:bookmarkEnd w:id="87"/>
    <w:bookmarkEnd w:id="88"/>
    <w:bookmarkEnd w:id="89"/>
    <w:p w14:paraId="279A6A0D" w14:textId="77777777" w:rsidR="00A6463E" w:rsidRPr="004743AB" w:rsidRDefault="00A6463E" w:rsidP="00A6463E">
      <w:pPr>
        <w:tabs>
          <w:tab w:val="left" w:pos="259"/>
        </w:tabs>
        <w:spacing w:after="0" w:line="259" w:lineRule="atLeast"/>
        <w:ind w:left="261" w:hanging="261"/>
        <w:rPr>
          <w:rFonts w:eastAsia="Times New Roman" w:cstheme="minorHAnsi"/>
          <w:sz w:val="18"/>
          <w:szCs w:val="20"/>
          <w:lang w:val="en-US" w:eastAsia="ja-JP"/>
        </w:rPr>
      </w:pPr>
      <w:r w:rsidRPr="004743AB">
        <w:rPr>
          <w:rFonts w:eastAsia="Times New Roman" w:cstheme="minorHAnsi"/>
          <w:sz w:val="18"/>
          <w:szCs w:val="20"/>
          <w:lang w:val="en-US" w:eastAsia="ja-JP"/>
        </w:rPr>
        <w:t xml:space="preserve">Abbreviations: NA = Not applicable; MTX = methotrexate; ACR20 = 20% improvement in American College of Rheumatology criteria; ACR50 = 50% improvement in American College of Rheumatology criteria; ACR70 = 70% improvement in American College of Rheumatology criteria; HAQ-DI = Health Assessment Questionnaire-Disability Index; DAS28-hsCRP = Disease Activity Score 28-high-sensitivity C-reactive protein; SDAI = Simplified Disease Activity Index; </w:t>
      </w:r>
      <w:proofErr w:type="spellStart"/>
      <w:r w:rsidRPr="004743AB">
        <w:rPr>
          <w:rFonts w:eastAsia="Times New Roman" w:cstheme="minorHAnsi"/>
          <w:sz w:val="18"/>
          <w:szCs w:val="20"/>
          <w:lang w:val="en-US" w:eastAsia="ja-JP"/>
        </w:rPr>
        <w:t>mTSS</w:t>
      </w:r>
      <w:proofErr w:type="spellEnd"/>
      <w:r w:rsidRPr="004743AB">
        <w:rPr>
          <w:rFonts w:eastAsia="Times New Roman" w:cstheme="minorHAnsi"/>
          <w:sz w:val="18"/>
          <w:szCs w:val="20"/>
          <w:lang w:val="en-US" w:eastAsia="ja-JP"/>
        </w:rPr>
        <w:t xml:space="preserve"> = modified Total Sharp Score</w:t>
      </w:r>
    </w:p>
    <w:p w14:paraId="69E34C29" w14:textId="77777777" w:rsidR="00A6463E" w:rsidRPr="004743AB" w:rsidRDefault="00A6463E" w:rsidP="00A6463E">
      <w:pPr>
        <w:tabs>
          <w:tab w:val="left" w:pos="259"/>
        </w:tabs>
        <w:spacing w:after="0" w:line="259" w:lineRule="atLeast"/>
        <w:ind w:left="261" w:hanging="261"/>
        <w:rPr>
          <w:rFonts w:eastAsia="Times New Roman" w:cstheme="minorHAnsi"/>
          <w:sz w:val="18"/>
          <w:szCs w:val="18"/>
          <w:lang w:val="en-US"/>
        </w:rPr>
      </w:pPr>
      <w:r w:rsidRPr="004743AB">
        <w:rPr>
          <w:rFonts w:eastAsia="Times New Roman" w:cstheme="minorHAnsi"/>
          <w:sz w:val="18"/>
          <w:szCs w:val="18"/>
          <w:lang w:val="en-US"/>
        </w:rPr>
        <w:t>** p ≤ 0.01; *** p ≤ 0.001 vs. MTX.</w:t>
      </w:r>
    </w:p>
    <w:p w14:paraId="0CCC5D39" w14:textId="48956922" w:rsidR="0027237E" w:rsidRDefault="0027237E" w:rsidP="00A6463E">
      <w:pPr>
        <w:rPr>
          <w:b/>
          <w:i/>
          <w:u w:val="single"/>
        </w:rPr>
      </w:pPr>
      <w:r>
        <w:rPr>
          <w:b/>
          <w:i/>
          <w:u w:val="single"/>
        </w:rPr>
        <w:t>Atopic Dermatitis</w:t>
      </w:r>
    </w:p>
    <w:p w14:paraId="445BBDB6" w14:textId="77777777" w:rsidR="00393097" w:rsidRPr="00393097" w:rsidRDefault="001D3C07" w:rsidP="00393097">
      <w:pPr>
        <w:autoSpaceDE w:val="0"/>
        <w:autoSpaceDN w:val="0"/>
        <w:adjustRightInd w:val="0"/>
        <w:spacing w:line="240" w:lineRule="auto"/>
      </w:pPr>
      <w:r w:rsidRPr="00790F92">
        <w:t xml:space="preserve">The efficacy and safety of </w:t>
      </w:r>
      <w:r>
        <w:t>OLUMIANT</w:t>
      </w:r>
      <w:r w:rsidRPr="00790F92">
        <w:t xml:space="preserve"> </w:t>
      </w:r>
      <w:r>
        <w:t xml:space="preserve">as monotherapy or in combination with </w:t>
      </w:r>
      <w:r w:rsidRPr="0083743D">
        <w:t>topical corticosteroids</w:t>
      </w:r>
      <w:r w:rsidRPr="00790F92">
        <w:t xml:space="preserve"> </w:t>
      </w:r>
      <w:r>
        <w:t>(TCS) were</w:t>
      </w:r>
      <w:r w:rsidRPr="00790F92">
        <w:t xml:space="preserve"> assessed in </w:t>
      </w:r>
      <w:r>
        <w:t>3</w:t>
      </w:r>
      <w:r w:rsidRPr="00790F92">
        <w:t xml:space="preserve"> Phase III randomised, double</w:t>
      </w:r>
      <w:r w:rsidRPr="00790F92">
        <w:noBreakHyphen/>
        <w:t xml:space="preserve">blind, </w:t>
      </w:r>
      <w:r>
        <w:t>placebo-controlled, 16 week</w:t>
      </w:r>
      <w:r w:rsidRPr="00790F92">
        <w:t xml:space="preserve"> studies </w:t>
      </w:r>
      <w:r>
        <w:t xml:space="preserve">(BREEZE-AD1, -AD2 and -AD7). </w:t>
      </w:r>
      <w:r w:rsidR="00393097" w:rsidRPr="00393097">
        <w:t>The outcomes of the primary and key secondary endpoints from these studies were adjusted for multiplicity.</w:t>
      </w:r>
    </w:p>
    <w:p w14:paraId="41DD5FA5" w14:textId="57E7B892" w:rsidR="001D3C07" w:rsidRPr="00E111E4" w:rsidRDefault="001D3C07" w:rsidP="001D3C07">
      <w:pPr>
        <w:autoSpaceDE w:val="0"/>
        <w:autoSpaceDN w:val="0"/>
        <w:adjustRightInd w:val="0"/>
        <w:spacing w:line="240" w:lineRule="auto"/>
      </w:pPr>
      <w:r>
        <w:lastRenderedPageBreak/>
        <w:t xml:space="preserve">The studies included 1568 </w:t>
      </w:r>
      <w:r w:rsidRPr="00790F92">
        <w:t xml:space="preserve">patients with moderate to severe </w:t>
      </w:r>
      <w:r>
        <w:t xml:space="preserve">atopic dermatitis </w:t>
      </w:r>
      <w:r w:rsidRPr="0083743D">
        <w:t>defined by Investigator's Global Assessment (IGA) score ≥</w:t>
      </w:r>
      <w:r>
        <w:t> </w:t>
      </w:r>
      <w:r w:rsidRPr="0083743D">
        <w:t>3, an Eczema Area and Severity Index (EASI) score ≥</w:t>
      </w:r>
      <w:r>
        <w:t> </w:t>
      </w:r>
      <w:r w:rsidRPr="0083743D">
        <w:t>16, and a body surface area (BSA) involvement of ≥</w:t>
      </w:r>
      <w:r>
        <w:t> </w:t>
      </w:r>
      <w:r w:rsidRPr="0083743D">
        <w:t>10</w:t>
      </w:r>
      <w:r>
        <w:t> </w:t>
      </w:r>
      <w:r w:rsidRPr="0083743D">
        <w:t>%</w:t>
      </w:r>
      <w:r w:rsidRPr="00790F92">
        <w:t xml:space="preserve">. </w:t>
      </w:r>
      <w:r w:rsidRPr="0083743D">
        <w:t>Eligible patients were</w:t>
      </w:r>
      <w:r w:rsidRPr="000C227C">
        <w:t xml:space="preserve"> </w:t>
      </w:r>
      <w:r w:rsidRPr="00790F92">
        <w:t>over 18 years of age</w:t>
      </w:r>
      <w:r w:rsidRPr="0083743D">
        <w:t xml:space="preserve"> and had previous inadequate response</w:t>
      </w:r>
      <w:r>
        <w:t xml:space="preserve"> or were intolerant</w:t>
      </w:r>
      <w:r w:rsidRPr="0083743D">
        <w:t xml:space="preserve"> to topical medication.</w:t>
      </w:r>
      <w:r w:rsidRPr="00790F92">
        <w:t xml:space="preserve"> </w:t>
      </w:r>
      <w:r>
        <w:rPr>
          <w:color w:val="000000"/>
          <w:lang w:val="en"/>
        </w:rPr>
        <w:t>P</w:t>
      </w:r>
      <w:r w:rsidRPr="00E111E4">
        <w:rPr>
          <w:color w:val="000000"/>
          <w:lang w:val="en"/>
        </w:rPr>
        <w:t xml:space="preserve">atients were permitted to receive rescue treatment (which included topical or systemic </w:t>
      </w:r>
      <w:r>
        <w:rPr>
          <w:color w:val="000000"/>
          <w:lang w:val="en"/>
        </w:rPr>
        <w:t>therapy</w:t>
      </w:r>
      <w:r w:rsidRPr="00E111E4">
        <w:rPr>
          <w:color w:val="000000"/>
          <w:lang w:val="en"/>
        </w:rPr>
        <w:t>)</w:t>
      </w:r>
      <w:r>
        <w:rPr>
          <w:color w:val="000000"/>
          <w:lang w:val="en"/>
        </w:rPr>
        <w:t xml:space="preserve">, at which time they </w:t>
      </w:r>
      <w:r w:rsidRPr="00E111E4">
        <w:rPr>
          <w:color w:val="000000"/>
          <w:lang w:val="en"/>
        </w:rPr>
        <w:t>were considered non-responders.</w:t>
      </w:r>
      <w:r>
        <w:rPr>
          <w:color w:val="000000"/>
          <w:lang w:val="en"/>
        </w:rPr>
        <w:t xml:space="preserve"> </w:t>
      </w:r>
      <w:r w:rsidRPr="00790F92">
        <w:t xml:space="preserve">All patients who completed these </w:t>
      </w:r>
      <w:r>
        <w:t>s</w:t>
      </w:r>
      <w:r w:rsidRPr="00790F92">
        <w:t xml:space="preserve">tudies were eligible to enrol in a long term extension study </w:t>
      </w:r>
      <w:r>
        <w:t xml:space="preserve">(BREEZE AD-3) </w:t>
      </w:r>
      <w:r w:rsidRPr="00790F92">
        <w:t xml:space="preserve">for up to </w:t>
      </w:r>
      <w:r>
        <w:t>2</w:t>
      </w:r>
      <w:r w:rsidRPr="00790F92">
        <w:t xml:space="preserve"> years </w:t>
      </w:r>
      <w:r>
        <w:t xml:space="preserve">of </w:t>
      </w:r>
      <w:r w:rsidRPr="00790F92">
        <w:t>continued treatment.</w:t>
      </w:r>
    </w:p>
    <w:p w14:paraId="3FE13A7E" w14:textId="0F9787A7" w:rsidR="00931EC2" w:rsidRPr="00A15E2B" w:rsidRDefault="00931EC2" w:rsidP="00931EC2">
      <w:pPr>
        <w:keepNext/>
        <w:autoSpaceDE w:val="0"/>
        <w:autoSpaceDN w:val="0"/>
        <w:adjustRightInd w:val="0"/>
        <w:spacing w:line="240" w:lineRule="auto"/>
        <w:rPr>
          <w:b/>
          <w:bCs/>
          <w:i/>
          <w:u w:val="single"/>
        </w:rPr>
      </w:pPr>
      <w:r w:rsidRPr="00A15E2B">
        <w:rPr>
          <w:b/>
          <w:bCs/>
          <w:i/>
          <w:u w:val="single"/>
        </w:rPr>
        <w:t xml:space="preserve">Clinical Study Summary </w:t>
      </w:r>
    </w:p>
    <w:p w14:paraId="3343610F" w14:textId="34F70E9A" w:rsidR="008C54A9" w:rsidRPr="00720E2A" w:rsidRDefault="008C54A9" w:rsidP="008C54A9">
      <w:pPr>
        <w:spacing w:line="240" w:lineRule="auto"/>
        <w:rPr>
          <w:rFonts w:eastAsia="MS Mincho"/>
          <w:b/>
        </w:rPr>
      </w:pPr>
      <w:r w:rsidRPr="00720E2A">
        <w:rPr>
          <w:rFonts w:eastAsia="MS Mincho"/>
          <w:b/>
        </w:rPr>
        <w:t xml:space="preserve">Table 13 </w:t>
      </w:r>
      <w:r>
        <w:rPr>
          <w:rFonts w:eastAsia="MS Mincho"/>
          <w:b/>
        </w:rPr>
        <w:t>Summary of Clinical Trial</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1134"/>
        <w:gridCol w:w="1134"/>
        <w:gridCol w:w="1276"/>
        <w:gridCol w:w="4930"/>
      </w:tblGrid>
      <w:tr w:rsidR="001D3C07" w:rsidRPr="002E0A5D" w14:paraId="13A83600" w14:textId="77777777" w:rsidTr="00105060">
        <w:trPr>
          <w:trHeight w:val="522"/>
        </w:trPr>
        <w:tc>
          <w:tcPr>
            <w:tcW w:w="1271" w:type="dxa"/>
            <w:shd w:val="clear" w:color="auto" w:fill="auto"/>
          </w:tcPr>
          <w:p w14:paraId="4AB3BD75" w14:textId="77777777" w:rsidR="001D3C07" w:rsidRPr="002E0A5D" w:rsidRDefault="001D3C07" w:rsidP="00105060">
            <w:pPr>
              <w:autoSpaceDE w:val="0"/>
              <w:autoSpaceDN w:val="0"/>
              <w:adjustRightInd w:val="0"/>
              <w:spacing w:line="240" w:lineRule="auto"/>
              <w:jc w:val="center"/>
              <w:rPr>
                <w:rFonts w:eastAsia="SimSun" w:cstheme="minorHAnsi"/>
                <w:sz w:val="20"/>
                <w:lang w:eastAsia="en-GB"/>
              </w:rPr>
            </w:pPr>
            <w:r w:rsidRPr="002E0A5D">
              <w:rPr>
                <w:rFonts w:eastAsia="SimSun" w:cstheme="minorHAnsi"/>
                <w:b/>
                <w:sz w:val="20"/>
                <w:lang w:eastAsia="en-GB"/>
              </w:rPr>
              <w:t xml:space="preserve">Study Name </w:t>
            </w:r>
            <w:r w:rsidRPr="002E0A5D">
              <w:rPr>
                <w:rFonts w:eastAsia="SimSun" w:cstheme="minorHAnsi"/>
                <w:sz w:val="20"/>
                <w:lang w:eastAsia="en-GB"/>
              </w:rPr>
              <w:t>(Duration)</w:t>
            </w:r>
          </w:p>
        </w:tc>
        <w:tc>
          <w:tcPr>
            <w:tcW w:w="1134" w:type="dxa"/>
          </w:tcPr>
          <w:p w14:paraId="53D98654" w14:textId="5D12733B" w:rsidR="001D3C07" w:rsidRPr="002E0A5D" w:rsidRDefault="001D3C07" w:rsidP="00105060">
            <w:pPr>
              <w:autoSpaceDE w:val="0"/>
              <w:autoSpaceDN w:val="0"/>
              <w:adjustRightInd w:val="0"/>
              <w:spacing w:line="240" w:lineRule="auto"/>
              <w:jc w:val="center"/>
              <w:rPr>
                <w:rFonts w:eastAsia="SimSun" w:cstheme="minorHAnsi"/>
                <w:b/>
                <w:sz w:val="20"/>
                <w:lang w:eastAsia="en-GB"/>
              </w:rPr>
            </w:pPr>
            <w:r w:rsidRPr="002E0A5D">
              <w:rPr>
                <w:rFonts w:eastAsia="SimSun" w:cstheme="minorHAnsi"/>
                <w:b/>
                <w:sz w:val="20"/>
                <w:lang w:eastAsia="en-GB"/>
              </w:rPr>
              <w:t>No. of Patients Treated</w:t>
            </w:r>
            <w:r w:rsidRPr="002E0A5D">
              <w:rPr>
                <w:rFonts w:eastAsia="SimSun" w:cstheme="minorHAnsi"/>
                <w:sz w:val="20"/>
                <w:lang w:eastAsia="en-GB"/>
              </w:rPr>
              <w:t>(N)</w:t>
            </w:r>
          </w:p>
        </w:tc>
        <w:tc>
          <w:tcPr>
            <w:tcW w:w="1134" w:type="dxa"/>
            <w:shd w:val="clear" w:color="auto" w:fill="auto"/>
          </w:tcPr>
          <w:p w14:paraId="5B0339ED" w14:textId="77777777" w:rsidR="001D3C07" w:rsidRPr="002E0A5D" w:rsidRDefault="001D3C07" w:rsidP="00105060">
            <w:pPr>
              <w:autoSpaceDE w:val="0"/>
              <w:autoSpaceDN w:val="0"/>
              <w:adjustRightInd w:val="0"/>
              <w:spacing w:line="240" w:lineRule="auto"/>
              <w:jc w:val="center"/>
              <w:rPr>
                <w:rFonts w:eastAsia="SimSun" w:cstheme="minorHAnsi"/>
                <w:b/>
                <w:sz w:val="20"/>
                <w:lang w:eastAsia="en-GB"/>
              </w:rPr>
            </w:pPr>
            <w:r w:rsidRPr="002E0A5D">
              <w:rPr>
                <w:rFonts w:eastAsia="SimSun" w:cstheme="minorHAnsi"/>
                <w:b/>
                <w:sz w:val="20"/>
                <w:lang w:eastAsia="en-GB"/>
              </w:rPr>
              <w:t xml:space="preserve">Background </w:t>
            </w:r>
            <w:proofErr w:type="spellStart"/>
            <w:r w:rsidRPr="002E0A5D">
              <w:rPr>
                <w:rFonts w:eastAsia="SimSun" w:cstheme="minorHAnsi"/>
                <w:b/>
                <w:sz w:val="20"/>
                <w:lang w:eastAsia="en-GB"/>
              </w:rPr>
              <w:t>Treatment</w:t>
            </w:r>
            <w:r w:rsidRPr="002E0A5D">
              <w:rPr>
                <w:rFonts w:eastAsia="SimSun" w:cstheme="minorHAnsi"/>
                <w:sz w:val="20"/>
                <w:vertAlign w:val="superscript"/>
                <w:lang w:eastAsia="en-GB"/>
              </w:rPr>
              <w:t>a</w:t>
            </w:r>
            <w:proofErr w:type="spellEnd"/>
          </w:p>
        </w:tc>
        <w:tc>
          <w:tcPr>
            <w:tcW w:w="1276" w:type="dxa"/>
            <w:shd w:val="clear" w:color="auto" w:fill="auto"/>
          </w:tcPr>
          <w:p w14:paraId="25D22B24" w14:textId="77777777" w:rsidR="001D3C07" w:rsidRPr="002E0A5D" w:rsidRDefault="001D3C07" w:rsidP="00105060">
            <w:pPr>
              <w:autoSpaceDE w:val="0"/>
              <w:autoSpaceDN w:val="0"/>
              <w:adjustRightInd w:val="0"/>
              <w:spacing w:line="240" w:lineRule="auto"/>
              <w:jc w:val="center"/>
              <w:rPr>
                <w:rFonts w:eastAsia="SimSun" w:cstheme="minorHAnsi"/>
                <w:b/>
                <w:sz w:val="20"/>
                <w:lang w:eastAsia="en-GB"/>
              </w:rPr>
            </w:pPr>
            <w:r w:rsidRPr="002E0A5D">
              <w:rPr>
                <w:rFonts w:eastAsia="SimSun" w:cstheme="minorHAnsi"/>
                <w:b/>
                <w:sz w:val="20"/>
                <w:lang w:eastAsia="en-GB"/>
              </w:rPr>
              <w:t>Treatment arms (QD)</w:t>
            </w:r>
          </w:p>
        </w:tc>
        <w:tc>
          <w:tcPr>
            <w:tcW w:w="4930" w:type="dxa"/>
            <w:shd w:val="clear" w:color="auto" w:fill="auto"/>
          </w:tcPr>
          <w:p w14:paraId="0ACDC917" w14:textId="77777777" w:rsidR="001D3C07" w:rsidRPr="002E0A5D" w:rsidRDefault="001D3C07" w:rsidP="00105060">
            <w:pPr>
              <w:autoSpaceDE w:val="0"/>
              <w:autoSpaceDN w:val="0"/>
              <w:adjustRightInd w:val="0"/>
              <w:spacing w:line="240" w:lineRule="auto"/>
              <w:jc w:val="center"/>
              <w:rPr>
                <w:rFonts w:eastAsia="SimSun" w:cstheme="minorHAnsi"/>
                <w:b/>
                <w:sz w:val="20"/>
                <w:lang w:eastAsia="en-GB"/>
              </w:rPr>
            </w:pPr>
            <w:r w:rsidRPr="002E0A5D">
              <w:rPr>
                <w:rFonts w:eastAsia="SimSun" w:cstheme="minorHAnsi"/>
                <w:b/>
                <w:sz w:val="20"/>
                <w:lang w:eastAsia="en-GB"/>
              </w:rPr>
              <w:t>Outcome Measures</w:t>
            </w:r>
          </w:p>
        </w:tc>
      </w:tr>
      <w:tr w:rsidR="001D3C07" w:rsidRPr="002E0A5D" w14:paraId="70C4394E" w14:textId="77777777" w:rsidTr="00105060">
        <w:trPr>
          <w:trHeight w:val="217"/>
        </w:trPr>
        <w:tc>
          <w:tcPr>
            <w:tcW w:w="1271" w:type="dxa"/>
            <w:shd w:val="clear" w:color="auto" w:fill="auto"/>
          </w:tcPr>
          <w:p w14:paraId="4EE627F9" w14:textId="72FE0397"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BREEZE AD-1</w:t>
            </w:r>
            <w:r w:rsidR="00105060">
              <w:rPr>
                <w:rFonts w:eastAsia="SimSun" w:cstheme="minorHAnsi"/>
                <w:sz w:val="20"/>
                <w:lang w:eastAsia="en-GB"/>
              </w:rPr>
              <w:t xml:space="preserve"> </w:t>
            </w:r>
            <w:r w:rsidRPr="002E0A5D">
              <w:rPr>
                <w:rFonts w:eastAsia="SimSun" w:cstheme="minorHAnsi"/>
                <w:sz w:val="20"/>
                <w:lang w:eastAsia="en-GB"/>
              </w:rPr>
              <w:t>(</w:t>
            </w:r>
            <w:r w:rsidRPr="002E0A5D">
              <w:rPr>
                <w:rFonts w:cstheme="minorHAnsi"/>
                <w:sz w:val="20"/>
              </w:rPr>
              <w:t>16 weeks)</w:t>
            </w:r>
          </w:p>
        </w:tc>
        <w:tc>
          <w:tcPr>
            <w:tcW w:w="1134" w:type="dxa"/>
          </w:tcPr>
          <w:p w14:paraId="6E985392" w14:textId="77777777"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624</w:t>
            </w:r>
          </w:p>
        </w:tc>
        <w:tc>
          <w:tcPr>
            <w:tcW w:w="1134" w:type="dxa"/>
            <w:shd w:val="clear" w:color="auto" w:fill="auto"/>
          </w:tcPr>
          <w:p w14:paraId="59C91E22" w14:textId="75196481"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None</w:t>
            </w:r>
          </w:p>
        </w:tc>
        <w:tc>
          <w:tcPr>
            <w:tcW w:w="1276" w:type="dxa"/>
            <w:vMerge w:val="restart"/>
            <w:shd w:val="clear" w:color="auto" w:fill="auto"/>
          </w:tcPr>
          <w:p w14:paraId="1395F14B" w14:textId="77777777" w:rsidR="001D3C07" w:rsidRPr="002E0A5D" w:rsidRDefault="001D3C07" w:rsidP="00105060">
            <w:pPr>
              <w:autoSpaceDE w:val="0"/>
              <w:autoSpaceDN w:val="0"/>
              <w:adjustRightInd w:val="0"/>
              <w:spacing w:line="240" w:lineRule="auto"/>
              <w:rPr>
                <w:rFonts w:cstheme="minorHAnsi"/>
                <w:sz w:val="20"/>
              </w:rPr>
            </w:pPr>
            <w:r w:rsidRPr="002E0A5D">
              <w:rPr>
                <w:rFonts w:cstheme="minorHAnsi"/>
                <w:sz w:val="20"/>
              </w:rPr>
              <w:t>OLU 4 mg</w:t>
            </w:r>
          </w:p>
          <w:p w14:paraId="6029F99D" w14:textId="27DB8B75" w:rsidR="00CD442A" w:rsidRPr="002E0A5D" w:rsidRDefault="001D3C07" w:rsidP="00105060">
            <w:pPr>
              <w:autoSpaceDE w:val="0"/>
              <w:autoSpaceDN w:val="0"/>
              <w:adjustRightInd w:val="0"/>
              <w:spacing w:line="240" w:lineRule="auto"/>
              <w:rPr>
                <w:rFonts w:cstheme="minorHAnsi"/>
                <w:sz w:val="20"/>
              </w:rPr>
            </w:pPr>
            <w:r w:rsidRPr="002E0A5D">
              <w:rPr>
                <w:rFonts w:cstheme="minorHAnsi"/>
                <w:sz w:val="20"/>
              </w:rPr>
              <w:t xml:space="preserve">OLU 2 mg </w:t>
            </w:r>
          </w:p>
          <w:p w14:paraId="22CABFE9" w14:textId="2C81C5FF" w:rsidR="00CD442A" w:rsidRPr="002E0A5D" w:rsidRDefault="001D3C07" w:rsidP="00105060">
            <w:pPr>
              <w:autoSpaceDE w:val="0"/>
              <w:autoSpaceDN w:val="0"/>
              <w:adjustRightInd w:val="0"/>
              <w:spacing w:line="240" w:lineRule="auto"/>
              <w:rPr>
                <w:rFonts w:cstheme="minorHAnsi"/>
                <w:sz w:val="20"/>
              </w:rPr>
            </w:pPr>
            <w:r w:rsidRPr="002E0A5D">
              <w:rPr>
                <w:rFonts w:cstheme="minorHAnsi"/>
                <w:sz w:val="20"/>
              </w:rPr>
              <w:t xml:space="preserve">OLU 1 mg </w:t>
            </w:r>
          </w:p>
          <w:p w14:paraId="4ABF5A51" w14:textId="783BE4B3" w:rsidR="001D3C07" w:rsidRPr="002E0A5D" w:rsidRDefault="001D3C07" w:rsidP="00105060">
            <w:pPr>
              <w:autoSpaceDE w:val="0"/>
              <w:autoSpaceDN w:val="0"/>
              <w:adjustRightInd w:val="0"/>
              <w:spacing w:line="240" w:lineRule="auto"/>
              <w:rPr>
                <w:rFonts w:cstheme="minorHAnsi"/>
                <w:sz w:val="20"/>
              </w:rPr>
            </w:pPr>
            <w:r w:rsidRPr="002E0A5D">
              <w:rPr>
                <w:rFonts w:cstheme="minorHAnsi"/>
                <w:sz w:val="20"/>
              </w:rPr>
              <w:t>Placebo</w:t>
            </w:r>
          </w:p>
        </w:tc>
        <w:tc>
          <w:tcPr>
            <w:tcW w:w="4930" w:type="dxa"/>
            <w:vMerge w:val="restart"/>
            <w:shd w:val="clear" w:color="auto" w:fill="auto"/>
          </w:tcPr>
          <w:p w14:paraId="35105E0E" w14:textId="77777777" w:rsidR="005C50A8" w:rsidRDefault="001D3C07" w:rsidP="00105060">
            <w:pPr>
              <w:autoSpaceDE w:val="0"/>
              <w:autoSpaceDN w:val="0"/>
              <w:adjustRightInd w:val="0"/>
              <w:spacing w:line="240" w:lineRule="auto"/>
              <w:rPr>
                <w:rFonts w:cstheme="minorHAnsi"/>
                <w:sz w:val="20"/>
              </w:rPr>
            </w:pPr>
            <w:r w:rsidRPr="005C50A8">
              <w:rPr>
                <w:rFonts w:cstheme="minorHAnsi"/>
                <w:b/>
                <w:sz w:val="20"/>
              </w:rPr>
              <w:t>Primary endpoint</w:t>
            </w:r>
            <w:r w:rsidRPr="005C50A8">
              <w:rPr>
                <w:rFonts w:cstheme="minorHAnsi"/>
                <w:sz w:val="20"/>
              </w:rPr>
              <w:t xml:space="preserve"> </w:t>
            </w:r>
          </w:p>
          <w:p w14:paraId="4A1E3FED" w14:textId="2D4B392D" w:rsidR="005C50A8" w:rsidRPr="005C50A8" w:rsidRDefault="001D3C07" w:rsidP="00105060">
            <w:pPr>
              <w:pStyle w:val="ListParagraph"/>
              <w:numPr>
                <w:ilvl w:val="0"/>
                <w:numId w:val="24"/>
              </w:numPr>
              <w:autoSpaceDE w:val="0"/>
              <w:autoSpaceDN w:val="0"/>
              <w:adjustRightInd w:val="0"/>
              <w:spacing w:line="240" w:lineRule="auto"/>
              <w:ind w:left="366" w:hanging="366"/>
              <w:rPr>
                <w:rFonts w:cstheme="minorHAnsi"/>
                <w:sz w:val="20"/>
              </w:rPr>
            </w:pPr>
            <w:r w:rsidRPr="005C50A8">
              <w:rPr>
                <w:rFonts w:cstheme="minorHAnsi"/>
                <w:sz w:val="20"/>
              </w:rPr>
              <w:t>IGA 0 or 1b at week 16</w:t>
            </w:r>
          </w:p>
          <w:p w14:paraId="74700278" w14:textId="40CE9116" w:rsidR="005C50A8" w:rsidRPr="005C50A8" w:rsidRDefault="005C50A8" w:rsidP="00105060">
            <w:pPr>
              <w:autoSpaceDE w:val="0"/>
              <w:autoSpaceDN w:val="0"/>
              <w:adjustRightInd w:val="0"/>
              <w:spacing w:line="240" w:lineRule="auto"/>
              <w:rPr>
                <w:rFonts w:cstheme="minorHAnsi"/>
                <w:b/>
                <w:bCs/>
                <w:sz w:val="20"/>
              </w:rPr>
            </w:pPr>
            <w:r w:rsidRPr="005C50A8">
              <w:rPr>
                <w:rFonts w:cstheme="minorHAnsi"/>
                <w:b/>
                <w:bCs/>
                <w:sz w:val="20"/>
              </w:rPr>
              <w:t>Key secondary endpoint</w:t>
            </w:r>
          </w:p>
          <w:p w14:paraId="42B968C6" w14:textId="0AF0FD01"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Improvement of ≥ 75% or 90 % in Eczema Area and Severity Index from baseline</w:t>
            </w:r>
            <w:r w:rsidRPr="002E0A5D" w:rsidDel="00057C67">
              <w:rPr>
                <w:rFonts w:asciiTheme="minorHAnsi" w:eastAsia="Times New Roman" w:hAnsiTheme="minorHAnsi" w:cstheme="minorHAnsi"/>
                <w:sz w:val="20"/>
              </w:rPr>
              <w:t xml:space="preserve"> </w:t>
            </w:r>
            <w:r w:rsidRPr="002E0A5D">
              <w:rPr>
                <w:rFonts w:asciiTheme="minorHAnsi" w:eastAsia="Times New Roman" w:hAnsiTheme="minorHAnsi" w:cstheme="minorHAnsi"/>
                <w:sz w:val="20"/>
              </w:rPr>
              <w:t>(</w:t>
            </w:r>
            <w:r w:rsidRPr="002E0A5D">
              <w:rPr>
                <w:rFonts w:asciiTheme="minorHAnsi" w:hAnsiTheme="minorHAnsi" w:cstheme="minorHAnsi"/>
                <w:sz w:val="20"/>
              </w:rPr>
              <w:t>EASI 75, 90)</w:t>
            </w:r>
          </w:p>
          <w:p w14:paraId="5DF551AA" w14:textId="46D5A693"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 xml:space="preserve">Improvement of ≥ 75 % in </w:t>
            </w:r>
            <w:proofErr w:type="spellStart"/>
            <w:r w:rsidRPr="002E0A5D">
              <w:rPr>
                <w:rFonts w:asciiTheme="minorHAnsi" w:hAnsiTheme="minorHAnsi" w:cstheme="minorHAnsi"/>
                <w:sz w:val="20"/>
              </w:rPr>
              <w:t>SCORing</w:t>
            </w:r>
            <w:proofErr w:type="spellEnd"/>
            <w:r w:rsidRPr="002E0A5D">
              <w:rPr>
                <w:rFonts w:asciiTheme="minorHAnsi" w:hAnsiTheme="minorHAnsi" w:cstheme="minorHAnsi"/>
                <w:sz w:val="20"/>
              </w:rPr>
              <w:t xml:space="preserve"> Atopic Dermatitis (SCORAD) scale</w:t>
            </w:r>
          </w:p>
          <w:p w14:paraId="274AC984" w14:textId="77777777"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 xml:space="preserve">Itch </w:t>
            </w:r>
            <w:r w:rsidRPr="002E0A5D">
              <w:rPr>
                <w:rFonts w:asciiTheme="minorHAnsi" w:hAnsiTheme="minorHAnsi" w:cstheme="minorHAnsi"/>
                <w:sz w:val="20"/>
                <w:szCs w:val="20"/>
              </w:rPr>
              <w:t>Numerical Rating Scale</w:t>
            </w:r>
            <w:r w:rsidRPr="002E0A5D">
              <w:rPr>
                <w:rFonts w:asciiTheme="minorHAnsi" w:hAnsiTheme="minorHAnsi" w:cstheme="minorHAnsi"/>
                <w:sz w:val="20"/>
              </w:rPr>
              <w:t xml:space="preserve"> (NRS) </w:t>
            </w:r>
            <w:r w:rsidRPr="002E0A5D">
              <w:rPr>
                <w:rFonts w:asciiTheme="minorHAnsi" w:hAnsiTheme="minorHAnsi" w:cstheme="minorHAnsi"/>
                <w:sz w:val="20"/>
                <w:szCs w:val="20"/>
              </w:rPr>
              <w:t>≥ 4-point improvement</w:t>
            </w:r>
          </w:p>
          <w:p w14:paraId="7B218FDC" w14:textId="77777777"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 xml:space="preserve">Impact of itch on sleep as measured by </w:t>
            </w:r>
            <w:r w:rsidRPr="002E0A5D">
              <w:rPr>
                <w:rFonts w:asciiTheme="minorHAnsi" w:hAnsiTheme="minorHAnsi" w:cstheme="minorHAnsi"/>
                <w:sz w:val="20"/>
                <w:szCs w:val="20"/>
              </w:rPr>
              <w:t>Atopic Dermatitis Sleep Scale</w:t>
            </w:r>
            <w:r w:rsidRPr="002E0A5D">
              <w:rPr>
                <w:rFonts w:asciiTheme="minorHAnsi" w:hAnsiTheme="minorHAnsi" w:cstheme="minorHAnsi"/>
                <w:sz w:val="20"/>
              </w:rPr>
              <w:t xml:space="preserve"> (ADSS)</w:t>
            </w:r>
          </w:p>
          <w:p w14:paraId="2FFDAC35" w14:textId="4BE70467" w:rsidR="001305AC"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 xml:space="preserve">Skin pain severity as measured by Skin Pain </w:t>
            </w:r>
            <w:r w:rsidR="00013658">
              <w:rPr>
                <w:rFonts w:asciiTheme="minorHAnsi" w:hAnsiTheme="minorHAnsi" w:cstheme="minorHAnsi"/>
                <w:sz w:val="20"/>
              </w:rPr>
              <w:t>NRS</w:t>
            </w:r>
          </w:p>
          <w:p w14:paraId="51417CE4" w14:textId="29F11837" w:rsidR="001305AC" w:rsidRPr="001305AC" w:rsidRDefault="001305AC" w:rsidP="00105060">
            <w:pPr>
              <w:autoSpaceDE w:val="0"/>
              <w:autoSpaceDN w:val="0"/>
              <w:adjustRightInd w:val="0"/>
              <w:spacing w:line="240" w:lineRule="auto"/>
              <w:rPr>
                <w:rFonts w:cstheme="minorHAnsi"/>
                <w:b/>
                <w:bCs/>
                <w:sz w:val="20"/>
              </w:rPr>
            </w:pPr>
            <w:r w:rsidRPr="001305AC">
              <w:rPr>
                <w:rFonts w:cstheme="minorHAnsi"/>
                <w:b/>
                <w:bCs/>
                <w:sz w:val="20"/>
              </w:rPr>
              <w:t>Other secondary endpoints</w:t>
            </w:r>
          </w:p>
          <w:p w14:paraId="6823DE62" w14:textId="1564C7B9" w:rsidR="001305AC" w:rsidRPr="001305AC" w:rsidRDefault="001305AC"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Pr>
                <w:rFonts w:asciiTheme="minorHAnsi" w:hAnsiTheme="minorHAnsi" w:cstheme="minorHAnsi"/>
                <w:sz w:val="20"/>
              </w:rPr>
              <w:t>EASI 50</w:t>
            </w:r>
          </w:p>
          <w:p w14:paraId="5198F2FE" w14:textId="446566BA" w:rsidR="001D3C07" w:rsidRPr="002E0A5D" w:rsidRDefault="001305AC"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Pr>
                <w:rFonts w:asciiTheme="minorHAnsi" w:hAnsiTheme="minorHAnsi" w:cstheme="minorHAnsi"/>
                <w:sz w:val="20"/>
                <w:szCs w:val="20"/>
              </w:rPr>
              <w:t xml:space="preserve">Itch </w:t>
            </w:r>
            <w:r w:rsidR="001D3C07" w:rsidRPr="002E0A5D">
              <w:rPr>
                <w:rFonts w:asciiTheme="minorHAnsi" w:hAnsiTheme="minorHAnsi" w:cstheme="minorHAnsi"/>
                <w:sz w:val="20"/>
                <w:szCs w:val="20"/>
              </w:rPr>
              <w:t>Numerical Rating Scale</w:t>
            </w:r>
            <w:r w:rsidR="001D3C07" w:rsidRPr="002E0A5D">
              <w:rPr>
                <w:rFonts w:asciiTheme="minorHAnsi" w:hAnsiTheme="minorHAnsi" w:cstheme="minorHAnsi"/>
                <w:sz w:val="20"/>
              </w:rPr>
              <w:t xml:space="preserve"> (NRS) </w:t>
            </w:r>
            <w:r w:rsidR="00AB0466">
              <w:rPr>
                <w:rFonts w:asciiTheme="minorHAnsi" w:hAnsiTheme="minorHAnsi" w:cstheme="minorHAnsi"/>
                <w:sz w:val="20"/>
              </w:rPr>
              <w:t>change from baseline</w:t>
            </w:r>
          </w:p>
          <w:p w14:paraId="73AECEB7" w14:textId="77777777"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Patient-Oriented Eczema Measure (POEM)</w:t>
            </w:r>
          </w:p>
          <w:p w14:paraId="143D3785" w14:textId="46778B5F"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Dermatology Life Quality Index (DLQI)</w:t>
            </w:r>
          </w:p>
          <w:p w14:paraId="0B87B8AB" w14:textId="77777777" w:rsidR="001D3C07" w:rsidRPr="002E0A5D" w:rsidRDefault="001D3C07" w:rsidP="00105060">
            <w:pPr>
              <w:pStyle w:val="ListParagraph"/>
              <w:numPr>
                <w:ilvl w:val="0"/>
                <w:numId w:val="21"/>
              </w:numPr>
              <w:autoSpaceDE w:val="0"/>
              <w:autoSpaceDN w:val="0"/>
              <w:adjustRightInd w:val="0"/>
              <w:spacing w:line="240" w:lineRule="auto"/>
              <w:ind w:left="360"/>
              <w:rPr>
                <w:rFonts w:asciiTheme="minorHAnsi" w:hAnsiTheme="minorHAnsi" w:cstheme="minorHAnsi"/>
                <w:sz w:val="20"/>
              </w:rPr>
            </w:pPr>
            <w:r w:rsidRPr="002E0A5D">
              <w:rPr>
                <w:rFonts w:asciiTheme="minorHAnsi" w:hAnsiTheme="minorHAnsi" w:cstheme="minorHAnsi"/>
                <w:sz w:val="20"/>
              </w:rPr>
              <w:t xml:space="preserve">Hospital Anxiety and Depression Scale (HADS) </w:t>
            </w:r>
          </w:p>
        </w:tc>
      </w:tr>
      <w:tr w:rsidR="001D3C07" w:rsidRPr="002E0A5D" w14:paraId="72E14CCD" w14:textId="77777777" w:rsidTr="00105060">
        <w:trPr>
          <w:trHeight w:val="217"/>
        </w:trPr>
        <w:tc>
          <w:tcPr>
            <w:tcW w:w="1271" w:type="dxa"/>
            <w:shd w:val="clear" w:color="auto" w:fill="auto"/>
          </w:tcPr>
          <w:p w14:paraId="42BCD291" w14:textId="3833F12A"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BREEZE AD-2</w:t>
            </w:r>
            <w:r w:rsidR="00105060">
              <w:rPr>
                <w:rFonts w:eastAsia="SimSun" w:cstheme="minorHAnsi"/>
                <w:sz w:val="20"/>
                <w:lang w:eastAsia="en-GB"/>
              </w:rPr>
              <w:t xml:space="preserve"> </w:t>
            </w:r>
            <w:r w:rsidRPr="002E0A5D">
              <w:rPr>
                <w:rFonts w:eastAsia="SimSun" w:cstheme="minorHAnsi"/>
                <w:sz w:val="20"/>
                <w:lang w:eastAsia="en-GB"/>
              </w:rPr>
              <w:t>(</w:t>
            </w:r>
            <w:r w:rsidRPr="002E0A5D">
              <w:rPr>
                <w:rFonts w:cstheme="minorHAnsi"/>
                <w:sz w:val="20"/>
              </w:rPr>
              <w:t>16 weeks)</w:t>
            </w:r>
          </w:p>
        </w:tc>
        <w:tc>
          <w:tcPr>
            <w:tcW w:w="1134" w:type="dxa"/>
          </w:tcPr>
          <w:p w14:paraId="60E6D406" w14:textId="77777777"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615</w:t>
            </w:r>
          </w:p>
        </w:tc>
        <w:tc>
          <w:tcPr>
            <w:tcW w:w="1134" w:type="dxa"/>
            <w:shd w:val="clear" w:color="auto" w:fill="auto"/>
          </w:tcPr>
          <w:p w14:paraId="1260D1BC" w14:textId="77777777"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None</w:t>
            </w:r>
          </w:p>
        </w:tc>
        <w:tc>
          <w:tcPr>
            <w:tcW w:w="1276" w:type="dxa"/>
            <w:vMerge/>
            <w:shd w:val="clear" w:color="auto" w:fill="auto"/>
          </w:tcPr>
          <w:p w14:paraId="275ACDD3" w14:textId="77777777" w:rsidR="001D3C07" w:rsidRPr="002E0A5D" w:rsidRDefault="001D3C07" w:rsidP="00105060">
            <w:pPr>
              <w:numPr>
                <w:ilvl w:val="0"/>
                <w:numId w:val="13"/>
              </w:numPr>
              <w:autoSpaceDE w:val="0"/>
              <w:autoSpaceDN w:val="0"/>
              <w:adjustRightInd w:val="0"/>
              <w:spacing w:after="0" w:line="240" w:lineRule="auto"/>
              <w:ind w:left="129" w:hanging="129"/>
              <w:rPr>
                <w:rFonts w:cstheme="minorHAnsi"/>
                <w:sz w:val="20"/>
              </w:rPr>
            </w:pPr>
          </w:p>
        </w:tc>
        <w:tc>
          <w:tcPr>
            <w:tcW w:w="4930" w:type="dxa"/>
            <w:vMerge/>
            <w:shd w:val="clear" w:color="auto" w:fill="auto"/>
          </w:tcPr>
          <w:p w14:paraId="6196D7CA" w14:textId="77777777" w:rsidR="001D3C07" w:rsidRPr="002E0A5D" w:rsidRDefault="001D3C07" w:rsidP="00105060">
            <w:pPr>
              <w:autoSpaceDE w:val="0"/>
              <w:autoSpaceDN w:val="0"/>
              <w:adjustRightInd w:val="0"/>
              <w:spacing w:line="240" w:lineRule="auto"/>
              <w:ind w:left="175"/>
              <w:rPr>
                <w:rFonts w:cstheme="minorHAnsi"/>
                <w:sz w:val="20"/>
              </w:rPr>
            </w:pPr>
          </w:p>
        </w:tc>
      </w:tr>
      <w:tr w:rsidR="001D3C07" w:rsidRPr="002E0A5D" w14:paraId="40984C56" w14:textId="77777777" w:rsidTr="00105060">
        <w:trPr>
          <w:trHeight w:val="217"/>
        </w:trPr>
        <w:tc>
          <w:tcPr>
            <w:tcW w:w="1271" w:type="dxa"/>
            <w:shd w:val="clear" w:color="auto" w:fill="auto"/>
          </w:tcPr>
          <w:p w14:paraId="3264EDAA" w14:textId="627C2BC0"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eastAsia="SimSun" w:cstheme="minorHAnsi"/>
                <w:sz w:val="20"/>
                <w:lang w:eastAsia="en-GB"/>
              </w:rPr>
              <w:t>BREEZE AD-7</w:t>
            </w:r>
            <w:r w:rsidR="00105060">
              <w:rPr>
                <w:rFonts w:eastAsia="SimSun" w:cstheme="minorHAnsi"/>
                <w:sz w:val="20"/>
                <w:lang w:eastAsia="en-GB"/>
              </w:rPr>
              <w:t xml:space="preserve"> </w:t>
            </w:r>
            <w:r w:rsidRPr="002E0A5D">
              <w:rPr>
                <w:rFonts w:eastAsia="SimSun" w:cstheme="minorHAnsi"/>
                <w:sz w:val="20"/>
                <w:lang w:eastAsia="en-GB"/>
              </w:rPr>
              <w:t>(</w:t>
            </w:r>
            <w:r w:rsidRPr="002E0A5D">
              <w:rPr>
                <w:rFonts w:cstheme="minorHAnsi"/>
                <w:sz w:val="20"/>
              </w:rPr>
              <w:t>16 weeks)</w:t>
            </w:r>
          </w:p>
        </w:tc>
        <w:tc>
          <w:tcPr>
            <w:tcW w:w="1134" w:type="dxa"/>
          </w:tcPr>
          <w:p w14:paraId="64FE58BD" w14:textId="77777777" w:rsidR="001D3C07" w:rsidRPr="002E0A5D" w:rsidRDefault="001D3C07" w:rsidP="00105060">
            <w:pPr>
              <w:autoSpaceDE w:val="0"/>
              <w:autoSpaceDN w:val="0"/>
              <w:adjustRightInd w:val="0"/>
              <w:spacing w:line="240" w:lineRule="auto"/>
              <w:rPr>
                <w:rFonts w:cstheme="minorHAnsi"/>
                <w:sz w:val="20"/>
                <w:lang w:val="en"/>
              </w:rPr>
            </w:pPr>
            <w:r w:rsidRPr="002E0A5D">
              <w:rPr>
                <w:rFonts w:cstheme="minorHAnsi"/>
                <w:sz w:val="20"/>
                <w:lang w:val="en"/>
              </w:rPr>
              <w:t>329</w:t>
            </w:r>
          </w:p>
        </w:tc>
        <w:tc>
          <w:tcPr>
            <w:tcW w:w="1134" w:type="dxa"/>
            <w:shd w:val="clear" w:color="auto" w:fill="auto"/>
          </w:tcPr>
          <w:p w14:paraId="540828FA" w14:textId="2754BED2" w:rsidR="001D3C07" w:rsidRPr="002E0A5D" w:rsidRDefault="001D3C07" w:rsidP="00105060">
            <w:pPr>
              <w:autoSpaceDE w:val="0"/>
              <w:autoSpaceDN w:val="0"/>
              <w:adjustRightInd w:val="0"/>
              <w:spacing w:line="240" w:lineRule="auto"/>
              <w:rPr>
                <w:rFonts w:eastAsia="SimSun" w:cstheme="minorHAnsi"/>
                <w:sz w:val="20"/>
                <w:lang w:eastAsia="en-GB"/>
              </w:rPr>
            </w:pPr>
            <w:r w:rsidRPr="002E0A5D">
              <w:rPr>
                <w:rFonts w:cstheme="minorHAnsi"/>
                <w:sz w:val="20"/>
              </w:rPr>
              <w:t xml:space="preserve">TCS; </w:t>
            </w:r>
            <w:r w:rsidR="00105060">
              <w:rPr>
                <w:rFonts w:cstheme="minorHAnsi"/>
                <w:sz w:val="20"/>
              </w:rPr>
              <w:t xml:space="preserve"> </w:t>
            </w:r>
            <w:r w:rsidRPr="002E0A5D">
              <w:rPr>
                <w:rFonts w:cstheme="minorHAnsi"/>
                <w:sz w:val="20"/>
              </w:rPr>
              <w:t>TCI as needed</w:t>
            </w:r>
          </w:p>
        </w:tc>
        <w:tc>
          <w:tcPr>
            <w:tcW w:w="1276" w:type="dxa"/>
            <w:shd w:val="clear" w:color="auto" w:fill="auto"/>
          </w:tcPr>
          <w:p w14:paraId="5818DCDB" w14:textId="77777777" w:rsidR="001D3C07" w:rsidRPr="002E0A5D" w:rsidRDefault="001D3C07" w:rsidP="00105060">
            <w:pPr>
              <w:autoSpaceDE w:val="0"/>
              <w:autoSpaceDN w:val="0"/>
              <w:adjustRightInd w:val="0"/>
              <w:spacing w:line="240" w:lineRule="auto"/>
              <w:rPr>
                <w:rFonts w:cstheme="minorHAnsi"/>
                <w:sz w:val="20"/>
              </w:rPr>
            </w:pPr>
            <w:r w:rsidRPr="002E0A5D">
              <w:rPr>
                <w:rFonts w:cstheme="minorHAnsi"/>
                <w:sz w:val="20"/>
              </w:rPr>
              <w:t>OLU 4 mg</w:t>
            </w:r>
          </w:p>
          <w:p w14:paraId="112F6F78" w14:textId="09958DD9" w:rsidR="00CD442A" w:rsidRPr="002E0A5D" w:rsidRDefault="001D3C07" w:rsidP="00105060">
            <w:pPr>
              <w:autoSpaceDE w:val="0"/>
              <w:autoSpaceDN w:val="0"/>
              <w:adjustRightInd w:val="0"/>
              <w:spacing w:line="240" w:lineRule="auto"/>
              <w:rPr>
                <w:rFonts w:cstheme="minorHAnsi"/>
                <w:sz w:val="20"/>
              </w:rPr>
            </w:pPr>
            <w:r w:rsidRPr="002E0A5D">
              <w:rPr>
                <w:rFonts w:cstheme="minorHAnsi"/>
                <w:sz w:val="20"/>
              </w:rPr>
              <w:t xml:space="preserve">OLU 2 mg </w:t>
            </w:r>
          </w:p>
          <w:p w14:paraId="6BC99871" w14:textId="77777777" w:rsidR="001D3C07" w:rsidRPr="002E0A5D" w:rsidRDefault="001D3C07" w:rsidP="00105060">
            <w:pPr>
              <w:autoSpaceDE w:val="0"/>
              <w:autoSpaceDN w:val="0"/>
              <w:adjustRightInd w:val="0"/>
              <w:spacing w:line="240" w:lineRule="auto"/>
              <w:rPr>
                <w:rFonts w:cstheme="minorHAnsi"/>
                <w:sz w:val="20"/>
              </w:rPr>
            </w:pPr>
            <w:r w:rsidRPr="002E0A5D">
              <w:rPr>
                <w:rFonts w:cstheme="minorHAnsi"/>
                <w:sz w:val="20"/>
              </w:rPr>
              <w:t>Placebo</w:t>
            </w:r>
          </w:p>
        </w:tc>
        <w:tc>
          <w:tcPr>
            <w:tcW w:w="4930" w:type="dxa"/>
            <w:vMerge/>
            <w:shd w:val="clear" w:color="auto" w:fill="auto"/>
          </w:tcPr>
          <w:p w14:paraId="2FEA0A42" w14:textId="77777777" w:rsidR="001D3C07" w:rsidRPr="002E0A5D" w:rsidRDefault="001D3C07" w:rsidP="00105060">
            <w:pPr>
              <w:autoSpaceDE w:val="0"/>
              <w:autoSpaceDN w:val="0"/>
              <w:adjustRightInd w:val="0"/>
              <w:spacing w:line="240" w:lineRule="auto"/>
              <w:ind w:left="175"/>
              <w:rPr>
                <w:rFonts w:cstheme="minorHAnsi"/>
                <w:sz w:val="20"/>
              </w:rPr>
            </w:pPr>
          </w:p>
        </w:tc>
      </w:tr>
    </w:tbl>
    <w:p w14:paraId="64160173" w14:textId="21C122C7" w:rsidR="001D3C07" w:rsidRDefault="001D3C07" w:rsidP="00105060">
      <w:pPr>
        <w:autoSpaceDE w:val="0"/>
        <w:autoSpaceDN w:val="0"/>
        <w:adjustRightInd w:val="0"/>
        <w:spacing w:after="0" w:line="240" w:lineRule="auto"/>
        <w:rPr>
          <w:rFonts w:eastAsia="SimSun"/>
          <w:sz w:val="18"/>
          <w:szCs w:val="18"/>
          <w:lang w:eastAsia="en-GB"/>
        </w:rPr>
      </w:pPr>
      <w:r w:rsidRPr="00EC003A">
        <w:rPr>
          <w:rFonts w:eastAsia="SimSun"/>
          <w:sz w:val="18"/>
          <w:szCs w:val="18"/>
          <w:lang w:eastAsia="en-GB"/>
        </w:rPr>
        <w:t xml:space="preserve">OLU=OLUMIANT; QD = Once daily; TCI = Topical </w:t>
      </w:r>
      <w:proofErr w:type="spellStart"/>
      <w:r w:rsidRPr="00EC003A">
        <w:rPr>
          <w:rFonts w:eastAsia="SimSun"/>
          <w:sz w:val="18"/>
          <w:szCs w:val="18"/>
          <w:lang w:eastAsia="en-GB"/>
        </w:rPr>
        <w:t>Calcineurin</w:t>
      </w:r>
      <w:proofErr w:type="spellEnd"/>
      <w:r w:rsidRPr="00EC003A">
        <w:rPr>
          <w:rFonts w:eastAsia="SimSun"/>
          <w:sz w:val="18"/>
          <w:szCs w:val="18"/>
          <w:lang w:eastAsia="en-GB"/>
        </w:rPr>
        <w:t xml:space="preserve"> Inhibitor; TCS = Topical Corticosteroid</w:t>
      </w:r>
    </w:p>
    <w:p w14:paraId="404EA0C3" w14:textId="77777777" w:rsidR="001305AC" w:rsidRPr="001305AC" w:rsidRDefault="001305AC" w:rsidP="00105060">
      <w:pPr>
        <w:autoSpaceDE w:val="0"/>
        <w:autoSpaceDN w:val="0"/>
        <w:adjustRightInd w:val="0"/>
        <w:spacing w:after="0" w:line="240" w:lineRule="auto"/>
        <w:rPr>
          <w:rFonts w:eastAsia="SimSun"/>
          <w:sz w:val="18"/>
          <w:szCs w:val="18"/>
          <w:lang w:eastAsia="en-GB"/>
        </w:rPr>
      </w:pPr>
      <w:r w:rsidRPr="001305AC">
        <w:rPr>
          <w:rFonts w:eastAsia="SimSun"/>
          <w:sz w:val="18"/>
          <w:szCs w:val="18"/>
          <w:lang w:eastAsia="en-GB"/>
        </w:rPr>
        <w:t>The primary and key secondary endpoints were adjusted for multiple comparisons. Other secondary endpoints were not adjusted for multiple comparisons.</w:t>
      </w:r>
    </w:p>
    <w:p w14:paraId="0047DCA9" w14:textId="1E1E8D92" w:rsidR="001D3C07" w:rsidRPr="001305AC" w:rsidRDefault="001D3C07" w:rsidP="00105060">
      <w:pPr>
        <w:autoSpaceDE w:val="0"/>
        <w:autoSpaceDN w:val="0"/>
        <w:adjustRightInd w:val="0"/>
        <w:spacing w:after="0" w:line="240" w:lineRule="auto"/>
        <w:rPr>
          <w:rFonts w:eastAsia="SimSun"/>
          <w:sz w:val="18"/>
          <w:szCs w:val="18"/>
          <w:vertAlign w:val="superscript"/>
          <w:lang w:eastAsia="en-GB"/>
        </w:rPr>
      </w:pPr>
      <w:r w:rsidRPr="00EC003A">
        <w:rPr>
          <w:rFonts w:eastAsia="SimSun"/>
          <w:sz w:val="18"/>
          <w:szCs w:val="18"/>
          <w:vertAlign w:val="superscript"/>
          <w:lang w:eastAsia="en-GB"/>
        </w:rPr>
        <w:t xml:space="preserve">a </w:t>
      </w:r>
      <w:r w:rsidRPr="00EC003A">
        <w:rPr>
          <w:rFonts w:eastAsia="SimSun"/>
          <w:sz w:val="18"/>
          <w:szCs w:val="18"/>
          <w:lang w:eastAsia="en-GB"/>
        </w:rPr>
        <w:t>Patients used emollients throughout the study</w:t>
      </w:r>
      <w:r w:rsidR="001305AC" w:rsidRPr="001305AC">
        <w:rPr>
          <w:rFonts w:eastAsia="SimSun"/>
          <w:sz w:val="18"/>
          <w:szCs w:val="18"/>
          <w:lang w:eastAsia="en-GB"/>
        </w:rPr>
        <w:t>.</w:t>
      </w:r>
    </w:p>
    <w:p w14:paraId="5FE8E66E" w14:textId="7050D0E9" w:rsidR="001D3C07" w:rsidRPr="00EC003A" w:rsidRDefault="001D3C07" w:rsidP="00105060">
      <w:pPr>
        <w:autoSpaceDE w:val="0"/>
        <w:autoSpaceDN w:val="0"/>
        <w:adjustRightInd w:val="0"/>
        <w:spacing w:after="0" w:line="240" w:lineRule="auto"/>
        <w:rPr>
          <w:rFonts w:eastAsia="SimSun"/>
          <w:sz w:val="18"/>
          <w:szCs w:val="18"/>
          <w:lang w:eastAsia="en-GB"/>
        </w:rPr>
      </w:pPr>
      <w:r w:rsidRPr="00EC003A">
        <w:rPr>
          <w:rFonts w:eastAsia="SimSun"/>
          <w:sz w:val="18"/>
          <w:szCs w:val="18"/>
          <w:vertAlign w:val="superscript"/>
          <w:lang w:eastAsia="en-GB"/>
        </w:rPr>
        <w:t xml:space="preserve">b </w:t>
      </w:r>
      <w:r w:rsidRPr="00EC003A">
        <w:rPr>
          <w:rFonts w:eastAsia="SimSun"/>
          <w:sz w:val="18"/>
          <w:szCs w:val="18"/>
          <w:lang w:eastAsia="en-GB"/>
        </w:rPr>
        <w:t>Investigators Global Assessment score of 0 (“clear”) or 1 (“almost clear”) with a reduction of ≥2 points on a 5-point severity scale of 0 to 4</w:t>
      </w:r>
      <w:r w:rsidR="001305AC">
        <w:rPr>
          <w:rFonts w:eastAsia="SimSun"/>
          <w:sz w:val="18"/>
          <w:szCs w:val="18"/>
          <w:lang w:eastAsia="en-GB"/>
        </w:rPr>
        <w:t>.</w:t>
      </w:r>
    </w:p>
    <w:p w14:paraId="2D00D284" w14:textId="77777777" w:rsidR="00931EC2" w:rsidRPr="00EC003A" w:rsidRDefault="00931EC2" w:rsidP="00105060">
      <w:pPr>
        <w:spacing w:line="240" w:lineRule="auto"/>
        <w:contextualSpacing/>
        <w:rPr>
          <w:i/>
          <w:sz w:val="18"/>
          <w:szCs w:val="18"/>
        </w:rPr>
      </w:pPr>
    </w:p>
    <w:p w14:paraId="4D44E90B" w14:textId="28A3BFC6" w:rsidR="00931EC2" w:rsidRDefault="00931EC2" w:rsidP="00105060">
      <w:pPr>
        <w:spacing w:line="240" w:lineRule="auto"/>
        <w:contextualSpacing/>
        <w:rPr>
          <w:i/>
        </w:rPr>
      </w:pPr>
      <w:r w:rsidRPr="007E4310">
        <w:rPr>
          <w:i/>
        </w:rPr>
        <w:t>Baseline Characteristics</w:t>
      </w:r>
    </w:p>
    <w:p w14:paraId="5E29172D" w14:textId="28261234" w:rsidR="001D3C07" w:rsidRPr="00C51F33" w:rsidRDefault="001D3C07" w:rsidP="001D3C07">
      <w:pPr>
        <w:autoSpaceDE w:val="0"/>
        <w:autoSpaceDN w:val="0"/>
        <w:adjustRightInd w:val="0"/>
        <w:spacing w:line="240" w:lineRule="auto"/>
      </w:pPr>
      <w:bookmarkStart w:id="90" w:name="_Hlk19722074"/>
      <w:r w:rsidRPr="00C51F33">
        <w:t>In the monotherapy studies (BREEZE-AD1 and BREEZE-AD2), across all treatment groups, the mean age was 35.2, the mean weight was 73.3</w:t>
      </w:r>
      <w:r>
        <w:t> </w:t>
      </w:r>
      <w:r w:rsidRPr="00C51F33">
        <w:t>kg, 37.7</w:t>
      </w:r>
      <w:r>
        <w:t> </w:t>
      </w:r>
      <w:r w:rsidRPr="00C51F33">
        <w:t>% were female, 63.5</w:t>
      </w:r>
      <w:r>
        <w:t> </w:t>
      </w:r>
      <w:r w:rsidRPr="00C51F33">
        <w:t>% were Caucasian</w:t>
      </w:r>
      <w:r>
        <w:t xml:space="preserve">, </w:t>
      </w:r>
      <w:r w:rsidRPr="00C51F33">
        <w:t>30</w:t>
      </w:r>
      <w:r>
        <w:t> </w:t>
      </w:r>
      <w:r w:rsidRPr="00C51F33">
        <w:t>% were Asian</w:t>
      </w:r>
      <w:r>
        <w:t xml:space="preserve"> and 0.2 </w:t>
      </w:r>
      <w:r w:rsidRPr="00C51F33">
        <w:t>% were black. In these studies, 54</w:t>
      </w:r>
      <w:r>
        <w:t> </w:t>
      </w:r>
      <w:r w:rsidRPr="00C51F33">
        <w:t>% of patients had a baseline IGA score of 3 (moderate AD), 46</w:t>
      </w:r>
      <w:r>
        <w:t> </w:t>
      </w:r>
      <w:r w:rsidRPr="00C51F33">
        <w:t>% of patients had a baseline IGA of 4 (severe AD) and 59.9</w:t>
      </w:r>
      <w:r>
        <w:t> </w:t>
      </w:r>
      <w:r w:rsidRPr="00C51F33">
        <w:t>% of patients had received prior systemic treatment</w:t>
      </w:r>
      <w:r>
        <w:t xml:space="preserve"> for atopic dermatitis</w:t>
      </w:r>
      <w:r w:rsidRPr="00C51F33">
        <w:t xml:space="preserve">. The baseline mean EASI score was 32.2, </w:t>
      </w:r>
      <w:r>
        <w:t xml:space="preserve">the </w:t>
      </w:r>
      <w:r w:rsidRPr="00C51F33">
        <w:lastRenderedPageBreak/>
        <w:t xml:space="preserve">baseline </w:t>
      </w:r>
      <w:r>
        <w:t xml:space="preserve">mean </w:t>
      </w:r>
      <w:r w:rsidRPr="00C51F33">
        <w:t>BSA score was 52.3, the baseline weekly averaged pruritus NRS was 6.</w:t>
      </w:r>
      <w:r>
        <w:t>6</w:t>
      </w:r>
      <w:r w:rsidRPr="00C51F33">
        <w:t>, the baseline mean SCORAD score was 67.</w:t>
      </w:r>
      <w:r>
        <w:t>8</w:t>
      </w:r>
      <w:r w:rsidRPr="00C51F33">
        <w:t>, the baseline mean POEM score was 20.6, the baseline mean DLQI was 14.0, the baseline mean HADS depression score was 5.0, and the baseline mean HADS anxiety score was 6.1.</w:t>
      </w:r>
      <w:bookmarkEnd w:id="90"/>
    </w:p>
    <w:p w14:paraId="696B137B" w14:textId="04EFC2F0" w:rsidR="001D3C07" w:rsidRPr="00C51F33" w:rsidRDefault="001D3C07" w:rsidP="001D3C07">
      <w:pPr>
        <w:autoSpaceDE w:val="0"/>
        <w:autoSpaceDN w:val="0"/>
        <w:adjustRightInd w:val="0"/>
        <w:spacing w:line="240" w:lineRule="auto"/>
      </w:pPr>
      <w:r w:rsidRPr="00C51F33">
        <w:t xml:space="preserve">In the combination TCS study (BREEZE-AD7), across all treatment groups, the mean age was 33.8, the mean weight was </w:t>
      </w:r>
      <w:r>
        <w:t xml:space="preserve"> 72.9 </w:t>
      </w:r>
      <w:r w:rsidRPr="00C51F33">
        <w:t>kg, 34.3</w:t>
      </w:r>
      <w:r>
        <w:t> </w:t>
      </w:r>
      <w:r w:rsidRPr="00C51F33">
        <w:t>% were female, 45.6</w:t>
      </w:r>
      <w:r>
        <w:t> </w:t>
      </w:r>
      <w:r w:rsidRPr="00C51F33">
        <w:t>% were Caucasian, 51.1</w:t>
      </w:r>
      <w:r>
        <w:t> </w:t>
      </w:r>
      <w:r w:rsidRPr="00C51F33">
        <w:t xml:space="preserve">% were Asian. In this study, </w:t>
      </w:r>
      <w:r w:rsidRPr="00773478">
        <w:t>54.9</w:t>
      </w:r>
      <w:r>
        <w:t> </w:t>
      </w:r>
      <w:r w:rsidRPr="00C51F33">
        <w:t>% of patients had a baseline IGA score of 3</w:t>
      </w:r>
      <w:r>
        <w:t>,</w:t>
      </w:r>
      <w:r w:rsidRPr="00C51F33">
        <w:t xml:space="preserve"> 45.1</w:t>
      </w:r>
      <w:r>
        <w:t> </w:t>
      </w:r>
      <w:r w:rsidRPr="00C51F33">
        <w:t>% of patients had a baseline IGA of 4 and 66.4</w:t>
      </w:r>
      <w:r>
        <w:t> </w:t>
      </w:r>
      <w:r w:rsidRPr="00C51F33">
        <w:t>% of patients received prior systemic</w:t>
      </w:r>
      <w:r>
        <w:t xml:space="preserve"> </w:t>
      </w:r>
      <w:r w:rsidRPr="00C51F33">
        <w:t>treatment. The baseline mean EASI score was 29.6,</w:t>
      </w:r>
      <w:r>
        <w:t xml:space="preserve"> the </w:t>
      </w:r>
      <w:r w:rsidRPr="00C51F33">
        <w:t xml:space="preserve">baseline </w:t>
      </w:r>
      <w:r>
        <w:t xml:space="preserve">mean </w:t>
      </w:r>
      <w:r w:rsidRPr="00C51F33">
        <w:t xml:space="preserve">BSA score was </w:t>
      </w:r>
      <w:r w:rsidRPr="009C3DD9">
        <w:t>50.3</w:t>
      </w:r>
      <w:r>
        <w:t>,</w:t>
      </w:r>
      <w:r w:rsidRPr="00C51F33">
        <w:t xml:space="preserve"> the baseline weekly </w:t>
      </w:r>
      <w:r w:rsidR="00271DD6">
        <w:t xml:space="preserve">averaged </w:t>
      </w:r>
      <w:r w:rsidRPr="00C51F33">
        <w:t>pruritus NRS was 7.1, the baseline mean SCORAD score was 67.2, the baseline mean POEM score was 21.1, the baseline mean DLQI was 14.9, the baseline mean HADS depression score was 5.5, and the baseline mean HADS anxiety score was 6.6.</w:t>
      </w:r>
    </w:p>
    <w:p w14:paraId="6613EF53" w14:textId="0B328555" w:rsidR="00931EC2" w:rsidRDefault="00931EC2" w:rsidP="00931EC2">
      <w:pPr>
        <w:keepNext/>
        <w:spacing w:line="240" w:lineRule="auto"/>
        <w:contextualSpacing/>
        <w:rPr>
          <w:i/>
        </w:rPr>
      </w:pPr>
      <w:r w:rsidRPr="007E4310">
        <w:rPr>
          <w:i/>
        </w:rPr>
        <w:t>Clinical Response</w:t>
      </w:r>
    </w:p>
    <w:p w14:paraId="4D9520AD" w14:textId="7A2EDBD2" w:rsidR="00D50766" w:rsidRPr="00C51F33" w:rsidRDefault="00D50766" w:rsidP="00D50766">
      <w:pPr>
        <w:spacing w:line="240" w:lineRule="auto"/>
        <w:rPr>
          <w:rFonts w:eastAsia="MS Mincho"/>
          <w:i/>
          <w:u w:val="single"/>
        </w:rPr>
      </w:pPr>
      <w:r w:rsidRPr="00C51F33">
        <w:rPr>
          <w:rFonts w:eastAsia="MS Mincho"/>
          <w:i/>
          <w:u w:val="single"/>
        </w:rPr>
        <w:t>16-week Monotherapy Studies (BREEZE-AD1 and BREEZE-AD2)</w:t>
      </w:r>
    </w:p>
    <w:p w14:paraId="39AFFA12" w14:textId="387CB5CA" w:rsidR="001D3C07" w:rsidRPr="00C51F33" w:rsidRDefault="001D3C07" w:rsidP="001D3C07">
      <w:pPr>
        <w:spacing w:line="240" w:lineRule="auto"/>
        <w:rPr>
          <w:rFonts w:eastAsia="MS Mincho"/>
        </w:rPr>
      </w:pPr>
      <w:r w:rsidRPr="00C51F33">
        <w:rPr>
          <w:rFonts w:eastAsia="MS Mincho"/>
        </w:rPr>
        <w:t>In BREEZE-AD1 and BREEZE-AD2, a significantly greater proportion of patients randomi</w:t>
      </w:r>
      <w:r>
        <w:rPr>
          <w:rFonts w:eastAsia="MS Mincho"/>
        </w:rPr>
        <w:t>s</w:t>
      </w:r>
      <w:r w:rsidRPr="00C51F33">
        <w:rPr>
          <w:rFonts w:eastAsia="MS Mincho"/>
        </w:rPr>
        <w:t xml:space="preserve">ed to </w:t>
      </w:r>
      <w:r>
        <w:rPr>
          <w:rFonts w:eastAsia="MS Mincho"/>
        </w:rPr>
        <w:t>OLUMIANT</w:t>
      </w:r>
      <w:r w:rsidRPr="00C51F33">
        <w:rPr>
          <w:rFonts w:eastAsia="MS Mincho"/>
        </w:rPr>
        <w:t xml:space="preserve"> 4</w:t>
      </w:r>
      <w:r>
        <w:rPr>
          <w:rFonts w:eastAsia="MS Mincho"/>
        </w:rPr>
        <w:t> </w:t>
      </w:r>
      <w:r w:rsidRPr="00C51F33">
        <w:rPr>
          <w:rFonts w:eastAsia="MS Mincho"/>
        </w:rPr>
        <w:t>mg achieved an IGA 0 or 1 response, EASI75, or an improvement of ≥</w:t>
      </w:r>
      <w:r>
        <w:rPr>
          <w:rFonts w:eastAsia="MS Mincho"/>
        </w:rPr>
        <w:t> </w:t>
      </w:r>
      <w:r w:rsidRPr="00C51F33">
        <w:rPr>
          <w:rFonts w:eastAsia="MS Mincho"/>
        </w:rPr>
        <w:t>4</w:t>
      </w:r>
      <w:r>
        <w:rPr>
          <w:rFonts w:eastAsia="MS Mincho"/>
        </w:rPr>
        <w:t> </w:t>
      </w:r>
      <w:r w:rsidRPr="00C51F33">
        <w:rPr>
          <w:rFonts w:eastAsia="MS Mincho"/>
        </w:rPr>
        <w:t xml:space="preserve">points on the Itch NRS compared to placebo </w:t>
      </w:r>
      <w:r>
        <w:rPr>
          <w:rFonts w:eastAsia="MS Mincho"/>
        </w:rPr>
        <w:t xml:space="preserve">at </w:t>
      </w:r>
      <w:r w:rsidRPr="00C51F33">
        <w:rPr>
          <w:rFonts w:eastAsia="MS Mincho"/>
        </w:rPr>
        <w:t>week</w:t>
      </w:r>
      <w:r>
        <w:rPr>
          <w:rFonts w:eastAsia="MS Mincho"/>
        </w:rPr>
        <w:t> </w:t>
      </w:r>
      <w:r w:rsidRPr="00C51F33">
        <w:rPr>
          <w:rFonts w:eastAsia="MS Mincho"/>
        </w:rPr>
        <w:t>16 (Table</w:t>
      </w:r>
      <w:r>
        <w:rPr>
          <w:rFonts w:eastAsia="MS Mincho"/>
        </w:rPr>
        <w:t> </w:t>
      </w:r>
      <w:r w:rsidR="00A12A7D">
        <w:rPr>
          <w:rFonts w:eastAsia="MS Mincho"/>
        </w:rPr>
        <w:t>1</w:t>
      </w:r>
      <w:r w:rsidR="008C54A9">
        <w:rPr>
          <w:rFonts w:eastAsia="MS Mincho"/>
        </w:rPr>
        <w:t>4</w:t>
      </w:r>
      <w:r w:rsidRPr="00C51F33">
        <w:rPr>
          <w:rFonts w:eastAsia="MS Mincho"/>
        </w:rPr>
        <w:t>).</w:t>
      </w:r>
    </w:p>
    <w:p w14:paraId="2F195D2E" w14:textId="30D5DB92" w:rsidR="001D3C07" w:rsidRPr="00C51F33" w:rsidRDefault="001D3C07" w:rsidP="001D3C07">
      <w:pPr>
        <w:spacing w:line="240" w:lineRule="auto"/>
        <w:rPr>
          <w:rFonts w:eastAsia="MS Mincho"/>
        </w:rPr>
      </w:pPr>
      <w:r w:rsidRPr="00C51F33">
        <w:rPr>
          <w:rFonts w:eastAsia="MS Mincho"/>
        </w:rPr>
        <w:t>A significantly greater proportion of patients randomi</w:t>
      </w:r>
      <w:r>
        <w:rPr>
          <w:rFonts w:eastAsia="MS Mincho"/>
        </w:rPr>
        <w:t>s</w:t>
      </w:r>
      <w:r w:rsidRPr="00C51F33">
        <w:rPr>
          <w:rFonts w:eastAsia="MS Mincho"/>
        </w:rPr>
        <w:t xml:space="preserve">ed to </w:t>
      </w:r>
      <w:r>
        <w:rPr>
          <w:rFonts w:eastAsia="MS Mincho"/>
        </w:rPr>
        <w:t>OLUMIANT</w:t>
      </w:r>
      <w:r w:rsidRPr="00C51F33">
        <w:rPr>
          <w:rFonts w:eastAsia="MS Mincho"/>
        </w:rPr>
        <w:t xml:space="preserve"> 4</w:t>
      </w:r>
      <w:r>
        <w:rPr>
          <w:rFonts w:eastAsia="MS Mincho"/>
        </w:rPr>
        <w:t> </w:t>
      </w:r>
      <w:r w:rsidRPr="00C51F33">
        <w:rPr>
          <w:rFonts w:eastAsia="MS Mincho"/>
        </w:rPr>
        <w:t>mg achieved a rapid improvement in the Itch NRS compared to placebo (defined as ≥</w:t>
      </w:r>
      <w:r>
        <w:rPr>
          <w:rFonts w:eastAsia="MS Mincho"/>
        </w:rPr>
        <w:t> </w:t>
      </w:r>
      <w:r w:rsidRPr="00C51F33">
        <w:rPr>
          <w:rFonts w:eastAsia="MS Mincho"/>
        </w:rPr>
        <w:t>4</w:t>
      </w:r>
      <w:r>
        <w:rPr>
          <w:rFonts w:eastAsia="MS Mincho"/>
        </w:rPr>
        <w:noBreakHyphen/>
      </w:r>
      <w:r w:rsidRPr="00C51F33">
        <w:rPr>
          <w:rFonts w:eastAsia="MS Mincho"/>
        </w:rPr>
        <w:t xml:space="preserve">point improvement as early as </w:t>
      </w:r>
      <w:proofErr w:type="spellStart"/>
      <w:r w:rsidRPr="00C51F33">
        <w:rPr>
          <w:rFonts w:eastAsia="MS Mincho"/>
        </w:rPr>
        <w:t>Day</w:t>
      </w:r>
      <w:proofErr w:type="spellEnd"/>
      <w:r>
        <w:rPr>
          <w:rFonts w:eastAsia="MS Mincho"/>
        </w:rPr>
        <w:t> </w:t>
      </w:r>
      <w:r w:rsidRPr="00C51F33">
        <w:rPr>
          <w:rFonts w:eastAsia="MS Mincho"/>
        </w:rPr>
        <w:t>2; p</w:t>
      </w:r>
      <w:r>
        <w:rPr>
          <w:rFonts w:eastAsia="MS Mincho"/>
        </w:rPr>
        <w:t> </w:t>
      </w:r>
      <w:r w:rsidRPr="00C51F33">
        <w:t>≤</w:t>
      </w:r>
      <w:r>
        <w:rPr>
          <w:rFonts w:eastAsia="MS Mincho"/>
        </w:rPr>
        <w:t>0.05</w:t>
      </w:r>
      <w:r w:rsidRPr="00C51F33">
        <w:rPr>
          <w:rFonts w:eastAsia="MS Mincho"/>
        </w:rPr>
        <w:t>). The improvement in Itch NRS occurred in conjunction with the improvement of objective skin signs of atopic dermatitis.</w:t>
      </w:r>
    </w:p>
    <w:p w14:paraId="1A59F026" w14:textId="65F0DF86" w:rsidR="00D50766" w:rsidRPr="00C51F33" w:rsidRDefault="004C3630" w:rsidP="00D50766">
      <w:pPr>
        <w:spacing w:line="240" w:lineRule="auto"/>
        <w:rPr>
          <w:rFonts w:eastAsia="MS Mincho"/>
        </w:rPr>
      </w:pPr>
      <w:r w:rsidRPr="00C51F33">
        <w:rPr>
          <w:rFonts w:eastAsia="MS Mincho"/>
        </w:rPr>
        <w:t>Figures</w:t>
      </w:r>
      <w:r>
        <w:rPr>
          <w:rFonts w:eastAsia="MS Mincho"/>
        </w:rPr>
        <w:t> </w:t>
      </w:r>
      <w:r w:rsidR="00D50766">
        <w:rPr>
          <w:rFonts w:eastAsia="MS Mincho"/>
        </w:rPr>
        <w:t>3</w:t>
      </w:r>
      <w:r w:rsidRPr="00C51F33">
        <w:rPr>
          <w:rFonts w:eastAsia="MS Mincho"/>
        </w:rPr>
        <w:t xml:space="preserve"> and </w:t>
      </w:r>
      <w:r w:rsidR="00D50766">
        <w:rPr>
          <w:rFonts w:eastAsia="MS Mincho"/>
        </w:rPr>
        <w:t>4</w:t>
      </w:r>
      <w:r w:rsidRPr="00C51F33">
        <w:rPr>
          <w:rFonts w:eastAsia="MS Mincho"/>
        </w:rPr>
        <w:t xml:space="preserve"> respectively </w:t>
      </w:r>
      <w:r w:rsidR="00D50766" w:rsidRPr="00C51F33">
        <w:rPr>
          <w:rFonts w:eastAsia="MS Mincho"/>
        </w:rPr>
        <w:t>show the mean percent change from baseline in EASI and in Itch NRS, up to week</w:t>
      </w:r>
      <w:r w:rsidR="00D50766">
        <w:rPr>
          <w:rFonts w:eastAsia="MS Mincho"/>
        </w:rPr>
        <w:t> </w:t>
      </w:r>
      <w:r w:rsidR="00D50766" w:rsidRPr="00C51F33">
        <w:rPr>
          <w:rFonts w:eastAsia="MS Mincho"/>
        </w:rPr>
        <w:t>16.</w:t>
      </w:r>
    </w:p>
    <w:p w14:paraId="43229B89" w14:textId="1CEEC418" w:rsidR="00931EC2" w:rsidRPr="007E4310" w:rsidRDefault="00D50766" w:rsidP="00931EC2">
      <w:pPr>
        <w:spacing w:line="240" w:lineRule="auto"/>
        <w:rPr>
          <w:rFonts w:eastAsia="MS Mincho"/>
        </w:rPr>
      </w:pPr>
      <w:r w:rsidRPr="00C51F33">
        <w:rPr>
          <w:rFonts w:eastAsia="MS Mincho"/>
        </w:rPr>
        <w:t>Treatment effects in subgroups (weight, age, gender, race,</w:t>
      </w:r>
      <w:r>
        <w:rPr>
          <w:rFonts w:eastAsia="MS Mincho"/>
        </w:rPr>
        <w:t xml:space="preserve"> disease severity </w:t>
      </w:r>
      <w:r w:rsidRPr="00C51F33">
        <w:rPr>
          <w:rFonts w:eastAsia="MS Mincho"/>
        </w:rPr>
        <w:t>and previous treatment, including immunosuppressants) in BREEZE-AD1 and BREEZE-AD2 were consistent with the results in the overall study population.</w:t>
      </w:r>
    </w:p>
    <w:p w14:paraId="673052C8" w14:textId="61D29548" w:rsidR="00F97217" w:rsidRPr="00937460" w:rsidRDefault="00F97217" w:rsidP="00937460">
      <w:pPr>
        <w:rPr>
          <w:b/>
        </w:rPr>
      </w:pPr>
      <w:r w:rsidRPr="00937460">
        <w:rPr>
          <w:b/>
        </w:rPr>
        <w:t>Table </w:t>
      </w:r>
      <w:r w:rsidR="003A1803" w:rsidRPr="00937460">
        <w:rPr>
          <w:b/>
        </w:rPr>
        <w:t>1</w:t>
      </w:r>
      <w:r w:rsidR="008C54A9" w:rsidRPr="00937460">
        <w:rPr>
          <w:b/>
        </w:rPr>
        <w:t xml:space="preserve">4 </w:t>
      </w:r>
      <w:r w:rsidRPr="00937460">
        <w:rPr>
          <w:b/>
        </w:rPr>
        <w:t xml:space="preserve"> </w:t>
      </w:r>
      <w:r w:rsidR="00D50766" w:rsidRPr="00937460">
        <w:rPr>
          <w:b/>
        </w:rPr>
        <w:t xml:space="preserve">Efficacy of </w:t>
      </w:r>
      <w:r w:rsidR="0036702B" w:rsidRPr="00937460">
        <w:rPr>
          <w:b/>
        </w:rPr>
        <w:t>OLUMIANT</w:t>
      </w:r>
      <w:r w:rsidR="00D50766" w:rsidRPr="00937460">
        <w:rPr>
          <w:b/>
        </w:rPr>
        <w:t xml:space="preserve"> monotherapy at week 16 (</w:t>
      </w:r>
      <w:proofErr w:type="spellStart"/>
      <w:r w:rsidR="00D50766" w:rsidRPr="00937460">
        <w:rPr>
          <w:b/>
        </w:rPr>
        <w:t>FAS</w:t>
      </w:r>
      <w:r w:rsidR="00D50766" w:rsidRPr="00937460">
        <w:rPr>
          <w:b/>
          <w:vertAlign w:val="superscript"/>
        </w:rPr>
        <w:t>a</w:t>
      </w:r>
      <w:proofErr w:type="spellEnd"/>
      <w:r w:rsidR="00D50766" w:rsidRPr="00937460">
        <w:rPr>
          <w:b/>
        </w:rPr>
        <w:t>)</w:t>
      </w:r>
    </w:p>
    <w:tbl>
      <w:tblPr>
        <w:tblStyle w:val="TableGrid"/>
        <w:tblW w:w="4926" w:type="pct"/>
        <w:tblLayout w:type="fixed"/>
        <w:tblLook w:val="04A0" w:firstRow="1" w:lastRow="0" w:firstColumn="1" w:lastColumn="0" w:noHBand="0" w:noVBand="1"/>
      </w:tblPr>
      <w:tblGrid>
        <w:gridCol w:w="1836"/>
        <w:gridCol w:w="1032"/>
        <w:gridCol w:w="1162"/>
        <w:gridCol w:w="1331"/>
        <w:gridCol w:w="986"/>
        <w:gridCol w:w="1268"/>
        <w:gridCol w:w="1268"/>
      </w:tblGrid>
      <w:tr w:rsidR="001D3C07" w:rsidRPr="00137F07" w14:paraId="45EBCF4B" w14:textId="77777777" w:rsidTr="00937460">
        <w:tc>
          <w:tcPr>
            <w:tcW w:w="1033" w:type="pct"/>
          </w:tcPr>
          <w:p w14:paraId="54D57224" w14:textId="77777777" w:rsidR="001D3C07" w:rsidRPr="00137F07" w:rsidRDefault="001D3C07" w:rsidP="005664D1">
            <w:pPr>
              <w:rPr>
                <w:rFonts w:asciiTheme="minorHAnsi" w:eastAsia="MS Mincho" w:hAnsiTheme="minorHAnsi" w:cstheme="minorHAnsi"/>
                <w:b/>
              </w:rPr>
            </w:pPr>
            <w:r w:rsidRPr="00137F07">
              <w:rPr>
                <w:rFonts w:asciiTheme="minorHAnsi" w:eastAsia="MS Mincho" w:hAnsiTheme="minorHAnsi" w:cstheme="minorHAnsi"/>
                <w:b/>
              </w:rPr>
              <w:t>Study</w:t>
            </w:r>
          </w:p>
        </w:tc>
        <w:tc>
          <w:tcPr>
            <w:tcW w:w="1984" w:type="pct"/>
            <w:gridSpan w:val="3"/>
          </w:tcPr>
          <w:p w14:paraId="1B88A9AB" w14:textId="77777777" w:rsidR="001D3C07" w:rsidRPr="00137F07" w:rsidRDefault="001D3C07" w:rsidP="005664D1">
            <w:pPr>
              <w:jc w:val="center"/>
              <w:rPr>
                <w:rFonts w:asciiTheme="minorHAnsi" w:eastAsia="MS Mincho" w:hAnsiTheme="minorHAnsi" w:cstheme="minorHAnsi"/>
                <w:b/>
              </w:rPr>
            </w:pPr>
            <w:r w:rsidRPr="00137F07">
              <w:rPr>
                <w:rFonts w:asciiTheme="minorHAnsi" w:eastAsia="MS Mincho" w:hAnsiTheme="minorHAnsi" w:cstheme="minorHAnsi"/>
                <w:b/>
              </w:rPr>
              <w:t>BREEZE- AD1</w:t>
            </w:r>
          </w:p>
        </w:tc>
        <w:tc>
          <w:tcPr>
            <w:tcW w:w="1982" w:type="pct"/>
            <w:gridSpan w:val="3"/>
          </w:tcPr>
          <w:p w14:paraId="64E1CFBF" w14:textId="77777777" w:rsidR="001D3C07" w:rsidRPr="00137F07" w:rsidRDefault="001D3C07" w:rsidP="005664D1">
            <w:pPr>
              <w:jc w:val="center"/>
              <w:rPr>
                <w:rFonts w:asciiTheme="minorHAnsi" w:eastAsia="MS Mincho" w:hAnsiTheme="minorHAnsi" w:cstheme="minorHAnsi"/>
                <w:b/>
              </w:rPr>
            </w:pPr>
            <w:r w:rsidRPr="00137F07">
              <w:rPr>
                <w:rFonts w:asciiTheme="minorHAnsi" w:eastAsia="MS Mincho" w:hAnsiTheme="minorHAnsi" w:cstheme="minorHAnsi"/>
                <w:b/>
              </w:rPr>
              <w:t>BREEZE-AD2</w:t>
            </w:r>
          </w:p>
        </w:tc>
      </w:tr>
      <w:tr w:rsidR="001D3C07" w:rsidRPr="00137F07" w14:paraId="4CA7A140" w14:textId="77777777" w:rsidTr="00937460">
        <w:tc>
          <w:tcPr>
            <w:tcW w:w="1033" w:type="pct"/>
          </w:tcPr>
          <w:p w14:paraId="027C4239" w14:textId="77777777" w:rsidR="001D3C07" w:rsidRPr="00137F07" w:rsidRDefault="001D3C07" w:rsidP="00937460">
            <w:pPr>
              <w:rPr>
                <w:rFonts w:asciiTheme="minorHAnsi" w:hAnsiTheme="minorHAnsi" w:cstheme="minorHAnsi"/>
              </w:rPr>
            </w:pPr>
            <w:r w:rsidRPr="00137F07">
              <w:rPr>
                <w:rFonts w:asciiTheme="minorHAnsi" w:hAnsiTheme="minorHAnsi" w:cstheme="minorHAnsi"/>
              </w:rPr>
              <w:t>Treatment</w:t>
            </w:r>
          </w:p>
          <w:p w14:paraId="74052D3E"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rPr>
              <w:t>Group</w:t>
            </w:r>
          </w:p>
        </w:tc>
        <w:tc>
          <w:tcPr>
            <w:tcW w:w="581" w:type="pct"/>
          </w:tcPr>
          <w:p w14:paraId="05A587A2"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PBO</w:t>
            </w:r>
          </w:p>
        </w:tc>
        <w:tc>
          <w:tcPr>
            <w:tcW w:w="654" w:type="pct"/>
          </w:tcPr>
          <w:p w14:paraId="3A510FD1"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OLU</w:t>
            </w:r>
          </w:p>
          <w:p w14:paraId="52D8A715"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2 mg</w:t>
            </w:r>
          </w:p>
        </w:tc>
        <w:tc>
          <w:tcPr>
            <w:tcW w:w="749" w:type="pct"/>
          </w:tcPr>
          <w:p w14:paraId="5C8EA885"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OLU</w:t>
            </w:r>
          </w:p>
          <w:p w14:paraId="67E3D2A0"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4 mg</w:t>
            </w:r>
          </w:p>
        </w:tc>
        <w:tc>
          <w:tcPr>
            <w:tcW w:w="555" w:type="pct"/>
          </w:tcPr>
          <w:p w14:paraId="2A143BF0"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PBO</w:t>
            </w:r>
          </w:p>
        </w:tc>
        <w:tc>
          <w:tcPr>
            <w:tcW w:w="714" w:type="pct"/>
          </w:tcPr>
          <w:p w14:paraId="654C2AAC"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OLU</w:t>
            </w:r>
          </w:p>
          <w:p w14:paraId="360DE313"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2 mg</w:t>
            </w:r>
          </w:p>
        </w:tc>
        <w:tc>
          <w:tcPr>
            <w:tcW w:w="714" w:type="pct"/>
          </w:tcPr>
          <w:p w14:paraId="4DCD1A88"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OLU</w:t>
            </w:r>
          </w:p>
          <w:p w14:paraId="507FA9F3" w14:textId="77777777" w:rsidR="001D3C07" w:rsidRPr="00137F07" w:rsidRDefault="001D3C07" w:rsidP="005664D1">
            <w:pPr>
              <w:jc w:val="center"/>
              <w:rPr>
                <w:rFonts w:asciiTheme="minorHAnsi" w:eastAsia="MS Mincho" w:hAnsiTheme="minorHAnsi" w:cstheme="minorHAnsi"/>
              </w:rPr>
            </w:pPr>
            <w:r w:rsidRPr="00137F07">
              <w:rPr>
                <w:rFonts w:asciiTheme="minorHAnsi" w:eastAsia="MS Mincho" w:hAnsiTheme="minorHAnsi" w:cstheme="minorHAnsi"/>
              </w:rPr>
              <w:t>4 mg</w:t>
            </w:r>
          </w:p>
        </w:tc>
      </w:tr>
      <w:tr w:rsidR="001D3C07" w:rsidRPr="00137F07" w14:paraId="77C79968" w14:textId="77777777" w:rsidTr="00937460">
        <w:tc>
          <w:tcPr>
            <w:tcW w:w="1033" w:type="pct"/>
          </w:tcPr>
          <w:p w14:paraId="55E1E326" w14:textId="77777777" w:rsidR="001D3C07" w:rsidRPr="00137F07" w:rsidRDefault="001D3C07" w:rsidP="005664D1">
            <w:pPr>
              <w:rPr>
                <w:rFonts w:asciiTheme="minorHAnsi" w:eastAsia="MS Mincho" w:hAnsiTheme="minorHAnsi" w:cstheme="minorHAnsi"/>
              </w:rPr>
            </w:pPr>
            <w:r w:rsidRPr="00137F07">
              <w:rPr>
                <w:rFonts w:asciiTheme="minorHAnsi" w:eastAsia="MS Mincho" w:hAnsiTheme="minorHAnsi" w:cstheme="minorHAnsi"/>
              </w:rPr>
              <w:t>N</w:t>
            </w:r>
          </w:p>
        </w:tc>
        <w:tc>
          <w:tcPr>
            <w:tcW w:w="581" w:type="pct"/>
          </w:tcPr>
          <w:p w14:paraId="55D40CE8" w14:textId="77777777" w:rsidR="001D3C07" w:rsidRPr="00137F07" w:rsidRDefault="001D3C07" w:rsidP="005664D1">
            <w:pPr>
              <w:jc w:val="center"/>
              <w:rPr>
                <w:rFonts w:asciiTheme="minorHAnsi" w:eastAsia="MS Mincho" w:hAnsiTheme="minorHAnsi" w:cstheme="minorHAnsi"/>
              </w:rPr>
            </w:pPr>
            <w:r w:rsidRPr="00137F07">
              <w:rPr>
                <w:rFonts w:asciiTheme="minorHAnsi" w:hAnsiTheme="minorHAnsi" w:cstheme="minorHAnsi"/>
                <w:lang w:eastAsia="ja-JP"/>
              </w:rPr>
              <w:t>N = 249</w:t>
            </w:r>
          </w:p>
        </w:tc>
        <w:tc>
          <w:tcPr>
            <w:tcW w:w="654" w:type="pct"/>
          </w:tcPr>
          <w:p w14:paraId="430013E5" w14:textId="77777777" w:rsidR="001D3C07" w:rsidRPr="00137F07" w:rsidRDefault="001D3C07" w:rsidP="005664D1">
            <w:pPr>
              <w:jc w:val="center"/>
              <w:rPr>
                <w:rFonts w:asciiTheme="minorHAnsi" w:eastAsia="MS Mincho" w:hAnsiTheme="minorHAnsi" w:cstheme="minorHAnsi"/>
              </w:rPr>
            </w:pPr>
            <w:r w:rsidRPr="00137F07">
              <w:rPr>
                <w:rFonts w:asciiTheme="minorHAnsi" w:hAnsiTheme="minorHAnsi" w:cstheme="minorHAnsi"/>
                <w:lang w:eastAsia="ja-JP"/>
              </w:rPr>
              <w:t>N = 123</w:t>
            </w:r>
          </w:p>
        </w:tc>
        <w:tc>
          <w:tcPr>
            <w:tcW w:w="749" w:type="pct"/>
          </w:tcPr>
          <w:p w14:paraId="75081C71" w14:textId="77777777" w:rsidR="001D3C07" w:rsidRPr="00137F07" w:rsidRDefault="001D3C07" w:rsidP="005664D1">
            <w:pPr>
              <w:jc w:val="center"/>
              <w:rPr>
                <w:rFonts w:asciiTheme="minorHAnsi" w:eastAsia="MS Mincho" w:hAnsiTheme="minorHAnsi" w:cstheme="minorHAnsi"/>
              </w:rPr>
            </w:pPr>
            <w:r w:rsidRPr="00137F07">
              <w:rPr>
                <w:rFonts w:asciiTheme="minorHAnsi" w:hAnsiTheme="minorHAnsi" w:cstheme="minorHAnsi"/>
                <w:lang w:eastAsia="ja-JP"/>
              </w:rPr>
              <w:t>N = 125</w:t>
            </w:r>
          </w:p>
        </w:tc>
        <w:tc>
          <w:tcPr>
            <w:tcW w:w="555" w:type="pct"/>
          </w:tcPr>
          <w:p w14:paraId="53381C9A" w14:textId="77777777" w:rsidR="001D3C07" w:rsidRPr="00137F07" w:rsidRDefault="001D3C07" w:rsidP="005664D1">
            <w:pPr>
              <w:jc w:val="center"/>
              <w:rPr>
                <w:rFonts w:asciiTheme="minorHAnsi" w:eastAsia="MS Mincho" w:hAnsiTheme="minorHAnsi" w:cstheme="minorHAnsi"/>
              </w:rPr>
            </w:pPr>
            <w:r w:rsidRPr="00137F07">
              <w:rPr>
                <w:rFonts w:asciiTheme="minorHAnsi" w:hAnsiTheme="minorHAnsi" w:cstheme="minorHAnsi"/>
                <w:lang w:eastAsia="ja-JP"/>
              </w:rPr>
              <w:t>N = 244</w:t>
            </w:r>
          </w:p>
        </w:tc>
        <w:tc>
          <w:tcPr>
            <w:tcW w:w="714" w:type="pct"/>
          </w:tcPr>
          <w:p w14:paraId="2AAE1C09" w14:textId="77777777" w:rsidR="001D3C07" w:rsidRPr="00137F07" w:rsidRDefault="001D3C07" w:rsidP="005664D1">
            <w:pPr>
              <w:jc w:val="center"/>
              <w:rPr>
                <w:rFonts w:asciiTheme="minorHAnsi" w:eastAsia="MS Mincho" w:hAnsiTheme="minorHAnsi" w:cstheme="minorHAnsi"/>
              </w:rPr>
            </w:pPr>
            <w:r w:rsidRPr="00137F07">
              <w:rPr>
                <w:rFonts w:asciiTheme="minorHAnsi" w:hAnsiTheme="minorHAnsi" w:cstheme="minorHAnsi"/>
                <w:lang w:eastAsia="ja-JP"/>
              </w:rPr>
              <w:t>N = 123</w:t>
            </w:r>
          </w:p>
        </w:tc>
        <w:tc>
          <w:tcPr>
            <w:tcW w:w="714" w:type="pct"/>
          </w:tcPr>
          <w:p w14:paraId="747641CF" w14:textId="77777777" w:rsidR="001D3C07" w:rsidRPr="00137F07" w:rsidRDefault="001D3C07" w:rsidP="005664D1">
            <w:pPr>
              <w:jc w:val="center"/>
              <w:rPr>
                <w:rFonts w:asciiTheme="minorHAnsi" w:eastAsia="MS Mincho" w:hAnsiTheme="minorHAnsi" w:cstheme="minorHAnsi"/>
              </w:rPr>
            </w:pPr>
            <w:r w:rsidRPr="00137F07">
              <w:rPr>
                <w:rFonts w:asciiTheme="minorHAnsi" w:hAnsiTheme="minorHAnsi" w:cstheme="minorHAnsi"/>
                <w:lang w:eastAsia="ja-JP"/>
              </w:rPr>
              <w:t>N = 123</w:t>
            </w:r>
          </w:p>
        </w:tc>
      </w:tr>
      <w:tr w:rsidR="001D3C07" w:rsidRPr="00137F07" w14:paraId="6C5DEC87" w14:textId="77777777" w:rsidTr="00937460">
        <w:tc>
          <w:tcPr>
            <w:tcW w:w="1033" w:type="pct"/>
          </w:tcPr>
          <w:p w14:paraId="3F552AAF" w14:textId="77777777" w:rsidR="001D3C07" w:rsidRPr="00137F07" w:rsidRDefault="001D3C07" w:rsidP="005664D1">
            <w:pPr>
              <w:rPr>
                <w:rFonts w:asciiTheme="minorHAnsi" w:eastAsia="MS Mincho" w:hAnsiTheme="minorHAnsi" w:cstheme="minorHAnsi"/>
              </w:rPr>
            </w:pPr>
            <w:r w:rsidRPr="00137F07">
              <w:rPr>
                <w:rFonts w:asciiTheme="minorHAnsi" w:eastAsia="MS Mincho" w:hAnsiTheme="minorHAnsi" w:cstheme="minorHAnsi"/>
              </w:rPr>
              <w:t xml:space="preserve">IGA 0 or 1, </w:t>
            </w:r>
          </w:p>
          <w:p w14:paraId="415357D0" w14:textId="77777777" w:rsidR="001D3C07" w:rsidRPr="00137F07" w:rsidRDefault="001D3C07" w:rsidP="005664D1">
            <w:pPr>
              <w:rPr>
                <w:rFonts w:asciiTheme="minorHAnsi" w:eastAsia="MS Mincho" w:hAnsiTheme="minorHAnsi" w:cstheme="minorHAnsi"/>
              </w:rPr>
            </w:pPr>
            <w:r w:rsidRPr="00137F07">
              <w:rPr>
                <w:rFonts w:asciiTheme="minorHAnsi" w:eastAsia="MS Mincho" w:hAnsiTheme="minorHAnsi" w:cstheme="minorHAnsi"/>
              </w:rPr>
              <w:t xml:space="preserve">% </w:t>
            </w:r>
            <w:proofErr w:type="spellStart"/>
            <w:r w:rsidRPr="00137F07">
              <w:rPr>
                <w:rFonts w:asciiTheme="minorHAnsi" w:eastAsia="MS Mincho" w:hAnsiTheme="minorHAnsi" w:cstheme="minorHAnsi"/>
              </w:rPr>
              <w:t>responders</w:t>
            </w:r>
            <w:r w:rsidRPr="00137F07">
              <w:rPr>
                <w:rFonts w:asciiTheme="minorHAnsi" w:eastAsia="MS Mincho" w:hAnsiTheme="minorHAnsi" w:cstheme="minorHAnsi"/>
                <w:vertAlign w:val="superscript"/>
              </w:rPr>
              <w:t>b</w:t>
            </w:r>
            <w:proofErr w:type="spellEnd"/>
            <w:r w:rsidRPr="00137F07">
              <w:rPr>
                <w:rFonts w:asciiTheme="minorHAnsi" w:eastAsia="MS Mincho" w:hAnsiTheme="minorHAnsi" w:cstheme="minorHAnsi"/>
                <w:vertAlign w:val="superscript"/>
              </w:rPr>
              <w:t>, c</w:t>
            </w:r>
          </w:p>
        </w:tc>
        <w:tc>
          <w:tcPr>
            <w:tcW w:w="581" w:type="pct"/>
          </w:tcPr>
          <w:p w14:paraId="355C910B"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4.8 %</w:t>
            </w:r>
          </w:p>
        </w:tc>
        <w:tc>
          <w:tcPr>
            <w:tcW w:w="654" w:type="pct"/>
          </w:tcPr>
          <w:p w14:paraId="3B351B9A"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11.4 %*</w:t>
            </w:r>
          </w:p>
        </w:tc>
        <w:tc>
          <w:tcPr>
            <w:tcW w:w="749" w:type="pct"/>
          </w:tcPr>
          <w:p w14:paraId="7F70BD28"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16.8 %***</w:t>
            </w:r>
          </w:p>
        </w:tc>
        <w:tc>
          <w:tcPr>
            <w:tcW w:w="555" w:type="pct"/>
          </w:tcPr>
          <w:p w14:paraId="23159C0C"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4.5 %</w:t>
            </w:r>
          </w:p>
        </w:tc>
        <w:tc>
          <w:tcPr>
            <w:tcW w:w="714" w:type="pct"/>
          </w:tcPr>
          <w:p w14:paraId="0F103D39"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10.6 %*</w:t>
            </w:r>
          </w:p>
        </w:tc>
        <w:tc>
          <w:tcPr>
            <w:tcW w:w="714" w:type="pct"/>
          </w:tcPr>
          <w:p w14:paraId="7D096468"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13.8 %***</w:t>
            </w:r>
          </w:p>
        </w:tc>
      </w:tr>
      <w:tr w:rsidR="001D3C07" w:rsidRPr="00137F07" w14:paraId="2858EF9C" w14:textId="77777777" w:rsidTr="00937460">
        <w:tc>
          <w:tcPr>
            <w:tcW w:w="1033" w:type="pct"/>
          </w:tcPr>
          <w:p w14:paraId="6A47F5E5" w14:textId="77777777" w:rsidR="001D3C07" w:rsidRPr="00137F07" w:rsidRDefault="001D3C07" w:rsidP="005664D1">
            <w:pPr>
              <w:pStyle w:val="TableParagraph"/>
              <w:spacing w:before="22"/>
              <w:ind w:left="0"/>
              <w:rPr>
                <w:rFonts w:asciiTheme="minorHAnsi" w:hAnsiTheme="minorHAnsi" w:cstheme="minorHAnsi"/>
              </w:rPr>
            </w:pPr>
            <w:r w:rsidRPr="00137F07">
              <w:rPr>
                <w:rFonts w:asciiTheme="minorHAnsi" w:hAnsiTheme="minorHAnsi" w:cstheme="minorHAnsi"/>
              </w:rPr>
              <w:t>EASI-50,</w:t>
            </w:r>
          </w:p>
          <w:p w14:paraId="65B13FF6" w14:textId="21531339" w:rsidR="001D3C07" w:rsidRPr="00137F07" w:rsidRDefault="001D3C07" w:rsidP="005664D1">
            <w:pPr>
              <w:pStyle w:val="TableParagraph"/>
              <w:spacing w:before="24"/>
              <w:ind w:left="0"/>
              <w:rPr>
                <w:rFonts w:asciiTheme="minorHAnsi" w:hAnsiTheme="minorHAnsi" w:cstheme="minorHAnsi"/>
              </w:rPr>
            </w:pPr>
            <w:r w:rsidRPr="00137F07">
              <w:rPr>
                <w:rFonts w:asciiTheme="minorHAnsi" w:hAnsiTheme="minorHAnsi" w:cstheme="minorHAnsi"/>
              </w:rPr>
              <w:t xml:space="preserve">%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c</w:t>
            </w:r>
            <w:proofErr w:type="spellEnd"/>
            <w:r w:rsidR="00324EB7">
              <w:rPr>
                <w:rFonts w:asciiTheme="minorHAnsi" w:hAnsiTheme="minorHAnsi" w:cstheme="minorHAnsi"/>
                <w:vertAlign w:val="superscript"/>
              </w:rPr>
              <w:t>, g</w:t>
            </w:r>
            <w:r w:rsidRPr="00137F07">
              <w:rPr>
                <w:rFonts w:asciiTheme="minorHAnsi" w:hAnsiTheme="minorHAnsi" w:cstheme="minorHAnsi"/>
                <w:vertAlign w:val="superscript"/>
              </w:rPr>
              <w:t xml:space="preserve"> </w:t>
            </w:r>
          </w:p>
        </w:tc>
        <w:tc>
          <w:tcPr>
            <w:tcW w:w="581" w:type="pct"/>
          </w:tcPr>
          <w:p w14:paraId="5BEF9E2D" w14:textId="77777777" w:rsidR="001D3C07" w:rsidRPr="00137F07" w:rsidRDefault="001D3C07" w:rsidP="005664D1">
            <w:pPr>
              <w:rPr>
                <w:rFonts w:asciiTheme="minorHAnsi" w:hAnsiTheme="minorHAnsi" w:cstheme="minorHAnsi"/>
                <w:lang w:eastAsia="ja-JP"/>
              </w:rPr>
            </w:pPr>
            <w:r w:rsidRPr="00137F07">
              <w:rPr>
                <w:rFonts w:asciiTheme="minorHAnsi" w:hAnsiTheme="minorHAnsi" w:cstheme="minorHAnsi"/>
              </w:rPr>
              <w:t>15.3 %</w:t>
            </w:r>
          </w:p>
        </w:tc>
        <w:tc>
          <w:tcPr>
            <w:tcW w:w="654" w:type="pct"/>
          </w:tcPr>
          <w:p w14:paraId="12940E13" w14:textId="77777777" w:rsidR="001D3C07" w:rsidRPr="00137F07" w:rsidRDefault="001D3C07" w:rsidP="005664D1">
            <w:pPr>
              <w:rPr>
                <w:rFonts w:asciiTheme="minorHAnsi" w:hAnsiTheme="minorHAnsi" w:cstheme="minorHAnsi"/>
                <w:lang w:eastAsia="ja-JP"/>
              </w:rPr>
            </w:pPr>
            <w:r w:rsidRPr="00137F07">
              <w:rPr>
                <w:rFonts w:asciiTheme="minorHAnsi" w:hAnsiTheme="minorHAnsi" w:cstheme="minorHAnsi"/>
              </w:rPr>
              <w:t>30.1 %***</w:t>
            </w:r>
          </w:p>
        </w:tc>
        <w:tc>
          <w:tcPr>
            <w:tcW w:w="749" w:type="pct"/>
          </w:tcPr>
          <w:p w14:paraId="54ECADB1" w14:textId="77777777" w:rsidR="001D3C07" w:rsidRPr="00137F07" w:rsidRDefault="001D3C07" w:rsidP="005664D1">
            <w:pPr>
              <w:rPr>
                <w:rFonts w:asciiTheme="minorHAnsi" w:hAnsiTheme="minorHAnsi" w:cstheme="minorHAnsi"/>
                <w:lang w:eastAsia="ja-JP"/>
              </w:rPr>
            </w:pPr>
            <w:r w:rsidRPr="00137F07">
              <w:rPr>
                <w:rFonts w:asciiTheme="minorHAnsi" w:hAnsiTheme="minorHAnsi" w:cstheme="minorHAnsi"/>
              </w:rPr>
              <w:t>41.6 %***</w:t>
            </w:r>
          </w:p>
        </w:tc>
        <w:tc>
          <w:tcPr>
            <w:tcW w:w="555" w:type="pct"/>
          </w:tcPr>
          <w:p w14:paraId="16D04162" w14:textId="77777777" w:rsidR="001D3C07" w:rsidRPr="00137F07" w:rsidRDefault="001D3C07" w:rsidP="005664D1">
            <w:pPr>
              <w:rPr>
                <w:rFonts w:asciiTheme="minorHAnsi" w:hAnsiTheme="minorHAnsi" w:cstheme="minorHAnsi"/>
                <w:lang w:eastAsia="ja-JP"/>
              </w:rPr>
            </w:pPr>
            <w:r w:rsidRPr="00137F07">
              <w:rPr>
                <w:rFonts w:asciiTheme="minorHAnsi" w:hAnsiTheme="minorHAnsi" w:cstheme="minorHAnsi"/>
              </w:rPr>
              <w:t>12.3 %</w:t>
            </w:r>
          </w:p>
        </w:tc>
        <w:tc>
          <w:tcPr>
            <w:tcW w:w="714" w:type="pct"/>
          </w:tcPr>
          <w:p w14:paraId="4E691D86" w14:textId="77777777" w:rsidR="001D3C07" w:rsidRPr="00137F07" w:rsidRDefault="001D3C07" w:rsidP="005664D1">
            <w:pPr>
              <w:rPr>
                <w:rFonts w:asciiTheme="minorHAnsi" w:hAnsiTheme="minorHAnsi" w:cstheme="minorHAnsi"/>
                <w:lang w:eastAsia="ja-JP"/>
              </w:rPr>
            </w:pPr>
            <w:r w:rsidRPr="00137F07">
              <w:rPr>
                <w:rFonts w:asciiTheme="minorHAnsi" w:hAnsiTheme="minorHAnsi" w:cstheme="minorHAnsi"/>
              </w:rPr>
              <w:t>27.6 %***</w:t>
            </w:r>
          </w:p>
        </w:tc>
        <w:tc>
          <w:tcPr>
            <w:tcW w:w="714" w:type="pct"/>
          </w:tcPr>
          <w:p w14:paraId="319E7E1D" w14:textId="77777777" w:rsidR="001D3C07" w:rsidRPr="00137F07" w:rsidRDefault="001D3C07" w:rsidP="005664D1">
            <w:pPr>
              <w:rPr>
                <w:rFonts w:asciiTheme="minorHAnsi" w:hAnsiTheme="minorHAnsi" w:cstheme="minorHAnsi"/>
                <w:lang w:eastAsia="ja-JP"/>
              </w:rPr>
            </w:pPr>
            <w:r w:rsidRPr="00137F07">
              <w:rPr>
                <w:rFonts w:asciiTheme="minorHAnsi" w:hAnsiTheme="minorHAnsi" w:cstheme="minorHAnsi"/>
              </w:rPr>
              <w:t>29.3 %***</w:t>
            </w:r>
          </w:p>
        </w:tc>
      </w:tr>
      <w:tr w:rsidR="001D3C07" w:rsidRPr="00137F07" w14:paraId="6E1A6AD5" w14:textId="77777777" w:rsidTr="00937460">
        <w:tc>
          <w:tcPr>
            <w:tcW w:w="1033" w:type="pct"/>
          </w:tcPr>
          <w:p w14:paraId="76ECFBAD" w14:textId="77777777" w:rsidR="001D3C07" w:rsidRPr="00137F07" w:rsidRDefault="001D3C07" w:rsidP="005664D1">
            <w:pPr>
              <w:pStyle w:val="TableParagraph"/>
              <w:spacing w:before="24"/>
              <w:ind w:left="0"/>
              <w:rPr>
                <w:rFonts w:asciiTheme="minorHAnsi" w:hAnsiTheme="minorHAnsi" w:cstheme="minorHAnsi"/>
              </w:rPr>
            </w:pPr>
            <w:r w:rsidRPr="00137F07">
              <w:rPr>
                <w:rFonts w:asciiTheme="minorHAnsi" w:hAnsiTheme="minorHAnsi" w:cstheme="minorHAnsi"/>
              </w:rPr>
              <w:t>EASI-75,</w:t>
            </w:r>
          </w:p>
          <w:p w14:paraId="7C800B0A"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rPr>
              <w:t xml:space="preserve">%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c</w:t>
            </w:r>
            <w:proofErr w:type="spellEnd"/>
          </w:p>
        </w:tc>
        <w:tc>
          <w:tcPr>
            <w:tcW w:w="581" w:type="pct"/>
          </w:tcPr>
          <w:p w14:paraId="57346DC0"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8.8 %</w:t>
            </w:r>
          </w:p>
        </w:tc>
        <w:tc>
          <w:tcPr>
            <w:tcW w:w="654" w:type="pct"/>
          </w:tcPr>
          <w:p w14:paraId="116346FA"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18.7 %**</w:t>
            </w:r>
          </w:p>
        </w:tc>
        <w:tc>
          <w:tcPr>
            <w:tcW w:w="749" w:type="pct"/>
          </w:tcPr>
          <w:p w14:paraId="28A6B1B3"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24.8 %***</w:t>
            </w:r>
          </w:p>
        </w:tc>
        <w:tc>
          <w:tcPr>
            <w:tcW w:w="555" w:type="pct"/>
          </w:tcPr>
          <w:p w14:paraId="1DFBE171"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6.1 %</w:t>
            </w:r>
          </w:p>
        </w:tc>
        <w:tc>
          <w:tcPr>
            <w:tcW w:w="714" w:type="pct"/>
          </w:tcPr>
          <w:p w14:paraId="6304757B"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17.9 %***</w:t>
            </w:r>
          </w:p>
        </w:tc>
        <w:tc>
          <w:tcPr>
            <w:tcW w:w="714" w:type="pct"/>
          </w:tcPr>
          <w:p w14:paraId="3D1BC9D3"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21.1 %***</w:t>
            </w:r>
          </w:p>
        </w:tc>
      </w:tr>
      <w:tr w:rsidR="001D3C07" w:rsidRPr="00137F07" w14:paraId="26C035BF" w14:textId="77777777" w:rsidTr="00937460">
        <w:tc>
          <w:tcPr>
            <w:tcW w:w="1033" w:type="pct"/>
          </w:tcPr>
          <w:p w14:paraId="06815CA7" w14:textId="77777777" w:rsidR="001D3C07" w:rsidRPr="00137F07" w:rsidRDefault="001D3C07" w:rsidP="005664D1">
            <w:pPr>
              <w:pStyle w:val="TableParagraph"/>
              <w:spacing w:before="22"/>
              <w:ind w:left="0"/>
              <w:rPr>
                <w:rFonts w:asciiTheme="minorHAnsi" w:hAnsiTheme="minorHAnsi" w:cstheme="minorHAnsi"/>
              </w:rPr>
            </w:pPr>
            <w:r w:rsidRPr="00137F07">
              <w:rPr>
                <w:rFonts w:asciiTheme="minorHAnsi" w:hAnsiTheme="minorHAnsi" w:cstheme="minorHAnsi"/>
              </w:rPr>
              <w:t>EASI-90,</w:t>
            </w:r>
          </w:p>
          <w:p w14:paraId="2BCC1C1B"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rPr>
              <w:t xml:space="preserve">%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c</w:t>
            </w:r>
            <w:proofErr w:type="spellEnd"/>
          </w:p>
        </w:tc>
        <w:tc>
          <w:tcPr>
            <w:tcW w:w="581" w:type="pct"/>
          </w:tcPr>
          <w:p w14:paraId="505EFC71"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4.8 %</w:t>
            </w:r>
          </w:p>
        </w:tc>
        <w:tc>
          <w:tcPr>
            <w:tcW w:w="654" w:type="pct"/>
          </w:tcPr>
          <w:p w14:paraId="67076393" w14:textId="5F0E1D71" w:rsidR="001D3C07" w:rsidRPr="00324EB7" w:rsidRDefault="001D3C07" w:rsidP="005664D1">
            <w:pPr>
              <w:rPr>
                <w:rFonts w:asciiTheme="minorHAnsi" w:eastAsia="MS Mincho" w:hAnsiTheme="minorHAnsi" w:cstheme="minorHAnsi"/>
                <w:vertAlign w:val="superscript"/>
              </w:rPr>
            </w:pPr>
            <w:r w:rsidRPr="00137F07">
              <w:rPr>
                <w:rFonts w:asciiTheme="minorHAnsi" w:hAnsiTheme="minorHAnsi" w:cstheme="minorHAnsi"/>
                <w:lang w:eastAsia="ja-JP"/>
              </w:rPr>
              <w:t>10.6 %*</w:t>
            </w:r>
            <w:r w:rsidR="00324EB7">
              <w:rPr>
                <w:rFonts w:asciiTheme="minorHAnsi" w:hAnsiTheme="minorHAnsi" w:cstheme="minorHAnsi"/>
                <w:vertAlign w:val="superscript"/>
                <w:lang w:eastAsia="ja-JP"/>
              </w:rPr>
              <w:t>f</w:t>
            </w:r>
          </w:p>
        </w:tc>
        <w:tc>
          <w:tcPr>
            <w:tcW w:w="749" w:type="pct"/>
          </w:tcPr>
          <w:p w14:paraId="2183E727"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16.0 %***</w:t>
            </w:r>
          </w:p>
        </w:tc>
        <w:tc>
          <w:tcPr>
            <w:tcW w:w="555" w:type="pct"/>
          </w:tcPr>
          <w:p w14:paraId="5C479A75"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2.5 %</w:t>
            </w:r>
          </w:p>
        </w:tc>
        <w:tc>
          <w:tcPr>
            <w:tcW w:w="714" w:type="pct"/>
          </w:tcPr>
          <w:p w14:paraId="41FD6BCC"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8.9 %**</w:t>
            </w:r>
          </w:p>
        </w:tc>
        <w:tc>
          <w:tcPr>
            <w:tcW w:w="714" w:type="pct"/>
          </w:tcPr>
          <w:p w14:paraId="321D3D2A"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13.0 %***</w:t>
            </w:r>
          </w:p>
        </w:tc>
      </w:tr>
      <w:tr w:rsidR="001D3C07" w:rsidRPr="00137F07" w14:paraId="77D8652B" w14:textId="77777777" w:rsidTr="00937460">
        <w:tc>
          <w:tcPr>
            <w:tcW w:w="1033" w:type="pct"/>
          </w:tcPr>
          <w:p w14:paraId="36DAB0C9" w14:textId="77777777" w:rsidR="001D3C07" w:rsidRPr="00137F07" w:rsidRDefault="001D3C07" w:rsidP="005664D1">
            <w:pPr>
              <w:pStyle w:val="TableParagraph"/>
              <w:spacing w:before="22"/>
              <w:ind w:left="0"/>
              <w:rPr>
                <w:rFonts w:asciiTheme="minorHAnsi" w:hAnsiTheme="minorHAnsi" w:cstheme="minorHAnsi"/>
              </w:rPr>
            </w:pPr>
            <w:r w:rsidRPr="00137F07">
              <w:rPr>
                <w:rFonts w:asciiTheme="minorHAnsi" w:hAnsiTheme="minorHAnsi" w:cstheme="minorHAnsi"/>
              </w:rPr>
              <w:t xml:space="preserve">SCORAD75, </w:t>
            </w:r>
          </w:p>
          <w:p w14:paraId="7EBCE509" w14:textId="77777777" w:rsidR="001D3C07" w:rsidRPr="00137F07" w:rsidRDefault="001D3C07" w:rsidP="005664D1">
            <w:pPr>
              <w:pStyle w:val="TableParagraph"/>
              <w:spacing w:before="22"/>
              <w:ind w:left="0"/>
              <w:rPr>
                <w:rFonts w:asciiTheme="minorHAnsi" w:hAnsiTheme="minorHAnsi" w:cstheme="minorHAnsi"/>
              </w:rPr>
            </w:pPr>
            <w:r w:rsidRPr="00137F07">
              <w:rPr>
                <w:rFonts w:asciiTheme="minorHAnsi" w:hAnsiTheme="minorHAnsi" w:cstheme="minorHAnsi"/>
              </w:rPr>
              <w:t xml:space="preserve">%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c</w:t>
            </w:r>
            <w:proofErr w:type="spellEnd"/>
          </w:p>
        </w:tc>
        <w:tc>
          <w:tcPr>
            <w:tcW w:w="581" w:type="pct"/>
          </w:tcPr>
          <w:p w14:paraId="2FAB7831"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1.2 %</w:t>
            </w:r>
          </w:p>
        </w:tc>
        <w:tc>
          <w:tcPr>
            <w:tcW w:w="654" w:type="pct"/>
          </w:tcPr>
          <w:p w14:paraId="602EB542" w14:textId="61359125" w:rsidR="001D3C07" w:rsidRPr="00324EB7" w:rsidRDefault="001D3C07" w:rsidP="005664D1">
            <w:pPr>
              <w:rPr>
                <w:rFonts w:asciiTheme="minorHAnsi" w:eastAsia="MS Mincho" w:hAnsiTheme="minorHAnsi" w:cstheme="minorHAnsi"/>
                <w:vertAlign w:val="superscript"/>
              </w:rPr>
            </w:pPr>
            <w:r w:rsidRPr="00137F07">
              <w:rPr>
                <w:rFonts w:asciiTheme="minorHAnsi" w:hAnsiTheme="minorHAnsi" w:cstheme="minorHAnsi"/>
                <w:lang w:eastAsia="ja-JP"/>
              </w:rPr>
              <w:t>7.3 %**</w:t>
            </w:r>
            <w:r w:rsidR="00324EB7">
              <w:rPr>
                <w:rFonts w:asciiTheme="minorHAnsi" w:hAnsiTheme="minorHAnsi" w:cstheme="minorHAnsi"/>
                <w:vertAlign w:val="superscript"/>
                <w:lang w:eastAsia="ja-JP"/>
              </w:rPr>
              <w:t>f</w:t>
            </w:r>
          </w:p>
        </w:tc>
        <w:tc>
          <w:tcPr>
            <w:tcW w:w="749" w:type="pct"/>
          </w:tcPr>
          <w:p w14:paraId="7AEC8D6C"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10.4 %***</w:t>
            </w:r>
          </w:p>
        </w:tc>
        <w:tc>
          <w:tcPr>
            <w:tcW w:w="555" w:type="pct"/>
          </w:tcPr>
          <w:p w14:paraId="5FFA7061"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1.6 %</w:t>
            </w:r>
          </w:p>
        </w:tc>
        <w:tc>
          <w:tcPr>
            <w:tcW w:w="714" w:type="pct"/>
          </w:tcPr>
          <w:p w14:paraId="25B614BA"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7.3 %**</w:t>
            </w:r>
          </w:p>
        </w:tc>
        <w:tc>
          <w:tcPr>
            <w:tcW w:w="714" w:type="pct"/>
          </w:tcPr>
          <w:p w14:paraId="5545F517"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11.4 %***</w:t>
            </w:r>
          </w:p>
        </w:tc>
      </w:tr>
      <w:tr w:rsidR="001D3C07" w:rsidRPr="00137F07" w14:paraId="1CE040A3" w14:textId="77777777" w:rsidTr="00937460">
        <w:tc>
          <w:tcPr>
            <w:tcW w:w="1033" w:type="pct"/>
          </w:tcPr>
          <w:p w14:paraId="43AE1F74" w14:textId="2D7AE910" w:rsidR="001D3C07" w:rsidRPr="00137F07" w:rsidRDefault="001D3C07" w:rsidP="005664D1">
            <w:pPr>
              <w:pStyle w:val="TableParagraph"/>
              <w:spacing w:before="17" w:line="271" w:lineRule="auto"/>
              <w:ind w:left="0" w:right="23"/>
              <w:rPr>
                <w:rFonts w:asciiTheme="minorHAnsi" w:hAnsiTheme="minorHAnsi" w:cstheme="minorHAnsi"/>
              </w:rPr>
            </w:pPr>
            <w:r w:rsidRPr="00137F07">
              <w:rPr>
                <w:rFonts w:asciiTheme="minorHAnsi" w:hAnsiTheme="minorHAnsi" w:cstheme="minorHAnsi"/>
              </w:rPr>
              <w:t xml:space="preserve">Itch NRS (≥ 4 point improvement), %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c</w:t>
            </w:r>
            <w:proofErr w:type="spellEnd"/>
            <w:r w:rsidR="00324EB7">
              <w:rPr>
                <w:rFonts w:asciiTheme="minorHAnsi" w:hAnsiTheme="minorHAnsi" w:cstheme="minorHAnsi"/>
                <w:vertAlign w:val="superscript"/>
              </w:rPr>
              <w:t xml:space="preserve">, </w:t>
            </w:r>
            <w:r w:rsidRPr="00137F07">
              <w:rPr>
                <w:rFonts w:asciiTheme="minorHAnsi" w:hAnsiTheme="minorHAnsi" w:cstheme="minorHAnsi"/>
                <w:vertAlign w:val="superscript"/>
              </w:rPr>
              <w:t>d</w:t>
            </w:r>
          </w:p>
        </w:tc>
        <w:tc>
          <w:tcPr>
            <w:tcW w:w="581" w:type="pct"/>
          </w:tcPr>
          <w:p w14:paraId="09F9704C" w14:textId="77777777" w:rsidR="001D3C07" w:rsidRPr="00137F07" w:rsidRDefault="001D3C07" w:rsidP="005664D1">
            <w:pPr>
              <w:pStyle w:val="TableParagraph"/>
              <w:spacing w:before="17" w:line="271" w:lineRule="auto"/>
              <w:ind w:left="0" w:right="23"/>
              <w:rPr>
                <w:rFonts w:asciiTheme="minorHAnsi" w:hAnsiTheme="minorHAnsi" w:cstheme="minorHAnsi"/>
              </w:rPr>
            </w:pPr>
            <w:r w:rsidRPr="00137F07">
              <w:rPr>
                <w:rFonts w:asciiTheme="minorHAnsi" w:hAnsiTheme="minorHAnsi" w:cstheme="minorHAnsi"/>
                <w:lang w:eastAsia="ja-JP"/>
              </w:rPr>
              <w:t>7.2 %</w:t>
            </w:r>
          </w:p>
        </w:tc>
        <w:tc>
          <w:tcPr>
            <w:tcW w:w="654" w:type="pct"/>
          </w:tcPr>
          <w:p w14:paraId="4155CE34"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12.0 %</w:t>
            </w:r>
          </w:p>
        </w:tc>
        <w:tc>
          <w:tcPr>
            <w:tcW w:w="749" w:type="pct"/>
          </w:tcPr>
          <w:p w14:paraId="13D47C62"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21.5 %***</w:t>
            </w:r>
          </w:p>
        </w:tc>
        <w:tc>
          <w:tcPr>
            <w:tcW w:w="555" w:type="pct"/>
          </w:tcPr>
          <w:p w14:paraId="59B466C2"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4.7 %</w:t>
            </w:r>
          </w:p>
        </w:tc>
        <w:tc>
          <w:tcPr>
            <w:tcW w:w="714" w:type="pct"/>
          </w:tcPr>
          <w:p w14:paraId="78D7124A"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15.1 %**</w:t>
            </w:r>
          </w:p>
        </w:tc>
        <w:tc>
          <w:tcPr>
            <w:tcW w:w="714" w:type="pct"/>
          </w:tcPr>
          <w:p w14:paraId="6DE59DB6" w14:textId="77777777" w:rsidR="001D3C07" w:rsidRPr="00137F07" w:rsidRDefault="001D3C07" w:rsidP="005664D1">
            <w:pPr>
              <w:rPr>
                <w:rFonts w:asciiTheme="minorHAnsi" w:eastAsia="MS Mincho" w:hAnsiTheme="minorHAnsi" w:cstheme="minorHAnsi"/>
              </w:rPr>
            </w:pPr>
            <w:r w:rsidRPr="00137F07">
              <w:rPr>
                <w:rFonts w:asciiTheme="minorHAnsi" w:hAnsiTheme="minorHAnsi" w:cstheme="minorHAnsi"/>
                <w:lang w:eastAsia="ja-JP"/>
              </w:rPr>
              <w:t>18.7 %***</w:t>
            </w:r>
          </w:p>
        </w:tc>
      </w:tr>
      <w:tr w:rsidR="001D3C07" w:rsidRPr="00137F07" w14:paraId="19445E8A" w14:textId="77777777" w:rsidTr="00937460">
        <w:tc>
          <w:tcPr>
            <w:tcW w:w="1033" w:type="pct"/>
          </w:tcPr>
          <w:p w14:paraId="621C67E2" w14:textId="1C4757B6" w:rsidR="001D3C07" w:rsidRPr="00137F07" w:rsidRDefault="001D3C07" w:rsidP="005664D1">
            <w:pPr>
              <w:pStyle w:val="TableParagraph"/>
              <w:spacing w:before="17" w:line="271" w:lineRule="auto"/>
              <w:ind w:left="0" w:right="23"/>
              <w:rPr>
                <w:rFonts w:asciiTheme="minorHAnsi" w:hAnsiTheme="minorHAnsi" w:cstheme="minorHAnsi"/>
              </w:rPr>
            </w:pPr>
            <w:r w:rsidRPr="00137F07">
              <w:rPr>
                <w:rFonts w:asciiTheme="minorHAnsi" w:hAnsiTheme="minorHAnsi" w:cstheme="minorHAnsi"/>
              </w:rPr>
              <w:lastRenderedPageBreak/>
              <w:t>BSA change from baseline</w:t>
            </w:r>
            <w:r w:rsidR="0017542A">
              <w:rPr>
                <w:rFonts w:asciiTheme="minorHAnsi" w:hAnsiTheme="minorHAnsi" w:cstheme="minorHAnsi"/>
              </w:rPr>
              <w:t>, LS mean</w:t>
            </w:r>
            <w:r w:rsidRPr="00137F07">
              <w:rPr>
                <w:rFonts w:asciiTheme="minorHAnsi" w:hAnsiTheme="minorHAnsi" w:cstheme="minorHAnsi"/>
              </w:rPr>
              <w:t xml:space="preserve"> (SE)</w:t>
            </w:r>
            <w:r w:rsidRPr="00137F07">
              <w:rPr>
                <w:rFonts w:asciiTheme="minorHAnsi" w:eastAsia="MS Mincho" w:hAnsiTheme="minorHAnsi" w:cstheme="minorHAnsi"/>
                <w:vertAlign w:val="superscript"/>
              </w:rPr>
              <w:t>e</w:t>
            </w:r>
            <w:r w:rsidR="00324EB7">
              <w:rPr>
                <w:rFonts w:asciiTheme="minorHAnsi" w:eastAsia="MS Mincho" w:hAnsiTheme="minorHAnsi" w:cstheme="minorHAnsi"/>
                <w:vertAlign w:val="superscript"/>
              </w:rPr>
              <w:t>, g</w:t>
            </w:r>
          </w:p>
        </w:tc>
        <w:tc>
          <w:tcPr>
            <w:tcW w:w="581" w:type="pct"/>
          </w:tcPr>
          <w:p w14:paraId="76CA2B8E"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-14.80 %</w:t>
            </w:r>
          </w:p>
          <w:p w14:paraId="44F5DA5A" w14:textId="77777777" w:rsidR="001D3C07" w:rsidRPr="00137F07" w:rsidRDefault="001D3C07" w:rsidP="005664D1">
            <w:pPr>
              <w:pStyle w:val="TableParagraph"/>
              <w:spacing w:before="17" w:line="271" w:lineRule="auto"/>
              <w:ind w:left="0" w:right="23"/>
              <w:rPr>
                <w:rFonts w:asciiTheme="minorHAnsi" w:hAnsiTheme="minorHAnsi" w:cstheme="minorHAnsi"/>
                <w:lang w:eastAsia="ja-JP"/>
              </w:rPr>
            </w:pPr>
            <w:r w:rsidRPr="00137F07">
              <w:rPr>
                <w:rFonts w:asciiTheme="minorHAnsi" w:hAnsiTheme="minorHAnsi" w:cstheme="minorHAnsi"/>
                <w:lang w:eastAsia="ja-JP"/>
              </w:rPr>
              <w:t>(1.82)</w:t>
            </w:r>
          </w:p>
        </w:tc>
        <w:tc>
          <w:tcPr>
            <w:tcW w:w="654" w:type="pct"/>
          </w:tcPr>
          <w:p w14:paraId="26C67A99"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-20.14 %</w:t>
            </w:r>
          </w:p>
          <w:p w14:paraId="275A197F"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(2.16)</w:t>
            </w:r>
          </w:p>
        </w:tc>
        <w:tc>
          <w:tcPr>
            <w:tcW w:w="749" w:type="pct"/>
          </w:tcPr>
          <w:p w14:paraId="4690F5C7"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-25.96 %***</w:t>
            </w:r>
          </w:p>
          <w:p w14:paraId="4231A890"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(1.93)</w:t>
            </w:r>
          </w:p>
        </w:tc>
        <w:tc>
          <w:tcPr>
            <w:tcW w:w="555" w:type="pct"/>
          </w:tcPr>
          <w:p w14:paraId="061C6AEB"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-12.82 %</w:t>
            </w:r>
          </w:p>
          <w:p w14:paraId="0B3E5B3E"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(2.07)</w:t>
            </w:r>
          </w:p>
        </w:tc>
        <w:tc>
          <w:tcPr>
            <w:tcW w:w="714" w:type="pct"/>
          </w:tcPr>
          <w:p w14:paraId="723F10E5"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-22.12 %**</w:t>
            </w:r>
          </w:p>
          <w:p w14:paraId="787803F2"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(2.37)</w:t>
            </w:r>
          </w:p>
        </w:tc>
        <w:tc>
          <w:tcPr>
            <w:tcW w:w="714" w:type="pct"/>
          </w:tcPr>
          <w:p w14:paraId="2F3C4457"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-23.98 %***</w:t>
            </w:r>
          </w:p>
          <w:p w14:paraId="361686F6" w14:textId="77777777" w:rsidR="001D3C07" w:rsidRPr="00137F07" w:rsidRDefault="001D3C07" w:rsidP="005664D1">
            <w:pPr>
              <w:autoSpaceDE w:val="0"/>
              <w:autoSpaceDN w:val="0"/>
              <w:adjustRightInd w:val="0"/>
              <w:rPr>
                <w:rFonts w:asciiTheme="minorHAnsi" w:hAnsiTheme="minorHAnsi" w:cstheme="minorHAnsi"/>
                <w:lang w:eastAsia="ja-JP"/>
              </w:rPr>
            </w:pPr>
            <w:r w:rsidRPr="00137F07">
              <w:rPr>
                <w:rFonts w:asciiTheme="minorHAnsi" w:hAnsiTheme="minorHAnsi" w:cstheme="minorHAnsi"/>
                <w:lang w:eastAsia="ja-JP"/>
              </w:rPr>
              <w:t>(2.17)</w:t>
            </w:r>
          </w:p>
        </w:tc>
      </w:tr>
    </w:tbl>
    <w:p w14:paraId="6EEB9F6F" w14:textId="2AE52B50" w:rsidR="001D3C07" w:rsidRPr="00EC003A" w:rsidRDefault="001D3C07" w:rsidP="00937460">
      <w:pPr>
        <w:pStyle w:val="TblFootnote"/>
        <w:keepNext w:val="0"/>
        <w:keepLines w:val="0"/>
        <w:spacing w:line="240" w:lineRule="auto"/>
        <w:contextualSpacing/>
        <w:rPr>
          <w:rFonts w:asciiTheme="minorHAnsi" w:eastAsia="MS Mincho" w:hAnsiTheme="minorHAnsi" w:cstheme="minorHAnsi"/>
          <w:sz w:val="18"/>
          <w:szCs w:val="18"/>
        </w:rPr>
      </w:pPr>
      <w:r w:rsidRPr="00EC003A">
        <w:rPr>
          <w:rFonts w:asciiTheme="minorHAnsi" w:eastAsia="MS Mincho" w:hAnsiTheme="minorHAnsi" w:cstheme="minorHAnsi"/>
          <w:sz w:val="18"/>
          <w:szCs w:val="18"/>
        </w:rPr>
        <w:t>OLU = OLUMIANT; PBO = Placebo</w:t>
      </w:r>
    </w:p>
    <w:p w14:paraId="68DE560C" w14:textId="7C0EFDDF" w:rsidR="001D3C07" w:rsidRPr="00324EB7" w:rsidRDefault="001D3C07" w:rsidP="00937460">
      <w:pPr>
        <w:pStyle w:val="TblFootnote"/>
        <w:keepNext w:val="0"/>
        <w:keepLines w:val="0"/>
        <w:spacing w:line="240" w:lineRule="auto"/>
        <w:rPr>
          <w:rFonts w:asciiTheme="minorHAnsi" w:hAnsiTheme="minorHAnsi" w:cstheme="minorHAnsi"/>
          <w:sz w:val="18"/>
          <w:szCs w:val="18"/>
        </w:rPr>
      </w:pPr>
      <w:r w:rsidRPr="00EC003A">
        <w:rPr>
          <w:rFonts w:asciiTheme="minorHAnsi" w:hAnsiTheme="minorHAnsi" w:cstheme="minorHAnsi"/>
          <w:sz w:val="18"/>
          <w:szCs w:val="18"/>
          <w:lang w:eastAsia="ja-JP"/>
        </w:rPr>
        <w:t>*</w:t>
      </w:r>
      <w:r w:rsidRPr="00EC003A">
        <w:rPr>
          <w:rFonts w:asciiTheme="minorHAnsi" w:hAnsiTheme="minorHAnsi" w:cstheme="minorHAnsi"/>
          <w:sz w:val="18"/>
          <w:szCs w:val="18"/>
        </w:rPr>
        <w:t xml:space="preserve">p  ≤ 0.05; </w:t>
      </w:r>
      <w:r w:rsidRPr="00EC003A">
        <w:rPr>
          <w:rFonts w:asciiTheme="minorHAnsi" w:hAnsiTheme="minorHAnsi" w:cstheme="minorHAnsi"/>
          <w:sz w:val="18"/>
          <w:szCs w:val="18"/>
          <w:lang w:eastAsia="ja-JP"/>
        </w:rPr>
        <w:t>**</w:t>
      </w:r>
      <w:r w:rsidRPr="00EC003A">
        <w:rPr>
          <w:rFonts w:asciiTheme="minorHAnsi" w:hAnsiTheme="minorHAnsi" w:cstheme="minorHAnsi"/>
          <w:sz w:val="18"/>
          <w:szCs w:val="18"/>
        </w:rPr>
        <w:t xml:space="preserve">p ≤ 0.01; </w:t>
      </w:r>
      <w:r w:rsidRPr="00EC003A">
        <w:rPr>
          <w:rFonts w:asciiTheme="minorHAnsi" w:hAnsiTheme="minorHAnsi" w:cstheme="minorHAnsi"/>
          <w:sz w:val="18"/>
          <w:szCs w:val="18"/>
          <w:lang w:eastAsia="ja-JP"/>
        </w:rPr>
        <w:t>***</w:t>
      </w:r>
      <w:r w:rsidRPr="00EC003A">
        <w:rPr>
          <w:rFonts w:asciiTheme="minorHAnsi" w:hAnsiTheme="minorHAnsi" w:cstheme="minorHAnsi"/>
          <w:sz w:val="18"/>
          <w:szCs w:val="18"/>
        </w:rPr>
        <w:t>p ≤ 0.001 vs placebo.</w:t>
      </w:r>
    </w:p>
    <w:p w14:paraId="3497E6AC" w14:textId="77777777" w:rsidR="001D3C07" w:rsidRPr="00EC003A" w:rsidRDefault="001D3C07" w:rsidP="00937460">
      <w:pPr>
        <w:spacing w:after="0" w:line="240" w:lineRule="auto"/>
        <w:rPr>
          <w:rFonts w:eastAsia="MS Mincho" w:cstheme="minorHAnsi"/>
          <w:sz w:val="18"/>
          <w:szCs w:val="18"/>
        </w:rPr>
      </w:pPr>
      <w:r w:rsidRPr="00EC003A">
        <w:rPr>
          <w:rFonts w:eastAsia="MS Mincho" w:cstheme="minorHAnsi"/>
          <w:sz w:val="18"/>
          <w:szCs w:val="18"/>
          <w:vertAlign w:val="superscript"/>
        </w:rPr>
        <w:t>a</w:t>
      </w:r>
      <w:r w:rsidRPr="00EC003A">
        <w:rPr>
          <w:rFonts w:eastAsia="MS Mincho" w:cstheme="minorHAnsi"/>
          <w:sz w:val="18"/>
          <w:szCs w:val="18"/>
        </w:rPr>
        <w:t xml:space="preserve"> Full analysis set (FAS) including all randomised patients. </w:t>
      </w:r>
    </w:p>
    <w:p w14:paraId="427925EE" w14:textId="77777777" w:rsidR="001D3C07" w:rsidRPr="00EC003A" w:rsidRDefault="001D3C07" w:rsidP="00937460">
      <w:pPr>
        <w:spacing w:after="0" w:line="240" w:lineRule="auto"/>
        <w:rPr>
          <w:rFonts w:eastAsia="MS Mincho" w:cstheme="minorHAnsi"/>
          <w:sz w:val="18"/>
          <w:szCs w:val="18"/>
        </w:rPr>
      </w:pPr>
      <w:r w:rsidRPr="00EC003A">
        <w:rPr>
          <w:rFonts w:eastAsia="MS Mincho" w:cstheme="minorHAnsi"/>
          <w:sz w:val="18"/>
          <w:szCs w:val="18"/>
          <w:vertAlign w:val="superscript"/>
        </w:rPr>
        <w:t xml:space="preserve">b </w:t>
      </w:r>
      <w:r w:rsidRPr="00EC003A">
        <w:rPr>
          <w:rFonts w:eastAsia="MS Mincho" w:cstheme="minorHAnsi"/>
          <w:sz w:val="18"/>
          <w:szCs w:val="18"/>
        </w:rPr>
        <w:t>Responder was defined as a patient with IGA 0 or 1 (“clear” or “almost clear”) with a reduction of ≥ 2 points on 0-4 IGA scale.</w:t>
      </w:r>
    </w:p>
    <w:p w14:paraId="3CB1064F" w14:textId="77777777" w:rsidR="001D3C07" w:rsidRPr="00EC003A" w:rsidRDefault="001D3C07" w:rsidP="001D3C07">
      <w:pPr>
        <w:spacing w:after="0" w:line="240" w:lineRule="auto"/>
        <w:rPr>
          <w:rFonts w:eastAsia="MS Mincho" w:cstheme="minorHAnsi"/>
          <w:sz w:val="18"/>
          <w:szCs w:val="18"/>
        </w:rPr>
      </w:pPr>
      <w:r w:rsidRPr="00EC003A">
        <w:rPr>
          <w:rFonts w:eastAsia="MS Mincho" w:cstheme="minorHAnsi"/>
          <w:sz w:val="18"/>
          <w:szCs w:val="18"/>
          <w:vertAlign w:val="superscript"/>
        </w:rPr>
        <w:t>c</w:t>
      </w:r>
      <w:r w:rsidRPr="00EC003A">
        <w:rPr>
          <w:rFonts w:eastAsia="MS Mincho" w:cstheme="minorHAnsi"/>
          <w:sz w:val="18"/>
          <w:szCs w:val="18"/>
        </w:rPr>
        <w:t xml:space="preserve"> Non-Responder Imputation: Patients who received rescue treatment or with missing data were considered as non-responders.</w:t>
      </w:r>
    </w:p>
    <w:p w14:paraId="6E4BDF49" w14:textId="77777777" w:rsidR="001D3C07" w:rsidRPr="00EC003A" w:rsidRDefault="001D3C07" w:rsidP="001D3C07">
      <w:pPr>
        <w:spacing w:after="0" w:line="240" w:lineRule="auto"/>
        <w:rPr>
          <w:rFonts w:eastAsia="MS Mincho" w:cstheme="minorHAnsi"/>
          <w:sz w:val="18"/>
          <w:szCs w:val="18"/>
        </w:rPr>
      </w:pPr>
      <w:r w:rsidRPr="00EC003A">
        <w:rPr>
          <w:rFonts w:cstheme="minorHAnsi"/>
          <w:sz w:val="18"/>
          <w:szCs w:val="18"/>
          <w:vertAlign w:val="superscript"/>
        </w:rPr>
        <w:t xml:space="preserve">d </w:t>
      </w:r>
      <w:r w:rsidRPr="00EC003A">
        <w:rPr>
          <w:rFonts w:eastAsia="MS Mincho" w:cstheme="minorHAnsi"/>
          <w:sz w:val="18"/>
          <w:szCs w:val="18"/>
        </w:rPr>
        <w:t>Results shown in subset of patients eligible for assessment (patients with itch NRS ≥ 4 at baseline).</w:t>
      </w:r>
    </w:p>
    <w:p w14:paraId="6FC1E482" w14:textId="77777777" w:rsidR="001D3C07" w:rsidRPr="00EC003A" w:rsidRDefault="001D3C07" w:rsidP="001D3C07">
      <w:pPr>
        <w:spacing w:after="0" w:line="240" w:lineRule="auto"/>
        <w:rPr>
          <w:rFonts w:eastAsia="MS Mincho" w:cstheme="minorHAnsi"/>
          <w:sz w:val="18"/>
          <w:szCs w:val="18"/>
        </w:rPr>
      </w:pPr>
      <w:r w:rsidRPr="00EC003A">
        <w:rPr>
          <w:rFonts w:eastAsia="MS Mincho" w:cstheme="minorHAnsi"/>
          <w:sz w:val="18"/>
          <w:szCs w:val="18"/>
          <w:vertAlign w:val="superscript"/>
        </w:rPr>
        <w:t>e</w:t>
      </w:r>
      <w:r w:rsidRPr="00EC003A">
        <w:rPr>
          <w:rFonts w:eastAsia="MS Mincho" w:cstheme="minorHAnsi"/>
          <w:sz w:val="18"/>
          <w:szCs w:val="18"/>
        </w:rPr>
        <w:t xml:space="preserve"> </w:t>
      </w:r>
      <w:r w:rsidRPr="00EC003A">
        <w:rPr>
          <w:rFonts w:cstheme="minorHAnsi"/>
          <w:bCs/>
          <w:sz w:val="18"/>
          <w:szCs w:val="18"/>
        </w:rPr>
        <w:t xml:space="preserve">Data collected after rescue therapy </w:t>
      </w:r>
      <w:r w:rsidRPr="00EC003A">
        <w:rPr>
          <w:rFonts w:cstheme="minorHAnsi"/>
          <w:bCs/>
          <w:sz w:val="18"/>
          <w:szCs w:val="18"/>
          <w:lang w:val="en-GB"/>
        </w:rPr>
        <w:t xml:space="preserve">or after permanent study drug discontinuation were </w:t>
      </w:r>
      <w:r w:rsidRPr="00EC003A">
        <w:rPr>
          <w:rFonts w:cstheme="minorHAnsi"/>
          <w:bCs/>
          <w:sz w:val="18"/>
          <w:szCs w:val="18"/>
        </w:rPr>
        <w:t>considered missing.  LS means are from MMRM analyses which incorporates multiple imputation for missing data.</w:t>
      </w:r>
    </w:p>
    <w:p w14:paraId="0103446E" w14:textId="77777777" w:rsidR="00324EB7" w:rsidRPr="00324EB7" w:rsidRDefault="00324EB7" w:rsidP="00324EB7">
      <w:pPr>
        <w:spacing w:after="0" w:line="240" w:lineRule="auto"/>
        <w:rPr>
          <w:rFonts w:cstheme="minorHAnsi"/>
          <w:bCs/>
          <w:sz w:val="18"/>
          <w:szCs w:val="18"/>
        </w:rPr>
      </w:pPr>
      <w:r w:rsidRPr="00324EB7">
        <w:rPr>
          <w:rFonts w:cstheme="minorHAnsi"/>
          <w:bCs/>
          <w:sz w:val="18"/>
          <w:szCs w:val="18"/>
          <w:vertAlign w:val="superscript"/>
        </w:rPr>
        <w:t>f</w:t>
      </w:r>
      <w:r w:rsidRPr="00324EB7">
        <w:rPr>
          <w:rFonts w:cstheme="minorHAnsi"/>
          <w:bCs/>
          <w:sz w:val="18"/>
          <w:szCs w:val="18"/>
        </w:rPr>
        <w:t xml:space="preserve"> Not statistically significant after adjustment for multiple comparisons.</w:t>
      </w:r>
    </w:p>
    <w:p w14:paraId="7564DB0B" w14:textId="77777777" w:rsidR="00324EB7" w:rsidRPr="00324EB7" w:rsidRDefault="00324EB7" w:rsidP="00324EB7">
      <w:pPr>
        <w:spacing w:after="0" w:line="240" w:lineRule="auto"/>
        <w:rPr>
          <w:rFonts w:cstheme="minorHAnsi"/>
          <w:bCs/>
          <w:sz w:val="18"/>
          <w:szCs w:val="18"/>
        </w:rPr>
      </w:pPr>
      <w:r w:rsidRPr="00324EB7">
        <w:rPr>
          <w:rFonts w:cstheme="minorHAnsi"/>
          <w:bCs/>
          <w:sz w:val="18"/>
          <w:szCs w:val="18"/>
          <w:vertAlign w:val="superscript"/>
        </w:rPr>
        <w:t>g</w:t>
      </w:r>
      <w:r w:rsidRPr="00324EB7">
        <w:rPr>
          <w:rFonts w:cstheme="minorHAnsi"/>
          <w:bCs/>
          <w:sz w:val="18"/>
          <w:szCs w:val="18"/>
        </w:rPr>
        <w:t xml:space="preserve"> Endpoint was not adjusted for multiplicity.</w:t>
      </w:r>
    </w:p>
    <w:p w14:paraId="7F4CA19D" w14:textId="77777777" w:rsidR="0018184E" w:rsidRPr="00931EC2" w:rsidRDefault="0018184E" w:rsidP="00D50766">
      <w:pPr>
        <w:spacing w:after="0" w:line="240" w:lineRule="auto"/>
        <w:rPr>
          <w:rFonts w:eastAsia="MS Mincho"/>
          <w:sz w:val="20"/>
        </w:rPr>
      </w:pPr>
    </w:p>
    <w:p w14:paraId="228BB54B" w14:textId="77777777" w:rsidR="00BF664D" w:rsidRPr="00937460" w:rsidRDefault="00931EC2" w:rsidP="00937460">
      <w:pPr>
        <w:rPr>
          <w:b/>
        </w:rPr>
      </w:pPr>
      <w:r w:rsidRPr="00937460">
        <w:rPr>
          <w:b/>
        </w:rPr>
        <w:t xml:space="preserve">Figure </w:t>
      </w:r>
      <w:r w:rsidR="003A1803" w:rsidRPr="00937460">
        <w:rPr>
          <w:b/>
        </w:rPr>
        <w:t>3</w:t>
      </w:r>
      <w:r w:rsidRPr="00937460">
        <w:rPr>
          <w:b/>
        </w:rPr>
        <w:t xml:space="preserve">.  </w:t>
      </w:r>
      <w:r w:rsidR="00BF664D" w:rsidRPr="00937460">
        <w:rPr>
          <w:b/>
        </w:rPr>
        <w:t>Mean percent change from baseline in EASI in BREEZE-AD1</w:t>
      </w:r>
      <w:r w:rsidR="00BF664D" w:rsidRPr="00937460">
        <w:rPr>
          <w:b/>
          <w:vertAlign w:val="superscript"/>
        </w:rPr>
        <w:t xml:space="preserve"> </w:t>
      </w:r>
      <w:r w:rsidR="00BF664D" w:rsidRPr="00937460">
        <w:rPr>
          <w:b/>
        </w:rPr>
        <w:t>and BREEZE-AD2</w:t>
      </w:r>
      <w:r w:rsidR="00BF664D" w:rsidRPr="00937460">
        <w:rPr>
          <w:b/>
          <w:vertAlign w:val="superscript"/>
        </w:rPr>
        <w:t xml:space="preserve"> </w:t>
      </w:r>
      <w:r w:rsidR="00BF664D" w:rsidRPr="00937460">
        <w:rPr>
          <w:b/>
        </w:rPr>
        <w:t>(FAS)</w:t>
      </w:r>
      <w:r w:rsidR="00BF664D" w:rsidRPr="00937460">
        <w:rPr>
          <w:b/>
          <w:vertAlign w:val="superscript"/>
        </w:rPr>
        <w:t>a</w:t>
      </w:r>
    </w:p>
    <w:p w14:paraId="32718297" w14:textId="0A693EC5" w:rsidR="00931EC2" w:rsidRPr="007E4310" w:rsidRDefault="00BF664D" w:rsidP="00937460">
      <w:r>
        <w:rPr>
          <w:noProof/>
          <w:lang w:eastAsia="en-AU"/>
        </w:rPr>
        <w:drawing>
          <wp:inline distT="0" distB="0" distL="0" distR="0" wp14:anchorId="0299BF59" wp14:editId="6A223848">
            <wp:extent cx="5731510" cy="259816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PC Easi Percent Change AD1 and AD2.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2598167"/>
                    </a:xfrm>
                    <a:prstGeom prst="rect">
                      <a:avLst/>
                    </a:prstGeom>
                  </pic:spPr>
                </pic:pic>
              </a:graphicData>
            </a:graphic>
          </wp:inline>
        </w:drawing>
      </w:r>
    </w:p>
    <w:p w14:paraId="030D18C4" w14:textId="63D19185" w:rsidR="00BF664D" w:rsidRPr="00EC003A" w:rsidRDefault="00BF664D" w:rsidP="00937460">
      <w:pPr>
        <w:spacing w:after="0" w:line="240" w:lineRule="auto"/>
        <w:rPr>
          <w:rFonts w:eastAsia="MS Mincho"/>
          <w:sz w:val="18"/>
          <w:szCs w:val="18"/>
        </w:rPr>
      </w:pPr>
      <w:r w:rsidRPr="00EC003A">
        <w:rPr>
          <w:rFonts w:eastAsia="MS Mincho"/>
          <w:sz w:val="18"/>
          <w:szCs w:val="18"/>
        </w:rPr>
        <w:t>LS = Least squares</w:t>
      </w:r>
      <w:bookmarkStart w:id="91" w:name="_Hlk24115941"/>
      <w:r w:rsidRPr="00EC003A">
        <w:rPr>
          <w:rFonts w:eastAsia="MS Mincho"/>
          <w:sz w:val="18"/>
          <w:szCs w:val="18"/>
        </w:rPr>
        <w:t>; **p≤0.01, ***p≤0.001 versus placebo</w:t>
      </w:r>
      <w:bookmarkEnd w:id="91"/>
    </w:p>
    <w:p w14:paraId="287BC36A" w14:textId="77777777" w:rsidR="00BF664D" w:rsidRPr="00EC003A" w:rsidRDefault="00BF664D" w:rsidP="00BF664D">
      <w:pPr>
        <w:spacing w:after="0" w:line="240" w:lineRule="auto"/>
        <w:rPr>
          <w:rFonts w:eastAsia="MS Mincho"/>
          <w:sz w:val="18"/>
          <w:szCs w:val="18"/>
        </w:rPr>
      </w:pPr>
      <w:r w:rsidRPr="00EC003A">
        <w:rPr>
          <w:rFonts w:eastAsia="MS Mincho"/>
          <w:sz w:val="18"/>
          <w:szCs w:val="18"/>
          <w:vertAlign w:val="superscript"/>
        </w:rPr>
        <w:t xml:space="preserve">a </w:t>
      </w:r>
      <w:r w:rsidRPr="00EC003A">
        <w:rPr>
          <w:rFonts w:eastAsia="MS Mincho"/>
          <w:sz w:val="18"/>
          <w:szCs w:val="18"/>
        </w:rPr>
        <w:t xml:space="preserve">Full analysis set (FAS) including all patients randomised. </w:t>
      </w:r>
      <w:r w:rsidRPr="00EC003A">
        <w:rPr>
          <w:bCs/>
          <w:sz w:val="18"/>
          <w:szCs w:val="18"/>
        </w:rPr>
        <w:t xml:space="preserve">Data collected after rescue therapy </w:t>
      </w:r>
      <w:r w:rsidRPr="00EC003A">
        <w:rPr>
          <w:sz w:val="18"/>
          <w:szCs w:val="18"/>
          <w:lang w:val="en-GB"/>
        </w:rPr>
        <w:t xml:space="preserve">or </w:t>
      </w:r>
      <w:r w:rsidRPr="00EC003A">
        <w:rPr>
          <w:bCs/>
          <w:sz w:val="18"/>
          <w:szCs w:val="18"/>
          <w:lang w:val="en-GB"/>
        </w:rPr>
        <w:t xml:space="preserve">after permanent study drug discontinuation were </w:t>
      </w:r>
      <w:r w:rsidRPr="00EC003A">
        <w:rPr>
          <w:bCs/>
          <w:sz w:val="18"/>
          <w:szCs w:val="18"/>
        </w:rPr>
        <w:t>considered missing.  LS means are from MMRM analyses which incorporates multiple imputation for missing data.</w:t>
      </w:r>
    </w:p>
    <w:p w14:paraId="4D5D19F1" w14:textId="77777777" w:rsidR="00937460" w:rsidRDefault="00937460" w:rsidP="00A12A7D">
      <w:pPr>
        <w:spacing w:line="240" w:lineRule="auto"/>
        <w:rPr>
          <w:rFonts w:eastAsia="MS Mincho"/>
          <w:b/>
          <w:bCs/>
        </w:rPr>
      </w:pPr>
    </w:p>
    <w:p w14:paraId="071B352C" w14:textId="752952DF" w:rsidR="00BF664D" w:rsidRPr="00937460" w:rsidRDefault="00931EC2" w:rsidP="00937460">
      <w:pPr>
        <w:pageBreakBefore/>
        <w:rPr>
          <w:b/>
        </w:rPr>
      </w:pPr>
      <w:r w:rsidRPr="00937460">
        <w:rPr>
          <w:b/>
        </w:rPr>
        <w:lastRenderedPageBreak/>
        <w:t xml:space="preserve">Figure </w:t>
      </w:r>
      <w:r w:rsidR="003A1803" w:rsidRPr="00937460">
        <w:rPr>
          <w:b/>
        </w:rPr>
        <w:t>4</w:t>
      </w:r>
      <w:r w:rsidRPr="00937460">
        <w:rPr>
          <w:b/>
        </w:rPr>
        <w:t xml:space="preserve">.  </w:t>
      </w:r>
      <w:r w:rsidR="00BF664D" w:rsidRPr="00937460">
        <w:rPr>
          <w:b/>
        </w:rPr>
        <w:t>Mean percent change from baseline in Itch NRS in BREEZE-AD1</w:t>
      </w:r>
      <w:r w:rsidR="00BF664D" w:rsidRPr="00937460">
        <w:rPr>
          <w:b/>
          <w:vertAlign w:val="superscript"/>
        </w:rPr>
        <w:t xml:space="preserve"> </w:t>
      </w:r>
      <w:r w:rsidR="00BF664D" w:rsidRPr="00937460">
        <w:rPr>
          <w:b/>
        </w:rPr>
        <w:t>and BREEZE-AD2</w:t>
      </w:r>
      <w:r w:rsidR="00BF664D" w:rsidRPr="00937460">
        <w:rPr>
          <w:b/>
          <w:vertAlign w:val="superscript"/>
        </w:rPr>
        <w:t xml:space="preserve"> </w:t>
      </w:r>
      <w:r w:rsidR="00BF664D" w:rsidRPr="00937460">
        <w:rPr>
          <w:b/>
        </w:rPr>
        <w:t>(FAS)</w:t>
      </w:r>
      <w:r w:rsidR="00BF664D" w:rsidRPr="00937460">
        <w:rPr>
          <w:b/>
          <w:vertAlign w:val="superscript"/>
        </w:rPr>
        <w:t>a</w:t>
      </w:r>
    </w:p>
    <w:p w14:paraId="17BD9B83" w14:textId="43953405" w:rsidR="00931EC2" w:rsidRPr="00931EC2" w:rsidRDefault="00BF664D" w:rsidP="00937460">
      <w:r>
        <w:rPr>
          <w:noProof/>
          <w:lang w:eastAsia="en-AU"/>
        </w:rPr>
        <w:drawing>
          <wp:inline distT="0" distB="0" distL="0" distR="0" wp14:anchorId="4DF97902" wp14:editId="4E996DEA">
            <wp:extent cx="5430741" cy="25947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mPC Itch Percent Change AD1 and AD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56118" cy="2606858"/>
                    </a:xfrm>
                    <a:prstGeom prst="rect">
                      <a:avLst/>
                    </a:prstGeom>
                  </pic:spPr>
                </pic:pic>
              </a:graphicData>
            </a:graphic>
          </wp:inline>
        </w:drawing>
      </w:r>
    </w:p>
    <w:p w14:paraId="5C5D2017" w14:textId="7EA4D75B" w:rsidR="00BF664D" w:rsidRPr="00EC003A" w:rsidRDefault="00BF664D" w:rsidP="00BF664D">
      <w:pPr>
        <w:keepNext/>
        <w:spacing w:line="240" w:lineRule="auto"/>
        <w:rPr>
          <w:rFonts w:eastAsia="MS Mincho"/>
          <w:sz w:val="18"/>
          <w:szCs w:val="18"/>
        </w:rPr>
      </w:pPr>
      <w:r w:rsidRPr="00EC003A">
        <w:rPr>
          <w:rFonts w:eastAsia="MS Mincho"/>
          <w:sz w:val="18"/>
          <w:szCs w:val="18"/>
        </w:rPr>
        <w:t>LS = Least squares; *p≤0.0</w:t>
      </w:r>
      <w:r w:rsidR="00B9136E">
        <w:rPr>
          <w:rFonts w:eastAsia="MS Mincho"/>
          <w:sz w:val="18"/>
          <w:szCs w:val="18"/>
        </w:rPr>
        <w:t>5</w:t>
      </w:r>
      <w:r w:rsidRPr="00EC003A">
        <w:rPr>
          <w:rFonts w:eastAsia="MS Mincho"/>
          <w:sz w:val="18"/>
          <w:szCs w:val="18"/>
        </w:rPr>
        <w:t>,**p≤0.01, ***p≤0.001 vs placebo</w:t>
      </w:r>
    </w:p>
    <w:p w14:paraId="7BA50AB0" w14:textId="77777777" w:rsidR="00BF664D" w:rsidRPr="00EC003A" w:rsidRDefault="00BF664D" w:rsidP="00BF664D">
      <w:pPr>
        <w:spacing w:line="240" w:lineRule="auto"/>
        <w:rPr>
          <w:rFonts w:eastAsia="MS Mincho"/>
          <w:sz w:val="18"/>
          <w:szCs w:val="18"/>
        </w:rPr>
      </w:pPr>
      <w:r w:rsidRPr="00EC003A">
        <w:rPr>
          <w:rFonts w:eastAsia="MS Mincho"/>
          <w:sz w:val="18"/>
          <w:szCs w:val="18"/>
          <w:vertAlign w:val="superscript"/>
        </w:rPr>
        <w:t xml:space="preserve">a </w:t>
      </w:r>
      <w:r w:rsidRPr="00EC003A">
        <w:rPr>
          <w:rFonts w:eastAsia="MS Mincho"/>
          <w:sz w:val="18"/>
          <w:szCs w:val="18"/>
        </w:rPr>
        <w:t xml:space="preserve">Full analysis set (FAS) including all patients randomised. </w:t>
      </w:r>
      <w:r w:rsidRPr="00EC003A">
        <w:rPr>
          <w:bCs/>
          <w:sz w:val="18"/>
          <w:szCs w:val="18"/>
        </w:rPr>
        <w:t xml:space="preserve">Data collected after rescue therapy </w:t>
      </w:r>
      <w:r w:rsidRPr="00EC003A">
        <w:rPr>
          <w:bCs/>
          <w:sz w:val="18"/>
          <w:szCs w:val="18"/>
          <w:lang w:val="en-GB"/>
        </w:rPr>
        <w:t xml:space="preserve">or after permanent study drug discontinuation were </w:t>
      </w:r>
      <w:r w:rsidRPr="00EC003A">
        <w:rPr>
          <w:bCs/>
          <w:sz w:val="18"/>
          <w:szCs w:val="18"/>
        </w:rPr>
        <w:t>considered missing.  LS means are from MMRM analyses which incorporates multiple imputation for missing data.</w:t>
      </w:r>
    </w:p>
    <w:p w14:paraId="4F2099BC" w14:textId="4D94A1E8" w:rsidR="00931EC2" w:rsidRPr="00931EC2" w:rsidRDefault="00931EC2" w:rsidP="00931EC2">
      <w:pPr>
        <w:spacing w:line="240" w:lineRule="auto"/>
        <w:rPr>
          <w:rFonts w:eastAsia="MS Mincho"/>
          <w:i/>
          <w:u w:val="single"/>
        </w:rPr>
      </w:pPr>
      <w:r w:rsidRPr="002F70BA">
        <w:rPr>
          <w:rFonts w:eastAsia="MS Mincho"/>
          <w:i/>
          <w:u w:val="single"/>
        </w:rPr>
        <w:t>16-Week</w:t>
      </w:r>
      <w:r>
        <w:rPr>
          <w:rFonts w:eastAsia="MS Mincho"/>
          <w:i/>
          <w:u w:val="single"/>
        </w:rPr>
        <w:t xml:space="preserve"> combination TCS </w:t>
      </w:r>
      <w:r w:rsidRPr="002F70BA">
        <w:rPr>
          <w:rFonts w:eastAsia="MS Mincho"/>
          <w:i/>
          <w:u w:val="single"/>
        </w:rPr>
        <w:t>Study (BREEZE-AD7)</w:t>
      </w:r>
    </w:p>
    <w:p w14:paraId="68362D90" w14:textId="5A447626" w:rsidR="00F97217" w:rsidRPr="00C51F33" w:rsidRDefault="00BF664D" w:rsidP="00F97217">
      <w:pPr>
        <w:spacing w:line="240" w:lineRule="auto"/>
        <w:rPr>
          <w:rFonts w:eastAsia="MS Mincho"/>
        </w:rPr>
      </w:pPr>
      <w:r w:rsidRPr="00C51F33">
        <w:rPr>
          <w:rFonts w:eastAsia="MS Mincho"/>
        </w:rPr>
        <w:t>In BREEZE-AD7, a significantly greater proportion of patients randomi</w:t>
      </w:r>
      <w:r>
        <w:rPr>
          <w:rFonts w:eastAsia="MS Mincho"/>
        </w:rPr>
        <w:t>s</w:t>
      </w:r>
      <w:r w:rsidRPr="00C51F33">
        <w:rPr>
          <w:rFonts w:eastAsia="MS Mincho"/>
        </w:rPr>
        <w:t xml:space="preserve">ed to </w:t>
      </w:r>
      <w:r>
        <w:rPr>
          <w:rFonts w:eastAsia="MS Mincho"/>
        </w:rPr>
        <w:t>OLUMIANT</w:t>
      </w:r>
      <w:r w:rsidRPr="00C51F33">
        <w:rPr>
          <w:rFonts w:eastAsia="MS Mincho"/>
        </w:rPr>
        <w:t xml:space="preserve"> 4</w:t>
      </w:r>
      <w:r>
        <w:rPr>
          <w:rFonts w:eastAsia="MS Mincho"/>
        </w:rPr>
        <w:t> </w:t>
      </w:r>
      <w:r w:rsidRPr="00C51F33">
        <w:rPr>
          <w:rFonts w:eastAsia="MS Mincho"/>
        </w:rPr>
        <w:t>mg + TCS achieved an IGA 0 or 1 response, EASI-75, or an improvement of ≥</w:t>
      </w:r>
      <w:r>
        <w:rPr>
          <w:rFonts w:eastAsia="MS Mincho"/>
        </w:rPr>
        <w:t> </w:t>
      </w:r>
      <w:r w:rsidRPr="00C51F33">
        <w:rPr>
          <w:rFonts w:eastAsia="MS Mincho"/>
        </w:rPr>
        <w:t>4</w:t>
      </w:r>
      <w:r>
        <w:rPr>
          <w:rFonts w:eastAsia="MS Mincho"/>
        </w:rPr>
        <w:t> </w:t>
      </w:r>
      <w:r w:rsidRPr="00C51F33">
        <w:rPr>
          <w:rFonts w:eastAsia="MS Mincho"/>
        </w:rPr>
        <w:t xml:space="preserve">points on the itch NRS compared to placebo </w:t>
      </w:r>
      <w:r>
        <w:rPr>
          <w:rFonts w:eastAsia="MS Mincho"/>
        </w:rPr>
        <w:t xml:space="preserve">at week 16 </w:t>
      </w:r>
      <w:r w:rsidR="00F97217" w:rsidRPr="00C51F33">
        <w:rPr>
          <w:rFonts w:eastAsia="MS Mincho"/>
        </w:rPr>
        <w:t>(Table</w:t>
      </w:r>
      <w:r w:rsidR="00F97217">
        <w:rPr>
          <w:rFonts w:eastAsia="MS Mincho"/>
        </w:rPr>
        <w:t> </w:t>
      </w:r>
      <w:r w:rsidR="003A1803">
        <w:rPr>
          <w:rFonts w:eastAsia="MS Mincho"/>
        </w:rPr>
        <w:t>1</w:t>
      </w:r>
      <w:r w:rsidR="008C54A9">
        <w:rPr>
          <w:rFonts w:eastAsia="MS Mincho"/>
        </w:rPr>
        <w:t>5</w:t>
      </w:r>
      <w:r w:rsidR="00F97217" w:rsidRPr="00C51F33">
        <w:rPr>
          <w:rFonts w:eastAsia="MS Mincho"/>
        </w:rPr>
        <w:t>).</w:t>
      </w:r>
    </w:p>
    <w:p w14:paraId="7423044A" w14:textId="1A32E139" w:rsidR="00BF664D" w:rsidRPr="00C51F33" w:rsidRDefault="00BF664D" w:rsidP="00BF664D">
      <w:pPr>
        <w:spacing w:line="240" w:lineRule="auto"/>
        <w:rPr>
          <w:rFonts w:eastAsia="MS Mincho"/>
        </w:rPr>
      </w:pPr>
      <w:r w:rsidRPr="00C51F33">
        <w:rPr>
          <w:rFonts w:eastAsia="MS Mincho"/>
        </w:rPr>
        <w:t>A significantly greater proportion of patients randomi</w:t>
      </w:r>
      <w:r>
        <w:rPr>
          <w:rFonts w:eastAsia="MS Mincho"/>
        </w:rPr>
        <w:t>s</w:t>
      </w:r>
      <w:r w:rsidRPr="00C51F33">
        <w:rPr>
          <w:rFonts w:eastAsia="MS Mincho"/>
        </w:rPr>
        <w:t xml:space="preserve">ed to </w:t>
      </w:r>
      <w:r>
        <w:rPr>
          <w:rFonts w:eastAsia="MS Mincho"/>
        </w:rPr>
        <w:t>OLUMIANT</w:t>
      </w:r>
      <w:r w:rsidRPr="00C51F33">
        <w:rPr>
          <w:rFonts w:eastAsia="MS Mincho"/>
        </w:rPr>
        <w:t xml:space="preserve"> 4</w:t>
      </w:r>
      <w:r>
        <w:rPr>
          <w:rFonts w:eastAsia="MS Mincho"/>
        </w:rPr>
        <w:t> </w:t>
      </w:r>
      <w:r w:rsidRPr="00C51F33">
        <w:rPr>
          <w:rFonts w:eastAsia="MS Mincho"/>
        </w:rPr>
        <w:t>mg achieved a rapid improvement in the Itch NRS compared to placebo (defined as ≥</w:t>
      </w:r>
      <w:r>
        <w:rPr>
          <w:rFonts w:eastAsia="MS Mincho"/>
        </w:rPr>
        <w:t> </w:t>
      </w:r>
      <w:r w:rsidRPr="00C51F33">
        <w:rPr>
          <w:rFonts w:eastAsia="MS Mincho"/>
        </w:rPr>
        <w:t>4</w:t>
      </w:r>
      <w:r>
        <w:rPr>
          <w:rFonts w:eastAsia="MS Mincho"/>
        </w:rPr>
        <w:noBreakHyphen/>
      </w:r>
      <w:r w:rsidRPr="00C51F33">
        <w:rPr>
          <w:rFonts w:eastAsia="MS Mincho"/>
        </w:rPr>
        <w:t>point improvement as early as Week</w:t>
      </w:r>
      <w:r>
        <w:rPr>
          <w:rFonts w:eastAsia="MS Mincho"/>
        </w:rPr>
        <w:t> </w:t>
      </w:r>
      <w:r w:rsidRPr="00C51F33">
        <w:rPr>
          <w:rFonts w:eastAsia="MS Mincho"/>
        </w:rPr>
        <w:t>2; p</w:t>
      </w:r>
      <w:r>
        <w:rPr>
          <w:rFonts w:eastAsia="MS Mincho"/>
        </w:rPr>
        <w:t> </w:t>
      </w:r>
      <w:r w:rsidRPr="00C51F33">
        <w:rPr>
          <w:rFonts w:eastAsia="MS Mincho"/>
        </w:rPr>
        <w:t>&lt;</w:t>
      </w:r>
      <w:r w:rsidR="00A12A7D">
        <w:rPr>
          <w:rFonts w:eastAsia="MS Mincho"/>
        </w:rPr>
        <w:t>0</w:t>
      </w:r>
      <w:r>
        <w:rPr>
          <w:rFonts w:eastAsia="MS Mincho"/>
        </w:rPr>
        <w:t> </w:t>
      </w:r>
      <w:r w:rsidRPr="00C51F33">
        <w:rPr>
          <w:rFonts w:eastAsia="MS Mincho"/>
        </w:rPr>
        <w:t>.001). The improvement in Itch NRS occurred in conjunction with the improvement of objective skin signs of atopic dermatitis.</w:t>
      </w:r>
    </w:p>
    <w:p w14:paraId="61A128BF" w14:textId="2CF7035A" w:rsidR="008E1A49" w:rsidRDefault="008E1A49" w:rsidP="008E1A49">
      <w:pPr>
        <w:spacing w:line="240" w:lineRule="auto"/>
        <w:rPr>
          <w:rFonts w:eastAsia="MS Mincho"/>
        </w:rPr>
      </w:pPr>
      <w:r w:rsidRPr="00C51F33">
        <w:rPr>
          <w:rFonts w:eastAsia="MS Mincho"/>
        </w:rPr>
        <w:t>Figures</w:t>
      </w:r>
      <w:r>
        <w:rPr>
          <w:rFonts w:eastAsia="MS Mincho"/>
        </w:rPr>
        <w:t> 5</w:t>
      </w:r>
      <w:r w:rsidRPr="00C51F33">
        <w:rPr>
          <w:rFonts w:eastAsia="MS Mincho"/>
        </w:rPr>
        <w:t xml:space="preserve"> and </w:t>
      </w:r>
      <w:r>
        <w:rPr>
          <w:rFonts w:eastAsia="MS Mincho"/>
        </w:rPr>
        <w:t>6</w:t>
      </w:r>
      <w:r w:rsidRPr="00C51F33">
        <w:rPr>
          <w:rFonts w:eastAsia="MS Mincho"/>
        </w:rPr>
        <w:t xml:space="preserve"> respectively show the mean percent change from baseline in EASI and in </w:t>
      </w:r>
      <w:r>
        <w:rPr>
          <w:rFonts w:eastAsia="MS Mincho"/>
        </w:rPr>
        <w:t>I</w:t>
      </w:r>
      <w:r w:rsidRPr="00C51F33">
        <w:rPr>
          <w:rFonts w:eastAsia="MS Mincho"/>
        </w:rPr>
        <w:t>tch NRS, up to week</w:t>
      </w:r>
      <w:r>
        <w:rPr>
          <w:rFonts w:eastAsia="MS Mincho"/>
        </w:rPr>
        <w:t> </w:t>
      </w:r>
      <w:r w:rsidRPr="00C51F33">
        <w:rPr>
          <w:rFonts w:eastAsia="MS Mincho"/>
        </w:rPr>
        <w:t>16.</w:t>
      </w:r>
    </w:p>
    <w:p w14:paraId="60E3DFEE" w14:textId="10904E47" w:rsidR="00931EC2" w:rsidRPr="007E4310" w:rsidRDefault="008E1A49" w:rsidP="00931EC2">
      <w:pPr>
        <w:spacing w:line="240" w:lineRule="auto"/>
        <w:rPr>
          <w:rFonts w:eastAsia="MS Mincho"/>
        </w:rPr>
      </w:pPr>
      <w:r w:rsidRPr="00C51F33">
        <w:rPr>
          <w:rFonts w:eastAsia="MS Mincho"/>
        </w:rPr>
        <w:t xml:space="preserve">Treatment effects in subgroups (weight, age, gender, race, </w:t>
      </w:r>
      <w:r>
        <w:rPr>
          <w:rFonts w:eastAsia="MS Mincho"/>
        </w:rPr>
        <w:t xml:space="preserve">disease severity </w:t>
      </w:r>
      <w:r w:rsidRPr="00C51F33">
        <w:rPr>
          <w:rFonts w:eastAsia="MS Mincho"/>
        </w:rPr>
        <w:t>and previous treatment, including immunosuppressants) in BREEZE-AD7 were consistent with the results in the overall study population.</w:t>
      </w:r>
    </w:p>
    <w:p w14:paraId="43F566FA" w14:textId="7ADB8B05" w:rsidR="008E1A49" w:rsidRPr="00937460" w:rsidRDefault="00F97217" w:rsidP="00937460">
      <w:pPr>
        <w:rPr>
          <w:b/>
        </w:rPr>
      </w:pPr>
      <w:r w:rsidRPr="00937460">
        <w:rPr>
          <w:b/>
        </w:rPr>
        <w:t>Table </w:t>
      </w:r>
      <w:r w:rsidR="003A1803" w:rsidRPr="00937460">
        <w:rPr>
          <w:b/>
        </w:rPr>
        <w:t>1</w:t>
      </w:r>
      <w:r w:rsidR="008C54A9" w:rsidRPr="00937460">
        <w:rPr>
          <w:b/>
        </w:rPr>
        <w:t xml:space="preserve">5 </w:t>
      </w:r>
      <w:r w:rsidRPr="00937460">
        <w:rPr>
          <w:b/>
        </w:rPr>
        <w:t xml:space="preserve"> </w:t>
      </w:r>
      <w:r w:rsidR="008E1A49" w:rsidRPr="00937460">
        <w:rPr>
          <w:b/>
        </w:rPr>
        <w:t xml:space="preserve">Efficacy of </w:t>
      </w:r>
      <w:r w:rsidR="0036702B" w:rsidRPr="00937460">
        <w:rPr>
          <w:b/>
        </w:rPr>
        <w:t>OLUMIANT</w:t>
      </w:r>
      <w:r w:rsidR="008E1A49" w:rsidRPr="00937460">
        <w:rPr>
          <w:b/>
        </w:rPr>
        <w:t xml:space="preserve"> in combination with </w:t>
      </w:r>
      <w:proofErr w:type="spellStart"/>
      <w:r w:rsidR="008E1A49" w:rsidRPr="00937460">
        <w:rPr>
          <w:b/>
        </w:rPr>
        <w:t>TCS</w:t>
      </w:r>
      <w:r w:rsidR="008E1A49" w:rsidRPr="00937460">
        <w:rPr>
          <w:b/>
          <w:vertAlign w:val="superscript"/>
        </w:rPr>
        <w:t>a</w:t>
      </w:r>
      <w:proofErr w:type="spellEnd"/>
      <w:r w:rsidR="008E1A49" w:rsidRPr="00937460">
        <w:rPr>
          <w:b/>
        </w:rPr>
        <w:t xml:space="preserve"> at week 16 (FAS)</w:t>
      </w:r>
      <w:r w:rsidR="008E1A49" w:rsidRPr="00937460">
        <w:rPr>
          <w:b/>
          <w:vertAlign w:val="superscript"/>
        </w:rPr>
        <w:t xml:space="preserve"> b</w:t>
      </w:r>
    </w:p>
    <w:tbl>
      <w:tblPr>
        <w:tblStyle w:val="TableGrid"/>
        <w:tblW w:w="3596" w:type="pct"/>
        <w:tblInd w:w="-5" w:type="dxa"/>
        <w:tblLayout w:type="fixed"/>
        <w:tblLook w:val="04A0" w:firstRow="1" w:lastRow="0" w:firstColumn="1" w:lastColumn="0" w:noHBand="0" w:noVBand="1"/>
      </w:tblPr>
      <w:tblGrid>
        <w:gridCol w:w="2361"/>
        <w:gridCol w:w="1019"/>
        <w:gridCol w:w="1270"/>
        <w:gridCol w:w="1834"/>
      </w:tblGrid>
      <w:tr w:rsidR="00BF664D" w:rsidRPr="00137F07" w14:paraId="49990B6C" w14:textId="77777777" w:rsidTr="00BF664D">
        <w:tc>
          <w:tcPr>
            <w:tcW w:w="1821" w:type="pct"/>
          </w:tcPr>
          <w:p w14:paraId="2678839E" w14:textId="77777777" w:rsidR="00BF664D" w:rsidRPr="00137F07" w:rsidRDefault="00BF664D" w:rsidP="005664D1">
            <w:pPr>
              <w:rPr>
                <w:rFonts w:asciiTheme="minorHAnsi" w:eastAsia="MS Mincho" w:hAnsiTheme="minorHAnsi" w:cstheme="minorHAnsi"/>
              </w:rPr>
            </w:pPr>
            <w:r w:rsidRPr="00137F07">
              <w:rPr>
                <w:rFonts w:asciiTheme="minorHAnsi" w:eastAsia="MS Mincho" w:hAnsiTheme="minorHAnsi" w:cstheme="minorHAnsi"/>
              </w:rPr>
              <w:t>Study</w:t>
            </w:r>
          </w:p>
        </w:tc>
        <w:tc>
          <w:tcPr>
            <w:tcW w:w="3179" w:type="pct"/>
            <w:gridSpan w:val="3"/>
          </w:tcPr>
          <w:p w14:paraId="785E02A9" w14:textId="77777777" w:rsidR="00BF664D" w:rsidRPr="00137F07" w:rsidRDefault="00BF664D" w:rsidP="005664D1">
            <w:pPr>
              <w:jc w:val="center"/>
              <w:rPr>
                <w:rFonts w:asciiTheme="minorHAnsi" w:eastAsia="MS Mincho" w:hAnsiTheme="minorHAnsi" w:cstheme="minorHAnsi"/>
                <w:b/>
              </w:rPr>
            </w:pPr>
            <w:r w:rsidRPr="00137F07">
              <w:rPr>
                <w:rFonts w:asciiTheme="minorHAnsi" w:eastAsia="MS Mincho" w:hAnsiTheme="minorHAnsi" w:cstheme="minorHAnsi"/>
                <w:b/>
              </w:rPr>
              <w:t>BREEZE- AD7</w:t>
            </w:r>
          </w:p>
        </w:tc>
      </w:tr>
      <w:tr w:rsidR="00BF664D" w:rsidRPr="00137F07" w14:paraId="52C16D85" w14:textId="77777777" w:rsidTr="00BF664D">
        <w:tc>
          <w:tcPr>
            <w:tcW w:w="1821" w:type="pct"/>
          </w:tcPr>
          <w:p w14:paraId="0F581C28" w14:textId="77777777" w:rsidR="00BF664D" w:rsidRPr="00137F07" w:rsidRDefault="00BF664D" w:rsidP="00937460">
            <w:pPr>
              <w:rPr>
                <w:rFonts w:asciiTheme="minorHAnsi" w:hAnsiTheme="minorHAnsi" w:cstheme="minorHAnsi"/>
              </w:rPr>
            </w:pPr>
            <w:r w:rsidRPr="00137F07">
              <w:rPr>
                <w:rFonts w:asciiTheme="minorHAnsi" w:hAnsiTheme="minorHAnsi" w:cstheme="minorHAnsi"/>
              </w:rPr>
              <w:t>Treatment</w:t>
            </w:r>
          </w:p>
          <w:p w14:paraId="423CEFEA" w14:textId="77777777" w:rsidR="00BF664D" w:rsidRPr="00137F07" w:rsidRDefault="00BF664D" w:rsidP="005664D1">
            <w:pPr>
              <w:rPr>
                <w:rFonts w:asciiTheme="minorHAnsi" w:eastAsia="MS Mincho" w:hAnsiTheme="minorHAnsi" w:cstheme="minorHAnsi"/>
              </w:rPr>
            </w:pPr>
            <w:r w:rsidRPr="00137F07">
              <w:rPr>
                <w:rFonts w:asciiTheme="minorHAnsi" w:hAnsiTheme="minorHAnsi" w:cstheme="minorHAnsi"/>
              </w:rPr>
              <w:t>group</w:t>
            </w:r>
          </w:p>
        </w:tc>
        <w:tc>
          <w:tcPr>
            <w:tcW w:w="786" w:type="pct"/>
          </w:tcPr>
          <w:p w14:paraId="36CCC57E" w14:textId="77777777" w:rsidR="00BF664D" w:rsidRPr="00137F07" w:rsidRDefault="00BF664D" w:rsidP="005664D1">
            <w:pPr>
              <w:jc w:val="center"/>
              <w:rPr>
                <w:rFonts w:asciiTheme="minorHAnsi" w:eastAsia="MS Mincho" w:hAnsiTheme="minorHAnsi" w:cstheme="minorHAnsi"/>
              </w:rPr>
            </w:pPr>
            <w:proofErr w:type="spellStart"/>
            <w:r w:rsidRPr="00137F07">
              <w:rPr>
                <w:rFonts w:asciiTheme="minorHAnsi" w:eastAsia="MS Mincho" w:hAnsiTheme="minorHAnsi" w:cstheme="minorHAnsi"/>
              </w:rPr>
              <w:t>PBO</w:t>
            </w:r>
            <w:r w:rsidRPr="00137F07">
              <w:rPr>
                <w:rFonts w:asciiTheme="minorHAnsi" w:eastAsia="MS Mincho" w:hAnsiTheme="minorHAnsi" w:cstheme="minorHAnsi"/>
                <w:vertAlign w:val="superscript"/>
              </w:rPr>
              <w:t>a</w:t>
            </w:r>
            <w:proofErr w:type="spellEnd"/>
          </w:p>
        </w:tc>
        <w:tc>
          <w:tcPr>
            <w:tcW w:w="979" w:type="pct"/>
          </w:tcPr>
          <w:p w14:paraId="68C1324F"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OLU 2 mg</w:t>
            </w:r>
            <w:r w:rsidRPr="00137F07">
              <w:rPr>
                <w:rFonts w:asciiTheme="minorHAnsi" w:eastAsia="MS Mincho" w:hAnsiTheme="minorHAnsi" w:cstheme="minorHAnsi"/>
                <w:vertAlign w:val="superscript"/>
              </w:rPr>
              <w:t xml:space="preserve"> a</w:t>
            </w:r>
          </w:p>
        </w:tc>
        <w:tc>
          <w:tcPr>
            <w:tcW w:w="1414" w:type="pct"/>
          </w:tcPr>
          <w:p w14:paraId="56B40219"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OLU 4 mg</w:t>
            </w:r>
            <w:r w:rsidRPr="00137F07">
              <w:rPr>
                <w:rFonts w:asciiTheme="minorHAnsi" w:eastAsia="MS Mincho" w:hAnsiTheme="minorHAnsi" w:cstheme="minorHAnsi"/>
                <w:vertAlign w:val="superscript"/>
              </w:rPr>
              <w:t xml:space="preserve"> a</w:t>
            </w:r>
          </w:p>
        </w:tc>
      </w:tr>
      <w:tr w:rsidR="00BF664D" w:rsidRPr="00137F07" w14:paraId="2174B139" w14:textId="77777777" w:rsidTr="00BF664D">
        <w:tc>
          <w:tcPr>
            <w:tcW w:w="1821" w:type="pct"/>
          </w:tcPr>
          <w:p w14:paraId="61936B7E" w14:textId="77777777" w:rsidR="00BF664D" w:rsidRPr="00137F07" w:rsidRDefault="00BF664D" w:rsidP="005664D1">
            <w:pPr>
              <w:rPr>
                <w:rFonts w:asciiTheme="minorHAnsi" w:eastAsia="MS Mincho" w:hAnsiTheme="minorHAnsi" w:cstheme="minorHAnsi"/>
              </w:rPr>
            </w:pPr>
            <w:r w:rsidRPr="00137F07">
              <w:rPr>
                <w:rFonts w:asciiTheme="minorHAnsi" w:eastAsia="MS Mincho" w:hAnsiTheme="minorHAnsi" w:cstheme="minorHAnsi"/>
              </w:rPr>
              <w:t>N</w:t>
            </w:r>
          </w:p>
        </w:tc>
        <w:tc>
          <w:tcPr>
            <w:tcW w:w="786" w:type="pct"/>
          </w:tcPr>
          <w:p w14:paraId="6F8FBB5B"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109</w:t>
            </w:r>
          </w:p>
        </w:tc>
        <w:tc>
          <w:tcPr>
            <w:tcW w:w="979" w:type="pct"/>
          </w:tcPr>
          <w:p w14:paraId="78137230"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109</w:t>
            </w:r>
          </w:p>
        </w:tc>
        <w:tc>
          <w:tcPr>
            <w:tcW w:w="1414" w:type="pct"/>
          </w:tcPr>
          <w:p w14:paraId="1D109D71"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111</w:t>
            </w:r>
          </w:p>
        </w:tc>
      </w:tr>
      <w:tr w:rsidR="00BF664D" w:rsidRPr="00137F07" w14:paraId="76E1842A" w14:textId="77777777" w:rsidTr="00BF664D">
        <w:tc>
          <w:tcPr>
            <w:tcW w:w="1821" w:type="pct"/>
          </w:tcPr>
          <w:p w14:paraId="14BFA1E4" w14:textId="77777777" w:rsidR="00BF664D" w:rsidRPr="00137F07" w:rsidRDefault="00BF664D" w:rsidP="005664D1">
            <w:pPr>
              <w:rPr>
                <w:rFonts w:asciiTheme="minorHAnsi" w:eastAsia="MS Mincho" w:hAnsiTheme="minorHAnsi" w:cstheme="minorHAnsi"/>
              </w:rPr>
            </w:pPr>
            <w:r w:rsidRPr="00137F07">
              <w:rPr>
                <w:rFonts w:asciiTheme="minorHAnsi" w:eastAsia="MS Mincho" w:hAnsiTheme="minorHAnsi" w:cstheme="minorHAnsi"/>
              </w:rPr>
              <w:t>IGA 0 or 1,</w:t>
            </w:r>
          </w:p>
          <w:p w14:paraId="16B25490" w14:textId="77777777" w:rsidR="00BF664D" w:rsidRPr="00137F07" w:rsidRDefault="00BF664D" w:rsidP="005664D1">
            <w:pPr>
              <w:rPr>
                <w:rFonts w:asciiTheme="minorHAnsi" w:eastAsia="MS Mincho" w:hAnsiTheme="minorHAnsi" w:cstheme="minorHAnsi"/>
              </w:rPr>
            </w:pPr>
            <w:r w:rsidRPr="00137F07">
              <w:rPr>
                <w:rFonts w:asciiTheme="minorHAnsi" w:eastAsia="MS Mincho" w:hAnsiTheme="minorHAnsi" w:cstheme="minorHAnsi"/>
              </w:rPr>
              <w:t>% </w:t>
            </w:r>
            <w:proofErr w:type="spellStart"/>
            <w:r w:rsidRPr="00137F07">
              <w:rPr>
                <w:rFonts w:asciiTheme="minorHAnsi" w:eastAsia="MS Mincho" w:hAnsiTheme="minorHAnsi" w:cstheme="minorHAnsi"/>
              </w:rPr>
              <w:t>responders</w:t>
            </w:r>
            <w:r w:rsidRPr="00137F07">
              <w:rPr>
                <w:rFonts w:asciiTheme="minorHAnsi" w:eastAsia="MS Mincho" w:hAnsiTheme="minorHAnsi" w:cstheme="minorHAnsi"/>
                <w:vertAlign w:val="superscript"/>
              </w:rPr>
              <w:t>c</w:t>
            </w:r>
            <w:proofErr w:type="spellEnd"/>
            <w:r w:rsidRPr="00137F07">
              <w:rPr>
                <w:rFonts w:asciiTheme="minorHAnsi" w:eastAsia="MS Mincho" w:hAnsiTheme="minorHAnsi" w:cstheme="minorHAnsi"/>
                <w:vertAlign w:val="superscript"/>
              </w:rPr>
              <w:t>, d</w:t>
            </w:r>
          </w:p>
        </w:tc>
        <w:tc>
          <w:tcPr>
            <w:tcW w:w="786" w:type="pct"/>
          </w:tcPr>
          <w:p w14:paraId="5262DCA5"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14.7 </w:t>
            </w:r>
            <w:r w:rsidRPr="00137F07">
              <w:rPr>
                <w:rFonts w:asciiTheme="minorHAnsi" w:hAnsiTheme="minorHAnsi" w:cstheme="minorHAnsi"/>
                <w:lang w:eastAsia="ja-JP"/>
              </w:rPr>
              <w:t>%</w:t>
            </w:r>
          </w:p>
        </w:tc>
        <w:tc>
          <w:tcPr>
            <w:tcW w:w="979" w:type="pct"/>
          </w:tcPr>
          <w:p w14:paraId="35B798F5"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23.9 </w:t>
            </w:r>
            <w:r w:rsidRPr="00137F07">
              <w:rPr>
                <w:rFonts w:asciiTheme="minorHAnsi" w:hAnsiTheme="minorHAnsi" w:cstheme="minorHAnsi"/>
                <w:lang w:eastAsia="ja-JP"/>
              </w:rPr>
              <w:t>%</w:t>
            </w:r>
          </w:p>
        </w:tc>
        <w:tc>
          <w:tcPr>
            <w:tcW w:w="1414" w:type="pct"/>
          </w:tcPr>
          <w:p w14:paraId="5F73C1DF"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30.6 </w:t>
            </w:r>
            <w:r w:rsidRPr="00137F07">
              <w:rPr>
                <w:rFonts w:asciiTheme="minorHAnsi" w:hAnsiTheme="minorHAnsi" w:cstheme="minorHAnsi"/>
                <w:lang w:eastAsia="ja-JP"/>
              </w:rPr>
              <w:t>%</w:t>
            </w:r>
            <w:r w:rsidRPr="00137F07">
              <w:rPr>
                <w:rFonts w:asciiTheme="minorHAnsi" w:eastAsia="MS Mincho" w:hAnsiTheme="minorHAnsi" w:cstheme="minorHAnsi"/>
              </w:rPr>
              <w:t>**</w:t>
            </w:r>
          </w:p>
        </w:tc>
      </w:tr>
      <w:tr w:rsidR="00BF664D" w:rsidRPr="00137F07" w14:paraId="28B89448" w14:textId="77777777" w:rsidTr="00BF664D">
        <w:tc>
          <w:tcPr>
            <w:tcW w:w="1821" w:type="pct"/>
          </w:tcPr>
          <w:p w14:paraId="44983EA3" w14:textId="77777777" w:rsidR="00BF664D" w:rsidRPr="00137F07" w:rsidRDefault="00BF664D" w:rsidP="005664D1">
            <w:pPr>
              <w:pStyle w:val="TableParagraph"/>
              <w:spacing w:before="22"/>
              <w:ind w:left="0"/>
              <w:rPr>
                <w:rFonts w:asciiTheme="minorHAnsi" w:hAnsiTheme="minorHAnsi" w:cstheme="minorHAnsi"/>
              </w:rPr>
            </w:pPr>
            <w:r w:rsidRPr="00137F07">
              <w:rPr>
                <w:rFonts w:asciiTheme="minorHAnsi" w:hAnsiTheme="minorHAnsi" w:cstheme="minorHAnsi"/>
              </w:rPr>
              <w:t>EASI-50,</w:t>
            </w:r>
          </w:p>
          <w:p w14:paraId="1FA7C4F7" w14:textId="04BFA106" w:rsidR="00BF664D" w:rsidRPr="00137F07" w:rsidRDefault="00BF664D" w:rsidP="005664D1">
            <w:pPr>
              <w:pStyle w:val="TableParagraph"/>
              <w:spacing w:before="22"/>
              <w:ind w:left="0"/>
              <w:rPr>
                <w:rFonts w:asciiTheme="minorHAnsi" w:hAnsiTheme="minorHAnsi" w:cstheme="minorHAnsi"/>
              </w:rPr>
            </w:pPr>
            <w:r w:rsidRPr="00137F07">
              <w:rPr>
                <w:rFonts w:asciiTheme="minorHAnsi" w:hAnsiTheme="minorHAnsi" w:cstheme="minorHAnsi"/>
              </w:rPr>
              <w:t>%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d</w:t>
            </w:r>
            <w:proofErr w:type="spellEnd"/>
            <w:r w:rsidR="00324EB7">
              <w:rPr>
                <w:rFonts w:asciiTheme="minorHAnsi" w:hAnsiTheme="minorHAnsi" w:cstheme="minorHAnsi"/>
                <w:vertAlign w:val="superscript"/>
              </w:rPr>
              <w:t>, h</w:t>
            </w:r>
            <w:r w:rsidRPr="00137F07">
              <w:rPr>
                <w:rFonts w:asciiTheme="minorHAnsi" w:hAnsiTheme="minorHAnsi" w:cstheme="minorHAnsi"/>
                <w:vertAlign w:val="superscript"/>
              </w:rPr>
              <w:t xml:space="preserve"> </w:t>
            </w:r>
          </w:p>
        </w:tc>
        <w:tc>
          <w:tcPr>
            <w:tcW w:w="786" w:type="pct"/>
          </w:tcPr>
          <w:p w14:paraId="023BF1BB" w14:textId="77777777" w:rsidR="00BF664D" w:rsidRPr="00137F07" w:rsidRDefault="00BF664D" w:rsidP="005664D1">
            <w:pPr>
              <w:jc w:val="center"/>
              <w:rPr>
                <w:rFonts w:asciiTheme="minorHAnsi" w:eastAsia="MS Mincho" w:hAnsiTheme="minorHAnsi" w:cstheme="minorHAnsi"/>
              </w:rPr>
            </w:pPr>
            <w:r w:rsidRPr="00137F07">
              <w:rPr>
                <w:rFonts w:asciiTheme="minorHAnsi" w:hAnsiTheme="minorHAnsi" w:cstheme="minorHAnsi"/>
              </w:rPr>
              <w:t xml:space="preserve">41.3 </w:t>
            </w:r>
            <w:r w:rsidRPr="00137F07">
              <w:rPr>
                <w:rFonts w:asciiTheme="minorHAnsi" w:hAnsiTheme="minorHAnsi" w:cstheme="minorHAnsi"/>
                <w:lang w:eastAsia="ja-JP"/>
              </w:rPr>
              <w:t>%</w:t>
            </w:r>
          </w:p>
        </w:tc>
        <w:tc>
          <w:tcPr>
            <w:tcW w:w="979" w:type="pct"/>
          </w:tcPr>
          <w:p w14:paraId="50B536AC" w14:textId="77777777" w:rsidR="00BF664D" w:rsidRPr="00137F07" w:rsidRDefault="00BF664D" w:rsidP="005664D1">
            <w:pPr>
              <w:jc w:val="center"/>
              <w:rPr>
                <w:rFonts w:asciiTheme="minorHAnsi" w:eastAsia="MS Mincho" w:hAnsiTheme="minorHAnsi" w:cstheme="minorHAnsi"/>
              </w:rPr>
            </w:pPr>
            <w:r w:rsidRPr="00137F07">
              <w:rPr>
                <w:rFonts w:asciiTheme="minorHAnsi" w:hAnsiTheme="minorHAnsi" w:cstheme="minorHAnsi"/>
              </w:rPr>
              <w:t xml:space="preserve">64.2 </w:t>
            </w:r>
            <w:r w:rsidRPr="00137F07">
              <w:rPr>
                <w:rFonts w:asciiTheme="minorHAnsi" w:hAnsiTheme="minorHAnsi" w:cstheme="minorHAnsi"/>
                <w:lang w:eastAsia="ja-JP"/>
              </w:rPr>
              <w:t>%</w:t>
            </w:r>
            <w:r w:rsidRPr="00137F07">
              <w:rPr>
                <w:rFonts w:asciiTheme="minorHAnsi" w:eastAsia="MS Mincho" w:hAnsiTheme="minorHAnsi" w:cstheme="minorHAnsi"/>
              </w:rPr>
              <w:t>***</w:t>
            </w:r>
          </w:p>
        </w:tc>
        <w:tc>
          <w:tcPr>
            <w:tcW w:w="1414" w:type="pct"/>
          </w:tcPr>
          <w:p w14:paraId="52FF56FA" w14:textId="77777777" w:rsidR="00BF664D" w:rsidRPr="00137F07" w:rsidRDefault="00BF664D" w:rsidP="005664D1">
            <w:pPr>
              <w:jc w:val="center"/>
              <w:rPr>
                <w:rFonts w:asciiTheme="minorHAnsi" w:eastAsia="MS Mincho" w:hAnsiTheme="minorHAnsi" w:cstheme="minorHAnsi"/>
              </w:rPr>
            </w:pPr>
            <w:r w:rsidRPr="00137F07">
              <w:rPr>
                <w:rFonts w:asciiTheme="minorHAnsi" w:hAnsiTheme="minorHAnsi" w:cstheme="minorHAnsi"/>
              </w:rPr>
              <w:t xml:space="preserve">70.3 </w:t>
            </w:r>
            <w:r w:rsidRPr="00137F07">
              <w:rPr>
                <w:rFonts w:asciiTheme="minorHAnsi" w:hAnsiTheme="minorHAnsi" w:cstheme="minorHAnsi"/>
                <w:lang w:eastAsia="ja-JP"/>
              </w:rPr>
              <w:t>%</w:t>
            </w:r>
            <w:r w:rsidRPr="00137F07">
              <w:rPr>
                <w:rFonts w:asciiTheme="minorHAnsi" w:eastAsia="MS Mincho" w:hAnsiTheme="minorHAnsi" w:cstheme="minorHAnsi"/>
              </w:rPr>
              <w:t>**</w:t>
            </w:r>
            <w:r w:rsidRPr="00137F07">
              <w:rPr>
                <w:rFonts w:asciiTheme="minorHAnsi" w:hAnsiTheme="minorHAnsi" w:cstheme="minorHAnsi"/>
              </w:rPr>
              <w:t>*</w:t>
            </w:r>
          </w:p>
        </w:tc>
      </w:tr>
      <w:tr w:rsidR="00BF664D" w:rsidRPr="00137F07" w14:paraId="72A39255" w14:textId="77777777" w:rsidTr="00BF664D">
        <w:tc>
          <w:tcPr>
            <w:tcW w:w="1821" w:type="pct"/>
          </w:tcPr>
          <w:p w14:paraId="4C1D515E" w14:textId="77777777" w:rsidR="00BF664D" w:rsidRPr="00137F07" w:rsidRDefault="00BF664D" w:rsidP="005664D1">
            <w:pPr>
              <w:pStyle w:val="TableParagraph"/>
              <w:spacing w:before="24"/>
              <w:ind w:left="0"/>
              <w:rPr>
                <w:rFonts w:asciiTheme="minorHAnsi" w:hAnsiTheme="minorHAnsi" w:cstheme="minorHAnsi"/>
              </w:rPr>
            </w:pPr>
            <w:r w:rsidRPr="00137F07">
              <w:rPr>
                <w:rFonts w:asciiTheme="minorHAnsi" w:hAnsiTheme="minorHAnsi" w:cstheme="minorHAnsi"/>
              </w:rPr>
              <w:lastRenderedPageBreak/>
              <w:t>EASI-75,</w:t>
            </w:r>
          </w:p>
          <w:p w14:paraId="1BC75A5E" w14:textId="77777777" w:rsidR="00BF664D" w:rsidRPr="00137F07" w:rsidRDefault="00BF664D" w:rsidP="005664D1">
            <w:pPr>
              <w:rPr>
                <w:rFonts w:asciiTheme="minorHAnsi" w:eastAsia="MS Mincho" w:hAnsiTheme="minorHAnsi" w:cstheme="minorHAnsi"/>
              </w:rPr>
            </w:pPr>
            <w:r w:rsidRPr="00137F07">
              <w:rPr>
                <w:rFonts w:asciiTheme="minorHAnsi" w:hAnsiTheme="minorHAnsi" w:cstheme="minorHAnsi"/>
              </w:rPr>
              <w:t>%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d</w:t>
            </w:r>
            <w:proofErr w:type="spellEnd"/>
          </w:p>
        </w:tc>
        <w:tc>
          <w:tcPr>
            <w:tcW w:w="786" w:type="pct"/>
          </w:tcPr>
          <w:p w14:paraId="49E28C1C"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22.9 </w:t>
            </w:r>
            <w:r w:rsidRPr="00137F07">
              <w:rPr>
                <w:rFonts w:asciiTheme="minorHAnsi" w:hAnsiTheme="minorHAnsi" w:cstheme="minorHAnsi"/>
                <w:lang w:eastAsia="ja-JP"/>
              </w:rPr>
              <w:t>%</w:t>
            </w:r>
          </w:p>
        </w:tc>
        <w:tc>
          <w:tcPr>
            <w:tcW w:w="979" w:type="pct"/>
          </w:tcPr>
          <w:p w14:paraId="1325DE59" w14:textId="6EF00B59" w:rsidR="00BF664D" w:rsidRPr="006C0211" w:rsidRDefault="00BF664D" w:rsidP="005664D1">
            <w:pPr>
              <w:jc w:val="center"/>
              <w:rPr>
                <w:rFonts w:asciiTheme="minorHAnsi" w:eastAsia="MS Mincho" w:hAnsiTheme="minorHAnsi" w:cstheme="minorHAnsi"/>
                <w:vertAlign w:val="superscript"/>
              </w:rPr>
            </w:pPr>
            <w:r w:rsidRPr="00137F07">
              <w:rPr>
                <w:rFonts w:asciiTheme="minorHAnsi" w:eastAsia="MS Mincho" w:hAnsiTheme="minorHAnsi" w:cstheme="minorHAnsi"/>
              </w:rPr>
              <w:t xml:space="preserve">43.1 </w:t>
            </w:r>
            <w:r w:rsidRPr="00137F07">
              <w:rPr>
                <w:rFonts w:asciiTheme="minorHAnsi" w:hAnsiTheme="minorHAnsi" w:cstheme="minorHAnsi"/>
                <w:lang w:eastAsia="ja-JP"/>
              </w:rPr>
              <w:t>%</w:t>
            </w:r>
            <w:r w:rsidRPr="00137F07">
              <w:rPr>
                <w:rFonts w:asciiTheme="minorHAnsi" w:eastAsia="MS Mincho" w:hAnsiTheme="minorHAnsi" w:cstheme="minorHAnsi"/>
              </w:rPr>
              <w:t>**</w:t>
            </w:r>
            <w:r w:rsidR="006C0211">
              <w:rPr>
                <w:rFonts w:asciiTheme="minorHAnsi" w:eastAsia="MS Mincho" w:hAnsiTheme="minorHAnsi" w:cstheme="minorHAnsi"/>
                <w:vertAlign w:val="superscript"/>
              </w:rPr>
              <w:t>g</w:t>
            </w:r>
          </w:p>
        </w:tc>
        <w:tc>
          <w:tcPr>
            <w:tcW w:w="1414" w:type="pct"/>
          </w:tcPr>
          <w:p w14:paraId="2ECFBD72"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47.7 </w:t>
            </w:r>
            <w:r w:rsidRPr="00137F07">
              <w:rPr>
                <w:rFonts w:asciiTheme="minorHAnsi" w:hAnsiTheme="minorHAnsi" w:cstheme="minorHAnsi"/>
                <w:lang w:eastAsia="ja-JP"/>
              </w:rPr>
              <w:t>%</w:t>
            </w:r>
            <w:r w:rsidRPr="00137F07">
              <w:rPr>
                <w:rFonts w:asciiTheme="minorHAnsi" w:eastAsia="MS Mincho" w:hAnsiTheme="minorHAnsi" w:cstheme="minorHAnsi"/>
              </w:rPr>
              <w:t>***</w:t>
            </w:r>
          </w:p>
        </w:tc>
      </w:tr>
      <w:tr w:rsidR="00BF664D" w:rsidRPr="00137F07" w14:paraId="170D158B" w14:textId="77777777" w:rsidTr="00BF664D">
        <w:tc>
          <w:tcPr>
            <w:tcW w:w="1821" w:type="pct"/>
          </w:tcPr>
          <w:p w14:paraId="0831B181" w14:textId="77777777" w:rsidR="00BF664D" w:rsidRPr="00137F07" w:rsidRDefault="00BF664D" w:rsidP="005664D1">
            <w:pPr>
              <w:pStyle w:val="TableParagraph"/>
              <w:spacing w:before="22"/>
              <w:ind w:left="0"/>
              <w:rPr>
                <w:rFonts w:asciiTheme="minorHAnsi" w:hAnsiTheme="minorHAnsi" w:cstheme="minorHAnsi"/>
              </w:rPr>
            </w:pPr>
            <w:r w:rsidRPr="00137F07">
              <w:rPr>
                <w:rFonts w:asciiTheme="minorHAnsi" w:hAnsiTheme="minorHAnsi" w:cstheme="minorHAnsi"/>
              </w:rPr>
              <w:t>EASI-90,</w:t>
            </w:r>
          </w:p>
          <w:p w14:paraId="7573679E" w14:textId="77777777" w:rsidR="00BF664D" w:rsidRPr="00137F07" w:rsidRDefault="00BF664D" w:rsidP="005664D1">
            <w:pPr>
              <w:rPr>
                <w:rFonts w:asciiTheme="minorHAnsi" w:eastAsia="MS Mincho" w:hAnsiTheme="minorHAnsi" w:cstheme="minorHAnsi"/>
              </w:rPr>
            </w:pPr>
            <w:r w:rsidRPr="00137F07">
              <w:rPr>
                <w:rFonts w:asciiTheme="minorHAnsi" w:hAnsiTheme="minorHAnsi" w:cstheme="minorHAnsi"/>
              </w:rPr>
              <w:t>%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d</w:t>
            </w:r>
            <w:proofErr w:type="spellEnd"/>
          </w:p>
        </w:tc>
        <w:tc>
          <w:tcPr>
            <w:tcW w:w="786" w:type="pct"/>
          </w:tcPr>
          <w:p w14:paraId="675B1CB8"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13.8 </w:t>
            </w:r>
            <w:r w:rsidRPr="00137F07">
              <w:rPr>
                <w:rFonts w:asciiTheme="minorHAnsi" w:hAnsiTheme="minorHAnsi" w:cstheme="minorHAnsi"/>
                <w:lang w:eastAsia="ja-JP"/>
              </w:rPr>
              <w:t>%</w:t>
            </w:r>
          </w:p>
        </w:tc>
        <w:tc>
          <w:tcPr>
            <w:tcW w:w="979" w:type="pct"/>
          </w:tcPr>
          <w:p w14:paraId="2D69B6A8"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16.5 </w:t>
            </w:r>
            <w:r w:rsidRPr="00137F07">
              <w:rPr>
                <w:rFonts w:asciiTheme="minorHAnsi" w:hAnsiTheme="minorHAnsi" w:cstheme="minorHAnsi"/>
                <w:lang w:eastAsia="ja-JP"/>
              </w:rPr>
              <w:t>%</w:t>
            </w:r>
          </w:p>
        </w:tc>
        <w:tc>
          <w:tcPr>
            <w:tcW w:w="1414" w:type="pct"/>
          </w:tcPr>
          <w:p w14:paraId="4B910F84" w14:textId="5231A125" w:rsidR="00BF664D" w:rsidRPr="006C0211" w:rsidRDefault="00BF664D" w:rsidP="005664D1">
            <w:pPr>
              <w:jc w:val="center"/>
              <w:rPr>
                <w:rFonts w:asciiTheme="minorHAnsi" w:eastAsia="MS Mincho" w:hAnsiTheme="minorHAnsi" w:cstheme="minorHAnsi"/>
                <w:vertAlign w:val="superscript"/>
              </w:rPr>
            </w:pPr>
            <w:r w:rsidRPr="00137F07">
              <w:rPr>
                <w:rFonts w:asciiTheme="minorHAnsi" w:eastAsia="MS Mincho" w:hAnsiTheme="minorHAnsi" w:cstheme="minorHAnsi"/>
              </w:rPr>
              <w:t xml:space="preserve">24.3 </w:t>
            </w:r>
            <w:r w:rsidRPr="00137F07">
              <w:rPr>
                <w:rFonts w:asciiTheme="minorHAnsi" w:hAnsiTheme="minorHAnsi" w:cstheme="minorHAnsi"/>
                <w:lang w:eastAsia="ja-JP"/>
              </w:rPr>
              <w:t>%</w:t>
            </w:r>
            <w:r w:rsidRPr="00137F07">
              <w:rPr>
                <w:rFonts w:asciiTheme="minorHAnsi" w:eastAsia="MS Mincho" w:hAnsiTheme="minorHAnsi" w:cstheme="minorHAnsi"/>
              </w:rPr>
              <w:t>*</w:t>
            </w:r>
            <w:r w:rsidR="006C0211">
              <w:rPr>
                <w:rFonts w:asciiTheme="minorHAnsi" w:eastAsia="MS Mincho" w:hAnsiTheme="minorHAnsi" w:cstheme="minorHAnsi"/>
                <w:vertAlign w:val="superscript"/>
              </w:rPr>
              <w:t>g</w:t>
            </w:r>
          </w:p>
        </w:tc>
      </w:tr>
      <w:tr w:rsidR="00BF664D" w:rsidRPr="00137F07" w14:paraId="7091D1E4" w14:textId="77777777" w:rsidTr="00BF664D">
        <w:tc>
          <w:tcPr>
            <w:tcW w:w="1821" w:type="pct"/>
          </w:tcPr>
          <w:p w14:paraId="6C00401F" w14:textId="77777777" w:rsidR="00BF664D" w:rsidRPr="00137F07" w:rsidRDefault="00BF664D" w:rsidP="005664D1">
            <w:pPr>
              <w:pStyle w:val="TableParagraph"/>
              <w:spacing w:before="22"/>
              <w:ind w:left="0"/>
              <w:rPr>
                <w:rFonts w:asciiTheme="minorHAnsi" w:hAnsiTheme="minorHAnsi" w:cstheme="minorHAnsi"/>
              </w:rPr>
            </w:pPr>
            <w:r w:rsidRPr="00137F07">
              <w:rPr>
                <w:rFonts w:asciiTheme="minorHAnsi" w:hAnsiTheme="minorHAnsi" w:cstheme="minorHAnsi"/>
              </w:rPr>
              <w:t xml:space="preserve">SCORAD75, </w:t>
            </w:r>
          </w:p>
          <w:p w14:paraId="60A8E22A" w14:textId="77777777" w:rsidR="00BF664D" w:rsidRPr="00137F07" w:rsidRDefault="00BF664D" w:rsidP="005664D1">
            <w:pPr>
              <w:pStyle w:val="TableParagraph"/>
              <w:spacing w:before="22"/>
              <w:ind w:left="0"/>
              <w:rPr>
                <w:rFonts w:asciiTheme="minorHAnsi" w:hAnsiTheme="minorHAnsi" w:cstheme="minorHAnsi"/>
              </w:rPr>
            </w:pPr>
            <w:r w:rsidRPr="00137F07">
              <w:rPr>
                <w:rFonts w:asciiTheme="minorHAnsi" w:hAnsiTheme="minorHAnsi" w:cstheme="minorHAnsi"/>
              </w:rPr>
              <w:t>%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d</w:t>
            </w:r>
            <w:proofErr w:type="spellEnd"/>
          </w:p>
        </w:tc>
        <w:tc>
          <w:tcPr>
            <w:tcW w:w="786" w:type="pct"/>
          </w:tcPr>
          <w:p w14:paraId="49F95DAB"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7.3 </w:t>
            </w:r>
            <w:r w:rsidRPr="00137F07">
              <w:rPr>
                <w:rFonts w:asciiTheme="minorHAnsi" w:hAnsiTheme="minorHAnsi" w:cstheme="minorHAnsi"/>
                <w:lang w:eastAsia="ja-JP"/>
              </w:rPr>
              <w:t>%</w:t>
            </w:r>
          </w:p>
        </w:tc>
        <w:tc>
          <w:tcPr>
            <w:tcW w:w="979" w:type="pct"/>
          </w:tcPr>
          <w:p w14:paraId="7E8B3EFC"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11.0 </w:t>
            </w:r>
            <w:r w:rsidRPr="00137F07">
              <w:rPr>
                <w:rFonts w:asciiTheme="minorHAnsi" w:hAnsiTheme="minorHAnsi" w:cstheme="minorHAnsi"/>
                <w:lang w:eastAsia="ja-JP"/>
              </w:rPr>
              <w:t>%</w:t>
            </w:r>
          </w:p>
        </w:tc>
        <w:tc>
          <w:tcPr>
            <w:tcW w:w="1414" w:type="pct"/>
          </w:tcPr>
          <w:p w14:paraId="3EFC4FE5" w14:textId="54FFEC2C" w:rsidR="00BF664D" w:rsidRPr="006C0211" w:rsidRDefault="00BF664D" w:rsidP="005664D1">
            <w:pPr>
              <w:jc w:val="center"/>
              <w:rPr>
                <w:rFonts w:asciiTheme="minorHAnsi" w:eastAsia="MS Mincho" w:hAnsiTheme="minorHAnsi" w:cstheme="minorHAnsi"/>
                <w:vertAlign w:val="superscript"/>
              </w:rPr>
            </w:pPr>
            <w:r w:rsidRPr="00137F07">
              <w:rPr>
                <w:rFonts w:asciiTheme="minorHAnsi" w:eastAsia="MS Mincho" w:hAnsiTheme="minorHAnsi" w:cstheme="minorHAnsi"/>
              </w:rPr>
              <w:t xml:space="preserve">18.0 </w:t>
            </w:r>
            <w:r w:rsidRPr="00137F07">
              <w:rPr>
                <w:rFonts w:asciiTheme="minorHAnsi" w:hAnsiTheme="minorHAnsi" w:cstheme="minorHAnsi"/>
                <w:lang w:eastAsia="ja-JP"/>
              </w:rPr>
              <w:t>%</w:t>
            </w:r>
            <w:r w:rsidRPr="00137F07">
              <w:rPr>
                <w:rFonts w:asciiTheme="minorHAnsi" w:eastAsia="MS Mincho" w:hAnsiTheme="minorHAnsi" w:cstheme="minorHAnsi"/>
              </w:rPr>
              <w:t>*</w:t>
            </w:r>
            <w:r w:rsidR="006C0211">
              <w:rPr>
                <w:rFonts w:asciiTheme="minorHAnsi" w:eastAsia="MS Mincho" w:hAnsiTheme="minorHAnsi" w:cstheme="minorHAnsi"/>
                <w:vertAlign w:val="superscript"/>
              </w:rPr>
              <w:t>g</w:t>
            </w:r>
          </w:p>
        </w:tc>
      </w:tr>
      <w:tr w:rsidR="00BF664D" w:rsidRPr="00137F07" w14:paraId="5433CB4F" w14:textId="77777777" w:rsidTr="00BF664D">
        <w:tc>
          <w:tcPr>
            <w:tcW w:w="1821" w:type="pct"/>
          </w:tcPr>
          <w:p w14:paraId="252DFF88" w14:textId="5300551C" w:rsidR="00BF664D" w:rsidRPr="00137F07" w:rsidRDefault="00BF664D" w:rsidP="005664D1">
            <w:pPr>
              <w:pStyle w:val="TableParagraph"/>
              <w:spacing w:before="17" w:line="271" w:lineRule="auto"/>
              <w:ind w:left="0" w:right="23"/>
              <w:rPr>
                <w:rFonts w:asciiTheme="minorHAnsi" w:hAnsiTheme="minorHAnsi" w:cstheme="minorHAnsi"/>
              </w:rPr>
            </w:pPr>
            <w:r w:rsidRPr="00137F07">
              <w:rPr>
                <w:rFonts w:asciiTheme="minorHAnsi" w:hAnsiTheme="minorHAnsi" w:cstheme="minorHAnsi"/>
              </w:rPr>
              <w:t>Itch NRS (</w:t>
            </w:r>
            <w:r w:rsidRPr="00137F07">
              <w:rPr>
                <w:rFonts w:asciiTheme="minorHAnsi" w:hAnsiTheme="minorHAnsi" w:cstheme="minorHAnsi"/>
                <w:u w:val="single"/>
              </w:rPr>
              <w:t>≥ </w:t>
            </w:r>
            <w:r w:rsidRPr="00137F07">
              <w:rPr>
                <w:rFonts w:asciiTheme="minorHAnsi" w:hAnsiTheme="minorHAnsi" w:cstheme="minorHAnsi"/>
              </w:rPr>
              <w:t>4-point improvement), % </w:t>
            </w:r>
            <w:proofErr w:type="spellStart"/>
            <w:r w:rsidRPr="00137F07">
              <w:rPr>
                <w:rFonts w:asciiTheme="minorHAnsi" w:hAnsiTheme="minorHAnsi" w:cstheme="minorHAnsi"/>
              </w:rPr>
              <w:t>responders</w:t>
            </w:r>
            <w:r w:rsidRPr="00137F07">
              <w:rPr>
                <w:rFonts w:asciiTheme="minorHAnsi" w:hAnsiTheme="minorHAnsi" w:cstheme="minorHAnsi"/>
                <w:vertAlign w:val="superscript"/>
              </w:rPr>
              <w:t>d</w:t>
            </w:r>
            <w:proofErr w:type="spellEnd"/>
            <w:r w:rsidRPr="00137F07">
              <w:rPr>
                <w:rFonts w:asciiTheme="minorHAnsi" w:hAnsiTheme="minorHAnsi" w:cstheme="minorHAnsi"/>
                <w:vertAlign w:val="superscript"/>
              </w:rPr>
              <w:t>, e</w:t>
            </w:r>
          </w:p>
        </w:tc>
        <w:tc>
          <w:tcPr>
            <w:tcW w:w="786" w:type="pct"/>
          </w:tcPr>
          <w:p w14:paraId="70B0C6DD"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20.2 </w:t>
            </w:r>
            <w:r w:rsidRPr="00137F07">
              <w:rPr>
                <w:rFonts w:asciiTheme="minorHAnsi" w:hAnsiTheme="minorHAnsi" w:cstheme="minorHAnsi"/>
                <w:lang w:eastAsia="ja-JP"/>
              </w:rPr>
              <w:t>%</w:t>
            </w:r>
          </w:p>
        </w:tc>
        <w:tc>
          <w:tcPr>
            <w:tcW w:w="979" w:type="pct"/>
          </w:tcPr>
          <w:p w14:paraId="48CA10E8" w14:textId="09F04AFA" w:rsidR="00BF664D" w:rsidRPr="006C0211" w:rsidRDefault="00BF664D" w:rsidP="005664D1">
            <w:pPr>
              <w:jc w:val="center"/>
              <w:rPr>
                <w:rFonts w:asciiTheme="minorHAnsi" w:eastAsia="MS Mincho" w:hAnsiTheme="minorHAnsi" w:cstheme="minorHAnsi"/>
                <w:vertAlign w:val="superscript"/>
              </w:rPr>
            </w:pPr>
            <w:r w:rsidRPr="00137F07">
              <w:rPr>
                <w:rFonts w:asciiTheme="minorHAnsi" w:eastAsia="MS Mincho" w:hAnsiTheme="minorHAnsi" w:cstheme="minorHAnsi"/>
              </w:rPr>
              <w:t xml:space="preserve">38.1 </w:t>
            </w:r>
            <w:r w:rsidRPr="00137F07">
              <w:rPr>
                <w:rFonts w:asciiTheme="minorHAnsi" w:hAnsiTheme="minorHAnsi" w:cstheme="minorHAnsi"/>
                <w:lang w:eastAsia="ja-JP"/>
              </w:rPr>
              <w:t>%</w:t>
            </w:r>
            <w:r w:rsidRPr="00137F07">
              <w:rPr>
                <w:rFonts w:asciiTheme="minorHAnsi" w:eastAsia="MS Mincho" w:hAnsiTheme="minorHAnsi" w:cstheme="minorHAnsi"/>
              </w:rPr>
              <w:t>**</w:t>
            </w:r>
            <w:r w:rsidR="006C0211">
              <w:rPr>
                <w:rFonts w:asciiTheme="minorHAnsi" w:eastAsia="MS Mincho" w:hAnsiTheme="minorHAnsi" w:cstheme="minorHAnsi"/>
                <w:vertAlign w:val="superscript"/>
              </w:rPr>
              <w:t>g</w:t>
            </w:r>
          </w:p>
        </w:tc>
        <w:tc>
          <w:tcPr>
            <w:tcW w:w="1414" w:type="pct"/>
          </w:tcPr>
          <w:p w14:paraId="0AF7819B"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44.0 </w:t>
            </w:r>
            <w:r w:rsidRPr="00137F07">
              <w:rPr>
                <w:rFonts w:asciiTheme="minorHAnsi" w:hAnsiTheme="minorHAnsi" w:cstheme="minorHAnsi"/>
                <w:lang w:eastAsia="ja-JP"/>
              </w:rPr>
              <w:t>%</w:t>
            </w:r>
            <w:r w:rsidRPr="00137F07">
              <w:rPr>
                <w:rFonts w:asciiTheme="minorHAnsi" w:eastAsia="MS Mincho" w:hAnsiTheme="minorHAnsi" w:cstheme="minorHAnsi"/>
              </w:rPr>
              <w:t>***</w:t>
            </w:r>
          </w:p>
        </w:tc>
      </w:tr>
      <w:tr w:rsidR="00BF664D" w:rsidRPr="00137F07" w14:paraId="7A4FD891" w14:textId="77777777" w:rsidTr="00BF664D">
        <w:tc>
          <w:tcPr>
            <w:tcW w:w="1821" w:type="pct"/>
          </w:tcPr>
          <w:p w14:paraId="620B71C9" w14:textId="17DDF89C" w:rsidR="00BF664D" w:rsidRPr="00137F07" w:rsidRDefault="00BF664D" w:rsidP="005664D1">
            <w:pPr>
              <w:pStyle w:val="TableParagraph"/>
              <w:spacing w:before="17" w:line="271" w:lineRule="auto"/>
              <w:ind w:left="0" w:right="23"/>
              <w:rPr>
                <w:rFonts w:asciiTheme="minorHAnsi" w:hAnsiTheme="minorHAnsi" w:cstheme="minorHAnsi"/>
              </w:rPr>
            </w:pPr>
            <w:r w:rsidRPr="00137F07">
              <w:rPr>
                <w:rFonts w:asciiTheme="minorHAnsi" w:hAnsiTheme="minorHAnsi" w:cstheme="minorHAnsi"/>
              </w:rPr>
              <w:t>BSA change from baseline</w:t>
            </w:r>
            <w:r w:rsidR="00A63CD4">
              <w:rPr>
                <w:rFonts w:asciiTheme="minorHAnsi" w:hAnsiTheme="minorHAnsi" w:cstheme="minorHAnsi"/>
              </w:rPr>
              <w:t>, LS mean</w:t>
            </w:r>
            <w:r w:rsidRPr="00137F07">
              <w:rPr>
                <w:rFonts w:asciiTheme="minorHAnsi" w:hAnsiTheme="minorHAnsi" w:cstheme="minorHAnsi"/>
              </w:rPr>
              <w:t xml:space="preserve"> (SE)</w:t>
            </w:r>
            <w:r w:rsidRPr="00137F07">
              <w:rPr>
                <w:rFonts w:asciiTheme="minorHAnsi" w:hAnsiTheme="minorHAnsi" w:cstheme="minorHAnsi"/>
                <w:vertAlign w:val="superscript"/>
              </w:rPr>
              <w:t>f</w:t>
            </w:r>
            <w:r w:rsidR="00324EB7">
              <w:rPr>
                <w:rFonts w:asciiTheme="minorHAnsi" w:hAnsiTheme="minorHAnsi" w:cstheme="minorHAnsi"/>
                <w:vertAlign w:val="superscript"/>
              </w:rPr>
              <w:t>, h</w:t>
            </w:r>
          </w:p>
        </w:tc>
        <w:tc>
          <w:tcPr>
            <w:tcW w:w="786" w:type="pct"/>
          </w:tcPr>
          <w:p w14:paraId="6C190EEC"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-18.03 </w:t>
            </w:r>
            <w:r w:rsidRPr="00137F07">
              <w:rPr>
                <w:rFonts w:asciiTheme="minorHAnsi" w:hAnsiTheme="minorHAnsi" w:cstheme="minorHAnsi"/>
                <w:lang w:eastAsia="ja-JP"/>
              </w:rPr>
              <w:t>%</w:t>
            </w:r>
          </w:p>
          <w:p w14:paraId="185E6AF3"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(1.89)</w:t>
            </w:r>
          </w:p>
        </w:tc>
        <w:tc>
          <w:tcPr>
            <w:tcW w:w="979" w:type="pct"/>
          </w:tcPr>
          <w:p w14:paraId="79399F73"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-27.00 </w:t>
            </w:r>
            <w:r w:rsidRPr="00137F07">
              <w:rPr>
                <w:rFonts w:asciiTheme="minorHAnsi" w:hAnsiTheme="minorHAnsi" w:cstheme="minorHAnsi"/>
                <w:lang w:eastAsia="ja-JP"/>
              </w:rPr>
              <w:t>%</w:t>
            </w:r>
            <w:r w:rsidRPr="00137F07">
              <w:rPr>
                <w:rFonts w:asciiTheme="minorHAnsi" w:eastAsia="MS Mincho" w:hAnsiTheme="minorHAnsi" w:cstheme="minorHAnsi"/>
              </w:rPr>
              <w:t>***</w:t>
            </w:r>
          </w:p>
          <w:p w14:paraId="32A7014E"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(1.83)</w:t>
            </w:r>
          </w:p>
        </w:tc>
        <w:tc>
          <w:tcPr>
            <w:tcW w:w="1414" w:type="pct"/>
          </w:tcPr>
          <w:p w14:paraId="4BE9D0FF"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 xml:space="preserve">29.73 </w:t>
            </w:r>
            <w:r w:rsidRPr="00137F07">
              <w:rPr>
                <w:rFonts w:asciiTheme="minorHAnsi" w:hAnsiTheme="minorHAnsi" w:cstheme="minorHAnsi"/>
                <w:lang w:eastAsia="ja-JP"/>
              </w:rPr>
              <w:t>%</w:t>
            </w:r>
            <w:r w:rsidRPr="00137F07">
              <w:rPr>
                <w:rFonts w:asciiTheme="minorHAnsi" w:eastAsia="MS Mincho" w:hAnsiTheme="minorHAnsi" w:cstheme="minorHAnsi"/>
              </w:rPr>
              <w:t>***</w:t>
            </w:r>
          </w:p>
          <w:p w14:paraId="6403A14C" w14:textId="77777777" w:rsidR="00BF664D" w:rsidRPr="00137F07" w:rsidRDefault="00BF664D" w:rsidP="005664D1">
            <w:pPr>
              <w:jc w:val="center"/>
              <w:rPr>
                <w:rFonts w:asciiTheme="minorHAnsi" w:eastAsia="MS Mincho" w:hAnsiTheme="minorHAnsi" w:cstheme="minorHAnsi"/>
              </w:rPr>
            </w:pPr>
            <w:r w:rsidRPr="00137F07">
              <w:rPr>
                <w:rFonts w:asciiTheme="minorHAnsi" w:eastAsia="MS Mincho" w:hAnsiTheme="minorHAnsi" w:cstheme="minorHAnsi"/>
              </w:rPr>
              <w:t>(1.81)</w:t>
            </w:r>
          </w:p>
        </w:tc>
      </w:tr>
    </w:tbl>
    <w:p w14:paraId="64342B75" w14:textId="77777777" w:rsidR="00BF664D" w:rsidRPr="00EC003A" w:rsidRDefault="00BF664D" w:rsidP="00BF664D">
      <w:pPr>
        <w:pStyle w:val="TblFootnote"/>
        <w:spacing w:line="240" w:lineRule="auto"/>
        <w:ind w:left="0" w:firstLine="0"/>
        <w:contextualSpacing/>
        <w:rPr>
          <w:rFonts w:asciiTheme="minorHAnsi" w:eastAsia="MS Mincho" w:hAnsiTheme="minorHAnsi" w:cstheme="minorHAnsi"/>
          <w:sz w:val="18"/>
          <w:szCs w:val="18"/>
        </w:rPr>
      </w:pPr>
      <w:r w:rsidRPr="00EC003A">
        <w:rPr>
          <w:rFonts w:asciiTheme="minorHAnsi" w:eastAsia="MS Mincho" w:hAnsiTheme="minorHAnsi" w:cstheme="minorHAnsi"/>
          <w:sz w:val="18"/>
          <w:szCs w:val="18"/>
        </w:rPr>
        <w:t>OLU = </w:t>
      </w:r>
      <w:proofErr w:type="spellStart"/>
      <w:r w:rsidRPr="00EC003A">
        <w:rPr>
          <w:rFonts w:asciiTheme="minorHAnsi" w:eastAsia="MS Mincho" w:hAnsiTheme="minorHAnsi" w:cstheme="minorHAnsi"/>
          <w:sz w:val="18"/>
          <w:szCs w:val="18"/>
        </w:rPr>
        <w:t>Olumiant</w:t>
      </w:r>
      <w:proofErr w:type="spellEnd"/>
      <w:r w:rsidRPr="00EC003A">
        <w:rPr>
          <w:rFonts w:asciiTheme="minorHAnsi" w:eastAsia="MS Mincho" w:hAnsiTheme="minorHAnsi" w:cstheme="minorHAnsi"/>
          <w:sz w:val="18"/>
          <w:szCs w:val="18"/>
        </w:rPr>
        <w:t>; PBO = Placebo</w:t>
      </w:r>
    </w:p>
    <w:p w14:paraId="60990A3D" w14:textId="2959C3DE" w:rsidR="00BF664D" w:rsidRPr="00EC003A" w:rsidRDefault="00BF664D" w:rsidP="00BF664D">
      <w:pPr>
        <w:spacing w:after="0" w:line="240" w:lineRule="auto"/>
        <w:rPr>
          <w:rFonts w:eastAsia="MS Mincho" w:cstheme="minorHAnsi"/>
          <w:sz w:val="18"/>
          <w:szCs w:val="18"/>
        </w:rPr>
      </w:pPr>
      <w:r w:rsidRPr="00EC003A">
        <w:rPr>
          <w:rFonts w:cstheme="minorHAnsi"/>
          <w:sz w:val="18"/>
          <w:szCs w:val="18"/>
          <w:lang w:eastAsia="ja-JP"/>
        </w:rPr>
        <w:t>*</w:t>
      </w:r>
      <w:r w:rsidRPr="00EC003A">
        <w:rPr>
          <w:rFonts w:cstheme="minorHAnsi"/>
          <w:sz w:val="18"/>
          <w:szCs w:val="18"/>
        </w:rPr>
        <w:t xml:space="preserve">p ≤ 0.05; </w:t>
      </w:r>
      <w:r w:rsidRPr="00EC003A">
        <w:rPr>
          <w:rFonts w:cstheme="minorHAnsi"/>
          <w:sz w:val="18"/>
          <w:szCs w:val="18"/>
          <w:lang w:eastAsia="ja-JP"/>
        </w:rPr>
        <w:t>**</w:t>
      </w:r>
      <w:r w:rsidRPr="00EC003A">
        <w:rPr>
          <w:rFonts w:cstheme="minorHAnsi"/>
          <w:sz w:val="18"/>
          <w:szCs w:val="18"/>
        </w:rPr>
        <w:t xml:space="preserve">p ≤ 0.01; </w:t>
      </w:r>
      <w:r w:rsidRPr="00EC003A">
        <w:rPr>
          <w:rFonts w:cstheme="minorHAnsi"/>
          <w:sz w:val="18"/>
          <w:szCs w:val="18"/>
          <w:lang w:eastAsia="ja-JP"/>
        </w:rPr>
        <w:t>***</w:t>
      </w:r>
      <w:r w:rsidRPr="00EC003A">
        <w:rPr>
          <w:rFonts w:cstheme="minorHAnsi"/>
          <w:sz w:val="18"/>
          <w:szCs w:val="18"/>
        </w:rPr>
        <w:t xml:space="preserve">p ≤ 0.001 vs </w:t>
      </w:r>
      <w:proofErr w:type="spellStart"/>
      <w:r w:rsidRPr="00EC003A">
        <w:rPr>
          <w:rFonts w:cstheme="minorHAnsi"/>
          <w:sz w:val="18"/>
          <w:szCs w:val="18"/>
        </w:rPr>
        <w:t>placebo</w:t>
      </w:r>
      <w:r w:rsidRPr="00EC003A">
        <w:rPr>
          <w:rFonts w:eastAsia="MS Mincho" w:cstheme="minorHAnsi"/>
          <w:sz w:val="18"/>
          <w:szCs w:val="18"/>
          <w:vertAlign w:val="superscript"/>
        </w:rPr>
        <w:t>a</w:t>
      </w:r>
      <w:proofErr w:type="spellEnd"/>
      <w:r w:rsidRPr="00EC003A">
        <w:rPr>
          <w:rFonts w:eastAsia="MS Mincho" w:cstheme="minorHAnsi"/>
          <w:sz w:val="18"/>
          <w:szCs w:val="18"/>
        </w:rPr>
        <w:t xml:space="preserve"> All patients were on background topical corticosteroids therapy and patients were permitted to use topical </w:t>
      </w:r>
      <w:proofErr w:type="spellStart"/>
      <w:r w:rsidRPr="00EC003A">
        <w:rPr>
          <w:rFonts w:eastAsia="MS Mincho" w:cstheme="minorHAnsi"/>
          <w:sz w:val="18"/>
          <w:szCs w:val="18"/>
        </w:rPr>
        <w:t>calcineurin</w:t>
      </w:r>
      <w:proofErr w:type="spellEnd"/>
      <w:r w:rsidRPr="00EC003A">
        <w:rPr>
          <w:rFonts w:eastAsia="MS Mincho" w:cstheme="minorHAnsi"/>
          <w:sz w:val="18"/>
          <w:szCs w:val="18"/>
        </w:rPr>
        <w:t xml:space="preserve"> inhibitors.</w:t>
      </w:r>
    </w:p>
    <w:p w14:paraId="6A2AB08E" w14:textId="77777777" w:rsidR="00BF664D" w:rsidRPr="00EC003A" w:rsidRDefault="00BF664D" w:rsidP="00BF664D">
      <w:pPr>
        <w:keepNext/>
        <w:spacing w:after="0" w:line="240" w:lineRule="auto"/>
        <w:rPr>
          <w:rFonts w:eastAsia="MS Mincho" w:cstheme="minorHAnsi"/>
          <w:sz w:val="18"/>
          <w:szCs w:val="18"/>
        </w:rPr>
      </w:pPr>
      <w:r w:rsidRPr="00EC003A">
        <w:rPr>
          <w:rFonts w:eastAsia="MS Mincho" w:cstheme="minorHAnsi"/>
          <w:sz w:val="18"/>
          <w:szCs w:val="18"/>
          <w:vertAlign w:val="superscript"/>
        </w:rPr>
        <w:t xml:space="preserve">b </w:t>
      </w:r>
      <w:r w:rsidRPr="00EC003A">
        <w:rPr>
          <w:rFonts w:eastAsia="MS Mincho" w:cstheme="minorHAnsi"/>
          <w:sz w:val="18"/>
          <w:szCs w:val="18"/>
        </w:rPr>
        <w:t>Full analysis set (FAS) includes all randomised patients.</w:t>
      </w:r>
    </w:p>
    <w:p w14:paraId="02C43518" w14:textId="77777777" w:rsidR="00BF664D" w:rsidRPr="00EC003A" w:rsidRDefault="00BF664D" w:rsidP="00BF664D">
      <w:pPr>
        <w:spacing w:after="0" w:line="240" w:lineRule="auto"/>
        <w:rPr>
          <w:rFonts w:eastAsia="MS Mincho" w:cstheme="minorHAnsi"/>
          <w:sz w:val="18"/>
          <w:szCs w:val="18"/>
        </w:rPr>
      </w:pPr>
      <w:r w:rsidRPr="00EC003A">
        <w:rPr>
          <w:rFonts w:eastAsia="MS Mincho" w:cstheme="minorHAnsi"/>
          <w:sz w:val="18"/>
          <w:szCs w:val="18"/>
          <w:vertAlign w:val="superscript"/>
        </w:rPr>
        <w:t>c</w:t>
      </w:r>
      <w:r w:rsidRPr="00EC003A">
        <w:rPr>
          <w:rFonts w:eastAsia="MS Mincho" w:cstheme="minorHAnsi"/>
          <w:sz w:val="18"/>
          <w:szCs w:val="18"/>
        </w:rPr>
        <w:t xml:space="preserve"> Responder was defined as a patient with IGA 0 or 1 (“clear” or “almost clear”) with a reduction of</w:t>
      </w:r>
    </w:p>
    <w:p w14:paraId="3C3596B6" w14:textId="77777777" w:rsidR="00BF664D" w:rsidRPr="00EC003A" w:rsidRDefault="00BF664D" w:rsidP="00BF664D">
      <w:pPr>
        <w:spacing w:after="0" w:line="240" w:lineRule="auto"/>
        <w:rPr>
          <w:rFonts w:eastAsia="MS Mincho" w:cstheme="minorHAnsi"/>
          <w:sz w:val="18"/>
          <w:szCs w:val="18"/>
        </w:rPr>
      </w:pPr>
      <w:r w:rsidRPr="00EC003A">
        <w:rPr>
          <w:rFonts w:eastAsia="MS Mincho" w:cstheme="minorHAnsi"/>
          <w:sz w:val="18"/>
          <w:szCs w:val="18"/>
        </w:rPr>
        <w:t>≥ 2 points on a 0-4 IGA scale.</w:t>
      </w:r>
    </w:p>
    <w:p w14:paraId="6EE39869" w14:textId="77777777" w:rsidR="00BF664D" w:rsidRPr="00EC003A" w:rsidRDefault="00BF664D" w:rsidP="00BF664D">
      <w:pPr>
        <w:spacing w:after="0" w:line="240" w:lineRule="auto"/>
        <w:rPr>
          <w:rFonts w:eastAsia="MS Mincho" w:cstheme="minorHAnsi"/>
          <w:sz w:val="18"/>
          <w:szCs w:val="18"/>
        </w:rPr>
      </w:pPr>
      <w:r w:rsidRPr="00EC003A">
        <w:rPr>
          <w:rFonts w:cstheme="minorHAnsi"/>
          <w:sz w:val="18"/>
          <w:szCs w:val="18"/>
          <w:vertAlign w:val="superscript"/>
        </w:rPr>
        <w:t>d</w:t>
      </w:r>
      <w:r w:rsidRPr="00EC003A">
        <w:rPr>
          <w:rFonts w:eastAsia="MS Mincho" w:cstheme="minorHAnsi"/>
          <w:sz w:val="18"/>
          <w:szCs w:val="18"/>
        </w:rPr>
        <w:t xml:space="preserve"> Non-Responder Imputation: Patients who received rescue treatment or with missing data were considered as non-responders.</w:t>
      </w:r>
    </w:p>
    <w:p w14:paraId="2C5AF240" w14:textId="77777777" w:rsidR="00BF664D" w:rsidRPr="00EC003A" w:rsidRDefault="00BF664D" w:rsidP="00BF664D">
      <w:pPr>
        <w:spacing w:after="0" w:line="240" w:lineRule="auto"/>
        <w:rPr>
          <w:rFonts w:eastAsia="MS Mincho" w:cstheme="minorHAnsi"/>
          <w:sz w:val="18"/>
          <w:szCs w:val="18"/>
        </w:rPr>
      </w:pPr>
      <w:r w:rsidRPr="00EC003A">
        <w:rPr>
          <w:rFonts w:cstheme="minorHAnsi"/>
          <w:sz w:val="18"/>
          <w:szCs w:val="18"/>
          <w:vertAlign w:val="superscript"/>
        </w:rPr>
        <w:t>e</w:t>
      </w:r>
      <w:r w:rsidRPr="00EC003A">
        <w:rPr>
          <w:rFonts w:eastAsia="MS Mincho" w:cstheme="minorHAnsi"/>
          <w:sz w:val="18"/>
          <w:szCs w:val="18"/>
        </w:rPr>
        <w:t xml:space="preserve"> Results shown in subset of patients </w:t>
      </w:r>
      <w:r w:rsidRPr="00EC003A">
        <w:rPr>
          <w:rFonts w:cstheme="minorHAnsi"/>
          <w:sz w:val="18"/>
          <w:szCs w:val="18"/>
          <w:lang w:eastAsia="ja-JP"/>
        </w:rPr>
        <w:t>eligible for assessment</w:t>
      </w:r>
      <w:r w:rsidRPr="00EC003A">
        <w:rPr>
          <w:rFonts w:eastAsia="MS Mincho" w:cstheme="minorHAnsi"/>
          <w:sz w:val="18"/>
          <w:szCs w:val="18"/>
        </w:rPr>
        <w:t xml:space="preserve"> (patients with itch NRS </w:t>
      </w:r>
      <w:r w:rsidRPr="00EC003A">
        <w:rPr>
          <w:rFonts w:cstheme="minorHAnsi"/>
          <w:sz w:val="18"/>
          <w:szCs w:val="18"/>
          <w:u w:val="single"/>
        </w:rPr>
        <w:t>≥</w:t>
      </w:r>
      <w:r w:rsidRPr="00EC003A">
        <w:rPr>
          <w:rFonts w:eastAsia="MS Mincho" w:cstheme="minorHAnsi"/>
          <w:sz w:val="18"/>
          <w:szCs w:val="18"/>
        </w:rPr>
        <w:t> 4 at baseline)</w:t>
      </w:r>
    </w:p>
    <w:p w14:paraId="380C4FB3" w14:textId="7CA641D8" w:rsidR="00BF664D" w:rsidRDefault="00BF664D" w:rsidP="00BF664D">
      <w:pPr>
        <w:spacing w:after="0" w:line="240" w:lineRule="auto"/>
        <w:rPr>
          <w:rFonts w:cstheme="minorHAnsi"/>
          <w:bCs/>
          <w:sz w:val="18"/>
          <w:szCs w:val="18"/>
        </w:rPr>
      </w:pPr>
      <w:r w:rsidRPr="00EC003A">
        <w:rPr>
          <w:rFonts w:eastAsia="MS Mincho" w:cstheme="minorHAnsi"/>
          <w:sz w:val="18"/>
          <w:szCs w:val="18"/>
          <w:vertAlign w:val="superscript"/>
        </w:rPr>
        <w:t>f</w:t>
      </w:r>
      <w:r w:rsidRPr="00EC003A">
        <w:rPr>
          <w:rFonts w:eastAsia="MS Mincho" w:cstheme="minorHAnsi"/>
          <w:sz w:val="18"/>
          <w:szCs w:val="18"/>
        </w:rPr>
        <w:t xml:space="preserve"> </w:t>
      </w:r>
      <w:r w:rsidRPr="00EC003A">
        <w:rPr>
          <w:rFonts w:cstheme="minorHAnsi"/>
          <w:bCs/>
          <w:sz w:val="18"/>
          <w:szCs w:val="18"/>
        </w:rPr>
        <w:t xml:space="preserve">Data collected after rescue therapy </w:t>
      </w:r>
      <w:r w:rsidRPr="00EC003A">
        <w:rPr>
          <w:rFonts w:cstheme="minorHAnsi"/>
          <w:bCs/>
          <w:sz w:val="18"/>
          <w:szCs w:val="18"/>
          <w:lang w:val="en-GB"/>
        </w:rPr>
        <w:t xml:space="preserve">or after permanent study drug discontinuation were </w:t>
      </w:r>
      <w:r w:rsidRPr="00EC003A">
        <w:rPr>
          <w:rFonts w:cstheme="minorHAnsi"/>
          <w:bCs/>
          <w:sz w:val="18"/>
          <w:szCs w:val="18"/>
        </w:rPr>
        <w:t>considered missing.  LS means are from MMRM analyses which incorporates multiple imputation for missing data.</w:t>
      </w:r>
    </w:p>
    <w:p w14:paraId="505E3B33" w14:textId="77777777" w:rsidR="006C0211" w:rsidRPr="006C0211" w:rsidRDefault="006C0211" w:rsidP="006C0211">
      <w:pPr>
        <w:spacing w:after="0" w:line="240" w:lineRule="auto"/>
        <w:rPr>
          <w:rFonts w:eastAsia="MS Mincho" w:cstheme="minorHAnsi"/>
          <w:sz w:val="18"/>
          <w:szCs w:val="18"/>
        </w:rPr>
      </w:pPr>
      <w:r w:rsidRPr="006C0211">
        <w:rPr>
          <w:rFonts w:eastAsia="MS Mincho" w:cstheme="minorHAnsi"/>
          <w:sz w:val="18"/>
          <w:szCs w:val="18"/>
          <w:vertAlign w:val="superscript"/>
        </w:rPr>
        <w:t>g</w:t>
      </w:r>
      <w:r w:rsidRPr="006C0211">
        <w:rPr>
          <w:rFonts w:eastAsia="MS Mincho" w:cstheme="minorHAnsi"/>
          <w:sz w:val="18"/>
          <w:szCs w:val="18"/>
        </w:rPr>
        <w:t xml:space="preserve"> Not statistically significant after adjustment for multiple comparisons.</w:t>
      </w:r>
    </w:p>
    <w:p w14:paraId="4A1205DE" w14:textId="77777777" w:rsidR="006C0211" w:rsidRPr="006C0211" w:rsidRDefault="006C0211" w:rsidP="0018184E">
      <w:pPr>
        <w:spacing w:line="240" w:lineRule="auto"/>
        <w:rPr>
          <w:rFonts w:eastAsia="MS Mincho" w:cstheme="minorHAnsi"/>
          <w:sz w:val="18"/>
          <w:szCs w:val="18"/>
        </w:rPr>
      </w:pPr>
      <w:r w:rsidRPr="006C0211">
        <w:rPr>
          <w:rFonts w:eastAsia="MS Mincho" w:cstheme="minorHAnsi"/>
          <w:sz w:val="18"/>
          <w:szCs w:val="18"/>
          <w:vertAlign w:val="superscript"/>
        </w:rPr>
        <w:t>h</w:t>
      </w:r>
      <w:r w:rsidRPr="006C0211">
        <w:rPr>
          <w:rFonts w:eastAsia="MS Mincho" w:cstheme="minorHAnsi"/>
          <w:sz w:val="18"/>
          <w:szCs w:val="18"/>
        </w:rPr>
        <w:t xml:space="preserve"> Endpoint was not adjusted for multiplicity.</w:t>
      </w:r>
    </w:p>
    <w:p w14:paraId="139095F1" w14:textId="0EB8179E" w:rsidR="00931EC2" w:rsidRPr="00937460" w:rsidRDefault="00931EC2" w:rsidP="00937460">
      <w:pPr>
        <w:rPr>
          <w:b/>
        </w:rPr>
      </w:pPr>
      <w:r w:rsidRPr="00937460">
        <w:rPr>
          <w:b/>
        </w:rPr>
        <w:t xml:space="preserve">Figure </w:t>
      </w:r>
      <w:r w:rsidR="003A1803" w:rsidRPr="00937460">
        <w:rPr>
          <w:b/>
        </w:rPr>
        <w:t>5</w:t>
      </w:r>
      <w:r w:rsidRPr="00937460">
        <w:rPr>
          <w:b/>
        </w:rPr>
        <w:t>.  Mean percent change from baseline in EASI in BREEZE-AD7</w:t>
      </w:r>
      <w:r w:rsidRPr="00937460">
        <w:rPr>
          <w:b/>
          <w:vertAlign w:val="superscript"/>
        </w:rPr>
        <w:t xml:space="preserve"> </w:t>
      </w:r>
      <w:r w:rsidRPr="00937460">
        <w:rPr>
          <w:b/>
        </w:rPr>
        <w:t>(FAS)</w:t>
      </w:r>
      <w:r w:rsidR="00F8106E" w:rsidRPr="00937460">
        <w:rPr>
          <w:b/>
          <w:vertAlign w:val="superscript"/>
        </w:rPr>
        <w:t>a</w:t>
      </w:r>
    </w:p>
    <w:p w14:paraId="02B72CCD" w14:textId="5F0DAB5E" w:rsidR="00931EC2" w:rsidRPr="007E4310" w:rsidRDefault="00BF664D" w:rsidP="00937460">
      <w:r>
        <w:rPr>
          <w:noProof/>
          <w:lang w:eastAsia="en-AU"/>
        </w:rPr>
        <w:drawing>
          <wp:inline distT="0" distB="0" distL="0" distR="0" wp14:anchorId="2A7419C7" wp14:editId="430DBEF6">
            <wp:extent cx="2799470" cy="3268983"/>
            <wp:effectExtent l="0" t="0" r="127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mPC EASI Percent Change AD7.jpg"/>
                    <pic:cNvPicPr/>
                  </pic:nvPicPr>
                  <pic:blipFill>
                    <a:blip r:embed="rId13">
                      <a:extLst>
                        <a:ext uri="{28A0092B-C50C-407E-A947-70E740481C1C}">
                          <a14:useLocalDpi xmlns:a14="http://schemas.microsoft.com/office/drawing/2010/main" val="0"/>
                        </a:ext>
                      </a:extLst>
                    </a:blip>
                    <a:stretch>
                      <a:fillRect/>
                    </a:stretch>
                  </pic:blipFill>
                  <pic:spPr>
                    <a:xfrm>
                      <a:off x="0" y="0"/>
                      <a:ext cx="2857699" cy="3336978"/>
                    </a:xfrm>
                    <a:prstGeom prst="rect">
                      <a:avLst/>
                    </a:prstGeom>
                  </pic:spPr>
                </pic:pic>
              </a:graphicData>
            </a:graphic>
          </wp:inline>
        </w:drawing>
      </w:r>
    </w:p>
    <w:p w14:paraId="49C9F018" w14:textId="5D31FAD1" w:rsidR="00BF664D" w:rsidRPr="00EC003A" w:rsidRDefault="00BF664D" w:rsidP="00BF664D">
      <w:pPr>
        <w:keepNext/>
        <w:spacing w:line="240" w:lineRule="auto"/>
        <w:rPr>
          <w:rFonts w:eastAsia="MS Mincho"/>
          <w:sz w:val="18"/>
          <w:szCs w:val="18"/>
        </w:rPr>
      </w:pPr>
      <w:r w:rsidRPr="00EC003A">
        <w:rPr>
          <w:rFonts w:eastAsia="MS Mincho"/>
          <w:sz w:val="18"/>
          <w:szCs w:val="18"/>
        </w:rPr>
        <w:t>LS = Least squares; *p≤0.0</w:t>
      </w:r>
      <w:r w:rsidR="00456A7C">
        <w:rPr>
          <w:rFonts w:eastAsia="MS Mincho"/>
          <w:sz w:val="18"/>
          <w:szCs w:val="18"/>
        </w:rPr>
        <w:t>5</w:t>
      </w:r>
      <w:r w:rsidR="00A12A7D" w:rsidRPr="00EC003A">
        <w:rPr>
          <w:rFonts w:eastAsia="MS Mincho"/>
          <w:sz w:val="18"/>
          <w:szCs w:val="18"/>
        </w:rPr>
        <w:t xml:space="preserve"> </w:t>
      </w:r>
      <w:r w:rsidRPr="00EC003A">
        <w:rPr>
          <w:rFonts w:eastAsia="MS Mincho"/>
          <w:sz w:val="18"/>
          <w:szCs w:val="18"/>
        </w:rPr>
        <w:t>**p≤0.01, ***p≤0.001 vs placebo</w:t>
      </w:r>
    </w:p>
    <w:p w14:paraId="630CB344" w14:textId="77777777" w:rsidR="00BF664D" w:rsidRPr="00EC003A" w:rsidRDefault="00BF664D" w:rsidP="00BF664D">
      <w:pPr>
        <w:spacing w:line="240" w:lineRule="auto"/>
        <w:rPr>
          <w:rFonts w:eastAsia="MS Mincho"/>
          <w:sz w:val="18"/>
          <w:szCs w:val="18"/>
        </w:rPr>
      </w:pPr>
      <w:r w:rsidRPr="00EC003A">
        <w:rPr>
          <w:rFonts w:eastAsia="MS Mincho"/>
          <w:sz w:val="18"/>
          <w:szCs w:val="18"/>
          <w:vertAlign w:val="superscript"/>
        </w:rPr>
        <w:t xml:space="preserve">a </w:t>
      </w:r>
      <w:r w:rsidRPr="00EC003A">
        <w:rPr>
          <w:rFonts w:eastAsia="MS Mincho"/>
          <w:sz w:val="18"/>
          <w:szCs w:val="18"/>
        </w:rPr>
        <w:t xml:space="preserve">Full analysis set (FAS) including all patients randomised. </w:t>
      </w:r>
      <w:r w:rsidRPr="00EC003A">
        <w:rPr>
          <w:bCs/>
          <w:sz w:val="18"/>
          <w:szCs w:val="18"/>
        </w:rPr>
        <w:t xml:space="preserve">Data collected after rescue therapy </w:t>
      </w:r>
      <w:r w:rsidRPr="00EC003A">
        <w:rPr>
          <w:bCs/>
          <w:sz w:val="18"/>
          <w:szCs w:val="18"/>
          <w:lang w:val="en-GB"/>
        </w:rPr>
        <w:t xml:space="preserve">or after permanent study drug discontinuation are </w:t>
      </w:r>
      <w:r w:rsidRPr="00EC003A">
        <w:rPr>
          <w:bCs/>
          <w:sz w:val="18"/>
          <w:szCs w:val="18"/>
        </w:rPr>
        <w:t>considered missing.  LS means are from MMRM analyses which incorporates multiple imputation for missing data.</w:t>
      </w:r>
    </w:p>
    <w:p w14:paraId="5AC04B31" w14:textId="5452FCC6" w:rsidR="00F117F3" w:rsidRPr="00937460" w:rsidRDefault="00931EC2" w:rsidP="00937460">
      <w:pPr>
        <w:rPr>
          <w:b/>
          <w:vertAlign w:val="superscript"/>
        </w:rPr>
      </w:pPr>
      <w:r w:rsidRPr="00937460">
        <w:rPr>
          <w:b/>
        </w:rPr>
        <w:lastRenderedPageBreak/>
        <w:t>Figure</w:t>
      </w:r>
      <w:r w:rsidR="003A1803" w:rsidRPr="00937460">
        <w:rPr>
          <w:b/>
        </w:rPr>
        <w:t xml:space="preserve"> 6</w:t>
      </w:r>
      <w:r w:rsidRPr="00937460">
        <w:rPr>
          <w:b/>
        </w:rPr>
        <w:t>.  Mean percent change from baseline in itch NRS in BREEZE-AD7 (FAS)</w:t>
      </w:r>
      <w:r w:rsidR="00F8106E" w:rsidRPr="00937460">
        <w:rPr>
          <w:b/>
          <w:vertAlign w:val="superscript"/>
        </w:rPr>
        <w:t>a</w:t>
      </w:r>
    </w:p>
    <w:p w14:paraId="752C8F36" w14:textId="78E08BBD" w:rsidR="00F117F3" w:rsidRDefault="00F117F3" w:rsidP="00931EC2">
      <w:pPr>
        <w:spacing w:line="240" w:lineRule="auto"/>
        <w:rPr>
          <w:rFonts w:eastAsia="MS Mincho"/>
        </w:rPr>
      </w:pPr>
      <w:r>
        <w:rPr>
          <w:rFonts w:eastAsia="MS Mincho"/>
          <w:noProof/>
          <w:lang w:eastAsia="en-AU"/>
        </w:rPr>
        <w:drawing>
          <wp:inline distT="0" distB="0" distL="0" distR="0" wp14:anchorId="595DBBD5" wp14:editId="7BFBC30D">
            <wp:extent cx="2523490" cy="296666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mPC Itch Percent Change AD7.JPG"/>
                    <pic:cNvPicPr/>
                  </pic:nvPicPr>
                  <pic:blipFill>
                    <a:blip r:embed="rId14">
                      <a:extLst>
                        <a:ext uri="{28A0092B-C50C-407E-A947-70E740481C1C}">
                          <a14:useLocalDpi xmlns:a14="http://schemas.microsoft.com/office/drawing/2010/main" val="0"/>
                        </a:ext>
                      </a:extLst>
                    </a:blip>
                    <a:stretch>
                      <a:fillRect/>
                    </a:stretch>
                  </pic:blipFill>
                  <pic:spPr>
                    <a:xfrm>
                      <a:off x="0" y="0"/>
                      <a:ext cx="2560090" cy="3009692"/>
                    </a:xfrm>
                    <a:prstGeom prst="rect">
                      <a:avLst/>
                    </a:prstGeom>
                  </pic:spPr>
                </pic:pic>
              </a:graphicData>
            </a:graphic>
          </wp:inline>
        </w:drawing>
      </w:r>
    </w:p>
    <w:p w14:paraId="696C849D" w14:textId="6191F551" w:rsidR="00931EC2" w:rsidRDefault="00931EC2" w:rsidP="00931EC2">
      <w:pPr>
        <w:spacing w:line="240" w:lineRule="auto"/>
        <w:jc w:val="center"/>
        <w:rPr>
          <w:rFonts w:eastAsia="MS Mincho"/>
        </w:rPr>
      </w:pPr>
    </w:p>
    <w:p w14:paraId="2CEF75F3" w14:textId="79319E3F" w:rsidR="00BF664D" w:rsidRPr="00EC003A" w:rsidRDefault="00BF664D" w:rsidP="00BF664D">
      <w:pPr>
        <w:keepNext/>
        <w:spacing w:line="240" w:lineRule="auto"/>
        <w:rPr>
          <w:rFonts w:eastAsia="MS Mincho"/>
          <w:sz w:val="18"/>
          <w:szCs w:val="18"/>
        </w:rPr>
      </w:pPr>
      <w:r w:rsidRPr="00EC003A">
        <w:rPr>
          <w:rFonts w:eastAsia="MS Mincho"/>
          <w:sz w:val="18"/>
          <w:szCs w:val="18"/>
        </w:rPr>
        <w:t>LS = Least squares; p≤</w:t>
      </w:r>
      <w:r w:rsidR="00456A7C">
        <w:rPr>
          <w:rFonts w:eastAsia="MS Mincho"/>
          <w:sz w:val="18"/>
          <w:szCs w:val="18"/>
        </w:rPr>
        <w:t>0</w:t>
      </w:r>
      <w:r w:rsidRPr="00EC003A">
        <w:rPr>
          <w:rFonts w:eastAsia="MS Mincho"/>
          <w:sz w:val="18"/>
          <w:szCs w:val="18"/>
        </w:rPr>
        <w:t>.0</w:t>
      </w:r>
      <w:r w:rsidR="00456A7C">
        <w:rPr>
          <w:rFonts w:eastAsia="MS Mincho"/>
          <w:sz w:val="18"/>
          <w:szCs w:val="18"/>
        </w:rPr>
        <w:t>5</w:t>
      </w:r>
      <w:r w:rsidRPr="00EC003A">
        <w:rPr>
          <w:rFonts w:eastAsia="MS Mincho"/>
          <w:sz w:val="18"/>
          <w:szCs w:val="18"/>
        </w:rPr>
        <w:t>,**p≤0.01, ***p≤0.001 vs placebo</w:t>
      </w:r>
    </w:p>
    <w:p w14:paraId="798CA57E" w14:textId="77777777" w:rsidR="00BF664D" w:rsidRPr="00EC003A" w:rsidRDefault="00BF664D" w:rsidP="00BF664D">
      <w:pPr>
        <w:spacing w:line="240" w:lineRule="auto"/>
        <w:rPr>
          <w:rFonts w:eastAsia="MS Mincho"/>
          <w:sz w:val="18"/>
          <w:szCs w:val="18"/>
        </w:rPr>
      </w:pPr>
      <w:r w:rsidRPr="00EC003A">
        <w:rPr>
          <w:rFonts w:eastAsia="MS Mincho"/>
          <w:sz w:val="18"/>
          <w:szCs w:val="18"/>
          <w:vertAlign w:val="superscript"/>
        </w:rPr>
        <w:t xml:space="preserve">a </w:t>
      </w:r>
      <w:r w:rsidRPr="00EC003A">
        <w:rPr>
          <w:rFonts w:eastAsia="MS Mincho"/>
          <w:sz w:val="18"/>
          <w:szCs w:val="18"/>
        </w:rPr>
        <w:t xml:space="preserve">Full analysis set (FAS) including all patients randomised. </w:t>
      </w:r>
      <w:r w:rsidRPr="00EC003A">
        <w:rPr>
          <w:bCs/>
          <w:sz w:val="18"/>
          <w:szCs w:val="18"/>
        </w:rPr>
        <w:t xml:space="preserve">Data collected after rescue therapy </w:t>
      </w:r>
      <w:r w:rsidRPr="00EC003A">
        <w:rPr>
          <w:bCs/>
          <w:sz w:val="18"/>
          <w:szCs w:val="18"/>
          <w:lang w:val="en-GB"/>
        </w:rPr>
        <w:t xml:space="preserve">or after permanent study drug discontinuation are </w:t>
      </w:r>
      <w:r w:rsidRPr="00EC003A">
        <w:rPr>
          <w:bCs/>
          <w:sz w:val="18"/>
          <w:szCs w:val="18"/>
        </w:rPr>
        <w:t>considered missing.  LS means are from MMRM analyses which incorporates multiple imputation for missing data.</w:t>
      </w:r>
    </w:p>
    <w:p w14:paraId="72CC7C23" w14:textId="48D371CF" w:rsidR="00931EC2" w:rsidRPr="00931EC2" w:rsidRDefault="00931EC2" w:rsidP="00931EC2">
      <w:pPr>
        <w:spacing w:line="240" w:lineRule="auto"/>
        <w:rPr>
          <w:rFonts w:eastAsia="MS Mincho"/>
          <w:i/>
          <w:u w:val="single"/>
        </w:rPr>
      </w:pPr>
      <w:r w:rsidRPr="00866062">
        <w:rPr>
          <w:rFonts w:eastAsia="MS Mincho"/>
          <w:i/>
          <w:u w:val="single"/>
        </w:rPr>
        <w:t xml:space="preserve">Maintenance and Durability of Response </w:t>
      </w:r>
    </w:p>
    <w:p w14:paraId="6F85CAA0" w14:textId="17A0709E" w:rsidR="005664D1" w:rsidRPr="00C51F33" w:rsidRDefault="005664D1" w:rsidP="005664D1">
      <w:pPr>
        <w:spacing w:line="240" w:lineRule="auto"/>
      </w:pPr>
      <w:r w:rsidRPr="00C51F33">
        <w:t xml:space="preserve">To evaluate maintenance of response, subjects treated with </w:t>
      </w:r>
      <w:r>
        <w:t>OLUMIANT</w:t>
      </w:r>
      <w:r w:rsidRPr="00C51F33">
        <w:t xml:space="preserve"> for 16</w:t>
      </w:r>
      <w:r>
        <w:t> </w:t>
      </w:r>
      <w:r w:rsidRPr="00C51F33">
        <w:t>weeks in BREEZE-AD1 and BREEZE-AD2 were eligible to enrol in a long term extension study BREEZE-AD3 to an additional 36</w:t>
      </w:r>
      <w:r>
        <w:t>-</w:t>
      </w:r>
      <w:r w:rsidRPr="00C51F33">
        <w:t>week</w:t>
      </w:r>
      <w:r w:rsidR="00A12A7D">
        <w:t>s</w:t>
      </w:r>
      <w:r w:rsidRPr="00C51F33">
        <w:t xml:space="preserve"> of treatment, for a cumulative 52</w:t>
      </w:r>
      <w:r>
        <w:t>-</w:t>
      </w:r>
      <w:r w:rsidRPr="00C51F33">
        <w:t xml:space="preserve">week study treatment. </w:t>
      </w:r>
      <w:r w:rsidRPr="00C51F33">
        <w:rPr>
          <w:rFonts w:eastAsia="MS Mincho"/>
        </w:rPr>
        <w:t>Continued, durable response was observed. Figure</w:t>
      </w:r>
      <w:r>
        <w:rPr>
          <w:rFonts w:eastAsia="MS Mincho"/>
        </w:rPr>
        <w:t> 7</w:t>
      </w:r>
      <w:r w:rsidRPr="00C51F33">
        <w:rPr>
          <w:rFonts w:eastAsia="MS Mincho"/>
        </w:rPr>
        <w:t xml:space="preserve"> shows the percentage of patients with </w:t>
      </w:r>
      <w:r>
        <w:rPr>
          <w:rFonts w:eastAsia="MS Mincho"/>
        </w:rPr>
        <w:t>EASI 75</w:t>
      </w:r>
      <w:r w:rsidRPr="00C51F33">
        <w:rPr>
          <w:rFonts w:eastAsia="MS Mincho"/>
        </w:rPr>
        <w:t xml:space="preserve"> from baseline in BREEZE-AD3 up to week</w:t>
      </w:r>
      <w:r>
        <w:rPr>
          <w:rFonts w:eastAsia="MS Mincho"/>
        </w:rPr>
        <w:t> </w:t>
      </w:r>
      <w:r w:rsidRPr="00C51F33">
        <w:rPr>
          <w:rFonts w:eastAsia="MS Mincho"/>
        </w:rPr>
        <w:t>52.</w:t>
      </w:r>
    </w:p>
    <w:p w14:paraId="325F7E59" w14:textId="6E692B1E" w:rsidR="00E654C3" w:rsidRPr="00937460" w:rsidRDefault="00931EC2" w:rsidP="00937460">
      <w:pPr>
        <w:rPr>
          <w:b/>
        </w:rPr>
      </w:pPr>
      <w:r w:rsidRPr="00937460">
        <w:rPr>
          <w:b/>
        </w:rPr>
        <w:t xml:space="preserve">Figure </w:t>
      </w:r>
      <w:r w:rsidR="003A1803" w:rsidRPr="00937460">
        <w:rPr>
          <w:b/>
        </w:rPr>
        <w:t>7</w:t>
      </w:r>
      <w:r w:rsidRPr="00937460">
        <w:rPr>
          <w:b/>
        </w:rPr>
        <w:t xml:space="preserve">.  </w:t>
      </w:r>
      <w:r w:rsidR="00E654C3" w:rsidRPr="00937460">
        <w:rPr>
          <w:b/>
        </w:rPr>
        <w:t xml:space="preserve">EASI 75 Persistence over time for </w:t>
      </w:r>
      <w:r w:rsidR="008B4A65" w:rsidRPr="00937460">
        <w:rPr>
          <w:b/>
        </w:rPr>
        <w:t>OLUMIANT</w:t>
      </w:r>
      <w:r w:rsidR="00E654C3" w:rsidRPr="00937460">
        <w:rPr>
          <w:b/>
        </w:rPr>
        <w:t xml:space="preserve"> 4 mg in BREEZE-AD3 up to Week 52</w:t>
      </w:r>
      <w:r w:rsidR="00E654C3" w:rsidRPr="00937460">
        <w:rPr>
          <w:b/>
          <w:vertAlign w:val="superscript"/>
        </w:rPr>
        <w:t>a</w:t>
      </w:r>
    </w:p>
    <w:p w14:paraId="3D50513E" w14:textId="0834E303" w:rsidR="00931EC2" w:rsidRDefault="005664D1" w:rsidP="00937460">
      <w:pPr>
        <w:rPr>
          <w:rFonts w:eastAsia="MS Mincho"/>
        </w:rPr>
      </w:pPr>
      <w:r>
        <w:rPr>
          <w:noProof/>
          <w:lang w:eastAsia="en-AU"/>
        </w:rPr>
        <w:drawing>
          <wp:inline distT="0" distB="0" distL="0" distR="0" wp14:anchorId="6FF590FA" wp14:editId="1FC048FC">
            <wp:extent cx="4166483" cy="179593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33375" cy="1824772"/>
                    </a:xfrm>
                    <a:prstGeom prst="rect">
                      <a:avLst/>
                    </a:prstGeom>
                  </pic:spPr>
                </pic:pic>
              </a:graphicData>
            </a:graphic>
          </wp:inline>
        </w:drawing>
      </w:r>
    </w:p>
    <w:p w14:paraId="1B707FC3" w14:textId="77777777" w:rsidR="005664D1" w:rsidRPr="00EC003A" w:rsidRDefault="005664D1" w:rsidP="005664D1">
      <w:pPr>
        <w:autoSpaceDE w:val="0"/>
        <w:autoSpaceDN w:val="0"/>
        <w:adjustRightInd w:val="0"/>
        <w:spacing w:line="240" w:lineRule="auto"/>
        <w:rPr>
          <w:rFonts w:ascii="TimesNewRoman" w:eastAsia="SimSun" w:hAnsi="TimesNewRoman" w:cs="TimesNewRoman"/>
          <w:sz w:val="18"/>
          <w:szCs w:val="18"/>
          <w:lang w:val="en-GB" w:eastAsia="en-GB"/>
        </w:rPr>
      </w:pPr>
      <w:r w:rsidRPr="00EC003A">
        <w:rPr>
          <w:rFonts w:eastAsia="MS Mincho"/>
          <w:sz w:val="18"/>
          <w:szCs w:val="18"/>
          <w:vertAlign w:val="superscript"/>
        </w:rPr>
        <w:t>a</w:t>
      </w:r>
      <w:r w:rsidRPr="00EC003A">
        <w:rPr>
          <w:rFonts w:eastAsia="MS Mincho"/>
          <w:sz w:val="18"/>
          <w:szCs w:val="18"/>
        </w:rPr>
        <w:t xml:space="preserve"> Non-Responder Imputation was used. Patients who received rescue treatment (other than topical treatment) or with missing data were considered as non-responders. Data for week 52 are shown for the evaluable population.</w:t>
      </w:r>
    </w:p>
    <w:p w14:paraId="6FC145F8" w14:textId="29889915" w:rsidR="00931EC2" w:rsidRPr="00323A9E" w:rsidRDefault="00931EC2" w:rsidP="00937460">
      <w:pPr>
        <w:spacing w:after="120" w:line="240" w:lineRule="auto"/>
        <w:rPr>
          <w:rFonts w:eastAsia="MS Mincho"/>
          <w:i/>
          <w:u w:val="single"/>
        </w:rPr>
      </w:pPr>
      <w:r w:rsidRPr="00323A9E">
        <w:rPr>
          <w:rFonts w:eastAsia="MS Mincho"/>
          <w:i/>
          <w:u w:val="single"/>
        </w:rPr>
        <w:lastRenderedPageBreak/>
        <w:t>Quality of Life/Patient-Reported Outcomes in Atopic Dermatitis</w:t>
      </w:r>
    </w:p>
    <w:p w14:paraId="2944A060" w14:textId="5F71D0EE" w:rsidR="00720E2A" w:rsidRPr="004C73EF" w:rsidRDefault="005664D1" w:rsidP="00937460">
      <w:pPr>
        <w:spacing w:after="120" w:line="240" w:lineRule="auto"/>
        <w:rPr>
          <w:rFonts w:eastAsia="MS Mincho"/>
        </w:rPr>
      </w:pPr>
      <w:r w:rsidRPr="00C51F33">
        <w:rPr>
          <w:rFonts w:eastAsia="MS Mincho"/>
        </w:rPr>
        <w:t xml:space="preserve">In both monotherapy studies (BREEZE-AD1 and BREEZE-AD2) and in the </w:t>
      </w:r>
      <w:proofErr w:type="spellStart"/>
      <w:r w:rsidRPr="00C51F33">
        <w:rPr>
          <w:rFonts w:eastAsia="MS Mincho"/>
        </w:rPr>
        <w:t>comcomitant</w:t>
      </w:r>
      <w:proofErr w:type="spellEnd"/>
      <w:r w:rsidRPr="00C51F33">
        <w:rPr>
          <w:rFonts w:eastAsia="MS Mincho"/>
        </w:rPr>
        <w:t xml:space="preserve"> TCS study (BREEZE-AD7), </w:t>
      </w:r>
      <w:r>
        <w:rPr>
          <w:rFonts w:eastAsia="MS Mincho"/>
        </w:rPr>
        <w:t>OLUMIANT</w:t>
      </w:r>
      <w:r w:rsidRPr="00C51F33">
        <w:rPr>
          <w:rFonts w:eastAsia="MS Mincho"/>
        </w:rPr>
        <w:t xml:space="preserve"> 4</w:t>
      </w:r>
      <w:r>
        <w:rPr>
          <w:rFonts w:eastAsia="MS Mincho"/>
        </w:rPr>
        <w:t> </w:t>
      </w:r>
      <w:r w:rsidRPr="00C51F33">
        <w:rPr>
          <w:rFonts w:eastAsia="MS Mincho"/>
        </w:rPr>
        <w:t>mg significantly improved patient-reported outcomes, including itch, sleep (as measured by ADSS, POEM and SCORAD), skin pain (skin pain NRS) and quality of life (DLQI) at 16</w:t>
      </w:r>
      <w:r>
        <w:rPr>
          <w:rFonts w:eastAsia="MS Mincho"/>
        </w:rPr>
        <w:t> </w:t>
      </w:r>
      <w:r w:rsidRPr="00C51F33">
        <w:rPr>
          <w:rFonts w:eastAsia="MS Mincho"/>
        </w:rPr>
        <w:t xml:space="preserve">weeks compared to placebo. In addition, anxiety and depression symptoms as measured by the HADS total score were significantly reduced in the </w:t>
      </w:r>
      <w:r>
        <w:rPr>
          <w:rFonts w:eastAsia="MS Mincho"/>
        </w:rPr>
        <w:t>OLUMIANT</w:t>
      </w:r>
      <w:r w:rsidRPr="00C51F33">
        <w:rPr>
          <w:rFonts w:eastAsia="MS Mincho"/>
        </w:rPr>
        <w:t xml:space="preserve"> groups compared to placebo at 16</w:t>
      </w:r>
      <w:r>
        <w:rPr>
          <w:rFonts w:eastAsia="MS Mincho"/>
        </w:rPr>
        <w:t> </w:t>
      </w:r>
      <w:r w:rsidRPr="00C51F33">
        <w:rPr>
          <w:rFonts w:eastAsia="MS Mincho"/>
        </w:rPr>
        <w:t>weeks</w:t>
      </w:r>
      <w:r>
        <w:rPr>
          <w:rFonts w:eastAsia="MS Mincho"/>
        </w:rPr>
        <w:t xml:space="preserve"> </w:t>
      </w:r>
      <w:r w:rsidR="00E654C3" w:rsidRPr="00C51F33">
        <w:rPr>
          <w:rFonts w:eastAsia="MS Mincho"/>
        </w:rPr>
        <w:t>(See Table</w:t>
      </w:r>
      <w:r w:rsidR="00E654C3">
        <w:rPr>
          <w:rFonts w:eastAsia="MS Mincho"/>
        </w:rPr>
        <w:t> 1</w:t>
      </w:r>
      <w:r w:rsidR="008C54A9">
        <w:rPr>
          <w:rFonts w:eastAsia="MS Mincho"/>
        </w:rPr>
        <w:t>6</w:t>
      </w:r>
      <w:r w:rsidR="00E654C3" w:rsidRPr="00C51F33">
        <w:rPr>
          <w:rFonts w:eastAsia="MS Mincho"/>
        </w:rPr>
        <w:t xml:space="preserve">). </w:t>
      </w:r>
    </w:p>
    <w:p w14:paraId="42A5E96B" w14:textId="6B373A30" w:rsidR="008E1A49" w:rsidRPr="00937460" w:rsidRDefault="00931EC2" w:rsidP="00937460">
      <w:pPr>
        <w:rPr>
          <w:b/>
        </w:rPr>
      </w:pPr>
      <w:r w:rsidRPr="00937460">
        <w:rPr>
          <w:b/>
        </w:rPr>
        <w:t xml:space="preserve">Table </w:t>
      </w:r>
      <w:r w:rsidR="003A1803" w:rsidRPr="00937460">
        <w:rPr>
          <w:b/>
        </w:rPr>
        <w:t>1</w:t>
      </w:r>
      <w:r w:rsidR="008C54A9" w:rsidRPr="00937460">
        <w:rPr>
          <w:b/>
        </w:rPr>
        <w:t>6</w:t>
      </w:r>
      <w:r w:rsidRPr="00937460">
        <w:rPr>
          <w:b/>
        </w:rPr>
        <w:t xml:space="preserve">  </w:t>
      </w:r>
      <w:r w:rsidR="008E1A49" w:rsidRPr="00937460">
        <w:rPr>
          <w:b/>
        </w:rPr>
        <w:t xml:space="preserve">Quality of Life/Patient-Reported Outcomes results of </w:t>
      </w:r>
      <w:r w:rsidR="0036702B" w:rsidRPr="00937460">
        <w:rPr>
          <w:b/>
        </w:rPr>
        <w:t>OLUMIANT</w:t>
      </w:r>
      <w:r w:rsidR="008E1A49" w:rsidRPr="00937460">
        <w:rPr>
          <w:b/>
        </w:rPr>
        <w:t xml:space="preserve"> monotherapy and </w:t>
      </w:r>
      <w:r w:rsidR="0036702B" w:rsidRPr="00937460">
        <w:rPr>
          <w:b/>
        </w:rPr>
        <w:t>OLUMIANT</w:t>
      </w:r>
      <w:r w:rsidR="008E1A49" w:rsidRPr="00937460">
        <w:rPr>
          <w:b/>
        </w:rPr>
        <w:t xml:space="preserve"> in combination with TCS at week 16 (FAS)</w:t>
      </w:r>
      <w:r w:rsidR="008E1A49" w:rsidRPr="00937460">
        <w:rPr>
          <w:b/>
          <w:vertAlign w:val="superscript"/>
        </w:rPr>
        <w:t xml:space="preserve"> a</w:t>
      </w:r>
    </w:p>
    <w:tbl>
      <w:tblPr>
        <w:tblStyle w:val="TableGrid"/>
        <w:tblW w:w="4996" w:type="pct"/>
        <w:tblLayout w:type="fixed"/>
        <w:tblLook w:val="04A0" w:firstRow="1" w:lastRow="0" w:firstColumn="1" w:lastColumn="0" w:noHBand="0" w:noVBand="1"/>
      </w:tblPr>
      <w:tblGrid>
        <w:gridCol w:w="1412"/>
        <w:gridCol w:w="665"/>
        <w:gridCol w:w="919"/>
        <w:gridCol w:w="910"/>
        <w:gridCol w:w="631"/>
        <w:gridCol w:w="906"/>
        <w:gridCol w:w="908"/>
        <w:gridCol w:w="816"/>
        <w:gridCol w:w="932"/>
        <w:gridCol w:w="910"/>
      </w:tblGrid>
      <w:tr w:rsidR="005664D1" w:rsidRPr="005664D1" w14:paraId="17F0FC5B" w14:textId="77777777" w:rsidTr="00A63CD4">
        <w:trPr>
          <w:trHeight w:val="210"/>
        </w:trPr>
        <w:tc>
          <w:tcPr>
            <w:tcW w:w="784" w:type="pct"/>
          </w:tcPr>
          <w:p w14:paraId="134234C2" w14:textId="77777777" w:rsidR="005664D1" w:rsidRPr="005664D1" w:rsidRDefault="005664D1" w:rsidP="005664D1">
            <w:pPr>
              <w:rPr>
                <w:rFonts w:asciiTheme="minorHAnsi" w:eastAsia="MS Mincho" w:hAnsiTheme="minorHAnsi" w:cstheme="minorHAnsi"/>
                <w:sz w:val="18"/>
                <w:szCs w:val="18"/>
              </w:rPr>
            </w:pPr>
          </w:p>
        </w:tc>
        <w:tc>
          <w:tcPr>
            <w:tcW w:w="2741" w:type="pct"/>
            <w:gridSpan w:val="6"/>
          </w:tcPr>
          <w:p w14:paraId="6DEEAD8C" w14:textId="77777777" w:rsidR="005664D1" w:rsidRPr="005664D1" w:rsidRDefault="005664D1" w:rsidP="005664D1">
            <w:pPr>
              <w:jc w:val="center"/>
              <w:rPr>
                <w:rFonts w:asciiTheme="minorHAnsi" w:eastAsia="MS Mincho" w:hAnsiTheme="minorHAnsi" w:cstheme="minorHAnsi"/>
                <w:b/>
                <w:sz w:val="18"/>
                <w:szCs w:val="18"/>
              </w:rPr>
            </w:pPr>
            <w:r w:rsidRPr="005664D1">
              <w:rPr>
                <w:rFonts w:asciiTheme="minorHAnsi" w:eastAsia="MS Mincho" w:hAnsiTheme="minorHAnsi" w:cstheme="minorHAnsi"/>
                <w:b/>
                <w:sz w:val="18"/>
                <w:szCs w:val="18"/>
              </w:rPr>
              <w:t>Monotherapy</w:t>
            </w:r>
          </w:p>
        </w:tc>
        <w:tc>
          <w:tcPr>
            <w:tcW w:w="1475" w:type="pct"/>
            <w:gridSpan w:val="3"/>
          </w:tcPr>
          <w:p w14:paraId="7884C11A" w14:textId="77777777" w:rsidR="005664D1" w:rsidRPr="005664D1" w:rsidRDefault="005664D1" w:rsidP="005664D1">
            <w:pPr>
              <w:jc w:val="center"/>
              <w:rPr>
                <w:rFonts w:asciiTheme="minorHAnsi" w:eastAsia="MS Mincho" w:hAnsiTheme="minorHAnsi" w:cstheme="minorHAnsi"/>
                <w:b/>
                <w:sz w:val="18"/>
                <w:szCs w:val="18"/>
              </w:rPr>
            </w:pPr>
            <w:r w:rsidRPr="005664D1">
              <w:rPr>
                <w:rFonts w:asciiTheme="minorHAnsi" w:eastAsia="MS Mincho" w:hAnsiTheme="minorHAnsi" w:cstheme="minorHAnsi"/>
                <w:b/>
                <w:sz w:val="18"/>
                <w:szCs w:val="18"/>
              </w:rPr>
              <w:t>TCS Combination</w:t>
            </w:r>
          </w:p>
        </w:tc>
      </w:tr>
      <w:tr w:rsidR="005664D1" w:rsidRPr="005664D1" w14:paraId="3D5433EA" w14:textId="77777777" w:rsidTr="00A63CD4">
        <w:trPr>
          <w:trHeight w:val="200"/>
        </w:trPr>
        <w:tc>
          <w:tcPr>
            <w:tcW w:w="784" w:type="pct"/>
          </w:tcPr>
          <w:p w14:paraId="130DF6EB" w14:textId="77777777" w:rsidR="005664D1" w:rsidRPr="005664D1" w:rsidRDefault="005664D1" w:rsidP="005664D1">
            <w:pPr>
              <w:rPr>
                <w:rFonts w:asciiTheme="minorHAnsi" w:eastAsia="MS Mincho" w:hAnsiTheme="minorHAnsi" w:cstheme="minorHAnsi"/>
                <w:b/>
                <w:sz w:val="18"/>
                <w:szCs w:val="18"/>
              </w:rPr>
            </w:pPr>
            <w:r w:rsidRPr="005664D1">
              <w:rPr>
                <w:rFonts w:asciiTheme="minorHAnsi" w:eastAsia="MS Mincho" w:hAnsiTheme="minorHAnsi" w:cstheme="minorHAnsi"/>
                <w:b/>
                <w:sz w:val="18"/>
                <w:szCs w:val="18"/>
              </w:rPr>
              <w:t>Study</w:t>
            </w:r>
          </w:p>
        </w:tc>
        <w:tc>
          <w:tcPr>
            <w:tcW w:w="1384" w:type="pct"/>
            <w:gridSpan w:val="3"/>
          </w:tcPr>
          <w:p w14:paraId="19C65044" w14:textId="77777777" w:rsidR="005664D1" w:rsidRPr="005664D1" w:rsidRDefault="005664D1" w:rsidP="005664D1">
            <w:pPr>
              <w:jc w:val="center"/>
              <w:rPr>
                <w:rFonts w:asciiTheme="minorHAnsi" w:eastAsia="MS Mincho" w:hAnsiTheme="minorHAnsi" w:cstheme="minorHAnsi"/>
                <w:b/>
                <w:sz w:val="18"/>
                <w:szCs w:val="18"/>
              </w:rPr>
            </w:pPr>
            <w:r w:rsidRPr="005664D1">
              <w:rPr>
                <w:rFonts w:asciiTheme="minorHAnsi" w:eastAsia="MS Mincho" w:hAnsiTheme="minorHAnsi" w:cstheme="minorHAnsi"/>
                <w:b/>
                <w:sz w:val="18"/>
                <w:szCs w:val="18"/>
              </w:rPr>
              <w:t>BREEZE-AD1</w:t>
            </w:r>
          </w:p>
        </w:tc>
        <w:tc>
          <w:tcPr>
            <w:tcW w:w="1357" w:type="pct"/>
            <w:gridSpan w:val="3"/>
          </w:tcPr>
          <w:p w14:paraId="680211B3" w14:textId="77777777" w:rsidR="005664D1" w:rsidRPr="005664D1" w:rsidRDefault="005664D1" w:rsidP="005664D1">
            <w:pPr>
              <w:jc w:val="center"/>
              <w:rPr>
                <w:rFonts w:asciiTheme="minorHAnsi" w:eastAsia="MS Mincho" w:hAnsiTheme="minorHAnsi" w:cstheme="minorHAnsi"/>
                <w:b/>
                <w:sz w:val="18"/>
                <w:szCs w:val="18"/>
              </w:rPr>
            </w:pPr>
            <w:r w:rsidRPr="005664D1">
              <w:rPr>
                <w:rFonts w:asciiTheme="minorHAnsi" w:eastAsia="MS Mincho" w:hAnsiTheme="minorHAnsi" w:cstheme="minorHAnsi"/>
                <w:b/>
                <w:sz w:val="18"/>
                <w:szCs w:val="18"/>
              </w:rPr>
              <w:t>BREEZE-AD2</w:t>
            </w:r>
          </w:p>
        </w:tc>
        <w:tc>
          <w:tcPr>
            <w:tcW w:w="1475" w:type="pct"/>
            <w:gridSpan w:val="3"/>
          </w:tcPr>
          <w:p w14:paraId="326DE76E" w14:textId="77777777" w:rsidR="005664D1" w:rsidRPr="005664D1" w:rsidRDefault="005664D1" w:rsidP="005664D1">
            <w:pPr>
              <w:jc w:val="center"/>
              <w:rPr>
                <w:rFonts w:asciiTheme="minorHAnsi" w:eastAsia="MS Mincho" w:hAnsiTheme="minorHAnsi" w:cstheme="minorHAnsi"/>
                <w:b/>
                <w:sz w:val="18"/>
                <w:szCs w:val="18"/>
              </w:rPr>
            </w:pPr>
            <w:r w:rsidRPr="005664D1">
              <w:rPr>
                <w:rFonts w:asciiTheme="minorHAnsi" w:eastAsia="MS Mincho" w:hAnsiTheme="minorHAnsi" w:cstheme="minorHAnsi"/>
                <w:b/>
                <w:sz w:val="18"/>
                <w:szCs w:val="18"/>
              </w:rPr>
              <w:t>BREEZE-AD7</w:t>
            </w:r>
          </w:p>
        </w:tc>
      </w:tr>
      <w:tr w:rsidR="005664D1" w:rsidRPr="005664D1" w14:paraId="4243DAC4" w14:textId="77777777" w:rsidTr="00A63CD4">
        <w:trPr>
          <w:trHeight w:val="622"/>
        </w:trPr>
        <w:tc>
          <w:tcPr>
            <w:tcW w:w="784" w:type="pct"/>
          </w:tcPr>
          <w:p w14:paraId="62586063" w14:textId="77777777" w:rsidR="005664D1" w:rsidRPr="005664D1" w:rsidRDefault="005664D1" w:rsidP="005664D1">
            <w:pPr>
              <w:rPr>
                <w:rFonts w:asciiTheme="minorHAnsi" w:eastAsia="MS Mincho" w:hAnsiTheme="minorHAnsi" w:cstheme="minorHAnsi"/>
                <w:sz w:val="18"/>
                <w:szCs w:val="18"/>
              </w:rPr>
            </w:pPr>
            <w:r w:rsidRPr="005664D1">
              <w:rPr>
                <w:rFonts w:asciiTheme="minorHAnsi" w:eastAsia="MS Mincho" w:hAnsiTheme="minorHAnsi" w:cstheme="minorHAnsi"/>
                <w:sz w:val="18"/>
                <w:szCs w:val="18"/>
              </w:rPr>
              <w:t>Treatment group</w:t>
            </w:r>
          </w:p>
        </w:tc>
        <w:tc>
          <w:tcPr>
            <w:tcW w:w="369" w:type="pct"/>
          </w:tcPr>
          <w:p w14:paraId="7376A1A2"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PBO</w:t>
            </w:r>
          </w:p>
        </w:tc>
        <w:tc>
          <w:tcPr>
            <w:tcW w:w="510" w:type="pct"/>
          </w:tcPr>
          <w:p w14:paraId="2923C4BB"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OLU</w:t>
            </w:r>
          </w:p>
          <w:p w14:paraId="5C3EFD98" w14:textId="2C6913B4"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2</w:t>
            </w:r>
            <w:r w:rsidR="004C73EF">
              <w:rPr>
                <w:rFonts w:asciiTheme="minorHAnsi" w:eastAsia="MS Mincho" w:hAnsiTheme="minorHAnsi" w:cstheme="minorHAnsi"/>
                <w:sz w:val="18"/>
                <w:szCs w:val="18"/>
              </w:rPr>
              <w:t xml:space="preserve"> </w:t>
            </w:r>
            <w:r w:rsidRPr="005664D1">
              <w:rPr>
                <w:rFonts w:asciiTheme="minorHAnsi" w:eastAsia="MS Mincho" w:hAnsiTheme="minorHAnsi" w:cstheme="minorHAnsi"/>
                <w:sz w:val="18"/>
                <w:szCs w:val="18"/>
              </w:rPr>
              <w:t>mg</w:t>
            </w:r>
          </w:p>
        </w:tc>
        <w:tc>
          <w:tcPr>
            <w:tcW w:w="505" w:type="pct"/>
          </w:tcPr>
          <w:p w14:paraId="77938AE1"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OLU</w:t>
            </w:r>
          </w:p>
          <w:p w14:paraId="7243D1B2" w14:textId="5625A0AE"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4</w:t>
            </w:r>
            <w:r w:rsidR="004C73EF">
              <w:rPr>
                <w:rFonts w:asciiTheme="minorHAnsi" w:eastAsia="MS Mincho" w:hAnsiTheme="minorHAnsi" w:cstheme="minorHAnsi"/>
                <w:sz w:val="18"/>
                <w:szCs w:val="18"/>
              </w:rPr>
              <w:t xml:space="preserve"> </w:t>
            </w:r>
            <w:r w:rsidRPr="005664D1">
              <w:rPr>
                <w:rFonts w:asciiTheme="minorHAnsi" w:eastAsia="MS Mincho" w:hAnsiTheme="minorHAnsi" w:cstheme="minorHAnsi"/>
                <w:sz w:val="18"/>
                <w:szCs w:val="18"/>
              </w:rPr>
              <w:t>mg</w:t>
            </w:r>
          </w:p>
        </w:tc>
        <w:tc>
          <w:tcPr>
            <w:tcW w:w="350" w:type="pct"/>
          </w:tcPr>
          <w:p w14:paraId="2ED09286"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PBO</w:t>
            </w:r>
          </w:p>
        </w:tc>
        <w:tc>
          <w:tcPr>
            <w:tcW w:w="503" w:type="pct"/>
          </w:tcPr>
          <w:p w14:paraId="1291F812"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OLU</w:t>
            </w:r>
          </w:p>
          <w:p w14:paraId="04E698C5" w14:textId="7C920734"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2</w:t>
            </w:r>
            <w:r w:rsidR="004C73EF">
              <w:rPr>
                <w:rFonts w:asciiTheme="minorHAnsi" w:eastAsia="MS Mincho" w:hAnsiTheme="minorHAnsi" w:cstheme="minorHAnsi"/>
                <w:sz w:val="18"/>
                <w:szCs w:val="18"/>
              </w:rPr>
              <w:t xml:space="preserve"> </w:t>
            </w:r>
            <w:r w:rsidRPr="005664D1">
              <w:rPr>
                <w:rFonts w:asciiTheme="minorHAnsi" w:eastAsia="MS Mincho" w:hAnsiTheme="minorHAnsi" w:cstheme="minorHAnsi"/>
                <w:sz w:val="18"/>
                <w:szCs w:val="18"/>
              </w:rPr>
              <w:t>mg</w:t>
            </w:r>
          </w:p>
        </w:tc>
        <w:tc>
          <w:tcPr>
            <w:tcW w:w="504" w:type="pct"/>
          </w:tcPr>
          <w:p w14:paraId="1D7F62F5"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OLU</w:t>
            </w:r>
          </w:p>
          <w:p w14:paraId="3B041CFB" w14:textId="092B477C"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4</w:t>
            </w:r>
            <w:r w:rsidR="004C73EF">
              <w:rPr>
                <w:rFonts w:asciiTheme="minorHAnsi" w:eastAsia="MS Mincho" w:hAnsiTheme="minorHAnsi" w:cstheme="minorHAnsi"/>
                <w:sz w:val="18"/>
                <w:szCs w:val="18"/>
              </w:rPr>
              <w:t xml:space="preserve"> </w:t>
            </w:r>
            <w:r w:rsidRPr="005664D1">
              <w:rPr>
                <w:rFonts w:asciiTheme="minorHAnsi" w:eastAsia="MS Mincho" w:hAnsiTheme="minorHAnsi" w:cstheme="minorHAnsi"/>
                <w:sz w:val="18"/>
                <w:szCs w:val="18"/>
              </w:rPr>
              <w:t>mg</w:t>
            </w:r>
          </w:p>
        </w:tc>
        <w:tc>
          <w:tcPr>
            <w:tcW w:w="453" w:type="pct"/>
          </w:tcPr>
          <w:p w14:paraId="27D8AA11"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PBO + TCS</w:t>
            </w:r>
          </w:p>
        </w:tc>
        <w:tc>
          <w:tcPr>
            <w:tcW w:w="517" w:type="pct"/>
          </w:tcPr>
          <w:p w14:paraId="3E0122B2"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OLU</w:t>
            </w:r>
          </w:p>
          <w:p w14:paraId="4C9CDC4F"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2 mg + TCS</w:t>
            </w:r>
          </w:p>
        </w:tc>
        <w:tc>
          <w:tcPr>
            <w:tcW w:w="505" w:type="pct"/>
          </w:tcPr>
          <w:p w14:paraId="38BC8DC7"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OLU</w:t>
            </w:r>
          </w:p>
          <w:p w14:paraId="3497E548" w14:textId="77777777" w:rsidR="005664D1" w:rsidRPr="005664D1" w:rsidRDefault="005664D1" w:rsidP="005664D1">
            <w:pPr>
              <w:jc w:val="center"/>
              <w:rPr>
                <w:rFonts w:asciiTheme="minorHAnsi" w:eastAsia="MS Mincho" w:hAnsiTheme="minorHAnsi" w:cstheme="minorHAnsi"/>
                <w:sz w:val="18"/>
                <w:szCs w:val="18"/>
              </w:rPr>
            </w:pPr>
            <w:r w:rsidRPr="005664D1">
              <w:rPr>
                <w:rFonts w:asciiTheme="minorHAnsi" w:eastAsia="MS Mincho" w:hAnsiTheme="minorHAnsi" w:cstheme="minorHAnsi"/>
                <w:sz w:val="18"/>
                <w:szCs w:val="18"/>
              </w:rPr>
              <w:t>4 mg + TCS</w:t>
            </w:r>
          </w:p>
        </w:tc>
      </w:tr>
      <w:tr w:rsidR="005664D1" w:rsidRPr="005664D1" w14:paraId="1A9CBE0F" w14:textId="77777777" w:rsidTr="00A63CD4">
        <w:trPr>
          <w:trHeight w:val="210"/>
        </w:trPr>
        <w:tc>
          <w:tcPr>
            <w:tcW w:w="784" w:type="pct"/>
          </w:tcPr>
          <w:p w14:paraId="402C625A" w14:textId="77777777" w:rsidR="005664D1" w:rsidRPr="005664D1" w:rsidRDefault="005664D1" w:rsidP="005664D1">
            <w:pPr>
              <w:rPr>
                <w:rFonts w:asciiTheme="minorHAnsi" w:eastAsia="MS Mincho" w:hAnsiTheme="minorHAnsi" w:cstheme="minorHAnsi"/>
                <w:sz w:val="18"/>
                <w:szCs w:val="18"/>
              </w:rPr>
            </w:pPr>
            <w:r w:rsidRPr="005664D1">
              <w:rPr>
                <w:rFonts w:asciiTheme="minorHAnsi" w:eastAsia="MS Mincho" w:hAnsiTheme="minorHAnsi" w:cstheme="minorHAnsi"/>
                <w:sz w:val="18"/>
                <w:szCs w:val="18"/>
              </w:rPr>
              <w:t xml:space="preserve">N </w:t>
            </w:r>
          </w:p>
        </w:tc>
        <w:tc>
          <w:tcPr>
            <w:tcW w:w="369" w:type="pct"/>
          </w:tcPr>
          <w:p w14:paraId="01C5E5AD"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249</w:t>
            </w:r>
          </w:p>
        </w:tc>
        <w:tc>
          <w:tcPr>
            <w:tcW w:w="510" w:type="pct"/>
          </w:tcPr>
          <w:p w14:paraId="2008BC32"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123</w:t>
            </w:r>
          </w:p>
        </w:tc>
        <w:tc>
          <w:tcPr>
            <w:tcW w:w="505" w:type="pct"/>
          </w:tcPr>
          <w:p w14:paraId="0A28934D"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125</w:t>
            </w:r>
          </w:p>
        </w:tc>
        <w:tc>
          <w:tcPr>
            <w:tcW w:w="350" w:type="pct"/>
          </w:tcPr>
          <w:p w14:paraId="51A79FE1"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244</w:t>
            </w:r>
          </w:p>
        </w:tc>
        <w:tc>
          <w:tcPr>
            <w:tcW w:w="503" w:type="pct"/>
          </w:tcPr>
          <w:p w14:paraId="26AD4957"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123</w:t>
            </w:r>
          </w:p>
        </w:tc>
        <w:tc>
          <w:tcPr>
            <w:tcW w:w="504" w:type="pct"/>
          </w:tcPr>
          <w:p w14:paraId="60E356D6"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123</w:t>
            </w:r>
          </w:p>
        </w:tc>
        <w:tc>
          <w:tcPr>
            <w:tcW w:w="453" w:type="pct"/>
          </w:tcPr>
          <w:p w14:paraId="0C872D7B" w14:textId="77777777" w:rsidR="005664D1" w:rsidRPr="005664D1" w:rsidRDefault="005664D1" w:rsidP="005664D1">
            <w:pPr>
              <w:rPr>
                <w:rFonts w:asciiTheme="minorHAnsi" w:eastAsia="MS Mincho" w:hAnsiTheme="minorHAnsi" w:cstheme="minorHAnsi"/>
                <w:sz w:val="18"/>
                <w:szCs w:val="18"/>
              </w:rPr>
            </w:pPr>
            <w:r w:rsidRPr="005664D1">
              <w:rPr>
                <w:rFonts w:asciiTheme="minorHAnsi" w:eastAsia="MS Mincho" w:hAnsiTheme="minorHAnsi" w:cstheme="minorHAnsi"/>
                <w:sz w:val="18"/>
                <w:szCs w:val="18"/>
              </w:rPr>
              <w:t>109</w:t>
            </w:r>
          </w:p>
        </w:tc>
        <w:tc>
          <w:tcPr>
            <w:tcW w:w="517" w:type="pct"/>
          </w:tcPr>
          <w:p w14:paraId="38E88414" w14:textId="77777777" w:rsidR="005664D1" w:rsidRPr="005664D1" w:rsidRDefault="005664D1" w:rsidP="005664D1">
            <w:pPr>
              <w:rPr>
                <w:rFonts w:asciiTheme="minorHAnsi" w:eastAsia="MS Mincho" w:hAnsiTheme="minorHAnsi" w:cstheme="minorHAnsi"/>
                <w:sz w:val="18"/>
                <w:szCs w:val="18"/>
              </w:rPr>
            </w:pPr>
            <w:r w:rsidRPr="005664D1">
              <w:rPr>
                <w:rFonts w:asciiTheme="minorHAnsi" w:eastAsia="MS Mincho" w:hAnsiTheme="minorHAnsi" w:cstheme="minorHAnsi"/>
                <w:sz w:val="18"/>
                <w:szCs w:val="18"/>
              </w:rPr>
              <w:t>109</w:t>
            </w:r>
          </w:p>
        </w:tc>
        <w:tc>
          <w:tcPr>
            <w:tcW w:w="505" w:type="pct"/>
          </w:tcPr>
          <w:p w14:paraId="4B1FB62D" w14:textId="77777777" w:rsidR="005664D1" w:rsidRPr="005664D1" w:rsidRDefault="005664D1" w:rsidP="005664D1">
            <w:pPr>
              <w:rPr>
                <w:rFonts w:asciiTheme="minorHAnsi" w:eastAsia="MS Mincho" w:hAnsiTheme="minorHAnsi" w:cstheme="minorHAnsi"/>
                <w:sz w:val="18"/>
                <w:szCs w:val="18"/>
              </w:rPr>
            </w:pPr>
            <w:r w:rsidRPr="005664D1">
              <w:rPr>
                <w:rFonts w:asciiTheme="minorHAnsi" w:eastAsia="MS Mincho" w:hAnsiTheme="minorHAnsi" w:cstheme="minorHAnsi"/>
                <w:sz w:val="18"/>
                <w:szCs w:val="18"/>
              </w:rPr>
              <w:t>111</w:t>
            </w:r>
          </w:p>
        </w:tc>
      </w:tr>
      <w:tr w:rsidR="005664D1" w:rsidRPr="005664D1" w14:paraId="4FCC7FAD" w14:textId="77777777" w:rsidTr="00A63CD4">
        <w:trPr>
          <w:trHeight w:val="642"/>
        </w:trPr>
        <w:tc>
          <w:tcPr>
            <w:tcW w:w="784" w:type="pct"/>
          </w:tcPr>
          <w:p w14:paraId="0A33F389" w14:textId="028FA86D" w:rsidR="005664D1" w:rsidRPr="005664D1" w:rsidRDefault="005664D1" w:rsidP="005664D1">
            <w:pPr>
              <w:pStyle w:val="TableParagraph"/>
              <w:spacing w:before="22"/>
              <w:ind w:left="0"/>
              <w:rPr>
                <w:rFonts w:asciiTheme="minorHAnsi" w:hAnsiTheme="minorHAnsi" w:cstheme="minorHAnsi"/>
                <w:sz w:val="18"/>
                <w:szCs w:val="18"/>
              </w:rPr>
            </w:pPr>
            <w:r w:rsidRPr="005664D1">
              <w:rPr>
                <w:rFonts w:asciiTheme="minorHAnsi" w:hAnsiTheme="minorHAnsi" w:cstheme="minorHAnsi"/>
                <w:sz w:val="18"/>
                <w:szCs w:val="18"/>
              </w:rPr>
              <w:t>ADSS</w:t>
            </w:r>
            <w:r w:rsidR="00A63CD4">
              <w:rPr>
                <w:rFonts w:asciiTheme="minorHAnsi" w:hAnsiTheme="minorHAnsi" w:cstheme="minorHAnsi"/>
                <w:sz w:val="18"/>
                <w:szCs w:val="18"/>
              </w:rPr>
              <w:t xml:space="preserve"> Item 2 change from baseline</w:t>
            </w:r>
            <w:r w:rsidRPr="005664D1">
              <w:rPr>
                <w:rFonts w:asciiTheme="minorHAnsi" w:hAnsiTheme="minorHAnsi" w:cstheme="minorHAnsi"/>
                <w:sz w:val="18"/>
                <w:szCs w:val="18"/>
              </w:rPr>
              <w:t xml:space="preserve">, </w:t>
            </w:r>
            <w:r w:rsidR="00A63CD4">
              <w:rPr>
                <w:rFonts w:asciiTheme="minorHAnsi" w:hAnsiTheme="minorHAnsi" w:cstheme="minorHAnsi"/>
                <w:sz w:val="18"/>
                <w:szCs w:val="18"/>
              </w:rPr>
              <w:t xml:space="preserve">LS </w:t>
            </w:r>
            <w:r w:rsidRPr="005664D1">
              <w:rPr>
                <w:rFonts w:asciiTheme="minorHAnsi" w:hAnsiTheme="minorHAnsi" w:cstheme="minorHAnsi"/>
                <w:sz w:val="18"/>
                <w:szCs w:val="18"/>
              </w:rPr>
              <w:t>mean</w:t>
            </w:r>
            <w:r w:rsidR="00617C52">
              <w:rPr>
                <w:rFonts w:asciiTheme="minorHAnsi" w:hAnsiTheme="minorHAnsi" w:cstheme="minorHAnsi"/>
                <w:sz w:val="18"/>
                <w:szCs w:val="18"/>
              </w:rPr>
              <w:t xml:space="preserve"> </w:t>
            </w:r>
            <w:r w:rsidRPr="005664D1">
              <w:rPr>
                <w:rFonts w:asciiTheme="minorHAnsi" w:hAnsiTheme="minorHAnsi" w:cstheme="minorHAnsi"/>
                <w:sz w:val="18"/>
                <w:szCs w:val="18"/>
              </w:rPr>
              <w:t>(SE)</w:t>
            </w:r>
            <w:proofErr w:type="spellStart"/>
            <w:r w:rsidRPr="005664D1">
              <w:rPr>
                <w:rFonts w:asciiTheme="minorHAnsi" w:hAnsiTheme="minorHAnsi" w:cstheme="minorHAnsi"/>
                <w:sz w:val="18"/>
                <w:szCs w:val="18"/>
                <w:vertAlign w:val="superscript"/>
              </w:rPr>
              <w:t>b,c</w:t>
            </w:r>
            <w:proofErr w:type="spellEnd"/>
          </w:p>
        </w:tc>
        <w:tc>
          <w:tcPr>
            <w:tcW w:w="369" w:type="pct"/>
          </w:tcPr>
          <w:p w14:paraId="06127716" w14:textId="77777777" w:rsidR="005664D1" w:rsidRPr="005664D1" w:rsidRDefault="005664D1" w:rsidP="005664D1">
            <w:pPr>
              <w:tabs>
                <w:tab w:val="left" w:pos="520"/>
              </w:tabs>
              <w:ind w:right="-20"/>
              <w:rPr>
                <w:rFonts w:asciiTheme="minorHAnsi" w:hAnsiTheme="minorHAnsi" w:cstheme="minorHAnsi"/>
                <w:sz w:val="18"/>
                <w:szCs w:val="18"/>
                <w:lang w:eastAsia="ja-JP"/>
              </w:rPr>
            </w:pPr>
            <w:r w:rsidRPr="005664D1">
              <w:rPr>
                <w:rFonts w:asciiTheme="minorHAnsi" w:hAnsiTheme="minorHAnsi" w:cstheme="minorHAnsi"/>
                <w:sz w:val="18"/>
                <w:szCs w:val="18"/>
                <w:lang w:eastAsia="ja-JP"/>
              </w:rPr>
              <w:t>-0.84</w:t>
            </w:r>
            <w:r w:rsidRPr="005664D1">
              <w:rPr>
                <w:rFonts w:asciiTheme="minorHAnsi" w:hAnsiTheme="minorHAnsi" w:cstheme="minorHAnsi"/>
                <w:sz w:val="18"/>
                <w:szCs w:val="18"/>
                <w:lang w:eastAsia="ja-JP"/>
              </w:rPr>
              <w:br/>
              <w:t>(0.15)</w:t>
            </w:r>
          </w:p>
        </w:tc>
        <w:tc>
          <w:tcPr>
            <w:tcW w:w="510" w:type="pct"/>
          </w:tcPr>
          <w:p w14:paraId="0D6F2FD5"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-1.04</w:t>
            </w:r>
            <w:r w:rsidRPr="005664D1">
              <w:rPr>
                <w:rFonts w:asciiTheme="minorHAnsi" w:hAnsiTheme="minorHAnsi" w:cstheme="minorHAnsi"/>
                <w:sz w:val="18"/>
                <w:szCs w:val="18"/>
                <w:lang w:eastAsia="ja-JP"/>
              </w:rPr>
              <w:br/>
              <w:t>(0.17)</w:t>
            </w:r>
          </w:p>
        </w:tc>
        <w:tc>
          <w:tcPr>
            <w:tcW w:w="505" w:type="pct"/>
          </w:tcPr>
          <w:p w14:paraId="7D8AB1A0"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-1.42**</w:t>
            </w:r>
            <w:r w:rsidRPr="005664D1">
              <w:rPr>
                <w:rFonts w:asciiTheme="minorHAnsi" w:hAnsiTheme="minorHAnsi" w:cstheme="minorHAnsi"/>
                <w:sz w:val="18"/>
                <w:szCs w:val="18"/>
                <w:lang w:eastAsia="ja-JP"/>
              </w:rPr>
              <w:br/>
              <w:t>(0.16)</w:t>
            </w:r>
          </w:p>
        </w:tc>
        <w:tc>
          <w:tcPr>
            <w:tcW w:w="350" w:type="pct"/>
          </w:tcPr>
          <w:p w14:paraId="4CCD509E" w14:textId="77777777" w:rsidR="005664D1" w:rsidRPr="005664D1" w:rsidRDefault="005664D1" w:rsidP="005664D1">
            <w:pPr>
              <w:ind w:right="-110"/>
              <w:rPr>
                <w:rFonts w:asciiTheme="minorHAnsi" w:hAnsiTheme="minorHAnsi" w:cstheme="minorHAnsi"/>
                <w:sz w:val="18"/>
                <w:szCs w:val="18"/>
                <w:lang w:eastAsia="ja-JP"/>
              </w:rPr>
            </w:pPr>
            <w:r w:rsidRPr="005664D1">
              <w:rPr>
                <w:rFonts w:asciiTheme="minorHAnsi" w:hAnsiTheme="minorHAnsi" w:cstheme="minorHAnsi"/>
                <w:sz w:val="18"/>
                <w:szCs w:val="18"/>
                <w:lang w:eastAsia="ja-JP"/>
              </w:rPr>
              <w:t>-0.50</w:t>
            </w:r>
            <w:r w:rsidRPr="005664D1">
              <w:rPr>
                <w:rFonts w:asciiTheme="minorHAnsi" w:hAnsiTheme="minorHAnsi" w:cstheme="minorHAnsi"/>
                <w:sz w:val="18"/>
                <w:szCs w:val="18"/>
                <w:lang w:eastAsia="ja-JP"/>
              </w:rPr>
              <w:br/>
              <w:t>(0.12)</w:t>
            </w:r>
          </w:p>
        </w:tc>
        <w:tc>
          <w:tcPr>
            <w:tcW w:w="503" w:type="pct"/>
          </w:tcPr>
          <w:p w14:paraId="7B9AA339"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-1.03**</w:t>
            </w:r>
            <w:r w:rsidRPr="005664D1">
              <w:rPr>
                <w:rFonts w:asciiTheme="minorHAnsi" w:hAnsiTheme="minorHAnsi" w:cstheme="minorHAnsi"/>
                <w:sz w:val="18"/>
                <w:szCs w:val="18"/>
                <w:lang w:eastAsia="ja-JP"/>
              </w:rPr>
              <w:br/>
              <w:t>(0.13)</w:t>
            </w:r>
          </w:p>
        </w:tc>
        <w:tc>
          <w:tcPr>
            <w:tcW w:w="504" w:type="pct"/>
          </w:tcPr>
          <w:p w14:paraId="7674BC23"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-1.13***</w:t>
            </w:r>
            <w:r w:rsidRPr="005664D1">
              <w:rPr>
                <w:rFonts w:asciiTheme="minorHAnsi" w:hAnsiTheme="minorHAnsi" w:cstheme="minorHAnsi"/>
                <w:sz w:val="18"/>
                <w:szCs w:val="18"/>
                <w:lang w:eastAsia="ja-JP"/>
              </w:rPr>
              <w:br/>
              <w:t>(0.13)</w:t>
            </w:r>
          </w:p>
        </w:tc>
        <w:tc>
          <w:tcPr>
            <w:tcW w:w="453" w:type="pct"/>
          </w:tcPr>
          <w:p w14:paraId="7762836C"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-0.51</w:t>
            </w:r>
            <w:r w:rsidRPr="005664D1">
              <w:rPr>
                <w:rFonts w:asciiTheme="minorHAnsi" w:hAnsiTheme="minorHAnsi" w:cstheme="minorHAnsi"/>
                <w:sz w:val="18"/>
                <w:szCs w:val="18"/>
                <w:lang w:eastAsia="ja-JP"/>
              </w:rPr>
              <w:br/>
              <w:t>(0.15)</w:t>
            </w:r>
          </w:p>
        </w:tc>
        <w:tc>
          <w:tcPr>
            <w:tcW w:w="517" w:type="pct"/>
          </w:tcPr>
          <w:p w14:paraId="1958B80E" w14:textId="325C304B" w:rsidR="005664D1" w:rsidRPr="005664D1" w:rsidRDefault="005664D1" w:rsidP="005664D1">
            <w:pPr>
              <w:ind w:right="-140"/>
              <w:rPr>
                <w:rFonts w:asciiTheme="minorHAnsi" w:hAnsiTheme="minorHAnsi" w:cstheme="minorHAnsi"/>
                <w:sz w:val="18"/>
                <w:szCs w:val="18"/>
                <w:lang w:eastAsia="ja-JP"/>
              </w:rPr>
            </w:pPr>
            <w:r w:rsidRPr="005664D1">
              <w:rPr>
                <w:rFonts w:asciiTheme="minorHAnsi" w:hAnsiTheme="minorHAnsi" w:cstheme="minorHAnsi"/>
                <w:sz w:val="18"/>
                <w:szCs w:val="18"/>
                <w:lang w:eastAsia="ja-JP"/>
              </w:rPr>
              <w:t>-1.33***</w:t>
            </w:r>
            <w:r w:rsidR="00701BD3" w:rsidRPr="00701BD3">
              <w:rPr>
                <w:rFonts w:asciiTheme="minorHAnsi" w:hAnsiTheme="minorHAnsi" w:cstheme="minorHAnsi"/>
                <w:sz w:val="18"/>
                <w:szCs w:val="18"/>
                <w:vertAlign w:val="superscript"/>
                <w:lang w:eastAsia="ja-JP"/>
              </w:rPr>
              <w:t>f</w:t>
            </w:r>
            <w:r w:rsidRPr="005664D1">
              <w:rPr>
                <w:rFonts w:asciiTheme="minorHAnsi" w:hAnsiTheme="minorHAnsi" w:cstheme="minorHAnsi"/>
                <w:sz w:val="18"/>
                <w:szCs w:val="18"/>
                <w:lang w:eastAsia="ja-JP"/>
              </w:rPr>
              <w:br/>
              <w:t>(0.15)</w:t>
            </w:r>
          </w:p>
        </w:tc>
        <w:tc>
          <w:tcPr>
            <w:tcW w:w="505" w:type="pct"/>
          </w:tcPr>
          <w:p w14:paraId="7B99A143" w14:textId="15B56DD6"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-1.42***</w:t>
            </w:r>
            <w:r w:rsidR="00701BD3">
              <w:rPr>
                <w:rFonts w:asciiTheme="minorHAnsi" w:hAnsiTheme="minorHAnsi" w:cstheme="minorHAnsi"/>
                <w:sz w:val="18"/>
                <w:szCs w:val="18"/>
                <w:vertAlign w:val="superscript"/>
                <w:lang w:eastAsia="ja-JP"/>
              </w:rPr>
              <w:t>f</w:t>
            </w:r>
            <w:r w:rsidRPr="005664D1">
              <w:rPr>
                <w:rFonts w:asciiTheme="minorHAnsi" w:hAnsiTheme="minorHAnsi" w:cstheme="minorHAnsi"/>
                <w:sz w:val="18"/>
                <w:szCs w:val="18"/>
                <w:lang w:eastAsia="ja-JP"/>
              </w:rPr>
              <w:br/>
              <w:t>(0.15)</w:t>
            </w:r>
          </w:p>
        </w:tc>
      </w:tr>
      <w:tr w:rsidR="005664D1" w:rsidRPr="005664D1" w14:paraId="4D6CB3CC" w14:textId="77777777" w:rsidTr="00A63CD4">
        <w:trPr>
          <w:trHeight w:val="652"/>
        </w:trPr>
        <w:tc>
          <w:tcPr>
            <w:tcW w:w="784" w:type="pct"/>
          </w:tcPr>
          <w:p w14:paraId="734ADEE5" w14:textId="55C66FD2" w:rsidR="005664D1" w:rsidRPr="005664D1" w:rsidRDefault="005664D1" w:rsidP="005664D1">
            <w:pPr>
              <w:pStyle w:val="TableParagraph"/>
              <w:spacing w:before="22"/>
              <w:ind w:left="0" w:right="-110"/>
              <w:rPr>
                <w:rFonts w:asciiTheme="minorHAnsi" w:hAnsiTheme="minorHAnsi" w:cstheme="minorHAnsi"/>
                <w:sz w:val="18"/>
                <w:szCs w:val="18"/>
              </w:rPr>
            </w:pPr>
            <w:r w:rsidRPr="005664D1">
              <w:rPr>
                <w:rFonts w:asciiTheme="minorHAnsi" w:hAnsiTheme="minorHAnsi" w:cstheme="minorHAnsi"/>
                <w:sz w:val="18"/>
                <w:szCs w:val="18"/>
              </w:rPr>
              <w:t>Skin Pain NRS</w:t>
            </w:r>
            <w:r w:rsidR="00A63CD4">
              <w:rPr>
                <w:rFonts w:asciiTheme="minorHAnsi" w:hAnsiTheme="minorHAnsi" w:cstheme="minorHAnsi"/>
                <w:sz w:val="18"/>
                <w:szCs w:val="18"/>
              </w:rPr>
              <w:t xml:space="preserve"> change from baseline</w:t>
            </w:r>
            <w:r w:rsidRPr="005664D1">
              <w:rPr>
                <w:rFonts w:asciiTheme="minorHAnsi" w:hAnsiTheme="minorHAnsi" w:cstheme="minorHAnsi"/>
                <w:sz w:val="18"/>
                <w:szCs w:val="18"/>
              </w:rPr>
              <w:t>,</w:t>
            </w:r>
            <w:r w:rsidR="00A63CD4">
              <w:rPr>
                <w:rFonts w:asciiTheme="minorHAnsi" w:hAnsiTheme="minorHAnsi" w:cstheme="minorHAnsi"/>
                <w:sz w:val="18"/>
                <w:szCs w:val="18"/>
              </w:rPr>
              <w:t xml:space="preserve"> LS</w:t>
            </w:r>
            <w:r w:rsidRPr="005664D1">
              <w:rPr>
                <w:rFonts w:asciiTheme="minorHAnsi" w:hAnsiTheme="minorHAnsi" w:cstheme="minorHAnsi"/>
                <w:sz w:val="18"/>
                <w:szCs w:val="18"/>
              </w:rPr>
              <w:t xml:space="preserve"> mean</w:t>
            </w:r>
            <w:r w:rsidR="00A63CD4">
              <w:rPr>
                <w:rFonts w:asciiTheme="minorHAnsi" w:hAnsiTheme="minorHAnsi" w:cstheme="minorHAnsi"/>
                <w:sz w:val="18"/>
                <w:szCs w:val="18"/>
              </w:rPr>
              <w:t xml:space="preserve"> </w:t>
            </w:r>
            <w:r w:rsidRPr="005664D1">
              <w:rPr>
                <w:rFonts w:asciiTheme="minorHAnsi" w:hAnsiTheme="minorHAnsi" w:cstheme="minorHAnsi"/>
                <w:sz w:val="18"/>
                <w:szCs w:val="18"/>
              </w:rPr>
              <w:t>(SE)</w:t>
            </w:r>
            <w:r w:rsidRPr="005664D1">
              <w:rPr>
                <w:rFonts w:asciiTheme="minorHAnsi" w:hAnsiTheme="minorHAnsi" w:cstheme="minorHAnsi"/>
                <w:sz w:val="18"/>
                <w:szCs w:val="18"/>
                <w:vertAlign w:val="superscript"/>
              </w:rPr>
              <w:t>b</w:t>
            </w:r>
          </w:p>
        </w:tc>
        <w:tc>
          <w:tcPr>
            <w:tcW w:w="369" w:type="pct"/>
          </w:tcPr>
          <w:p w14:paraId="1A55E93C"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-0.84</w:t>
            </w:r>
            <w:r w:rsidRPr="005664D1">
              <w:rPr>
                <w:rFonts w:asciiTheme="minorHAnsi" w:hAnsiTheme="minorHAnsi" w:cstheme="minorHAnsi"/>
                <w:sz w:val="18"/>
                <w:szCs w:val="18"/>
                <w:lang w:eastAsia="ja-JP"/>
              </w:rPr>
              <w:br/>
              <w:t>(0.24)</w:t>
            </w:r>
          </w:p>
        </w:tc>
        <w:tc>
          <w:tcPr>
            <w:tcW w:w="510" w:type="pct"/>
          </w:tcPr>
          <w:p w14:paraId="6CE167F4"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-1.58</w:t>
            </w:r>
            <w:r w:rsidRPr="005664D1">
              <w:rPr>
                <w:rFonts w:asciiTheme="minorHAnsi" w:hAnsiTheme="minorHAnsi" w:cstheme="minorHAnsi"/>
                <w:sz w:val="18"/>
                <w:szCs w:val="18"/>
                <w:lang w:eastAsia="ja-JP"/>
              </w:rPr>
              <w:br/>
              <w:t>(0.29)</w:t>
            </w:r>
          </w:p>
        </w:tc>
        <w:tc>
          <w:tcPr>
            <w:tcW w:w="505" w:type="pct"/>
          </w:tcPr>
          <w:p w14:paraId="1E5DEE95"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-1.93**</w:t>
            </w:r>
            <w:r w:rsidRPr="005664D1">
              <w:rPr>
                <w:rFonts w:asciiTheme="minorHAnsi" w:hAnsiTheme="minorHAnsi" w:cstheme="minorHAnsi"/>
                <w:sz w:val="18"/>
                <w:szCs w:val="18"/>
                <w:lang w:eastAsia="ja-JP"/>
              </w:rPr>
              <w:br/>
              <w:t>(0.26)</w:t>
            </w:r>
          </w:p>
        </w:tc>
        <w:tc>
          <w:tcPr>
            <w:tcW w:w="350" w:type="pct"/>
          </w:tcPr>
          <w:p w14:paraId="1496962F"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-0.86</w:t>
            </w:r>
            <w:r w:rsidRPr="005664D1">
              <w:rPr>
                <w:rFonts w:asciiTheme="minorHAnsi" w:hAnsiTheme="minorHAnsi" w:cstheme="minorHAnsi"/>
                <w:sz w:val="18"/>
                <w:szCs w:val="18"/>
                <w:lang w:eastAsia="ja-JP"/>
              </w:rPr>
              <w:br/>
              <w:t>(0.26)</w:t>
            </w:r>
          </w:p>
        </w:tc>
        <w:tc>
          <w:tcPr>
            <w:tcW w:w="503" w:type="pct"/>
          </w:tcPr>
          <w:p w14:paraId="700C4A8F" w14:textId="27A914D8" w:rsidR="005664D1" w:rsidRPr="005664D1" w:rsidRDefault="00EE4C8B" w:rsidP="005664D1">
            <w:pPr>
              <w:ind w:right="-110"/>
              <w:rPr>
                <w:rFonts w:asciiTheme="minorHAnsi" w:eastAsia="MS Mincho" w:hAnsiTheme="minorHAnsi" w:cstheme="minorHAnsi"/>
                <w:sz w:val="18"/>
                <w:szCs w:val="18"/>
              </w:rPr>
            </w:pPr>
            <w:r>
              <w:rPr>
                <w:rFonts w:asciiTheme="minorHAnsi" w:hAnsiTheme="minorHAnsi" w:cstheme="minorHAnsi"/>
                <w:sz w:val="18"/>
                <w:szCs w:val="18"/>
                <w:lang w:eastAsia="ja-JP"/>
              </w:rPr>
              <w:t>-</w:t>
            </w:r>
            <w:r w:rsidR="005664D1" w:rsidRPr="005664D1">
              <w:rPr>
                <w:rFonts w:asciiTheme="minorHAnsi" w:hAnsiTheme="minorHAnsi" w:cstheme="minorHAnsi"/>
                <w:sz w:val="18"/>
                <w:szCs w:val="18"/>
                <w:lang w:eastAsia="ja-JP"/>
              </w:rPr>
              <w:t>2.61***</w:t>
            </w:r>
            <w:r w:rsidR="005664D1" w:rsidRPr="005664D1">
              <w:rPr>
                <w:rFonts w:asciiTheme="minorHAnsi" w:hAnsiTheme="minorHAnsi" w:cstheme="minorHAnsi"/>
                <w:sz w:val="18"/>
                <w:szCs w:val="18"/>
                <w:lang w:eastAsia="ja-JP"/>
              </w:rPr>
              <w:br/>
              <w:t>(0.30)</w:t>
            </w:r>
          </w:p>
        </w:tc>
        <w:tc>
          <w:tcPr>
            <w:tcW w:w="504" w:type="pct"/>
          </w:tcPr>
          <w:p w14:paraId="229546B6"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-2.49***</w:t>
            </w:r>
            <w:r w:rsidRPr="005664D1">
              <w:rPr>
                <w:rFonts w:asciiTheme="minorHAnsi" w:hAnsiTheme="minorHAnsi" w:cstheme="minorHAnsi"/>
                <w:sz w:val="18"/>
                <w:szCs w:val="18"/>
                <w:lang w:eastAsia="ja-JP"/>
              </w:rPr>
              <w:br/>
              <w:t>(0.28)</w:t>
            </w:r>
          </w:p>
        </w:tc>
        <w:tc>
          <w:tcPr>
            <w:tcW w:w="453" w:type="pct"/>
          </w:tcPr>
          <w:p w14:paraId="53C68A35"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rPr>
              <w:t>-2.06</w:t>
            </w:r>
            <w:r w:rsidRPr="005664D1">
              <w:rPr>
                <w:rFonts w:asciiTheme="minorHAnsi" w:hAnsiTheme="minorHAnsi" w:cstheme="minorHAnsi"/>
                <w:sz w:val="18"/>
                <w:szCs w:val="18"/>
              </w:rPr>
              <w:br/>
              <w:t>(0.23)</w:t>
            </w:r>
          </w:p>
        </w:tc>
        <w:tc>
          <w:tcPr>
            <w:tcW w:w="517" w:type="pct"/>
          </w:tcPr>
          <w:p w14:paraId="02B10825" w14:textId="6C43743F" w:rsidR="005664D1" w:rsidRPr="00701BD3" w:rsidRDefault="005664D1" w:rsidP="005664D1">
            <w:pPr>
              <w:ind w:left="-10" w:right="-140"/>
              <w:rPr>
                <w:rFonts w:asciiTheme="minorHAnsi" w:hAnsiTheme="minorHAnsi" w:cstheme="minorHAnsi"/>
                <w:sz w:val="18"/>
                <w:szCs w:val="18"/>
                <w:vertAlign w:val="superscript"/>
                <w:lang w:eastAsia="ja-JP"/>
              </w:rPr>
            </w:pPr>
            <w:r w:rsidRPr="005664D1">
              <w:rPr>
                <w:rFonts w:asciiTheme="minorHAnsi" w:hAnsiTheme="minorHAnsi" w:cstheme="minorHAnsi"/>
                <w:sz w:val="18"/>
                <w:szCs w:val="18"/>
                <w:lang w:eastAsia="ja-JP"/>
              </w:rPr>
              <w:t xml:space="preserve">-3.22 </w:t>
            </w:r>
            <w:r w:rsidRPr="005664D1">
              <w:rPr>
                <w:rFonts w:asciiTheme="minorHAnsi" w:hAnsiTheme="minorHAnsi" w:cstheme="minorHAnsi"/>
                <w:sz w:val="18"/>
                <w:szCs w:val="18"/>
              </w:rPr>
              <w:t>***</w:t>
            </w:r>
            <w:r w:rsidR="00701BD3">
              <w:rPr>
                <w:rFonts w:asciiTheme="minorHAnsi" w:hAnsiTheme="minorHAnsi" w:cstheme="minorHAnsi"/>
                <w:sz w:val="18"/>
                <w:szCs w:val="18"/>
                <w:vertAlign w:val="superscript"/>
              </w:rPr>
              <w:t>f</w:t>
            </w:r>
          </w:p>
          <w:p w14:paraId="5C9234B4"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(0.22)</w:t>
            </w:r>
          </w:p>
        </w:tc>
        <w:tc>
          <w:tcPr>
            <w:tcW w:w="505" w:type="pct"/>
          </w:tcPr>
          <w:p w14:paraId="6FFCBF3F" w14:textId="72CF75FE" w:rsidR="005664D1" w:rsidRPr="00701BD3" w:rsidRDefault="005664D1" w:rsidP="005664D1">
            <w:pPr>
              <w:rPr>
                <w:rFonts w:asciiTheme="minorHAnsi" w:hAnsiTheme="minorHAnsi" w:cstheme="minorHAnsi"/>
                <w:sz w:val="18"/>
                <w:szCs w:val="18"/>
                <w:vertAlign w:val="superscript"/>
                <w:lang w:eastAsia="ja-JP"/>
              </w:rPr>
            </w:pPr>
            <w:r w:rsidRPr="005664D1">
              <w:rPr>
                <w:rFonts w:asciiTheme="minorHAnsi" w:hAnsiTheme="minorHAnsi" w:cstheme="minorHAnsi"/>
                <w:sz w:val="18"/>
                <w:szCs w:val="18"/>
                <w:lang w:eastAsia="ja-JP"/>
              </w:rPr>
              <w:t>-3.73</w:t>
            </w:r>
            <w:r w:rsidRPr="005664D1">
              <w:rPr>
                <w:rFonts w:asciiTheme="minorHAnsi" w:hAnsiTheme="minorHAnsi" w:cstheme="minorHAnsi"/>
                <w:sz w:val="18"/>
                <w:szCs w:val="18"/>
              </w:rPr>
              <w:t>***</w:t>
            </w:r>
            <w:r w:rsidR="00701BD3">
              <w:rPr>
                <w:rFonts w:asciiTheme="minorHAnsi" w:hAnsiTheme="minorHAnsi" w:cstheme="minorHAnsi"/>
                <w:sz w:val="18"/>
                <w:szCs w:val="18"/>
                <w:vertAlign w:val="superscript"/>
              </w:rPr>
              <w:t>f</w:t>
            </w:r>
          </w:p>
          <w:p w14:paraId="4E41CD45"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(0.23)</w:t>
            </w:r>
          </w:p>
        </w:tc>
      </w:tr>
      <w:tr w:rsidR="005664D1" w:rsidRPr="005664D1" w14:paraId="05A1570E" w14:textId="77777777" w:rsidTr="00A63CD4">
        <w:trPr>
          <w:trHeight w:val="642"/>
        </w:trPr>
        <w:tc>
          <w:tcPr>
            <w:tcW w:w="784" w:type="pct"/>
          </w:tcPr>
          <w:p w14:paraId="5E3A69E1" w14:textId="2CFD18B5" w:rsidR="005664D1" w:rsidRPr="005664D1" w:rsidRDefault="005664D1" w:rsidP="005664D1">
            <w:pPr>
              <w:pStyle w:val="TableParagraph"/>
              <w:spacing w:before="22"/>
              <w:ind w:left="0"/>
              <w:rPr>
                <w:rStyle w:val="CommentReference"/>
                <w:rFonts w:asciiTheme="minorHAnsi" w:hAnsiTheme="minorHAnsi" w:cstheme="minorHAnsi"/>
                <w:sz w:val="18"/>
                <w:szCs w:val="18"/>
              </w:rPr>
            </w:pPr>
            <w:r w:rsidRPr="005664D1">
              <w:rPr>
                <w:rFonts w:asciiTheme="minorHAnsi" w:hAnsiTheme="minorHAnsi" w:cstheme="minorHAnsi"/>
                <w:sz w:val="18"/>
                <w:szCs w:val="18"/>
              </w:rPr>
              <w:t>POEM</w:t>
            </w:r>
            <w:r w:rsidR="00A63CD4">
              <w:rPr>
                <w:rFonts w:asciiTheme="minorHAnsi" w:hAnsiTheme="minorHAnsi" w:cstheme="minorHAnsi"/>
                <w:sz w:val="18"/>
                <w:szCs w:val="18"/>
              </w:rPr>
              <w:t xml:space="preserve"> change from baseline</w:t>
            </w:r>
            <w:r w:rsidRPr="005664D1">
              <w:rPr>
                <w:rFonts w:asciiTheme="minorHAnsi" w:hAnsiTheme="minorHAnsi" w:cstheme="minorHAnsi"/>
                <w:sz w:val="18"/>
                <w:szCs w:val="18"/>
              </w:rPr>
              <w:t xml:space="preserve">, </w:t>
            </w:r>
            <w:r w:rsidR="00A63CD4">
              <w:rPr>
                <w:rFonts w:asciiTheme="minorHAnsi" w:hAnsiTheme="minorHAnsi" w:cstheme="minorHAnsi"/>
                <w:sz w:val="18"/>
                <w:szCs w:val="18"/>
              </w:rPr>
              <w:t xml:space="preserve">LS </w:t>
            </w:r>
            <w:r w:rsidRPr="005664D1">
              <w:rPr>
                <w:rFonts w:asciiTheme="minorHAnsi" w:hAnsiTheme="minorHAnsi" w:cstheme="minorHAnsi"/>
                <w:sz w:val="18"/>
                <w:szCs w:val="18"/>
              </w:rPr>
              <w:t>mean</w:t>
            </w:r>
            <w:r w:rsidR="00617C52">
              <w:rPr>
                <w:rFonts w:asciiTheme="minorHAnsi" w:hAnsiTheme="minorHAnsi" w:cstheme="minorHAnsi"/>
                <w:sz w:val="18"/>
                <w:szCs w:val="18"/>
              </w:rPr>
              <w:t xml:space="preserve"> </w:t>
            </w:r>
            <w:r w:rsidRPr="005664D1">
              <w:rPr>
                <w:rFonts w:asciiTheme="minorHAnsi" w:hAnsiTheme="minorHAnsi" w:cstheme="minorHAnsi"/>
                <w:sz w:val="18"/>
                <w:szCs w:val="18"/>
              </w:rPr>
              <w:t>(SE)</w:t>
            </w:r>
            <w:r w:rsidRPr="005664D1">
              <w:rPr>
                <w:rFonts w:asciiTheme="minorHAnsi" w:hAnsiTheme="minorHAnsi" w:cstheme="minorHAnsi"/>
                <w:sz w:val="18"/>
                <w:szCs w:val="18"/>
                <w:vertAlign w:val="superscript"/>
              </w:rPr>
              <w:t>b</w:t>
            </w:r>
            <w:r w:rsidR="006C0211">
              <w:rPr>
                <w:rFonts w:asciiTheme="minorHAnsi" w:hAnsiTheme="minorHAnsi" w:cstheme="minorHAnsi"/>
                <w:sz w:val="18"/>
                <w:szCs w:val="18"/>
                <w:vertAlign w:val="superscript"/>
              </w:rPr>
              <w:t>, g</w:t>
            </w:r>
          </w:p>
        </w:tc>
        <w:tc>
          <w:tcPr>
            <w:tcW w:w="369" w:type="pct"/>
          </w:tcPr>
          <w:p w14:paraId="01FCD59A"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-2.68</w:t>
            </w:r>
            <w:r w:rsidRPr="005664D1">
              <w:rPr>
                <w:rFonts w:asciiTheme="minorHAnsi" w:hAnsiTheme="minorHAnsi" w:cstheme="minorHAnsi"/>
                <w:sz w:val="18"/>
                <w:szCs w:val="18"/>
                <w:lang w:eastAsia="ja-JP"/>
              </w:rPr>
              <w:br/>
              <w:t>(0.76)</w:t>
            </w:r>
          </w:p>
        </w:tc>
        <w:tc>
          <w:tcPr>
            <w:tcW w:w="510" w:type="pct"/>
          </w:tcPr>
          <w:p w14:paraId="5B9B27E5"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-6.26**</w:t>
            </w:r>
            <w:r w:rsidRPr="005664D1">
              <w:rPr>
                <w:rFonts w:asciiTheme="minorHAnsi" w:hAnsiTheme="minorHAnsi" w:cstheme="minorHAnsi"/>
                <w:sz w:val="18"/>
                <w:szCs w:val="18"/>
                <w:lang w:eastAsia="ja-JP"/>
              </w:rPr>
              <w:br/>
              <w:t>(0.91)</w:t>
            </w:r>
          </w:p>
        </w:tc>
        <w:tc>
          <w:tcPr>
            <w:tcW w:w="505" w:type="pct"/>
          </w:tcPr>
          <w:p w14:paraId="6A5669D0" w14:textId="1C917C0C"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-7.84**</w:t>
            </w:r>
            <w:r w:rsidR="00EE4C8B">
              <w:rPr>
                <w:rFonts w:asciiTheme="minorHAnsi" w:hAnsiTheme="minorHAnsi" w:cstheme="minorHAnsi"/>
                <w:sz w:val="18"/>
                <w:szCs w:val="18"/>
                <w:lang w:eastAsia="ja-JP"/>
              </w:rPr>
              <w:t>*</w:t>
            </w:r>
            <w:r w:rsidRPr="005664D1">
              <w:rPr>
                <w:rFonts w:asciiTheme="minorHAnsi" w:hAnsiTheme="minorHAnsi" w:cstheme="minorHAnsi"/>
                <w:sz w:val="18"/>
                <w:szCs w:val="18"/>
                <w:lang w:eastAsia="ja-JP"/>
              </w:rPr>
              <w:br/>
              <w:t>(0.80)</w:t>
            </w:r>
          </w:p>
        </w:tc>
        <w:tc>
          <w:tcPr>
            <w:tcW w:w="350" w:type="pct"/>
          </w:tcPr>
          <w:p w14:paraId="10263771" w14:textId="77777777" w:rsidR="005664D1" w:rsidRPr="005664D1" w:rsidRDefault="005664D1" w:rsidP="005664D1">
            <w:pPr>
              <w:ind w:right="-120"/>
              <w:rPr>
                <w:rFonts w:asciiTheme="minorHAnsi" w:eastAsia="MS Mincho" w:hAnsiTheme="minorHAnsi" w:cstheme="minorHAnsi"/>
                <w:sz w:val="18"/>
                <w:szCs w:val="18"/>
              </w:rPr>
            </w:pPr>
            <w:r w:rsidRPr="005664D1">
              <w:rPr>
                <w:rFonts w:asciiTheme="minorHAnsi" w:hAnsiTheme="minorHAnsi" w:cstheme="minorHAnsi"/>
                <w:sz w:val="18"/>
                <w:szCs w:val="18"/>
                <w:lang w:eastAsia="ja-JP"/>
              </w:rPr>
              <w:t>-1.48</w:t>
            </w:r>
            <w:r w:rsidRPr="005664D1">
              <w:rPr>
                <w:rFonts w:asciiTheme="minorHAnsi" w:hAnsiTheme="minorHAnsi" w:cstheme="minorHAnsi"/>
                <w:sz w:val="18"/>
                <w:szCs w:val="18"/>
                <w:lang w:eastAsia="ja-JP"/>
              </w:rPr>
              <w:br/>
              <w:t>(0.84)</w:t>
            </w:r>
          </w:p>
        </w:tc>
        <w:tc>
          <w:tcPr>
            <w:tcW w:w="503" w:type="pct"/>
          </w:tcPr>
          <w:p w14:paraId="2529AC97"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-7.06***</w:t>
            </w:r>
            <w:r w:rsidRPr="005664D1">
              <w:rPr>
                <w:rFonts w:asciiTheme="minorHAnsi" w:hAnsiTheme="minorHAnsi" w:cstheme="minorHAnsi"/>
                <w:sz w:val="18"/>
                <w:szCs w:val="18"/>
                <w:lang w:eastAsia="ja-JP"/>
              </w:rPr>
              <w:br/>
              <w:t>(0.96)</w:t>
            </w:r>
          </w:p>
        </w:tc>
        <w:tc>
          <w:tcPr>
            <w:tcW w:w="504" w:type="pct"/>
          </w:tcPr>
          <w:p w14:paraId="4ACEDBB8"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-7.56***</w:t>
            </w:r>
            <w:r w:rsidRPr="005664D1">
              <w:rPr>
                <w:rFonts w:asciiTheme="minorHAnsi" w:hAnsiTheme="minorHAnsi" w:cstheme="minorHAnsi"/>
                <w:sz w:val="18"/>
                <w:szCs w:val="18"/>
                <w:lang w:eastAsia="ja-JP"/>
              </w:rPr>
              <w:br/>
              <w:t>(0.88)</w:t>
            </w:r>
          </w:p>
        </w:tc>
        <w:tc>
          <w:tcPr>
            <w:tcW w:w="453" w:type="pct"/>
          </w:tcPr>
          <w:p w14:paraId="7CD00AE4"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-5.60</w:t>
            </w:r>
            <w:r w:rsidRPr="005664D1">
              <w:rPr>
                <w:rFonts w:asciiTheme="minorHAnsi" w:hAnsiTheme="minorHAnsi" w:cstheme="minorHAnsi"/>
                <w:sz w:val="18"/>
                <w:szCs w:val="18"/>
                <w:lang w:eastAsia="ja-JP"/>
              </w:rPr>
              <w:br/>
              <w:t>(0.76)</w:t>
            </w:r>
          </w:p>
        </w:tc>
        <w:tc>
          <w:tcPr>
            <w:tcW w:w="517" w:type="pct"/>
          </w:tcPr>
          <w:p w14:paraId="543EBFFE"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-8.50**</w:t>
            </w:r>
            <w:r w:rsidRPr="005664D1">
              <w:rPr>
                <w:rFonts w:asciiTheme="minorHAnsi" w:hAnsiTheme="minorHAnsi" w:cstheme="minorHAnsi"/>
                <w:sz w:val="18"/>
                <w:szCs w:val="18"/>
                <w:lang w:eastAsia="ja-JP"/>
              </w:rPr>
              <w:br/>
              <w:t>(0.74)</w:t>
            </w:r>
          </w:p>
        </w:tc>
        <w:tc>
          <w:tcPr>
            <w:tcW w:w="505" w:type="pct"/>
          </w:tcPr>
          <w:p w14:paraId="06585429" w14:textId="77777777" w:rsidR="005664D1" w:rsidRPr="005664D1" w:rsidRDefault="005664D1" w:rsidP="005664D1">
            <w:pPr>
              <w:ind w:right="-47"/>
              <w:rPr>
                <w:rFonts w:asciiTheme="minorHAnsi" w:hAnsiTheme="minorHAnsi" w:cstheme="minorHAnsi"/>
                <w:sz w:val="18"/>
                <w:szCs w:val="18"/>
                <w:lang w:eastAsia="ja-JP"/>
              </w:rPr>
            </w:pPr>
            <w:r w:rsidRPr="005664D1">
              <w:rPr>
                <w:rFonts w:asciiTheme="minorHAnsi" w:hAnsiTheme="minorHAnsi" w:cstheme="minorHAnsi"/>
                <w:sz w:val="18"/>
                <w:szCs w:val="18"/>
                <w:lang w:eastAsia="ja-JP"/>
              </w:rPr>
              <w:t>-10.83***</w:t>
            </w:r>
            <w:r w:rsidRPr="005664D1">
              <w:rPr>
                <w:rFonts w:asciiTheme="minorHAnsi" w:hAnsiTheme="minorHAnsi" w:cstheme="minorHAnsi"/>
                <w:sz w:val="18"/>
                <w:szCs w:val="18"/>
                <w:lang w:eastAsia="ja-JP"/>
              </w:rPr>
              <w:br/>
              <w:t>(0.73)</w:t>
            </w:r>
          </w:p>
        </w:tc>
      </w:tr>
      <w:tr w:rsidR="005664D1" w:rsidRPr="005664D1" w14:paraId="4EE33F76" w14:textId="77777777" w:rsidTr="00A63CD4">
        <w:trPr>
          <w:trHeight w:val="441"/>
        </w:trPr>
        <w:tc>
          <w:tcPr>
            <w:tcW w:w="784" w:type="pct"/>
          </w:tcPr>
          <w:p w14:paraId="1995635E" w14:textId="79409DE9" w:rsidR="005664D1" w:rsidRPr="005664D1" w:rsidRDefault="005664D1" w:rsidP="005664D1">
            <w:pPr>
              <w:pStyle w:val="TableParagraph"/>
              <w:spacing w:before="22"/>
              <w:ind w:left="0" w:right="-110"/>
              <w:rPr>
                <w:rStyle w:val="CommentReference"/>
                <w:rFonts w:asciiTheme="minorHAnsi" w:hAnsiTheme="minorHAnsi" w:cstheme="minorHAnsi"/>
                <w:sz w:val="18"/>
                <w:szCs w:val="18"/>
              </w:rPr>
            </w:pPr>
            <w:r w:rsidRPr="005664D1">
              <w:rPr>
                <w:rFonts w:asciiTheme="minorHAnsi" w:hAnsiTheme="minorHAnsi" w:cstheme="minorHAnsi"/>
                <w:sz w:val="18"/>
                <w:szCs w:val="18"/>
              </w:rPr>
              <w:t>POEM ≥ 4</w:t>
            </w:r>
            <w:r w:rsidRPr="005664D1">
              <w:rPr>
                <w:rFonts w:asciiTheme="minorHAnsi" w:hAnsiTheme="minorHAnsi" w:cstheme="minorHAnsi"/>
                <w:sz w:val="18"/>
                <w:szCs w:val="18"/>
              </w:rPr>
              <w:noBreakHyphen/>
              <w:t xml:space="preserve">point </w:t>
            </w:r>
            <w:r w:rsidRPr="005664D1">
              <w:rPr>
                <w:rFonts w:asciiTheme="minorHAnsi" w:hAnsiTheme="minorHAnsi" w:cstheme="minorHAnsi"/>
                <w:w w:val="95"/>
                <w:sz w:val="18"/>
                <w:szCs w:val="18"/>
              </w:rPr>
              <w:t>improvement</w:t>
            </w:r>
            <w:r w:rsidRPr="005664D1">
              <w:rPr>
                <w:rFonts w:asciiTheme="minorHAnsi" w:hAnsiTheme="minorHAnsi" w:cstheme="minorHAnsi"/>
                <w:sz w:val="18"/>
                <w:szCs w:val="18"/>
              </w:rPr>
              <w:t>, % </w:t>
            </w:r>
            <w:proofErr w:type="spellStart"/>
            <w:r w:rsidRPr="005664D1">
              <w:rPr>
                <w:rFonts w:asciiTheme="minorHAnsi" w:hAnsiTheme="minorHAnsi" w:cstheme="minorHAnsi"/>
                <w:sz w:val="18"/>
                <w:szCs w:val="18"/>
              </w:rPr>
              <w:t>responders</w:t>
            </w:r>
            <w:r w:rsidRPr="005664D1">
              <w:rPr>
                <w:rFonts w:asciiTheme="minorHAnsi" w:hAnsiTheme="minorHAnsi" w:cstheme="minorHAnsi"/>
                <w:sz w:val="18"/>
                <w:szCs w:val="18"/>
                <w:vertAlign w:val="superscript"/>
              </w:rPr>
              <w:t>d</w:t>
            </w:r>
            <w:proofErr w:type="spellEnd"/>
            <w:r w:rsidRPr="005664D1">
              <w:rPr>
                <w:rFonts w:asciiTheme="minorHAnsi" w:hAnsiTheme="minorHAnsi" w:cstheme="minorHAnsi"/>
                <w:sz w:val="18"/>
                <w:szCs w:val="18"/>
                <w:vertAlign w:val="superscript"/>
              </w:rPr>
              <w:t>, e</w:t>
            </w:r>
            <w:r w:rsidR="00701BD3">
              <w:rPr>
                <w:rFonts w:asciiTheme="minorHAnsi" w:hAnsiTheme="minorHAnsi" w:cstheme="minorHAnsi"/>
                <w:sz w:val="18"/>
                <w:szCs w:val="18"/>
                <w:vertAlign w:val="superscript"/>
              </w:rPr>
              <w:t>, g</w:t>
            </w:r>
          </w:p>
        </w:tc>
        <w:tc>
          <w:tcPr>
            <w:tcW w:w="369" w:type="pct"/>
          </w:tcPr>
          <w:p w14:paraId="1311D83B"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14.2%</w:t>
            </w:r>
          </w:p>
        </w:tc>
        <w:tc>
          <w:tcPr>
            <w:tcW w:w="510" w:type="pct"/>
          </w:tcPr>
          <w:p w14:paraId="2EA10310" w14:textId="77777777" w:rsidR="005664D1" w:rsidRPr="005664D1" w:rsidRDefault="005664D1" w:rsidP="005664D1">
            <w:pPr>
              <w:ind w:left="-10" w:right="-100"/>
              <w:rPr>
                <w:rFonts w:asciiTheme="minorHAnsi" w:eastAsia="MS Mincho" w:hAnsiTheme="minorHAnsi" w:cstheme="minorHAnsi"/>
                <w:sz w:val="18"/>
                <w:szCs w:val="18"/>
              </w:rPr>
            </w:pPr>
            <w:r w:rsidRPr="005664D1">
              <w:rPr>
                <w:rFonts w:asciiTheme="minorHAnsi" w:hAnsiTheme="minorHAnsi" w:cstheme="minorHAnsi"/>
                <w:sz w:val="18"/>
                <w:szCs w:val="18"/>
                <w:lang w:eastAsia="ja-JP"/>
              </w:rPr>
              <w:t>29.3%***</w:t>
            </w:r>
          </w:p>
        </w:tc>
        <w:tc>
          <w:tcPr>
            <w:tcW w:w="505" w:type="pct"/>
          </w:tcPr>
          <w:p w14:paraId="71FF360E"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42.4%***</w:t>
            </w:r>
          </w:p>
        </w:tc>
        <w:tc>
          <w:tcPr>
            <w:tcW w:w="350" w:type="pct"/>
          </w:tcPr>
          <w:p w14:paraId="66C9AE98"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9.2%</w:t>
            </w:r>
          </w:p>
        </w:tc>
        <w:tc>
          <w:tcPr>
            <w:tcW w:w="503" w:type="pct"/>
          </w:tcPr>
          <w:p w14:paraId="623BF2A1"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23.8%***</w:t>
            </w:r>
          </w:p>
        </w:tc>
        <w:tc>
          <w:tcPr>
            <w:tcW w:w="504" w:type="pct"/>
          </w:tcPr>
          <w:p w14:paraId="30D7FC88"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30.6%***</w:t>
            </w:r>
          </w:p>
        </w:tc>
        <w:tc>
          <w:tcPr>
            <w:tcW w:w="453" w:type="pct"/>
          </w:tcPr>
          <w:p w14:paraId="68FFB26A"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46.7</w:t>
            </w:r>
          </w:p>
        </w:tc>
        <w:tc>
          <w:tcPr>
            <w:tcW w:w="517" w:type="pct"/>
          </w:tcPr>
          <w:p w14:paraId="346C7183"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65.7**</w:t>
            </w:r>
          </w:p>
        </w:tc>
        <w:tc>
          <w:tcPr>
            <w:tcW w:w="505" w:type="pct"/>
          </w:tcPr>
          <w:p w14:paraId="3F4B82BC"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70.6***</w:t>
            </w:r>
          </w:p>
        </w:tc>
      </w:tr>
      <w:tr w:rsidR="005664D1" w:rsidRPr="005664D1" w14:paraId="332F1935" w14:textId="77777777" w:rsidTr="00A63CD4">
        <w:trPr>
          <w:trHeight w:val="642"/>
        </w:trPr>
        <w:tc>
          <w:tcPr>
            <w:tcW w:w="784" w:type="pct"/>
          </w:tcPr>
          <w:p w14:paraId="7F06718C" w14:textId="04A9B0C6" w:rsidR="005664D1" w:rsidRPr="005664D1" w:rsidRDefault="005664D1" w:rsidP="005664D1">
            <w:pPr>
              <w:pStyle w:val="TableParagraph"/>
              <w:spacing w:before="22"/>
              <w:ind w:left="0"/>
              <w:rPr>
                <w:rFonts w:asciiTheme="minorHAnsi" w:hAnsiTheme="minorHAnsi" w:cstheme="minorHAnsi"/>
                <w:sz w:val="18"/>
                <w:szCs w:val="18"/>
              </w:rPr>
            </w:pPr>
            <w:r w:rsidRPr="005664D1">
              <w:rPr>
                <w:rFonts w:asciiTheme="minorHAnsi" w:hAnsiTheme="minorHAnsi" w:cstheme="minorHAnsi"/>
                <w:sz w:val="18"/>
                <w:szCs w:val="18"/>
              </w:rPr>
              <w:t>DLQI</w:t>
            </w:r>
            <w:r w:rsidR="00A63CD4">
              <w:rPr>
                <w:rFonts w:asciiTheme="minorHAnsi" w:hAnsiTheme="minorHAnsi" w:cstheme="minorHAnsi"/>
                <w:sz w:val="18"/>
                <w:szCs w:val="18"/>
              </w:rPr>
              <w:t xml:space="preserve"> change from baseline</w:t>
            </w:r>
            <w:r w:rsidRPr="005664D1">
              <w:rPr>
                <w:rFonts w:asciiTheme="minorHAnsi" w:hAnsiTheme="minorHAnsi" w:cstheme="minorHAnsi"/>
                <w:sz w:val="18"/>
                <w:szCs w:val="18"/>
              </w:rPr>
              <w:t xml:space="preserve">, </w:t>
            </w:r>
            <w:r w:rsidR="00A63CD4">
              <w:rPr>
                <w:rFonts w:asciiTheme="minorHAnsi" w:hAnsiTheme="minorHAnsi" w:cstheme="minorHAnsi"/>
                <w:sz w:val="18"/>
                <w:szCs w:val="18"/>
              </w:rPr>
              <w:t xml:space="preserve">LS </w:t>
            </w:r>
            <w:r w:rsidRPr="005664D1">
              <w:rPr>
                <w:rFonts w:asciiTheme="minorHAnsi" w:hAnsiTheme="minorHAnsi" w:cstheme="minorHAnsi"/>
                <w:sz w:val="18"/>
                <w:szCs w:val="18"/>
              </w:rPr>
              <w:t>mean</w:t>
            </w:r>
            <w:r w:rsidR="00617C52">
              <w:rPr>
                <w:rFonts w:asciiTheme="minorHAnsi" w:hAnsiTheme="minorHAnsi" w:cstheme="minorHAnsi"/>
                <w:sz w:val="18"/>
                <w:szCs w:val="18"/>
              </w:rPr>
              <w:t xml:space="preserve"> </w:t>
            </w:r>
            <w:r w:rsidRPr="005664D1">
              <w:rPr>
                <w:rFonts w:asciiTheme="minorHAnsi" w:hAnsiTheme="minorHAnsi" w:cstheme="minorHAnsi"/>
                <w:sz w:val="18"/>
                <w:szCs w:val="18"/>
              </w:rPr>
              <w:t>(SE)</w:t>
            </w:r>
            <w:r w:rsidRPr="005664D1">
              <w:rPr>
                <w:rFonts w:asciiTheme="minorHAnsi" w:hAnsiTheme="minorHAnsi" w:cstheme="minorHAnsi"/>
                <w:sz w:val="18"/>
                <w:szCs w:val="18"/>
                <w:vertAlign w:val="superscript"/>
              </w:rPr>
              <w:t>b</w:t>
            </w:r>
            <w:r w:rsidR="00701BD3">
              <w:rPr>
                <w:rFonts w:asciiTheme="minorHAnsi" w:hAnsiTheme="minorHAnsi" w:cstheme="minorHAnsi"/>
                <w:sz w:val="18"/>
                <w:szCs w:val="18"/>
                <w:vertAlign w:val="superscript"/>
              </w:rPr>
              <w:t>, g</w:t>
            </w:r>
          </w:p>
        </w:tc>
        <w:tc>
          <w:tcPr>
            <w:tcW w:w="369" w:type="pct"/>
          </w:tcPr>
          <w:p w14:paraId="353F0657"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-2.46</w:t>
            </w:r>
            <w:r w:rsidRPr="005664D1">
              <w:rPr>
                <w:rFonts w:asciiTheme="minorHAnsi" w:hAnsiTheme="minorHAnsi" w:cstheme="minorHAnsi"/>
                <w:sz w:val="18"/>
                <w:szCs w:val="18"/>
                <w:lang w:eastAsia="ja-JP"/>
              </w:rPr>
              <w:br/>
              <w:t>(0.57)</w:t>
            </w:r>
          </w:p>
        </w:tc>
        <w:tc>
          <w:tcPr>
            <w:tcW w:w="510" w:type="pct"/>
          </w:tcPr>
          <w:p w14:paraId="4DE30275"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rPr>
              <w:t>-4.30*</w:t>
            </w:r>
            <w:r w:rsidRPr="005664D1">
              <w:rPr>
                <w:rFonts w:asciiTheme="minorHAnsi" w:hAnsiTheme="minorHAnsi" w:cstheme="minorHAnsi"/>
                <w:sz w:val="18"/>
                <w:szCs w:val="18"/>
              </w:rPr>
              <w:br/>
              <w:t>(0.68)</w:t>
            </w:r>
          </w:p>
        </w:tc>
        <w:tc>
          <w:tcPr>
            <w:tcW w:w="505" w:type="pct"/>
          </w:tcPr>
          <w:p w14:paraId="18E22DF4"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rPr>
              <w:t>-6.76***</w:t>
            </w:r>
            <w:r w:rsidRPr="005664D1">
              <w:rPr>
                <w:rFonts w:asciiTheme="minorHAnsi" w:hAnsiTheme="minorHAnsi" w:cstheme="minorHAnsi"/>
                <w:sz w:val="18"/>
                <w:szCs w:val="18"/>
              </w:rPr>
              <w:br/>
              <w:t>(0.60)</w:t>
            </w:r>
          </w:p>
        </w:tc>
        <w:tc>
          <w:tcPr>
            <w:tcW w:w="350" w:type="pct"/>
          </w:tcPr>
          <w:p w14:paraId="3809AF40"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-3.35</w:t>
            </w:r>
            <w:r w:rsidRPr="005664D1">
              <w:rPr>
                <w:rFonts w:asciiTheme="minorHAnsi" w:hAnsiTheme="minorHAnsi" w:cstheme="minorHAnsi"/>
                <w:sz w:val="18"/>
                <w:szCs w:val="18"/>
                <w:lang w:eastAsia="ja-JP"/>
              </w:rPr>
              <w:br/>
              <w:t>(0.62)</w:t>
            </w:r>
          </w:p>
        </w:tc>
        <w:tc>
          <w:tcPr>
            <w:tcW w:w="503" w:type="pct"/>
          </w:tcPr>
          <w:p w14:paraId="6694FA45"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-7.44***</w:t>
            </w:r>
            <w:r w:rsidRPr="005664D1">
              <w:rPr>
                <w:rFonts w:asciiTheme="minorHAnsi" w:hAnsiTheme="minorHAnsi" w:cstheme="minorHAnsi"/>
                <w:sz w:val="18"/>
                <w:szCs w:val="18"/>
                <w:lang w:eastAsia="ja-JP"/>
              </w:rPr>
              <w:br/>
              <w:t>(0.71)</w:t>
            </w:r>
          </w:p>
        </w:tc>
        <w:tc>
          <w:tcPr>
            <w:tcW w:w="504" w:type="pct"/>
          </w:tcPr>
          <w:p w14:paraId="7C5228F7"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-7.56***</w:t>
            </w:r>
            <w:r w:rsidRPr="005664D1">
              <w:rPr>
                <w:rFonts w:asciiTheme="minorHAnsi" w:hAnsiTheme="minorHAnsi" w:cstheme="minorHAnsi"/>
                <w:sz w:val="18"/>
                <w:szCs w:val="18"/>
                <w:lang w:eastAsia="ja-JP"/>
              </w:rPr>
              <w:br/>
              <w:t>(0.66)</w:t>
            </w:r>
          </w:p>
        </w:tc>
        <w:tc>
          <w:tcPr>
            <w:tcW w:w="453" w:type="pct"/>
          </w:tcPr>
          <w:p w14:paraId="76FA8E41"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-5.58</w:t>
            </w:r>
            <w:r w:rsidRPr="005664D1">
              <w:rPr>
                <w:rFonts w:asciiTheme="minorHAnsi" w:hAnsiTheme="minorHAnsi" w:cstheme="minorHAnsi"/>
                <w:sz w:val="18"/>
                <w:szCs w:val="18"/>
                <w:lang w:eastAsia="ja-JP"/>
              </w:rPr>
              <w:br/>
              <w:t>(0.61)</w:t>
            </w:r>
          </w:p>
        </w:tc>
        <w:tc>
          <w:tcPr>
            <w:tcW w:w="517" w:type="pct"/>
          </w:tcPr>
          <w:p w14:paraId="05303DA4"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-7.50*</w:t>
            </w:r>
            <w:r w:rsidRPr="005664D1">
              <w:rPr>
                <w:rFonts w:asciiTheme="minorHAnsi" w:hAnsiTheme="minorHAnsi" w:cstheme="minorHAnsi"/>
                <w:sz w:val="18"/>
                <w:szCs w:val="18"/>
                <w:lang w:eastAsia="ja-JP"/>
              </w:rPr>
              <w:br/>
              <w:t>(0.58)</w:t>
            </w:r>
          </w:p>
        </w:tc>
        <w:tc>
          <w:tcPr>
            <w:tcW w:w="505" w:type="pct"/>
          </w:tcPr>
          <w:p w14:paraId="26B970F4"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-8.89***</w:t>
            </w:r>
            <w:r w:rsidRPr="005664D1">
              <w:rPr>
                <w:rFonts w:asciiTheme="minorHAnsi" w:hAnsiTheme="minorHAnsi" w:cstheme="minorHAnsi"/>
                <w:sz w:val="18"/>
                <w:szCs w:val="18"/>
                <w:lang w:eastAsia="ja-JP"/>
              </w:rPr>
              <w:br/>
              <w:t>(0.58)</w:t>
            </w:r>
          </w:p>
        </w:tc>
      </w:tr>
      <w:tr w:rsidR="005664D1" w:rsidRPr="005664D1" w14:paraId="78600E23" w14:textId="77777777" w:rsidTr="00A63CD4">
        <w:trPr>
          <w:trHeight w:val="642"/>
        </w:trPr>
        <w:tc>
          <w:tcPr>
            <w:tcW w:w="784" w:type="pct"/>
          </w:tcPr>
          <w:p w14:paraId="30E6D48E" w14:textId="60C23240" w:rsidR="005664D1" w:rsidRPr="005664D1" w:rsidRDefault="005664D1" w:rsidP="005664D1">
            <w:pPr>
              <w:pStyle w:val="TableParagraph"/>
              <w:spacing w:before="22"/>
              <w:ind w:left="0" w:right="-110"/>
              <w:rPr>
                <w:rFonts w:asciiTheme="minorHAnsi" w:hAnsiTheme="minorHAnsi" w:cstheme="minorHAnsi"/>
                <w:sz w:val="18"/>
                <w:szCs w:val="18"/>
              </w:rPr>
            </w:pPr>
            <w:r w:rsidRPr="005664D1">
              <w:rPr>
                <w:rFonts w:asciiTheme="minorHAnsi" w:hAnsiTheme="minorHAnsi" w:cstheme="minorHAnsi"/>
                <w:sz w:val="18"/>
                <w:szCs w:val="18"/>
              </w:rPr>
              <w:t>DLQI ≥ 4</w:t>
            </w:r>
            <w:r w:rsidRPr="005664D1">
              <w:rPr>
                <w:rFonts w:asciiTheme="minorHAnsi" w:hAnsiTheme="minorHAnsi" w:cstheme="minorHAnsi"/>
                <w:sz w:val="18"/>
                <w:szCs w:val="18"/>
              </w:rPr>
              <w:noBreakHyphen/>
              <w:t xml:space="preserve">point </w:t>
            </w:r>
            <w:r w:rsidRPr="005664D1">
              <w:rPr>
                <w:rFonts w:asciiTheme="minorHAnsi" w:hAnsiTheme="minorHAnsi" w:cstheme="minorHAnsi"/>
                <w:w w:val="95"/>
                <w:sz w:val="18"/>
                <w:szCs w:val="18"/>
              </w:rPr>
              <w:t>improvement</w:t>
            </w:r>
            <w:r w:rsidRPr="005664D1">
              <w:rPr>
                <w:rFonts w:asciiTheme="minorHAnsi" w:hAnsiTheme="minorHAnsi" w:cstheme="minorHAnsi"/>
                <w:sz w:val="18"/>
                <w:szCs w:val="18"/>
              </w:rPr>
              <w:t>, % </w:t>
            </w:r>
            <w:proofErr w:type="spellStart"/>
            <w:r w:rsidRPr="005664D1">
              <w:rPr>
                <w:rFonts w:asciiTheme="minorHAnsi" w:hAnsiTheme="minorHAnsi" w:cstheme="minorHAnsi"/>
                <w:sz w:val="18"/>
                <w:szCs w:val="18"/>
              </w:rPr>
              <w:t>responders</w:t>
            </w:r>
            <w:r w:rsidRPr="005664D1">
              <w:rPr>
                <w:rFonts w:asciiTheme="minorHAnsi" w:hAnsiTheme="minorHAnsi" w:cstheme="minorHAnsi"/>
                <w:sz w:val="18"/>
                <w:szCs w:val="18"/>
                <w:vertAlign w:val="superscript"/>
              </w:rPr>
              <w:t>d</w:t>
            </w:r>
            <w:proofErr w:type="spellEnd"/>
            <w:r w:rsidRPr="005664D1">
              <w:rPr>
                <w:rFonts w:asciiTheme="minorHAnsi" w:hAnsiTheme="minorHAnsi" w:cstheme="minorHAnsi"/>
                <w:sz w:val="18"/>
                <w:szCs w:val="18"/>
                <w:vertAlign w:val="superscript"/>
              </w:rPr>
              <w:t>, e</w:t>
            </w:r>
            <w:r w:rsidR="00701BD3">
              <w:rPr>
                <w:rFonts w:asciiTheme="minorHAnsi" w:hAnsiTheme="minorHAnsi" w:cstheme="minorHAnsi"/>
                <w:sz w:val="18"/>
                <w:szCs w:val="18"/>
                <w:vertAlign w:val="superscript"/>
              </w:rPr>
              <w:t>, g</w:t>
            </w:r>
          </w:p>
        </w:tc>
        <w:tc>
          <w:tcPr>
            <w:tcW w:w="369" w:type="pct"/>
          </w:tcPr>
          <w:p w14:paraId="22751E4F"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rPr>
              <w:t>16.3%</w:t>
            </w:r>
          </w:p>
        </w:tc>
        <w:tc>
          <w:tcPr>
            <w:tcW w:w="510" w:type="pct"/>
          </w:tcPr>
          <w:p w14:paraId="0218848F"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rPr>
              <w:t>26.8%*</w:t>
            </w:r>
          </w:p>
        </w:tc>
        <w:tc>
          <w:tcPr>
            <w:tcW w:w="505" w:type="pct"/>
          </w:tcPr>
          <w:p w14:paraId="01A21CD9"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rPr>
              <w:t>47.4%***</w:t>
            </w:r>
          </w:p>
          <w:p w14:paraId="43395B78" w14:textId="77777777" w:rsidR="005664D1" w:rsidRPr="005664D1" w:rsidRDefault="005664D1" w:rsidP="005664D1">
            <w:pPr>
              <w:rPr>
                <w:rFonts w:asciiTheme="minorHAnsi" w:eastAsia="MS Mincho" w:hAnsiTheme="minorHAnsi" w:cstheme="minorHAnsi"/>
                <w:sz w:val="18"/>
                <w:szCs w:val="18"/>
              </w:rPr>
            </w:pPr>
          </w:p>
        </w:tc>
        <w:tc>
          <w:tcPr>
            <w:tcW w:w="350" w:type="pct"/>
          </w:tcPr>
          <w:p w14:paraId="0A76E2A2" w14:textId="77777777" w:rsidR="005664D1" w:rsidRPr="005664D1" w:rsidRDefault="005664D1" w:rsidP="005664D1">
            <w:pPr>
              <w:ind w:left="-20"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13.4%</w:t>
            </w:r>
          </w:p>
        </w:tc>
        <w:tc>
          <w:tcPr>
            <w:tcW w:w="503" w:type="pct"/>
          </w:tcPr>
          <w:p w14:paraId="0DE111A2"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26.3%**</w:t>
            </w:r>
          </w:p>
        </w:tc>
        <w:tc>
          <w:tcPr>
            <w:tcW w:w="504" w:type="pct"/>
          </w:tcPr>
          <w:p w14:paraId="0E6E30D9" w14:textId="77777777" w:rsidR="005664D1" w:rsidRPr="005664D1" w:rsidRDefault="005664D1" w:rsidP="005664D1">
            <w:pPr>
              <w:ind w:right="-110"/>
              <w:rPr>
                <w:rFonts w:asciiTheme="minorHAnsi" w:eastAsia="MS Mincho" w:hAnsiTheme="minorHAnsi" w:cstheme="minorHAnsi"/>
                <w:sz w:val="18"/>
                <w:szCs w:val="18"/>
              </w:rPr>
            </w:pPr>
            <w:r w:rsidRPr="005664D1">
              <w:rPr>
                <w:rFonts w:asciiTheme="minorHAnsi" w:hAnsiTheme="minorHAnsi" w:cstheme="minorHAnsi"/>
                <w:sz w:val="18"/>
                <w:szCs w:val="18"/>
                <w:lang w:eastAsia="ja-JP"/>
              </w:rPr>
              <w:t>33.9%*</w:t>
            </w:r>
            <w:r w:rsidRPr="005664D1">
              <w:rPr>
                <w:rFonts w:asciiTheme="minorHAnsi" w:hAnsiTheme="minorHAnsi" w:cstheme="minorHAnsi"/>
                <w:sz w:val="18"/>
                <w:szCs w:val="18"/>
              </w:rPr>
              <w:t>*</w:t>
            </w:r>
            <w:r w:rsidRPr="005664D1">
              <w:rPr>
                <w:rFonts w:asciiTheme="minorHAnsi" w:hAnsiTheme="minorHAnsi" w:cstheme="minorHAnsi"/>
                <w:sz w:val="18"/>
                <w:szCs w:val="18"/>
                <w:lang w:eastAsia="ja-JP"/>
              </w:rPr>
              <w:t>*</w:t>
            </w:r>
          </w:p>
        </w:tc>
        <w:tc>
          <w:tcPr>
            <w:tcW w:w="453" w:type="pct"/>
          </w:tcPr>
          <w:p w14:paraId="3454A2C4"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52.9</w:t>
            </w:r>
          </w:p>
        </w:tc>
        <w:tc>
          <w:tcPr>
            <w:tcW w:w="517" w:type="pct"/>
          </w:tcPr>
          <w:p w14:paraId="2DF4F9F1" w14:textId="77777777" w:rsidR="005664D1" w:rsidRPr="005664D1" w:rsidRDefault="005664D1" w:rsidP="005664D1">
            <w:pPr>
              <w:pStyle w:val="mdTblEntry"/>
              <w:spacing w:line="240" w:lineRule="auto"/>
              <w:rPr>
                <w:rFonts w:asciiTheme="minorHAnsi" w:hAnsiTheme="minorHAnsi" w:cstheme="minorHAnsi"/>
                <w:sz w:val="18"/>
                <w:szCs w:val="18"/>
                <w:lang w:eastAsia="ja-JP"/>
              </w:rPr>
            </w:pPr>
            <w:r w:rsidRPr="005664D1">
              <w:rPr>
                <w:rFonts w:asciiTheme="minorHAnsi" w:hAnsiTheme="minorHAnsi" w:cstheme="minorHAnsi"/>
                <w:sz w:val="18"/>
                <w:szCs w:val="18"/>
                <w:lang w:eastAsia="ja-JP"/>
              </w:rPr>
              <w:t>61.2</w:t>
            </w:r>
          </w:p>
        </w:tc>
        <w:tc>
          <w:tcPr>
            <w:tcW w:w="505" w:type="pct"/>
          </w:tcPr>
          <w:p w14:paraId="2A2569FE"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73.3***</w:t>
            </w:r>
          </w:p>
        </w:tc>
      </w:tr>
      <w:tr w:rsidR="005664D1" w:rsidRPr="005664D1" w14:paraId="21103561" w14:textId="77777777" w:rsidTr="00A63CD4">
        <w:trPr>
          <w:trHeight w:val="682"/>
        </w:trPr>
        <w:tc>
          <w:tcPr>
            <w:tcW w:w="784" w:type="pct"/>
          </w:tcPr>
          <w:p w14:paraId="180B3EE4" w14:textId="7CEF474F" w:rsidR="005664D1" w:rsidRPr="005664D1" w:rsidRDefault="005664D1" w:rsidP="005664D1">
            <w:pPr>
              <w:pStyle w:val="TableParagraph"/>
              <w:spacing w:before="22"/>
              <w:ind w:left="0"/>
              <w:rPr>
                <w:rFonts w:asciiTheme="minorHAnsi" w:hAnsiTheme="minorHAnsi" w:cstheme="minorHAnsi"/>
                <w:sz w:val="18"/>
                <w:szCs w:val="18"/>
              </w:rPr>
            </w:pPr>
            <w:r w:rsidRPr="005664D1">
              <w:rPr>
                <w:rFonts w:asciiTheme="minorHAnsi" w:hAnsiTheme="minorHAnsi" w:cstheme="minorHAnsi"/>
                <w:sz w:val="18"/>
                <w:szCs w:val="18"/>
              </w:rPr>
              <w:t>HADS</w:t>
            </w:r>
            <w:r w:rsidR="00A63CD4">
              <w:rPr>
                <w:rFonts w:asciiTheme="minorHAnsi" w:hAnsiTheme="minorHAnsi" w:cstheme="minorHAnsi"/>
                <w:sz w:val="18"/>
                <w:szCs w:val="18"/>
              </w:rPr>
              <w:t xml:space="preserve"> change from baseline</w:t>
            </w:r>
            <w:r w:rsidRPr="005664D1">
              <w:rPr>
                <w:rFonts w:asciiTheme="minorHAnsi" w:hAnsiTheme="minorHAnsi" w:cstheme="minorHAnsi"/>
                <w:sz w:val="18"/>
                <w:szCs w:val="18"/>
              </w:rPr>
              <w:t xml:space="preserve">, </w:t>
            </w:r>
            <w:r w:rsidR="00EE4C8B">
              <w:rPr>
                <w:rFonts w:asciiTheme="minorHAnsi" w:hAnsiTheme="minorHAnsi" w:cstheme="minorHAnsi"/>
                <w:sz w:val="18"/>
                <w:szCs w:val="18"/>
              </w:rPr>
              <w:t xml:space="preserve">LS </w:t>
            </w:r>
            <w:r w:rsidRPr="005664D1">
              <w:rPr>
                <w:rFonts w:asciiTheme="minorHAnsi" w:hAnsiTheme="minorHAnsi" w:cstheme="minorHAnsi"/>
                <w:sz w:val="18"/>
                <w:szCs w:val="18"/>
              </w:rPr>
              <w:t>mean</w:t>
            </w:r>
            <w:r w:rsidR="00617C52">
              <w:rPr>
                <w:rFonts w:asciiTheme="minorHAnsi" w:hAnsiTheme="minorHAnsi" w:cstheme="minorHAnsi"/>
                <w:sz w:val="18"/>
                <w:szCs w:val="18"/>
              </w:rPr>
              <w:t xml:space="preserve"> </w:t>
            </w:r>
            <w:r w:rsidRPr="005664D1">
              <w:rPr>
                <w:rFonts w:asciiTheme="minorHAnsi" w:hAnsiTheme="minorHAnsi" w:cstheme="minorHAnsi"/>
                <w:sz w:val="18"/>
                <w:szCs w:val="18"/>
              </w:rPr>
              <w:t>(SE)</w:t>
            </w:r>
            <w:r w:rsidRPr="005664D1">
              <w:rPr>
                <w:rFonts w:asciiTheme="minorHAnsi" w:hAnsiTheme="minorHAnsi" w:cstheme="minorHAnsi"/>
                <w:sz w:val="18"/>
                <w:szCs w:val="18"/>
                <w:vertAlign w:val="superscript"/>
              </w:rPr>
              <w:t>b</w:t>
            </w:r>
            <w:r w:rsidR="00701BD3">
              <w:rPr>
                <w:rFonts w:asciiTheme="minorHAnsi" w:hAnsiTheme="minorHAnsi" w:cstheme="minorHAnsi"/>
                <w:sz w:val="18"/>
                <w:szCs w:val="18"/>
                <w:vertAlign w:val="superscript"/>
              </w:rPr>
              <w:t>, g</w:t>
            </w:r>
          </w:p>
        </w:tc>
        <w:tc>
          <w:tcPr>
            <w:tcW w:w="369" w:type="pct"/>
          </w:tcPr>
          <w:p w14:paraId="02787325"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-1.22</w:t>
            </w:r>
            <w:r w:rsidRPr="005664D1">
              <w:rPr>
                <w:rFonts w:asciiTheme="minorHAnsi" w:hAnsiTheme="minorHAnsi" w:cstheme="minorHAnsi"/>
                <w:sz w:val="18"/>
                <w:szCs w:val="18"/>
                <w:lang w:eastAsia="ja-JP"/>
              </w:rPr>
              <w:br/>
              <w:t>(0.48)</w:t>
            </w:r>
          </w:p>
        </w:tc>
        <w:tc>
          <w:tcPr>
            <w:tcW w:w="510" w:type="pct"/>
          </w:tcPr>
          <w:p w14:paraId="61E5FC66"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-3.22**</w:t>
            </w:r>
            <w:r w:rsidRPr="005664D1">
              <w:rPr>
                <w:rFonts w:asciiTheme="minorHAnsi" w:hAnsiTheme="minorHAnsi" w:cstheme="minorHAnsi"/>
                <w:sz w:val="18"/>
                <w:szCs w:val="18"/>
                <w:lang w:eastAsia="ja-JP"/>
              </w:rPr>
              <w:br/>
              <w:t>(0.58)</w:t>
            </w:r>
          </w:p>
          <w:p w14:paraId="4F10CA78" w14:textId="77777777" w:rsidR="005664D1" w:rsidRPr="005664D1" w:rsidRDefault="005664D1" w:rsidP="005664D1">
            <w:pPr>
              <w:rPr>
                <w:rFonts w:asciiTheme="minorHAnsi" w:eastAsia="MS Mincho" w:hAnsiTheme="minorHAnsi" w:cstheme="minorHAnsi"/>
                <w:sz w:val="18"/>
                <w:szCs w:val="18"/>
              </w:rPr>
            </w:pPr>
          </w:p>
        </w:tc>
        <w:tc>
          <w:tcPr>
            <w:tcW w:w="505" w:type="pct"/>
          </w:tcPr>
          <w:p w14:paraId="52344046"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-3.56***</w:t>
            </w:r>
            <w:r w:rsidRPr="005664D1">
              <w:rPr>
                <w:rFonts w:asciiTheme="minorHAnsi" w:hAnsiTheme="minorHAnsi" w:cstheme="minorHAnsi"/>
                <w:sz w:val="18"/>
                <w:szCs w:val="18"/>
                <w:lang w:eastAsia="ja-JP"/>
              </w:rPr>
              <w:br/>
              <w:t>(0.52)</w:t>
            </w:r>
          </w:p>
        </w:tc>
        <w:tc>
          <w:tcPr>
            <w:tcW w:w="350" w:type="pct"/>
          </w:tcPr>
          <w:p w14:paraId="39929FBC" w14:textId="77777777" w:rsidR="005664D1" w:rsidRPr="005664D1" w:rsidRDefault="005664D1" w:rsidP="005664D1">
            <w:pPr>
              <w:ind w:right="-40"/>
              <w:rPr>
                <w:rFonts w:asciiTheme="minorHAnsi" w:hAnsiTheme="minorHAnsi" w:cstheme="minorHAnsi"/>
                <w:sz w:val="18"/>
                <w:szCs w:val="18"/>
                <w:lang w:eastAsia="ja-JP"/>
              </w:rPr>
            </w:pPr>
            <w:r w:rsidRPr="005664D1">
              <w:rPr>
                <w:rFonts w:asciiTheme="minorHAnsi" w:hAnsiTheme="minorHAnsi" w:cstheme="minorHAnsi"/>
                <w:sz w:val="18"/>
                <w:szCs w:val="18"/>
                <w:lang w:eastAsia="ja-JP"/>
              </w:rPr>
              <w:t>-1.25</w:t>
            </w:r>
          </w:p>
          <w:p w14:paraId="4906D520" w14:textId="77777777" w:rsidR="005664D1" w:rsidRPr="005664D1" w:rsidRDefault="005664D1" w:rsidP="005664D1">
            <w:pPr>
              <w:ind w:right="-40"/>
              <w:rPr>
                <w:rFonts w:asciiTheme="minorHAnsi" w:eastAsia="MS Mincho" w:hAnsiTheme="minorHAnsi" w:cstheme="minorHAnsi"/>
                <w:sz w:val="18"/>
                <w:szCs w:val="18"/>
              </w:rPr>
            </w:pPr>
            <w:r w:rsidRPr="005664D1">
              <w:rPr>
                <w:rFonts w:asciiTheme="minorHAnsi" w:hAnsiTheme="minorHAnsi" w:cstheme="minorHAnsi"/>
                <w:sz w:val="18"/>
                <w:szCs w:val="18"/>
                <w:lang w:eastAsia="ja-JP"/>
              </w:rPr>
              <w:t>(0.57)</w:t>
            </w:r>
          </w:p>
        </w:tc>
        <w:tc>
          <w:tcPr>
            <w:tcW w:w="503" w:type="pct"/>
          </w:tcPr>
          <w:p w14:paraId="262B00B2"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-2.82</w:t>
            </w:r>
            <w:r w:rsidRPr="005664D1">
              <w:rPr>
                <w:rFonts w:asciiTheme="minorHAnsi" w:hAnsiTheme="minorHAnsi" w:cstheme="minorHAnsi"/>
                <w:sz w:val="18"/>
                <w:szCs w:val="18"/>
                <w:lang w:eastAsia="ja-JP"/>
              </w:rPr>
              <w:br/>
              <w:t>(0.66)</w:t>
            </w:r>
          </w:p>
        </w:tc>
        <w:tc>
          <w:tcPr>
            <w:tcW w:w="504" w:type="pct"/>
          </w:tcPr>
          <w:p w14:paraId="5AC67EDC"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-3.71**</w:t>
            </w:r>
            <w:r w:rsidRPr="005664D1">
              <w:rPr>
                <w:rFonts w:asciiTheme="minorHAnsi" w:hAnsiTheme="minorHAnsi" w:cstheme="minorHAnsi"/>
                <w:sz w:val="18"/>
                <w:szCs w:val="18"/>
                <w:lang w:eastAsia="ja-JP"/>
              </w:rPr>
              <w:br/>
              <w:t>(0.62)</w:t>
            </w:r>
          </w:p>
        </w:tc>
        <w:tc>
          <w:tcPr>
            <w:tcW w:w="453" w:type="pct"/>
          </w:tcPr>
          <w:p w14:paraId="0BFDA1BB"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-3.18</w:t>
            </w:r>
            <w:r w:rsidRPr="005664D1">
              <w:rPr>
                <w:rFonts w:asciiTheme="minorHAnsi" w:hAnsiTheme="minorHAnsi" w:cstheme="minorHAnsi"/>
                <w:sz w:val="18"/>
                <w:szCs w:val="18"/>
                <w:lang w:eastAsia="ja-JP"/>
              </w:rPr>
              <w:br/>
              <w:t>(0.56)</w:t>
            </w:r>
          </w:p>
        </w:tc>
        <w:tc>
          <w:tcPr>
            <w:tcW w:w="517" w:type="pct"/>
          </w:tcPr>
          <w:p w14:paraId="1C323450"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-4.75*</w:t>
            </w:r>
            <w:r w:rsidRPr="005664D1">
              <w:rPr>
                <w:rFonts w:asciiTheme="minorHAnsi" w:hAnsiTheme="minorHAnsi" w:cstheme="minorHAnsi"/>
                <w:sz w:val="18"/>
                <w:szCs w:val="18"/>
                <w:lang w:eastAsia="ja-JP"/>
              </w:rPr>
              <w:br/>
              <w:t>(0.54)</w:t>
            </w:r>
          </w:p>
        </w:tc>
        <w:tc>
          <w:tcPr>
            <w:tcW w:w="505" w:type="pct"/>
          </w:tcPr>
          <w:p w14:paraId="4D0DAF70"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-5.12*</w:t>
            </w:r>
            <w:r w:rsidRPr="005664D1">
              <w:rPr>
                <w:rFonts w:asciiTheme="minorHAnsi" w:hAnsiTheme="minorHAnsi" w:cstheme="minorHAnsi"/>
                <w:sz w:val="18"/>
                <w:szCs w:val="18"/>
                <w:lang w:eastAsia="ja-JP"/>
              </w:rPr>
              <w:br/>
              <w:t>(0.54)</w:t>
            </w:r>
          </w:p>
        </w:tc>
      </w:tr>
      <w:tr w:rsidR="005664D1" w:rsidRPr="005664D1" w14:paraId="5C563371" w14:textId="77777777" w:rsidTr="00A63CD4">
        <w:trPr>
          <w:trHeight w:val="853"/>
        </w:trPr>
        <w:tc>
          <w:tcPr>
            <w:tcW w:w="784" w:type="pct"/>
          </w:tcPr>
          <w:p w14:paraId="0D881844" w14:textId="77777777" w:rsidR="00EE4C8B" w:rsidRDefault="005664D1" w:rsidP="005664D1">
            <w:pPr>
              <w:pStyle w:val="TableParagraph"/>
              <w:spacing w:before="22"/>
              <w:ind w:left="0"/>
              <w:rPr>
                <w:rFonts w:asciiTheme="minorHAnsi" w:hAnsiTheme="minorHAnsi" w:cstheme="minorHAnsi"/>
                <w:sz w:val="18"/>
                <w:szCs w:val="18"/>
              </w:rPr>
            </w:pPr>
            <w:r w:rsidRPr="005664D1">
              <w:rPr>
                <w:rFonts w:asciiTheme="minorHAnsi" w:hAnsiTheme="minorHAnsi" w:cstheme="minorHAnsi"/>
                <w:sz w:val="18"/>
                <w:szCs w:val="18"/>
              </w:rPr>
              <w:t>HADS</w:t>
            </w:r>
            <w:r w:rsidRPr="005664D1">
              <w:rPr>
                <w:rFonts w:asciiTheme="minorHAnsi" w:hAnsiTheme="minorHAnsi" w:cstheme="minorHAnsi"/>
                <w:sz w:val="18"/>
                <w:szCs w:val="18"/>
                <w:lang w:eastAsia="ja-JP"/>
              </w:rPr>
              <w:t xml:space="preserve"> </w:t>
            </w:r>
            <w:r w:rsidRPr="005664D1">
              <w:rPr>
                <w:rFonts w:asciiTheme="minorHAnsi" w:hAnsiTheme="minorHAnsi" w:cstheme="minorHAnsi"/>
                <w:sz w:val="18"/>
                <w:szCs w:val="18"/>
              </w:rPr>
              <w:t>Anxiety Score &lt;</w:t>
            </w:r>
            <w:r w:rsidR="00EE4C8B">
              <w:rPr>
                <w:rFonts w:asciiTheme="minorHAnsi" w:hAnsiTheme="minorHAnsi" w:cstheme="minorHAnsi"/>
                <w:sz w:val="18"/>
                <w:szCs w:val="18"/>
              </w:rPr>
              <w:t xml:space="preserve"> </w:t>
            </w:r>
            <w:r w:rsidRPr="005664D1">
              <w:rPr>
                <w:rFonts w:asciiTheme="minorHAnsi" w:hAnsiTheme="minorHAnsi" w:cstheme="minorHAnsi"/>
                <w:sz w:val="18"/>
                <w:szCs w:val="18"/>
              </w:rPr>
              <w:t>8</w:t>
            </w:r>
            <w:r w:rsidR="00EE4C8B">
              <w:rPr>
                <w:rFonts w:asciiTheme="minorHAnsi" w:hAnsiTheme="minorHAnsi" w:cstheme="minorHAnsi"/>
                <w:sz w:val="18"/>
                <w:szCs w:val="18"/>
              </w:rPr>
              <w:t>,</w:t>
            </w:r>
            <w:r w:rsidRPr="005664D1">
              <w:rPr>
                <w:rFonts w:asciiTheme="minorHAnsi" w:hAnsiTheme="minorHAnsi" w:cstheme="minorHAnsi"/>
                <w:sz w:val="18"/>
                <w:szCs w:val="18"/>
              </w:rPr>
              <w:t xml:space="preserve"> </w:t>
            </w:r>
          </w:p>
          <w:p w14:paraId="05DC8DFA" w14:textId="702D986E" w:rsidR="005664D1" w:rsidRPr="005664D1" w:rsidRDefault="00EE4C8B" w:rsidP="005664D1">
            <w:pPr>
              <w:pStyle w:val="TableParagraph"/>
              <w:spacing w:before="22"/>
              <w:ind w:left="0"/>
              <w:rPr>
                <w:rFonts w:asciiTheme="minorHAnsi" w:hAnsiTheme="minorHAnsi" w:cstheme="minorHAnsi"/>
                <w:sz w:val="18"/>
                <w:szCs w:val="18"/>
              </w:rPr>
            </w:pPr>
            <w:r>
              <w:rPr>
                <w:rFonts w:asciiTheme="minorHAnsi" w:hAnsiTheme="minorHAnsi" w:cstheme="minorHAnsi"/>
                <w:sz w:val="18"/>
                <w:szCs w:val="18"/>
              </w:rPr>
              <w:t xml:space="preserve">% </w:t>
            </w:r>
            <w:proofErr w:type="spellStart"/>
            <w:r w:rsidR="005664D1" w:rsidRPr="005664D1">
              <w:rPr>
                <w:rFonts w:asciiTheme="minorHAnsi" w:hAnsiTheme="minorHAnsi" w:cstheme="minorHAnsi"/>
                <w:sz w:val="18"/>
                <w:szCs w:val="18"/>
              </w:rPr>
              <w:t>respon</w:t>
            </w:r>
            <w:r>
              <w:rPr>
                <w:rFonts w:asciiTheme="minorHAnsi" w:hAnsiTheme="minorHAnsi" w:cstheme="minorHAnsi"/>
                <w:sz w:val="18"/>
                <w:szCs w:val="18"/>
              </w:rPr>
              <w:t>ders</w:t>
            </w:r>
            <w:r w:rsidR="005664D1" w:rsidRPr="005664D1">
              <w:rPr>
                <w:rFonts w:asciiTheme="minorHAnsi" w:hAnsiTheme="minorHAnsi" w:cstheme="minorHAnsi"/>
                <w:sz w:val="18"/>
                <w:szCs w:val="18"/>
                <w:vertAlign w:val="superscript"/>
              </w:rPr>
              <w:t>d</w:t>
            </w:r>
            <w:proofErr w:type="spellEnd"/>
            <w:r w:rsidR="005664D1" w:rsidRPr="005664D1">
              <w:rPr>
                <w:rFonts w:asciiTheme="minorHAnsi" w:hAnsiTheme="minorHAnsi" w:cstheme="minorHAnsi"/>
                <w:sz w:val="18"/>
                <w:szCs w:val="18"/>
                <w:vertAlign w:val="superscript"/>
              </w:rPr>
              <w:t>, e</w:t>
            </w:r>
            <w:r w:rsidR="00701BD3">
              <w:rPr>
                <w:rFonts w:asciiTheme="minorHAnsi" w:hAnsiTheme="minorHAnsi" w:cstheme="minorHAnsi"/>
                <w:sz w:val="18"/>
                <w:szCs w:val="18"/>
                <w:vertAlign w:val="superscript"/>
              </w:rPr>
              <w:t>, g</w:t>
            </w:r>
          </w:p>
        </w:tc>
        <w:tc>
          <w:tcPr>
            <w:tcW w:w="369" w:type="pct"/>
          </w:tcPr>
          <w:p w14:paraId="793F6B16" w14:textId="77777777" w:rsidR="005664D1" w:rsidRPr="005664D1" w:rsidRDefault="005664D1" w:rsidP="005664D1">
            <w:pPr>
              <w:tabs>
                <w:tab w:val="left" w:pos="520"/>
              </w:tabs>
              <w:ind w:right="-20"/>
              <w:rPr>
                <w:rFonts w:asciiTheme="minorHAnsi" w:eastAsia="MS Mincho" w:hAnsiTheme="minorHAnsi" w:cstheme="minorHAnsi"/>
                <w:sz w:val="18"/>
                <w:szCs w:val="18"/>
              </w:rPr>
            </w:pPr>
            <w:r w:rsidRPr="005664D1">
              <w:rPr>
                <w:rFonts w:asciiTheme="minorHAnsi" w:hAnsiTheme="minorHAnsi" w:cstheme="minorHAnsi"/>
                <w:sz w:val="18"/>
                <w:szCs w:val="18"/>
                <w:lang w:eastAsia="ja-JP"/>
              </w:rPr>
              <w:t>12.0</w:t>
            </w:r>
          </w:p>
        </w:tc>
        <w:tc>
          <w:tcPr>
            <w:tcW w:w="510" w:type="pct"/>
          </w:tcPr>
          <w:p w14:paraId="10FC1ED6"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18.4</w:t>
            </w:r>
          </w:p>
        </w:tc>
        <w:tc>
          <w:tcPr>
            <w:tcW w:w="505" w:type="pct"/>
          </w:tcPr>
          <w:p w14:paraId="3337A453"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41.0***</w:t>
            </w:r>
          </w:p>
        </w:tc>
        <w:tc>
          <w:tcPr>
            <w:tcW w:w="350" w:type="pct"/>
          </w:tcPr>
          <w:p w14:paraId="78A7E0E9"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11.4</w:t>
            </w:r>
          </w:p>
        </w:tc>
        <w:tc>
          <w:tcPr>
            <w:tcW w:w="503" w:type="pct"/>
          </w:tcPr>
          <w:p w14:paraId="5B6C45E6"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20.0</w:t>
            </w:r>
          </w:p>
        </w:tc>
        <w:tc>
          <w:tcPr>
            <w:tcW w:w="504" w:type="pct"/>
          </w:tcPr>
          <w:p w14:paraId="63C2811D" w14:textId="77777777" w:rsidR="005664D1" w:rsidRPr="005664D1" w:rsidRDefault="005664D1" w:rsidP="005664D1">
            <w:pPr>
              <w:rPr>
                <w:rFonts w:asciiTheme="minorHAnsi" w:eastAsia="MS Mincho" w:hAnsiTheme="minorHAnsi" w:cstheme="minorHAnsi"/>
                <w:sz w:val="18"/>
                <w:szCs w:val="18"/>
              </w:rPr>
            </w:pPr>
            <w:r w:rsidRPr="005664D1">
              <w:rPr>
                <w:rFonts w:asciiTheme="minorHAnsi" w:hAnsiTheme="minorHAnsi" w:cstheme="minorHAnsi"/>
                <w:sz w:val="18"/>
                <w:szCs w:val="18"/>
                <w:lang w:eastAsia="ja-JP"/>
              </w:rPr>
              <w:t>25.6*</w:t>
            </w:r>
          </w:p>
        </w:tc>
        <w:tc>
          <w:tcPr>
            <w:tcW w:w="453" w:type="pct"/>
          </w:tcPr>
          <w:p w14:paraId="37E01957"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45.5</w:t>
            </w:r>
          </w:p>
        </w:tc>
        <w:tc>
          <w:tcPr>
            <w:tcW w:w="517" w:type="pct"/>
          </w:tcPr>
          <w:p w14:paraId="2B38F659"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54.8</w:t>
            </w:r>
          </w:p>
        </w:tc>
        <w:tc>
          <w:tcPr>
            <w:tcW w:w="505" w:type="pct"/>
          </w:tcPr>
          <w:p w14:paraId="434F82B5"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56.1</w:t>
            </w:r>
          </w:p>
        </w:tc>
      </w:tr>
      <w:tr w:rsidR="005664D1" w:rsidRPr="005664D1" w14:paraId="28DCD37C" w14:textId="77777777" w:rsidTr="00A63CD4">
        <w:trPr>
          <w:trHeight w:val="1054"/>
        </w:trPr>
        <w:tc>
          <w:tcPr>
            <w:tcW w:w="784" w:type="pct"/>
          </w:tcPr>
          <w:p w14:paraId="43146A10" w14:textId="77777777" w:rsidR="00EE4C8B" w:rsidRDefault="005664D1" w:rsidP="005664D1">
            <w:pPr>
              <w:pStyle w:val="TableParagraph"/>
              <w:spacing w:before="22"/>
              <w:ind w:left="0"/>
              <w:rPr>
                <w:rFonts w:asciiTheme="minorHAnsi" w:hAnsiTheme="minorHAnsi" w:cstheme="minorHAnsi"/>
                <w:sz w:val="18"/>
                <w:szCs w:val="18"/>
              </w:rPr>
            </w:pPr>
            <w:r w:rsidRPr="005664D1">
              <w:rPr>
                <w:rFonts w:asciiTheme="minorHAnsi" w:hAnsiTheme="minorHAnsi" w:cstheme="minorHAnsi"/>
                <w:sz w:val="18"/>
                <w:szCs w:val="18"/>
              </w:rPr>
              <w:t xml:space="preserve">HADS Depression Score &lt;8 </w:t>
            </w:r>
          </w:p>
          <w:p w14:paraId="72006026" w14:textId="0F68D086" w:rsidR="005664D1" w:rsidRPr="005664D1" w:rsidRDefault="00EE4C8B" w:rsidP="005664D1">
            <w:pPr>
              <w:pStyle w:val="TableParagraph"/>
              <w:spacing w:before="22"/>
              <w:ind w:left="0"/>
              <w:rPr>
                <w:rFonts w:asciiTheme="minorHAnsi" w:hAnsiTheme="minorHAnsi" w:cstheme="minorHAnsi"/>
                <w:sz w:val="18"/>
                <w:szCs w:val="18"/>
              </w:rPr>
            </w:pPr>
            <w:r>
              <w:rPr>
                <w:rFonts w:asciiTheme="minorHAnsi" w:hAnsiTheme="minorHAnsi" w:cstheme="minorHAnsi"/>
                <w:sz w:val="18"/>
                <w:szCs w:val="18"/>
              </w:rPr>
              <w:t xml:space="preserve">% </w:t>
            </w:r>
            <w:r w:rsidR="005664D1" w:rsidRPr="005664D1">
              <w:rPr>
                <w:rFonts w:asciiTheme="minorHAnsi" w:hAnsiTheme="minorHAnsi" w:cstheme="minorHAnsi"/>
                <w:sz w:val="18"/>
                <w:szCs w:val="18"/>
              </w:rPr>
              <w:t>respon</w:t>
            </w:r>
            <w:r>
              <w:rPr>
                <w:rFonts w:asciiTheme="minorHAnsi" w:hAnsiTheme="minorHAnsi" w:cstheme="minorHAnsi"/>
                <w:sz w:val="18"/>
                <w:szCs w:val="18"/>
              </w:rPr>
              <w:t>ders</w:t>
            </w:r>
            <w:r w:rsidR="005664D1" w:rsidRPr="005664D1">
              <w:rPr>
                <w:rFonts w:asciiTheme="minorHAnsi" w:hAnsiTheme="minorHAnsi" w:cstheme="minorHAnsi"/>
                <w:sz w:val="18"/>
                <w:szCs w:val="18"/>
              </w:rPr>
              <w:t xml:space="preserve"> </w:t>
            </w:r>
            <w:r w:rsidR="005664D1" w:rsidRPr="005664D1">
              <w:rPr>
                <w:rFonts w:asciiTheme="minorHAnsi" w:hAnsiTheme="minorHAnsi" w:cstheme="minorHAnsi"/>
                <w:sz w:val="18"/>
                <w:szCs w:val="18"/>
                <w:vertAlign w:val="superscript"/>
              </w:rPr>
              <w:t>d, e</w:t>
            </w:r>
            <w:r w:rsidR="00701BD3">
              <w:rPr>
                <w:rFonts w:asciiTheme="minorHAnsi" w:hAnsiTheme="minorHAnsi" w:cstheme="minorHAnsi"/>
                <w:sz w:val="18"/>
                <w:szCs w:val="18"/>
                <w:vertAlign w:val="superscript"/>
              </w:rPr>
              <w:t>, g</w:t>
            </w:r>
          </w:p>
        </w:tc>
        <w:tc>
          <w:tcPr>
            <w:tcW w:w="369" w:type="pct"/>
          </w:tcPr>
          <w:p w14:paraId="13757370" w14:textId="77777777" w:rsidR="005664D1" w:rsidRPr="005664D1" w:rsidRDefault="005664D1" w:rsidP="005664D1">
            <w:pPr>
              <w:tabs>
                <w:tab w:val="left" w:pos="520"/>
              </w:tabs>
              <w:ind w:right="-20"/>
              <w:rPr>
                <w:rFonts w:asciiTheme="minorHAnsi" w:hAnsiTheme="minorHAnsi" w:cstheme="minorHAnsi"/>
                <w:sz w:val="18"/>
                <w:szCs w:val="18"/>
                <w:lang w:eastAsia="ja-JP"/>
              </w:rPr>
            </w:pPr>
            <w:r w:rsidRPr="005664D1">
              <w:rPr>
                <w:rFonts w:asciiTheme="minorHAnsi" w:hAnsiTheme="minorHAnsi" w:cstheme="minorHAnsi"/>
                <w:sz w:val="18"/>
                <w:szCs w:val="18"/>
                <w:lang w:eastAsia="ja-JP"/>
              </w:rPr>
              <w:t>13.0</w:t>
            </w:r>
          </w:p>
        </w:tc>
        <w:tc>
          <w:tcPr>
            <w:tcW w:w="510" w:type="pct"/>
          </w:tcPr>
          <w:p w14:paraId="1BDA5D3E"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17.4</w:t>
            </w:r>
          </w:p>
        </w:tc>
        <w:tc>
          <w:tcPr>
            <w:tcW w:w="505" w:type="pct"/>
          </w:tcPr>
          <w:p w14:paraId="2337C6ED"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35.7*</w:t>
            </w:r>
          </w:p>
        </w:tc>
        <w:tc>
          <w:tcPr>
            <w:tcW w:w="350" w:type="pct"/>
          </w:tcPr>
          <w:p w14:paraId="2DD73CCD"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5.5</w:t>
            </w:r>
          </w:p>
        </w:tc>
        <w:tc>
          <w:tcPr>
            <w:tcW w:w="503" w:type="pct"/>
          </w:tcPr>
          <w:p w14:paraId="354461FC"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19.4*</w:t>
            </w:r>
          </w:p>
        </w:tc>
        <w:tc>
          <w:tcPr>
            <w:tcW w:w="504" w:type="pct"/>
          </w:tcPr>
          <w:p w14:paraId="1B6FCE66"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16.0</w:t>
            </w:r>
          </w:p>
        </w:tc>
        <w:tc>
          <w:tcPr>
            <w:tcW w:w="453" w:type="pct"/>
          </w:tcPr>
          <w:p w14:paraId="2B4DEE55"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30.3</w:t>
            </w:r>
          </w:p>
        </w:tc>
        <w:tc>
          <w:tcPr>
            <w:tcW w:w="517" w:type="pct"/>
          </w:tcPr>
          <w:p w14:paraId="67BCED19"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66.7*</w:t>
            </w:r>
          </w:p>
        </w:tc>
        <w:tc>
          <w:tcPr>
            <w:tcW w:w="505" w:type="pct"/>
          </w:tcPr>
          <w:p w14:paraId="55E0B717" w14:textId="77777777" w:rsidR="005664D1" w:rsidRPr="005664D1" w:rsidRDefault="005664D1" w:rsidP="005664D1">
            <w:pPr>
              <w:rPr>
                <w:rFonts w:asciiTheme="minorHAnsi" w:hAnsiTheme="minorHAnsi" w:cstheme="minorHAnsi"/>
                <w:sz w:val="18"/>
                <w:szCs w:val="18"/>
                <w:lang w:eastAsia="ja-JP"/>
              </w:rPr>
            </w:pPr>
            <w:r w:rsidRPr="005664D1">
              <w:rPr>
                <w:rFonts w:asciiTheme="minorHAnsi" w:hAnsiTheme="minorHAnsi" w:cstheme="minorHAnsi"/>
                <w:sz w:val="18"/>
                <w:szCs w:val="18"/>
                <w:lang w:eastAsia="ja-JP"/>
              </w:rPr>
              <w:t>51.5</w:t>
            </w:r>
          </w:p>
        </w:tc>
      </w:tr>
    </w:tbl>
    <w:p w14:paraId="3AAA05A1" w14:textId="77777777" w:rsidR="005664D1" w:rsidRPr="00EC003A" w:rsidRDefault="005664D1" w:rsidP="005664D1">
      <w:pPr>
        <w:rPr>
          <w:sz w:val="18"/>
          <w:szCs w:val="18"/>
        </w:rPr>
      </w:pPr>
      <w:r w:rsidRPr="00EC003A">
        <w:rPr>
          <w:sz w:val="18"/>
          <w:szCs w:val="18"/>
          <w:lang w:eastAsia="ja-JP"/>
        </w:rPr>
        <w:t>*</w:t>
      </w:r>
      <w:r w:rsidRPr="00EC003A">
        <w:rPr>
          <w:sz w:val="18"/>
          <w:szCs w:val="18"/>
        </w:rPr>
        <w:t xml:space="preserve">p ≤0.05; </w:t>
      </w:r>
      <w:r w:rsidRPr="00EC003A">
        <w:rPr>
          <w:sz w:val="18"/>
          <w:szCs w:val="18"/>
          <w:lang w:eastAsia="ja-JP"/>
        </w:rPr>
        <w:t>**</w:t>
      </w:r>
      <w:r w:rsidRPr="00EC003A">
        <w:rPr>
          <w:sz w:val="18"/>
          <w:szCs w:val="18"/>
        </w:rPr>
        <w:t xml:space="preserve">p ≤0.01; </w:t>
      </w:r>
      <w:r w:rsidRPr="00EC003A">
        <w:rPr>
          <w:sz w:val="18"/>
          <w:szCs w:val="18"/>
          <w:lang w:eastAsia="ja-JP"/>
        </w:rPr>
        <w:t>***</w:t>
      </w:r>
      <w:r w:rsidRPr="00EC003A">
        <w:rPr>
          <w:sz w:val="18"/>
          <w:szCs w:val="18"/>
        </w:rPr>
        <w:t>p ≤0.001 vs placebo</w:t>
      </w:r>
    </w:p>
    <w:p w14:paraId="648D525E" w14:textId="77777777" w:rsidR="005664D1" w:rsidRPr="00EC003A" w:rsidRDefault="005664D1" w:rsidP="005664D1">
      <w:pPr>
        <w:keepNext/>
        <w:spacing w:after="0" w:line="240" w:lineRule="auto"/>
        <w:rPr>
          <w:rFonts w:eastAsia="MS Mincho" w:cstheme="minorHAnsi"/>
          <w:sz w:val="18"/>
          <w:szCs w:val="18"/>
        </w:rPr>
      </w:pPr>
      <w:r w:rsidRPr="00EC003A">
        <w:rPr>
          <w:rFonts w:eastAsia="MS Mincho" w:cstheme="minorHAnsi"/>
          <w:sz w:val="18"/>
          <w:szCs w:val="18"/>
          <w:vertAlign w:val="superscript"/>
        </w:rPr>
        <w:t>a</w:t>
      </w:r>
      <w:r w:rsidRPr="00EC003A">
        <w:rPr>
          <w:rFonts w:eastAsia="MS Mincho" w:cstheme="minorHAnsi"/>
          <w:sz w:val="18"/>
          <w:szCs w:val="18"/>
        </w:rPr>
        <w:t xml:space="preserve"> Full analysis set (FAS) including all randomised patients.</w:t>
      </w:r>
    </w:p>
    <w:p w14:paraId="1C9DC202" w14:textId="77777777" w:rsidR="005664D1" w:rsidRPr="00EC003A" w:rsidRDefault="005664D1" w:rsidP="005664D1">
      <w:pPr>
        <w:pStyle w:val="TblFootnote"/>
        <w:tabs>
          <w:tab w:val="clear" w:pos="259"/>
          <w:tab w:val="left" w:pos="0"/>
        </w:tabs>
        <w:spacing w:line="240" w:lineRule="auto"/>
        <w:ind w:left="0" w:firstLine="0"/>
        <w:rPr>
          <w:rFonts w:asciiTheme="minorHAnsi" w:eastAsia="MS Mincho" w:hAnsiTheme="minorHAnsi" w:cstheme="minorHAnsi"/>
          <w:sz w:val="18"/>
          <w:szCs w:val="18"/>
        </w:rPr>
      </w:pPr>
      <w:r w:rsidRPr="00EC003A">
        <w:rPr>
          <w:rFonts w:asciiTheme="minorHAnsi" w:eastAsia="MS Mincho" w:hAnsiTheme="minorHAnsi" w:cstheme="minorHAnsi"/>
          <w:sz w:val="18"/>
          <w:szCs w:val="18"/>
          <w:vertAlign w:val="superscript"/>
        </w:rPr>
        <w:t>b</w:t>
      </w:r>
      <w:r w:rsidRPr="00EC003A" w:rsidDel="00B66B84">
        <w:rPr>
          <w:rFonts w:asciiTheme="minorHAnsi" w:eastAsia="MS Mincho" w:hAnsiTheme="minorHAnsi" w:cstheme="minorHAnsi"/>
          <w:sz w:val="18"/>
          <w:szCs w:val="18"/>
          <w:vertAlign w:val="superscript"/>
        </w:rPr>
        <w:t xml:space="preserve"> </w:t>
      </w:r>
      <w:r w:rsidRPr="00EC003A" w:rsidDel="00B66B84">
        <w:rPr>
          <w:rFonts w:asciiTheme="minorHAnsi" w:eastAsia="MS Mincho" w:hAnsiTheme="minorHAnsi" w:cstheme="minorHAnsi"/>
          <w:sz w:val="18"/>
          <w:szCs w:val="18"/>
        </w:rPr>
        <w:t>Results shown are LS mean change from baseline (SE)</w:t>
      </w:r>
      <w:r w:rsidRPr="00EC003A">
        <w:rPr>
          <w:rFonts w:asciiTheme="minorHAnsi" w:eastAsia="MS Mincho" w:hAnsiTheme="minorHAnsi" w:cstheme="minorHAnsi"/>
          <w:sz w:val="18"/>
          <w:szCs w:val="18"/>
        </w:rPr>
        <w:t>.</w:t>
      </w:r>
      <w:r w:rsidRPr="00EC003A">
        <w:rPr>
          <w:rFonts w:asciiTheme="minorHAnsi" w:hAnsiTheme="minorHAnsi" w:cstheme="minorHAnsi"/>
          <w:bCs/>
          <w:sz w:val="18"/>
          <w:szCs w:val="18"/>
        </w:rPr>
        <w:t xml:space="preserve"> </w:t>
      </w:r>
      <w:r w:rsidRPr="00EC003A">
        <w:rPr>
          <w:rFonts w:asciiTheme="minorHAnsi" w:eastAsia="MS Mincho" w:hAnsiTheme="minorHAnsi" w:cstheme="minorHAnsi"/>
          <w:sz w:val="18"/>
          <w:szCs w:val="18"/>
        </w:rPr>
        <w:t>Data collected after rescue therapy or after permanent study drug discontinuation were considered missing.  LS means are from MMRM analyses which incorporates multiple imputation for missing data.</w:t>
      </w:r>
    </w:p>
    <w:p w14:paraId="6B2882BE" w14:textId="0BEB128A" w:rsidR="005664D1" w:rsidRPr="00EC003A" w:rsidRDefault="005664D1" w:rsidP="005664D1">
      <w:pPr>
        <w:spacing w:after="0" w:line="240" w:lineRule="auto"/>
        <w:rPr>
          <w:rFonts w:eastAsia="MS Mincho" w:cstheme="minorHAnsi"/>
          <w:sz w:val="18"/>
          <w:szCs w:val="18"/>
        </w:rPr>
      </w:pPr>
      <w:r w:rsidRPr="00EC003A">
        <w:rPr>
          <w:rFonts w:eastAsia="MS Mincho" w:cstheme="minorHAnsi"/>
          <w:sz w:val="18"/>
          <w:szCs w:val="18"/>
          <w:vertAlign w:val="superscript"/>
        </w:rPr>
        <w:t xml:space="preserve">c </w:t>
      </w:r>
      <w:r w:rsidRPr="00EC003A">
        <w:rPr>
          <w:rFonts w:eastAsia="MS Mincho" w:cstheme="minorHAnsi"/>
          <w:sz w:val="18"/>
          <w:szCs w:val="18"/>
        </w:rPr>
        <w:t>ADSS Item 2: Mean number of night</w:t>
      </w:r>
      <w:r w:rsidR="004D4706">
        <w:rPr>
          <w:rFonts w:eastAsia="MS Mincho" w:cstheme="minorHAnsi"/>
          <w:sz w:val="18"/>
          <w:szCs w:val="18"/>
        </w:rPr>
        <w:t xml:space="preserve"> </w:t>
      </w:r>
      <w:r w:rsidRPr="00EC003A">
        <w:rPr>
          <w:rFonts w:eastAsia="MS Mincho" w:cstheme="minorHAnsi"/>
          <w:sz w:val="18"/>
          <w:szCs w:val="18"/>
        </w:rPr>
        <w:t>time awakenings due to itch</w:t>
      </w:r>
    </w:p>
    <w:p w14:paraId="0C2C9FD3" w14:textId="77777777" w:rsidR="005664D1" w:rsidRPr="00EC003A" w:rsidRDefault="005664D1" w:rsidP="005664D1">
      <w:pPr>
        <w:spacing w:after="0" w:line="240" w:lineRule="auto"/>
        <w:rPr>
          <w:rFonts w:eastAsia="MS Mincho" w:cstheme="minorHAnsi"/>
          <w:sz w:val="18"/>
          <w:szCs w:val="18"/>
        </w:rPr>
      </w:pPr>
      <w:r w:rsidRPr="00EC003A">
        <w:rPr>
          <w:rFonts w:eastAsia="MS Mincho" w:cstheme="minorHAnsi"/>
          <w:sz w:val="18"/>
          <w:szCs w:val="18"/>
          <w:vertAlign w:val="superscript"/>
        </w:rPr>
        <w:lastRenderedPageBreak/>
        <w:t>d</w:t>
      </w:r>
      <w:r w:rsidRPr="00EC003A">
        <w:rPr>
          <w:rFonts w:eastAsia="MS Mincho" w:cstheme="minorHAnsi"/>
          <w:sz w:val="18"/>
          <w:szCs w:val="18"/>
        </w:rPr>
        <w:t xml:space="preserve"> Non-Responder Imputation: Patients who received rescue treatment or with missing data were considered as non-responders.</w:t>
      </w:r>
    </w:p>
    <w:p w14:paraId="4CF20D9D" w14:textId="77777777" w:rsidR="004D4706" w:rsidRDefault="005664D1" w:rsidP="004D4706">
      <w:pPr>
        <w:spacing w:after="0" w:line="240" w:lineRule="auto"/>
        <w:rPr>
          <w:rFonts w:cstheme="minorHAnsi"/>
          <w:sz w:val="18"/>
          <w:szCs w:val="18"/>
          <w:lang w:eastAsia="ja-JP"/>
        </w:rPr>
      </w:pPr>
      <w:r w:rsidRPr="00EC003A">
        <w:rPr>
          <w:rFonts w:cstheme="minorHAnsi"/>
          <w:sz w:val="18"/>
          <w:szCs w:val="18"/>
          <w:vertAlign w:val="superscript"/>
        </w:rPr>
        <w:t xml:space="preserve">e </w:t>
      </w:r>
      <w:r w:rsidRPr="00EC003A" w:rsidDel="00B66B84">
        <w:rPr>
          <w:rFonts w:eastAsia="MS Mincho" w:cstheme="minorHAnsi"/>
          <w:sz w:val="18"/>
          <w:szCs w:val="18"/>
        </w:rPr>
        <w:t xml:space="preserve">Results shown in subset of patients </w:t>
      </w:r>
      <w:r w:rsidRPr="00EC003A" w:rsidDel="00B66B84">
        <w:rPr>
          <w:rFonts w:cstheme="minorHAnsi"/>
          <w:sz w:val="18"/>
          <w:szCs w:val="18"/>
          <w:lang w:eastAsia="ja-JP"/>
        </w:rPr>
        <w:t xml:space="preserve">eligible for assessment. </w:t>
      </w:r>
      <w:r w:rsidRPr="00EC003A" w:rsidDel="00B66B84">
        <w:rPr>
          <w:rFonts w:cstheme="minorHAnsi"/>
          <w:sz w:val="18"/>
          <w:szCs w:val="18"/>
        </w:rPr>
        <w:t>For DLQI and POEM improvement, only patients with baseline severity of 4 or more points were included in the analysis. For HADS</w:t>
      </w:r>
      <w:r w:rsidRPr="00EC003A">
        <w:rPr>
          <w:rFonts w:cstheme="minorHAnsi"/>
          <w:sz w:val="18"/>
          <w:szCs w:val="18"/>
        </w:rPr>
        <w:t xml:space="preserve"> </w:t>
      </w:r>
      <w:r w:rsidRPr="00EC003A" w:rsidDel="00B66B84">
        <w:rPr>
          <w:rFonts w:cstheme="minorHAnsi"/>
          <w:sz w:val="18"/>
          <w:szCs w:val="18"/>
        </w:rPr>
        <w:t>anxiety,</w:t>
      </w:r>
      <w:r w:rsidRPr="00EC003A">
        <w:rPr>
          <w:rFonts w:cstheme="minorHAnsi"/>
          <w:sz w:val="18"/>
          <w:szCs w:val="18"/>
        </w:rPr>
        <w:t xml:space="preserve"> and HADS Depression</w:t>
      </w:r>
      <w:r w:rsidRPr="00EC003A" w:rsidDel="00B66B84">
        <w:rPr>
          <w:rFonts w:cstheme="minorHAnsi"/>
          <w:sz w:val="18"/>
          <w:szCs w:val="18"/>
        </w:rPr>
        <w:t xml:space="preserve"> only patients with baseline severity of 8 or more points were included in </w:t>
      </w:r>
      <w:r w:rsidRPr="00EC003A" w:rsidDel="00B66B84">
        <w:rPr>
          <w:rFonts w:cstheme="minorHAnsi"/>
          <w:sz w:val="18"/>
          <w:szCs w:val="18"/>
          <w:lang w:eastAsia="ja-JP"/>
        </w:rPr>
        <w:t xml:space="preserve">the </w:t>
      </w:r>
      <w:r w:rsidRPr="00EC003A" w:rsidDel="00B66B84">
        <w:rPr>
          <w:rFonts w:cstheme="minorHAnsi"/>
          <w:sz w:val="18"/>
          <w:szCs w:val="18"/>
        </w:rPr>
        <w:t>analysis</w:t>
      </w:r>
      <w:r w:rsidRPr="00EC003A" w:rsidDel="00B66B84">
        <w:rPr>
          <w:rFonts w:cstheme="minorHAnsi"/>
          <w:sz w:val="18"/>
          <w:szCs w:val="18"/>
          <w:lang w:eastAsia="ja-JP"/>
        </w:rPr>
        <w:t>.</w:t>
      </w:r>
    </w:p>
    <w:p w14:paraId="5DF6F8C5" w14:textId="09639905" w:rsidR="00701BD3" w:rsidRPr="004D4706" w:rsidRDefault="00701BD3" w:rsidP="004D4706">
      <w:pPr>
        <w:spacing w:after="0" w:line="240" w:lineRule="auto"/>
        <w:rPr>
          <w:rFonts w:cstheme="minorHAnsi"/>
          <w:sz w:val="18"/>
          <w:szCs w:val="18"/>
          <w:lang w:eastAsia="ja-JP"/>
        </w:rPr>
      </w:pPr>
      <w:r w:rsidRPr="00701BD3">
        <w:rPr>
          <w:rFonts w:cstheme="minorHAnsi"/>
          <w:sz w:val="18"/>
          <w:szCs w:val="18"/>
          <w:vertAlign w:val="superscript"/>
        </w:rPr>
        <w:t>f</w:t>
      </w:r>
      <w:r w:rsidRPr="00701BD3">
        <w:rPr>
          <w:rFonts w:cstheme="minorHAnsi"/>
          <w:sz w:val="18"/>
          <w:szCs w:val="18"/>
        </w:rPr>
        <w:t xml:space="preserve"> Not statistically significant after adjustment for multiple comparisons.</w:t>
      </w:r>
    </w:p>
    <w:p w14:paraId="66B28F3B" w14:textId="77777777" w:rsidR="00701BD3" w:rsidRPr="00701BD3" w:rsidRDefault="00701BD3" w:rsidP="00701BD3">
      <w:pPr>
        <w:pStyle w:val="TblFootnote"/>
        <w:tabs>
          <w:tab w:val="clear" w:pos="259"/>
          <w:tab w:val="left" w:pos="0"/>
        </w:tabs>
        <w:spacing w:line="240" w:lineRule="auto"/>
        <w:ind w:left="0" w:firstLine="0"/>
        <w:rPr>
          <w:rFonts w:asciiTheme="minorHAnsi" w:hAnsiTheme="minorHAnsi" w:cstheme="minorHAnsi"/>
          <w:sz w:val="18"/>
          <w:szCs w:val="18"/>
        </w:rPr>
      </w:pPr>
      <w:r w:rsidRPr="00701BD3">
        <w:rPr>
          <w:rFonts w:asciiTheme="minorHAnsi" w:hAnsiTheme="minorHAnsi" w:cstheme="minorHAnsi"/>
          <w:sz w:val="18"/>
          <w:szCs w:val="18"/>
          <w:vertAlign w:val="superscript"/>
        </w:rPr>
        <w:t>g</w:t>
      </w:r>
      <w:r w:rsidRPr="00701BD3">
        <w:rPr>
          <w:rFonts w:asciiTheme="minorHAnsi" w:hAnsiTheme="minorHAnsi" w:cstheme="minorHAnsi"/>
          <w:sz w:val="18"/>
          <w:szCs w:val="18"/>
        </w:rPr>
        <w:t xml:space="preserve"> Endpoint was not adjusted for multiplicity.</w:t>
      </w:r>
    </w:p>
    <w:p w14:paraId="26EF28F3" w14:textId="2AAF768F" w:rsidR="0027237E" w:rsidRPr="0027237E" w:rsidRDefault="0027237E" w:rsidP="00A6463E"/>
    <w:p w14:paraId="6EF04F6F" w14:textId="77777777" w:rsidR="001A3992" w:rsidRPr="00625B9E" w:rsidRDefault="001A3992" w:rsidP="001A3992">
      <w:pPr>
        <w:pStyle w:val="Heading2"/>
        <w:keepNext/>
        <w:spacing w:before="0" w:after="120"/>
        <w:rPr>
          <w:lang w:val="en-US"/>
        </w:rPr>
      </w:pPr>
      <w:r w:rsidRPr="00625B9E">
        <w:rPr>
          <w:lang w:val="en-US"/>
        </w:rPr>
        <w:t xml:space="preserve">Pharmacokinetic properties </w:t>
      </w:r>
    </w:p>
    <w:p w14:paraId="14243DED" w14:textId="77777777" w:rsidR="001A3992" w:rsidRPr="00625B9E" w:rsidRDefault="001A3992" w:rsidP="001A3992">
      <w:pPr>
        <w:pStyle w:val="Heading3"/>
        <w:spacing w:after="120"/>
      </w:pPr>
      <w:r w:rsidRPr="00625B9E">
        <w:t>Absorption</w:t>
      </w:r>
    </w:p>
    <w:p w14:paraId="4D687674" w14:textId="77777777" w:rsidR="00DB09BB" w:rsidRPr="00625B9E" w:rsidRDefault="00DB09BB" w:rsidP="00DB09BB">
      <w:r w:rsidRPr="00625B9E">
        <w:t xml:space="preserve">Following oral administration, baricitinib is rapidly absorbed with a median </w:t>
      </w:r>
      <w:proofErr w:type="spellStart"/>
      <w:r w:rsidRPr="00625B9E">
        <w:t>t</w:t>
      </w:r>
      <w:r w:rsidRPr="00625B9E">
        <w:rPr>
          <w:vertAlign w:val="subscript"/>
        </w:rPr>
        <w:t>max</w:t>
      </w:r>
      <w:proofErr w:type="spellEnd"/>
      <w:r w:rsidRPr="00625B9E">
        <w:t xml:space="preserve"> of approximately 1 hour and an absolute bioavailability of approximately 80%. Administration with meals was not associated with a clinically relevant effect on exposure.</w:t>
      </w:r>
    </w:p>
    <w:p w14:paraId="3B951350" w14:textId="77777777" w:rsidR="001A3992" w:rsidRPr="00625B9E" w:rsidRDefault="001A3992" w:rsidP="001A3992">
      <w:pPr>
        <w:pStyle w:val="Heading3"/>
        <w:spacing w:after="120"/>
      </w:pPr>
      <w:r w:rsidRPr="00625B9E">
        <w:t>Distribution</w:t>
      </w:r>
    </w:p>
    <w:p w14:paraId="6112AF5D" w14:textId="77777777" w:rsidR="00DB09BB" w:rsidRPr="00625B9E" w:rsidRDefault="00DB09BB" w:rsidP="00DB09BB">
      <w:r w:rsidRPr="00625B9E">
        <w:t xml:space="preserve">Mean volume of distribution following intravenous infusion administration was 76 L, indicating distribution of baricitinib into tissues. Baricitinib is approximately 50% bound to plasma proteins. Baricitinib is a substrate of the </w:t>
      </w:r>
      <w:proofErr w:type="spellStart"/>
      <w:r w:rsidRPr="00625B9E">
        <w:t>Pgp</w:t>
      </w:r>
      <w:proofErr w:type="spellEnd"/>
      <w:r w:rsidRPr="00625B9E">
        <w:t>, BCRP, OAT3 and MATE2-K transporters, which play roles in drug distribution.</w:t>
      </w:r>
    </w:p>
    <w:p w14:paraId="24DE71AE" w14:textId="77777777" w:rsidR="001A3992" w:rsidRPr="00625B9E" w:rsidRDefault="001A3992" w:rsidP="001A3992">
      <w:pPr>
        <w:pStyle w:val="Heading3"/>
        <w:spacing w:after="120"/>
      </w:pPr>
      <w:r w:rsidRPr="00625B9E">
        <w:t>Metabolism</w:t>
      </w:r>
    </w:p>
    <w:p w14:paraId="04BBF376" w14:textId="77777777" w:rsidR="00DB09BB" w:rsidRPr="00625B9E" w:rsidRDefault="00DB09BB" w:rsidP="00DB09BB">
      <w:r w:rsidRPr="00625B9E">
        <w:t>Baricitinib metabolism is mediated by CYP3A4 with approximately 6% of the dose identified as undergoing biotransformation. No metabolites were quantifiable in plasma. Baricitinib was excreted predominately as unchanged drug in urine (69%) and faeces (15%) and only 4 minor oxidative metabolites (3 in urine, 1 in faeces) were identified.</w:t>
      </w:r>
    </w:p>
    <w:p w14:paraId="3977A1C7" w14:textId="77777777" w:rsidR="001A3992" w:rsidRPr="00625B9E" w:rsidRDefault="001A3992" w:rsidP="001A3992">
      <w:pPr>
        <w:pStyle w:val="Heading3"/>
        <w:spacing w:after="120"/>
      </w:pPr>
      <w:r w:rsidRPr="00625B9E">
        <w:t>Excretion</w:t>
      </w:r>
    </w:p>
    <w:p w14:paraId="3D8613B4" w14:textId="77777777" w:rsidR="00DB09BB" w:rsidRPr="00625B9E" w:rsidRDefault="00DB09BB" w:rsidP="00DB09BB">
      <w:r w:rsidRPr="00625B9E">
        <w:t xml:space="preserve">Renal elimination is the principal mechanism for </w:t>
      </w:r>
      <w:proofErr w:type="spellStart"/>
      <w:r w:rsidRPr="00625B9E">
        <w:t>baricitinib’s</w:t>
      </w:r>
      <w:proofErr w:type="spellEnd"/>
      <w:r w:rsidRPr="00625B9E">
        <w:t xml:space="preserve"> clearance through glomerular filtration and active secretion via OAT3, </w:t>
      </w:r>
      <w:proofErr w:type="spellStart"/>
      <w:r w:rsidRPr="00625B9E">
        <w:t>Pgp</w:t>
      </w:r>
      <w:proofErr w:type="spellEnd"/>
      <w:r w:rsidRPr="00625B9E">
        <w:t xml:space="preserve">, BCRP and MATE2-K. In a clinical pharmacology study, approximately 75% of the administered dose was eliminated in the urine, while about 20% of the dose was eliminated in the faeces. </w:t>
      </w:r>
    </w:p>
    <w:p w14:paraId="5BAEB402" w14:textId="51F8A919" w:rsidR="00DB09BB" w:rsidRDefault="00DB09BB" w:rsidP="00DB09BB">
      <w:r w:rsidRPr="00625B9E">
        <w:t xml:space="preserve">Mean apparent clearance (CL/F) and half-life in patients with rheumatoid arthritis was 9.42 L/hr (CV = 34.3%) and 12.5 hours (CV = 27.4%), respectively. </w:t>
      </w:r>
      <w:proofErr w:type="spellStart"/>
      <w:r w:rsidRPr="00625B9E">
        <w:t>C</w:t>
      </w:r>
      <w:r w:rsidRPr="00625B9E">
        <w:rPr>
          <w:vertAlign w:val="subscript"/>
        </w:rPr>
        <w:t>max</w:t>
      </w:r>
      <w:proofErr w:type="spellEnd"/>
      <w:r w:rsidRPr="00625B9E">
        <w:t xml:space="preserve"> and AUC at steady state were 1.4- and 2.0 fold higher, respectively, in patients with RA compared to healthy subjects.</w:t>
      </w:r>
    </w:p>
    <w:p w14:paraId="3BB0350A" w14:textId="150EAAAD" w:rsidR="004C73EF" w:rsidRPr="0027237E" w:rsidRDefault="00300FD1" w:rsidP="00DB09BB">
      <w:r w:rsidRPr="007D1D28">
        <w:t xml:space="preserve">Mean apparent clearance (CL/F) and half-life in patients with atopic dermatitis was </w:t>
      </w:r>
      <w:r w:rsidRPr="007D1D28">
        <w:rPr>
          <w:lang w:eastAsia="ja-JP"/>
        </w:rPr>
        <w:t>11.2</w:t>
      </w:r>
      <w:r>
        <w:rPr>
          <w:lang w:eastAsia="ja-JP"/>
        </w:rPr>
        <w:t xml:space="preserve"> </w:t>
      </w:r>
      <w:r w:rsidRPr="007D1D28">
        <w:t>L/hr (CV = </w:t>
      </w:r>
      <w:r w:rsidRPr="007D1D28">
        <w:rPr>
          <w:lang w:eastAsia="ja-JP"/>
        </w:rPr>
        <w:t>33.0</w:t>
      </w:r>
      <w:r w:rsidRPr="007D1D28">
        <w:t xml:space="preserve">%) and </w:t>
      </w:r>
      <w:r w:rsidRPr="007D1D28">
        <w:rPr>
          <w:lang w:eastAsia="ja-JP"/>
        </w:rPr>
        <w:t>12.9</w:t>
      </w:r>
      <w:r w:rsidRPr="007D1D28">
        <w:t> hrs (CV = </w:t>
      </w:r>
      <w:r w:rsidRPr="007D1D28">
        <w:rPr>
          <w:lang w:eastAsia="ja-JP"/>
        </w:rPr>
        <w:t>36.0%</w:t>
      </w:r>
      <w:r w:rsidRPr="007D1D28">
        <w:t xml:space="preserve">), respectively. </w:t>
      </w:r>
      <w:proofErr w:type="spellStart"/>
      <w:r w:rsidRPr="007D1D28">
        <w:t>C</w:t>
      </w:r>
      <w:r w:rsidRPr="00624B5C">
        <w:rPr>
          <w:vertAlign w:val="subscript"/>
        </w:rPr>
        <w:t>max</w:t>
      </w:r>
      <w:proofErr w:type="spellEnd"/>
      <w:r w:rsidRPr="00C51F33">
        <w:t xml:space="preserve"> and AUC at steady state </w:t>
      </w:r>
      <w:r w:rsidRPr="00C51F33">
        <w:rPr>
          <w:bCs/>
        </w:rPr>
        <w:t>in</w:t>
      </w:r>
      <w:r w:rsidRPr="00C51F33">
        <w:t xml:space="preserve"> patients with atopic dermatitis are 0.8-fold those seen in rheumatoid arthritis. </w:t>
      </w:r>
    </w:p>
    <w:p w14:paraId="583CA5D7" w14:textId="77777777" w:rsidR="00AA2C34" w:rsidRPr="00625B9E" w:rsidRDefault="00AA2C34" w:rsidP="00AA2C34">
      <w:pPr>
        <w:rPr>
          <w:bCs/>
          <w:i/>
        </w:rPr>
      </w:pPr>
      <w:r w:rsidRPr="00625B9E">
        <w:rPr>
          <w:bCs/>
          <w:i/>
        </w:rPr>
        <w:t>Other Intrinsic Factors</w:t>
      </w:r>
    </w:p>
    <w:p w14:paraId="29B2FF46" w14:textId="77777777" w:rsidR="00AA2C34" w:rsidRPr="00625B9E" w:rsidRDefault="00AA2C34" w:rsidP="00AA2C34">
      <w:r w:rsidRPr="00625B9E">
        <w:t xml:space="preserve">Body weight, sex, race, and ethnicity did not have a clinically relevant effect on the pharmacokinetics (PK) of baricitinib. The mean effects of intrinsic factors on PK parameters (AUC and </w:t>
      </w:r>
      <w:proofErr w:type="spellStart"/>
      <w:r w:rsidRPr="00625B9E">
        <w:t>C</w:t>
      </w:r>
      <w:r w:rsidRPr="00625B9E">
        <w:rPr>
          <w:vertAlign w:val="subscript"/>
        </w:rPr>
        <w:t>max</w:t>
      </w:r>
      <w:proofErr w:type="spellEnd"/>
      <w:r w:rsidRPr="00625B9E">
        <w:t xml:space="preserve">) were </w:t>
      </w:r>
      <w:r w:rsidRPr="00625B9E">
        <w:lastRenderedPageBreak/>
        <w:t xml:space="preserve">generally within the </w:t>
      </w:r>
      <w:proofErr w:type="spellStart"/>
      <w:r w:rsidRPr="00625B9E">
        <w:t>intersubject</w:t>
      </w:r>
      <w:proofErr w:type="spellEnd"/>
      <w:r w:rsidRPr="00625B9E">
        <w:t xml:space="preserve"> PK variability of baricitinib. Therefore, no dose adjustment is needed based on these patient factors.</w:t>
      </w:r>
    </w:p>
    <w:p w14:paraId="52F7F5EC" w14:textId="77777777" w:rsidR="00AA2C34" w:rsidRPr="00625B9E" w:rsidRDefault="00AA2C34" w:rsidP="00AA2C34">
      <w:pPr>
        <w:rPr>
          <w:bCs/>
          <w:i/>
        </w:rPr>
      </w:pPr>
      <w:r w:rsidRPr="00625B9E">
        <w:rPr>
          <w:bCs/>
          <w:i/>
        </w:rPr>
        <w:t>Renal Impairment</w:t>
      </w:r>
    </w:p>
    <w:p w14:paraId="0DA2423E" w14:textId="77777777" w:rsidR="00AA2C34" w:rsidRPr="00625B9E" w:rsidRDefault="00AA2C34" w:rsidP="00AA2C34">
      <w:r w:rsidRPr="00625B9E">
        <w:t>Renal function was found to significantly affect baricitinib exposure. Subjects with moderate, Stage 3 renal impairment (GFR 30 - ≤60 mL/min/1.73m</w:t>
      </w:r>
      <w:r w:rsidRPr="00625B9E">
        <w:rPr>
          <w:vertAlign w:val="superscript"/>
        </w:rPr>
        <w:t>2)</w:t>
      </w:r>
      <w:r w:rsidRPr="00625B9E">
        <w:t xml:space="preserve"> and severe, Stage 4 &amp; 5 renal impairment (GFR &lt;30 mL/min/1.73m</w:t>
      </w:r>
      <w:r w:rsidRPr="00625B9E">
        <w:rPr>
          <w:vertAlign w:val="superscript"/>
        </w:rPr>
        <w:t>2</w:t>
      </w:r>
      <w:r w:rsidRPr="00625B9E">
        <w:t>) have approximately 2-fold and 4-fold increases, respectively, in baricitinib AUC values compared to subjects with normal renal function.</w:t>
      </w:r>
    </w:p>
    <w:p w14:paraId="24D40065" w14:textId="77777777" w:rsidR="00AA2C34" w:rsidRPr="00625B9E" w:rsidRDefault="00AA2C34" w:rsidP="00AA2C34">
      <w:r w:rsidRPr="00625B9E">
        <w:t>The recommended dose of OLUMIANT in patients with estimated GFR of 30 - ≤60 mL/min/1.73 m</w:t>
      </w:r>
      <w:r w:rsidRPr="00625B9E">
        <w:rPr>
          <w:vertAlign w:val="superscript"/>
        </w:rPr>
        <w:t>2</w:t>
      </w:r>
      <w:r w:rsidRPr="00625B9E">
        <w:t xml:space="preserve"> is 2 mg once daily. OLUMIANT is not recommended for use in patients with estimated GFR of &lt;30 mL/min/1.73 m</w:t>
      </w:r>
      <w:r w:rsidRPr="00625B9E">
        <w:rPr>
          <w:vertAlign w:val="superscript"/>
        </w:rPr>
        <w:t>2</w:t>
      </w:r>
      <w:r w:rsidRPr="00625B9E">
        <w:t>.</w:t>
      </w:r>
    </w:p>
    <w:p w14:paraId="741FDB2F" w14:textId="77777777" w:rsidR="00AA2C34" w:rsidRPr="00625B9E" w:rsidRDefault="00AA2C34" w:rsidP="00AA2C34">
      <w:pPr>
        <w:rPr>
          <w:bCs/>
          <w:i/>
        </w:rPr>
      </w:pPr>
      <w:r w:rsidRPr="00625B9E">
        <w:rPr>
          <w:bCs/>
          <w:i/>
        </w:rPr>
        <w:t>Hepatic Impairment</w:t>
      </w:r>
    </w:p>
    <w:p w14:paraId="052898A2" w14:textId="77777777" w:rsidR="00AA2C34" w:rsidRPr="00625B9E" w:rsidRDefault="00AA2C34" w:rsidP="00AA2C34">
      <w:r w:rsidRPr="00625B9E">
        <w:t xml:space="preserve">There was no clinically relevant effect on the PK of baricitinib in patients with mild or moderate hepatic impairment. No dose adjustment is necessary in these patients. The use of OLUMIANT has not been studied in patients with severe hepatic impairment and is therefore not recommended. </w:t>
      </w:r>
    </w:p>
    <w:p w14:paraId="01742A64" w14:textId="77777777" w:rsidR="001A3992" w:rsidRPr="00625B9E" w:rsidRDefault="001A3992" w:rsidP="001A3992">
      <w:pPr>
        <w:pStyle w:val="Heading2"/>
        <w:spacing w:before="0" w:after="120"/>
        <w:rPr>
          <w:lang w:val="en-US"/>
        </w:rPr>
      </w:pPr>
      <w:r w:rsidRPr="00625B9E">
        <w:rPr>
          <w:lang w:val="en-US"/>
        </w:rPr>
        <w:t>Preclinical safety data</w:t>
      </w:r>
    </w:p>
    <w:p w14:paraId="608ADFE5" w14:textId="77777777" w:rsidR="001A3992" w:rsidRPr="00625B9E" w:rsidRDefault="001A3992" w:rsidP="001A3992">
      <w:pPr>
        <w:pStyle w:val="Heading3"/>
        <w:spacing w:after="120"/>
      </w:pPr>
      <w:r w:rsidRPr="00625B9E">
        <w:t>Genotoxicity</w:t>
      </w:r>
    </w:p>
    <w:p w14:paraId="4ABC3C6B" w14:textId="77777777" w:rsidR="00DB09BB" w:rsidRPr="00625B9E" w:rsidRDefault="00DB09BB" w:rsidP="00DB09BB">
      <w:r w:rsidRPr="00625B9E">
        <w:t>Baricitinib was not genotoxic in bacterial reverse mutagenicity assays (Ames assay), in the in vitro human peripheral blood lymphocyte chromosomal aberration assay, or in the in vivo micronucleus assay in the rat. All assays were validated by the use of appropriate controls. The overall risk of genotoxicity is considered to be low.</w:t>
      </w:r>
    </w:p>
    <w:p w14:paraId="3266AD36" w14:textId="77777777" w:rsidR="001A3992" w:rsidRPr="00625B9E" w:rsidRDefault="001A3992" w:rsidP="001A3992">
      <w:pPr>
        <w:pStyle w:val="Heading3"/>
        <w:spacing w:after="120"/>
        <w:rPr>
          <w:lang w:val="en-US"/>
        </w:rPr>
      </w:pPr>
      <w:proofErr w:type="spellStart"/>
      <w:r w:rsidRPr="00625B9E">
        <w:t>Carcin</w:t>
      </w:r>
      <w:r w:rsidRPr="00625B9E">
        <w:rPr>
          <w:lang w:val="en-US"/>
        </w:rPr>
        <w:t>ogenicity</w:t>
      </w:r>
      <w:proofErr w:type="spellEnd"/>
    </w:p>
    <w:p w14:paraId="280FD061" w14:textId="77777777" w:rsidR="00DB09BB" w:rsidRPr="00625B9E" w:rsidRDefault="00DB09BB" w:rsidP="00DB09BB">
      <w:pPr>
        <w:rPr>
          <w:lang w:val="en-US"/>
        </w:rPr>
      </w:pPr>
      <w:r w:rsidRPr="00625B9E">
        <w:rPr>
          <w:lang w:val="en-US"/>
        </w:rPr>
        <w:t>Baricitinib did not produce neoplastic changes in two year rat and six month transgenic mouse carcinogenicity studies.</w:t>
      </w:r>
    </w:p>
    <w:p w14:paraId="01B9D1F7" w14:textId="77777777" w:rsidR="001A3992" w:rsidRPr="00625B9E" w:rsidRDefault="001A3992" w:rsidP="001A3992">
      <w:pPr>
        <w:pStyle w:val="Heading1"/>
        <w:spacing w:before="0" w:after="120"/>
        <w:rPr>
          <w:lang w:val="en-US"/>
        </w:rPr>
      </w:pPr>
      <w:r w:rsidRPr="00625B9E">
        <w:rPr>
          <w:lang w:val="en-US"/>
        </w:rPr>
        <w:t>Pharmaceutical particulars</w:t>
      </w:r>
    </w:p>
    <w:bookmarkStart w:id="92" w:name="_List_of_excipients"/>
    <w:bookmarkEnd w:id="92"/>
    <w:p w14:paraId="50B89119" w14:textId="77777777" w:rsidR="001A3992" w:rsidRPr="00625B9E" w:rsidRDefault="001453C5" w:rsidP="001A3992">
      <w:pPr>
        <w:pStyle w:val="Heading2"/>
        <w:spacing w:before="0" w:after="120"/>
        <w:rPr>
          <w:lang w:val="en-US"/>
        </w:rPr>
      </w:pPr>
      <w:r>
        <w:rPr>
          <w:lang w:val="en-US"/>
        </w:rPr>
        <w:fldChar w:fldCharType="begin"/>
      </w:r>
      <w:r>
        <w:rPr>
          <w:lang w:val="en-US"/>
        </w:rPr>
        <w:instrText xml:space="preserve"> HYPERLINK  \l "_Qualitative_and_quantitative" </w:instrText>
      </w:r>
      <w:r>
        <w:rPr>
          <w:lang w:val="en-US"/>
        </w:rPr>
        <w:fldChar w:fldCharType="separate"/>
      </w:r>
      <w:r w:rsidR="001A3992" w:rsidRPr="001453C5">
        <w:rPr>
          <w:rStyle w:val="Hyperlink"/>
          <w:lang w:val="en-US"/>
        </w:rPr>
        <w:t>List of excipients</w:t>
      </w:r>
      <w:r>
        <w:rPr>
          <w:lang w:val="en-US"/>
        </w:rPr>
        <w:fldChar w:fldCharType="end"/>
      </w:r>
      <w:r w:rsidR="001A3992" w:rsidRPr="00625B9E">
        <w:rPr>
          <w:lang w:val="en-US"/>
        </w:rPr>
        <w:t xml:space="preserve"> </w:t>
      </w:r>
    </w:p>
    <w:p w14:paraId="53A357E8" w14:textId="77777777" w:rsidR="00DB09BB" w:rsidRPr="00625B9E" w:rsidRDefault="00DB09BB" w:rsidP="00DB09BB">
      <w:pPr>
        <w:rPr>
          <w:lang w:val="en-US"/>
        </w:rPr>
      </w:pPr>
      <w:proofErr w:type="spellStart"/>
      <w:r w:rsidRPr="00625B9E">
        <w:rPr>
          <w:lang w:val="en-US"/>
        </w:rPr>
        <w:t>croscarmellose</w:t>
      </w:r>
      <w:proofErr w:type="spellEnd"/>
      <w:r w:rsidRPr="00625B9E">
        <w:rPr>
          <w:lang w:val="en-US"/>
        </w:rPr>
        <w:t xml:space="preserve"> sodium</w:t>
      </w:r>
      <w:r w:rsidRPr="00625B9E">
        <w:rPr>
          <w:lang w:val="en-US"/>
        </w:rPr>
        <w:br/>
        <w:t>magnesium stearate</w:t>
      </w:r>
      <w:r w:rsidRPr="00625B9E">
        <w:rPr>
          <w:lang w:val="en-US"/>
        </w:rPr>
        <w:br/>
        <w:t>mannitol</w:t>
      </w:r>
      <w:r w:rsidRPr="00625B9E">
        <w:rPr>
          <w:lang w:val="en-US"/>
        </w:rPr>
        <w:br/>
        <w:t>microcrystalline cellulose</w:t>
      </w:r>
      <w:r w:rsidRPr="00625B9E">
        <w:rPr>
          <w:lang w:val="en-US"/>
        </w:rPr>
        <w:br/>
        <w:t>iron oxide red</w:t>
      </w:r>
      <w:r w:rsidRPr="00625B9E">
        <w:rPr>
          <w:lang w:val="en-US"/>
        </w:rPr>
        <w:br/>
        <w:t>lecithin</w:t>
      </w:r>
      <w:r w:rsidRPr="00625B9E">
        <w:rPr>
          <w:lang w:val="en-US"/>
        </w:rPr>
        <w:br/>
      </w:r>
      <w:proofErr w:type="spellStart"/>
      <w:r w:rsidRPr="00625B9E">
        <w:rPr>
          <w:lang w:val="en-US"/>
        </w:rPr>
        <w:t>macrogol</w:t>
      </w:r>
      <w:proofErr w:type="spellEnd"/>
      <w:r w:rsidRPr="00625B9E">
        <w:rPr>
          <w:lang w:val="en-US"/>
        </w:rPr>
        <w:t xml:space="preserve"> 3350</w:t>
      </w:r>
      <w:r w:rsidRPr="00625B9E">
        <w:rPr>
          <w:lang w:val="en-US"/>
        </w:rPr>
        <w:br/>
        <w:t>polyvinyl alcohol</w:t>
      </w:r>
      <w:r w:rsidRPr="001A09AD">
        <w:rPr>
          <w:highlight w:val="green"/>
          <w:lang w:val="en-US"/>
        </w:rPr>
        <w:br/>
      </w:r>
      <w:r w:rsidRPr="00625B9E">
        <w:rPr>
          <w:lang w:val="en-US"/>
        </w:rPr>
        <w:t>purified talc</w:t>
      </w:r>
      <w:r w:rsidRPr="00625B9E">
        <w:rPr>
          <w:lang w:val="en-US"/>
        </w:rPr>
        <w:br/>
        <w:t>titanium dioxide</w:t>
      </w:r>
    </w:p>
    <w:p w14:paraId="3C70385F" w14:textId="77777777" w:rsidR="001A3992" w:rsidRPr="00625B9E" w:rsidRDefault="001A3992" w:rsidP="001A3992">
      <w:pPr>
        <w:pStyle w:val="Heading2"/>
        <w:keepNext/>
        <w:keepLines/>
        <w:spacing w:before="0" w:after="120"/>
        <w:rPr>
          <w:lang w:val="en-US"/>
        </w:rPr>
      </w:pPr>
      <w:r w:rsidRPr="00625B9E">
        <w:rPr>
          <w:lang w:val="en-US"/>
        </w:rPr>
        <w:lastRenderedPageBreak/>
        <w:t xml:space="preserve">Incompatibilities </w:t>
      </w:r>
    </w:p>
    <w:p w14:paraId="382F6D3A" w14:textId="77777777" w:rsidR="00CE333C" w:rsidRPr="00625B9E" w:rsidRDefault="00CE333C" w:rsidP="00CE333C">
      <w:pPr>
        <w:rPr>
          <w:lang w:val="en-US"/>
        </w:rPr>
      </w:pPr>
      <w:r w:rsidRPr="00625B9E">
        <w:rPr>
          <w:lang w:val="en-US"/>
        </w:rPr>
        <w:t>Not applicable</w:t>
      </w:r>
    </w:p>
    <w:p w14:paraId="0E7E264F" w14:textId="77777777" w:rsidR="001A3992" w:rsidRPr="00625B9E" w:rsidRDefault="001A3992" w:rsidP="001A3992">
      <w:pPr>
        <w:pStyle w:val="Heading2"/>
        <w:spacing w:before="0" w:after="120"/>
        <w:rPr>
          <w:lang w:val="en-US"/>
        </w:rPr>
      </w:pPr>
      <w:r w:rsidRPr="00625B9E">
        <w:rPr>
          <w:lang w:val="en-US"/>
        </w:rPr>
        <w:t xml:space="preserve">Shelf life </w:t>
      </w:r>
    </w:p>
    <w:p w14:paraId="18906F2E" w14:textId="68EAC0E8" w:rsidR="00CE333C" w:rsidRPr="00625B9E" w:rsidRDefault="00A65C02" w:rsidP="00CE333C">
      <w:pPr>
        <w:rPr>
          <w:lang w:val="en-US"/>
        </w:rPr>
      </w:pPr>
      <w:r>
        <w:rPr>
          <w:lang w:val="en-US"/>
        </w:rPr>
        <w:t>3</w:t>
      </w:r>
      <w:r w:rsidR="000B5E5D">
        <w:rPr>
          <w:lang w:val="en-US"/>
        </w:rPr>
        <w:t xml:space="preserve"> years</w:t>
      </w:r>
      <w:r>
        <w:rPr>
          <w:lang w:val="en-US"/>
        </w:rPr>
        <w:t xml:space="preserve"> </w:t>
      </w:r>
    </w:p>
    <w:p w14:paraId="78060050" w14:textId="77777777" w:rsidR="001A3992" w:rsidRPr="00625B9E" w:rsidRDefault="001A3992" w:rsidP="001A3992">
      <w:pPr>
        <w:pStyle w:val="Heading2"/>
        <w:keepNext/>
        <w:keepLines/>
        <w:spacing w:before="0" w:after="120"/>
        <w:rPr>
          <w:lang w:val="en-US"/>
        </w:rPr>
      </w:pPr>
      <w:r w:rsidRPr="00625B9E">
        <w:rPr>
          <w:lang w:val="en-US"/>
        </w:rPr>
        <w:t xml:space="preserve">Special precautions for storage </w:t>
      </w:r>
    </w:p>
    <w:p w14:paraId="1946FDA4" w14:textId="505255E3" w:rsidR="00CE333C" w:rsidRDefault="00AA2C34" w:rsidP="00CE333C">
      <w:r w:rsidRPr="00625B9E">
        <w:t>Stored below 30°C. Store in the original package</w:t>
      </w:r>
    </w:p>
    <w:p w14:paraId="01B5CE12" w14:textId="77777777" w:rsidR="00F36A43" w:rsidRPr="00625B9E" w:rsidRDefault="00F36A43" w:rsidP="00CE333C">
      <w:pPr>
        <w:rPr>
          <w:lang w:val="en-US"/>
        </w:rPr>
      </w:pPr>
    </w:p>
    <w:p w14:paraId="537D4ABA" w14:textId="77777777" w:rsidR="001A3992" w:rsidRPr="00625B9E" w:rsidRDefault="001A3992" w:rsidP="001A3992">
      <w:pPr>
        <w:pStyle w:val="Heading2"/>
        <w:spacing w:before="0" w:after="120"/>
        <w:rPr>
          <w:lang w:val="en-US"/>
        </w:rPr>
      </w:pPr>
      <w:r w:rsidRPr="00625B9E">
        <w:rPr>
          <w:lang w:val="en-US"/>
        </w:rPr>
        <w:t xml:space="preserve">Nature and contents of container </w:t>
      </w:r>
    </w:p>
    <w:p w14:paraId="08A8ACB9" w14:textId="70494525" w:rsidR="00CE333C" w:rsidRPr="00625B9E" w:rsidRDefault="00CE333C" w:rsidP="00CE333C">
      <w:pPr>
        <w:rPr>
          <w:lang w:val="en-US"/>
        </w:rPr>
      </w:pPr>
      <w:r w:rsidRPr="00625B9E">
        <w:rPr>
          <w:lang w:val="en-US"/>
        </w:rPr>
        <w:t>OLUMIANT is available as debossed, film-coated, immediate-release tablets in PVC/PE/PCTFE (</w:t>
      </w:r>
      <w:proofErr w:type="spellStart"/>
      <w:r w:rsidRPr="00625B9E">
        <w:rPr>
          <w:lang w:val="en-US"/>
        </w:rPr>
        <w:t>Aclar</w:t>
      </w:r>
      <w:proofErr w:type="spellEnd"/>
      <w:r w:rsidRPr="00625B9E">
        <w:rPr>
          <w:lang w:val="en-US"/>
        </w:rPr>
        <w:t>)/Al or PA/Al/PVC/Al blister packs of 7 and 28.</w:t>
      </w:r>
    </w:p>
    <w:p w14:paraId="49F6DEF1" w14:textId="53A5310E" w:rsidR="001A3992" w:rsidRPr="00625B9E" w:rsidRDefault="001A3992" w:rsidP="001A3992">
      <w:pPr>
        <w:pStyle w:val="Heading2"/>
        <w:spacing w:before="0" w:after="120"/>
        <w:rPr>
          <w:lang w:val="en-US"/>
        </w:rPr>
      </w:pPr>
      <w:r w:rsidRPr="00625B9E">
        <w:rPr>
          <w:lang w:val="en-US"/>
        </w:rPr>
        <w:t xml:space="preserve">Special precautions for disposal </w:t>
      </w:r>
    </w:p>
    <w:p w14:paraId="1ED3A410" w14:textId="77777777" w:rsidR="00CE333C" w:rsidRPr="00625B9E" w:rsidRDefault="00CE333C" w:rsidP="00CE333C">
      <w:pPr>
        <w:rPr>
          <w:lang w:val="en-US"/>
        </w:rPr>
      </w:pPr>
      <w:r w:rsidRPr="00625B9E">
        <w:rPr>
          <w:lang w:val="en-US"/>
        </w:rPr>
        <w:t>No special requirements for disposal.</w:t>
      </w:r>
    </w:p>
    <w:p w14:paraId="3849AB7E" w14:textId="77777777" w:rsidR="001A3992" w:rsidRPr="00625B9E" w:rsidRDefault="001A3992" w:rsidP="001A3992">
      <w:pPr>
        <w:pStyle w:val="Heading2"/>
        <w:spacing w:before="0" w:after="120"/>
        <w:rPr>
          <w:lang w:val="en-US"/>
        </w:rPr>
      </w:pPr>
      <w:r w:rsidRPr="00625B9E">
        <w:rPr>
          <w:lang w:val="en-US"/>
        </w:rPr>
        <w:t>Physicochemical properties</w:t>
      </w:r>
    </w:p>
    <w:p w14:paraId="7D44C4A8" w14:textId="3D7E89EC" w:rsidR="001A3992" w:rsidRPr="00625B9E" w:rsidRDefault="001A3992" w:rsidP="001A3992">
      <w:pPr>
        <w:pStyle w:val="Heading3"/>
        <w:spacing w:after="120"/>
        <w:rPr>
          <w:lang w:val="en-US"/>
        </w:rPr>
      </w:pPr>
      <w:r w:rsidRPr="00625B9E">
        <w:rPr>
          <w:lang w:val="en-US"/>
        </w:rPr>
        <w:t>Chemical structure</w:t>
      </w:r>
    </w:p>
    <w:p w14:paraId="52395099" w14:textId="19E97918" w:rsidR="00CE333C" w:rsidRDefault="00451C8A" w:rsidP="00CE333C">
      <w:pPr>
        <w:rPr>
          <w:lang w:eastAsia="en-AU"/>
        </w:rPr>
      </w:pPr>
      <w:r w:rsidRPr="001A09AD">
        <w:rPr>
          <w:noProof/>
          <w:highlight w:val="green"/>
          <w:lang w:eastAsia="en-AU"/>
        </w:rPr>
        <w:drawing>
          <wp:anchor distT="0" distB="0" distL="114300" distR="114300" simplePos="0" relativeHeight="251661312" behindDoc="0" locked="0" layoutInCell="1" allowOverlap="1" wp14:anchorId="3F736090" wp14:editId="653289AA">
            <wp:simplePos x="0" y="0"/>
            <wp:positionH relativeFrom="margin">
              <wp:posOffset>2059305</wp:posOffset>
            </wp:positionH>
            <wp:positionV relativeFrom="page">
              <wp:posOffset>3769995</wp:posOffset>
            </wp:positionV>
            <wp:extent cx="1553210" cy="1736090"/>
            <wp:effectExtent l="0" t="0" r="889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3210" cy="173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C" w:rsidRPr="00625B9E">
        <w:t>The active ingredient in OLUMIANT</w:t>
      </w:r>
      <w:r w:rsidR="00CE333C" w:rsidRPr="00625B9E">
        <w:rPr>
          <w:vertAlign w:val="superscript"/>
        </w:rPr>
        <w:t>®</w:t>
      </w:r>
      <w:r w:rsidR="00CE333C" w:rsidRPr="00625B9E">
        <w:t xml:space="preserve"> tablets is baricitinib. OLUMIANT is a Janus Kinase (JAK) inhibitor with the chemical name </w:t>
      </w:r>
      <w:r w:rsidR="00CE333C" w:rsidRPr="00625B9E">
        <w:rPr>
          <w:lang w:eastAsia="en-AU"/>
        </w:rPr>
        <w:t>{1-(ethylsulfonyl)-3-[4-(7</w:t>
      </w:r>
      <w:r w:rsidR="00CE333C" w:rsidRPr="00625B9E">
        <w:rPr>
          <w:rFonts w:eastAsia="Arial,Italic"/>
          <w:i/>
          <w:iCs/>
          <w:lang w:eastAsia="en-AU"/>
        </w:rPr>
        <w:t>H</w:t>
      </w:r>
      <w:r w:rsidR="00CE333C" w:rsidRPr="00625B9E">
        <w:rPr>
          <w:lang w:eastAsia="en-AU"/>
        </w:rPr>
        <w:t>-pyrrolo[2,3-</w:t>
      </w:r>
      <w:r w:rsidR="00CE333C" w:rsidRPr="00625B9E">
        <w:rPr>
          <w:rFonts w:eastAsia="Arial,Italic"/>
          <w:i/>
          <w:iCs/>
          <w:lang w:eastAsia="en-AU"/>
        </w:rPr>
        <w:t>d</w:t>
      </w:r>
      <w:r w:rsidR="00CE333C" w:rsidRPr="00625B9E">
        <w:rPr>
          <w:lang w:eastAsia="en-AU"/>
        </w:rPr>
        <w:t>]pyrimidin-4-yl)-1</w:t>
      </w:r>
      <w:r w:rsidR="00CE333C" w:rsidRPr="00625B9E">
        <w:rPr>
          <w:rFonts w:eastAsia="Arial,Italic"/>
          <w:i/>
          <w:iCs/>
          <w:lang w:eastAsia="en-AU"/>
        </w:rPr>
        <w:t>H</w:t>
      </w:r>
      <w:r w:rsidR="00CE333C" w:rsidRPr="00625B9E">
        <w:rPr>
          <w:lang w:eastAsia="en-AU"/>
        </w:rPr>
        <w:t>-pyrazol-1-yl]azetidin-3-yl}</w:t>
      </w:r>
      <w:r w:rsidR="002C6E2E">
        <w:rPr>
          <w:lang w:eastAsia="en-AU"/>
        </w:rPr>
        <w:t xml:space="preserve"> </w:t>
      </w:r>
      <w:r w:rsidR="00CE333C" w:rsidRPr="00625B9E">
        <w:rPr>
          <w:lang w:eastAsia="en-AU"/>
        </w:rPr>
        <w:t>acetonitrile. The empirical formula is C</w:t>
      </w:r>
      <w:r w:rsidR="00CE333C" w:rsidRPr="00625B9E">
        <w:rPr>
          <w:vertAlign w:val="subscript"/>
          <w:lang w:eastAsia="en-AU"/>
        </w:rPr>
        <w:t>16</w:t>
      </w:r>
      <w:r w:rsidR="00CE333C" w:rsidRPr="00625B9E">
        <w:rPr>
          <w:lang w:eastAsia="en-AU"/>
        </w:rPr>
        <w:t>H</w:t>
      </w:r>
      <w:r w:rsidR="00CE333C" w:rsidRPr="00625B9E">
        <w:rPr>
          <w:vertAlign w:val="subscript"/>
          <w:lang w:eastAsia="en-AU"/>
        </w:rPr>
        <w:t>17</w:t>
      </w:r>
      <w:r w:rsidR="00CE333C" w:rsidRPr="00625B9E">
        <w:rPr>
          <w:lang w:eastAsia="en-AU"/>
        </w:rPr>
        <w:t>N</w:t>
      </w:r>
      <w:r w:rsidR="00CE333C" w:rsidRPr="00625B9E">
        <w:rPr>
          <w:vertAlign w:val="subscript"/>
          <w:lang w:eastAsia="en-AU"/>
        </w:rPr>
        <w:t>7</w:t>
      </w:r>
      <w:r w:rsidR="00CE333C" w:rsidRPr="00625B9E">
        <w:rPr>
          <w:lang w:eastAsia="en-AU"/>
        </w:rPr>
        <w:t>O</w:t>
      </w:r>
      <w:r w:rsidR="00CE333C" w:rsidRPr="00625B9E">
        <w:rPr>
          <w:vertAlign w:val="subscript"/>
          <w:lang w:eastAsia="en-AU"/>
        </w:rPr>
        <w:t>2</w:t>
      </w:r>
      <w:r w:rsidR="00CE333C" w:rsidRPr="00625B9E">
        <w:rPr>
          <w:lang w:eastAsia="en-AU"/>
        </w:rPr>
        <w:t xml:space="preserve">S which corresponds to a molecular weight of 371.42 </w:t>
      </w:r>
      <w:proofErr w:type="spellStart"/>
      <w:r w:rsidR="00CE333C" w:rsidRPr="00625B9E">
        <w:rPr>
          <w:lang w:eastAsia="en-AU"/>
        </w:rPr>
        <w:t>daltons</w:t>
      </w:r>
      <w:proofErr w:type="spellEnd"/>
      <w:r w:rsidR="00CE333C" w:rsidRPr="00625B9E">
        <w:rPr>
          <w:lang w:eastAsia="en-AU"/>
        </w:rPr>
        <w:t>. The chemical structure is:</w:t>
      </w:r>
    </w:p>
    <w:p w14:paraId="614541D4" w14:textId="77777777" w:rsidR="001A3992" w:rsidRPr="00625B9E" w:rsidRDefault="001A3992" w:rsidP="001A3992">
      <w:pPr>
        <w:pStyle w:val="Heading3"/>
        <w:spacing w:after="120"/>
        <w:rPr>
          <w:lang w:val="en-US"/>
        </w:rPr>
      </w:pPr>
      <w:bookmarkStart w:id="93" w:name="_GoBack"/>
      <w:bookmarkEnd w:id="93"/>
      <w:r w:rsidRPr="00625B9E">
        <w:rPr>
          <w:lang w:val="en-US"/>
        </w:rPr>
        <w:t>CAS number</w:t>
      </w:r>
    </w:p>
    <w:p w14:paraId="38FB5974" w14:textId="77777777" w:rsidR="00CE333C" w:rsidRPr="00625B9E" w:rsidRDefault="00CE333C" w:rsidP="00CE333C">
      <w:pPr>
        <w:rPr>
          <w:lang w:val="en-US"/>
        </w:rPr>
      </w:pPr>
      <w:r w:rsidRPr="00625B9E">
        <w:rPr>
          <w:lang w:val="en-US"/>
        </w:rPr>
        <w:t>The CAS number for baricitinib is 1187594-09-7.</w:t>
      </w:r>
    </w:p>
    <w:p w14:paraId="1DA37F26" w14:textId="77777777" w:rsidR="001A3992" w:rsidRPr="00625B9E" w:rsidRDefault="001A3992" w:rsidP="001A3992">
      <w:pPr>
        <w:pStyle w:val="Heading1"/>
        <w:spacing w:before="0" w:after="120"/>
        <w:rPr>
          <w:lang w:val="en-US"/>
        </w:rPr>
      </w:pPr>
      <w:r w:rsidRPr="00625B9E">
        <w:rPr>
          <w:lang w:val="en-US"/>
        </w:rPr>
        <w:t>Medicine schedule (Poisons Standard)</w:t>
      </w:r>
    </w:p>
    <w:p w14:paraId="24519DA3" w14:textId="77777777" w:rsidR="00CE333C" w:rsidRPr="00625B9E" w:rsidRDefault="00CE333C" w:rsidP="00CE333C">
      <w:pPr>
        <w:rPr>
          <w:lang w:val="en-US"/>
        </w:rPr>
      </w:pPr>
      <w:r w:rsidRPr="00625B9E">
        <w:rPr>
          <w:lang w:val="en-US"/>
        </w:rPr>
        <w:t>S4 – Prescription Medicine</w:t>
      </w:r>
    </w:p>
    <w:p w14:paraId="6A193EF8" w14:textId="77777777" w:rsidR="00285173" w:rsidRPr="00625B9E" w:rsidRDefault="001A3992" w:rsidP="00285173">
      <w:pPr>
        <w:pStyle w:val="Heading1"/>
        <w:spacing w:before="0" w:after="120"/>
        <w:rPr>
          <w:lang w:val="en-US"/>
        </w:rPr>
      </w:pPr>
      <w:r w:rsidRPr="00625B9E">
        <w:rPr>
          <w:lang w:val="en-US"/>
        </w:rPr>
        <w:t>Sponsor</w:t>
      </w:r>
      <w:r w:rsidR="00285173" w:rsidRPr="00625B9E">
        <w:rPr>
          <w:lang w:val="en-US"/>
        </w:rPr>
        <w:t xml:space="preserve"> </w:t>
      </w:r>
    </w:p>
    <w:p w14:paraId="6591983E" w14:textId="77777777" w:rsidR="00CE333C" w:rsidRPr="00625B9E" w:rsidRDefault="00CE333C" w:rsidP="00CE333C">
      <w:pPr>
        <w:rPr>
          <w:lang w:val="en-US"/>
        </w:rPr>
      </w:pPr>
      <w:r w:rsidRPr="00625B9E">
        <w:rPr>
          <w:lang w:val="en-US"/>
        </w:rPr>
        <w:t>Eli Lilly Australia Pty. Limited</w:t>
      </w:r>
      <w:r w:rsidRPr="00625B9E">
        <w:rPr>
          <w:lang w:val="en-US"/>
        </w:rPr>
        <w:br/>
        <w:t>112 Wharf Road, West Ryde, NSW 2114</w:t>
      </w:r>
      <w:r w:rsidRPr="00625B9E">
        <w:rPr>
          <w:lang w:val="en-US"/>
        </w:rPr>
        <w:br/>
        <w:t>AUSTRALIA</w:t>
      </w:r>
    </w:p>
    <w:p w14:paraId="1D8A6ECC" w14:textId="77777777" w:rsidR="00285173" w:rsidRDefault="00285173" w:rsidP="00285173">
      <w:pPr>
        <w:pStyle w:val="Heading1"/>
        <w:spacing w:before="0" w:after="120"/>
        <w:rPr>
          <w:lang w:val="en-US"/>
        </w:rPr>
      </w:pPr>
      <w:r w:rsidRPr="00625B9E">
        <w:rPr>
          <w:lang w:val="en-US"/>
        </w:rPr>
        <w:t>Date of fir</w:t>
      </w:r>
      <w:r w:rsidRPr="007D497E">
        <w:rPr>
          <w:lang w:val="en-US"/>
        </w:rPr>
        <w:t xml:space="preserve">st </w:t>
      </w:r>
      <w:r>
        <w:rPr>
          <w:lang w:val="en-US"/>
        </w:rPr>
        <w:t xml:space="preserve">approval </w:t>
      </w:r>
      <w:r w:rsidRPr="007D497E">
        <w:rPr>
          <w:lang w:val="en-US"/>
        </w:rPr>
        <w:t xml:space="preserve"> </w:t>
      </w:r>
    </w:p>
    <w:p w14:paraId="62C94DA4" w14:textId="77777777" w:rsidR="005F2D33" w:rsidRPr="005F2D33" w:rsidRDefault="000B1924" w:rsidP="005F2D33">
      <w:pPr>
        <w:rPr>
          <w:lang w:val="en-US"/>
        </w:rPr>
      </w:pPr>
      <w:r>
        <w:rPr>
          <w:lang w:val="en-US"/>
        </w:rPr>
        <w:t>23</w:t>
      </w:r>
      <w:r w:rsidR="001C4638">
        <w:rPr>
          <w:lang w:val="en-US"/>
        </w:rPr>
        <w:t xml:space="preserve"> January 2018</w:t>
      </w:r>
    </w:p>
    <w:p w14:paraId="5FB47BFF" w14:textId="77777777" w:rsidR="005F2D33" w:rsidRDefault="005F2D33" w:rsidP="004C73EF">
      <w:pPr>
        <w:pStyle w:val="Heading1"/>
        <w:spacing w:before="0" w:after="120"/>
        <w:rPr>
          <w:lang w:val="en-US"/>
        </w:rPr>
      </w:pPr>
      <w:r>
        <w:rPr>
          <w:lang w:val="en-US"/>
        </w:rPr>
        <w:lastRenderedPageBreak/>
        <w:t xml:space="preserve"> date of revision</w:t>
      </w:r>
      <w:r w:rsidR="00285173">
        <w:rPr>
          <w:lang w:val="en-US"/>
        </w:rPr>
        <w:t xml:space="preserve"> </w:t>
      </w:r>
    </w:p>
    <w:p w14:paraId="10F05C70" w14:textId="5F506F50" w:rsidR="004C73EF" w:rsidRDefault="00A368FA" w:rsidP="004C73EF">
      <w:pPr>
        <w:rPr>
          <w:lang w:val="en-US"/>
        </w:rPr>
      </w:pPr>
      <w:r>
        <w:rPr>
          <w:lang w:val="en-US"/>
        </w:rPr>
        <w:t>11 February 2021</w:t>
      </w:r>
    </w:p>
    <w:p w14:paraId="3C4AE89C" w14:textId="20CA6DFC" w:rsidR="004C73EF" w:rsidRDefault="004C73EF" w:rsidP="004C73EF">
      <w:pPr>
        <w:rPr>
          <w:lang w:val="en-US"/>
        </w:rPr>
      </w:pPr>
    </w:p>
    <w:p w14:paraId="10EA10B3" w14:textId="77777777" w:rsidR="004C73EF" w:rsidRPr="004C73EF" w:rsidRDefault="004C73EF" w:rsidP="004C73EF">
      <w:pPr>
        <w:rPr>
          <w:lang w:val="en-US"/>
        </w:rPr>
      </w:pPr>
    </w:p>
    <w:p w14:paraId="3A221666" w14:textId="1D4DB937"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371"/>
        <w:gridCol w:w="7635"/>
      </w:tblGrid>
      <w:tr w:rsidR="00F640B8" w14:paraId="2D5A9F1F" w14:textId="77777777" w:rsidTr="004D3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8C20E16" w14:textId="77777777" w:rsidR="00285173" w:rsidRPr="002E277D" w:rsidRDefault="00285173" w:rsidP="007F7D04">
            <w:pPr>
              <w:rPr>
                <w:sz w:val="20"/>
                <w:lang w:val="en-US"/>
              </w:rPr>
            </w:pPr>
            <w:r w:rsidRPr="002E277D">
              <w:rPr>
                <w:sz w:val="20"/>
                <w:lang w:val="en-US"/>
              </w:rPr>
              <w:t>Section Changed</w:t>
            </w:r>
          </w:p>
        </w:tc>
        <w:tc>
          <w:tcPr>
            <w:tcW w:w="763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7A34353" w14:textId="77777777" w:rsidR="00285173" w:rsidRPr="002E277D" w:rsidRDefault="00285173" w:rsidP="007F7D04">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CB668B" w:rsidRPr="00CB668B" w14:paraId="59E8C8D0" w14:textId="77777777" w:rsidTr="004D3BD0">
        <w:tc>
          <w:tcPr>
            <w:cnfStyle w:val="001000000000" w:firstRow="0" w:lastRow="0" w:firstColumn="1" w:lastColumn="0" w:oddVBand="0" w:evenVBand="0" w:oddHBand="0" w:evenHBand="0" w:firstRowFirstColumn="0" w:firstRowLastColumn="0" w:lastRowFirstColumn="0" w:lastRowLastColumn="0"/>
            <w:tcW w:w="1371" w:type="dxa"/>
            <w:vAlign w:val="center"/>
          </w:tcPr>
          <w:p w14:paraId="6285E12A" w14:textId="692B5630" w:rsidR="00285173" w:rsidRPr="00CB668B" w:rsidRDefault="00213E99" w:rsidP="007F7D04">
            <w:pPr>
              <w:rPr>
                <w:b w:val="0"/>
                <w:lang w:val="en-US"/>
              </w:rPr>
            </w:pPr>
            <w:r w:rsidRPr="00213E99">
              <w:rPr>
                <w:b w:val="0"/>
                <w:lang w:val="en-US"/>
              </w:rPr>
              <w:t>1</w:t>
            </w:r>
            <w:r w:rsidRPr="00213E99">
              <w:rPr>
                <w:b w:val="0"/>
              </w:rPr>
              <w:t>, 4, 5</w:t>
            </w:r>
          </w:p>
        </w:tc>
        <w:tc>
          <w:tcPr>
            <w:tcW w:w="7635" w:type="dxa"/>
            <w:vAlign w:val="center"/>
          </w:tcPr>
          <w:p w14:paraId="451BE339" w14:textId="3E96654D" w:rsidR="00285173" w:rsidRPr="00CB668B" w:rsidRDefault="00FD33F1">
            <w:pPr>
              <w:cnfStyle w:val="000000000000" w:firstRow="0" w:lastRow="0" w:firstColumn="0" w:lastColumn="0" w:oddVBand="0" w:evenVBand="0" w:oddHBand="0" w:evenHBand="0" w:firstRowFirstColumn="0" w:firstRowLastColumn="0" w:lastRowFirstColumn="0" w:lastRowLastColumn="0"/>
              <w:rPr>
                <w:lang w:val="en-US"/>
              </w:rPr>
            </w:pPr>
            <w:r>
              <w:rPr>
                <w:lang w:val="en-US"/>
              </w:rPr>
              <w:t>New Indication</w:t>
            </w:r>
          </w:p>
        </w:tc>
      </w:tr>
    </w:tbl>
    <w:p w14:paraId="2C74AF01" w14:textId="732EC4B7" w:rsidR="00960CD5" w:rsidRDefault="00960CD5" w:rsidP="00285173">
      <w:pPr>
        <w:pStyle w:val="Heading1"/>
        <w:numPr>
          <w:ilvl w:val="0"/>
          <w:numId w:val="0"/>
        </w:numPr>
        <w:spacing w:before="0" w:after="120"/>
      </w:pPr>
    </w:p>
    <w:p w14:paraId="643DA69A" w14:textId="77777777" w:rsidR="000D55C7" w:rsidRPr="000D55C7" w:rsidRDefault="000D55C7" w:rsidP="000D55C7"/>
    <w:sectPr w:rsidR="000D55C7" w:rsidRPr="000D55C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87EBA" w14:textId="77777777" w:rsidR="0083768C" w:rsidRDefault="0083768C" w:rsidP="001A3992">
      <w:pPr>
        <w:spacing w:after="0" w:line="240" w:lineRule="auto"/>
      </w:pPr>
      <w:r>
        <w:separator/>
      </w:r>
    </w:p>
  </w:endnote>
  <w:endnote w:type="continuationSeparator" w:id="0">
    <w:p w14:paraId="5C344F86" w14:textId="77777777" w:rsidR="0083768C" w:rsidRDefault="0083768C"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00"/>
    <w:family w:val="auto"/>
    <w:pitch w:val="default"/>
    <w:sig w:usb0="00000003" w:usb1="08070000" w:usb2="00000010" w:usb3="00000000" w:csb0="00020001" w:csb1="00000000"/>
  </w:font>
  <w:font w:name="Arial,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C68E" w14:textId="77777777" w:rsidR="0083768C" w:rsidRDefault="0083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243D" w14:textId="1C42F226" w:rsidR="0083768C" w:rsidRPr="006C54EB" w:rsidRDefault="0083768C" w:rsidP="00805815">
    <w:pPr>
      <w:pStyle w:val="Footer"/>
      <w:pBdr>
        <w:top w:val="single" w:sz="4" w:space="1" w:color="auto"/>
      </w:pBdr>
      <w:tabs>
        <w:tab w:val="clear" w:pos="4513"/>
        <w:tab w:val="clear" w:pos="9026"/>
        <w:tab w:val="center" w:pos="4678"/>
        <w:tab w:val="right" w:pos="9333"/>
      </w:tabs>
      <w:rPr>
        <w:rFonts w:asciiTheme="minorHAnsi" w:eastAsia="Times New Roman" w:hAnsiTheme="minorHAnsi" w:cs="Arial"/>
        <w:sz w:val="16"/>
        <w:szCs w:val="16"/>
        <w:lang w:val="es-CR"/>
      </w:rPr>
    </w:pPr>
    <w:r w:rsidRPr="006C54EB">
      <w:rPr>
        <w:rFonts w:asciiTheme="minorHAnsi" w:eastAsia="Times New Roman" w:hAnsiTheme="minorHAnsi" w:cs="Arial"/>
        <w:sz w:val="16"/>
        <w:szCs w:val="16"/>
        <w:lang w:val="es-CR"/>
      </w:rPr>
      <w:t>OLUMIANT v</w:t>
    </w:r>
    <w:r>
      <w:rPr>
        <w:rFonts w:asciiTheme="minorHAnsi" w:eastAsia="Times New Roman" w:hAnsiTheme="minorHAnsi" w:cs="Arial"/>
        <w:sz w:val="16"/>
        <w:szCs w:val="16"/>
        <w:lang w:val="es-CR"/>
      </w:rPr>
      <w:t>A6</w:t>
    </w:r>
    <w:r w:rsidRPr="006C54EB">
      <w:rPr>
        <w:rFonts w:asciiTheme="minorHAnsi" w:eastAsia="Times New Roman" w:hAnsiTheme="minorHAnsi" w:cs="Arial"/>
        <w:sz w:val="16"/>
        <w:szCs w:val="16"/>
        <w:lang w:val="es-CR"/>
      </w:rPr>
      <w:t>_</w:t>
    </w:r>
    <w:r>
      <w:rPr>
        <w:rFonts w:asciiTheme="minorHAnsi" w:eastAsia="Times New Roman" w:hAnsiTheme="minorHAnsi" w:cs="Arial"/>
        <w:sz w:val="16"/>
        <w:szCs w:val="16"/>
        <w:lang w:val="es-CR"/>
      </w:rPr>
      <w:t>Feb</w:t>
    </w:r>
    <w:r w:rsidRPr="006C54EB">
      <w:rPr>
        <w:rFonts w:asciiTheme="minorHAnsi" w:eastAsia="Times New Roman" w:hAnsiTheme="minorHAnsi" w:cs="Arial"/>
        <w:sz w:val="16"/>
        <w:szCs w:val="16"/>
        <w:lang w:val="es-CR"/>
      </w:rPr>
      <w:t>20</w:t>
    </w:r>
    <w:r>
      <w:rPr>
        <w:rFonts w:asciiTheme="minorHAnsi" w:eastAsia="Times New Roman" w:hAnsiTheme="minorHAnsi" w:cs="Arial"/>
        <w:sz w:val="16"/>
        <w:szCs w:val="16"/>
        <w:lang w:val="es-CR"/>
      </w:rPr>
      <w:t>21</w:t>
    </w:r>
    <w:r w:rsidRPr="006C54EB">
      <w:rPr>
        <w:rFonts w:asciiTheme="minorHAnsi" w:eastAsia="Times New Roman" w:hAnsiTheme="minorHAnsi" w:cs="Arial"/>
        <w:sz w:val="16"/>
        <w:szCs w:val="16"/>
        <w:lang w:val="es-CR"/>
      </w:rPr>
      <w:tab/>
    </w:r>
    <w:r w:rsidRPr="006C54EB">
      <w:rPr>
        <w:rFonts w:asciiTheme="minorHAnsi" w:eastAsia="Times New Roman" w:hAnsiTheme="minorHAnsi" w:cs="Arial"/>
        <w:sz w:val="16"/>
        <w:szCs w:val="16"/>
        <w:lang w:val="es-CR"/>
      </w:rPr>
      <w:tab/>
    </w:r>
    <w:proofErr w:type="spellStart"/>
    <w:r w:rsidRPr="006C54EB">
      <w:rPr>
        <w:rFonts w:asciiTheme="minorHAnsi" w:eastAsia="Times New Roman" w:hAnsiTheme="minorHAnsi" w:cs="Arial"/>
        <w:sz w:val="16"/>
        <w:szCs w:val="16"/>
        <w:lang w:val="es-CR"/>
      </w:rPr>
      <w:t>Supersedes</w:t>
    </w:r>
    <w:proofErr w:type="spellEnd"/>
    <w:r w:rsidRPr="006C54EB">
      <w:rPr>
        <w:rFonts w:asciiTheme="minorHAnsi" w:eastAsia="Times New Roman" w:hAnsiTheme="minorHAnsi" w:cs="Arial"/>
        <w:sz w:val="16"/>
        <w:szCs w:val="16"/>
        <w:lang w:val="es-CR"/>
      </w:rPr>
      <w:t>: vA</w:t>
    </w:r>
    <w:r>
      <w:rPr>
        <w:rFonts w:asciiTheme="minorHAnsi" w:eastAsia="Times New Roman" w:hAnsiTheme="minorHAnsi" w:cs="Arial"/>
        <w:sz w:val="16"/>
        <w:szCs w:val="16"/>
        <w:lang w:val="es-CR"/>
      </w:rPr>
      <w:t>5</w:t>
    </w:r>
    <w:r w:rsidRPr="006C54EB">
      <w:rPr>
        <w:rFonts w:asciiTheme="minorHAnsi" w:eastAsia="Times New Roman" w:hAnsiTheme="minorHAnsi" w:cs="Arial"/>
        <w:sz w:val="16"/>
        <w:szCs w:val="16"/>
        <w:lang w:val="es-CR"/>
      </w:rPr>
      <w:t>_</w:t>
    </w:r>
    <w:r>
      <w:rPr>
        <w:rFonts w:asciiTheme="minorHAnsi" w:eastAsia="Times New Roman" w:hAnsiTheme="minorHAnsi" w:cs="Arial"/>
        <w:sz w:val="16"/>
        <w:szCs w:val="16"/>
        <w:lang w:val="es-CR"/>
      </w:rPr>
      <w:t>sept2020</w:t>
    </w:r>
  </w:p>
  <w:p w14:paraId="681F60CD" w14:textId="6FF13CE2" w:rsidR="0083768C" w:rsidRPr="00805815" w:rsidRDefault="0083768C" w:rsidP="00805815">
    <w:pPr>
      <w:pStyle w:val="Footer"/>
      <w:pBdr>
        <w:top w:val="single" w:sz="4" w:space="1" w:color="auto"/>
      </w:pBdr>
      <w:tabs>
        <w:tab w:val="clear" w:pos="4513"/>
        <w:tab w:val="clear" w:pos="9026"/>
        <w:tab w:val="center" w:pos="4678"/>
        <w:tab w:val="right" w:pos="9333"/>
      </w:tabs>
      <w:rPr>
        <w:rFonts w:asciiTheme="minorHAnsi" w:eastAsia="Times New Roman" w:hAnsiTheme="minorHAnsi" w:cs="Arial"/>
        <w:sz w:val="16"/>
        <w:szCs w:val="16"/>
        <w:lang w:val="en-GB"/>
      </w:rPr>
    </w:pPr>
    <w:r w:rsidRPr="006C54EB">
      <w:rPr>
        <w:rFonts w:asciiTheme="minorHAnsi" w:eastAsia="Times New Roman" w:hAnsiTheme="minorHAnsi" w:cs="Arial"/>
        <w:sz w:val="16"/>
        <w:szCs w:val="16"/>
        <w:lang w:val="es-CR"/>
      </w:rPr>
      <w:tab/>
    </w:r>
    <w:r w:rsidRPr="006C54EB">
      <w:rPr>
        <w:rFonts w:asciiTheme="minorHAnsi" w:eastAsia="Times New Roman" w:hAnsiTheme="minorHAnsi" w:cs="Arial"/>
        <w:sz w:val="16"/>
        <w:szCs w:val="16"/>
        <w:lang w:val="es-CR"/>
      </w:rPr>
      <w:tab/>
    </w:r>
    <w:r w:rsidRPr="005E4AB6">
      <w:rPr>
        <w:rFonts w:asciiTheme="minorHAnsi" w:eastAsia="Times New Roman" w:hAnsiTheme="minorHAnsi" w:cs="Arial"/>
        <w:sz w:val="16"/>
        <w:szCs w:val="16"/>
        <w:lang w:val="en-GB"/>
      </w:rPr>
      <w:t xml:space="preserve">Page </w:t>
    </w:r>
    <w:r w:rsidRPr="005E4AB6">
      <w:rPr>
        <w:rFonts w:asciiTheme="minorHAnsi" w:eastAsia="Times New Roman" w:hAnsiTheme="minorHAnsi" w:cs="Arial"/>
        <w:b/>
        <w:bCs/>
        <w:sz w:val="16"/>
        <w:szCs w:val="16"/>
        <w:lang w:val="en-GB"/>
      </w:rPr>
      <w:fldChar w:fldCharType="begin"/>
    </w:r>
    <w:r w:rsidRPr="005E4AB6">
      <w:rPr>
        <w:rFonts w:asciiTheme="minorHAnsi" w:eastAsia="Times New Roman" w:hAnsiTheme="minorHAnsi" w:cs="Arial"/>
        <w:b/>
        <w:bCs/>
        <w:sz w:val="16"/>
        <w:szCs w:val="16"/>
        <w:lang w:val="en-GB"/>
      </w:rPr>
      <w:instrText xml:space="preserve"> PAGE  \* Arabic  \* MERGEFORMAT </w:instrText>
    </w:r>
    <w:r w:rsidRPr="005E4AB6">
      <w:rPr>
        <w:rFonts w:asciiTheme="minorHAnsi" w:eastAsia="Times New Roman" w:hAnsiTheme="minorHAnsi" w:cs="Arial"/>
        <w:b/>
        <w:bCs/>
        <w:sz w:val="16"/>
        <w:szCs w:val="16"/>
        <w:lang w:val="en-GB"/>
      </w:rPr>
      <w:fldChar w:fldCharType="separate"/>
    </w:r>
    <w:r w:rsidR="00937460">
      <w:rPr>
        <w:rFonts w:asciiTheme="minorHAnsi" w:eastAsia="Times New Roman" w:hAnsiTheme="minorHAnsi" w:cs="Arial"/>
        <w:b/>
        <w:bCs/>
        <w:noProof/>
        <w:sz w:val="16"/>
        <w:szCs w:val="16"/>
        <w:lang w:val="en-GB"/>
      </w:rPr>
      <w:t>44</w:t>
    </w:r>
    <w:r w:rsidRPr="005E4AB6">
      <w:rPr>
        <w:rFonts w:asciiTheme="minorHAnsi" w:eastAsia="Times New Roman" w:hAnsiTheme="minorHAnsi" w:cs="Arial"/>
        <w:b/>
        <w:bCs/>
        <w:sz w:val="16"/>
        <w:szCs w:val="16"/>
        <w:lang w:val="en-GB"/>
      </w:rPr>
      <w:fldChar w:fldCharType="end"/>
    </w:r>
    <w:r w:rsidRPr="005E4AB6">
      <w:rPr>
        <w:rFonts w:asciiTheme="minorHAnsi" w:eastAsia="Times New Roman" w:hAnsiTheme="minorHAnsi" w:cs="Arial"/>
        <w:sz w:val="16"/>
        <w:szCs w:val="16"/>
        <w:lang w:val="en-GB"/>
      </w:rPr>
      <w:t xml:space="preserve"> of </w:t>
    </w:r>
    <w:r w:rsidRPr="005E4AB6">
      <w:rPr>
        <w:rFonts w:asciiTheme="minorHAnsi" w:eastAsia="Times New Roman" w:hAnsiTheme="minorHAnsi" w:cs="Arial"/>
        <w:b/>
        <w:bCs/>
        <w:sz w:val="16"/>
        <w:szCs w:val="16"/>
        <w:lang w:val="en-GB"/>
      </w:rPr>
      <w:fldChar w:fldCharType="begin"/>
    </w:r>
    <w:r w:rsidRPr="005E4AB6">
      <w:rPr>
        <w:rFonts w:asciiTheme="minorHAnsi" w:eastAsia="Times New Roman" w:hAnsiTheme="minorHAnsi" w:cs="Arial"/>
        <w:b/>
        <w:bCs/>
        <w:sz w:val="16"/>
        <w:szCs w:val="16"/>
        <w:lang w:val="en-GB"/>
      </w:rPr>
      <w:instrText xml:space="preserve"> NUMPAGES  \* Arabic  \* MERGEFORMAT </w:instrText>
    </w:r>
    <w:r w:rsidRPr="005E4AB6">
      <w:rPr>
        <w:rFonts w:asciiTheme="minorHAnsi" w:eastAsia="Times New Roman" w:hAnsiTheme="minorHAnsi" w:cs="Arial"/>
        <w:b/>
        <w:bCs/>
        <w:sz w:val="16"/>
        <w:szCs w:val="16"/>
        <w:lang w:val="en-GB"/>
      </w:rPr>
      <w:fldChar w:fldCharType="separate"/>
    </w:r>
    <w:r w:rsidR="00937460">
      <w:rPr>
        <w:rFonts w:asciiTheme="minorHAnsi" w:eastAsia="Times New Roman" w:hAnsiTheme="minorHAnsi" w:cs="Arial"/>
        <w:b/>
        <w:bCs/>
        <w:noProof/>
        <w:sz w:val="16"/>
        <w:szCs w:val="16"/>
        <w:lang w:val="en-GB"/>
      </w:rPr>
      <w:t>45</w:t>
    </w:r>
    <w:r w:rsidRPr="005E4AB6">
      <w:rPr>
        <w:rFonts w:asciiTheme="minorHAnsi" w:eastAsia="Times New Roman" w:hAnsiTheme="minorHAnsi" w:cs="Arial"/>
        <w:b/>
        <w:bCs/>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EFF5" w14:textId="77777777" w:rsidR="0083768C" w:rsidRDefault="0083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4C716" w14:textId="77777777" w:rsidR="0083768C" w:rsidRDefault="0083768C" w:rsidP="001A3992">
      <w:pPr>
        <w:spacing w:after="0" w:line="240" w:lineRule="auto"/>
      </w:pPr>
      <w:r>
        <w:separator/>
      </w:r>
    </w:p>
  </w:footnote>
  <w:footnote w:type="continuationSeparator" w:id="0">
    <w:p w14:paraId="57817FC9" w14:textId="77777777" w:rsidR="0083768C" w:rsidRDefault="0083768C"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D340" w14:textId="77777777" w:rsidR="0083768C" w:rsidRDefault="0083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83768C" w:rsidRPr="000B2145" w14:paraId="1D3F2A31" w14:textId="77777777" w:rsidTr="0083768C">
      <w:trPr>
        <w:trHeight w:val="1012"/>
      </w:trPr>
      <w:tc>
        <w:tcPr>
          <w:tcW w:w="8897" w:type="dxa"/>
          <w:shd w:val="clear" w:color="auto" w:fill="E4F2E0"/>
        </w:tcPr>
        <w:p w14:paraId="0F4D22DD" w14:textId="77777777" w:rsidR="0083768C" w:rsidRPr="000B2145" w:rsidRDefault="0083768C" w:rsidP="00CF4221">
          <w:pPr>
            <w:pStyle w:val="Footer"/>
            <w:rPr>
              <w:b/>
              <w:sz w:val="18"/>
              <w:szCs w:val="18"/>
            </w:rPr>
          </w:pPr>
          <w:r w:rsidRPr="00EA0C3C">
            <w:rPr>
              <w:b/>
              <w:sz w:val="18"/>
              <w:szCs w:val="18"/>
            </w:rPr>
            <w:t>Attachment 1:</w:t>
          </w:r>
          <w:r>
            <w:t xml:space="preserve"> </w:t>
          </w:r>
          <w:r w:rsidRPr="005177CF">
            <w:rPr>
              <w:b/>
            </w:rPr>
            <w:t xml:space="preserve">AusPAR - </w:t>
          </w:r>
          <w:proofErr w:type="spellStart"/>
          <w:r w:rsidRPr="005177CF">
            <w:rPr>
              <w:b/>
            </w:rPr>
            <w:t>Olumiant</w:t>
          </w:r>
          <w:proofErr w:type="spellEnd"/>
          <w:r w:rsidRPr="005177CF">
            <w:rPr>
              <w:b/>
            </w:rPr>
            <w:t xml:space="preserve"> – baricitinib – Eli Lilly Australia Pty Ltd - PM-2019-05319-1-1</w:t>
          </w:r>
          <w:r>
            <w:rPr>
              <w:b/>
            </w:rPr>
            <w:t xml:space="preserve"> </w:t>
          </w:r>
          <w:r w:rsidRPr="005177CF">
            <w:rPr>
              <w:b/>
            </w:rPr>
            <w:t>FINAL 5 May 2021</w:t>
          </w:r>
          <w:r w:rsidRPr="00AF799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2AFB6AF5" w14:textId="77777777" w:rsidR="0083768C" w:rsidRDefault="00837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465A" w14:textId="77777777" w:rsidR="0083768C" w:rsidRDefault="00837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92B9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92B04"/>
    <w:multiLevelType w:val="hybridMultilevel"/>
    <w:tmpl w:val="51BC20DA"/>
    <w:lvl w:ilvl="0" w:tplc="1322783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50828"/>
    <w:multiLevelType w:val="hybridMultilevel"/>
    <w:tmpl w:val="13E2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F0EDB"/>
    <w:multiLevelType w:val="hybridMultilevel"/>
    <w:tmpl w:val="3DB84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41162A"/>
    <w:multiLevelType w:val="hybridMultilevel"/>
    <w:tmpl w:val="2716EFF4"/>
    <w:lvl w:ilvl="0" w:tplc="57F6E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F36919"/>
    <w:multiLevelType w:val="hybridMultilevel"/>
    <w:tmpl w:val="2716EFF4"/>
    <w:lvl w:ilvl="0" w:tplc="57F6E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E44CE"/>
    <w:multiLevelType w:val="hybridMultilevel"/>
    <w:tmpl w:val="FA0A0E1E"/>
    <w:lvl w:ilvl="0" w:tplc="F29AC40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296FF8"/>
    <w:multiLevelType w:val="hybridMultilevel"/>
    <w:tmpl w:val="2716EFF4"/>
    <w:lvl w:ilvl="0" w:tplc="57F6E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915EB"/>
    <w:multiLevelType w:val="hybridMultilevel"/>
    <w:tmpl w:val="216ED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C7753E"/>
    <w:multiLevelType w:val="hybridMultilevel"/>
    <w:tmpl w:val="14729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3F381D"/>
    <w:multiLevelType w:val="hybridMultilevel"/>
    <w:tmpl w:val="EAAA30E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433CE2"/>
    <w:multiLevelType w:val="hybridMultilevel"/>
    <w:tmpl w:val="E9003B6E"/>
    <w:lvl w:ilvl="0" w:tplc="A31E3754">
      <w:start w:val="1"/>
      <w:numFmt w:val="bullet"/>
      <w:lvlText w:val=""/>
      <w:lvlJc w:val="left"/>
      <w:pPr>
        <w:ind w:left="720" w:hanging="360"/>
      </w:pPr>
      <w:rPr>
        <w:rFonts w:ascii="Symbol" w:hAnsi="Symbol" w:hint="default"/>
      </w:rPr>
    </w:lvl>
    <w:lvl w:ilvl="1" w:tplc="F20E8E70">
      <w:start w:val="1"/>
      <w:numFmt w:val="bullet"/>
      <w:lvlText w:val="o"/>
      <w:lvlJc w:val="left"/>
      <w:pPr>
        <w:ind w:left="1440" w:hanging="360"/>
      </w:pPr>
      <w:rPr>
        <w:rFonts w:ascii="Courier New" w:hAnsi="Courier New" w:cs="Courier New" w:hint="default"/>
      </w:rPr>
    </w:lvl>
    <w:lvl w:ilvl="2" w:tplc="F1E0D784">
      <w:start w:val="1"/>
      <w:numFmt w:val="bullet"/>
      <w:lvlText w:val=""/>
      <w:lvlJc w:val="left"/>
      <w:pPr>
        <w:ind w:left="2160" w:hanging="360"/>
      </w:pPr>
      <w:rPr>
        <w:rFonts w:ascii="Wingdings" w:hAnsi="Wingdings" w:hint="default"/>
      </w:rPr>
    </w:lvl>
    <w:lvl w:ilvl="3" w:tplc="73A4D064">
      <w:start w:val="1"/>
      <w:numFmt w:val="bullet"/>
      <w:lvlText w:val=""/>
      <w:lvlJc w:val="left"/>
      <w:pPr>
        <w:ind w:left="2880" w:hanging="360"/>
      </w:pPr>
      <w:rPr>
        <w:rFonts w:ascii="Symbol" w:hAnsi="Symbol" w:hint="default"/>
      </w:rPr>
    </w:lvl>
    <w:lvl w:ilvl="4" w:tplc="49C46CE4">
      <w:start w:val="1"/>
      <w:numFmt w:val="bullet"/>
      <w:lvlText w:val="o"/>
      <w:lvlJc w:val="left"/>
      <w:pPr>
        <w:ind w:left="3600" w:hanging="360"/>
      </w:pPr>
      <w:rPr>
        <w:rFonts w:ascii="Courier New" w:hAnsi="Courier New" w:cs="Courier New" w:hint="default"/>
      </w:rPr>
    </w:lvl>
    <w:lvl w:ilvl="5" w:tplc="E6D04C0C">
      <w:start w:val="1"/>
      <w:numFmt w:val="bullet"/>
      <w:lvlText w:val=""/>
      <w:lvlJc w:val="left"/>
      <w:pPr>
        <w:ind w:left="4320" w:hanging="360"/>
      </w:pPr>
      <w:rPr>
        <w:rFonts w:ascii="Wingdings" w:hAnsi="Wingdings" w:hint="default"/>
      </w:rPr>
    </w:lvl>
    <w:lvl w:ilvl="6" w:tplc="F85C734A">
      <w:start w:val="1"/>
      <w:numFmt w:val="bullet"/>
      <w:lvlText w:val=""/>
      <w:lvlJc w:val="left"/>
      <w:pPr>
        <w:ind w:left="5040" w:hanging="360"/>
      </w:pPr>
      <w:rPr>
        <w:rFonts w:ascii="Symbol" w:hAnsi="Symbol" w:hint="default"/>
      </w:rPr>
    </w:lvl>
    <w:lvl w:ilvl="7" w:tplc="3BE8A6B4">
      <w:start w:val="1"/>
      <w:numFmt w:val="bullet"/>
      <w:lvlText w:val="o"/>
      <w:lvlJc w:val="left"/>
      <w:pPr>
        <w:ind w:left="5760" w:hanging="360"/>
      </w:pPr>
      <w:rPr>
        <w:rFonts w:ascii="Courier New" w:hAnsi="Courier New" w:cs="Courier New" w:hint="default"/>
      </w:rPr>
    </w:lvl>
    <w:lvl w:ilvl="8" w:tplc="C25487FC">
      <w:start w:val="1"/>
      <w:numFmt w:val="bullet"/>
      <w:lvlText w:val=""/>
      <w:lvlJc w:val="left"/>
      <w:pPr>
        <w:ind w:left="6480" w:hanging="360"/>
      </w:pPr>
      <w:rPr>
        <w:rFonts w:ascii="Wingdings" w:hAnsi="Wingdings" w:hint="default"/>
      </w:rPr>
    </w:lvl>
  </w:abstractNum>
  <w:abstractNum w:abstractNumId="20" w15:restartNumberingAfterBreak="0">
    <w:nsid w:val="70332797"/>
    <w:multiLevelType w:val="multilevel"/>
    <w:tmpl w:val="9948E642"/>
    <w:lvl w:ilvl="0">
      <w:start w:val="1"/>
      <w:numFmt w:val="decimal"/>
      <w:pStyle w:val="Heading1"/>
      <w:lvlText w:val="%1"/>
      <w:lvlJc w:val="left"/>
      <w:pPr>
        <w:ind w:left="360" w:hanging="360"/>
      </w:pPr>
      <w:rPr>
        <w:rFonts w:ascii="Cambria" w:hAnsi="Cambria"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
  </w:num>
  <w:num w:numId="4">
    <w:abstractNumId w:val="14"/>
  </w:num>
  <w:num w:numId="5">
    <w:abstractNumId w:val="23"/>
  </w:num>
  <w:num w:numId="6">
    <w:abstractNumId w:val="21"/>
  </w:num>
  <w:num w:numId="7">
    <w:abstractNumId w:val="17"/>
  </w:num>
  <w:num w:numId="8">
    <w:abstractNumId w:val="22"/>
  </w:num>
  <w:num w:numId="9">
    <w:abstractNumId w:val="8"/>
  </w:num>
  <w:num w:numId="10">
    <w:abstractNumId w:val="16"/>
  </w:num>
  <w:num w:numId="11">
    <w:abstractNumId w:val="0"/>
  </w:num>
  <w:num w:numId="12">
    <w:abstractNumId w:val="11"/>
  </w:num>
  <w:num w:numId="13">
    <w:abstractNumId w:val="9"/>
  </w:num>
  <w:num w:numId="14">
    <w:abstractNumId w:val="18"/>
  </w:num>
  <w:num w:numId="15">
    <w:abstractNumId w:val="3"/>
  </w:num>
  <w:num w:numId="16">
    <w:abstractNumId w:val="6"/>
  </w:num>
  <w:num w:numId="17">
    <w:abstractNumId w:val="13"/>
  </w:num>
  <w:num w:numId="18">
    <w:abstractNumId w:val="7"/>
  </w:num>
  <w:num w:numId="19">
    <w:abstractNumId w:val="10"/>
  </w:num>
  <w:num w:numId="20">
    <w:abstractNumId w:val="12"/>
  </w:num>
  <w:num w:numId="21">
    <w:abstractNumId w:val="5"/>
  </w:num>
  <w:num w:numId="22">
    <w:abstractNumId w:val="1"/>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FF"/>
    <w:rsid w:val="000001F4"/>
    <w:rsid w:val="00010550"/>
    <w:rsid w:val="00013658"/>
    <w:rsid w:val="0001539B"/>
    <w:rsid w:val="00015DC5"/>
    <w:rsid w:val="0002123C"/>
    <w:rsid w:val="0002229B"/>
    <w:rsid w:val="00023212"/>
    <w:rsid w:val="00030A08"/>
    <w:rsid w:val="000416D9"/>
    <w:rsid w:val="00042302"/>
    <w:rsid w:val="00060698"/>
    <w:rsid w:val="00060CF5"/>
    <w:rsid w:val="00065FA2"/>
    <w:rsid w:val="000823F7"/>
    <w:rsid w:val="0008595D"/>
    <w:rsid w:val="00087E13"/>
    <w:rsid w:val="00092A2E"/>
    <w:rsid w:val="00094A0C"/>
    <w:rsid w:val="000968D6"/>
    <w:rsid w:val="000A2734"/>
    <w:rsid w:val="000A31E2"/>
    <w:rsid w:val="000A51E0"/>
    <w:rsid w:val="000A6902"/>
    <w:rsid w:val="000A78C3"/>
    <w:rsid w:val="000B1924"/>
    <w:rsid w:val="000B3683"/>
    <w:rsid w:val="000B3D50"/>
    <w:rsid w:val="000B5E5D"/>
    <w:rsid w:val="000C1180"/>
    <w:rsid w:val="000C1B90"/>
    <w:rsid w:val="000C4E6C"/>
    <w:rsid w:val="000C6413"/>
    <w:rsid w:val="000D1822"/>
    <w:rsid w:val="000D55C7"/>
    <w:rsid w:val="000D7405"/>
    <w:rsid w:val="000E0756"/>
    <w:rsid w:val="000E1B2D"/>
    <w:rsid w:val="000E25E9"/>
    <w:rsid w:val="000F0613"/>
    <w:rsid w:val="00105060"/>
    <w:rsid w:val="00110965"/>
    <w:rsid w:val="001109EE"/>
    <w:rsid w:val="001305AC"/>
    <w:rsid w:val="00130613"/>
    <w:rsid w:val="001306BD"/>
    <w:rsid w:val="00137F07"/>
    <w:rsid w:val="00140075"/>
    <w:rsid w:val="001410CA"/>
    <w:rsid w:val="001416FB"/>
    <w:rsid w:val="0014384D"/>
    <w:rsid w:val="001453C5"/>
    <w:rsid w:val="00153A10"/>
    <w:rsid w:val="00157AF7"/>
    <w:rsid w:val="0016059E"/>
    <w:rsid w:val="0016193F"/>
    <w:rsid w:val="00163FB6"/>
    <w:rsid w:val="00170588"/>
    <w:rsid w:val="00171892"/>
    <w:rsid w:val="0017313C"/>
    <w:rsid w:val="0017542A"/>
    <w:rsid w:val="00177836"/>
    <w:rsid w:val="0018184E"/>
    <w:rsid w:val="00185A6B"/>
    <w:rsid w:val="00190962"/>
    <w:rsid w:val="00192F03"/>
    <w:rsid w:val="001A07C7"/>
    <w:rsid w:val="001A09AD"/>
    <w:rsid w:val="001A09DB"/>
    <w:rsid w:val="001A3992"/>
    <w:rsid w:val="001B1741"/>
    <w:rsid w:val="001B67AC"/>
    <w:rsid w:val="001B7DFC"/>
    <w:rsid w:val="001C4638"/>
    <w:rsid w:val="001D3C07"/>
    <w:rsid w:val="001E1038"/>
    <w:rsid w:val="001E6D20"/>
    <w:rsid w:val="00200B6D"/>
    <w:rsid w:val="0020258E"/>
    <w:rsid w:val="00205447"/>
    <w:rsid w:val="00205F69"/>
    <w:rsid w:val="00206DFF"/>
    <w:rsid w:val="00211CD3"/>
    <w:rsid w:val="00213E99"/>
    <w:rsid w:val="00216186"/>
    <w:rsid w:val="00220EB5"/>
    <w:rsid w:val="002355B8"/>
    <w:rsid w:val="00237046"/>
    <w:rsid w:val="00240CB8"/>
    <w:rsid w:val="00243057"/>
    <w:rsid w:val="00244ADF"/>
    <w:rsid w:val="00244F50"/>
    <w:rsid w:val="00245038"/>
    <w:rsid w:val="00245774"/>
    <w:rsid w:val="00246D10"/>
    <w:rsid w:val="002510D3"/>
    <w:rsid w:val="002572FA"/>
    <w:rsid w:val="00260DF5"/>
    <w:rsid w:val="002628F2"/>
    <w:rsid w:val="0026294A"/>
    <w:rsid w:val="002708A9"/>
    <w:rsid w:val="00271BF9"/>
    <w:rsid w:val="00271DD6"/>
    <w:rsid w:val="0027237E"/>
    <w:rsid w:val="00274837"/>
    <w:rsid w:val="00275B8C"/>
    <w:rsid w:val="00277A2D"/>
    <w:rsid w:val="0028084C"/>
    <w:rsid w:val="00285173"/>
    <w:rsid w:val="00286110"/>
    <w:rsid w:val="00287AA2"/>
    <w:rsid w:val="00290D9C"/>
    <w:rsid w:val="00293EBE"/>
    <w:rsid w:val="00296E62"/>
    <w:rsid w:val="002C6E2E"/>
    <w:rsid w:val="002D28AA"/>
    <w:rsid w:val="002D49DE"/>
    <w:rsid w:val="002D600A"/>
    <w:rsid w:val="002E0A5D"/>
    <w:rsid w:val="002E0F87"/>
    <w:rsid w:val="002E277D"/>
    <w:rsid w:val="002E3501"/>
    <w:rsid w:val="002F02F1"/>
    <w:rsid w:val="002F17E8"/>
    <w:rsid w:val="002F3ADC"/>
    <w:rsid w:val="002F3CD8"/>
    <w:rsid w:val="00300FD1"/>
    <w:rsid w:val="00305EBA"/>
    <w:rsid w:val="00306D65"/>
    <w:rsid w:val="00311C5C"/>
    <w:rsid w:val="0031486F"/>
    <w:rsid w:val="00315ADD"/>
    <w:rsid w:val="003179CC"/>
    <w:rsid w:val="00317C04"/>
    <w:rsid w:val="00322DC5"/>
    <w:rsid w:val="00323A9E"/>
    <w:rsid w:val="00324400"/>
    <w:rsid w:val="00324EB7"/>
    <w:rsid w:val="00331536"/>
    <w:rsid w:val="00332F20"/>
    <w:rsid w:val="00335873"/>
    <w:rsid w:val="0033609E"/>
    <w:rsid w:val="00353058"/>
    <w:rsid w:val="003541F1"/>
    <w:rsid w:val="0036070E"/>
    <w:rsid w:val="0036702B"/>
    <w:rsid w:val="00372E4A"/>
    <w:rsid w:val="00375DF3"/>
    <w:rsid w:val="00380FAD"/>
    <w:rsid w:val="00385068"/>
    <w:rsid w:val="00393097"/>
    <w:rsid w:val="0039617C"/>
    <w:rsid w:val="003963EA"/>
    <w:rsid w:val="003A1803"/>
    <w:rsid w:val="003A2E6E"/>
    <w:rsid w:val="003A4BB6"/>
    <w:rsid w:val="003A57A6"/>
    <w:rsid w:val="003A61A5"/>
    <w:rsid w:val="003A67C8"/>
    <w:rsid w:val="003B58DD"/>
    <w:rsid w:val="003C2E13"/>
    <w:rsid w:val="003D5F30"/>
    <w:rsid w:val="003D6009"/>
    <w:rsid w:val="003D7249"/>
    <w:rsid w:val="003D7771"/>
    <w:rsid w:val="003E3CCF"/>
    <w:rsid w:val="003F0D01"/>
    <w:rsid w:val="003F3E56"/>
    <w:rsid w:val="003F46DB"/>
    <w:rsid w:val="00400056"/>
    <w:rsid w:val="004021E4"/>
    <w:rsid w:val="0040364A"/>
    <w:rsid w:val="00404216"/>
    <w:rsid w:val="00407D31"/>
    <w:rsid w:val="00416857"/>
    <w:rsid w:val="00422557"/>
    <w:rsid w:val="004273B9"/>
    <w:rsid w:val="00427B84"/>
    <w:rsid w:val="0043095E"/>
    <w:rsid w:val="00431346"/>
    <w:rsid w:val="00431ACD"/>
    <w:rsid w:val="00434FA4"/>
    <w:rsid w:val="00443752"/>
    <w:rsid w:val="00444B73"/>
    <w:rsid w:val="00446055"/>
    <w:rsid w:val="004468BE"/>
    <w:rsid w:val="00451C8A"/>
    <w:rsid w:val="004550D6"/>
    <w:rsid w:val="00456A7C"/>
    <w:rsid w:val="00461EC7"/>
    <w:rsid w:val="00465B69"/>
    <w:rsid w:val="004743AB"/>
    <w:rsid w:val="004750F8"/>
    <w:rsid w:val="00486071"/>
    <w:rsid w:val="00487C81"/>
    <w:rsid w:val="0049619C"/>
    <w:rsid w:val="00497627"/>
    <w:rsid w:val="004A2B0F"/>
    <w:rsid w:val="004A52EF"/>
    <w:rsid w:val="004B13F0"/>
    <w:rsid w:val="004B17D0"/>
    <w:rsid w:val="004B6B19"/>
    <w:rsid w:val="004C107A"/>
    <w:rsid w:val="004C3630"/>
    <w:rsid w:val="004C3D9B"/>
    <w:rsid w:val="004C73EF"/>
    <w:rsid w:val="004D1A9F"/>
    <w:rsid w:val="004D2E6D"/>
    <w:rsid w:val="004D355B"/>
    <w:rsid w:val="004D3BD0"/>
    <w:rsid w:val="004D435B"/>
    <w:rsid w:val="004D4706"/>
    <w:rsid w:val="004D4B35"/>
    <w:rsid w:val="004E0D84"/>
    <w:rsid w:val="004E5E12"/>
    <w:rsid w:val="004E6DEA"/>
    <w:rsid w:val="00501F95"/>
    <w:rsid w:val="005024A8"/>
    <w:rsid w:val="00503E64"/>
    <w:rsid w:val="0050671E"/>
    <w:rsid w:val="00510127"/>
    <w:rsid w:val="005148C9"/>
    <w:rsid w:val="00515A7C"/>
    <w:rsid w:val="00516EE9"/>
    <w:rsid w:val="0051788D"/>
    <w:rsid w:val="00524AAD"/>
    <w:rsid w:val="00527247"/>
    <w:rsid w:val="00527837"/>
    <w:rsid w:val="005309BF"/>
    <w:rsid w:val="00532EEE"/>
    <w:rsid w:val="00546EAB"/>
    <w:rsid w:val="00547E7F"/>
    <w:rsid w:val="00550F77"/>
    <w:rsid w:val="00556764"/>
    <w:rsid w:val="00557167"/>
    <w:rsid w:val="00557822"/>
    <w:rsid w:val="005579E9"/>
    <w:rsid w:val="005605AD"/>
    <w:rsid w:val="00561274"/>
    <w:rsid w:val="005664D1"/>
    <w:rsid w:val="00567E45"/>
    <w:rsid w:val="0057213B"/>
    <w:rsid w:val="00574B6B"/>
    <w:rsid w:val="005762DF"/>
    <w:rsid w:val="00584E16"/>
    <w:rsid w:val="00593CD6"/>
    <w:rsid w:val="00594AE7"/>
    <w:rsid w:val="005A65F1"/>
    <w:rsid w:val="005B59E9"/>
    <w:rsid w:val="005B7AB9"/>
    <w:rsid w:val="005C167B"/>
    <w:rsid w:val="005C1B55"/>
    <w:rsid w:val="005C41D5"/>
    <w:rsid w:val="005C50A8"/>
    <w:rsid w:val="005C7422"/>
    <w:rsid w:val="005D315F"/>
    <w:rsid w:val="005E4AB6"/>
    <w:rsid w:val="005F1DD5"/>
    <w:rsid w:val="005F2D33"/>
    <w:rsid w:val="005F45D9"/>
    <w:rsid w:val="005F4B15"/>
    <w:rsid w:val="005F7793"/>
    <w:rsid w:val="00600AB3"/>
    <w:rsid w:val="006018AE"/>
    <w:rsid w:val="00617C52"/>
    <w:rsid w:val="00621749"/>
    <w:rsid w:val="00623BC6"/>
    <w:rsid w:val="00624B5C"/>
    <w:rsid w:val="00625B9E"/>
    <w:rsid w:val="0062619E"/>
    <w:rsid w:val="0063129B"/>
    <w:rsid w:val="00634599"/>
    <w:rsid w:val="00641EC9"/>
    <w:rsid w:val="00645592"/>
    <w:rsid w:val="00645E8F"/>
    <w:rsid w:val="0064608A"/>
    <w:rsid w:val="00651FB2"/>
    <w:rsid w:val="00652663"/>
    <w:rsid w:val="00654068"/>
    <w:rsid w:val="006563CD"/>
    <w:rsid w:val="006634CA"/>
    <w:rsid w:val="006676F5"/>
    <w:rsid w:val="0067737C"/>
    <w:rsid w:val="00677F36"/>
    <w:rsid w:val="00694627"/>
    <w:rsid w:val="006A4720"/>
    <w:rsid w:val="006A4D84"/>
    <w:rsid w:val="006A7EF6"/>
    <w:rsid w:val="006B0BF3"/>
    <w:rsid w:val="006B42D1"/>
    <w:rsid w:val="006B5ABB"/>
    <w:rsid w:val="006C0211"/>
    <w:rsid w:val="006C1D66"/>
    <w:rsid w:val="006C4936"/>
    <w:rsid w:val="006C54EB"/>
    <w:rsid w:val="006C6D7B"/>
    <w:rsid w:val="006D0C42"/>
    <w:rsid w:val="006D2877"/>
    <w:rsid w:val="006E3AB5"/>
    <w:rsid w:val="006E62C2"/>
    <w:rsid w:val="006F341F"/>
    <w:rsid w:val="006F46B0"/>
    <w:rsid w:val="00701095"/>
    <w:rsid w:val="00701BD3"/>
    <w:rsid w:val="00702023"/>
    <w:rsid w:val="0070298F"/>
    <w:rsid w:val="00704571"/>
    <w:rsid w:val="00706A96"/>
    <w:rsid w:val="007078D0"/>
    <w:rsid w:val="007108F4"/>
    <w:rsid w:val="00710E59"/>
    <w:rsid w:val="007113B3"/>
    <w:rsid w:val="00713CA3"/>
    <w:rsid w:val="00716863"/>
    <w:rsid w:val="00720E2A"/>
    <w:rsid w:val="00724B10"/>
    <w:rsid w:val="007435DC"/>
    <w:rsid w:val="007441C5"/>
    <w:rsid w:val="00752635"/>
    <w:rsid w:val="00773988"/>
    <w:rsid w:val="00773B77"/>
    <w:rsid w:val="00784937"/>
    <w:rsid w:val="00785FE2"/>
    <w:rsid w:val="007873EC"/>
    <w:rsid w:val="007903E4"/>
    <w:rsid w:val="00792C58"/>
    <w:rsid w:val="007A218C"/>
    <w:rsid w:val="007A2C09"/>
    <w:rsid w:val="007A5A0F"/>
    <w:rsid w:val="007B1489"/>
    <w:rsid w:val="007B45E8"/>
    <w:rsid w:val="007C3AA1"/>
    <w:rsid w:val="007C66C8"/>
    <w:rsid w:val="007D3D0F"/>
    <w:rsid w:val="007D6CDE"/>
    <w:rsid w:val="007D7EF1"/>
    <w:rsid w:val="007F0E2F"/>
    <w:rsid w:val="007F7D04"/>
    <w:rsid w:val="00805815"/>
    <w:rsid w:val="008121EF"/>
    <w:rsid w:val="00813DE2"/>
    <w:rsid w:val="008250C8"/>
    <w:rsid w:val="008310F3"/>
    <w:rsid w:val="00831FB6"/>
    <w:rsid w:val="00832C70"/>
    <w:rsid w:val="00833C3C"/>
    <w:rsid w:val="0083768C"/>
    <w:rsid w:val="00846260"/>
    <w:rsid w:val="0084724E"/>
    <w:rsid w:val="00854A1A"/>
    <w:rsid w:val="008562A4"/>
    <w:rsid w:val="0085724D"/>
    <w:rsid w:val="0086101C"/>
    <w:rsid w:val="00861A8A"/>
    <w:rsid w:val="00865698"/>
    <w:rsid w:val="00867941"/>
    <w:rsid w:val="00874367"/>
    <w:rsid w:val="00890AC9"/>
    <w:rsid w:val="008960D3"/>
    <w:rsid w:val="008973DA"/>
    <w:rsid w:val="008A1BA8"/>
    <w:rsid w:val="008A6B2A"/>
    <w:rsid w:val="008B2FF8"/>
    <w:rsid w:val="008B4A65"/>
    <w:rsid w:val="008B6726"/>
    <w:rsid w:val="008C0E90"/>
    <w:rsid w:val="008C0FD4"/>
    <w:rsid w:val="008C2520"/>
    <w:rsid w:val="008C27AC"/>
    <w:rsid w:val="008C3667"/>
    <w:rsid w:val="008C54A9"/>
    <w:rsid w:val="008D1961"/>
    <w:rsid w:val="008D6D79"/>
    <w:rsid w:val="008E1A49"/>
    <w:rsid w:val="008E1E58"/>
    <w:rsid w:val="008E458C"/>
    <w:rsid w:val="008F1484"/>
    <w:rsid w:val="008F72E5"/>
    <w:rsid w:val="00902035"/>
    <w:rsid w:val="0090358E"/>
    <w:rsid w:val="00905FE6"/>
    <w:rsid w:val="00914511"/>
    <w:rsid w:val="009146A6"/>
    <w:rsid w:val="00914A15"/>
    <w:rsid w:val="00917DF9"/>
    <w:rsid w:val="00925AA3"/>
    <w:rsid w:val="00926DEC"/>
    <w:rsid w:val="009300F5"/>
    <w:rsid w:val="00931EC2"/>
    <w:rsid w:val="0093362D"/>
    <w:rsid w:val="00937460"/>
    <w:rsid w:val="009435FF"/>
    <w:rsid w:val="009437C2"/>
    <w:rsid w:val="009459D8"/>
    <w:rsid w:val="0094797E"/>
    <w:rsid w:val="00951E7B"/>
    <w:rsid w:val="0095221D"/>
    <w:rsid w:val="00953A6B"/>
    <w:rsid w:val="00954B31"/>
    <w:rsid w:val="00960CD5"/>
    <w:rsid w:val="00964A14"/>
    <w:rsid w:val="0096678D"/>
    <w:rsid w:val="009733DC"/>
    <w:rsid w:val="00980F26"/>
    <w:rsid w:val="00981B2D"/>
    <w:rsid w:val="00986C92"/>
    <w:rsid w:val="009871A7"/>
    <w:rsid w:val="009A1520"/>
    <w:rsid w:val="009A5100"/>
    <w:rsid w:val="009A6707"/>
    <w:rsid w:val="009B199C"/>
    <w:rsid w:val="009B744A"/>
    <w:rsid w:val="009C55D5"/>
    <w:rsid w:val="009C57F0"/>
    <w:rsid w:val="009C5886"/>
    <w:rsid w:val="009D4642"/>
    <w:rsid w:val="009D5BA1"/>
    <w:rsid w:val="009D7257"/>
    <w:rsid w:val="009E1965"/>
    <w:rsid w:val="009E2AF8"/>
    <w:rsid w:val="009F38AA"/>
    <w:rsid w:val="00A025E7"/>
    <w:rsid w:val="00A02883"/>
    <w:rsid w:val="00A0456E"/>
    <w:rsid w:val="00A068F9"/>
    <w:rsid w:val="00A07014"/>
    <w:rsid w:val="00A12A7D"/>
    <w:rsid w:val="00A14B15"/>
    <w:rsid w:val="00A15E2B"/>
    <w:rsid w:val="00A16932"/>
    <w:rsid w:val="00A24395"/>
    <w:rsid w:val="00A24E43"/>
    <w:rsid w:val="00A25FB0"/>
    <w:rsid w:val="00A327E4"/>
    <w:rsid w:val="00A368FA"/>
    <w:rsid w:val="00A63CD4"/>
    <w:rsid w:val="00A6463E"/>
    <w:rsid w:val="00A65C02"/>
    <w:rsid w:val="00A66D1C"/>
    <w:rsid w:val="00A726A0"/>
    <w:rsid w:val="00A80362"/>
    <w:rsid w:val="00A83D9B"/>
    <w:rsid w:val="00A8443B"/>
    <w:rsid w:val="00A84B2D"/>
    <w:rsid w:val="00A91899"/>
    <w:rsid w:val="00A9304D"/>
    <w:rsid w:val="00A9347F"/>
    <w:rsid w:val="00AA16B6"/>
    <w:rsid w:val="00AA2C34"/>
    <w:rsid w:val="00AA380C"/>
    <w:rsid w:val="00AB0466"/>
    <w:rsid w:val="00AB1942"/>
    <w:rsid w:val="00AB2569"/>
    <w:rsid w:val="00AB5A33"/>
    <w:rsid w:val="00AC0DBC"/>
    <w:rsid w:val="00AC7436"/>
    <w:rsid w:val="00AD3F5C"/>
    <w:rsid w:val="00AF238D"/>
    <w:rsid w:val="00B01B26"/>
    <w:rsid w:val="00B03832"/>
    <w:rsid w:val="00B05165"/>
    <w:rsid w:val="00B07377"/>
    <w:rsid w:val="00B112DA"/>
    <w:rsid w:val="00B135C4"/>
    <w:rsid w:val="00B15327"/>
    <w:rsid w:val="00B2092A"/>
    <w:rsid w:val="00B22587"/>
    <w:rsid w:val="00B37D0F"/>
    <w:rsid w:val="00B45101"/>
    <w:rsid w:val="00B51A0F"/>
    <w:rsid w:val="00B543B7"/>
    <w:rsid w:val="00B55403"/>
    <w:rsid w:val="00B632CE"/>
    <w:rsid w:val="00B6470E"/>
    <w:rsid w:val="00B65883"/>
    <w:rsid w:val="00B66E62"/>
    <w:rsid w:val="00B72FC3"/>
    <w:rsid w:val="00B76A26"/>
    <w:rsid w:val="00B7735F"/>
    <w:rsid w:val="00B87C4A"/>
    <w:rsid w:val="00B9136E"/>
    <w:rsid w:val="00B92A0E"/>
    <w:rsid w:val="00B95387"/>
    <w:rsid w:val="00BA672B"/>
    <w:rsid w:val="00BB2DC8"/>
    <w:rsid w:val="00BB6CA1"/>
    <w:rsid w:val="00BC52DC"/>
    <w:rsid w:val="00BC6602"/>
    <w:rsid w:val="00BC67B7"/>
    <w:rsid w:val="00BD2256"/>
    <w:rsid w:val="00BD4093"/>
    <w:rsid w:val="00BE2A26"/>
    <w:rsid w:val="00BE4EBC"/>
    <w:rsid w:val="00BE55C5"/>
    <w:rsid w:val="00BE6386"/>
    <w:rsid w:val="00BF0B5A"/>
    <w:rsid w:val="00BF10CF"/>
    <w:rsid w:val="00BF526C"/>
    <w:rsid w:val="00BF664D"/>
    <w:rsid w:val="00BF710F"/>
    <w:rsid w:val="00C03E2E"/>
    <w:rsid w:val="00C15C96"/>
    <w:rsid w:val="00C20B36"/>
    <w:rsid w:val="00C31422"/>
    <w:rsid w:val="00C348BE"/>
    <w:rsid w:val="00C36BC7"/>
    <w:rsid w:val="00C37A5E"/>
    <w:rsid w:val="00C41A5E"/>
    <w:rsid w:val="00C46258"/>
    <w:rsid w:val="00C5097D"/>
    <w:rsid w:val="00C53BDC"/>
    <w:rsid w:val="00C55138"/>
    <w:rsid w:val="00C564D2"/>
    <w:rsid w:val="00C640AC"/>
    <w:rsid w:val="00C70BCC"/>
    <w:rsid w:val="00C77D80"/>
    <w:rsid w:val="00C80D6A"/>
    <w:rsid w:val="00CA628F"/>
    <w:rsid w:val="00CB11BA"/>
    <w:rsid w:val="00CB5BAB"/>
    <w:rsid w:val="00CB668B"/>
    <w:rsid w:val="00CB6C3C"/>
    <w:rsid w:val="00CC216D"/>
    <w:rsid w:val="00CC2B14"/>
    <w:rsid w:val="00CD1CBD"/>
    <w:rsid w:val="00CD442A"/>
    <w:rsid w:val="00CD715B"/>
    <w:rsid w:val="00CE333C"/>
    <w:rsid w:val="00CE3982"/>
    <w:rsid w:val="00CE6E8A"/>
    <w:rsid w:val="00CE6F94"/>
    <w:rsid w:val="00CF334B"/>
    <w:rsid w:val="00CF4221"/>
    <w:rsid w:val="00CF6270"/>
    <w:rsid w:val="00CF6436"/>
    <w:rsid w:val="00D10EEE"/>
    <w:rsid w:val="00D11379"/>
    <w:rsid w:val="00D13AC1"/>
    <w:rsid w:val="00D164FC"/>
    <w:rsid w:val="00D36B7E"/>
    <w:rsid w:val="00D42A58"/>
    <w:rsid w:val="00D43D2C"/>
    <w:rsid w:val="00D45949"/>
    <w:rsid w:val="00D50766"/>
    <w:rsid w:val="00D5693B"/>
    <w:rsid w:val="00D60CD7"/>
    <w:rsid w:val="00D61A31"/>
    <w:rsid w:val="00D740B5"/>
    <w:rsid w:val="00D8015A"/>
    <w:rsid w:val="00D9096D"/>
    <w:rsid w:val="00D9166D"/>
    <w:rsid w:val="00D963CD"/>
    <w:rsid w:val="00DA14FF"/>
    <w:rsid w:val="00DA1DF2"/>
    <w:rsid w:val="00DA3D21"/>
    <w:rsid w:val="00DA67F4"/>
    <w:rsid w:val="00DA72C0"/>
    <w:rsid w:val="00DA7AED"/>
    <w:rsid w:val="00DB09BB"/>
    <w:rsid w:val="00DB0C2B"/>
    <w:rsid w:val="00DB2D5C"/>
    <w:rsid w:val="00DB3783"/>
    <w:rsid w:val="00DB4852"/>
    <w:rsid w:val="00DB493F"/>
    <w:rsid w:val="00DB4CA0"/>
    <w:rsid w:val="00DC7636"/>
    <w:rsid w:val="00DD17E8"/>
    <w:rsid w:val="00DD471A"/>
    <w:rsid w:val="00DE22F7"/>
    <w:rsid w:val="00DE2C4F"/>
    <w:rsid w:val="00DE4179"/>
    <w:rsid w:val="00DE7309"/>
    <w:rsid w:val="00DF15A1"/>
    <w:rsid w:val="00DF576A"/>
    <w:rsid w:val="00E00103"/>
    <w:rsid w:val="00E00268"/>
    <w:rsid w:val="00E077AF"/>
    <w:rsid w:val="00E11623"/>
    <w:rsid w:val="00E1715A"/>
    <w:rsid w:val="00E22F8A"/>
    <w:rsid w:val="00E26EDA"/>
    <w:rsid w:val="00E343FA"/>
    <w:rsid w:val="00E4039E"/>
    <w:rsid w:val="00E45CD6"/>
    <w:rsid w:val="00E5156B"/>
    <w:rsid w:val="00E54215"/>
    <w:rsid w:val="00E54E32"/>
    <w:rsid w:val="00E556A5"/>
    <w:rsid w:val="00E56437"/>
    <w:rsid w:val="00E60989"/>
    <w:rsid w:val="00E654C3"/>
    <w:rsid w:val="00E6611D"/>
    <w:rsid w:val="00E70427"/>
    <w:rsid w:val="00E708B2"/>
    <w:rsid w:val="00E74A56"/>
    <w:rsid w:val="00E758A3"/>
    <w:rsid w:val="00E82673"/>
    <w:rsid w:val="00E84DB9"/>
    <w:rsid w:val="00E916AB"/>
    <w:rsid w:val="00EA2F85"/>
    <w:rsid w:val="00EB2D0F"/>
    <w:rsid w:val="00EC003A"/>
    <w:rsid w:val="00EC07D0"/>
    <w:rsid w:val="00EC1840"/>
    <w:rsid w:val="00EC22BE"/>
    <w:rsid w:val="00EC65DB"/>
    <w:rsid w:val="00ED40B1"/>
    <w:rsid w:val="00EE4C8B"/>
    <w:rsid w:val="00EE7F7D"/>
    <w:rsid w:val="00EF0991"/>
    <w:rsid w:val="00EF37FA"/>
    <w:rsid w:val="00EF54C9"/>
    <w:rsid w:val="00F00044"/>
    <w:rsid w:val="00F02429"/>
    <w:rsid w:val="00F02A68"/>
    <w:rsid w:val="00F07A80"/>
    <w:rsid w:val="00F117F3"/>
    <w:rsid w:val="00F2154E"/>
    <w:rsid w:val="00F21BF8"/>
    <w:rsid w:val="00F234B2"/>
    <w:rsid w:val="00F2404E"/>
    <w:rsid w:val="00F24529"/>
    <w:rsid w:val="00F30662"/>
    <w:rsid w:val="00F32052"/>
    <w:rsid w:val="00F32B6A"/>
    <w:rsid w:val="00F33791"/>
    <w:rsid w:val="00F344A2"/>
    <w:rsid w:val="00F356CD"/>
    <w:rsid w:val="00F36A43"/>
    <w:rsid w:val="00F40080"/>
    <w:rsid w:val="00F4082C"/>
    <w:rsid w:val="00F51F53"/>
    <w:rsid w:val="00F556AA"/>
    <w:rsid w:val="00F640B8"/>
    <w:rsid w:val="00F6763C"/>
    <w:rsid w:val="00F72B16"/>
    <w:rsid w:val="00F74FCB"/>
    <w:rsid w:val="00F77982"/>
    <w:rsid w:val="00F8106E"/>
    <w:rsid w:val="00F835BD"/>
    <w:rsid w:val="00F86394"/>
    <w:rsid w:val="00F944AB"/>
    <w:rsid w:val="00F96348"/>
    <w:rsid w:val="00F97217"/>
    <w:rsid w:val="00F9787B"/>
    <w:rsid w:val="00FA1C18"/>
    <w:rsid w:val="00FA4779"/>
    <w:rsid w:val="00FA51CF"/>
    <w:rsid w:val="00FA635B"/>
    <w:rsid w:val="00FA7FF7"/>
    <w:rsid w:val="00FB5DF7"/>
    <w:rsid w:val="00FC09E8"/>
    <w:rsid w:val="00FC1319"/>
    <w:rsid w:val="00FC2399"/>
    <w:rsid w:val="00FC4F9A"/>
    <w:rsid w:val="00FD3390"/>
    <w:rsid w:val="00FD33F1"/>
    <w:rsid w:val="00FD6E11"/>
    <w:rsid w:val="00FD7193"/>
    <w:rsid w:val="00FE65AF"/>
    <w:rsid w:val="00FF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AB0E38"/>
  <w15:docId w15:val="{6054B6F9-5EB2-4FE8-98B1-712B1748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A0C"/>
  </w:style>
  <w:style w:type="paragraph" w:styleId="Heading1">
    <w:name w:val="heading 1"/>
    <w:basedOn w:val="Normal"/>
    <w:next w:val="Normal"/>
    <w:link w:val="Heading1Char"/>
    <w:autoRedefine/>
    <w:uiPriority w:val="9"/>
    <w:qFormat/>
    <w:rsid w:val="009733DC"/>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094A0C"/>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0C1180"/>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C1180"/>
    <w:pPr>
      <w:keepNext/>
      <w:keepLines/>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DC"/>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094A0C"/>
    <w:rPr>
      <w:rFonts w:eastAsiaTheme="majorEastAsia" w:cstheme="majorBidi"/>
      <w:b/>
      <w:bCs/>
    </w:rPr>
  </w:style>
  <w:style w:type="character" w:customStyle="1" w:styleId="Heading4Char">
    <w:name w:val="Heading 4 Char"/>
    <w:basedOn w:val="DefaultParagraphFont"/>
    <w:link w:val="Heading4"/>
    <w:uiPriority w:val="9"/>
    <w:rsid w:val="000C1180"/>
    <w:rPr>
      <w:rFonts w:eastAsiaTheme="majorEastAsia" w:cstheme="majorBidi"/>
      <w:bCs/>
      <w:iCs/>
      <w:u w:val="single"/>
    </w:rPr>
  </w:style>
  <w:style w:type="character" w:customStyle="1" w:styleId="Heading5Char">
    <w:name w:val="Heading 5 Char"/>
    <w:basedOn w:val="DefaultParagraphFont"/>
    <w:link w:val="Heading5"/>
    <w:uiPriority w:val="9"/>
    <w:rsid w:val="000C1180"/>
    <w:rPr>
      <w:rFonts w:eastAsiaTheme="majorEastAsia" w:cstheme="majorBidi"/>
      <w:i/>
      <w:color w:val="000000" w:themeColor="text1"/>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aption">
    <w:name w:val="caption"/>
    <w:aliases w:val="Caption Char1,Caption Char Char,Caption Char Char Char Char"/>
    <w:basedOn w:val="Normal"/>
    <w:next w:val="Normal"/>
    <w:link w:val="CaptionChar"/>
    <w:uiPriority w:val="99"/>
    <w:qFormat/>
    <w:rsid w:val="00A6463E"/>
    <w:pPr>
      <w:keepNext/>
      <w:keepLines/>
      <w:spacing w:after="120" w:line="280" w:lineRule="exact"/>
    </w:pPr>
    <w:rPr>
      <w:rFonts w:ascii="Arial" w:eastAsia="Times New Roman" w:hAnsi="Arial" w:cs="Times New Roman"/>
      <w:b/>
      <w:bCs/>
      <w:szCs w:val="20"/>
    </w:rPr>
  </w:style>
  <w:style w:type="paragraph" w:customStyle="1" w:styleId="PLRBodyTextIndented">
    <w:name w:val="PLR_Body Text Indented"/>
    <w:link w:val="PLRBodyTextIndentedCharChar"/>
    <w:rsid w:val="00A6463E"/>
    <w:pPr>
      <w:spacing w:after="0" w:line="240" w:lineRule="auto"/>
      <w:ind w:firstLine="648"/>
    </w:pPr>
    <w:rPr>
      <w:rFonts w:ascii="Arial" w:eastAsia="Times New Roman" w:hAnsi="Arial" w:cs="Times New Roman"/>
      <w:sz w:val="20"/>
      <w:szCs w:val="20"/>
      <w:lang w:val="en-US"/>
    </w:rPr>
  </w:style>
  <w:style w:type="character" w:customStyle="1" w:styleId="PLRBodyTextIndentedCharChar">
    <w:name w:val="PLR_Body Text Indented Char Char"/>
    <w:link w:val="PLRBodyTextIndented"/>
    <w:rsid w:val="00A6463E"/>
    <w:rPr>
      <w:rFonts w:ascii="Arial" w:eastAsia="Times New Roman" w:hAnsi="Arial" w:cs="Times New Roman"/>
      <w:sz w:val="20"/>
      <w:szCs w:val="20"/>
      <w:lang w:val="en-US"/>
    </w:rPr>
  </w:style>
  <w:style w:type="paragraph" w:customStyle="1" w:styleId="PLRFootnote">
    <w:name w:val="PLR_Footnote"/>
    <w:basedOn w:val="Normal"/>
    <w:next w:val="PLRBodyTextIndented"/>
    <w:link w:val="PLRFootnoteChar"/>
    <w:rsid w:val="00A6463E"/>
    <w:pPr>
      <w:tabs>
        <w:tab w:val="left" w:pos="180"/>
      </w:tabs>
      <w:spacing w:after="20" w:line="240" w:lineRule="auto"/>
      <w:ind w:left="360" w:hanging="360"/>
    </w:pPr>
    <w:rPr>
      <w:rFonts w:ascii="Arial" w:eastAsia="Times New Roman" w:hAnsi="Arial" w:cs="Times New Roman"/>
      <w:sz w:val="20"/>
      <w:szCs w:val="20"/>
      <w:lang w:val="en-US"/>
    </w:rPr>
  </w:style>
  <w:style w:type="character" w:customStyle="1" w:styleId="PLRFootnoteChar">
    <w:name w:val="PLR_Footnote Char"/>
    <w:link w:val="PLRFootnote"/>
    <w:rsid w:val="00A6463E"/>
    <w:rPr>
      <w:rFonts w:ascii="Arial" w:eastAsia="Times New Roman" w:hAnsi="Arial" w:cs="Times New Roman"/>
      <w:sz w:val="20"/>
      <w:szCs w:val="20"/>
      <w:lang w:val="en-US"/>
    </w:rPr>
  </w:style>
  <w:style w:type="character" w:customStyle="1" w:styleId="CaptionChar">
    <w:name w:val="Caption Char"/>
    <w:aliases w:val="Caption Char1 Char,Caption Char Char Char,Caption Char Char Char Char Char"/>
    <w:link w:val="Caption"/>
    <w:uiPriority w:val="99"/>
    <w:locked/>
    <w:rsid w:val="00A6463E"/>
    <w:rPr>
      <w:rFonts w:ascii="Arial" w:eastAsia="Times New Roman" w:hAnsi="Arial" w:cs="Times New Roman"/>
      <w:b/>
      <w:bCs/>
      <w:szCs w:val="20"/>
    </w:rPr>
  </w:style>
  <w:style w:type="table" w:styleId="TableGrid">
    <w:name w:val="Table Grid"/>
    <w:basedOn w:val="TableNormal"/>
    <w:uiPriority w:val="59"/>
    <w:rsid w:val="00A646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75"/>
  </w:style>
  <w:style w:type="character" w:styleId="FollowedHyperlink">
    <w:name w:val="FollowedHyperlink"/>
    <w:basedOn w:val="DefaultParagraphFont"/>
    <w:uiPriority w:val="99"/>
    <w:semiHidden/>
    <w:unhideWhenUsed/>
    <w:rsid w:val="004D43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10965"/>
    <w:rPr>
      <w:rFonts w:asciiTheme="minorHAnsi" w:hAnsiTheme="minorHAnsi"/>
      <w:b/>
      <w:bCs/>
    </w:rPr>
  </w:style>
  <w:style w:type="character" w:customStyle="1" w:styleId="CommentSubjectChar">
    <w:name w:val="Comment Subject Char"/>
    <w:basedOn w:val="CommentTextChar"/>
    <w:link w:val="CommentSubject"/>
    <w:uiPriority w:val="99"/>
    <w:semiHidden/>
    <w:rsid w:val="00110965"/>
    <w:rPr>
      <w:rFonts w:ascii="Cambria" w:hAnsi="Cambria"/>
      <w:b/>
      <w:bCs/>
      <w:sz w:val="20"/>
      <w:szCs w:val="20"/>
    </w:rPr>
  </w:style>
  <w:style w:type="paragraph" w:customStyle="1" w:styleId="CDSBodyTextLeftIndent">
    <w:name w:val="CDS_Body Text Left Indent"/>
    <w:basedOn w:val="Normal"/>
    <w:rsid w:val="00527837"/>
    <w:pPr>
      <w:spacing w:before="120" w:after="180" w:line="240" w:lineRule="auto"/>
      <w:ind w:left="907"/>
    </w:pPr>
    <w:rPr>
      <w:rFonts w:ascii="Arial" w:eastAsia="Times New Roman" w:hAnsi="Arial" w:cs="Times New Roman"/>
      <w:sz w:val="20"/>
      <w:szCs w:val="20"/>
      <w:lang w:val="en-US"/>
    </w:rPr>
  </w:style>
  <w:style w:type="character" w:customStyle="1" w:styleId="ListParagraphChar">
    <w:name w:val="List Paragraph Char"/>
    <w:link w:val="ListParagraph"/>
    <w:uiPriority w:val="34"/>
    <w:rsid w:val="00931EC2"/>
    <w:rPr>
      <w:rFonts w:ascii="Cambria" w:hAnsi="Cambria"/>
    </w:rPr>
  </w:style>
  <w:style w:type="paragraph" w:customStyle="1" w:styleId="TblFootnote">
    <w:name w:val="Tbl Footnote"/>
    <w:basedOn w:val="Normal"/>
    <w:next w:val="Normal"/>
    <w:link w:val="TblFootnoteChar"/>
    <w:qFormat/>
    <w:rsid w:val="00931EC2"/>
    <w:pPr>
      <w:keepNext/>
      <w:keepLines/>
      <w:tabs>
        <w:tab w:val="left" w:pos="259"/>
      </w:tabs>
      <w:spacing w:after="0" w:line="259" w:lineRule="atLeast"/>
      <w:ind w:left="259" w:hanging="259"/>
    </w:pPr>
    <w:rPr>
      <w:rFonts w:ascii="Times New Roman" w:eastAsia="Times New Roman" w:hAnsi="Times New Roman" w:cs="Times New Roman"/>
      <w:sz w:val="20"/>
      <w:szCs w:val="20"/>
      <w:lang w:val="en-US"/>
    </w:rPr>
  </w:style>
  <w:style w:type="character" w:customStyle="1" w:styleId="TblFootnoteChar">
    <w:name w:val="Tbl Footnote Char"/>
    <w:link w:val="TblFootnote"/>
    <w:locked/>
    <w:rsid w:val="00931EC2"/>
    <w:rPr>
      <w:rFonts w:ascii="Times New Roman" w:eastAsia="Times New Roman" w:hAnsi="Times New Roman" w:cs="Times New Roman"/>
      <w:sz w:val="20"/>
      <w:szCs w:val="20"/>
      <w:lang w:val="en-US"/>
    </w:rPr>
  </w:style>
  <w:style w:type="paragraph" w:customStyle="1" w:styleId="mdSASTblEntry">
    <w:name w:val="md_SAS Tbl Entry"/>
    <w:basedOn w:val="Normal"/>
    <w:uiPriority w:val="99"/>
    <w:rsid w:val="00931EC2"/>
    <w:pPr>
      <w:spacing w:after="0" w:line="240" w:lineRule="auto"/>
    </w:pPr>
    <w:rPr>
      <w:rFonts w:ascii="Courier New" w:eastAsia="Times New Roman" w:hAnsi="Courier New" w:cs="Times New Roman"/>
      <w:b/>
      <w:sz w:val="16"/>
      <w:szCs w:val="20"/>
      <w:lang w:val="en-US"/>
    </w:rPr>
  </w:style>
  <w:style w:type="paragraph" w:customStyle="1" w:styleId="TableParagraph">
    <w:name w:val="Table Paragraph"/>
    <w:basedOn w:val="Normal"/>
    <w:uiPriority w:val="1"/>
    <w:qFormat/>
    <w:rsid w:val="00931EC2"/>
    <w:pPr>
      <w:widowControl w:val="0"/>
      <w:autoSpaceDE w:val="0"/>
      <w:autoSpaceDN w:val="0"/>
      <w:spacing w:before="19" w:after="0" w:line="240" w:lineRule="auto"/>
      <w:ind w:left="105"/>
    </w:pPr>
    <w:rPr>
      <w:rFonts w:ascii="Times New Roman" w:eastAsia="Times New Roman" w:hAnsi="Times New Roman" w:cs="Times New Roman"/>
      <w:lang w:val="en-US"/>
    </w:rPr>
  </w:style>
  <w:style w:type="paragraph" w:customStyle="1" w:styleId="mdTblEntry">
    <w:name w:val="md_Tbl Entry"/>
    <w:basedOn w:val="Normal"/>
    <w:link w:val="mdTblEntryChar"/>
    <w:uiPriority w:val="99"/>
    <w:qFormat/>
    <w:rsid w:val="00931EC2"/>
    <w:pPr>
      <w:keepLines/>
      <w:spacing w:after="0" w:line="259" w:lineRule="atLeast"/>
    </w:pPr>
    <w:rPr>
      <w:rFonts w:ascii="Times New Roman" w:eastAsia="Times New Roman" w:hAnsi="Times New Roman" w:cs="Times New Roman"/>
      <w:sz w:val="20"/>
      <w:szCs w:val="20"/>
      <w:lang w:val="en-US"/>
    </w:rPr>
  </w:style>
  <w:style w:type="character" w:customStyle="1" w:styleId="mdTblEntryChar">
    <w:name w:val="md_Tbl Entry Char"/>
    <w:basedOn w:val="DefaultParagraphFont"/>
    <w:link w:val="mdTblEntry"/>
    <w:uiPriority w:val="99"/>
    <w:locked/>
    <w:rsid w:val="00931EC2"/>
    <w:rPr>
      <w:rFonts w:ascii="Times New Roman" w:eastAsia="Times New Roman" w:hAnsi="Times New Roman" w:cs="Times New Roman"/>
      <w:sz w:val="20"/>
      <w:szCs w:val="20"/>
      <w:lang w:val="en-US"/>
    </w:rPr>
  </w:style>
  <w:style w:type="paragraph" w:customStyle="1" w:styleId="mdTAFFY">
    <w:name w:val="md_TAFFY"/>
    <w:rsid w:val="00931EC2"/>
    <w:pPr>
      <w:autoSpaceDE w:val="0"/>
      <w:autoSpaceDN w:val="0"/>
      <w:spacing w:after="0" w:line="240" w:lineRule="auto"/>
    </w:pPr>
    <w:rPr>
      <w:rFonts w:ascii="Times New Roman" w:eastAsiaTheme="minorEastAsia" w:hAnsi="Times New Roman" w:cs="Times New Roman"/>
      <w:sz w:val="20"/>
      <w:szCs w:val="20"/>
      <w:lang w:val="en-US"/>
    </w:rPr>
  </w:style>
  <w:style w:type="paragraph" w:customStyle="1" w:styleId="CDSFootnoteText">
    <w:name w:val="CDS_Footnote Text"/>
    <w:basedOn w:val="Normal"/>
    <w:qFormat/>
    <w:rsid w:val="00EF37FA"/>
    <w:pPr>
      <w:spacing w:after="20" w:line="240" w:lineRule="auto"/>
      <w:ind w:left="720"/>
    </w:pPr>
    <w:rPr>
      <w:rFonts w:ascii="Arial" w:eastAsia="MS Mincho" w:hAnsi="Arial" w:cs="Times New Roman"/>
      <w:sz w:val="20"/>
      <w:szCs w:val="20"/>
      <w:lang w:val="en-US"/>
    </w:rPr>
  </w:style>
  <w:style w:type="character" w:customStyle="1" w:styleId="CDSTableFootnoteText">
    <w:name w:val="CDS_Table Footnote Text"/>
    <w:rsid w:val="00EF37FA"/>
    <w:rPr>
      <w:sz w:val="20"/>
    </w:rPr>
  </w:style>
  <w:style w:type="paragraph" w:customStyle="1" w:styleId="BodytextAgency">
    <w:name w:val="Body text (Agency)"/>
    <w:basedOn w:val="Normal"/>
    <w:link w:val="BodytextAgencyChar"/>
    <w:qFormat/>
    <w:rsid w:val="004C3630"/>
    <w:pPr>
      <w:spacing w:after="140" w:line="280" w:lineRule="atLeast"/>
    </w:pPr>
    <w:rPr>
      <w:rFonts w:ascii="Verdana" w:eastAsia="Verdana" w:hAnsi="Verdana" w:cs="Verdana"/>
      <w:sz w:val="18"/>
      <w:szCs w:val="18"/>
      <w:lang w:val="en-US" w:eastAsia="en-GB"/>
    </w:rPr>
  </w:style>
  <w:style w:type="character" w:customStyle="1" w:styleId="BodytextAgencyChar">
    <w:name w:val="Body text (Agency) Char"/>
    <w:link w:val="BodytextAgency"/>
    <w:rsid w:val="004C3630"/>
    <w:rPr>
      <w:rFonts w:ascii="Verdana" w:eastAsia="Verdana" w:hAnsi="Verdana" w:cs="Verdana"/>
      <w:sz w:val="18"/>
      <w:szCs w:val="18"/>
      <w:lang w:val="en-US" w:eastAsia="en-GB"/>
    </w:rPr>
  </w:style>
  <w:style w:type="table" w:customStyle="1" w:styleId="TableGridLight1">
    <w:name w:val="Table Grid Light1"/>
    <w:basedOn w:val="TableNormal"/>
    <w:next w:val="TableGridLight"/>
    <w:uiPriority w:val="40"/>
    <w:rsid w:val="00305EBA"/>
    <w:pPr>
      <w:spacing w:after="0" w:line="240" w:lineRule="auto"/>
    </w:pPr>
    <w:rPr>
      <w:rFonts w:eastAsia="Cambr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305E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77387">
      <w:bodyDiv w:val="1"/>
      <w:marLeft w:val="0"/>
      <w:marRight w:val="0"/>
      <w:marTop w:val="0"/>
      <w:marBottom w:val="0"/>
      <w:divBdr>
        <w:top w:val="none" w:sz="0" w:space="0" w:color="auto"/>
        <w:left w:val="none" w:sz="0" w:space="0" w:color="auto"/>
        <w:bottom w:val="none" w:sz="0" w:space="0" w:color="auto"/>
        <w:right w:val="none" w:sz="0" w:space="0" w:color="auto"/>
      </w:divBdr>
    </w:div>
    <w:div w:id="384305611">
      <w:bodyDiv w:val="1"/>
      <w:marLeft w:val="0"/>
      <w:marRight w:val="0"/>
      <w:marTop w:val="0"/>
      <w:marBottom w:val="0"/>
      <w:divBdr>
        <w:top w:val="none" w:sz="0" w:space="0" w:color="auto"/>
        <w:left w:val="none" w:sz="0" w:space="0" w:color="auto"/>
        <w:bottom w:val="none" w:sz="0" w:space="0" w:color="auto"/>
        <w:right w:val="none" w:sz="0" w:space="0" w:color="auto"/>
      </w:divBdr>
    </w:div>
    <w:div w:id="766578341">
      <w:bodyDiv w:val="1"/>
      <w:marLeft w:val="0"/>
      <w:marRight w:val="0"/>
      <w:marTop w:val="0"/>
      <w:marBottom w:val="0"/>
      <w:divBdr>
        <w:top w:val="none" w:sz="0" w:space="0" w:color="auto"/>
        <w:left w:val="none" w:sz="0" w:space="0" w:color="auto"/>
        <w:bottom w:val="none" w:sz="0" w:space="0" w:color="auto"/>
        <w:right w:val="none" w:sz="0" w:space="0" w:color="auto"/>
      </w:divBdr>
    </w:div>
    <w:div w:id="781075286">
      <w:bodyDiv w:val="1"/>
      <w:marLeft w:val="0"/>
      <w:marRight w:val="0"/>
      <w:marTop w:val="0"/>
      <w:marBottom w:val="0"/>
      <w:divBdr>
        <w:top w:val="none" w:sz="0" w:space="0" w:color="auto"/>
        <w:left w:val="none" w:sz="0" w:space="0" w:color="auto"/>
        <w:bottom w:val="none" w:sz="0" w:space="0" w:color="auto"/>
        <w:right w:val="none" w:sz="0" w:space="0" w:color="auto"/>
      </w:divBdr>
    </w:div>
    <w:div w:id="16711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3687-251B-4FC0-953B-496A483A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45</Pages>
  <Words>13733</Words>
  <Characters>78282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Attachment 1: Product Information for Baricitinib</vt:lpstr>
    </vt:vector>
  </TitlesOfParts>
  <Company>Eli Lilly Australia Pty Ltd</Company>
  <LinksUpToDate>false</LinksUpToDate>
  <CharactersWithSpaces>91832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Baricitinib</dc:title>
  <dc:subject>prescription medicines</dc:subject>
  <dc:creator>Eli Lilly Australia Pty Ltd</dc:creator>
  <cp:keywords/>
  <dc:description/>
  <cp:lastPrinted>2021-02-11T05:19:00Z</cp:lastPrinted>
  <dcterms:created xsi:type="dcterms:W3CDTF">2021-05-20T00:07:00Z</dcterms:created>
  <dcterms:modified xsi:type="dcterms:W3CDTF">2021-05-20T01:03:00Z</dcterms:modified>
</cp:coreProperties>
</file>