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4F5E4676" w14:textId="77777777" w:rsidTr="00BF1190">
        <w:trPr>
          <w:trHeight w:val="1863"/>
        </w:trPr>
        <w:tc>
          <w:tcPr>
            <w:tcW w:w="3652" w:type="dxa"/>
            <w:tcBorders>
              <w:top w:val="nil"/>
              <w:left w:val="nil"/>
              <w:bottom w:val="nil"/>
              <w:right w:val="nil"/>
            </w:tcBorders>
          </w:tcPr>
          <w:p w14:paraId="3B33DAD1" w14:textId="49D588F7" w:rsidR="008E7846" w:rsidRPr="00096AA7" w:rsidRDefault="004263E8" w:rsidP="00096AA7">
            <w:pPr>
              <w:rPr>
                <w:rFonts w:ascii="Arial" w:hAnsi="Arial" w:cs="Arial"/>
                <w:b/>
                <w:color w:val="002C47"/>
                <w:sz w:val="36"/>
                <w:szCs w:val="36"/>
              </w:rPr>
            </w:pPr>
            <w:r>
              <w:rPr>
                <w:rFonts w:ascii="Arial" w:hAnsi="Arial" w:cs="Arial"/>
                <w:b/>
                <w:color w:val="002C47"/>
                <w:sz w:val="36"/>
                <w:szCs w:val="36"/>
              </w:rPr>
              <w:t>June</w:t>
            </w:r>
            <w:r w:rsidR="00C10714">
              <w:rPr>
                <w:rFonts w:ascii="Arial" w:hAnsi="Arial" w:cs="Arial"/>
                <w:b/>
                <w:color w:val="002C47"/>
                <w:sz w:val="36"/>
                <w:szCs w:val="36"/>
              </w:rPr>
              <w:t xml:space="preserve"> 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23D73BC5" w14:textId="77777777" w:rsidTr="0032583B">
        <w:trPr>
          <w:trHeight w:val="868"/>
        </w:trPr>
        <w:tc>
          <w:tcPr>
            <w:tcW w:w="9079" w:type="dxa"/>
          </w:tcPr>
          <w:p w14:paraId="6EC20218" w14:textId="77777777" w:rsidR="0032583B" w:rsidRPr="00A964D1" w:rsidRDefault="0032583B" w:rsidP="000845B1">
            <w:pPr>
              <w:pStyle w:val="Title"/>
              <w:rPr>
                <w:color w:val="FFFFFF" w:themeColor="background1"/>
              </w:rPr>
            </w:pPr>
            <w:r w:rsidRPr="00A964D1">
              <w:rPr>
                <w:color w:val="FFFFFF" w:themeColor="background1"/>
              </w:rPr>
              <w:t>Australia</w:t>
            </w:r>
            <w:r w:rsidR="000845B1">
              <w:rPr>
                <w:color w:val="FFFFFF" w:themeColor="background1"/>
              </w:rPr>
              <w:t xml:space="preserve">n Public Assessment Report for </w:t>
            </w:r>
            <w:r w:rsidR="000845B1" w:rsidRPr="000845B1">
              <w:rPr>
                <w:color w:val="FFFFFF" w:themeColor="background1"/>
              </w:rPr>
              <w:t>Baloxavir marboxil</w:t>
            </w:r>
          </w:p>
        </w:tc>
      </w:tr>
      <w:tr w:rsidR="0032583B" w:rsidRPr="00B64760" w14:paraId="5138D3B2" w14:textId="77777777" w:rsidTr="0032583B">
        <w:tc>
          <w:tcPr>
            <w:tcW w:w="9079" w:type="dxa"/>
          </w:tcPr>
          <w:p w14:paraId="131CC185" w14:textId="77777777" w:rsidR="0032583B" w:rsidRPr="008E7846" w:rsidRDefault="0032583B" w:rsidP="000845B1">
            <w:pPr>
              <w:pStyle w:val="Subtitle"/>
              <w:rPr>
                <w:color w:val="FFFFFF" w:themeColor="background1"/>
              </w:rPr>
            </w:pPr>
            <w:r w:rsidRPr="008E7846">
              <w:rPr>
                <w:color w:val="FFFFFF" w:themeColor="background1"/>
              </w:rPr>
              <w:t xml:space="preserve">Proprietary Product Name: </w:t>
            </w:r>
            <w:r w:rsidR="000845B1">
              <w:rPr>
                <w:color w:val="FFFFFF" w:themeColor="background1"/>
              </w:rPr>
              <w:t>Xofluza</w:t>
            </w:r>
          </w:p>
        </w:tc>
      </w:tr>
      <w:tr w:rsidR="0032583B" w:rsidRPr="00B64760" w14:paraId="7F70A0C1" w14:textId="77777777" w:rsidTr="0032583B">
        <w:trPr>
          <w:trHeight w:val="486"/>
        </w:trPr>
        <w:tc>
          <w:tcPr>
            <w:tcW w:w="9079" w:type="dxa"/>
          </w:tcPr>
          <w:p w14:paraId="0C1E3F57" w14:textId="77777777" w:rsidR="0032583B" w:rsidRPr="008E7846" w:rsidRDefault="000845B1" w:rsidP="000845B1">
            <w:pPr>
              <w:pStyle w:val="Subtitle"/>
              <w:rPr>
                <w:color w:val="FFFFFF" w:themeColor="background1"/>
              </w:rPr>
            </w:pPr>
            <w:r>
              <w:rPr>
                <w:color w:val="FFFFFF" w:themeColor="background1"/>
              </w:rPr>
              <w:t xml:space="preserve">Sponsor: </w:t>
            </w:r>
            <w:r w:rsidRPr="000845B1">
              <w:rPr>
                <w:color w:val="FFFFFF" w:themeColor="background1"/>
              </w:rPr>
              <w:t>Roche Products Pty Limited</w:t>
            </w:r>
          </w:p>
        </w:tc>
      </w:tr>
    </w:tbl>
    <w:p w14:paraId="1ED3F624" w14:textId="77777777" w:rsidR="008E7846" w:rsidRPr="0085156D" w:rsidRDefault="008E7846" w:rsidP="0085156D">
      <w:r w:rsidRPr="0085156D">
        <w:br w:type="page"/>
      </w:r>
    </w:p>
    <w:p w14:paraId="44967774" w14:textId="77777777" w:rsidR="008E7846" w:rsidRPr="001F6CBA" w:rsidRDefault="008E7846" w:rsidP="008E7846">
      <w:pPr>
        <w:pStyle w:val="NonTOCHeading2"/>
      </w:pPr>
      <w:r w:rsidRPr="001F6CBA">
        <w:lastRenderedPageBreak/>
        <w:t>About the Therapeutic Goods Administration (TGA)</w:t>
      </w:r>
    </w:p>
    <w:p w14:paraId="5B7175B4"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2ABD6F0E"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405A3ECF"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6128530E"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63072157"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2396FDF8" w14:textId="77777777" w:rsidR="008E7846" w:rsidRDefault="008E7846" w:rsidP="00875A6B">
      <w:pPr>
        <w:pStyle w:val="NonTOCHeading2"/>
      </w:pPr>
      <w:r>
        <w:t>About AusPARs</w:t>
      </w:r>
    </w:p>
    <w:p w14:paraId="7299D421"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126BE94E" w14:textId="77777777" w:rsidR="008E7846" w:rsidRDefault="008E7846" w:rsidP="008E7846">
      <w:pPr>
        <w:pStyle w:val="ListBullet"/>
        <w:numPr>
          <w:ilvl w:val="0"/>
          <w:numId w:val="3"/>
        </w:numPr>
        <w:ind w:left="357" w:hanging="357"/>
      </w:pPr>
      <w:r>
        <w:t>AusPARs are prepared and published by the TGA.</w:t>
      </w:r>
    </w:p>
    <w:p w14:paraId="50E21DCA"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0D9DC107"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7802D992"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2061A071" w14:textId="77777777" w:rsidR="00924482" w:rsidRPr="00DF1D7F" w:rsidRDefault="00924482" w:rsidP="00F54B65">
      <w:pPr>
        <w:pStyle w:val="LegalSubheading"/>
        <w:spacing w:before="3120"/>
      </w:pPr>
      <w:r w:rsidRPr="00DF1D7F">
        <w:t>Copyright</w:t>
      </w:r>
    </w:p>
    <w:p w14:paraId="5C54BFD4" w14:textId="77777777" w:rsidR="00924482" w:rsidRDefault="00924482" w:rsidP="00924482">
      <w:pPr>
        <w:pStyle w:val="LegalCopy"/>
      </w:pPr>
      <w:r w:rsidRPr="00191B3B">
        <w:rPr>
          <w:rFonts w:cs="Arial"/>
          <w:lang w:val="en-GB"/>
        </w:rPr>
        <w:t>© Comm</w:t>
      </w:r>
      <w:r w:rsidR="00C10714">
        <w:rPr>
          <w:rFonts w:cs="Arial"/>
          <w:lang w:val="en-GB"/>
        </w:rPr>
        <w:t>onwealth of Australia 2020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3A500B5F" w14:textId="77777777"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2BD10FCF" w14:textId="77777777" w:rsidR="0089635C" w:rsidRPr="0089635C" w:rsidRDefault="0089635C" w:rsidP="0010788A">
          <w:pPr>
            <w:pStyle w:val="Contents"/>
          </w:pPr>
          <w:r w:rsidRPr="0010788A">
            <w:t>Cont</w:t>
          </w:r>
          <w:bookmarkStart w:id="2" w:name="_GoBack"/>
          <w:bookmarkEnd w:id="2"/>
          <w:r w:rsidRPr="0010788A">
            <w:t>ents</w:t>
          </w:r>
        </w:p>
        <w:p w14:paraId="511F8CBC" w14:textId="57113642" w:rsidR="00A16826"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42768434" w:history="1">
            <w:r w:rsidR="00A16826" w:rsidRPr="00D72718">
              <w:rPr>
                <w:rStyle w:val="Hyperlink"/>
                <w:noProof/>
              </w:rPr>
              <w:t>Common abbreviations</w:t>
            </w:r>
            <w:r w:rsidR="00A16826">
              <w:rPr>
                <w:noProof/>
                <w:webHidden/>
              </w:rPr>
              <w:tab/>
            </w:r>
            <w:r w:rsidR="00A16826">
              <w:rPr>
                <w:noProof/>
                <w:webHidden/>
              </w:rPr>
              <w:fldChar w:fldCharType="begin"/>
            </w:r>
            <w:r w:rsidR="00A16826">
              <w:rPr>
                <w:noProof/>
                <w:webHidden/>
              </w:rPr>
              <w:instrText xml:space="preserve"> PAGEREF _Toc42768434 \h </w:instrText>
            </w:r>
            <w:r w:rsidR="00A16826">
              <w:rPr>
                <w:noProof/>
                <w:webHidden/>
              </w:rPr>
            </w:r>
            <w:r w:rsidR="00A16826">
              <w:rPr>
                <w:noProof/>
                <w:webHidden/>
              </w:rPr>
              <w:fldChar w:fldCharType="separate"/>
            </w:r>
            <w:r w:rsidR="00A16826">
              <w:rPr>
                <w:noProof/>
                <w:webHidden/>
              </w:rPr>
              <w:t>4</w:t>
            </w:r>
            <w:r w:rsidR="00A16826">
              <w:rPr>
                <w:noProof/>
                <w:webHidden/>
              </w:rPr>
              <w:fldChar w:fldCharType="end"/>
            </w:r>
          </w:hyperlink>
        </w:p>
        <w:p w14:paraId="4266FADD" w14:textId="0859B492" w:rsidR="00A16826" w:rsidRDefault="00A16826">
          <w:pPr>
            <w:pStyle w:val="TOC2"/>
            <w:rPr>
              <w:rFonts w:asciiTheme="minorHAnsi" w:eastAsiaTheme="minorEastAsia" w:hAnsiTheme="minorHAnsi" w:cstheme="minorBidi"/>
              <w:b w:val="0"/>
              <w:noProof/>
              <w:sz w:val="22"/>
              <w:lang w:eastAsia="en-AU"/>
            </w:rPr>
          </w:pPr>
          <w:hyperlink w:anchor="_Toc42768435" w:history="1">
            <w:r w:rsidRPr="00D72718">
              <w:rPr>
                <w:rStyle w:val="Hyperlink"/>
                <w:noProof/>
              </w:rPr>
              <w:t>I. Introduction to product submission</w:t>
            </w:r>
            <w:r>
              <w:rPr>
                <w:noProof/>
                <w:webHidden/>
              </w:rPr>
              <w:tab/>
            </w:r>
            <w:r>
              <w:rPr>
                <w:noProof/>
                <w:webHidden/>
              </w:rPr>
              <w:fldChar w:fldCharType="begin"/>
            </w:r>
            <w:r>
              <w:rPr>
                <w:noProof/>
                <w:webHidden/>
              </w:rPr>
              <w:instrText xml:space="preserve"> PAGEREF _Toc42768435 \h </w:instrText>
            </w:r>
            <w:r>
              <w:rPr>
                <w:noProof/>
                <w:webHidden/>
              </w:rPr>
            </w:r>
            <w:r>
              <w:rPr>
                <w:noProof/>
                <w:webHidden/>
              </w:rPr>
              <w:fldChar w:fldCharType="separate"/>
            </w:r>
            <w:r>
              <w:rPr>
                <w:noProof/>
                <w:webHidden/>
              </w:rPr>
              <w:t>6</w:t>
            </w:r>
            <w:r>
              <w:rPr>
                <w:noProof/>
                <w:webHidden/>
              </w:rPr>
              <w:fldChar w:fldCharType="end"/>
            </w:r>
          </w:hyperlink>
        </w:p>
        <w:p w14:paraId="03B2BFB7" w14:textId="66E7B899" w:rsidR="00A16826" w:rsidRDefault="00A16826">
          <w:pPr>
            <w:pStyle w:val="TOC3"/>
            <w:rPr>
              <w:rFonts w:asciiTheme="minorHAnsi" w:eastAsiaTheme="minorEastAsia" w:hAnsiTheme="minorHAnsi" w:cstheme="minorBidi"/>
              <w:noProof/>
              <w:lang w:eastAsia="en-AU"/>
            </w:rPr>
          </w:pPr>
          <w:hyperlink w:anchor="_Toc42768436" w:history="1">
            <w:r w:rsidRPr="00D72718">
              <w:rPr>
                <w:rStyle w:val="Hyperlink"/>
                <w:noProof/>
                <w:lang w:eastAsia="en-AU"/>
              </w:rPr>
              <w:t>Submission details</w:t>
            </w:r>
            <w:r>
              <w:rPr>
                <w:noProof/>
                <w:webHidden/>
              </w:rPr>
              <w:tab/>
            </w:r>
            <w:r>
              <w:rPr>
                <w:noProof/>
                <w:webHidden/>
              </w:rPr>
              <w:fldChar w:fldCharType="begin"/>
            </w:r>
            <w:r>
              <w:rPr>
                <w:noProof/>
                <w:webHidden/>
              </w:rPr>
              <w:instrText xml:space="preserve"> PAGEREF _Toc42768436 \h </w:instrText>
            </w:r>
            <w:r>
              <w:rPr>
                <w:noProof/>
                <w:webHidden/>
              </w:rPr>
            </w:r>
            <w:r>
              <w:rPr>
                <w:noProof/>
                <w:webHidden/>
              </w:rPr>
              <w:fldChar w:fldCharType="separate"/>
            </w:r>
            <w:r>
              <w:rPr>
                <w:noProof/>
                <w:webHidden/>
              </w:rPr>
              <w:t>6</w:t>
            </w:r>
            <w:r>
              <w:rPr>
                <w:noProof/>
                <w:webHidden/>
              </w:rPr>
              <w:fldChar w:fldCharType="end"/>
            </w:r>
          </w:hyperlink>
        </w:p>
        <w:p w14:paraId="7B717145" w14:textId="2FA90C14" w:rsidR="00A16826" w:rsidRDefault="00A16826">
          <w:pPr>
            <w:pStyle w:val="TOC3"/>
            <w:rPr>
              <w:rFonts w:asciiTheme="minorHAnsi" w:eastAsiaTheme="minorEastAsia" w:hAnsiTheme="minorHAnsi" w:cstheme="minorBidi"/>
              <w:noProof/>
              <w:lang w:eastAsia="en-AU"/>
            </w:rPr>
          </w:pPr>
          <w:hyperlink w:anchor="_Toc42768437" w:history="1">
            <w:r w:rsidRPr="00D72718">
              <w:rPr>
                <w:rStyle w:val="Hyperlink"/>
                <w:noProof/>
              </w:rPr>
              <w:t>Product background</w:t>
            </w:r>
            <w:r>
              <w:rPr>
                <w:noProof/>
                <w:webHidden/>
              </w:rPr>
              <w:tab/>
            </w:r>
            <w:r>
              <w:rPr>
                <w:noProof/>
                <w:webHidden/>
              </w:rPr>
              <w:fldChar w:fldCharType="begin"/>
            </w:r>
            <w:r>
              <w:rPr>
                <w:noProof/>
                <w:webHidden/>
              </w:rPr>
              <w:instrText xml:space="preserve"> PAGEREF _Toc42768437 \h </w:instrText>
            </w:r>
            <w:r>
              <w:rPr>
                <w:noProof/>
                <w:webHidden/>
              </w:rPr>
            </w:r>
            <w:r>
              <w:rPr>
                <w:noProof/>
                <w:webHidden/>
              </w:rPr>
              <w:fldChar w:fldCharType="separate"/>
            </w:r>
            <w:r>
              <w:rPr>
                <w:noProof/>
                <w:webHidden/>
              </w:rPr>
              <w:t>7</w:t>
            </w:r>
            <w:r>
              <w:rPr>
                <w:noProof/>
                <w:webHidden/>
              </w:rPr>
              <w:fldChar w:fldCharType="end"/>
            </w:r>
          </w:hyperlink>
        </w:p>
        <w:p w14:paraId="4A136132" w14:textId="318160C8" w:rsidR="00A16826" w:rsidRDefault="00A16826">
          <w:pPr>
            <w:pStyle w:val="TOC3"/>
            <w:rPr>
              <w:rFonts w:asciiTheme="minorHAnsi" w:eastAsiaTheme="minorEastAsia" w:hAnsiTheme="minorHAnsi" w:cstheme="minorBidi"/>
              <w:noProof/>
              <w:lang w:eastAsia="en-AU"/>
            </w:rPr>
          </w:pPr>
          <w:hyperlink w:anchor="_Toc42768438" w:history="1">
            <w:r w:rsidRPr="00D72718">
              <w:rPr>
                <w:rStyle w:val="Hyperlink"/>
                <w:noProof/>
              </w:rPr>
              <w:t>Regulatory status</w:t>
            </w:r>
            <w:r>
              <w:rPr>
                <w:noProof/>
                <w:webHidden/>
              </w:rPr>
              <w:tab/>
            </w:r>
            <w:r>
              <w:rPr>
                <w:noProof/>
                <w:webHidden/>
              </w:rPr>
              <w:fldChar w:fldCharType="begin"/>
            </w:r>
            <w:r>
              <w:rPr>
                <w:noProof/>
                <w:webHidden/>
              </w:rPr>
              <w:instrText xml:space="preserve"> PAGEREF _Toc42768438 \h </w:instrText>
            </w:r>
            <w:r>
              <w:rPr>
                <w:noProof/>
                <w:webHidden/>
              </w:rPr>
            </w:r>
            <w:r>
              <w:rPr>
                <w:noProof/>
                <w:webHidden/>
              </w:rPr>
              <w:fldChar w:fldCharType="separate"/>
            </w:r>
            <w:r>
              <w:rPr>
                <w:noProof/>
                <w:webHidden/>
              </w:rPr>
              <w:t>8</w:t>
            </w:r>
            <w:r>
              <w:rPr>
                <w:noProof/>
                <w:webHidden/>
              </w:rPr>
              <w:fldChar w:fldCharType="end"/>
            </w:r>
          </w:hyperlink>
        </w:p>
        <w:p w14:paraId="6484A230" w14:textId="72A9BAF0" w:rsidR="00A16826" w:rsidRDefault="00A16826">
          <w:pPr>
            <w:pStyle w:val="TOC3"/>
            <w:rPr>
              <w:rFonts w:asciiTheme="minorHAnsi" w:eastAsiaTheme="minorEastAsia" w:hAnsiTheme="minorHAnsi" w:cstheme="minorBidi"/>
              <w:noProof/>
              <w:lang w:eastAsia="en-AU"/>
            </w:rPr>
          </w:pPr>
          <w:hyperlink w:anchor="_Toc42768439" w:history="1">
            <w:r w:rsidRPr="00D72718">
              <w:rPr>
                <w:rStyle w:val="Hyperlink"/>
                <w:noProof/>
              </w:rPr>
              <w:t>Product Information</w:t>
            </w:r>
            <w:r>
              <w:rPr>
                <w:noProof/>
                <w:webHidden/>
              </w:rPr>
              <w:tab/>
            </w:r>
            <w:r>
              <w:rPr>
                <w:noProof/>
                <w:webHidden/>
              </w:rPr>
              <w:fldChar w:fldCharType="begin"/>
            </w:r>
            <w:r>
              <w:rPr>
                <w:noProof/>
                <w:webHidden/>
              </w:rPr>
              <w:instrText xml:space="preserve"> PAGEREF _Toc42768439 \h </w:instrText>
            </w:r>
            <w:r>
              <w:rPr>
                <w:noProof/>
                <w:webHidden/>
              </w:rPr>
            </w:r>
            <w:r>
              <w:rPr>
                <w:noProof/>
                <w:webHidden/>
              </w:rPr>
              <w:fldChar w:fldCharType="separate"/>
            </w:r>
            <w:r>
              <w:rPr>
                <w:noProof/>
                <w:webHidden/>
              </w:rPr>
              <w:t>8</w:t>
            </w:r>
            <w:r>
              <w:rPr>
                <w:noProof/>
                <w:webHidden/>
              </w:rPr>
              <w:fldChar w:fldCharType="end"/>
            </w:r>
          </w:hyperlink>
        </w:p>
        <w:p w14:paraId="4F4F0246" w14:textId="1BEF5683" w:rsidR="00A16826" w:rsidRDefault="00A16826">
          <w:pPr>
            <w:pStyle w:val="TOC2"/>
            <w:rPr>
              <w:rFonts w:asciiTheme="minorHAnsi" w:eastAsiaTheme="minorEastAsia" w:hAnsiTheme="minorHAnsi" w:cstheme="minorBidi"/>
              <w:b w:val="0"/>
              <w:noProof/>
              <w:sz w:val="22"/>
              <w:lang w:eastAsia="en-AU"/>
            </w:rPr>
          </w:pPr>
          <w:hyperlink w:anchor="_Toc42768440" w:history="1">
            <w:r w:rsidRPr="00D72718">
              <w:rPr>
                <w:rStyle w:val="Hyperlink"/>
                <w:noProof/>
              </w:rPr>
              <w:t>II. Registration timeline</w:t>
            </w:r>
            <w:r>
              <w:rPr>
                <w:noProof/>
                <w:webHidden/>
              </w:rPr>
              <w:tab/>
            </w:r>
            <w:r>
              <w:rPr>
                <w:noProof/>
                <w:webHidden/>
              </w:rPr>
              <w:fldChar w:fldCharType="begin"/>
            </w:r>
            <w:r>
              <w:rPr>
                <w:noProof/>
                <w:webHidden/>
              </w:rPr>
              <w:instrText xml:space="preserve"> PAGEREF _Toc42768440 \h </w:instrText>
            </w:r>
            <w:r>
              <w:rPr>
                <w:noProof/>
                <w:webHidden/>
              </w:rPr>
            </w:r>
            <w:r>
              <w:rPr>
                <w:noProof/>
                <w:webHidden/>
              </w:rPr>
              <w:fldChar w:fldCharType="separate"/>
            </w:r>
            <w:r>
              <w:rPr>
                <w:noProof/>
                <w:webHidden/>
              </w:rPr>
              <w:t>9</w:t>
            </w:r>
            <w:r>
              <w:rPr>
                <w:noProof/>
                <w:webHidden/>
              </w:rPr>
              <w:fldChar w:fldCharType="end"/>
            </w:r>
          </w:hyperlink>
        </w:p>
        <w:p w14:paraId="2517146B" w14:textId="1A52239F" w:rsidR="00A16826" w:rsidRDefault="00A16826">
          <w:pPr>
            <w:pStyle w:val="TOC2"/>
            <w:rPr>
              <w:rFonts w:asciiTheme="minorHAnsi" w:eastAsiaTheme="minorEastAsia" w:hAnsiTheme="minorHAnsi" w:cstheme="minorBidi"/>
              <w:b w:val="0"/>
              <w:noProof/>
              <w:sz w:val="22"/>
              <w:lang w:eastAsia="en-AU"/>
            </w:rPr>
          </w:pPr>
          <w:hyperlink w:anchor="_Toc42768441" w:history="1">
            <w:r w:rsidRPr="00D72718">
              <w:rPr>
                <w:rStyle w:val="Hyperlink"/>
                <w:noProof/>
              </w:rPr>
              <w:t>III. Submission overview and risk/benefit assessment</w:t>
            </w:r>
            <w:r>
              <w:rPr>
                <w:noProof/>
                <w:webHidden/>
              </w:rPr>
              <w:tab/>
            </w:r>
            <w:r>
              <w:rPr>
                <w:noProof/>
                <w:webHidden/>
              </w:rPr>
              <w:fldChar w:fldCharType="begin"/>
            </w:r>
            <w:r>
              <w:rPr>
                <w:noProof/>
                <w:webHidden/>
              </w:rPr>
              <w:instrText xml:space="preserve"> PAGEREF _Toc42768441 \h </w:instrText>
            </w:r>
            <w:r>
              <w:rPr>
                <w:noProof/>
                <w:webHidden/>
              </w:rPr>
            </w:r>
            <w:r>
              <w:rPr>
                <w:noProof/>
                <w:webHidden/>
              </w:rPr>
              <w:fldChar w:fldCharType="separate"/>
            </w:r>
            <w:r>
              <w:rPr>
                <w:noProof/>
                <w:webHidden/>
              </w:rPr>
              <w:t>9</w:t>
            </w:r>
            <w:r>
              <w:rPr>
                <w:noProof/>
                <w:webHidden/>
              </w:rPr>
              <w:fldChar w:fldCharType="end"/>
            </w:r>
          </w:hyperlink>
        </w:p>
        <w:p w14:paraId="01771050" w14:textId="2B9F6518" w:rsidR="00A16826" w:rsidRDefault="00A16826">
          <w:pPr>
            <w:pStyle w:val="TOC3"/>
            <w:rPr>
              <w:rFonts w:asciiTheme="minorHAnsi" w:eastAsiaTheme="minorEastAsia" w:hAnsiTheme="minorHAnsi" w:cstheme="minorBidi"/>
              <w:noProof/>
              <w:lang w:eastAsia="en-AU"/>
            </w:rPr>
          </w:pPr>
          <w:hyperlink w:anchor="_Toc42768442" w:history="1">
            <w:r w:rsidRPr="00D72718">
              <w:rPr>
                <w:rStyle w:val="Hyperlink"/>
                <w:noProof/>
              </w:rPr>
              <w:t>Quality</w:t>
            </w:r>
            <w:r>
              <w:rPr>
                <w:noProof/>
                <w:webHidden/>
              </w:rPr>
              <w:tab/>
            </w:r>
            <w:r>
              <w:rPr>
                <w:noProof/>
                <w:webHidden/>
              </w:rPr>
              <w:fldChar w:fldCharType="begin"/>
            </w:r>
            <w:r>
              <w:rPr>
                <w:noProof/>
                <w:webHidden/>
              </w:rPr>
              <w:instrText xml:space="preserve"> PAGEREF _Toc42768442 \h </w:instrText>
            </w:r>
            <w:r>
              <w:rPr>
                <w:noProof/>
                <w:webHidden/>
              </w:rPr>
            </w:r>
            <w:r>
              <w:rPr>
                <w:noProof/>
                <w:webHidden/>
              </w:rPr>
              <w:fldChar w:fldCharType="separate"/>
            </w:r>
            <w:r>
              <w:rPr>
                <w:noProof/>
                <w:webHidden/>
              </w:rPr>
              <w:t>9</w:t>
            </w:r>
            <w:r>
              <w:rPr>
                <w:noProof/>
                <w:webHidden/>
              </w:rPr>
              <w:fldChar w:fldCharType="end"/>
            </w:r>
          </w:hyperlink>
        </w:p>
        <w:p w14:paraId="4FB96C75" w14:textId="52627DFA" w:rsidR="00A16826" w:rsidRDefault="00A16826">
          <w:pPr>
            <w:pStyle w:val="TOC3"/>
            <w:rPr>
              <w:rFonts w:asciiTheme="minorHAnsi" w:eastAsiaTheme="minorEastAsia" w:hAnsiTheme="minorHAnsi" w:cstheme="minorBidi"/>
              <w:noProof/>
              <w:lang w:eastAsia="en-AU"/>
            </w:rPr>
          </w:pPr>
          <w:hyperlink w:anchor="_Toc42768443" w:history="1">
            <w:r w:rsidRPr="00D72718">
              <w:rPr>
                <w:rStyle w:val="Hyperlink"/>
                <w:noProof/>
              </w:rPr>
              <w:t>Nonclinical</w:t>
            </w:r>
            <w:r>
              <w:rPr>
                <w:noProof/>
                <w:webHidden/>
              </w:rPr>
              <w:tab/>
            </w:r>
            <w:r>
              <w:rPr>
                <w:noProof/>
                <w:webHidden/>
              </w:rPr>
              <w:fldChar w:fldCharType="begin"/>
            </w:r>
            <w:r>
              <w:rPr>
                <w:noProof/>
                <w:webHidden/>
              </w:rPr>
              <w:instrText xml:space="preserve"> PAGEREF _Toc42768443 \h </w:instrText>
            </w:r>
            <w:r>
              <w:rPr>
                <w:noProof/>
                <w:webHidden/>
              </w:rPr>
            </w:r>
            <w:r>
              <w:rPr>
                <w:noProof/>
                <w:webHidden/>
              </w:rPr>
              <w:fldChar w:fldCharType="separate"/>
            </w:r>
            <w:r>
              <w:rPr>
                <w:noProof/>
                <w:webHidden/>
              </w:rPr>
              <w:t>11</w:t>
            </w:r>
            <w:r>
              <w:rPr>
                <w:noProof/>
                <w:webHidden/>
              </w:rPr>
              <w:fldChar w:fldCharType="end"/>
            </w:r>
          </w:hyperlink>
        </w:p>
        <w:p w14:paraId="1782A278" w14:textId="1AB094A2" w:rsidR="00A16826" w:rsidRDefault="00A16826">
          <w:pPr>
            <w:pStyle w:val="TOC3"/>
            <w:rPr>
              <w:rFonts w:asciiTheme="minorHAnsi" w:eastAsiaTheme="minorEastAsia" w:hAnsiTheme="minorHAnsi" w:cstheme="minorBidi"/>
              <w:noProof/>
              <w:lang w:eastAsia="en-AU"/>
            </w:rPr>
          </w:pPr>
          <w:hyperlink w:anchor="_Toc42768444" w:history="1">
            <w:r w:rsidRPr="00D72718">
              <w:rPr>
                <w:rStyle w:val="Hyperlink"/>
                <w:noProof/>
              </w:rPr>
              <w:t>Clinical</w:t>
            </w:r>
            <w:r>
              <w:rPr>
                <w:noProof/>
                <w:webHidden/>
              </w:rPr>
              <w:tab/>
            </w:r>
            <w:r>
              <w:rPr>
                <w:noProof/>
                <w:webHidden/>
              </w:rPr>
              <w:fldChar w:fldCharType="begin"/>
            </w:r>
            <w:r>
              <w:rPr>
                <w:noProof/>
                <w:webHidden/>
              </w:rPr>
              <w:instrText xml:space="preserve"> PAGEREF _Toc42768444 \h </w:instrText>
            </w:r>
            <w:r>
              <w:rPr>
                <w:noProof/>
                <w:webHidden/>
              </w:rPr>
            </w:r>
            <w:r>
              <w:rPr>
                <w:noProof/>
                <w:webHidden/>
              </w:rPr>
              <w:fldChar w:fldCharType="separate"/>
            </w:r>
            <w:r>
              <w:rPr>
                <w:noProof/>
                <w:webHidden/>
              </w:rPr>
              <w:t>12</w:t>
            </w:r>
            <w:r>
              <w:rPr>
                <w:noProof/>
                <w:webHidden/>
              </w:rPr>
              <w:fldChar w:fldCharType="end"/>
            </w:r>
          </w:hyperlink>
        </w:p>
        <w:p w14:paraId="099F8BFF" w14:textId="3392A989" w:rsidR="00A16826" w:rsidRDefault="00A16826">
          <w:pPr>
            <w:pStyle w:val="TOC3"/>
            <w:rPr>
              <w:rFonts w:asciiTheme="minorHAnsi" w:eastAsiaTheme="minorEastAsia" w:hAnsiTheme="minorHAnsi" w:cstheme="minorBidi"/>
              <w:noProof/>
              <w:lang w:eastAsia="en-AU"/>
            </w:rPr>
          </w:pPr>
          <w:hyperlink w:anchor="_Toc42768445" w:history="1">
            <w:r w:rsidRPr="00D72718">
              <w:rPr>
                <w:rStyle w:val="Hyperlink"/>
                <w:noProof/>
                <w:lang w:eastAsia="en-AU"/>
              </w:rPr>
              <w:t>Risk management plan</w:t>
            </w:r>
            <w:r>
              <w:rPr>
                <w:noProof/>
                <w:webHidden/>
              </w:rPr>
              <w:tab/>
            </w:r>
            <w:r>
              <w:rPr>
                <w:noProof/>
                <w:webHidden/>
              </w:rPr>
              <w:fldChar w:fldCharType="begin"/>
            </w:r>
            <w:r>
              <w:rPr>
                <w:noProof/>
                <w:webHidden/>
              </w:rPr>
              <w:instrText xml:space="preserve"> PAGEREF _Toc42768445 \h </w:instrText>
            </w:r>
            <w:r>
              <w:rPr>
                <w:noProof/>
                <w:webHidden/>
              </w:rPr>
            </w:r>
            <w:r>
              <w:rPr>
                <w:noProof/>
                <w:webHidden/>
              </w:rPr>
              <w:fldChar w:fldCharType="separate"/>
            </w:r>
            <w:r>
              <w:rPr>
                <w:noProof/>
                <w:webHidden/>
              </w:rPr>
              <w:t>22</w:t>
            </w:r>
            <w:r>
              <w:rPr>
                <w:noProof/>
                <w:webHidden/>
              </w:rPr>
              <w:fldChar w:fldCharType="end"/>
            </w:r>
          </w:hyperlink>
        </w:p>
        <w:p w14:paraId="48CA642B" w14:textId="5F1198C8" w:rsidR="00A16826" w:rsidRDefault="00A16826">
          <w:pPr>
            <w:pStyle w:val="TOC3"/>
            <w:rPr>
              <w:rFonts w:asciiTheme="minorHAnsi" w:eastAsiaTheme="minorEastAsia" w:hAnsiTheme="minorHAnsi" w:cstheme="minorBidi"/>
              <w:noProof/>
              <w:lang w:eastAsia="en-AU"/>
            </w:rPr>
          </w:pPr>
          <w:hyperlink w:anchor="_Toc42768446" w:history="1">
            <w:r w:rsidRPr="00D72718">
              <w:rPr>
                <w:rStyle w:val="Hyperlink"/>
                <w:noProof/>
              </w:rPr>
              <w:t>Risk-benefit analysis</w:t>
            </w:r>
            <w:r>
              <w:rPr>
                <w:noProof/>
                <w:webHidden/>
              </w:rPr>
              <w:tab/>
            </w:r>
            <w:r>
              <w:rPr>
                <w:noProof/>
                <w:webHidden/>
              </w:rPr>
              <w:fldChar w:fldCharType="begin"/>
            </w:r>
            <w:r>
              <w:rPr>
                <w:noProof/>
                <w:webHidden/>
              </w:rPr>
              <w:instrText xml:space="preserve"> PAGEREF _Toc42768446 \h </w:instrText>
            </w:r>
            <w:r>
              <w:rPr>
                <w:noProof/>
                <w:webHidden/>
              </w:rPr>
            </w:r>
            <w:r>
              <w:rPr>
                <w:noProof/>
                <w:webHidden/>
              </w:rPr>
              <w:fldChar w:fldCharType="separate"/>
            </w:r>
            <w:r>
              <w:rPr>
                <w:noProof/>
                <w:webHidden/>
              </w:rPr>
              <w:t>23</w:t>
            </w:r>
            <w:r>
              <w:rPr>
                <w:noProof/>
                <w:webHidden/>
              </w:rPr>
              <w:fldChar w:fldCharType="end"/>
            </w:r>
          </w:hyperlink>
        </w:p>
        <w:p w14:paraId="177197BF" w14:textId="047EFDDE" w:rsidR="00A16826" w:rsidRDefault="00A16826">
          <w:pPr>
            <w:pStyle w:val="TOC3"/>
            <w:rPr>
              <w:rFonts w:asciiTheme="minorHAnsi" w:eastAsiaTheme="minorEastAsia" w:hAnsiTheme="minorHAnsi" w:cstheme="minorBidi"/>
              <w:noProof/>
              <w:lang w:eastAsia="en-AU"/>
            </w:rPr>
          </w:pPr>
          <w:hyperlink w:anchor="_Toc42768447" w:history="1">
            <w:r w:rsidRPr="00D72718">
              <w:rPr>
                <w:rStyle w:val="Hyperlink"/>
                <w:noProof/>
              </w:rPr>
              <w:t>Outcome</w:t>
            </w:r>
            <w:r>
              <w:rPr>
                <w:noProof/>
                <w:webHidden/>
              </w:rPr>
              <w:tab/>
            </w:r>
            <w:r>
              <w:rPr>
                <w:noProof/>
                <w:webHidden/>
              </w:rPr>
              <w:fldChar w:fldCharType="begin"/>
            </w:r>
            <w:r>
              <w:rPr>
                <w:noProof/>
                <w:webHidden/>
              </w:rPr>
              <w:instrText xml:space="preserve"> PAGEREF _Toc42768447 \h </w:instrText>
            </w:r>
            <w:r>
              <w:rPr>
                <w:noProof/>
                <w:webHidden/>
              </w:rPr>
            </w:r>
            <w:r>
              <w:rPr>
                <w:noProof/>
                <w:webHidden/>
              </w:rPr>
              <w:fldChar w:fldCharType="separate"/>
            </w:r>
            <w:r>
              <w:rPr>
                <w:noProof/>
                <w:webHidden/>
              </w:rPr>
              <w:t>25</w:t>
            </w:r>
            <w:r>
              <w:rPr>
                <w:noProof/>
                <w:webHidden/>
              </w:rPr>
              <w:fldChar w:fldCharType="end"/>
            </w:r>
          </w:hyperlink>
        </w:p>
        <w:p w14:paraId="7BD730DB" w14:textId="7F15538E" w:rsidR="00A16826" w:rsidRDefault="00A16826">
          <w:pPr>
            <w:pStyle w:val="TOC2"/>
            <w:rPr>
              <w:rFonts w:asciiTheme="minorHAnsi" w:eastAsiaTheme="minorEastAsia" w:hAnsiTheme="minorHAnsi" w:cstheme="minorBidi"/>
              <w:b w:val="0"/>
              <w:noProof/>
              <w:sz w:val="22"/>
              <w:lang w:eastAsia="en-AU"/>
            </w:rPr>
          </w:pPr>
          <w:hyperlink w:anchor="_Toc42768448" w:history="1">
            <w:r w:rsidRPr="00D72718">
              <w:rPr>
                <w:rStyle w:val="Hyperlink"/>
                <w:noProof/>
              </w:rPr>
              <w:t>Attachment 1. Product Information</w:t>
            </w:r>
            <w:r>
              <w:rPr>
                <w:noProof/>
                <w:webHidden/>
              </w:rPr>
              <w:tab/>
            </w:r>
            <w:r>
              <w:rPr>
                <w:noProof/>
                <w:webHidden/>
              </w:rPr>
              <w:fldChar w:fldCharType="begin"/>
            </w:r>
            <w:r>
              <w:rPr>
                <w:noProof/>
                <w:webHidden/>
              </w:rPr>
              <w:instrText xml:space="preserve"> PAGEREF _Toc42768448 \h </w:instrText>
            </w:r>
            <w:r>
              <w:rPr>
                <w:noProof/>
                <w:webHidden/>
              </w:rPr>
            </w:r>
            <w:r>
              <w:rPr>
                <w:noProof/>
                <w:webHidden/>
              </w:rPr>
              <w:fldChar w:fldCharType="separate"/>
            </w:r>
            <w:r>
              <w:rPr>
                <w:noProof/>
                <w:webHidden/>
              </w:rPr>
              <w:t>26</w:t>
            </w:r>
            <w:r>
              <w:rPr>
                <w:noProof/>
                <w:webHidden/>
              </w:rPr>
              <w:fldChar w:fldCharType="end"/>
            </w:r>
          </w:hyperlink>
        </w:p>
        <w:p w14:paraId="76948E7B" w14:textId="2B860FF9" w:rsidR="003A7F6C" w:rsidRPr="00B811C6" w:rsidRDefault="00960520" w:rsidP="00B811C6">
          <w:pPr>
            <w:pStyle w:val="TOC2"/>
          </w:pPr>
          <w:r>
            <w:fldChar w:fldCharType="end"/>
          </w:r>
        </w:p>
      </w:sdtContent>
    </w:sdt>
    <w:bookmarkStart w:id="3" w:name="_Toc314842482" w:displacedByCustomXml="prev"/>
    <w:p w14:paraId="3C2B0E41" w14:textId="77777777" w:rsidR="00FD119B" w:rsidRDefault="00FD119B">
      <w:pPr>
        <w:spacing w:before="0" w:after="200" w:line="0" w:lineRule="auto"/>
      </w:pPr>
      <w:r>
        <w:br w:type="page"/>
      </w:r>
    </w:p>
    <w:p w14:paraId="5ACE99F8" w14:textId="77777777" w:rsidR="00C52E24" w:rsidRPr="00C52E24" w:rsidRDefault="00441C3F" w:rsidP="00F772CE">
      <w:pPr>
        <w:pStyle w:val="Heading2"/>
      </w:pPr>
      <w:bookmarkStart w:id="4" w:name="_Toc351716269"/>
      <w:bookmarkStart w:id="5" w:name="_Toc351718881"/>
      <w:bookmarkStart w:id="6" w:name="_Toc355338616"/>
      <w:bookmarkStart w:id="7" w:name="_Toc356306144"/>
      <w:bookmarkStart w:id="8" w:name="_Toc42768434"/>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795"/>
        <w:gridCol w:w="6689"/>
      </w:tblGrid>
      <w:tr w:rsidR="00FD119B" w:rsidRPr="00F772CE" w14:paraId="20D3CA26"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42F5AE70" w14:textId="77777777" w:rsidR="00FD119B" w:rsidRPr="00F772CE" w:rsidRDefault="00FD119B" w:rsidP="00F772CE">
            <w:pPr>
              <w:keepNext w:val="0"/>
              <w:ind w:left="0" w:right="0"/>
              <w:rPr>
                <w:szCs w:val="22"/>
                <w:lang w:eastAsia="en-US"/>
              </w:rPr>
            </w:pPr>
            <w:r w:rsidRPr="00F772CE">
              <w:rPr>
                <w:szCs w:val="22"/>
                <w:lang w:eastAsia="en-US"/>
              </w:rPr>
              <w:t>Abbreviation</w:t>
            </w:r>
          </w:p>
        </w:tc>
        <w:tc>
          <w:tcPr>
            <w:tcW w:w="6911" w:type="dxa"/>
          </w:tcPr>
          <w:p w14:paraId="6631D561" w14:textId="77777777" w:rsidR="00FD119B" w:rsidRPr="00F772CE" w:rsidRDefault="00FD119B" w:rsidP="00F772CE">
            <w:pPr>
              <w:keepNext w:val="0"/>
              <w:ind w:left="0" w:right="0"/>
              <w:rPr>
                <w:szCs w:val="22"/>
                <w:lang w:eastAsia="en-US"/>
              </w:rPr>
            </w:pPr>
            <w:r w:rsidRPr="00F772CE">
              <w:rPr>
                <w:szCs w:val="22"/>
                <w:lang w:eastAsia="en-US"/>
              </w:rPr>
              <w:t>Meaning</w:t>
            </w:r>
          </w:p>
        </w:tc>
      </w:tr>
      <w:tr w:rsidR="00F772CE" w:rsidRPr="00F772CE" w14:paraId="562B22A0" w14:textId="77777777" w:rsidTr="00FD119B">
        <w:tc>
          <w:tcPr>
            <w:tcW w:w="1809" w:type="dxa"/>
          </w:tcPr>
          <w:p w14:paraId="7EC15C88" w14:textId="77777777" w:rsidR="00F772CE" w:rsidRPr="00F772CE" w:rsidRDefault="00F772CE" w:rsidP="00F772CE">
            <w:pPr>
              <w:ind w:right="0"/>
              <w:rPr>
                <w:szCs w:val="22"/>
              </w:rPr>
            </w:pPr>
            <w:r w:rsidRPr="00F772CE">
              <w:rPr>
                <w:szCs w:val="22"/>
              </w:rPr>
              <w:t>AE</w:t>
            </w:r>
          </w:p>
        </w:tc>
        <w:tc>
          <w:tcPr>
            <w:tcW w:w="6911" w:type="dxa"/>
          </w:tcPr>
          <w:p w14:paraId="5B07D2B4" w14:textId="77777777" w:rsidR="00F772CE" w:rsidRPr="00F772CE" w:rsidRDefault="00F772CE" w:rsidP="00F772CE">
            <w:pPr>
              <w:rPr>
                <w:szCs w:val="22"/>
              </w:rPr>
            </w:pPr>
            <w:r w:rsidRPr="00F772CE">
              <w:rPr>
                <w:szCs w:val="22"/>
              </w:rPr>
              <w:t>Adverse event</w:t>
            </w:r>
          </w:p>
        </w:tc>
      </w:tr>
      <w:tr w:rsidR="005C7576" w:rsidRPr="00F772CE" w14:paraId="7B050361" w14:textId="77777777" w:rsidTr="00FD119B">
        <w:tc>
          <w:tcPr>
            <w:tcW w:w="1809" w:type="dxa"/>
          </w:tcPr>
          <w:p w14:paraId="6ADD073B" w14:textId="51FB7C84" w:rsidR="005C7576" w:rsidRPr="00F772CE" w:rsidRDefault="005C7576" w:rsidP="00F772CE">
            <w:r>
              <w:t>AGEP</w:t>
            </w:r>
          </w:p>
        </w:tc>
        <w:tc>
          <w:tcPr>
            <w:tcW w:w="6911" w:type="dxa"/>
          </w:tcPr>
          <w:p w14:paraId="3C6B4A0F" w14:textId="1D975A88" w:rsidR="005C7576" w:rsidRPr="00F772CE" w:rsidRDefault="005C7576" w:rsidP="005C7576">
            <w:r>
              <w:t>A</w:t>
            </w:r>
            <w:r w:rsidRPr="00C249D3">
              <w:t xml:space="preserve">cute generalised </w:t>
            </w:r>
            <w:proofErr w:type="spellStart"/>
            <w:r w:rsidRPr="00C249D3">
              <w:t>e</w:t>
            </w:r>
            <w:r>
              <w:t>xanthematous</w:t>
            </w:r>
            <w:proofErr w:type="spellEnd"/>
            <w:r>
              <w:t xml:space="preserve"> </w:t>
            </w:r>
            <w:proofErr w:type="spellStart"/>
            <w:r>
              <w:t>pustulosis</w:t>
            </w:r>
            <w:proofErr w:type="spellEnd"/>
          </w:p>
        </w:tc>
      </w:tr>
      <w:tr w:rsidR="00850898" w:rsidRPr="00F772CE" w14:paraId="24F5159A" w14:textId="77777777" w:rsidTr="00FD119B">
        <w:tc>
          <w:tcPr>
            <w:tcW w:w="1809" w:type="dxa"/>
          </w:tcPr>
          <w:p w14:paraId="18B43BEE" w14:textId="0512A5E8" w:rsidR="00850898" w:rsidRPr="00F772CE" w:rsidRDefault="00850898" w:rsidP="00F772CE">
            <w:r>
              <w:t>ASA</w:t>
            </w:r>
          </w:p>
        </w:tc>
        <w:tc>
          <w:tcPr>
            <w:tcW w:w="6911" w:type="dxa"/>
          </w:tcPr>
          <w:p w14:paraId="556BD5C7" w14:textId="49318235" w:rsidR="00850898" w:rsidRPr="00F772CE" w:rsidRDefault="00850898" w:rsidP="00F772CE">
            <w:pPr>
              <w:rPr>
                <w:rFonts w:cs="TimesNewRoman"/>
                <w:bCs/>
              </w:rPr>
            </w:pPr>
            <w:r>
              <w:t>Australian specific Annex</w:t>
            </w:r>
          </w:p>
        </w:tc>
      </w:tr>
      <w:tr w:rsidR="00F772CE" w:rsidRPr="00F772CE" w14:paraId="3684BCE3" w14:textId="77777777" w:rsidTr="00FD119B">
        <w:tc>
          <w:tcPr>
            <w:tcW w:w="1809" w:type="dxa"/>
          </w:tcPr>
          <w:p w14:paraId="2B48D214" w14:textId="77777777" w:rsidR="00F772CE" w:rsidRPr="00F772CE" w:rsidRDefault="00F772CE" w:rsidP="00F772CE">
            <w:pPr>
              <w:ind w:right="0"/>
              <w:rPr>
                <w:szCs w:val="22"/>
              </w:rPr>
            </w:pPr>
            <w:r w:rsidRPr="00F772CE">
              <w:rPr>
                <w:szCs w:val="22"/>
              </w:rPr>
              <w:t>AUC</w:t>
            </w:r>
          </w:p>
        </w:tc>
        <w:tc>
          <w:tcPr>
            <w:tcW w:w="6911" w:type="dxa"/>
          </w:tcPr>
          <w:p w14:paraId="23B01E3D" w14:textId="77777777" w:rsidR="00F772CE" w:rsidRPr="00F772CE" w:rsidRDefault="00F772CE" w:rsidP="00F772CE">
            <w:pPr>
              <w:rPr>
                <w:rFonts w:cs="TimesNewRoman"/>
                <w:bCs/>
                <w:szCs w:val="22"/>
              </w:rPr>
            </w:pPr>
            <w:r w:rsidRPr="00F772CE">
              <w:rPr>
                <w:rFonts w:cs="TimesNewRoman"/>
                <w:bCs/>
                <w:szCs w:val="22"/>
              </w:rPr>
              <w:t>Area under the concentration-time curve</w:t>
            </w:r>
          </w:p>
        </w:tc>
      </w:tr>
      <w:tr w:rsidR="0089696C" w:rsidRPr="00F772CE" w14:paraId="6B4A25C1" w14:textId="77777777" w:rsidTr="00FD119B">
        <w:tc>
          <w:tcPr>
            <w:tcW w:w="1809" w:type="dxa"/>
          </w:tcPr>
          <w:p w14:paraId="1D4F292F" w14:textId="77777777" w:rsidR="0089696C" w:rsidRPr="00F772CE" w:rsidRDefault="0089696C" w:rsidP="00F772CE">
            <w:r w:rsidRPr="0089696C">
              <w:t>AUC</w:t>
            </w:r>
            <w:r w:rsidRPr="0089696C">
              <w:rPr>
                <w:vertAlign w:val="subscript"/>
              </w:rPr>
              <w:t>0-72</w:t>
            </w:r>
          </w:p>
        </w:tc>
        <w:tc>
          <w:tcPr>
            <w:tcW w:w="6911" w:type="dxa"/>
          </w:tcPr>
          <w:p w14:paraId="00EBA5F4" w14:textId="56F79681" w:rsidR="0089696C" w:rsidRPr="00F772CE" w:rsidRDefault="0089696C" w:rsidP="0089696C">
            <w:pPr>
              <w:autoSpaceDE w:val="0"/>
              <w:autoSpaceDN w:val="0"/>
              <w:adjustRightInd w:val="0"/>
              <w:rPr>
                <w:rFonts w:eastAsiaTheme="minorHAnsi" w:cs="TimesNewRoman"/>
              </w:rPr>
            </w:pPr>
            <w:r>
              <w:rPr>
                <w:rFonts w:eastAsiaTheme="minorHAnsi" w:cs="TimesNewRoman"/>
              </w:rPr>
              <w:t>A</w:t>
            </w:r>
            <w:r w:rsidRPr="00F772CE">
              <w:rPr>
                <w:rFonts w:eastAsiaTheme="minorHAnsi" w:cs="TimesNewRoman"/>
                <w:szCs w:val="22"/>
              </w:rPr>
              <w:t>rea under the plasma concent</w:t>
            </w:r>
            <w:r>
              <w:rPr>
                <w:rFonts w:eastAsiaTheme="minorHAnsi" w:cs="TimesNewRoman"/>
              </w:rPr>
              <w:t>ration-time curve from time 0</w:t>
            </w:r>
            <w:r w:rsidRPr="00F772CE">
              <w:rPr>
                <w:rFonts w:eastAsiaTheme="minorHAnsi" w:cs="TimesNewRoman"/>
                <w:szCs w:val="22"/>
              </w:rPr>
              <w:t xml:space="preserve"> to </w:t>
            </w:r>
            <w:r>
              <w:rPr>
                <w:rFonts w:eastAsiaTheme="minorHAnsi" w:cs="TimesNewRoman"/>
              </w:rPr>
              <w:t>72</w:t>
            </w:r>
            <w:r w:rsidR="00000790">
              <w:rPr>
                <w:rFonts w:eastAsiaTheme="minorHAnsi" w:cs="TimesNewRoman"/>
              </w:rPr>
              <w:t> </w:t>
            </w:r>
            <w:r>
              <w:rPr>
                <w:rFonts w:eastAsiaTheme="minorHAnsi" w:cs="TimesNewRoman"/>
              </w:rPr>
              <w:t>hours</w:t>
            </w:r>
          </w:p>
        </w:tc>
      </w:tr>
      <w:tr w:rsidR="00F772CE" w:rsidRPr="00F772CE" w14:paraId="757B0792" w14:textId="77777777" w:rsidTr="00FD119B">
        <w:tc>
          <w:tcPr>
            <w:tcW w:w="1809" w:type="dxa"/>
          </w:tcPr>
          <w:p w14:paraId="16974C16" w14:textId="77777777" w:rsidR="00F772CE" w:rsidRPr="00F772CE" w:rsidRDefault="00F772CE" w:rsidP="00F772CE">
            <w:pPr>
              <w:ind w:right="0"/>
              <w:rPr>
                <w:szCs w:val="22"/>
              </w:rPr>
            </w:pPr>
            <w:r w:rsidRPr="00F772CE">
              <w:rPr>
                <w:szCs w:val="22"/>
              </w:rPr>
              <w:t>AUC</w:t>
            </w:r>
            <w:r w:rsidRPr="00F772CE">
              <w:rPr>
                <w:szCs w:val="22"/>
                <w:vertAlign w:val="subscript"/>
              </w:rPr>
              <w:t>0-inf</w:t>
            </w:r>
          </w:p>
        </w:tc>
        <w:tc>
          <w:tcPr>
            <w:tcW w:w="6911" w:type="dxa"/>
          </w:tcPr>
          <w:p w14:paraId="454EA775" w14:textId="77777777" w:rsidR="00F772CE" w:rsidRPr="00F772CE" w:rsidRDefault="00F772CE" w:rsidP="00F772CE">
            <w:pPr>
              <w:autoSpaceDE w:val="0"/>
              <w:autoSpaceDN w:val="0"/>
              <w:adjustRightInd w:val="0"/>
              <w:rPr>
                <w:szCs w:val="22"/>
              </w:rPr>
            </w:pPr>
            <w:r w:rsidRPr="00F772CE">
              <w:rPr>
                <w:rFonts w:eastAsiaTheme="minorHAnsi" w:cs="TimesNewRoman"/>
                <w:szCs w:val="22"/>
              </w:rPr>
              <w:t>Area under the plasma concentration-time curve extrapolated from time zero to infinity</w:t>
            </w:r>
          </w:p>
        </w:tc>
      </w:tr>
      <w:tr w:rsidR="00AD71E0" w:rsidRPr="00F772CE" w14:paraId="2958C0A7" w14:textId="77777777" w:rsidTr="00FD119B">
        <w:tc>
          <w:tcPr>
            <w:tcW w:w="1809" w:type="dxa"/>
          </w:tcPr>
          <w:p w14:paraId="68E076D2" w14:textId="77777777" w:rsidR="00AD71E0" w:rsidRPr="00F772CE" w:rsidRDefault="00AD71E0" w:rsidP="00F772CE">
            <w:r>
              <w:t>BE</w:t>
            </w:r>
          </w:p>
        </w:tc>
        <w:tc>
          <w:tcPr>
            <w:tcW w:w="6911" w:type="dxa"/>
          </w:tcPr>
          <w:p w14:paraId="063B3B25" w14:textId="77777777" w:rsidR="00AD71E0" w:rsidRPr="00F772CE" w:rsidRDefault="00AD71E0" w:rsidP="00F772CE">
            <w:pPr>
              <w:rPr>
                <w:bCs/>
              </w:rPr>
            </w:pPr>
            <w:r>
              <w:t>Bioequivalence</w:t>
            </w:r>
          </w:p>
        </w:tc>
      </w:tr>
      <w:tr w:rsidR="00F772CE" w:rsidRPr="00F772CE" w14:paraId="01FF8BE3" w14:textId="77777777" w:rsidTr="00FD119B">
        <w:tc>
          <w:tcPr>
            <w:tcW w:w="1809" w:type="dxa"/>
          </w:tcPr>
          <w:p w14:paraId="4CE381B6" w14:textId="77777777" w:rsidR="00F772CE" w:rsidRPr="00F772CE" w:rsidRDefault="00F772CE" w:rsidP="00F772CE">
            <w:pPr>
              <w:ind w:right="0"/>
              <w:rPr>
                <w:szCs w:val="22"/>
              </w:rPr>
            </w:pPr>
            <w:r w:rsidRPr="00F772CE">
              <w:rPr>
                <w:szCs w:val="22"/>
              </w:rPr>
              <w:t>B</w:t>
            </w:r>
            <w:r w:rsidR="00AD27A1">
              <w:rPr>
                <w:szCs w:val="22"/>
              </w:rPr>
              <w:t>I</w:t>
            </w:r>
            <w:r w:rsidRPr="00F772CE">
              <w:rPr>
                <w:szCs w:val="22"/>
              </w:rPr>
              <w:t>D</w:t>
            </w:r>
          </w:p>
        </w:tc>
        <w:tc>
          <w:tcPr>
            <w:tcW w:w="6911" w:type="dxa"/>
          </w:tcPr>
          <w:p w14:paraId="4EF4020D" w14:textId="77777777" w:rsidR="00F772CE" w:rsidRPr="00F772CE" w:rsidRDefault="00F772CE" w:rsidP="00F772CE">
            <w:pPr>
              <w:rPr>
                <w:szCs w:val="22"/>
              </w:rPr>
            </w:pPr>
            <w:r w:rsidRPr="00F772CE">
              <w:rPr>
                <w:szCs w:val="22"/>
              </w:rPr>
              <w:t>Twice daily</w:t>
            </w:r>
          </w:p>
        </w:tc>
      </w:tr>
      <w:tr w:rsidR="00525B91" w:rsidRPr="00F772CE" w14:paraId="51A883E1" w14:textId="77777777" w:rsidTr="00FD119B">
        <w:tc>
          <w:tcPr>
            <w:tcW w:w="1809" w:type="dxa"/>
          </w:tcPr>
          <w:p w14:paraId="6F9A719C" w14:textId="0B3C1AA9" w:rsidR="00525B91" w:rsidRPr="00F772CE" w:rsidRDefault="00525B91" w:rsidP="00F772CE">
            <w:proofErr w:type="spellStart"/>
            <w:r>
              <w:t>Bxm</w:t>
            </w:r>
            <w:proofErr w:type="spellEnd"/>
          </w:p>
        </w:tc>
        <w:tc>
          <w:tcPr>
            <w:tcW w:w="6911" w:type="dxa"/>
          </w:tcPr>
          <w:p w14:paraId="13056962" w14:textId="0115A5B0" w:rsidR="00525B91" w:rsidRPr="00F772CE" w:rsidRDefault="00525B91" w:rsidP="00F772CE">
            <w:r>
              <w:t>B</w:t>
            </w:r>
            <w:r w:rsidRPr="00C10714">
              <w:t>aloxavir marboxil</w:t>
            </w:r>
          </w:p>
        </w:tc>
      </w:tr>
      <w:tr w:rsidR="00F772CE" w:rsidRPr="00F772CE" w14:paraId="32642804" w14:textId="77777777" w:rsidTr="00FD119B">
        <w:tc>
          <w:tcPr>
            <w:tcW w:w="1809" w:type="dxa"/>
          </w:tcPr>
          <w:p w14:paraId="73B91A98" w14:textId="77777777" w:rsidR="00F772CE" w:rsidRPr="00F772CE" w:rsidRDefault="00F772CE" w:rsidP="00F772CE">
            <w:pPr>
              <w:ind w:right="0"/>
              <w:rPr>
                <w:szCs w:val="22"/>
              </w:rPr>
            </w:pPr>
            <w:r w:rsidRPr="00F772CE">
              <w:rPr>
                <w:rFonts w:cs="TimesNewRoman"/>
                <w:bCs/>
                <w:szCs w:val="22"/>
              </w:rPr>
              <w:t>C24</w:t>
            </w:r>
          </w:p>
        </w:tc>
        <w:tc>
          <w:tcPr>
            <w:tcW w:w="6911" w:type="dxa"/>
          </w:tcPr>
          <w:p w14:paraId="1F3E4184" w14:textId="6A3ECAE7" w:rsidR="00F772CE" w:rsidRPr="00F772CE" w:rsidRDefault="00086064" w:rsidP="00086064">
            <w:pPr>
              <w:rPr>
                <w:szCs w:val="22"/>
              </w:rPr>
            </w:pPr>
            <w:r>
              <w:rPr>
                <w:rFonts w:eastAsiaTheme="minorHAnsi" w:cs="TimesNewRoman"/>
                <w:szCs w:val="22"/>
              </w:rPr>
              <w:t xml:space="preserve">Plasma concentration </w:t>
            </w:r>
            <w:r w:rsidR="00F772CE" w:rsidRPr="00F772CE">
              <w:rPr>
                <w:rFonts w:eastAsiaTheme="minorHAnsi" w:cs="TimesNewRoman"/>
                <w:szCs w:val="22"/>
              </w:rPr>
              <w:t>24 h</w:t>
            </w:r>
            <w:r>
              <w:rPr>
                <w:rFonts w:eastAsiaTheme="minorHAnsi" w:cs="TimesNewRoman"/>
                <w:szCs w:val="22"/>
              </w:rPr>
              <w:t>ours</w:t>
            </w:r>
            <w:r w:rsidR="00F772CE" w:rsidRPr="00F772CE">
              <w:rPr>
                <w:rFonts w:eastAsiaTheme="minorHAnsi" w:cs="TimesNewRoman"/>
                <w:szCs w:val="22"/>
              </w:rPr>
              <w:t xml:space="preserve"> after dosing</w:t>
            </w:r>
          </w:p>
        </w:tc>
      </w:tr>
      <w:tr w:rsidR="00F772CE" w:rsidRPr="00F772CE" w14:paraId="7DE2CFEC" w14:textId="77777777" w:rsidTr="00FD119B">
        <w:tc>
          <w:tcPr>
            <w:tcW w:w="1809" w:type="dxa"/>
          </w:tcPr>
          <w:p w14:paraId="475FEABC" w14:textId="77777777" w:rsidR="00F772CE" w:rsidRPr="00F772CE" w:rsidRDefault="00F772CE" w:rsidP="00F772CE">
            <w:pPr>
              <w:ind w:right="0"/>
              <w:rPr>
                <w:rFonts w:cs="TimesNewRoman"/>
                <w:bCs/>
                <w:szCs w:val="22"/>
              </w:rPr>
            </w:pPr>
            <w:r w:rsidRPr="00F772CE">
              <w:rPr>
                <w:rFonts w:cs="TimesNewRoman"/>
                <w:bCs/>
                <w:szCs w:val="22"/>
              </w:rPr>
              <w:t>C96</w:t>
            </w:r>
          </w:p>
        </w:tc>
        <w:tc>
          <w:tcPr>
            <w:tcW w:w="6911" w:type="dxa"/>
          </w:tcPr>
          <w:p w14:paraId="45BCFA80" w14:textId="77777777" w:rsidR="00F772CE" w:rsidRPr="00F772CE" w:rsidRDefault="00F772CE" w:rsidP="00F772CE">
            <w:pPr>
              <w:rPr>
                <w:szCs w:val="22"/>
              </w:rPr>
            </w:pPr>
            <w:r w:rsidRPr="00F772CE">
              <w:rPr>
                <w:rFonts w:cs="TimesNewRoman"/>
                <w:bCs/>
                <w:szCs w:val="22"/>
              </w:rPr>
              <w:t>Plasma concentration 96 hours after dosing</w:t>
            </w:r>
          </w:p>
        </w:tc>
      </w:tr>
      <w:tr w:rsidR="00086064" w:rsidRPr="00F772CE" w14:paraId="73525C77" w14:textId="77777777" w:rsidTr="00FD119B">
        <w:tc>
          <w:tcPr>
            <w:tcW w:w="1809" w:type="dxa"/>
          </w:tcPr>
          <w:p w14:paraId="0646A84C" w14:textId="1CBC6D7B" w:rsidR="00086064" w:rsidRPr="00F772CE" w:rsidRDefault="00086064" w:rsidP="00F772CE">
            <w:pPr>
              <w:rPr>
                <w:rFonts w:cs="TimesNewRoman"/>
                <w:bCs/>
              </w:rPr>
            </w:pPr>
            <w:r>
              <w:rPr>
                <w:rFonts w:cs="TimesNewRoman"/>
                <w:bCs/>
              </w:rPr>
              <w:t>CDC</w:t>
            </w:r>
          </w:p>
        </w:tc>
        <w:tc>
          <w:tcPr>
            <w:tcW w:w="6911" w:type="dxa"/>
          </w:tcPr>
          <w:p w14:paraId="5FB30EF9" w14:textId="248DF097" w:rsidR="00086064" w:rsidRPr="00F772CE" w:rsidRDefault="00086064" w:rsidP="00F772CE">
            <w:pPr>
              <w:rPr>
                <w:rFonts w:cs="TimesNewRoman"/>
                <w:bCs/>
              </w:rPr>
            </w:pPr>
            <w:proofErr w:type="spellStart"/>
            <w:r>
              <w:t>Centers</w:t>
            </w:r>
            <w:proofErr w:type="spellEnd"/>
            <w:r>
              <w:t xml:space="preserve"> for Disease Control and Prevention (United States)</w:t>
            </w:r>
          </w:p>
        </w:tc>
      </w:tr>
      <w:tr w:rsidR="00F772CE" w:rsidRPr="00F772CE" w14:paraId="4577CAFD" w14:textId="77777777" w:rsidTr="00FD119B">
        <w:tc>
          <w:tcPr>
            <w:tcW w:w="1809" w:type="dxa"/>
          </w:tcPr>
          <w:p w14:paraId="014F7F42" w14:textId="77777777" w:rsidR="00F772CE" w:rsidRPr="00F772CE" w:rsidRDefault="00F772CE" w:rsidP="00F772CE">
            <w:pPr>
              <w:ind w:right="0"/>
              <w:rPr>
                <w:szCs w:val="22"/>
              </w:rPr>
            </w:pPr>
            <w:r w:rsidRPr="00F772CE">
              <w:rPr>
                <w:szCs w:val="22"/>
              </w:rPr>
              <w:t>CEN</w:t>
            </w:r>
          </w:p>
        </w:tc>
        <w:tc>
          <w:tcPr>
            <w:tcW w:w="6911" w:type="dxa"/>
          </w:tcPr>
          <w:p w14:paraId="61D1B774" w14:textId="77777777" w:rsidR="00F772CE" w:rsidRPr="00F772CE" w:rsidRDefault="00F772CE" w:rsidP="00F772CE">
            <w:pPr>
              <w:rPr>
                <w:szCs w:val="22"/>
              </w:rPr>
            </w:pPr>
            <w:r w:rsidRPr="00F772CE">
              <w:rPr>
                <w:szCs w:val="22"/>
              </w:rPr>
              <w:t>Cap-dependent endonuclease</w:t>
            </w:r>
          </w:p>
        </w:tc>
      </w:tr>
      <w:tr w:rsidR="00F772CE" w:rsidRPr="00F772CE" w14:paraId="2605D5EA" w14:textId="77777777" w:rsidTr="00FD119B">
        <w:tc>
          <w:tcPr>
            <w:tcW w:w="1809" w:type="dxa"/>
          </w:tcPr>
          <w:p w14:paraId="1FB315CB" w14:textId="77777777" w:rsidR="00F772CE" w:rsidRPr="00F772CE" w:rsidRDefault="00F772CE" w:rsidP="00F772CE">
            <w:pPr>
              <w:ind w:right="0"/>
              <w:rPr>
                <w:rFonts w:cs="TimesNewRoman"/>
                <w:bCs/>
                <w:szCs w:val="22"/>
              </w:rPr>
            </w:pPr>
            <w:r w:rsidRPr="00F772CE">
              <w:rPr>
                <w:rFonts w:cs="TimesNewRoman"/>
                <w:bCs/>
                <w:szCs w:val="22"/>
              </w:rPr>
              <w:t>CI</w:t>
            </w:r>
          </w:p>
        </w:tc>
        <w:tc>
          <w:tcPr>
            <w:tcW w:w="6911" w:type="dxa"/>
          </w:tcPr>
          <w:p w14:paraId="3457C3F8" w14:textId="77777777" w:rsidR="00F772CE" w:rsidRPr="00F772CE" w:rsidRDefault="00F772CE" w:rsidP="00F772CE">
            <w:pPr>
              <w:rPr>
                <w:szCs w:val="22"/>
              </w:rPr>
            </w:pPr>
            <w:r w:rsidRPr="00F772CE">
              <w:rPr>
                <w:szCs w:val="22"/>
              </w:rPr>
              <w:t>Confidence interval</w:t>
            </w:r>
          </w:p>
        </w:tc>
      </w:tr>
      <w:tr w:rsidR="00F772CE" w:rsidRPr="00F772CE" w14:paraId="71593CAE" w14:textId="77777777" w:rsidTr="00FD119B">
        <w:tc>
          <w:tcPr>
            <w:tcW w:w="1809" w:type="dxa"/>
          </w:tcPr>
          <w:p w14:paraId="48EC3D29" w14:textId="77777777" w:rsidR="00F772CE" w:rsidRPr="00F772CE" w:rsidRDefault="00F772CE" w:rsidP="00F772CE">
            <w:pPr>
              <w:ind w:right="0"/>
              <w:rPr>
                <w:rFonts w:cs="TimesNewRoman"/>
                <w:bCs/>
                <w:szCs w:val="22"/>
              </w:rPr>
            </w:pPr>
            <w:r w:rsidRPr="00F772CE">
              <w:rPr>
                <w:rFonts w:cs="TimesNewRoman"/>
                <w:bCs/>
                <w:szCs w:val="22"/>
              </w:rPr>
              <w:t>CL/F</w:t>
            </w:r>
          </w:p>
        </w:tc>
        <w:tc>
          <w:tcPr>
            <w:tcW w:w="6911" w:type="dxa"/>
          </w:tcPr>
          <w:p w14:paraId="29F32EDA" w14:textId="77777777" w:rsidR="00F772CE" w:rsidRPr="00F772CE" w:rsidRDefault="00F772CE" w:rsidP="00F772CE">
            <w:pPr>
              <w:rPr>
                <w:szCs w:val="22"/>
              </w:rPr>
            </w:pPr>
            <w:r w:rsidRPr="00F772CE">
              <w:rPr>
                <w:rFonts w:eastAsiaTheme="minorHAnsi" w:cs="TimesNewRoman"/>
                <w:szCs w:val="22"/>
              </w:rPr>
              <w:t>Apparent total clearance</w:t>
            </w:r>
          </w:p>
        </w:tc>
      </w:tr>
      <w:tr w:rsidR="00F772CE" w:rsidRPr="00F772CE" w14:paraId="28F69F86" w14:textId="77777777" w:rsidTr="00FD119B">
        <w:tc>
          <w:tcPr>
            <w:tcW w:w="1809" w:type="dxa"/>
          </w:tcPr>
          <w:p w14:paraId="6060A229" w14:textId="77777777" w:rsidR="00F772CE" w:rsidRPr="00F772CE" w:rsidRDefault="00F772CE" w:rsidP="00F772CE">
            <w:pPr>
              <w:ind w:right="0"/>
              <w:rPr>
                <w:rFonts w:cs="TimesNewRoman"/>
                <w:bCs/>
                <w:szCs w:val="22"/>
                <w:vertAlign w:val="subscript"/>
              </w:rPr>
            </w:pPr>
            <w:r w:rsidRPr="00F772CE">
              <w:rPr>
                <w:rFonts w:cs="TimesNewRoman"/>
                <w:bCs/>
                <w:szCs w:val="22"/>
              </w:rPr>
              <w:t>CL</w:t>
            </w:r>
            <w:r w:rsidRPr="00F772CE">
              <w:rPr>
                <w:rFonts w:cs="TimesNewRoman"/>
                <w:bCs/>
                <w:szCs w:val="22"/>
                <w:vertAlign w:val="subscript"/>
              </w:rPr>
              <w:t>R</w:t>
            </w:r>
          </w:p>
        </w:tc>
        <w:tc>
          <w:tcPr>
            <w:tcW w:w="6911" w:type="dxa"/>
          </w:tcPr>
          <w:p w14:paraId="7639F846" w14:textId="77777777" w:rsidR="00F772CE" w:rsidRPr="00F772CE" w:rsidRDefault="00F772CE" w:rsidP="00F772CE">
            <w:pPr>
              <w:rPr>
                <w:szCs w:val="22"/>
              </w:rPr>
            </w:pPr>
            <w:r w:rsidRPr="00F772CE">
              <w:rPr>
                <w:szCs w:val="22"/>
              </w:rPr>
              <w:t>Renal clearance</w:t>
            </w:r>
          </w:p>
        </w:tc>
      </w:tr>
      <w:tr w:rsidR="00F772CE" w:rsidRPr="00F772CE" w14:paraId="560A7C6B" w14:textId="77777777" w:rsidTr="00FD119B">
        <w:tc>
          <w:tcPr>
            <w:tcW w:w="1809" w:type="dxa"/>
          </w:tcPr>
          <w:p w14:paraId="1852A888" w14:textId="77777777" w:rsidR="00F772CE" w:rsidRPr="00F772CE" w:rsidRDefault="00F772CE" w:rsidP="00F772CE">
            <w:pPr>
              <w:ind w:right="0"/>
              <w:rPr>
                <w:szCs w:val="22"/>
              </w:rPr>
            </w:pPr>
            <w:proofErr w:type="spellStart"/>
            <w:r w:rsidRPr="00F772CE">
              <w:rPr>
                <w:rFonts w:cs="TimesNewRoman"/>
                <w:bCs/>
                <w:szCs w:val="22"/>
              </w:rPr>
              <w:t>C</w:t>
            </w:r>
            <w:r w:rsidRPr="0089696C">
              <w:rPr>
                <w:rFonts w:cs="TimesNewRoman"/>
                <w:bCs/>
                <w:szCs w:val="22"/>
                <w:vertAlign w:val="subscript"/>
              </w:rPr>
              <w:t>max</w:t>
            </w:r>
            <w:proofErr w:type="spellEnd"/>
          </w:p>
        </w:tc>
        <w:tc>
          <w:tcPr>
            <w:tcW w:w="6911" w:type="dxa"/>
          </w:tcPr>
          <w:p w14:paraId="36181C82" w14:textId="77777777" w:rsidR="00F772CE" w:rsidRPr="00F772CE" w:rsidRDefault="00F772CE" w:rsidP="00F772CE">
            <w:pPr>
              <w:rPr>
                <w:szCs w:val="22"/>
              </w:rPr>
            </w:pPr>
            <w:r w:rsidRPr="00F772CE">
              <w:rPr>
                <w:szCs w:val="22"/>
              </w:rPr>
              <w:t>Maximum plasma concentration</w:t>
            </w:r>
          </w:p>
        </w:tc>
      </w:tr>
      <w:tr w:rsidR="00F772CE" w:rsidRPr="00F772CE" w14:paraId="35A1F47A" w14:textId="77777777" w:rsidTr="00FD119B">
        <w:tc>
          <w:tcPr>
            <w:tcW w:w="1809" w:type="dxa"/>
          </w:tcPr>
          <w:p w14:paraId="352D7C5A" w14:textId="77777777" w:rsidR="00F772CE" w:rsidRPr="00F772CE" w:rsidRDefault="00F772CE" w:rsidP="00F772CE">
            <w:pPr>
              <w:ind w:right="0"/>
              <w:rPr>
                <w:szCs w:val="22"/>
              </w:rPr>
            </w:pPr>
            <w:r w:rsidRPr="00F772CE">
              <w:rPr>
                <w:szCs w:val="22"/>
              </w:rPr>
              <w:t>CYP</w:t>
            </w:r>
          </w:p>
        </w:tc>
        <w:tc>
          <w:tcPr>
            <w:tcW w:w="6911" w:type="dxa"/>
          </w:tcPr>
          <w:p w14:paraId="2D0861F0" w14:textId="77777777" w:rsidR="00F772CE" w:rsidRPr="00F772CE" w:rsidRDefault="00F772CE" w:rsidP="00F772CE">
            <w:pPr>
              <w:rPr>
                <w:szCs w:val="22"/>
              </w:rPr>
            </w:pPr>
            <w:r w:rsidRPr="00F772CE">
              <w:rPr>
                <w:rFonts w:cs="TimesNewRoman"/>
                <w:bCs/>
                <w:szCs w:val="22"/>
              </w:rPr>
              <w:t>Cytochrome P450</w:t>
            </w:r>
          </w:p>
        </w:tc>
      </w:tr>
      <w:tr w:rsidR="00F772CE" w:rsidRPr="00F772CE" w14:paraId="7C6B2497" w14:textId="77777777" w:rsidTr="00FD119B">
        <w:tc>
          <w:tcPr>
            <w:tcW w:w="1809" w:type="dxa"/>
          </w:tcPr>
          <w:p w14:paraId="212CC051" w14:textId="77777777" w:rsidR="00F772CE" w:rsidRPr="00F772CE" w:rsidRDefault="00F772CE" w:rsidP="00F772CE">
            <w:pPr>
              <w:ind w:right="0"/>
              <w:rPr>
                <w:szCs w:val="22"/>
              </w:rPr>
            </w:pPr>
            <w:r w:rsidRPr="00F772CE">
              <w:rPr>
                <w:szCs w:val="22"/>
              </w:rPr>
              <w:t>DDI</w:t>
            </w:r>
          </w:p>
        </w:tc>
        <w:tc>
          <w:tcPr>
            <w:tcW w:w="6911" w:type="dxa"/>
          </w:tcPr>
          <w:p w14:paraId="4CDAAEA7" w14:textId="77777777" w:rsidR="00F772CE" w:rsidRPr="00F772CE" w:rsidRDefault="00F772CE" w:rsidP="00F772CE">
            <w:pPr>
              <w:rPr>
                <w:rFonts w:cs="TimesNewRoman"/>
                <w:bCs/>
                <w:szCs w:val="22"/>
              </w:rPr>
            </w:pPr>
            <w:r w:rsidRPr="00F772CE">
              <w:rPr>
                <w:rFonts w:cs="TimesNewRoman"/>
                <w:bCs/>
                <w:szCs w:val="22"/>
              </w:rPr>
              <w:t>Drug-drug interaction</w:t>
            </w:r>
          </w:p>
        </w:tc>
      </w:tr>
      <w:tr w:rsidR="00850898" w:rsidRPr="00F772CE" w14:paraId="6E37DE73" w14:textId="77777777" w:rsidTr="00FD119B">
        <w:tc>
          <w:tcPr>
            <w:tcW w:w="1809" w:type="dxa"/>
          </w:tcPr>
          <w:p w14:paraId="47D83301" w14:textId="261F34DF" w:rsidR="00850898" w:rsidRPr="00F772CE" w:rsidRDefault="00850898" w:rsidP="00F772CE">
            <w:r>
              <w:t>DLP</w:t>
            </w:r>
          </w:p>
        </w:tc>
        <w:tc>
          <w:tcPr>
            <w:tcW w:w="6911" w:type="dxa"/>
          </w:tcPr>
          <w:p w14:paraId="4C2979F1" w14:textId="465321B2" w:rsidR="00850898" w:rsidRPr="00F772CE" w:rsidRDefault="00850898" w:rsidP="00F772CE">
            <w:r>
              <w:t>Data lock point</w:t>
            </w:r>
          </w:p>
        </w:tc>
      </w:tr>
      <w:tr w:rsidR="005C7576" w:rsidRPr="00F772CE" w14:paraId="3AFE743D" w14:textId="77777777" w:rsidTr="00FD119B">
        <w:tc>
          <w:tcPr>
            <w:tcW w:w="1809" w:type="dxa"/>
          </w:tcPr>
          <w:p w14:paraId="788AAAE0" w14:textId="1419B9AC" w:rsidR="005C7576" w:rsidRPr="00F772CE" w:rsidRDefault="005C7576" w:rsidP="00F772CE">
            <w:r>
              <w:t>EC</w:t>
            </w:r>
            <w:r w:rsidRPr="005C7576">
              <w:rPr>
                <w:vertAlign w:val="subscript"/>
              </w:rPr>
              <w:t>50</w:t>
            </w:r>
          </w:p>
        </w:tc>
        <w:tc>
          <w:tcPr>
            <w:tcW w:w="6911" w:type="dxa"/>
          </w:tcPr>
          <w:p w14:paraId="7ACA3920" w14:textId="04D86D57" w:rsidR="005C7576" w:rsidRPr="00F772CE" w:rsidRDefault="005C7576" w:rsidP="005C7576">
            <w:r>
              <w:t>Half maximal effective concentration</w:t>
            </w:r>
          </w:p>
        </w:tc>
      </w:tr>
      <w:tr w:rsidR="00F772CE" w:rsidRPr="00F772CE" w14:paraId="16AA976C" w14:textId="77777777" w:rsidTr="00FD119B">
        <w:tc>
          <w:tcPr>
            <w:tcW w:w="1809" w:type="dxa"/>
          </w:tcPr>
          <w:p w14:paraId="11C788B3" w14:textId="77777777" w:rsidR="00F772CE" w:rsidRPr="00F772CE" w:rsidRDefault="00F772CE" w:rsidP="00F772CE">
            <w:pPr>
              <w:ind w:right="0"/>
              <w:rPr>
                <w:szCs w:val="22"/>
              </w:rPr>
            </w:pPr>
            <w:r w:rsidRPr="00F772CE">
              <w:rPr>
                <w:szCs w:val="22"/>
              </w:rPr>
              <w:t>FDA</w:t>
            </w:r>
          </w:p>
        </w:tc>
        <w:tc>
          <w:tcPr>
            <w:tcW w:w="6911" w:type="dxa"/>
          </w:tcPr>
          <w:p w14:paraId="2ED40402" w14:textId="77777777" w:rsidR="00F772CE" w:rsidRPr="00F772CE" w:rsidRDefault="00F772CE" w:rsidP="00F772CE">
            <w:pPr>
              <w:rPr>
                <w:szCs w:val="22"/>
              </w:rPr>
            </w:pPr>
            <w:r w:rsidRPr="00F772CE">
              <w:rPr>
                <w:szCs w:val="22"/>
              </w:rPr>
              <w:t>Food and Drug Administration</w:t>
            </w:r>
            <w:r w:rsidR="00857332">
              <w:rPr>
                <w:szCs w:val="22"/>
              </w:rPr>
              <w:t xml:space="preserve"> (United States)</w:t>
            </w:r>
          </w:p>
        </w:tc>
      </w:tr>
      <w:tr w:rsidR="007105F0" w:rsidRPr="00F772CE" w14:paraId="7CF24A50" w14:textId="77777777" w:rsidTr="00FD119B">
        <w:tc>
          <w:tcPr>
            <w:tcW w:w="1809" w:type="dxa"/>
          </w:tcPr>
          <w:p w14:paraId="6E455E09" w14:textId="00ED18A7" w:rsidR="007105F0" w:rsidRPr="00F772CE" w:rsidRDefault="007105F0" w:rsidP="00F772CE">
            <w:r>
              <w:t>GVP</w:t>
            </w:r>
          </w:p>
        </w:tc>
        <w:tc>
          <w:tcPr>
            <w:tcW w:w="6911" w:type="dxa"/>
          </w:tcPr>
          <w:p w14:paraId="76357C66" w14:textId="4FC65992" w:rsidR="007105F0" w:rsidRPr="00F772CE" w:rsidRDefault="007105F0" w:rsidP="00F772CE">
            <w:pPr>
              <w:rPr>
                <w:rFonts w:cs="TimesNewRoman"/>
                <w:bCs/>
                <w:color w:val="000000"/>
              </w:rPr>
            </w:pPr>
            <w:r>
              <w:rPr>
                <w:rFonts w:cs="TimesNewRoman"/>
                <w:bCs/>
                <w:color w:val="000000"/>
              </w:rPr>
              <w:t>Good Pharmacovigilance Practice(s)</w:t>
            </w:r>
          </w:p>
        </w:tc>
      </w:tr>
      <w:tr w:rsidR="00F772CE" w:rsidRPr="00F772CE" w14:paraId="667B2BFE" w14:textId="77777777" w:rsidTr="00FD119B">
        <w:tc>
          <w:tcPr>
            <w:tcW w:w="1809" w:type="dxa"/>
          </w:tcPr>
          <w:p w14:paraId="5EED959A" w14:textId="77777777" w:rsidR="00F772CE" w:rsidRPr="00F772CE" w:rsidRDefault="00F772CE" w:rsidP="00F772CE">
            <w:pPr>
              <w:ind w:right="0"/>
              <w:rPr>
                <w:szCs w:val="22"/>
              </w:rPr>
            </w:pPr>
            <w:r w:rsidRPr="00F772CE">
              <w:rPr>
                <w:szCs w:val="22"/>
              </w:rPr>
              <w:t>HR</w:t>
            </w:r>
          </w:p>
        </w:tc>
        <w:tc>
          <w:tcPr>
            <w:tcW w:w="6911" w:type="dxa"/>
          </w:tcPr>
          <w:p w14:paraId="5B910BB6" w14:textId="77777777" w:rsidR="00F772CE" w:rsidRPr="00F772CE" w:rsidRDefault="00F772CE" w:rsidP="00F772CE">
            <w:pPr>
              <w:rPr>
                <w:szCs w:val="22"/>
              </w:rPr>
            </w:pPr>
            <w:r w:rsidRPr="00F772CE">
              <w:rPr>
                <w:szCs w:val="22"/>
              </w:rPr>
              <w:t>High risk</w:t>
            </w:r>
          </w:p>
        </w:tc>
      </w:tr>
      <w:tr w:rsidR="00F772CE" w:rsidRPr="00F772CE" w14:paraId="1029F959" w14:textId="77777777" w:rsidTr="00FD119B">
        <w:tc>
          <w:tcPr>
            <w:tcW w:w="1809" w:type="dxa"/>
          </w:tcPr>
          <w:p w14:paraId="470D6C57" w14:textId="77777777" w:rsidR="00F772CE" w:rsidRPr="00F772CE" w:rsidRDefault="00F772CE" w:rsidP="00F772CE">
            <w:pPr>
              <w:ind w:right="0"/>
              <w:rPr>
                <w:szCs w:val="22"/>
              </w:rPr>
            </w:pPr>
            <w:r w:rsidRPr="00F772CE">
              <w:rPr>
                <w:szCs w:val="22"/>
              </w:rPr>
              <w:lastRenderedPageBreak/>
              <w:t>ITTI</w:t>
            </w:r>
          </w:p>
        </w:tc>
        <w:tc>
          <w:tcPr>
            <w:tcW w:w="6911" w:type="dxa"/>
          </w:tcPr>
          <w:p w14:paraId="6902169A" w14:textId="77777777" w:rsidR="00F772CE" w:rsidRPr="00F772CE" w:rsidRDefault="00F772CE" w:rsidP="00F772CE">
            <w:pPr>
              <w:rPr>
                <w:szCs w:val="22"/>
              </w:rPr>
            </w:pPr>
            <w:r w:rsidRPr="00F772CE">
              <w:rPr>
                <w:szCs w:val="22"/>
              </w:rPr>
              <w:t>Intention-to-treat infected</w:t>
            </w:r>
          </w:p>
        </w:tc>
      </w:tr>
      <w:tr w:rsidR="00AD27A1" w:rsidRPr="00F772CE" w14:paraId="2E788D59" w14:textId="77777777" w:rsidTr="00FD119B">
        <w:tc>
          <w:tcPr>
            <w:tcW w:w="1809" w:type="dxa"/>
          </w:tcPr>
          <w:p w14:paraId="6C774E81" w14:textId="77777777" w:rsidR="00AD27A1" w:rsidRPr="00F772CE" w:rsidRDefault="00AD27A1" w:rsidP="00F772CE">
            <w:pPr>
              <w:rPr>
                <w:rFonts w:eastAsiaTheme="minorHAnsi" w:cs="TimesNewRoman"/>
              </w:rPr>
            </w:pPr>
            <w:r>
              <w:rPr>
                <w:lang w:eastAsia="ja-JP"/>
              </w:rPr>
              <w:t>M2</w:t>
            </w:r>
          </w:p>
        </w:tc>
        <w:tc>
          <w:tcPr>
            <w:tcW w:w="6911" w:type="dxa"/>
          </w:tcPr>
          <w:p w14:paraId="380B8EF8" w14:textId="77777777" w:rsidR="00AD27A1" w:rsidRPr="00F772CE" w:rsidRDefault="00AD27A1" w:rsidP="00AD27A1">
            <w:pPr>
              <w:autoSpaceDE w:val="0"/>
              <w:autoSpaceDN w:val="0"/>
              <w:adjustRightInd w:val="0"/>
              <w:rPr>
                <w:rFonts w:cs="TimesNewRoman"/>
                <w:bCs/>
              </w:rPr>
            </w:pPr>
            <w:r>
              <w:rPr>
                <w:lang w:eastAsia="ja-JP"/>
              </w:rPr>
              <w:t>Matrix-2 ion-channel</w:t>
            </w:r>
          </w:p>
        </w:tc>
      </w:tr>
      <w:tr w:rsidR="00F772CE" w:rsidRPr="00F772CE" w14:paraId="0DEAF805" w14:textId="77777777" w:rsidTr="00FD119B">
        <w:tc>
          <w:tcPr>
            <w:tcW w:w="1809" w:type="dxa"/>
          </w:tcPr>
          <w:p w14:paraId="3912C83B" w14:textId="3BF6F0B0" w:rsidR="00F772CE" w:rsidRPr="00F772CE" w:rsidRDefault="00F772CE" w:rsidP="00F772CE">
            <w:pPr>
              <w:ind w:right="0"/>
              <w:rPr>
                <w:szCs w:val="22"/>
              </w:rPr>
            </w:pPr>
            <w:r w:rsidRPr="00F772CE">
              <w:rPr>
                <w:szCs w:val="22"/>
              </w:rPr>
              <w:t>NA</w:t>
            </w:r>
            <w:r w:rsidR="00162248">
              <w:rPr>
                <w:szCs w:val="22"/>
              </w:rPr>
              <w:t>I</w:t>
            </w:r>
          </w:p>
        </w:tc>
        <w:tc>
          <w:tcPr>
            <w:tcW w:w="6911" w:type="dxa"/>
          </w:tcPr>
          <w:p w14:paraId="20984DBC" w14:textId="79444960" w:rsidR="00F772CE" w:rsidRPr="00F772CE" w:rsidRDefault="00162248" w:rsidP="00F772CE">
            <w:pPr>
              <w:rPr>
                <w:szCs w:val="22"/>
              </w:rPr>
            </w:pPr>
            <w:r>
              <w:rPr>
                <w:szCs w:val="22"/>
              </w:rPr>
              <w:t>N</w:t>
            </w:r>
            <w:r w:rsidR="00F772CE" w:rsidRPr="00F772CE">
              <w:rPr>
                <w:szCs w:val="22"/>
              </w:rPr>
              <w:t>euraminidase</w:t>
            </w:r>
            <w:r>
              <w:rPr>
                <w:szCs w:val="22"/>
              </w:rPr>
              <w:t xml:space="preserve"> inhibitor</w:t>
            </w:r>
          </w:p>
        </w:tc>
      </w:tr>
      <w:tr w:rsidR="00F772CE" w:rsidRPr="00F772CE" w14:paraId="52E6CB35" w14:textId="77777777" w:rsidTr="00FD119B">
        <w:tc>
          <w:tcPr>
            <w:tcW w:w="1809" w:type="dxa"/>
          </w:tcPr>
          <w:p w14:paraId="6D6359C1" w14:textId="77777777" w:rsidR="00F772CE" w:rsidRPr="00F772CE" w:rsidRDefault="00F772CE" w:rsidP="00F772CE">
            <w:pPr>
              <w:ind w:right="0"/>
              <w:rPr>
                <w:szCs w:val="22"/>
              </w:rPr>
            </w:pPr>
            <w:proofErr w:type="spellStart"/>
            <w:r w:rsidRPr="00F772CE">
              <w:rPr>
                <w:szCs w:val="22"/>
              </w:rPr>
              <w:t>OwH</w:t>
            </w:r>
            <w:proofErr w:type="spellEnd"/>
          </w:p>
        </w:tc>
        <w:tc>
          <w:tcPr>
            <w:tcW w:w="6911" w:type="dxa"/>
          </w:tcPr>
          <w:p w14:paraId="177732DB" w14:textId="77777777" w:rsidR="00F772CE" w:rsidRPr="00F772CE" w:rsidRDefault="00F772CE" w:rsidP="00F772CE">
            <w:pPr>
              <w:rPr>
                <w:szCs w:val="22"/>
              </w:rPr>
            </w:pPr>
            <w:r w:rsidRPr="00F772CE">
              <w:rPr>
                <w:szCs w:val="22"/>
              </w:rPr>
              <w:t>Otherwise healthy (patients)</w:t>
            </w:r>
          </w:p>
        </w:tc>
      </w:tr>
      <w:tr w:rsidR="00F772CE" w:rsidRPr="00F772CE" w14:paraId="35EE7B18" w14:textId="77777777" w:rsidTr="00FD119B">
        <w:tc>
          <w:tcPr>
            <w:tcW w:w="1809" w:type="dxa"/>
          </w:tcPr>
          <w:p w14:paraId="7B0E8D50" w14:textId="77777777" w:rsidR="00F772CE" w:rsidRPr="00F772CE" w:rsidRDefault="00F772CE" w:rsidP="00F772CE">
            <w:pPr>
              <w:ind w:right="0"/>
              <w:rPr>
                <w:szCs w:val="22"/>
              </w:rPr>
            </w:pPr>
            <w:r w:rsidRPr="00F772CE">
              <w:rPr>
                <w:szCs w:val="22"/>
              </w:rPr>
              <w:t>PA</w:t>
            </w:r>
          </w:p>
        </w:tc>
        <w:tc>
          <w:tcPr>
            <w:tcW w:w="6911" w:type="dxa"/>
          </w:tcPr>
          <w:p w14:paraId="785026D4" w14:textId="77777777" w:rsidR="00F772CE" w:rsidRPr="00F772CE" w:rsidRDefault="00F772CE" w:rsidP="00F772CE">
            <w:pPr>
              <w:rPr>
                <w:szCs w:val="22"/>
              </w:rPr>
            </w:pPr>
            <w:r w:rsidRPr="00F772CE">
              <w:rPr>
                <w:szCs w:val="22"/>
              </w:rPr>
              <w:t>Polymerase acidic protein</w:t>
            </w:r>
          </w:p>
        </w:tc>
      </w:tr>
      <w:tr w:rsidR="00F772CE" w:rsidRPr="00F772CE" w14:paraId="5C2179E2" w14:textId="77777777" w:rsidTr="00FD119B">
        <w:tc>
          <w:tcPr>
            <w:tcW w:w="1809" w:type="dxa"/>
          </w:tcPr>
          <w:p w14:paraId="155372CE" w14:textId="77777777" w:rsidR="00F772CE" w:rsidRPr="00F772CE" w:rsidRDefault="00F772CE" w:rsidP="00F772CE">
            <w:pPr>
              <w:ind w:right="0"/>
              <w:rPr>
                <w:szCs w:val="22"/>
              </w:rPr>
            </w:pPr>
            <w:r w:rsidRPr="00F772CE">
              <w:rPr>
                <w:szCs w:val="22"/>
              </w:rPr>
              <w:t>PD</w:t>
            </w:r>
          </w:p>
        </w:tc>
        <w:tc>
          <w:tcPr>
            <w:tcW w:w="6911" w:type="dxa"/>
          </w:tcPr>
          <w:p w14:paraId="3D680F58" w14:textId="77777777" w:rsidR="00F772CE" w:rsidRPr="00F772CE" w:rsidRDefault="00F772CE" w:rsidP="00F772CE">
            <w:pPr>
              <w:rPr>
                <w:szCs w:val="22"/>
              </w:rPr>
            </w:pPr>
            <w:r w:rsidRPr="00F772CE">
              <w:rPr>
                <w:szCs w:val="22"/>
              </w:rPr>
              <w:t>Pharmacodynamic</w:t>
            </w:r>
            <w:r w:rsidR="00753100">
              <w:rPr>
                <w:szCs w:val="22"/>
              </w:rPr>
              <w:t>(s)</w:t>
            </w:r>
          </w:p>
        </w:tc>
      </w:tr>
      <w:tr w:rsidR="00F772CE" w:rsidRPr="00F772CE" w14:paraId="6BE2226F" w14:textId="77777777" w:rsidTr="00FD119B">
        <w:tc>
          <w:tcPr>
            <w:tcW w:w="1809" w:type="dxa"/>
          </w:tcPr>
          <w:p w14:paraId="37C1AD4E" w14:textId="77777777" w:rsidR="00F772CE" w:rsidRPr="00F772CE" w:rsidRDefault="00F772CE" w:rsidP="00F772CE">
            <w:pPr>
              <w:ind w:right="0"/>
              <w:rPr>
                <w:szCs w:val="22"/>
              </w:rPr>
            </w:pPr>
            <w:r w:rsidRPr="00F772CE">
              <w:rPr>
                <w:szCs w:val="22"/>
              </w:rPr>
              <w:t>PK</w:t>
            </w:r>
          </w:p>
        </w:tc>
        <w:tc>
          <w:tcPr>
            <w:tcW w:w="6911" w:type="dxa"/>
          </w:tcPr>
          <w:p w14:paraId="1C22534B" w14:textId="77777777" w:rsidR="00F772CE" w:rsidRPr="00F772CE" w:rsidRDefault="00F772CE" w:rsidP="00F772CE">
            <w:pPr>
              <w:rPr>
                <w:szCs w:val="22"/>
              </w:rPr>
            </w:pPr>
            <w:r w:rsidRPr="00F772CE">
              <w:rPr>
                <w:szCs w:val="22"/>
              </w:rPr>
              <w:t>Pharmacokinetic</w:t>
            </w:r>
            <w:r w:rsidR="00753100">
              <w:rPr>
                <w:szCs w:val="22"/>
              </w:rPr>
              <w:t>(s)</w:t>
            </w:r>
          </w:p>
        </w:tc>
      </w:tr>
      <w:tr w:rsidR="00F772CE" w:rsidRPr="00F772CE" w14:paraId="253EE715" w14:textId="77777777" w:rsidTr="00FD119B">
        <w:tc>
          <w:tcPr>
            <w:tcW w:w="1809" w:type="dxa"/>
          </w:tcPr>
          <w:p w14:paraId="5D4FF362" w14:textId="77777777" w:rsidR="00F772CE" w:rsidRPr="00F772CE" w:rsidRDefault="00F772CE" w:rsidP="00F772CE">
            <w:pPr>
              <w:ind w:right="0"/>
              <w:rPr>
                <w:szCs w:val="22"/>
              </w:rPr>
            </w:pPr>
            <w:r w:rsidRPr="00F772CE">
              <w:rPr>
                <w:szCs w:val="22"/>
              </w:rPr>
              <w:t>PopPK</w:t>
            </w:r>
          </w:p>
        </w:tc>
        <w:tc>
          <w:tcPr>
            <w:tcW w:w="6911" w:type="dxa"/>
          </w:tcPr>
          <w:p w14:paraId="5F38E891" w14:textId="77777777" w:rsidR="00F772CE" w:rsidRPr="00F772CE" w:rsidRDefault="00F772CE" w:rsidP="00F772CE">
            <w:pPr>
              <w:rPr>
                <w:szCs w:val="22"/>
              </w:rPr>
            </w:pPr>
            <w:r w:rsidRPr="00F772CE">
              <w:rPr>
                <w:szCs w:val="22"/>
              </w:rPr>
              <w:t>Population pharmacokinetics</w:t>
            </w:r>
          </w:p>
        </w:tc>
      </w:tr>
      <w:tr w:rsidR="00F772CE" w:rsidRPr="00F772CE" w14:paraId="6E82D6EA" w14:textId="77777777" w:rsidTr="00FD119B">
        <w:tc>
          <w:tcPr>
            <w:tcW w:w="1809" w:type="dxa"/>
          </w:tcPr>
          <w:p w14:paraId="7933D363" w14:textId="77777777" w:rsidR="00F772CE" w:rsidRPr="00F772CE" w:rsidRDefault="00F772CE" w:rsidP="00F772CE">
            <w:pPr>
              <w:ind w:right="0"/>
              <w:rPr>
                <w:szCs w:val="22"/>
              </w:rPr>
            </w:pPr>
            <w:r w:rsidRPr="00F772CE">
              <w:rPr>
                <w:szCs w:val="22"/>
              </w:rPr>
              <w:t>PPS</w:t>
            </w:r>
          </w:p>
        </w:tc>
        <w:tc>
          <w:tcPr>
            <w:tcW w:w="6911" w:type="dxa"/>
          </w:tcPr>
          <w:p w14:paraId="54417719" w14:textId="77777777" w:rsidR="00F772CE" w:rsidRPr="00F772CE" w:rsidRDefault="00F772CE" w:rsidP="00F772CE">
            <w:pPr>
              <w:rPr>
                <w:szCs w:val="22"/>
              </w:rPr>
            </w:pPr>
            <w:r w:rsidRPr="00F772CE">
              <w:rPr>
                <w:szCs w:val="22"/>
              </w:rPr>
              <w:t>Per protocol set</w:t>
            </w:r>
          </w:p>
        </w:tc>
      </w:tr>
      <w:tr w:rsidR="00DD3E93" w:rsidRPr="00F772CE" w14:paraId="3C044E96" w14:textId="77777777" w:rsidTr="00FD119B">
        <w:tc>
          <w:tcPr>
            <w:tcW w:w="1809" w:type="dxa"/>
          </w:tcPr>
          <w:p w14:paraId="4A99F448" w14:textId="2294494E" w:rsidR="00DD3E93" w:rsidRPr="00F772CE" w:rsidRDefault="00DD3E93" w:rsidP="00F772CE">
            <w:r>
              <w:t>PSUR</w:t>
            </w:r>
          </w:p>
        </w:tc>
        <w:tc>
          <w:tcPr>
            <w:tcW w:w="6911" w:type="dxa"/>
          </w:tcPr>
          <w:p w14:paraId="0F3D4171" w14:textId="2FF62D5A" w:rsidR="00DD3E93" w:rsidRPr="00F772CE" w:rsidRDefault="00DD3E93" w:rsidP="00F772CE">
            <w:r>
              <w:t>Periodic safety update report</w:t>
            </w:r>
          </w:p>
        </w:tc>
      </w:tr>
      <w:tr w:rsidR="00AD71E0" w:rsidRPr="00F772CE" w14:paraId="5842DACF" w14:textId="77777777" w:rsidTr="00FD119B">
        <w:tc>
          <w:tcPr>
            <w:tcW w:w="1809" w:type="dxa"/>
          </w:tcPr>
          <w:p w14:paraId="075C08C1" w14:textId="77777777" w:rsidR="00AD71E0" w:rsidRPr="00F772CE" w:rsidRDefault="00AD71E0" w:rsidP="00F772CE">
            <w:proofErr w:type="spellStart"/>
            <w:r>
              <w:t>QTc</w:t>
            </w:r>
            <w:proofErr w:type="spellEnd"/>
          </w:p>
        </w:tc>
        <w:tc>
          <w:tcPr>
            <w:tcW w:w="6911" w:type="dxa"/>
          </w:tcPr>
          <w:p w14:paraId="70C88929" w14:textId="61052972" w:rsidR="00AD71E0" w:rsidRPr="00F772CE" w:rsidRDefault="00AD71E0" w:rsidP="00F772CE">
            <w:r>
              <w:t>Correct</w:t>
            </w:r>
            <w:r w:rsidR="00162248">
              <w:t>ed</w:t>
            </w:r>
            <w:r>
              <w:t xml:space="preserve"> QT interval</w:t>
            </w:r>
          </w:p>
        </w:tc>
      </w:tr>
      <w:tr w:rsidR="00121236" w:rsidRPr="00F772CE" w14:paraId="39F703A1" w14:textId="77777777" w:rsidTr="00FD119B">
        <w:tc>
          <w:tcPr>
            <w:tcW w:w="1809" w:type="dxa"/>
          </w:tcPr>
          <w:p w14:paraId="5508AEC3" w14:textId="10A1743E" w:rsidR="00121236" w:rsidRPr="00F772CE" w:rsidRDefault="00121236" w:rsidP="00F772CE">
            <w:r w:rsidRPr="0079710F">
              <w:t>RA</w:t>
            </w:r>
            <w:r>
              <w:t>S</w:t>
            </w:r>
          </w:p>
        </w:tc>
        <w:tc>
          <w:tcPr>
            <w:tcW w:w="6911" w:type="dxa"/>
          </w:tcPr>
          <w:p w14:paraId="49256095" w14:textId="18320FCA" w:rsidR="00121236" w:rsidRPr="00F772CE" w:rsidRDefault="00121236" w:rsidP="00121236">
            <w:pPr>
              <w:rPr>
                <w:rFonts w:cs="TimesNewRoman"/>
                <w:bCs/>
              </w:rPr>
            </w:pPr>
            <w:r>
              <w:t>R</w:t>
            </w:r>
            <w:r w:rsidRPr="00121236">
              <w:t>esistance-associated substitutions</w:t>
            </w:r>
          </w:p>
        </w:tc>
      </w:tr>
      <w:tr w:rsidR="00121236" w:rsidRPr="00F772CE" w14:paraId="405C614A" w14:textId="77777777" w:rsidTr="00FD119B">
        <w:tc>
          <w:tcPr>
            <w:tcW w:w="1809" w:type="dxa"/>
          </w:tcPr>
          <w:p w14:paraId="15E5F74A" w14:textId="7617E916" w:rsidR="00121236" w:rsidRPr="0079710F" w:rsidRDefault="00121236" w:rsidP="00F772CE">
            <w:r w:rsidRPr="00E724FC">
              <w:t>RMP</w:t>
            </w:r>
          </w:p>
        </w:tc>
        <w:tc>
          <w:tcPr>
            <w:tcW w:w="6911" w:type="dxa"/>
          </w:tcPr>
          <w:p w14:paraId="324C9E29" w14:textId="63F27FB4" w:rsidR="00121236" w:rsidRDefault="00121236" w:rsidP="00121236">
            <w:r>
              <w:t>Risk management plan</w:t>
            </w:r>
          </w:p>
        </w:tc>
      </w:tr>
      <w:tr w:rsidR="00F772CE" w:rsidRPr="00F772CE" w14:paraId="40913832" w14:textId="77777777" w:rsidTr="00FD119B">
        <w:tc>
          <w:tcPr>
            <w:tcW w:w="1809" w:type="dxa"/>
          </w:tcPr>
          <w:p w14:paraId="75C4EC2B" w14:textId="77777777" w:rsidR="00F772CE" w:rsidRPr="00F772CE" w:rsidRDefault="00F772CE" w:rsidP="00F772CE">
            <w:pPr>
              <w:ind w:right="0"/>
              <w:rPr>
                <w:szCs w:val="22"/>
              </w:rPr>
            </w:pPr>
            <w:r w:rsidRPr="00F772CE">
              <w:rPr>
                <w:szCs w:val="22"/>
              </w:rPr>
              <w:t>RNA</w:t>
            </w:r>
          </w:p>
        </w:tc>
        <w:tc>
          <w:tcPr>
            <w:tcW w:w="6911" w:type="dxa"/>
          </w:tcPr>
          <w:p w14:paraId="1EA52536" w14:textId="77777777" w:rsidR="00F772CE" w:rsidRPr="00F772CE" w:rsidRDefault="00F772CE" w:rsidP="00F772CE">
            <w:pPr>
              <w:rPr>
                <w:szCs w:val="22"/>
              </w:rPr>
            </w:pPr>
            <w:r w:rsidRPr="00F772CE">
              <w:rPr>
                <w:szCs w:val="22"/>
              </w:rPr>
              <w:t>Ribonucleic acid</w:t>
            </w:r>
          </w:p>
        </w:tc>
      </w:tr>
      <w:tr w:rsidR="00FA236F" w:rsidRPr="00F772CE" w14:paraId="7BB505BE" w14:textId="77777777" w:rsidTr="00FD119B">
        <w:tc>
          <w:tcPr>
            <w:tcW w:w="1809" w:type="dxa"/>
          </w:tcPr>
          <w:p w14:paraId="019EC3FE" w14:textId="108501D5" w:rsidR="00FA236F" w:rsidRPr="00F772CE" w:rsidRDefault="00FA236F" w:rsidP="00FA236F">
            <w:r>
              <w:rPr>
                <w:szCs w:val="22"/>
              </w:rPr>
              <w:t>S-</w:t>
            </w:r>
            <w:r w:rsidRPr="00F772CE">
              <w:rPr>
                <w:szCs w:val="22"/>
              </w:rPr>
              <w:t>033188</w:t>
            </w:r>
          </w:p>
        </w:tc>
        <w:tc>
          <w:tcPr>
            <w:tcW w:w="6911" w:type="dxa"/>
          </w:tcPr>
          <w:p w14:paraId="42D18A57" w14:textId="693A0E62" w:rsidR="00FA236F" w:rsidRPr="00F772CE" w:rsidRDefault="00FA236F" w:rsidP="00FA236F">
            <w:r>
              <w:rPr>
                <w:szCs w:val="22"/>
              </w:rPr>
              <w:t>B</w:t>
            </w:r>
            <w:r w:rsidRPr="00F772CE">
              <w:rPr>
                <w:szCs w:val="22"/>
              </w:rPr>
              <w:t>aloxavir marboxil</w:t>
            </w:r>
            <w:r>
              <w:rPr>
                <w:szCs w:val="22"/>
              </w:rPr>
              <w:t xml:space="preserve"> (drug development name)</w:t>
            </w:r>
          </w:p>
        </w:tc>
      </w:tr>
      <w:tr w:rsidR="00F772CE" w:rsidRPr="00F772CE" w14:paraId="0C3DDD87" w14:textId="77777777" w:rsidTr="00FD119B">
        <w:tc>
          <w:tcPr>
            <w:tcW w:w="1809" w:type="dxa"/>
          </w:tcPr>
          <w:p w14:paraId="1E25BD1E" w14:textId="77777777" w:rsidR="00F772CE" w:rsidRPr="00F772CE" w:rsidRDefault="00F772CE" w:rsidP="00F772CE">
            <w:pPr>
              <w:ind w:right="0"/>
              <w:rPr>
                <w:szCs w:val="22"/>
              </w:rPr>
            </w:pPr>
            <w:r w:rsidRPr="00F772CE">
              <w:rPr>
                <w:szCs w:val="22"/>
              </w:rPr>
              <w:t>SAE</w:t>
            </w:r>
          </w:p>
        </w:tc>
        <w:tc>
          <w:tcPr>
            <w:tcW w:w="6911" w:type="dxa"/>
          </w:tcPr>
          <w:p w14:paraId="28D4F168" w14:textId="77777777" w:rsidR="00F772CE" w:rsidRPr="00F772CE" w:rsidRDefault="00F772CE" w:rsidP="00F772CE">
            <w:pPr>
              <w:rPr>
                <w:szCs w:val="22"/>
              </w:rPr>
            </w:pPr>
            <w:r w:rsidRPr="00F772CE">
              <w:rPr>
                <w:szCs w:val="22"/>
              </w:rPr>
              <w:t>Serious adverse event</w:t>
            </w:r>
          </w:p>
        </w:tc>
      </w:tr>
      <w:tr w:rsidR="005C7576" w:rsidRPr="00F772CE" w14:paraId="5A66679E" w14:textId="77777777" w:rsidTr="00FD119B">
        <w:tc>
          <w:tcPr>
            <w:tcW w:w="1809" w:type="dxa"/>
          </w:tcPr>
          <w:p w14:paraId="45F15B01" w14:textId="5EBDDBF2" w:rsidR="005C7576" w:rsidRPr="00F772CE" w:rsidRDefault="005C7576" w:rsidP="00F772CE">
            <w:r>
              <w:t>SJS</w:t>
            </w:r>
          </w:p>
        </w:tc>
        <w:tc>
          <w:tcPr>
            <w:tcW w:w="6911" w:type="dxa"/>
          </w:tcPr>
          <w:p w14:paraId="573D0144" w14:textId="2CB83D13" w:rsidR="005C7576" w:rsidRPr="00F772CE" w:rsidRDefault="005C7576" w:rsidP="005C7576">
            <w:r>
              <w:t xml:space="preserve">Stevens–Johnson </w:t>
            </w:r>
            <w:r w:rsidR="00000790">
              <w:t>s</w:t>
            </w:r>
            <w:r>
              <w:t>yndrome</w:t>
            </w:r>
          </w:p>
        </w:tc>
      </w:tr>
      <w:tr w:rsidR="00F772CE" w:rsidRPr="00F772CE" w14:paraId="4F3B3027" w14:textId="77777777" w:rsidTr="00FD119B">
        <w:tc>
          <w:tcPr>
            <w:tcW w:w="1809" w:type="dxa"/>
          </w:tcPr>
          <w:p w14:paraId="4CE15A89" w14:textId="77777777" w:rsidR="00F772CE" w:rsidRPr="00F772CE" w:rsidRDefault="00F772CE" w:rsidP="00F772CE">
            <w:pPr>
              <w:ind w:right="0"/>
              <w:rPr>
                <w:szCs w:val="22"/>
              </w:rPr>
            </w:pPr>
            <w:proofErr w:type="spellStart"/>
            <w:r w:rsidRPr="00F772CE">
              <w:rPr>
                <w:szCs w:val="22"/>
              </w:rPr>
              <w:t>T</w:t>
            </w:r>
            <w:r w:rsidRPr="00753100">
              <w:rPr>
                <w:szCs w:val="22"/>
                <w:vertAlign w:val="subscript"/>
              </w:rPr>
              <w:t>max</w:t>
            </w:r>
            <w:proofErr w:type="spellEnd"/>
          </w:p>
        </w:tc>
        <w:tc>
          <w:tcPr>
            <w:tcW w:w="6911" w:type="dxa"/>
          </w:tcPr>
          <w:p w14:paraId="7C5B222E" w14:textId="77777777" w:rsidR="00F772CE" w:rsidRPr="00F772CE" w:rsidRDefault="00F772CE" w:rsidP="00F772CE">
            <w:pPr>
              <w:rPr>
                <w:szCs w:val="22"/>
              </w:rPr>
            </w:pPr>
            <w:r w:rsidRPr="00F772CE">
              <w:rPr>
                <w:rFonts w:eastAsiaTheme="minorHAnsi" w:cs="TimesNewRoman"/>
                <w:szCs w:val="22"/>
              </w:rPr>
              <w:t>Time to maximum plasma concentration</w:t>
            </w:r>
          </w:p>
        </w:tc>
      </w:tr>
      <w:tr w:rsidR="006131C6" w:rsidRPr="00F772CE" w14:paraId="512D6202" w14:textId="77777777" w:rsidTr="00FD119B">
        <w:tc>
          <w:tcPr>
            <w:tcW w:w="1809" w:type="dxa"/>
          </w:tcPr>
          <w:p w14:paraId="2CB3224F" w14:textId="77777777" w:rsidR="006131C6" w:rsidRPr="00F772CE" w:rsidRDefault="006131C6" w:rsidP="00F772CE">
            <w:r>
              <w:t>TTAS</w:t>
            </w:r>
          </w:p>
        </w:tc>
        <w:tc>
          <w:tcPr>
            <w:tcW w:w="6911" w:type="dxa"/>
          </w:tcPr>
          <w:p w14:paraId="6F37F7E1" w14:textId="77777777" w:rsidR="006131C6" w:rsidRPr="00F772CE" w:rsidRDefault="006131C6" w:rsidP="00F772CE">
            <w:pPr>
              <w:rPr>
                <w:rFonts w:eastAsiaTheme="minorHAnsi" w:cs="TimesNewRoman"/>
              </w:rPr>
            </w:pPr>
            <w:r>
              <w:rPr>
                <w:rFonts w:eastAsiaTheme="minorHAnsi" w:cs="TimesNewRoman"/>
              </w:rPr>
              <w:t>Time to alleviation of symptoms</w:t>
            </w:r>
          </w:p>
        </w:tc>
      </w:tr>
      <w:tr w:rsidR="00086064" w:rsidRPr="00F772CE" w14:paraId="5F7E9F3F" w14:textId="77777777" w:rsidTr="00FD119B">
        <w:tc>
          <w:tcPr>
            <w:tcW w:w="1809" w:type="dxa"/>
          </w:tcPr>
          <w:p w14:paraId="553EE97D" w14:textId="1FC584F2" w:rsidR="00086064" w:rsidRDefault="00086064" w:rsidP="00F772CE">
            <w:r>
              <w:t>TTIS</w:t>
            </w:r>
          </w:p>
        </w:tc>
        <w:tc>
          <w:tcPr>
            <w:tcW w:w="6911" w:type="dxa"/>
          </w:tcPr>
          <w:p w14:paraId="69904A48" w14:textId="5D14E0CE" w:rsidR="00086064" w:rsidRDefault="00086064" w:rsidP="00086064">
            <w:pPr>
              <w:rPr>
                <w:rFonts w:eastAsiaTheme="minorHAnsi" w:cs="TimesNewRoman"/>
              </w:rPr>
            </w:pPr>
            <w:r>
              <w:t>Time to improvement of symptoms</w:t>
            </w:r>
          </w:p>
        </w:tc>
      </w:tr>
      <w:tr w:rsidR="00F772CE" w:rsidRPr="00F772CE" w14:paraId="7B675E5F" w14:textId="77777777" w:rsidTr="00FD119B">
        <w:tc>
          <w:tcPr>
            <w:tcW w:w="1809" w:type="dxa"/>
          </w:tcPr>
          <w:p w14:paraId="5515B686" w14:textId="77777777" w:rsidR="00F772CE" w:rsidRPr="00F772CE" w:rsidRDefault="00F772CE" w:rsidP="00F772CE">
            <w:pPr>
              <w:ind w:right="0"/>
              <w:rPr>
                <w:szCs w:val="22"/>
              </w:rPr>
            </w:pPr>
            <w:r w:rsidRPr="00F772CE">
              <w:rPr>
                <w:szCs w:val="22"/>
              </w:rPr>
              <w:t>UGT</w:t>
            </w:r>
          </w:p>
        </w:tc>
        <w:tc>
          <w:tcPr>
            <w:tcW w:w="6911" w:type="dxa"/>
          </w:tcPr>
          <w:p w14:paraId="3D081DAE" w14:textId="1F775AF6" w:rsidR="00F772CE" w:rsidRPr="00F772CE" w:rsidRDefault="00F772CE" w:rsidP="00F772CE">
            <w:pPr>
              <w:rPr>
                <w:rFonts w:eastAsiaTheme="minorHAnsi" w:cs="TimesNewRoman"/>
                <w:szCs w:val="22"/>
              </w:rPr>
            </w:pPr>
            <w:r w:rsidRPr="00F772CE">
              <w:rPr>
                <w:bCs/>
                <w:szCs w:val="22"/>
              </w:rPr>
              <w:t xml:space="preserve">Uridine </w:t>
            </w:r>
            <w:r w:rsidR="00000790">
              <w:rPr>
                <w:bCs/>
                <w:szCs w:val="22"/>
              </w:rPr>
              <w:t>5’-</w:t>
            </w:r>
            <w:r w:rsidRPr="00F772CE">
              <w:rPr>
                <w:bCs/>
                <w:szCs w:val="22"/>
              </w:rPr>
              <w:t>diphosph</w:t>
            </w:r>
            <w:r w:rsidR="00000790">
              <w:rPr>
                <w:bCs/>
                <w:szCs w:val="22"/>
              </w:rPr>
              <w:t>o-</w:t>
            </w:r>
            <w:r w:rsidRPr="00F772CE">
              <w:rPr>
                <w:bCs/>
                <w:szCs w:val="22"/>
              </w:rPr>
              <w:t>glucuronosyltransferase</w:t>
            </w:r>
          </w:p>
        </w:tc>
      </w:tr>
      <w:tr w:rsidR="00F772CE" w:rsidRPr="00F772CE" w14:paraId="346CB074" w14:textId="77777777" w:rsidTr="00FD119B">
        <w:tc>
          <w:tcPr>
            <w:tcW w:w="1809" w:type="dxa"/>
          </w:tcPr>
          <w:p w14:paraId="0ED42038" w14:textId="77777777" w:rsidR="00F772CE" w:rsidRPr="00F772CE" w:rsidRDefault="00F772CE" w:rsidP="00F772CE">
            <w:pPr>
              <w:ind w:right="0"/>
              <w:rPr>
                <w:szCs w:val="22"/>
              </w:rPr>
            </w:pPr>
            <w:proofErr w:type="spellStart"/>
            <w:r w:rsidRPr="00F772CE">
              <w:rPr>
                <w:szCs w:val="22"/>
              </w:rPr>
              <w:t>Vz</w:t>
            </w:r>
            <w:proofErr w:type="spellEnd"/>
            <w:r w:rsidRPr="00F772CE">
              <w:rPr>
                <w:szCs w:val="22"/>
              </w:rPr>
              <w:t>/F</w:t>
            </w:r>
          </w:p>
        </w:tc>
        <w:tc>
          <w:tcPr>
            <w:tcW w:w="6911" w:type="dxa"/>
          </w:tcPr>
          <w:p w14:paraId="7AE4BE7D" w14:textId="77777777" w:rsidR="00F772CE" w:rsidRPr="00F772CE" w:rsidRDefault="00F772CE" w:rsidP="00F772CE">
            <w:pPr>
              <w:rPr>
                <w:rFonts w:cs="TimesNewRoman"/>
                <w:bCs/>
                <w:szCs w:val="22"/>
              </w:rPr>
            </w:pPr>
            <w:r w:rsidRPr="00F772CE">
              <w:rPr>
                <w:rFonts w:eastAsiaTheme="minorHAnsi" w:cs="TimesNewRoman"/>
                <w:szCs w:val="22"/>
              </w:rPr>
              <w:t>Apparent volume of distribution based on the terminal phase</w:t>
            </w:r>
          </w:p>
        </w:tc>
      </w:tr>
    </w:tbl>
    <w:p w14:paraId="7B3F6A31" w14:textId="77777777" w:rsidR="00FD119B" w:rsidRDefault="00FD119B" w:rsidP="00FD119B"/>
    <w:p w14:paraId="4AD9E697" w14:textId="77777777" w:rsidR="00FD119B" w:rsidRPr="00FD119B" w:rsidRDefault="00FD119B" w:rsidP="00FD119B">
      <w:pPr>
        <w:spacing w:before="0" w:after="200" w:line="0" w:lineRule="auto"/>
        <w:rPr>
          <w:b/>
          <w:i/>
          <w:sz w:val="24"/>
          <w:szCs w:val="24"/>
        </w:rPr>
      </w:pPr>
      <w:r w:rsidRPr="00FD119B">
        <w:rPr>
          <w:b/>
          <w:i/>
          <w:sz w:val="24"/>
          <w:szCs w:val="24"/>
        </w:rPr>
        <w:br w:type="page"/>
      </w:r>
    </w:p>
    <w:p w14:paraId="24701463" w14:textId="77777777" w:rsidR="008E7846" w:rsidRDefault="00F53C07" w:rsidP="008E7846">
      <w:pPr>
        <w:pStyle w:val="Heading2"/>
      </w:pPr>
      <w:bookmarkStart w:id="9" w:name="_Toc42768435"/>
      <w:r>
        <w:lastRenderedPageBreak/>
        <w:t>I.</w:t>
      </w:r>
      <w:r w:rsidR="008E7846">
        <w:t xml:space="preserve"> Introduction to product submission</w:t>
      </w:r>
      <w:bookmarkEnd w:id="3"/>
      <w:bookmarkEnd w:id="0"/>
      <w:bookmarkEnd w:id="9"/>
    </w:p>
    <w:p w14:paraId="7ACAD228" w14:textId="77777777" w:rsidR="008E7846" w:rsidRDefault="008E7846" w:rsidP="008E7846">
      <w:pPr>
        <w:pStyle w:val="Heading3"/>
        <w:rPr>
          <w:lang w:eastAsia="en-AU"/>
        </w:rPr>
      </w:pPr>
      <w:bookmarkStart w:id="10" w:name="_Toc247691502"/>
      <w:bookmarkStart w:id="11" w:name="_Toc314842483"/>
      <w:bookmarkStart w:id="12" w:name="_Toc42768436"/>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1C912374" w14:textId="77777777" w:rsidTr="003735BC">
        <w:tc>
          <w:tcPr>
            <w:tcW w:w="2907" w:type="dxa"/>
          </w:tcPr>
          <w:p w14:paraId="51ED5193"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185F56C9" w14:textId="77777777" w:rsidR="008E7846" w:rsidRPr="003D1E62" w:rsidRDefault="008E7846" w:rsidP="000845B1">
            <w:r w:rsidRPr="003D1E62">
              <w:t xml:space="preserve">New </w:t>
            </w:r>
            <w:r w:rsidR="001B5C90">
              <w:t>c</w:t>
            </w:r>
            <w:r w:rsidRPr="003D1E62">
              <w:t xml:space="preserve">hemical </w:t>
            </w:r>
            <w:r w:rsidR="001B5C90">
              <w:t>e</w:t>
            </w:r>
            <w:r w:rsidR="000845B1">
              <w:t>ntity</w:t>
            </w:r>
          </w:p>
        </w:tc>
      </w:tr>
      <w:tr w:rsidR="008E7846" w:rsidRPr="003D1E62" w14:paraId="08FE0962" w14:textId="77777777" w:rsidTr="003735BC">
        <w:tc>
          <w:tcPr>
            <w:tcW w:w="2907" w:type="dxa"/>
          </w:tcPr>
          <w:p w14:paraId="0709E918" w14:textId="77777777" w:rsidR="008E7846" w:rsidRPr="003D1E62" w:rsidRDefault="008E7846" w:rsidP="003D1E62">
            <w:r w:rsidRPr="003D1E62">
              <w:rPr>
                <w:i/>
              </w:rPr>
              <w:t>Decision</w:t>
            </w:r>
            <w:r w:rsidRPr="003D1E62">
              <w:t>:</w:t>
            </w:r>
          </w:p>
        </w:tc>
        <w:tc>
          <w:tcPr>
            <w:tcW w:w="6307" w:type="dxa"/>
          </w:tcPr>
          <w:p w14:paraId="223FE9EE" w14:textId="77777777" w:rsidR="008E7846" w:rsidRPr="003D1E62" w:rsidRDefault="000845B1" w:rsidP="000845B1">
            <w:r>
              <w:t>Approved</w:t>
            </w:r>
          </w:p>
        </w:tc>
      </w:tr>
      <w:tr w:rsidR="000845B1" w:rsidRPr="003D1E62" w14:paraId="3CE1BBBA" w14:textId="77777777" w:rsidTr="003735BC">
        <w:tc>
          <w:tcPr>
            <w:tcW w:w="2907" w:type="dxa"/>
          </w:tcPr>
          <w:p w14:paraId="14BAB7BE" w14:textId="77777777" w:rsidR="000845B1" w:rsidRPr="003D1E62" w:rsidRDefault="000845B1" w:rsidP="000845B1">
            <w:pPr>
              <w:rPr>
                <w:i/>
              </w:rPr>
            </w:pPr>
            <w:r w:rsidRPr="003D1E62">
              <w:rPr>
                <w:i/>
              </w:rPr>
              <w:t xml:space="preserve">Date of </w:t>
            </w:r>
            <w:r>
              <w:rPr>
                <w:i/>
              </w:rPr>
              <w:t>d</w:t>
            </w:r>
            <w:r w:rsidRPr="003D1E62">
              <w:rPr>
                <w:i/>
              </w:rPr>
              <w:t>ecision:</w:t>
            </w:r>
          </w:p>
        </w:tc>
        <w:tc>
          <w:tcPr>
            <w:tcW w:w="6307" w:type="dxa"/>
          </w:tcPr>
          <w:p w14:paraId="5A279DE8" w14:textId="77777777" w:rsidR="000845B1" w:rsidRPr="00F77C44" w:rsidRDefault="000845B1" w:rsidP="000845B1">
            <w:r w:rsidRPr="00F77C44">
              <w:t>21 February 2020</w:t>
            </w:r>
          </w:p>
        </w:tc>
      </w:tr>
      <w:tr w:rsidR="000845B1" w:rsidRPr="003D1E62" w14:paraId="0EACDEF8" w14:textId="77777777" w:rsidTr="003735BC">
        <w:tc>
          <w:tcPr>
            <w:tcW w:w="2907" w:type="dxa"/>
          </w:tcPr>
          <w:p w14:paraId="3AEB9E5F" w14:textId="77777777" w:rsidR="000845B1" w:rsidRPr="00441C3F" w:rsidRDefault="000845B1" w:rsidP="000845B1">
            <w:pPr>
              <w:rPr>
                <w:i/>
              </w:rPr>
            </w:pPr>
            <w:r w:rsidRPr="00441C3F">
              <w:rPr>
                <w:i/>
              </w:rPr>
              <w:t>Date of entry onto ARTG</w:t>
            </w:r>
            <w:r>
              <w:rPr>
                <w:i/>
              </w:rPr>
              <w:t>:</w:t>
            </w:r>
          </w:p>
        </w:tc>
        <w:tc>
          <w:tcPr>
            <w:tcW w:w="6307" w:type="dxa"/>
          </w:tcPr>
          <w:p w14:paraId="7C276725" w14:textId="77777777" w:rsidR="000845B1" w:rsidRPr="00F77C44" w:rsidRDefault="000845B1" w:rsidP="000845B1">
            <w:r w:rsidRPr="00F77C44">
              <w:t>21 February 2020</w:t>
            </w:r>
          </w:p>
        </w:tc>
      </w:tr>
      <w:tr w:rsidR="000845B1" w:rsidRPr="003D1E62" w14:paraId="22515EA4" w14:textId="77777777" w:rsidTr="003735BC">
        <w:tc>
          <w:tcPr>
            <w:tcW w:w="2907" w:type="dxa"/>
          </w:tcPr>
          <w:p w14:paraId="18F2928F" w14:textId="77777777" w:rsidR="000845B1" w:rsidRPr="00441C3F" w:rsidRDefault="000845B1" w:rsidP="000845B1">
            <w:pPr>
              <w:rPr>
                <w:i/>
              </w:rPr>
            </w:pPr>
            <w:r>
              <w:rPr>
                <w:i/>
              </w:rPr>
              <w:t>ARTG numbers:</w:t>
            </w:r>
          </w:p>
        </w:tc>
        <w:tc>
          <w:tcPr>
            <w:tcW w:w="6307" w:type="dxa"/>
          </w:tcPr>
          <w:p w14:paraId="2CED2FD9" w14:textId="77777777" w:rsidR="000845B1" w:rsidRDefault="000845B1" w:rsidP="000845B1">
            <w:r w:rsidRPr="00F77C44">
              <w:t>317240, 317241</w:t>
            </w:r>
          </w:p>
        </w:tc>
      </w:tr>
      <w:tr w:rsidR="003735BC" w:rsidRPr="003D1E62" w14:paraId="0178A066" w14:textId="77777777" w:rsidTr="003735BC">
        <w:tc>
          <w:tcPr>
            <w:tcW w:w="2907" w:type="dxa"/>
          </w:tcPr>
          <w:p w14:paraId="26A88602"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2A29B8B2" w14:textId="77777777" w:rsidR="003735BC" w:rsidRDefault="000845B1" w:rsidP="003735BC">
            <w:r>
              <w:t>Yes</w:t>
            </w:r>
          </w:p>
          <w:p w14:paraId="1D9F4076" w14:textId="77777777" w:rsidR="003735BC" w:rsidRPr="00487162" w:rsidRDefault="003735BC" w:rsidP="003735BC">
            <w:r>
              <w:t xml:space="preserve">This product will remain in the scheme for 5 years, starting on the date the product is first supplied in </w:t>
            </w:r>
            <w:r w:rsidR="000845B1">
              <w:t>Australia.</w:t>
            </w:r>
          </w:p>
        </w:tc>
      </w:tr>
      <w:tr w:rsidR="008E7846" w:rsidRPr="00487162" w14:paraId="69859D18" w14:textId="77777777" w:rsidTr="00BF1190">
        <w:tc>
          <w:tcPr>
            <w:tcW w:w="2907" w:type="dxa"/>
          </w:tcPr>
          <w:p w14:paraId="31E83AD0" w14:textId="77777777" w:rsidR="008E7846" w:rsidRPr="00487162" w:rsidRDefault="00AD27A1" w:rsidP="00E45619">
            <w:pPr>
              <w:rPr>
                <w:i/>
              </w:rPr>
            </w:pPr>
            <w:r>
              <w:rPr>
                <w:i/>
              </w:rPr>
              <w:t>Active ingredient</w:t>
            </w:r>
            <w:r w:rsidR="001B5C90">
              <w:rPr>
                <w:i/>
              </w:rPr>
              <w:t>:</w:t>
            </w:r>
          </w:p>
        </w:tc>
        <w:tc>
          <w:tcPr>
            <w:tcW w:w="6307" w:type="dxa"/>
          </w:tcPr>
          <w:p w14:paraId="35250D8D" w14:textId="77777777" w:rsidR="008E7846" w:rsidRPr="00487162" w:rsidRDefault="000845B1" w:rsidP="00E55CB0">
            <w:r>
              <w:rPr>
                <w:rFonts w:eastAsia="Calibri"/>
              </w:rPr>
              <w:t>B</w:t>
            </w:r>
            <w:r w:rsidRPr="007E5BA1">
              <w:rPr>
                <w:rFonts w:eastAsia="Calibri"/>
              </w:rPr>
              <w:t>aloxavir marboxil</w:t>
            </w:r>
          </w:p>
        </w:tc>
      </w:tr>
      <w:tr w:rsidR="008E7846" w:rsidRPr="00487162" w14:paraId="50C6C9D4" w14:textId="77777777" w:rsidTr="00BF1190">
        <w:tc>
          <w:tcPr>
            <w:tcW w:w="2907" w:type="dxa"/>
          </w:tcPr>
          <w:p w14:paraId="45E8931F" w14:textId="77777777" w:rsidR="008E7846" w:rsidRPr="00487162" w:rsidRDefault="008E7846" w:rsidP="001B5C90">
            <w:pPr>
              <w:rPr>
                <w:i/>
              </w:rPr>
            </w:pPr>
            <w:r w:rsidRPr="00487162">
              <w:rPr>
                <w:i/>
              </w:rPr>
              <w:t>Product</w:t>
            </w:r>
            <w:r w:rsidR="00AD27A1">
              <w:rPr>
                <w:i/>
              </w:rPr>
              <w:t xml:space="preserve"> name</w:t>
            </w:r>
            <w:r w:rsidR="001B5C90">
              <w:rPr>
                <w:i/>
              </w:rPr>
              <w:t>:</w:t>
            </w:r>
          </w:p>
        </w:tc>
        <w:tc>
          <w:tcPr>
            <w:tcW w:w="6307" w:type="dxa"/>
          </w:tcPr>
          <w:p w14:paraId="0660F5EA" w14:textId="77777777" w:rsidR="008E7846" w:rsidRPr="00487162" w:rsidRDefault="000845B1" w:rsidP="00E45619">
            <w:r>
              <w:t>Xofluza</w:t>
            </w:r>
          </w:p>
        </w:tc>
      </w:tr>
      <w:tr w:rsidR="000845B1" w:rsidRPr="00487162" w14:paraId="1A041835" w14:textId="77777777" w:rsidTr="00BF1190">
        <w:tc>
          <w:tcPr>
            <w:tcW w:w="2907" w:type="dxa"/>
          </w:tcPr>
          <w:p w14:paraId="7539B037" w14:textId="77777777" w:rsidR="000845B1" w:rsidRPr="00487162" w:rsidRDefault="000845B1" w:rsidP="000845B1">
            <w:pPr>
              <w:rPr>
                <w:i/>
              </w:rPr>
            </w:pPr>
            <w:r w:rsidRPr="00487162">
              <w:rPr>
                <w:i/>
              </w:rPr>
              <w:t xml:space="preserve">Sponsor’s </w:t>
            </w:r>
            <w:r>
              <w:rPr>
                <w:i/>
              </w:rPr>
              <w:t>n</w:t>
            </w:r>
            <w:r w:rsidRPr="00487162">
              <w:rPr>
                <w:i/>
              </w:rPr>
              <w:t xml:space="preserve">ame and </w:t>
            </w:r>
            <w:r>
              <w:rPr>
                <w:i/>
              </w:rPr>
              <w:t>a</w:t>
            </w:r>
            <w:r w:rsidRPr="00487162">
              <w:rPr>
                <w:i/>
              </w:rPr>
              <w:t>ddress:</w:t>
            </w:r>
          </w:p>
        </w:tc>
        <w:tc>
          <w:tcPr>
            <w:tcW w:w="6307" w:type="dxa"/>
          </w:tcPr>
          <w:p w14:paraId="412A24E4" w14:textId="77777777" w:rsidR="000845B1" w:rsidRPr="00E90BB1" w:rsidRDefault="000845B1" w:rsidP="000845B1">
            <w:r w:rsidRPr="00E90BB1">
              <w:t>Roche Products Pty Limited</w:t>
            </w:r>
          </w:p>
          <w:p w14:paraId="08D622DC" w14:textId="77777777" w:rsidR="000845B1" w:rsidRPr="00E90BB1" w:rsidRDefault="000845B1" w:rsidP="000845B1">
            <w:pPr>
              <w:rPr>
                <w:color w:val="773CBB" w:themeColor="accent5" w:themeTint="BF"/>
              </w:rPr>
            </w:pPr>
            <w:r w:rsidRPr="00E90BB1">
              <w:t xml:space="preserve">30-34 </w:t>
            </w:r>
            <w:proofErr w:type="spellStart"/>
            <w:r w:rsidRPr="00E90BB1">
              <w:t>Hickson</w:t>
            </w:r>
            <w:proofErr w:type="spellEnd"/>
            <w:r w:rsidRPr="00E90BB1">
              <w:t xml:space="preserve"> Road, Sydney NSW 2000</w:t>
            </w:r>
          </w:p>
        </w:tc>
      </w:tr>
      <w:tr w:rsidR="000845B1" w:rsidRPr="00487162" w14:paraId="735DA97C" w14:textId="77777777" w:rsidTr="00BF1190">
        <w:tc>
          <w:tcPr>
            <w:tcW w:w="2907" w:type="dxa"/>
          </w:tcPr>
          <w:p w14:paraId="2A216B44" w14:textId="77777777" w:rsidR="000845B1" w:rsidRPr="00487162" w:rsidRDefault="000845B1" w:rsidP="000845B1">
            <w:pPr>
              <w:rPr>
                <w:i/>
              </w:rPr>
            </w:pPr>
            <w:r>
              <w:rPr>
                <w:i/>
              </w:rPr>
              <w:t>Dose f</w:t>
            </w:r>
            <w:r w:rsidR="00AD27A1">
              <w:rPr>
                <w:i/>
              </w:rPr>
              <w:t>orm</w:t>
            </w:r>
            <w:r>
              <w:rPr>
                <w:i/>
              </w:rPr>
              <w:t>:</w:t>
            </w:r>
          </w:p>
        </w:tc>
        <w:tc>
          <w:tcPr>
            <w:tcW w:w="6307" w:type="dxa"/>
          </w:tcPr>
          <w:p w14:paraId="5F1CEA84" w14:textId="77777777" w:rsidR="000845B1" w:rsidRPr="00F96B9E" w:rsidRDefault="000845B1" w:rsidP="000845B1">
            <w:r w:rsidRPr="00F96B9E">
              <w:t>Film coated tablet</w:t>
            </w:r>
          </w:p>
        </w:tc>
      </w:tr>
      <w:tr w:rsidR="000845B1" w:rsidRPr="00487162" w14:paraId="3DF695CB" w14:textId="77777777" w:rsidTr="00BF1190">
        <w:tc>
          <w:tcPr>
            <w:tcW w:w="2907" w:type="dxa"/>
          </w:tcPr>
          <w:p w14:paraId="6B3BEA96" w14:textId="77777777" w:rsidR="000845B1" w:rsidRPr="00487162" w:rsidRDefault="00AD27A1" w:rsidP="000845B1">
            <w:pPr>
              <w:rPr>
                <w:i/>
              </w:rPr>
            </w:pPr>
            <w:r>
              <w:rPr>
                <w:i/>
              </w:rPr>
              <w:t>Strengths</w:t>
            </w:r>
            <w:r w:rsidR="000845B1" w:rsidRPr="00487162">
              <w:rPr>
                <w:i/>
              </w:rPr>
              <w:t xml:space="preserve">: </w:t>
            </w:r>
          </w:p>
        </w:tc>
        <w:tc>
          <w:tcPr>
            <w:tcW w:w="6307" w:type="dxa"/>
          </w:tcPr>
          <w:p w14:paraId="74A37619" w14:textId="77777777" w:rsidR="000845B1" w:rsidRPr="00D75678" w:rsidRDefault="000845B1" w:rsidP="000845B1">
            <w:r w:rsidRPr="00F96B9E">
              <w:t>20 mg, 40 mg</w:t>
            </w:r>
          </w:p>
        </w:tc>
      </w:tr>
      <w:tr w:rsidR="000845B1" w:rsidRPr="00487162" w14:paraId="6A816BA3" w14:textId="77777777" w:rsidTr="00BF1190">
        <w:tc>
          <w:tcPr>
            <w:tcW w:w="2907" w:type="dxa"/>
          </w:tcPr>
          <w:p w14:paraId="37DD5833" w14:textId="77777777" w:rsidR="000845B1" w:rsidRPr="00487162" w:rsidRDefault="00AD27A1" w:rsidP="000845B1">
            <w:pPr>
              <w:rPr>
                <w:i/>
              </w:rPr>
            </w:pPr>
            <w:r>
              <w:rPr>
                <w:i/>
              </w:rPr>
              <w:t>Container</w:t>
            </w:r>
            <w:r w:rsidR="000845B1" w:rsidRPr="00487162">
              <w:rPr>
                <w:i/>
              </w:rPr>
              <w:t>:</w:t>
            </w:r>
          </w:p>
        </w:tc>
        <w:tc>
          <w:tcPr>
            <w:tcW w:w="6307" w:type="dxa"/>
          </w:tcPr>
          <w:p w14:paraId="418D72FF" w14:textId="77777777" w:rsidR="000845B1" w:rsidRPr="00967406" w:rsidRDefault="000845B1" w:rsidP="000845B1">
            <w:r w:rsidRPr="00967406">
              <w:t>Blister pack</w:t>
            </w:r>
          </w:p>
        </w:tc>
      </w:tr>
      <w:tr w:rsidR="000845B1" w:rsidRPr="00487162" w14:paraId="2FEBE7D7" w14:textId="77777777" w:rsidTr="00BF1190">
        <w:tc>
          <w:tcPr>
            <w:tcW w:w="2907" w:type="dxa"/>
          </w:tcPr>
          <w:p w14:paraId="020B459A" w14:textId="77777777" w:rsidR="000845B1" w:rsidRPr="00487162" w:rsidRDefault="00AD27A1" w:rsidP="000845B1">
            <w:pPr>
              <w:rPr>
                <w:i/>
              </w:rPr>
            </w:pPr>
            <w:r>
              <w:rPr>
                <w:i/>
              </w:rPr>
              <w:t>Pack size</w:t>
            </w:r>
            <w:r w:rsidR="000845B1" w:rsidRPr="00487162">
              <w:rPr>
                <w:i/>
              </w:rPr>
              <w:t>:</w:t>
            </w:r>
          </w:p>
        </w:tc>
        <w:tc>
          <w:tcPr>
            <w:tcW w:w="6307" w:type="dxa"/>
          </w:tcPr>
          <w:p w14:paraId="0579E251" w14:textId="77777777" w:rsidR="000845B1" w:rsidRDefault="000845B1" w:rsidP="000845B1">
            <w:r w:rsidRPr="00967406">
              <w:t>2</w:t>
            </w:r>
          </w:p>
        </w:tc>
      </w:tr>
      <w:tr w:rsidR="008E7846" w:rsidRPr="00487162" w14:paraId="0DD92481" w14:textId="77777777" w:rsidTr="00BF1190">
        <w:tc>
          <w:tcPr>
            <w:tcW w:w="2907" w:type="dxa"/>
          </w:tcPr>
          <w:p w14:paraId="0829E63C"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4A724CCC" w14:textId="77777777" w:rsidR="00650675" w:rsidRPr="00F96B9E" w:rsidRDefault="00650675" w:rsidP="00650675">
            <w:pPr>
              <w:rPr>
                <w:i/>
              </w:rPr>
            </w:pPr>
            <w:r w:rsidRPr="00F96B9E">
              <w:rPr>
                <w:i/>
              </w:rPr>
              <w:t>Xofluza is indicated for the treatment of uncomplicated influenza in patients aged 12 years of age and older who have been symptomatic for no more than 48 hours and who are:</w:t>
            </w:r>
          </w:p>
          <w:p w14:paraId="1DF90AC3" w14:textId="77777777" w:rsidR="00650675" w:rsidRPr="00F96B9E" w:rsidRDefault="00650675" w:rsidP="00650675">
            <w:pPr>
              <w:pStyle w:val="ListBullet"/>
              <w:rPr>
                <w:i/>
              </w:rPr>
            </w:pPr>
            <w:r w:rsidRPr="00F96B9E">
              <w:rPr>
                <w:i/>
              </w:rPr>
              <w:t>otherwise healthy, or</w:t>
            </w:r>
          </w:p>
          <w:p w14:paraId="761E9222" w14:textId="77777777" w:rsidR="008E7846" w:rsidRPr="00650675" w:rsidRDefault="00650675" w:rsidP="00E45619">
            <w:pPr>
              <w:pStyle w:val="ListBullet"/>
              <w:rPr>
                <w:i/>
              </w:rPr>
            </w:pPr>
            <w:r w:rsidRPr="00F96B9E">
              <w:rPr>
                <w:i/>
              </w:rPr>
              <w:t>at high risk of developing influenza complications.</w:t>
            </w:r>
          </w:p>
        </w:tc>
      </w:tr>
      <w:tr w:rsidR="000845B1" w:rsidRPr="00487162" w14:paraId="257A678A" w14:textId="77777777" w:rsidTr="00BF1190">
        <w:tc>
          <w:tcPr>
            <w:tcW w:w="2907" w:type="dxa"/>
          </w:tcPr>
          <w:p w14:paraId="5E5A2FF8" w14:textId="7EF0A4B6" w:rsidR="000845B1" w:rsidRPr="00487162" w:rsidRDefault="00B5278D" w:rsidP="000845B1">
            <w:pPr>
              <w:rPr>
                <w:i/>
              </w:rPr>
            </w:pPr>
            <w:r>
              <w:rPr>
                <w:i/>
              </w:rPr>
              <w:t>Route</w:t>
            </w:r>
            <w:r w:rsidR="000845B1" w:rsidRPr="00487162">
              <w:rPr>
                <w:i/>
              </w:rPr>
              <w:t xml:space="preserve"> of administration:</w:t>
            </w:r>
          </w:p>
        </w:tc>
        <w:tc>
          <w:tcPr>
            <w:tcW w:w="6307" w:type="dxa"/>
          </w:tcPr>
          <w:p w14:paraId="44EF2565" w14:textId="77777777" w:rsidR="000845B1" w:rsidRPr="00D75678" w:rsidRDefault="000845B1" w:rsidP="000845B1">
            <w:r w:rsidRPr="00D30091">
              <w:t>Oral</w:t>
            </w:r>
          </w:p>
        </w:tc>
      </w:tr>
      <w:tr w:rsidR="000845B1" w:rsidRPr="00487162" w14:paraId="3BB49721" w14:textId="77777777" w:rsidTr="00BF1190">
        <w:tc>
          <w:tcPr>
            <w:tcW w:w="2907" w:type="dxa"/>
          </w:tcPr>
          <w:p w14:paraId="63E2D66C" w14:textId="77777777" w:rsidR="000845B1" w:rsidRPr="00487162" w:rsidRDefault="000845B1" w:rsidP="000845B1">
            <w:pPr>
              <w:rPr>
                <w:i/>
              </w:rPr>
            </w:pPr>
            <w:r w:rsidRPr="00487162">
              <w:rPr>
                <w:i/>
              </w:rPr>
              <w:t>Dosage:</w:t>
            </w:r>
          </w:p>
        </w:tc>
        <w:tc>
          <w:tcPr>
            <w:tcW w:w="6307" w:type="dxa"/>
          </w:tcPr>
          <w:p w14:paraId="1048DD68" w14:textId="77777777" w:rsidR="000845B1" w:rsidRPr="00F96B9E" w:rsidRDefault="000845B1" w:rsidP="000845B1">
            <w:r w:rsidRPr="00F96B9E">
              <w:t>A single oral dose of Xofluza should be taken within 48 hours of symptom onset.</w:t>
            </w:r>
          </w:p>
          <w:p w14:paraId="56628F09" w14:textId="77777777" w:rsidR="000845B1" w:rsidRPr="00F96B9E" w:rsidRDefault="000845B1" w:rsidP="000845B1">
            <w:pPr>
              <w:rPr>
                <w:i/>
              </w:rPr>
            </w:pPr>
            <w:r w:rsidRPr="00F96B9E">
              <w:rPr>
                <w:i/>
              </w:rPr>
              <w:t>Adults and Adolescents (≥ 12 years of age)</w:t>
            </w:r>
          </w:p>
          <w:p w14:paraId="1E162536" w14:textId="77777777" w:rsidR="000845B1" w:rsidRPr="00F96B9E" w:rsidRDefault="000845B1" w:rsidP="000845B1">
            <w:r w:rsidRPr="00F96B9E">
              <w:t>The recommended dose of Xofluza depending on body weight is:</w:t>
            </w:r>
          </w:p>
          <w:p w14:paraId="529E5365" w14:textId="77777777" w:rsidR="000845B1" w:rsidRPr="00F96B9E" w:rsidRDefault="000845B1" w:rsidP="00D90248">
            <w:pPr>
              <w:pStyle w:val="ListBullet"/>
            </w:pPr>
            <w:r w:rsidRPr="00F96B9E">
              <w:t>40 kg to &lt; 80 kg</w:t>
            </w:r>
            <w:r>
              <w:t>:</w:t>
            </w:r>
            <w:r w:rsidRPr="00F96B9E">
              <w:t xml:space="preserve"> 40 mg</w:t>
            </w:r>
            <w:r>
              <w:t>.</w:t>
            </w:r>
          </w:p>
          <w:p w14:paraId="1EF22E2C" w14:textId="77777777" w:rsidR="000845B1" w:rsidRPr="00F96B9E" w:rsidRDefault="000845B1" w:rsidP="00D90248">
            <w:pPr>
              <w:pStyle w:val="ListBullet"/>
            </w:pPr>
            <w:r w:rsidRPr="00F96B9E">
              <w:t>≥ 80 kg</w:t>
            </w:r>
            <w:r>
              <w:t>:</w:t>
            </w:r>
            <w:r w:rsidRPr="00F96B9E">
              <w:t xml:space="preserve"> 80 mg</w:t>
            </w:r>
          </w:p>
          <w:p w14:paraId="4BE217B7" w14:textId="2FE0E87C" w:rsidR="000845B1" w:rsidRPr="00D75678" w:rsidRDefault="000845B1" w:rsidP="000845B1">
            <w:r w:rsidRPr="007473D5">
              <w:lastRenderedPageBreak/>
              <w:t xml:space="preserve">For further information </w:t>
            </w:r>
            <w:r w:rsidR="00B5278D">
              <w:t>on dosage</w:t>
            </w:r>
            <w:r w:rsidR="00D90248">
              <w:t>,</w:t>
            </w:r>
            <w:r w:rsidR="00B5278D">
              <w:t xml:space="preserve"> </w:t>
            </w:r>
            <w:r w:rsidRPr="007473D5">
              <w:t>refer to the Product Information.</w:t>
            </w:r>
          </w:p>
        </w:tc>
      </w:tr>
    </w:tbl>
    <w:p w14:paraId="1A16AA0D" w14:textId="77777777" w:rsidR="008E7846" w:rsidRDefault="008E7846" w:rsidP="008E7846">
      <w:pPr>
        <w:pStyle w:val="Heading3"/>
      </w:pPr>
      <w:bookmarkStart w:id="13" w:name="_Toc247691503"/>
      <w:bookmarkStart w:id="14" w:name="_Toc314842484"/>
      <w:bookmarkStart w:id="15" w:name="_Toc42768437"/>
      <w:r>
        <w:lastRenderedPageBreak/>
        <w:t>Product background</w:t>
      </w:r>
      <w:bookmarkEnd w:id="13"/>
      <w:bookmarkEnd w:id="14"/>
      <w:bookmarkEnd w:id="15"/>
    </w:p>
    <w:p w14:paraId="72867F20" w14:textId="55D073B7" w:rsidR="008E7846" w:rsidRDefault="00940A89" w:rsidP="00940A89">
      <w:r w:rsidRPr="00940A89">
        <w:t xml:space="preserve">This AusPAR describes the application by </w:t>
      </w:r>
      <w:r w:rsidR="00650675" w:rsidRPr="00E90BB1">
        <w:t>Roche Products Pty Limited</w:t>
      </w:r>
      <w:r w:rsidR="00650675" w:rsidRPr="00940A89">
        <w:t xml:space="preserve"> </w:t>
      </w:r>
      <w:r w:rsidR="00650675">
        <w:t>(</w:t>
      </w:r>
      <w:r w:rsidRPr="00940A89">
        <w:t>the sponsor</w:t>
      </w:r>
      <w:r w:rsidR="00650675">
        <w:t>)</w:t>
      </w:r>
      <w:r w:rsidRPr="00940A89">
        <w:t xml:space="preserve"> to register </w:t>
      </w:r>
      <w:r w:rsidR="00650675">
        <w:rPr>
          <w:rFonts w:eastAsia="Calibri"/>
        </w:rPr>
        <w:t>Xofluza (b</w:t>
      </w:r>
      <w:r w:rsidR="00650675" w:rsidRPr="00F96B9E">
        <w:rPr>
          <w:rFonts w:eastAsia="Calibri"/>
        </w:rPr>
        <w:t>aloxavir marboxil</w:t>
      </w:r>
      <w:r w:rsidR="00650675">
        <w:rPr>
          <w:rFonts w:eastAsia="Calibri"/>
        </w:rPr>
        <w:t>) 20 mg and 40 mg film coated tablets</w:t>
      </w:r>
      <w:r w:rsidRPr="00940A89">
        <w:t xml:space="preserve"> f</w:t>
      </w:r>
      <w:r w:rsidR="00AE3EB8">
        <w:t>or the following proposed indication:</w:t>
      </w:r>
    </w:p>
    <w:p w14:paraId="17203088" w14:textId="34744E1D" w:rsidR="00AE3EB8" w:rsidRPr="00AE3EB8" w:rsidRDefault="00AE3EB8" w:rsidP="00AE3EB8">
      <w:pPr>
        <w:ind w:left="720"/>
        <w:rPr>
          <w:i/>
        </w:rPr>
      </w:pPr>
      <w:r w:rsidRPr="00AE3EB8">
        <w:rPr>
          <w:i/>
        </w:rPr>
        <w:t>Xofluza is indicated for the treatment of influenza in patients aged 12 and above who have been symptomatic for no more than 48 hours.</w:t>
      </w:r>
    </w:p>
    <w:p w14:paraId="449E1F8C" w14:textId="36CDA0DE" w:rsidR="00AE3EB8" w:rsidRPr="00AE3EB8" w:rsidRDefault="00AE3EB8" w:rsidP="00AE3EB8">
      <w:pPr>
        <w:ind w:left="720"/>
        <w:rPr>
          <w:i/>
        </w:rPr>
      </w:pPr>
      <w:r w:rsidRPr="00AE3EB8">
        <w:rPr>
          <w:i/>
        </w:rPr>
        <w:t>Xofluza is indicated for the treatment of influenza in patients aged 12 and above who have been symptomatic for no more than 48 hours, and are at high risk of developing influenza complications.</w:t>
      </w:r>
    </w:p>
    <w:p w14:paraId="4B75FAA4" w14:textId="6F842279" w:rsidR="00F772CE" w:rsidRDefault="00F772CE" w:rsidP="00AE3EB8">
      <w:pPr>
        <w:rPr>
          <w:lang w:eastAsia="ja-JP"/>
        </w:rPr>
      </w:pPr>
      <w:r>
        <w:rPr>
          <w:lang w:eastAsia="ja-JP"/>
        </w:rPr>
        <w:t>Influenza is an acute and usually self-limiting respiratory infection caused by the influenza</w:t>
      </w:r>
      <w:r w:rsidR="00000790">
        <w:rPr>
          <w:lang w:eastAsia="ja-JP"/>
        </w:rPr>
        <w:t> </w:t>
      </w:r>
      <w:r>
        <w:rPr>
          <w:lang w:eastAsia="ja-JP"/>
        </w:rPr>
        <w:t>A and B virus. Influenza is spread via airborne droplets and it is highly contagious. The incubation period is typically one to four days and characteristically has a rapid onset. Typical symptoms are high fever, chills, headache, muscle pains and loss of appetite. Respiratory symptoms typically include cough, sore throat and nasal congestion. Severe complications of influenza include primary viral pneumonia, leading to respiratory failure and death; superimposed bacterial infection such as bronchitis, sinus, and otitis media; and decompensation of underlying diseases such as asthma, other chronic lung diseases, and congestive cardiac failure. Hospitalisations and deaths can occur at any age but most occur in children under five years of age and in the elderly.</w:t>
      </w:r>
    </w:p>
    <w:p w14:paraId="081D5440" w14:textId="77777777" w:rsidR="00F772CE" w:rsidRDefault="00F772CE" w:rsidP="00F772CE">
      <w:pPr>
        <w:rPr>
          <w:lang w:eastAsia="ja-JP"/>
        </w:rPr>
      </w:pPr>
      <w:r>
        <w:rPr>
          <w:lang w:eastAsia="ja-JP"/>
        </w:rPr>
        <w:t>Influenza typically occurs as winter epidemics in temperate climates but endemically in tropical climates with more limited outbreaks year round. In Australia, epidemics occur mainly during winter in temperate regions, while the pattern of infection in sub-tropical and tropical regions is less predictable. Episodic pandemics may result in millions of severe cases worldwide with up to 650,000 deaths every year. In Australia, influenza causes approximately 100 deaths and 5100 hospitalisations annually although these are likely to be significantly under-reported. Mathematical modelling suggests that there are more than 3000 deaths and more than 13,500 hospitalisations annually due to influenza in Australians aged more than 50 years.</w:t>
      </w:r>
      <w:r w:rsidR="00AD27A1">
        <w:rPr>
          <w:rStyle w:val="FootnoteReference"/>
          <w:lang w:eastAsia="ja-JP"/>
        </w:rPr>
        <w:footnoteReference w:id="1"/>
      </w:r>
      <w:r>
        <w:rPr>
          <w:lang w:eastAsia="ja-JP"/>
        </w:rPr>
        <w:t xml:space="preserve"> The incidence and severity of epidemics and pandemics is dependent in part on the effectiveness of vaccines to new emerging viral strains.</w:t>
      </w:r>
    </w:p>
    <w:p w14:paraId="6835D997" w14:textId="6850DCCF" w:rsidR="00F772CE" w:rsidRDefault="00F772CE" w:rsidP="00F772CE">
      <w:pPr>
        <w:rPr>
          <w:lang w:eastAsia="ja-JP"/>
        </w:rPr>
      </w:pPr>
      <w:r>
        <w:rPr>
          <w:lang w:eastAsia="ja-JP"/>
        </w:rPr>
        <w:t>In Australia, the National Influenza Surveillance Scheme monitors the incidence and prevalence of influenza and is responsible for pandemic planning. Prevention of influenza through vaccination programs is the most effective way of controlling the disease. In Australia, vaccination is widely available and is recommended for anyone aged six months or older, and is funded by the National Immunisation Program for high risk patients</w:t>
      </w:r>
      <w:r w:rsidR="00F14871">
        <w:rPr>
          <w:lang w:eastAsia="ja-JP"/>
        </w:rPr>
        <w:t>,</w:t>
      </w:r>
      <w:r>
        <w:rPr>
          <w:lang w:eastAsia="ja-JP"/>
        </w:rPr>
        <w:t xml:space="preserve"> including the elderly. Treatment with antiviral drugs is not recommended as a substitute for vaccination but as an option if vaccination is ineffective or unavailable. Vaccines take months to manufacture and rapid antigen shifts may limit effectiveness. In addition, vaccination is contraindicated in some patients. In Australia, the </w:t>
      </w:r>
      <w:r w:rsidR="00AD27A1">
        <w:rPr>
          <w:lang w:eastAsia="ja-JP"/>
        </w:rPr>
        <w:t>matrix-2 (</w:t>
      </w:r>
      <w:r>
        <w:rPr>
          <w:lang w:eastAsia="ja-JP"/>
        </w:rPr>
        <w:t>M2</w:t>
      </w:r>
      <w:r w:rsidR="00AD27A1">
        <w:rPr>
          <w:lang w:eastAsia="ja-JP"/>
        </w:rPr>
        <w:t>)</w:t>
      </w:r>
      <w:r>
        <w:rPr>
          <w:lang w:eastAsia="ja-JP"/>
        </w:rPr>
        <w:t xml:space="preserve"> ion-channel blocker amantadine is registered but not recommended due to widesp</w:t>
      </w:r>
      <w:r w:rsidR="00AD27A1">
        <w:rPr>
          <w:lang w:eastAsia="ja-JP"/>
        </w:rPr>
        <w:t xml:space="preserve">read transmissible resistance. </w:t>
      </w:r>
      <w:r>
        <w:rPr>
          <w:lang w:eastAsia="ja-JP"/>
        </w:rPr>
        <w:t>Neuraminidase inhibitors (</w:t>
      </w:r>
      <w:r w:rsidR="00184966">
        <w:rPr>
          <w:lang w:eastAsia="ja-JP"/>
        </w:rPr>
        <w:t xml:space="preserve">NAI; </w:t>
      </w:r>
      <w:proofErr w:type="spellStart"/>
      <w:r>
        <w:rPr>
          <w:lang w:eastAsia="ja-JP"/>
        </w:rPr>
        <w:t>oseltamivir</w:t>
      </w:r>
      <w:proofErr w:type="spellEnd"/>
      <w:r>
        <w:rPr>
          <w:lang w:eastAsia="ja-JP"/>
        </w:rPr>
        <w:t xml:space="preserve">, </w:t>
      </w:r>
      <w:proofErr w:type="spellStart"/>
      <w:r>
        <w:rPr>
          <w:lang w:eastAsia="ja-JP"/>
        </w:rPr>
        <w:t>zanamivir</w:t>
      </w:r>
      <w:proofErr w:type="spellEnd"/>
      <w:r>
        <w:rPr>
          <w:lang w:eastAsia="ja-JP"/>
        </w:rPr>
        <w:t xml:space="preserve"> and </w:t>
      </w:r>
      <w:proofErr w:type="spellStart"/>
      <w:r>
        <w:rPr>
          <w:lang w:eastAsia="ja-JP"/>
        </w:rPr>
        <w:t>peramivir</w:t>
      </w:r>
      <w:proofErr w:type="spellEnd"/>
      <w:r>
        <w:rPr>
          <w:lang w:eastAsia="ja-JP"/>
        </w:rPr>
        <w:t xml:space="preserve">) are registered in Australia. </w:t>
      </w:r>
      <w:r w:rsidR="00F14871">
        <w:rPr>
          <w:lang w:eastAsia="ja-JP"/>
        </w:rPr>
        <w:t xml:space="preserve">NAIs are effective but they form a single class which may become vulnerable to a highly mutable virus. </w:t>
      </w:r>
      <w:proofErr w:type="spellStart"/>
      <w:r>
        <w:rPr>
          <w:lang w:eastAsia="ja-JP"/>
        </w:rPr>
        <w:t>Oseltamivir</w:t>
      </w:r>
      <w:proofErr w:type="spellEnd"/>
      <w:r>
        <w:rPr>
          <w:lang w:eastAsia="ja-JP"/>
        </w:rPr>
        <w:t xml:space="preserve"> and </w:t>
      </w:r>
      <w:proofErr w:type="spellStart"/>
      <w:r>
        <w:rPr>
          <w:lang w:eastAsia="ja-JP"/>
        </w:rPr>
        <w:t>zanamivir</w:t>
      </w:r>
      <w:proofErr w:type="spellEnd"/>
      <w:r>
        <w:rPr>
          <w:lang w:eastAsia="ja-JP"/>
        </w:rPr>
        <w:t xml:space="preserve"> are taken </w:t>
      </w:r>
      <w:r>
        <w:rPr>
          <w:lang w:eastAsia="ja-JP"/>
        </w:rPr>
        <w:lastRenderedPageBreak/>
        <w:t xml:space="preserve">orally </w:t>
      </w:r>
      <w:r w:rsidR="00AD27A1">
        <w:rPr>
          <w:lang w:eastAsia="ja-JP"/>
        </w:rPr>
        <w:t>twice daily (</w:t>
      </w:r>
      <w:r>
        <w:rPr>
          <w:lang w:eastAsia="ja-JP"/>
        </w:rPr>
        <w:t>BID</w:t>
      </w:r>
      <w:r w:rsidR="00AD27A1">
        <w:rPr>
          <w:lang w:eastAsia="ja-JP"/>
        </w:rPr>
        <w:t>)</w:t>
      </w:r>
      <w:r>
        <w:rPr>
          <w:lang w:eastAsia="ja-JP"/>
        </w:rPr>
        <w:t xml:space="preserve"> for five days, and </w:t>
      </w:r>
      <w:proofErr w:type="spellStart"/>
      <w:r>
        <w:rPr>
          <w:lang w:eastAsia="ja-JP"/>
        </w:rPr>
        <w:t>peramivir</w:t>
      </w:r>
      <w:proofErr w:type="spellEnd"/>
      <w:r>
        <w:rPr>
          <w:lang w:eastAsia="ja-JP"/>
        </w:rPr>
        <w:t xml:space="preserve"> is given </w:t>
      </w:r>
      <w:r w:rsidR="00000790">
        <w:rPr>
          <w:lang w:eastAsia="ja-JP"/>
        </w:rPr>
        <w:t>intravenously (</w:t>
      </w:r>
      <w:r>
        <w:rPr>
          <w:lang w:eastAsia="ja-JP"/>
        </w:rPr>
        <w:t>IV</w:t>
      </w:r>
      <w:r w:rsidR="00000790">
        <w:rPr>
          <w:lang w:eastAsia="ja-JP"/>
        </w:rPr>
        <w:t>)</w:t>
      </w:r>
      <w:r>
        <w:rPr>
          <w:lang w:eastAsia="ja-JP"/>
        </w:rPr>
        <w:t xml:space="preserve"> as a single dose.</w:t>
      </w:r>
    </w:p>
    <w:p w14:paraId="74E9547D" w14:textId="4FEF9069" w:rsidR="00940A89" w:rsidRDefault="00F772CE" w:rsidP="00F772CE">
      <w:r>
        <w:rPr>
          <w:lang w:eastAsia="ja-JP"/>
        </w:rPr>
        <w:t xml:space="preserve">Baloxavir </w:t>
      </w:r>
      <w:r w:rsidR="00857332">
        <w:t>marboxil</w:t>
      </w:r>
      <w:r w:rsidR="00857332">
        <w:rPr>
          <w:lang w:eastAsia="ja-JP"/>
        </w:rPr>
        <w:t xml:space="preserve"> </w:t>
      </w:r>
      <w:r>
        <w:rPr>
          <w:lang w:eastAsia="ja-JP"/>
        </w:rPr>
        <w:t>is a new class of antiviral agent with a novel mechanism of action.</w:t>
      </w:r>
      <w:r w:rsidR="00B3596B">
        <w:rPr>
          <w:lang w:eastAsia="ja-JP"/>
        </w:rPr>
        <w:t xml:space="preserve"> It acts on cap-dependent endonuclease (CEN), an influenza virus-specific enzyme in the polymerase acidic </w:t>
      </w:r>
      <w:r w:rsidR="00A817BC">
        <w:rPr>
          <w:lang w:eastAsia="ja-JP"/>
        </w:rPr>
        <w:t xml:space="preserve">protein </w:t>
      </w:r>
      <w:r w:rsidR="00B3596B">
        <w:rPr>
          <w:lang w:eastAsia="ja-JP"/>
        </w:rPr>
        <w:t xml:space="preserve">(PA) subunit of the viral </w:t>
      </w:r>
      <w:r w:rsidR="00162248">
        <w:t>r</w:t>
      </w:r>
      <w:r w:rsidR="00162248" w:rsidRPr="00F772CE">
        <w:t>ibonucleic acid</w:t>
      </w:r>
      <w:r w:rsidR="00162248">
        <w:rPr>
          <w:lang w:eastAsia="ja-JP"/>
        </w:rPr>
        <w:t xml:space="preserve"> (</w:t>
      </w:r>
      <w:r w:rsidR="00B3596B">
        <w:rPr>
          <w:lang w:eastAsia="ja-JP"/>
        </w:rPr>
        <w:t>RNA</w:t>
      </w:r>
      <w:r w:rsidR="00162248">
        <w:rPr>
          <w:lang w:eastAsia="ja-JP"/>
        </w:rPr>
        <w:t>)</w:t>
      </w:r>
      <w:r w:rsidR="00B3596B">
        <w:rPr>
          <w:lang w:eastAsia="ja-JP"/>
        </w:rPr>
        <w:t xml:space="preserve"> polymerase complex. It inhibits the transcription of influenza virus genomes resulting in the inhibition of influenza virus replication.</w:t>
      </w:r>
      <w:r>
        <w:rPr>
          <w:lang w:eastAsia="ja-JP"/>
        </w:rPr>
        <w:t xml:space="preserve"> Cross-resistance with ba</w:t>
      </w:r>
      <w:r w:rsidR="00D90248">
        <w:rPr>
          <w:lang w:eastAsia="ja-JP"/>
        </w:rPr>
        <w:t>loxavir marboxil and other anti</w:t>
      </w:r>
      <w:r w:rsidR="00D90248">
        <w:rPr>
          <w:lang w:eastAsia="ja-JP"/>
        </w:rPr>
        <w:noBreakHyphen/>
      </w:r>
      <w:r>
        <w:rPr>
          <w:lang w:eastAsia="ja-JP"/>
        </w:rPr>
        <w:t xml:space="preserve">influenza drugs is not expected, and effectiveness against strains with resistance to </w:t>
      </w:r>
      <w:r w:rsidR="00F14871">
        <w:rPr>
          <w:lang w:eastAsia="ja-JP"/>
        </w:rPr>
        <w:t>NAIs</w:t>
      </w:r>
      <w:r w:rsidR="00857332">
        <w:rPr>
          <w:lang w:eastAsia="ja-JP"/>
        </w:rPr>
        <w:t xml:space="preserve"> is anticipated. The s</w:t>
      </w:r>
      <w:r>
        <w:rPr>
          <w:lang w:eastAsia="ja-JP"/>
        </w:rPr>
        <w:t xml:space="preserve">ponsor proposes that baloxavir marboxil will be an effective, alternative option to the </w:t>
      </w:r>
      <w:r w:rsidR="00F14871">
        <w:rPr>
          <w:lang w:eastAsia="ja-JP"/>
        </w:rPr>
        <w:t>NAIs</w:t>
      </w:r>
      <w:r>
        <w:rPr>
          <w:lang w:eastAsia="ja-JP"/>
        </w:rPr>
        <w:t xml:space="preserve"> with the advantage of a single oral dose.</w:t>
      </w:r>
    </w:p>
    <w:p w14:paraId="365B290F" w14:textId="436E3E75" w:rsidR="00650675" w:rsidRPr="00650675" w:rsidRDefault="00650675" w:rsidP="00940A89">
      <w:pPr>
        <w:rPr>
          <w:rFonts w:eastAsia="Calibri"/>
        </w:rPr>
      </w:pPr>
      <w:r>
        <w:rPr>
          <w:rFonts w:eastAsia="Calibri"/>
        </w:rPr>
        <w:t xml:space="preserve">This application was evaluated as part of the </w:t>
      </w:r>
      <w:r w:rsidRPr="0048676C">
        <w:rPr>
          <w:rFonts w:eastAsia="Calibri"/>
        </w:rPr>
        <w:t>Australia-Canada-Singapore-Switzerland (ACSS) Consortium</w:t>
      </w:r>
      <w:r>
        <w:rPr>
          <w:rFonts w:eastAsia="Calibri"/>
        </w:rPr>
        <w:t>, with work-sharing between</w:t>
      </w:r>
      <w:r w:rsidR="00000790">
        <w:rPr>
          <w:rFonts w:eastAsia="Calibri"/>
        </w:rPr>
        <w:t xml:space="preserve"> the</w:t>
      </w:r>
      <w:r>
        <w:rPr>
          <w:rFonts w:eastAsia="Calibri"/>
        </w:rPr>
        <w:t xml:space="preserve"> TGA, Health Canada and Swissmedic.</w:t>
      </w:r>
      <w:r w:rsidR="00000790">
        <w:rPr>
          <w:rStyle w:val="FootnoteReference"/>
          <w:rFonts w:eastAsia="Calibri"/>
        </w:rPr>
        <w:footnoteReference w:id="2"/>
      </w:r>
      <w:r>
        <w:rPr>
          <w:rFonts w:eastAsia="Calibri"/>
        </w:rPr>
        <w:t xml:space="preserve"> E</w:t>
      </w:r>
      <w:r w:rsidRPr="0048676C">
        <w:rPr>
          <w:rFonts w:eastAsia="Calibri"/>
        </w:rPr>
        <w:t>ach regulator made independent decisions regarding approval (market authorisation) of the new medicine.</w:t>
      </w:r>
    </w:p>
    <w:p w14:paraId="624302C8" w14:textId="77777777" w:rsidR="008E7846" w:rsidRPr="003F31A2" w:rsidRDefault="00386150" w:rsidP="008E7846">
      <w:pPr>
        <w:pStyle w:val="Heading3"/>
      </w:pPr>
      <w:bookmarkStart w:id="16" w:name="_Toc314842485"/>
      <w:bookmarkStart w:id="17" w:name="_Toc247691504"/>
      <w:bookmarkStart w:id="18" w:name="_Toc42768438"/>
      <w:r>
        <w:t>Regulatory s</w:t>
      </w:r>
      <w:r w:rsidR="008E7846">
        <w:t>tatus</w:t>
      </w:r>
      <w:bookmarkEnd w:id="16"/>
      <w:bookmarkEnd w:id="17"/>
      <w:bookmarkEnd w:id="18"/>
    </w:p>
    <w:p w14:paraId="3FCEA6CC" w14:textId="77777777" w:rsidR="00940A89" w:rsidRDefault="00B3596B" w:rsidP="00940A89">
      <w:bookmarkStart w:id="19" w:name="_Toc247691505"/>
      <w:bookmarkStart w:id="20" w:name="_Toc314842486"/>
      <w:r>
        <w:rPr>
          <w:rFonts w:eastAsia="Calibri"/>
        </w:rPr>
        <w:t>Xofluza (b</w:t>
      </w:r>
      <w:r w:rsidRPr="00F96B9E">
        <w:rPr>
          <w:rFonts w:eastAsia="Calibri"/>
        </w:rPr>
        <w:t>aloxavir marboxil</w:t>
      </w:r>
      <w:r>
        <w:rPr>
          <w:rFonts w:eastAsia="Calibri"/>
        </w:rPr>
        <w:t>) is considered a new chemical entity for Australian regulatory purposes.</w:t>
      </w:r>
    </w:p>
    <w:p w14:paraId="75E1A86A" w14:textId="77777777" w:rsidR="00B3596B" w:rsidRDefault="00B3596B" w:rsidP="00B3596B">
      <w:r>
        <w:t>Baloxavir marboxil was first approved in Japan for the treatment of influenza A or B virus infection in otherwise healthy (</w:t>
      </w:r>
      <w:proofErr w:type="spellStart"/>
      <w:r>
        <w:t>OwH</w:t>
      </w:r>
      <w:proofErr w:type="spellEnd"/>
      <w:r>
        <w:t xml:space="preserve">) patients in February 2018. Baloxavir marboxil was approved in October 2018 in the United States (US), in February 2019 in Hong Kong, and in March 2019 in Thailand for the treatment of acute uncomplicated influenza in patients 12 years of age and older who have been symptomatic for no more than 48 hours. In addition, baloxavir marboxil was also approved on </w:t>
      </w:r>
      <w:r w:rsidR="00857332">
        <w:t>28 March</w:t>
      </w:r>
      <w:r>
        <w:t xml:space="preserve"> 2019 in Thailand for the treatment of influenza in patients aged 12 and above who have been symptomatic for no more than 48 hours, and are at high risk of developing influenza complications.</w:t>
      </w:r>
    </w:p>
    <w:p w14:paraId="6D06CF36" w14:textId="774DB3D4" w:rsidR="00B3596B" w:rsidRPr="00B3596B" w:rsidRDefault="00B3596B" w:rsidP="00B3596B">
      <w:r>
        <w:t xml:space="preserve">The application for high risk patients was also submitted to the </w:t>
      </w:r>
      <w:r w:rsidR="00895666">
        <w:t xml:space="preserve">US </w:t>
      </w:r>
      <w:r w:rsidR="00857332">
        <w:t>Food and Drug Administration (</w:t>
      </w:r>
      <w:r>
        <w:t>FDA</w:t>
      </w:r>
      <w:r w:rsidR="00857332">
        <w:t>)</w:t>
      </w:r>
      <w:r>
        <w:t>. The indication for patients at hi</w:t>
      </w:r>
      <w:r w:rsidR="00857332">
        <w:t>gh risk of developing influenza</w:t>
      </w:r>
      <w:r w:rsidR="00857332">
        <w:noBreakHyphen/>
      </w:r>
      <w:r>
        <w:t>related complications was approved by the FDA on 17 October 2019. The FDA approved indications are as follows:</w:t>
      </w:r>
    </w:p>
    <w:p w14:paraId="39482941" w14:textId="77777777" w:rsidR="00B3596B" w:rsidRPr="00857332" w:rsidRDefault="00857332" w:rsidP="00857332">
      <w:pPr>
        <w:ind w:left="360"/>
        <w:rPr>
          <w:i/>
        </w:rPr>
      </w:pPr>
      <w:r w:rsidRPr="00857332">
        <w:rPr>
          <w:i/>
        </w:rPr>
        <w:t>Xofluza</w:t>
      </w:r>
      <w:r w:rsidR="00B3596B" w:rsidRPr="00857332">
        <w:rPr>
          <w:i/>
        </w:rPr>
        <w:t xml:space="preserve"> is a polymerase acidic (PA) endonuclease inhibitor indicated for the treatment of acute uncomplicated influenza in patients 12 years of age and older who have been symptomatic for no more than 48 hours and who are:</w:t>
      </w:r>
    </w:p>
    <w:p w14:paraId="206365FA" w14:textId="77777777" w:rsidR="00B3596B" w:rsidRPr="00857332" w:rsidRDefault="00B3596B" w:rsidP="00857332">
      <w:pPr>
        <w:pStyle w:val="ListBullet"/>
        <w:ind w:left="720"/>
        <w:rPr>
          <w:i/>
        </w:rPr>
      </w:pPr>
      <w:r w:rsidRPr="00857332">
        <w:rPr>
          <w:i/>
        </w:rPr>
        <w:t>otherwise healthy,</w:t>
      </w:r>
      <w:r w:rsidRPr="00857332">
        <w:rPr>
          <w:i/>
          <w:spacing w:val="-3"/>
        </w:rPr>
        <w:t xml:space="preserve"> </w:t>
      </w:r>
      <w:r w:rsidRPr="00857332">
        <w:rPr>
          <w:i/>
        </w:rPr>
        <w:t>or</w:t>
      </w:r>
    </w:p>
    <w:p w14:paraId="204BE69D" w14:textId="77777777" w:rsidR="00B3596B" w:rsidRPr="00857332" w:rsidRDefault="00B3596B" w:rsidP="00857332">
      <w:pPr>
        <w:pStyle w:val="ListBullet"/>
        <w:ind w:left="720"/>
        <w:rPr>
          <w:i/>
        </w:rPr>
      </w:pPr>
      <w:r w:rsidRPr="00857332">
        <w:rPr>
          <w:i/>
        </w:rPr>
        <w:t>at high risk of developing influenza-related complications</w:t>
      </w:r>
      <w:r w:rsidRPr="00857332">
        <w:rPr>
          <w:i/>
          <w:vertAlign w:val="superscript"/>
        </w:rPr>
        <w:t>1</w:t>
      </w:r>
      <w:r w:rsidR="00857332" w:rsidRPr="00857332">
        <w:rPr>
          <w:i/>
        </w:rPr>
        <w:t xml:space="preserve"> </w:t>
      </w:r>
      <w:r w:rsidR="00803C60">
        <w:rPr>
          <w:i/>
        </w:rPr>
        <w:t>(</w:t>
      </w:r>
      <w:r w:rsidR="00857332" w:rsidRPr="00857332">
        <w:rPr>
          <w:i/>
        </w:rPr>
        <w:t>see Cli</w:t>
      </w:r>
      <w:r w:rsidR="00803C60">
        <w:rPr>
          <w:i/>
        </w:rPr>
        <w:t>nical Studies (14.2))</w:t>
      </w:r>
    </w:p>
    <w:p w14:paraId="1ADAD0C1" w14:textId="77777777" w:rsidR="007A6505" w:rsidRPr="00803C60" w:rsidRDefault="00B3596B" w:rsidP="00803C60">
      <w:pPr>
        <w:ind w:left="360"/>
        <w:rPr>
          <w:i/>
        </w:rPr>
      </w:pPr>
      <w:r w:rsidRPr="00857332">
        <w:rPr>
          <w:i/>
        </w:rPr>
        <w:t xml:space="preserve">Limitations of Use: Influenza viruses change over time, and factors such as the virus type or subtype, emergence of resistance, or changes in viral virulence could diminish the clinical benefit of antiviral drugs. Consider available information on drug susceptibility patterns for circulating influenza virus strains when deciding whether to use </w:t>
      </w:r>
      <w:r w:rsidR="00857332" w:rsidRPr="00857332">
        <w:rPr>
          <w:i/>
        </w:rPr>
        <w:t>Xofluza</w:t>
      </w:r>
      <w:r w:rsidR="00857332">
        <w:rPr>
          <w:i/>
        </w:rPr>
        <w:t xml:space="preserve"> </w:t>
      </w:r>
      <w:r w:rsidR="00803C60">
        <w:rPr>
          <w:i/>
        </w:rPr>
        <w:t>(</w:t>
      </w:r>
      <w:r w:rsidR="00857332" w:rsidRPr="00857332">
        <w:rPr>
          <w:i/>
        </w:rPr>
        <w:t>see Microbiology (</w:t>
      </w:r>
      <w:r w:rsidR="00803C60">
        <w:rPr>
          <w:i/>
        </w:rPr>
        <w:t>12.4) and Clinical Studies (14))</w:t>
      </w:r>
      <w:r w:rsidR="00857332" w:rsidRPr="00857332">
        <w:rPr>
          <w:i/>
        </w:rPr>
        <w:t>.</w:t>
      </w:r>
    </w:p>
    <w:p w14:paraId="57874D09" w14:textId="77777777" w:rsidR="008E7846" w:rsidRDefault="008E7846" w:rsidP="00940A89">
      <w:pPr>
        <w:pStyle w:val="Heading3"/>
      </w:pPr>
      <w:bookmarkStart w:id="21" w:name="_Toc42768439"/>
      <w:r>
        <w:lastRenderedPageBreak/>
        <w:t>Product Information</w:t>
      </w:r>
      <w:bookmarkEnd w:id="19"/>
      <w:bookmarkEnd w:id="20"/>
      <w:bookmarkEnd w:id="21"/>
    </w:p>
    <w:p w14:paraId="7CA332B3"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3" w:history="1">
        <w:r w:rsidR="00441C3F" w:rsidRPr="00441C3F">
          <w:rPr>
            <w:rStyle w:val="Hyperlink"/>
          </w:rPr>
          <w:t>https://www.tga.gov.au/product-information-pi</w:t>
        </w:r>
      </w:hyperlink>
      <w:r w:rsidR="00441C3F">
        <w:t>&gt;</w:t>
      </w:r>
      <w:r w:rsidR="00940A89" w:rsidRPr="00940A89">
        <w:t>.</w:t>
      </w:r>
    </w:p>
    <w:p w14:paraId="1BDCF477" w14:textId="77777777" w:rsidR="00500337" w:rsidRDefault="00650675" w:rsidP="00500337">
      <w:pPr>
        <w:pStyle w:val="Heading2"/>
      </w:pPr>
      <w:bookmarkStart w:id="24" w:name="_Toc504480011"/>
      <w:bookmarkStart w:id="25" w:name="_Toc42768440"/>
      <w:r>
        <w:t>II. Registration time</w:t>
      </w:r>
      <w:r w:rsidR="00500337">
        <w:t>line</w:t>
      </w:r>
      <w:bookmarkEnd w:id="24"/>
      <w:bookmarkEnd w:id="25"/>
    </w:p>
    <w:p w14:paraId="069B4164" w14:textId="77777777" w:rsidR="00500337" w:rsidRDefault="00803C60" w:rsidP="00500337">
      <w:r>
        <w:fldChar w:fldCharType="begin"/>
      </w:r>
      <w:r>
        <w:instrText xml:space="preserve"> REF _Ref36234485 \h </w:instrText>
      </w:r>
      <w:r>
        <w:fldChar w:fldCharType="separate"/>
      </w:r>
      <w:r>
        <w:t xml:space="preserve">Table </w:t>
      </w:r>
      <w:r>
        <w:rPr>
          <w:noProof/>
        </w:rPr>
        <w:t>1</w:t>
      </w:r>
      <w:r>
        <w:fldChar w:fldCharType="end"/>
      </w:r>
      <w:r>
        <w:t xml:space="preserve"> </w:t>
      </w:r>
      <w:r w:rsidR="00500337">
        <w:t>captures the key steps and dates for this application and which are detailed and discussed</w:t>
      </w:r>
      <w:r w:rsidR="00650675">
        <w:t xml:space="preserve"> in this AusPAR</w:t>
      </w:r>
      <w:r w:rsidR="00500337">
        <w:t>.</w:t>
      </w:r>
    </w:p>
    <w:p w14:paraId="0D2849BC" w14:textId="6BD950D3" w:rsidR="00500337" w:rsidRPr="00377BD4" w:rsidRDefault="00803C60" w:rsidP="00803C60">
      <w:pPr>
        <w:pStyle w:val="TableTitle"/>
      </w:pPr>
      <w:bookmarkStart w:id="26" w:name="_Ref36234485"/>
      <w:r>
        <w:t xml:space="preserve">Table </w:t>
      </w:r>
      <w:fldSimple w:instr=" SEQ Table \* ARABIC ">
        <w:r w:rsidR="00DD3E93">
          <w:rPr>
            <w:noProof/>
          </w:rPr>
          <w:t>1</w:t>
        </w:r>
      </w:fldSimple>
      <w:bookmarkEnd w:id="26"/>
      <w:r>
        <w:t xml:space="preserve">: </w:t>
      </w:r>
      <w:r w:rsidR="006A58A8" w:rsidRPr="006A58A8">
        <w:t xml:space="preserve">Timeline for Submission </w:t>
      </w:r>
      <w:r w:rsidR="00650675" w:rsidRPr="00C10714">
        <w:t>PM-2019-01386-1-2</w:t>
      </w:r>
    </w:p>
    <w:tbl>
      <w:tblPr>
        <w:tblStyle w:val="TableTGAblue"/>
        <w:tblW w:w="0" w:type="auto"/>
        <w:tblLook w:val="04A0" w:firstRow="1" w:lastRow="0" w:firstColumn="1" w:lastColumn="0" w:noHBand="0" w:noVBand="1"/>
      </w:tblPr>
      <w:tblGrid>
        <w:gridCol w:w="4242"/>
        <w:gridCol w:w="4242"/>
      </w:tblGrid>
      <w:tr w:rsidR="00500337" w14:paraId="0288D350"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5DA171CF" w14:textId="77777777" w:rsidR="00500337" w:rsidRDefault="00500337" w:rsidP="00500337">
            <w:pPr>
              <w:ind w:left="0" w:right="0"/>
            </w:pPr>
            <w:r>
              <w:t>Description</w:t>
            </w:r>
          </w:p>
        </w:tc>
        <w:tc>
          <w:tcPr>
            <w:tcW w:w="4360" w:type="dxa"/>
          </w:tcPr>
          <w:p w14:paraId="1597FB1A" w14:textId="77777777" w:rsidR="00500337" w:rsidRDefault="00500337" w:rsidP="00500337">
            <w:pPr>
              <w:ind w:left="0" w:right="0"/>
            </w:pPr>
            <w:r>
              <w:t>Date</w:t>
            </w:r>
          </w:p>
        </w:tc>
      </w:tr>
      <w:tr w:rsidR="00650675" w14:paraId="0BDD3909" w14:textId="77777777" w:rsidTr="00500337">
        <w:tc>
          <w:tcPr>
            <w:tcW w:w="4360" w:type="dxa"/>
          </w:tcPr>
          <w:p w14:paraId="561F66BF" w14:textId="77777777" w:rsidR="00650675" w:rsidRDefault="00650675" w:rsidP="00650675">
            <w:pPr>
              <w:ind w:left="0" w:right="0"/>
            </w:pPr>
            <w:r>
              <w:t>Submission dossier accepted and first round evaluation commenced</w:t>
            </w:r>
          </w:p>
        </w:tc>
        <w:tc>
          <w:tcPr>
            <w:tcW w:w="4360" w:type="dxa"/>
          </w:tcPr>
          <w:p w14:paraId="0DB5A08F" w14:textId="77777777" w:rsidR="00650675" w:rsidRPr="00BC7ECC" w:rsidRDefault="00650675" w:rsidP="00650675">
            <w:r w:rsidRPr="00BC7ECC">
              <w:t>31 May 2019</w:t>
            </w:r>
          </w:p>
        </w:tc>
      </w:tr>
      <w:tr w:rsidR="00650675" w14:paraId="04109406" w14:textId="77777777" w:rsidTr="00500337">
        <w:tc>
          <w:tcPr>
            <w:tcW w:w="4360" w:type="dxa"/>
          </w:tcPr>
          <w:p w14:paraId="40E1D2C1" w14:textId="77777777" w:rsidR="00650675" w:rsidRDefault="00650675" w:rsidP="00650675">
            <w:pPr>
              <w:ind w:left="0" w:right="0"/>
            </w:pPr>
            <w:r>
              <w:t>First round evaluation completed</w:t>
            </w:r>
          </w:p>
        </w:tc>
        <w:tc>
          <w:tcPr>
            <w:tcW w:w="4360" w:type="dxa"/>
          </w:tcPr>
          <w:p w14:paraId="325F10B4" w14:textId="77777777" w:rsidR="00650675" w:rsidRPr="00BC7ECC" w:rsidRDefault="00650675" w:rsidP="00650675">
            <w:r w:rsidRPr="00BC7ECC">
              <w:t>27 September 2019</w:t>
            </w:r>
          </w:p>
        </w:tc>
      </w:tr>
      <w:tr w:rsidR="00650675" w14:paraId="1A23EA98" w14:textId="77777777" w:rsidTr="00500337">
        <w:tc>
          <w:tcPr>
            <w:tcW w:w="4360" w:type="dxa"/>
          </w:tcPr>
          <w:p w14:paraId="0B0B5A5D" w14:textId="77777777" w:rsidR="00650675" w:rsidRDefault="00650675" w:rsidP="00650675">
            <w:pPr>
              <w:ind w:left="0" w:right="0"/>
            </w:pPr>
            <w:r>
              <w:t>Sponsor provides responses on questions raised in first round evaluation</w:t>
            </w:r>
          </w:p>
        </w:tc>
        <w:tc>
          <w:tcPr>
            <w:tcW w:w="4360" w:type="dxa"/>
          </w:tcPr>
          <w:p w14:paraId="4D964D65" w14:textId="77777777" w:rsidR="00650675" w:rsidRPr="00BC7ECC" w:rsidRDefault="00650675" w:rsidP="00650675">
            <w:r w:rsidRPr="00BC7ECC">
              <w:t>28 October 2019</w:t>
            </w:r>
          </w:p>
        </w:tc>
      </w:tr>
      <w:tr w:rsidR="00650675" w14:paraId="4E4589BA" w14:textId="77777777" w:rsidTr="00500337">
        <w:tc>
          <w:tcPr>
            <w:tcW w:w="4360" w:type="dxa"/>
          </w:tcPr>
          <w:p w14:paraId="6EEB86F5" w14:textId="77777777" w:rsidR="00650675" w:rsidRDefault="00650675" w:rsidP="00650675">
            <w:pPr>
              <w:ind w:left="0" w:right="0"/>
            </w:pPr>
            <w:r>
              <w:t>Second round evaluation completed</w:t>
            </w:r>
          </w:p>
        </w:tc>
        <w:tc>
          <w:tcPr>
            <w:tcW w:w="4360" w:type="dxa"/>
          </w:tcPr>
          <w:p w14:paraId="5CA5589E" w14:textId="77777777" w:rsidR="00650675" w:rsidRPr="00BC7ECC" w:rsidRDefault="00650675" w:rsidP="00650675">
            <w:r w:rsidRPr="00BC7ECC">
              <w:t>23 December 2019</w:t>
            </w:r>
          </w:p>
        </w:tc>
      </w:tr>
      <w:tr w:rsidR="00650675" w14:paraId="31F33C2E" w14:textId="77777777" w:rsidTr="00500337">
        <w:tc>
          <w:tcPr>
            <w:tcW w:w="4360" w:type="dxa"/>
          </w:tcPr>
          <w:p w14:paraId="5CC186BA" w14:textId="77777777" w:rsidR="00650675" w:rsidRDefault="00650675" w:rsidP="00563583">
            <w:pPr>
              <w:ind w:left="0" w:right="0"/>
            </w:pPr>
            <w:r>
              <w:t xml:space="preserve">Delegate’s </w:t>
            </w:r>
            <w:r w:rsidR="00563583">
              <w:t>Overall benefit-risk assessment</w:t>
            </w:r>
          </w:p>
        </w:tc>
        <w:tc>
          <w:tcPr>
            <w:tcW w:w="4360" w:type="dxa"/>
          </w:tcPr>
          <w:p w14:paraId="075A6577" w14:textId="77777777" w:rsidR="00650675" w:rsidRPr="00BC7ECC" w:rsidRDefault="00650675" w:rsidP="00650675">
            <w:r w:rsidRPr="00BC7ECC">
              <w:t>28 November 2019</w:t>
            </w:r>
          </w:p>
        </w:tc>
      </w:tr>
      <w:tr w:rsidR="00650675" w14:paraId="4E081AD3" w14:textId="77777777" w:rsidTr="00500337">
        <w:tc>
          <w:tcPr>
            <w:tcW w:w="4360" w:type="dxa"/>
          </w:tcPr>
          <w:p w14:paraId="5B588228" w14:textId="77777777" w:rsidR="00650675" w:rsidRDefault="00650675" w:rsidP="00650675">
            <w:pPr>
              <w:ind w:left="0" w:right="0"/>
            </w:pPr>
            <w:r>
              <w:t>Sponsor’s pre-Advisory Committee response</w:t>
            </w:r>
          </w:p>
        </w:tc>
        <w:tc>
          <w:tcPr>
            <w:tcW w:w="4360" w:type="dxa"/>
          </w:tcPr>
          <w:p w14:paraId="6D862360" w14:textId="77777777" w:rsidR="00650675" w:rsidRPr="00BC7ECC" w:rsidRDefault="00650675" w:rsidP="00650675">
            <w:r w:rsidRPr="00BC7ECC">
              <w:t>Not applicable</w:t>
            </w:r>
          </w:p>
        </w:tc>
      </w:tr>
      <w:tr w:rsidR="00650675" w14:paraId="2E72E9E9" w14:textId="77777777" w:rsidTr="00500337">
        <w:tc>
          <w:tcPr>
            <w:tcW w:w="4360" w:type="dxa"/>
          </w:tcPr>
          <w:p w14:paraId="27FA01B9" w14:textId="77777777" w:rsidR="00650675" w:rsidRDefault="00650675" w:rsidP="00650675">
            <w:pPr>
              <w:ind w:left="0" w:right="0"/>
            </w:pPr>
            <w:r>
              <w:t>Advisory Committee meeting</w:t>
            </w:r>
          </w:p>
        </w:tc>
        <w:tc>
          <w:tcPr>
            <w:tcW w:w="4360" w:type="dxa"/>
          </w:tcPr>
          <w:p w14:paraId="3D20CD5B" w14:textId="77777777" w:rsidR="00650675" w:rsidRPr="00BC7ECC" w:rsidRDefault="00650675" w:rsidP="00650675">
            <w:r w:rsidRPr="00BC7ECC">
              <w:t>Not applicable</w:t>
            </w:r>
          </w:p>
        </w:tc>
      </w:tr>
      <w:tr w:rsidR="00650675" w14:paraId="736798A6" w14:textId="77777777" w:rsidTr="00500337">
        <w:tc>
          <w:tcPr>
            <w:tcW w:w="4360" w:type="dxa"/>
          </w:tcPr>
          <w:p w14:paraId="09845EEC" w14:textId="77777777" w:rsidR="00650675" w:rsidRDefault="00650675" w:rsidP="00650675">
            <w:pPr>
              <w:ind w:left="0" w:right="0"/>
            </w:pPr>
            <w:r>
              <w:t>Registration decision (Outcome)</w:t>
            </w:r>
          </w:p>
        </w:tc>
        <w:tc>
          <w:tcPr>
            <w:tcW w:w="4360" w:type="dxa"/>
          </w:tcPr>
          <w:p w14:paraId="363A3DF4" w14:textId="77777777" w:rsidR="00650675" w:rsidRPr="00BC7ECC" w:rsidRDefault="00650675" w:rsidP="00650675">
            <w:r w:rsidRPr="00BC7ECC">
              <w:t>21 February 2020</w:t>
            </w:r>
          </w:p>
        </w:tc>
      </w:tr>
      <w:tr w:rsidR="00650675" w14:paraId="3860B2DD" w14:textId="77777777" w:rsidTr="00500337">
        <w:tc>
          <w:tcPr>
            <w:tcW w:w="4360" w:type="dxa"/>
          </w:tcPr>
          <w:p w14:paraId="6857FE6E" w14:textId="61A5251E" w:rsidR="00650675" w:rsidRDefault="00650675" w:rsidP="00650675">
            <w:pPr>
              <w:ind w:left="0" w:right="0"/>
            </w:pPr>
            <w:r>
              <w:t xml:space="preserve">Completion of administrative activities and registration on </w:t>
            </w:r>
            <w:r w:rsidR="00895666">
              <w:t xml:space="preserve">the </w:t>
            </w:r>
            <w:r>
              <w:t>ARTG</w:t>
            </w:r>
          </w:p>
        </w:tc>
        <w:tc>
          <w:tcPr>
            <w:tcW w:w="4360" w:type="dxa"/>
          </w:tcPr>
          <w:p w14:paraId="12C8B1FB" w14:textId="77777777" w:rsidR="00650675" w:rsidRPr="00BC7ECC" w:rsidRDefault="00650675" w:rsidP="00650675">
            <w:r w:rsidRPr="00BC7ECC">
              <w:t>21 February 2020</w:t>
            </w:r>
          </w:p>
        </w:tc>
      </w:tr>
      <w:tr w:rsidR="00650675" w14:paraId="6EE40148" w14:textId="77777777" w:rsidTr="00500337">
        <w:tc>
          <w:tcPr>
            <w:tcW w:w="4360" w:type="dxa"/>
          </w:tcPr>
          <w:p w14:paraId="70BAA977" w14:textId="77777777" w:rsidR="00650675" w:rsidRDefault="00650675" w:rsidP="00650675">
            <w:pPr>
              <w:ind w:left="0" w:right="0"/>
            </w:pPr>
            <w:r>
              <w:t>Number of working days from submission dossier acceptance to registration decision*</w:t>
            </w:r>
          </w:p>
        </w:tc>
        <w:tc>
          <w:tcPr>
            <w:tcW w:w="4360" w:type="dxa"/>
          </w:tcPr>
          <w:p w14:paraId="44042A9F" w14:textId="77777777" w:rsidR="00650675" w:rsidRDefault="00650675" w:rsidP="00650675">
            <w:r w:rsidRPr="00BC7ECC">
              <w:t>161</w:t>
            </w:r>
          </w:p>
        </w:tc>
      </w:tr>
    </w:tbl>
    <w:p w14:paraId="3C121A19" w14:textId="77777777" w:rsidR="00500337" w:rsidRDefault="00500337" w:rsidP="00650675">
      <w:pPr>
        <w:pStyle w:val="TableDescription"/>
      </w:pPr>
      <w:r>
        <w:t>*</w:t>
      </w:r>
      <w:r w:rsidR="00BF3774" w:rsidRPr="00BF3774">
        <w:t xml:space="preserve">Statutory </w:t>
      </w:r>
      <w:r>
        <w:t>timeframe for standard applications is 2</w:t>
      </w:r>
      <w:r w:rsidR="00BF3774">
        <w:t>55</w:t>
      </w:r>
      <w:r w:rsidR="00650675">
        <w:t xml:space="preserve"> working days</w:t>
      </w:r>
    </w:p>
    <w:p w14:paraId="1D7FFD23" w14:textId="77777777" w:rsidR="008E7846" w:rsidRPr="00792A32" w:rsidRDefault="00456765" w:rsidP="008E7846">
      <w:pPr>
        <w:pStyle w:val="Heading2"/>
      </w:pPr>
      <w:bookmarkStart w:id="27" w:name="_Toc196046504"/>
      <w:bookmarkStart w:id="28" w:name="_Toc247691527"/>
      <w:bookmarkStart w:id="29" w:name="_Toc314842510"/>
      <w:bookmarkStart w:id="30" w:name="_Toc163441390"/>
      <w:bookmarkStart w:id="31" w:name="_Toc42768441"/>
      <w:bookmarkEnd w:id="22"/>
      <w:bookmarkEnd w:id="23"/>
      <w:bookmarkEnd w:id="1"/>
      <w:r>
        <w:t>I</w:t>
      </w:r>
      <w:r w:rsidR="00DA64CB">
        <w:t>I</w:t>
      </w:r>
      <w:r w:rsidR="008E7846">
        <w:t xml:space="preserve">I. </w:t>
      </w:r>
      <w:r w:rsidR="00AB0BD7">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1"/>
    </w:p>
    <w:p w14:paraId="521EE934" w14:textId="77777777" w:rsidR="008E7846" w:rsidRDefault="008E7846" w:rsidP="008E7846">
      <w:bookmarkStart w:id="32" w:name="_Toc247691528"/>
      <w:r>
        <w:t xml:space="preserve">The submission was summarised in the following </w:t>
      </w:r>
      <w:r w:rsidRPr="00EF5C48">
        <w:t xml:space="preserve">Delegate’s </w:t>
      </w:r>
      <w:r>
        <w:t>overview</w:t>
      </w:r>
      <w:r w:rsidRPr="00EF5C48">
        <w:t xml:space="preserve"> and recommendation</w:t>
      </w:r>
      <w:r w:rsidR="00650675">
        <w:t>s.</w:t>
      </w:r>
    </w:p>
    <w:p w14:paraId="06E5404B" w14:textId="77777777" w:rsidR="00650675" w:rsidRDefault="00650675" w:rsidP="008E7846">
      <w:r w:rsidRPr="00650675">
        <w:t xml:space="preserve">This section is a TGA summary of wording used in TGA’s </w:t>
      </w:r>
      <w:r>
        <w:t>Delegate’s overview</w:t>
      </w:r>
      <w:r w:rsidRPr="00650675">
        <w:t>, which discussed numerous aspects of overseas evaluation reports and included some information that was commercial-in-confidence.</w:t>
      </w:r>
    </w:p>
    <w:p w14:paraId="23E02CE7" w14:textId="77777777" w:rsidR="008E7846" w:rsidRDefault="008E7846" w:rsidP="008E7846">
      <w:pPr>
        <w:pStyle w:val="Heading3"/>
      </w:pPr>
      <w:bookmarkStart w:id="33" w:name="_Toc314842511"/>
      <w:bookmarkStart w:id="34" w:name="_Toc42768442"/>
      <w:r>
        <w:lastRenderedPageBreak/>
        <w:t>Quality</w:t>
      </w:r>
      <w:bookmarkEnd w:id="32"/>
      <w:bookmarkEnd w:id="33"/>
      <w:bookmarkEnd w:id="34"/>
    </w:p>
    <w:p w14:paraId="6F3508B4" w14:textId="18A63569" w:rsidR="00F14871" w:rsidRDefault="00F14871" w:rsidP="00F14871">
      <w:r>
        <w:t>The following points were summarised from the quality evaluation:</w:t>
      </w:r>
    </w:p>
    <w:p w14:paraId="6A276179" w14:textId="41B24605" w:rsidR="004E62F6" w:rsidRPr="0089696C" w:rsidRDefault="004E62F6" w:rsidP="004E62F6">
      <w:pPr>
        <w:pStyle w:val="ListBullet"/>
      </w:pPr>
      <w:r w:rsidRPr="0089696C">
        <w:t xml:space="preserve">The administrative, product usage, chemical, pharmaceutical, and </w:t>
      </w:r>
      <w:proofErr w:type="spellStart"/>
      <w:r w:rsidRPr="0089696C">
        <w:t>biopharmaceutic</w:t>
      </w:r>
      <w:proofErr w:type="spellEnd"/>
      <w:r w:rsidRPr="0089696C">
        <w:t xml:space="preserve"> data submitted in support of this application have been evaluated in accordance with the Australian legislation, </w:t>
      </w:r>
      <w:proofErr w:type="spellStart"/>
      <w:r w:rsidRPr="0089696C">
        <w:t>pharmacopoeial</w:t>
      </w:r>
      <w:proofErr w:type="spellEnd"/>
      <w:r w:rsidRPr="0089696C">
        <w:t xml:space="preserve"> standards and relevant technical guidelines adopted by the TGA.</w:t>
      </w:r>
    </w:p>
    <w:p w14:paraId="03D34AB5" w14:textId="1323FE28" w:rsidR="004E62F6" w:rsidRPr="0089696C" w:rsidRDefault="004E62F6" w:rsidP="004E62F6">
      <w:pPr>
        <w:pStyle w:val="ListBullet"/>
      </w:pPr>
      <w:r w:rsidRPr="0089696C">
        <w:t>The proposed produ</w:t>
      </w:r>
      <w:r w:rsidR="0089696C">
        <w:t xml:space="preserve">ct is an immediate release film </w:t>
      </w:r>
      <w:r w:rsidRPr="0089696C">
        <w:t>coated tablet, to be supplied as a 2 and 4 tablet pack for the 20 mg strength, and a 1 and 2 tablet pack for the 40 mg strength.</w:t>
      </w:r>
      <w:r w:rsidR="0050178A">
        <w:rPr>
          <w:rStyle w:val="FootnoteReference"/>
        </w:rPr>
        <w:footnoteReference w:id="3"/>
      </w:r>
      <w:r w:rsidRPr="0089696C">
        <w:t xml:space="preserve"> </w:t>
      </w:r>
      <w:r w:rsidR="00803C60" w:rsidRPr="0089696C">
        <w:t>Xofluza</w:t>
      </w:r>
      <w:r w:rsidRPr="0089696C">
        <w:t xml:space="preserve"> is a single use drug and is not intended for chronic use. The maximum daily dose is 80 mg.</w:t>
      </w:r>
    </w:p>
    <w:p w14:paraId="5BE5BCDF" w14:textId="77777777" w:rsidR="004E62F6" w:rsidRPr="0089696C" w:rsidRDefault="004E62F6" w:rsidP="004E62F6">
      <w:pPr>
        <w:pStyle w:val="ListBullet"/>
      </w:pPr>
      <w:r w:rsidRPr="0089696C">
        <w:t>The drug produ</w:t>
      </w:r>
      <w:r w:rsidR="0089696C">
        <w:t xml:space="preserve">cts are immediate release, film </w:t>
      </w:r>
      <w:r w:rsidRPr="0089696C">
        <w:t xml:space="preserve">coated </w:t>
      </w:r>
      <w:r w:rsidR="0089696C">
        <w:t>tablets containing 20 mg and 40 </w:t>
      </w:r>
      <w:r w:rsidRPr="0089696C">
        <w:t xml:space="preserve">mg of baloxavir marboxil. The tablet cores are compositionally directly proportional </w:t>
      </w:r>
      <w:r w:rsidR="00803C60" w:rsidRPr="0089696C">
        <w:t>(that is,</w:t>
      </w:r>
      <w:r w:rsidRPr="0089696C">
        <w:t xml:space="preserve"> the 40 mg core contains exactly twice the quantity of ingredients as the 20 mg core) and may be manufactured from a common blend. Both strengths are coated with a non-functional white film-coating.</w:t>
      </w:r>
    </w:p>
    <w:p w14:paraId="178B9CEB" w14:textId="43F22BAF" w:rsidR="004E62F6" w:rsidRPr="0089696C" w:rsidRDefault="004E62F6" w:rsidP="004E62F6">
      <w:pPr>
        <w:pStyle w:val="ListBullet"/>
      </w:pPr>
      <w:r w:rsidRPr="0089696C">
        <w:t>The tablets are packaged in oriented polyamide/aluminium foil/polyvinyl chloride laminate blisters. The drug product is manu</w:t>
      </w:r>
      <w:r w:rsidR="00E54B31">
        <w:t>factured via wet-granulation followed by</w:t>
      </w:r>
      <w:r w:rsidRPr="0089696C">
        <w:t xml:space="preserve"> compression. The manufacturing process is well described and controlled.</w:t>
      </w:r>
    </w:p>
    <w:p w14:paraId="620F980B" w14:textId="79371FD1" w:rsidR="004E62F6" w:rsidRDefault="004E62F6" w:rsidP="004E62F6">
      <w:pPr>
        <w:pStyle w:val="ListBullet"/>
      </w:pPr>
      <w:r>
        <w:t>The proposed specifications appropriately control identity, assay, related substances, uniformity of dosage units, dissolution and other physical, chemical and microbiological prop</w:t>
      </w:r>
      <w:r w:rsidR="00E54B31">
        <w:t>erties relevant to the product.</w:t>
      </w:r>
    </w:p>
    <w:p w14:paraId="0B48D270" w14:textId="77777777" w:rsidR="004E62F6" w:rsidRDefault="004E62F6" w:rsidP="004E62F6">
      <w:pPr>
        <w:pStyle w:val="ListBullet"/>
      </w:pPr>
      <w:r>
        <w:t>Appropriate validation data have been submitted in support of the test procedures.</w:t>
      </w:r>
    </w:p>
    <w:p w14:paraId="03BDD082" w14:textId="42F92DF9" w:rsidR="004E62F6" w:rsidRPr="004E62F6" w:rsidRDefault="004E62F6" w:rsidP="004E62F6">
      <w:pPr>
        <w:pStyle w:val="ListBullet"/>
      </w:pPr>
      <w:r>
        <w:t>Stability data have been generated under stressed, accelerated and real time conditions to characterise the stability profile of the product. No substantial changes are observed to any parameter on storage and the submitted data support a shelf life of 36 months when stored at or below 30</w:t>
      </w:r>
      <w:r>
        <w:rPr>
          <w:rFonts w:ascii="Symbol" w:hAnsi="Symbol"/>
        </w:rPr>
        <w:t></w:t>
      </w:r>
      <w:r w:rsidR="00D90248">
        <w:t>C.</w:t>
      </w:r>
    </w:p>
    <w:p w14:paraId="23F4B916" w14:textId="48DDA644" w:rsidR="004E62F6" w:rsidRDefault="004E62F6" w:rsidP="004E62F6">
      <w:pPr>
        <w:pStyle w:val="ListBullet"/>
      </w:pPr>
      <w:r>
        <w:t xml:space="preserve">In terms of food effect, the pivotal Phase III clinical studies used 20 mg tablets </w:t>
      </w:r>
      <w:r w:rsidR="00F14871">
        <w:t>only;</w:t>
      </w:r>
      <w:r>
        <w:t xml:space="preserve"> the 40 mg tablets were not used. The formulation of the 20 mg tablet was the same as that proposed for commercial supply. The 40 mg tablet is </w:t>
      </w:r>
      <w:r w:rsidR="00803C60">
        <w:t>directly proportional to the 20 </w:t>
      </w:r>
      <w:r>
        <w:t>mg tablet. The following studies were considered:</w:t>
      </w:r>
    </w:p>
    <w:p w14:paraId="7E6D3AC2" w14:textId="77777777" w:rsidR="004E62F6" w:rsidRPr="004E62F6" w:rsidRDefault="004E62F6" w:rsidP="004E62F6">
      <w:pPr>
        <w:pStyle w:val="ListBullet2"/>
      </w:pPr>
      <w:r>
        <w:t xml:space="preserve">Study 1512T0813 (CV40804): </w:t>
      </w:r>
      <w:r w:rsidR="0089696C">
        <w:t>a Phase I</w:t>
      </w:r>
      <w:r>
        <w:t xml:space="preserve"> study to evaluate the relative bioavailability of S-033188 </w:t>
      </w:r>
      <w:r w:rsidR="0089696C">
        <w:t xml:space="preserve">(baloxavir marboxil) 20 </w:t>
      </w:r>
      <w:r>
        <w:t xml:space="preserve">mg tablets and suspension and the effect of food on the pharmacokinetics </w:t>
      </w:r>
      <w:r w:rsidR="0089696C">
        <w:t xml:space="preserve">(PK) </w:t>
      </w:r>
      <w:r>
        <w:t>in healthy adult subjects</w:t>
      </w:r>
      <w:r w:rsidR="0089696C">
        <w:t>.</w:t>
      </w:r>
    </w:p>
    <w:p w14:paraId="3F742667" w14:textId="77777777" w:rsidR="004E62F6" w:rsidRDefault="004E62F6" w:rsidP="004E62F6">
      <w:pPr>
        <w:pStyle w:val="ListBullet2"/>
      </w:pPr>
      <w:r>
        <w:t>Study</w:t>
      </w:r>
      <w:r>
        <w:rPr>
          <w:spacing w:val="-3"/>
        </w:rPr>
        <w:t xml:space="preserve"> </w:t>
      </w:r>
      <w:r w:rsidR="0089696C">
        <w:t>1622T081F: a Phase I</w:t>
      </w:r>
      <w:r>
        <w:t xml:space="preserve"> </w:t>
      </w:r>
      <w:r w:rsidR="0089696C">
        <w:t xml:space="preserve">study to evaluate the bioequivalence </w:t>
      </w:r>
      <w:r w:rsidR="00AD71E0">
        <w:t xml:space="preserve">(BE) </w:t>
      </w:r>
      <w:r w:rsidR="0089696C">
        <w:t>of S-033188 10 </w:t>
      </w:r>
      <w:r>
        <w:t xml:space="preserve">mg and 20 mg </w:t>
      </w:r>
      <w:r w:rsidR="0089696C">
        <w:t>tablets and effect of food on the pharmacokinetics in healthy</w:t>
      </w:r>
      <w:r w:rsidR="0089696C">
        <w:rPr>
          <w:spacing w:val="-22"/>
        </w:rPr>
        <w:t xml:space="preserve"> </w:t>
      </w:r>
      <w:r w:rsidR="0089696C">
        <w:t>adults.</w:t>
      </w:r>
    </w:p>
    <w:p w14:paraId="65F2160E" w14:textId="77777777" w:rsidR="004E62F6" w:rsidRDefault="004E62F6" w:rsidP="004E62F6">
      <w:pPr>
        <w:pStyle w:val="ListBullet"/>
      </w:pPr>
      <w:r>
        <w:t xml:space="preserve">A bio-waiver has been granted for the 40 mg tablets based on core composition (directly proportional), comparable </w:t>
      </w:r>
      <w:r>
        <w:rPr>
          <w:i/>
        </w:rPr>
        <w:t xml:space="preserve">in vitro </w:t>
      </w:r>
      <w:r>
        <w:t xml:space="preserve">dissolution data and, linear </w:t>
      </w:r>
      <w:r w:rsidR="0089696C">
        <w:t>PK</w:t>
      </w:r>
      <w:r>
        <w:t xml:space="preserve"> (stated within the dose range of 6 mg to 80 mg (fasted</w:t>
      </w:r>
      <w:r>
        <w:rPr>
          <w:spacing w:val="-7"/>
        </w:rPr>
        <w:t xml:space="preserve"> </w:t>
      </w:r>
      <w:r>
        <w:t>state)).</w:t>
      </w:r>
    </w:p>
    <w:p w14:paraId="134512B8" w14:textId="77777777" w:rsidR="004E62F6" w:rsidRDefault="0089696C" w:rsidP="004E62F6">
      <w:pPr>
        <w:pStyle w:val="ListBullet"/>
      </w:pPr>
      <w:r>
        <w:t>The S</w:t>
      </w:r>
      <w:r w:rsidR="004E62F6">
        <w:t>tudy 1512T0813 was assessed in detail and there were no concerns regarding the study design, analytical methods or analytical outcomes. The effect of a moderate fat, moderate calorie (approximately 400 to 500 kcal including 150 kcal from fat) meal on a 20 mg dose of baloxavir marboxil was:</w:t>
      </w:r>
    </w:p>
    <w:p w14:paraId="5BEBEB71" w14:textId="77777777" w:rsidR="004E62F6" w:rsidRDefault="004E62F6" w:rsidP="004E62F6">
      <w:pPr>
        <w:pStyle w:val="ListBullet2"/>
      </w:pPr>
      <w:r>
        <w:t xml:space="preserve">Decrease in </w:t>
      </w:r>
      <w:r w:rsidR="0089696C">
        <w:rPr>
          <w:rFonts w:eastAsiaTheme="minorHAnsi" w:cs="TimesNewRoman"/>
        </w:rPr>
        <w:t>a</w:t>
      </w:r>
      <w:r w:rsidR="0089696C" w:rsidRPr="00F772CE">
        <w:rPr>
          <w:rFonts w:eastAsiaTheme="minorHAnsi" w:cs="TimesNewRoman"/>
        </w:rPr>
        <w:t>rea under the plasma concent</w:t>
      </w:r>
      <w:r w:rsidR="0089696C">
        <w:rPr>
          <w:rFonts w:eastAsiaTheme="minorHAnsi" w:cs="TimesNewRoman"/>
        </w:rPr>
        <w:t>ration-time curve from time 0</w:t>
      </w:r>
      <w:r w:rsidR="0089696C" w:rsidRPr="00F772CE">
        <w:rPr>
          <w:rFonts w:eastAsiaTheme="minorHAnsi" w:cs="TimesNewRoman"/>
        </w:rPr>
        <w:t xml:space="preserve"> to </w:t>
      </w:r>
      <w:r w:rsidR="0089696C">
        <w:rPr>
          <w:rFonts w:eastAsiaTheme="minorHAnsi" w:cs="TimesNewRoman"/>
        </w:rPr>
        <w:t>72 hours (</w:t>
      </w:r>
      <w:r w:rsidRPr="0089696C">
        <w:t>AUC</w:t>
      </w:r>
      <w:r w:rsidRPr="0089696C">
        <w:rPr>
          <w:vertAlign w:val="subscript"/>
        </w:rPr>
        <w:t>0-72</w:t>
      </w:r>
      <w:r w:rsidR="0089696C">
        <w:t xml:space="preserve">) </w:t>
      </w:r>
      <w:r>
        <w:t xml:space="preserve">and </w:t>
      </w:r>
      <w:r w:rsidR="0089696C">
        <w:t>maximum plasma concentration (</w:t>
      </w:r>
      <w:proofErr w:type="spellStart"/>
      <w:r w:rsidRPr="0089696C">
        <w:t>C</w:t>
      </w:r>
      <w:r w:rsidRPr="0089696C">
        <w:rPr>
          <w:vertAlign w:val="subscript"/>
        </w:rPr>
        <w:t>max</w:t>
      </w:r>
      <w:proofErr w:type="spellEnd"/>
      <w:r w:rsidR="0089696C">
        <w:t>)</w:t>
      </w:r>
      <w:r w:rsidRPr="0089696C">
        <w:t xml:space="preserve"> </w:t>
      </w:r>
      <w:r>
        <w:t xml:space="preserve">by approximately 44% </w:t>
      </w:r>
      <w:r>
        <w:lastRenderedPageBreak/>
        <w:t>and 48%, respectively</w:t>
      </w:r>
      <w:r w:rsidR="0089696C">
        <w:t>,</w:t>
      </w:r>
      <w:r>
        <w:t xml:space="preserve"> when administered with a meal compared to administration under fasting</w:t>
      </w:r>
      <w:r>
        <w:rPr>
          <w:spacing w:val="-13"/>
        </w:rPr>
        <w:t xml:space="preserve"> </w:t>
      </w:r>
      <w:r>
        <w:t>conditions.</w:t>
      </w:r>
    </w:p>
    <w:p w14:paraId="04B43CA6" w14:textId="77777777" w:rsidR="004E62F6" w:rsidRDefault="004E62F6" w:rsidP="004E62F6">
      <w:pPr>
        <w:pStyle w:val="ListBullet2"/>
      </w:pPr>
      <w:r>
        <w:t>Decrease in AUC</w:t>
      </w:r>
      <w:r>
        <w:rPr>
          <w:sz w:val="14"/>
        </w:rPr>
        <w:t xml:space="preserve">0-72 </w:t>
      </w:r>
      <w:r>
        <w:t xml:space="preserve">and </w:t>
      </w:r>
      <w:proofErr w:type="spellStart"/>
      <w:r>
        <w:t>C</w:t>
      </w:r>
      <w:r>
        <w:rPr>
          <w:sz w:val="14"/>
        </w:rPr>
        <w:t>max</w:t>
      </w:r>
      <w:proofErr w:type="spellEnd"/>
      <w:r>
        <w:rPr>
          <w:sz w:val="14"/>
        </w:rPr>
        <w:t xml:space="preserve"> </w:t>
      </w:r>
      <w:r>
        <w:t>by approximately 48% and 49%, respectively</w:t>
      </w:r>
      <w:r w:rsidR="0089696C">
        <w:t>,</w:t>
      </w:r>
      <w:r>
        <w:t xml:space="preserve"> when administered prior to a moderate fat/calorie meal compared to administration under fasting</w:t>
      </w:r>
      <w:r>
        <w:rPr>
          <w:spacing w:val="-27"/>
        </w:rPr>
        <w:t xml:space="preserve"> </w:t>
      </w:r>
      <w:r>
        <w:t>conditions.</w:t>
      </w:r>
    </w:p>
    <w:p w14:paraId="118763AE" w14:textId="77777777" w:rsidR="004E62F6" w:rsidRDefault="004E62F6" w:rsidP="004E62F6">
      <w:pPr>
        <w:pStyle w:val="ListBullet"/>
      </w:pPr>
      <w:r>
        <w:t xml:space="preserve">Similar reductions </w:t>
      </w:r>
      <w:r w:rsidR="0089696C">
        <w:t>were observed to the 40 mg dose (S</w:t>
      </w:r>
      <w:r>
        <w:t>tudy 1622T081F).</w:t>
      </w:r>
    </w:p>
    <w:p w14:paraId="1207C69B" w14:textId="77777777" w:rsidR="004E62F6" w:rsidRDefault="004E62F6" w:rsidP="004E62F6">
      <w:pPr>
        <w:pStyle w:val="ListBullet"/>
      </w:pPr>
      <w:r>
        <w:t xml:space="preserve">The proposed </w:t>
      </w:r>
      <w:r w:rsidR="0089696C">
        <w:t>PI</w:t>
      </w:r>
      <w:r>
        <w:t xml:space="preserve"> states:</w:t>
      </w:r>
    </w:p>
    <w:p w14:paraId="6DFEA50C" w14:textId="18BBE69C" w:rsidR="004E62F6" w:rsidRDefault="004E62F6" w:rsidP="004263E8">
      <w:pPr>
        <w:pStyle w:val="ListBullet"/>
        <w:numPr>
          <w:ilvl w:val="0"/>
          <w:numId w:val="0"/>
        </w:numPr>
        <w:ind w:left="720"/>
      </w:pPr>
      <w:r w:rsidRPr="0089696C">
        <w:t>‘</w:t>
      </w:r>
      <w:r w:rsidR="0089696C" w:rsidRPr="0089696C">
        <w:t>Xofluza</w:t>
      </w:r>
      <w:r w:rsidRPr="0089696C">
        <w:t xml:space="preserve"> can be taken with or without food (4.2 Dose and Method of Administration)’</w:t>
      </w:r>
      <w:r w:rsidR="00895666">
        <w:t xml:space="preserve"> a</w:t>
      </w:r>
      <w:r>
        <w:t>nd</w:t>
      </w:r>
      <w:r w:rsidR="00895666">
        <w:t>;</w:t>
      </w:r>
    </w:p>
    <w:p w14:paraId="5D0EB82A" w14:textId="77777777" w:rsidR="00E45619" w:rsidRDefault="004E62F6" w:rsidP="004263E8">
      <w:pPr>
        <w:pStyle w:val="ListBullet"/>
        <w:numPr>
          <w:ilvl w:val="0"/>
          <w:numId w:val="0"/>
        </w:numPr>
        <w:ind w:left="360" w:firstLine="360"/>
      </w:pPr>
      <w:r>
        <w:t>‘Food effect</w:t>
      </w:r>
    </w:p>
    <w:p w14:paraId="18BC1860" w14:textId="77777777" w:rsidR="004E62F6" w:rsidRPr="004E62F6" w:rsidRDefault="004E62F6" w:rsidP="004263E8">
      <w:pPr>
        <w:pStyle w:val="ListBullet"/>
        <w:numPr>
          <w:ilvl w:val="0"/>
          <w:numId w:val="0"/>
        </w:numPr>
        <w:ind w:left="720"/>
      </w:pPr>
      <w:r>
        <w:t xml:space="preserve">A food-effect study involving administration of baloxavir marboxil to healthy volunteers under fasting conditions and with a meal (approximately 400 to 500 kcal including 150 kcal from fat) </w:t>
      </w:r>
      <w:r>
        <w:rPr>
          <w:position w:val="2"/>
        </w:rPr>
        <w:t>indicated that the C</w:t>
      </w:r>
      <w:r>
        <w:rPr>
          <w:sz w:val="14"/>
        </w:rPr>
        <w:t xml:space="preserve">max </w:t>
      </w:r>
      <w:r>
        <w:rPr>
          <w:position w:val="2"/>
        </w:rPr>
        <w:t xml:space="preserve">and AUC of baloxavir were decreased by 48% and 36%, respectively, under fed conditions. </w:t>
      </w:r>
      <w:r w:rsidR="00753100">
        <w:rPr>
          <w:position w:val="2"/>
        </w:rPr>
        <w:t>Time to maximum plasma concentration (</w:t>
      </w:r>
      <w:r w:rsidRPr="00753100">
        <w:rPr>
          <w:position w:val="2"/>
        </w:rPr>
        <w:t>T</w:t>
      </w:r>
      <w:r w:rsidRPr="00753100">
        <w:rPr>
          <w:vertAlign w:val="subscript"/>
        </w:rPr>
        <w:t>max</w:t>
      </w:r>
      <w:r w:rsidR="00753100">
        <w:t>)</w:t>
      </w:r>
      <w:r w:rsidRPr="00753100">
        <w:t xml:space="preserve"> </w:t>
      </w:r>
      <w:r>
        <w:rPr>
          <w:position w:val="2"/>
        </w:rPr>
        <w:t xml:space="preserve">was unchanged in the presence of food. </w:t>
      </w:r>
      <w:r w:rsidRPr="004E62F6">
        <w:rPr>
          <w:i/>
          <w:position w:val="2"/>
        </w:rPr>
        <w:t xml:space="preserve">In clinical studies with influenza </w:t>
      </w:r>
      <w:r w:rsidRPr="004E62F6">
        <w:rPr>
          <w:i/>
        </w:rPr>
        <w:t>patients where Xofluza was administered with or without food, no clinically relevant differences in efficacy were observed.</w:t>
      </w:r>
      <w:r>
        <w:t>’</w:t>
      </w:r>
    </w:p>
    <w:p w14:paraId="02FFCAAF" w14:textId="77777777" w:rsidR="004E62F6" w:rsidRDefault="004E62F6" w:rsidP="00803C60">
      <w:pPr>
        <w:pStyle w:val="Heading4"/>
      </w:pPr>
      <w:r>
        <w:t xml:space="preserve">Conclusion from the </w:t>
      </w:r>
      <w:r w:rsidR="00803C60">
        <w:t>quality e</w:t>
      </w:r>
      <w:r>
        <w:t>valuation</w:t>
      </w:r>
    </w:p>
    <w:p w14:paraId="2A0F4AB5" w14:textId="5A65418A" w:rsidR="004E62F6" w:rsidRDefault="004E62F6" w:rsidP="004E62F6">
      <w:r>
        <w:t xml:space="preserve">Registration is recommended with respect to chemistry and quality control aspects. </w:t>
      </w:r>
      <w:proofErr w:type="spellStart"/>
      <w:r>
        <w:t>Biopharmaceutic</w:t>
      </w:r>
      <w:proofErr w:type="spellEnd"/>
      <w:r>
        <w:t xml:space="preserve"> aspects noted above (food effect) have been brought to</w:t>
      </w:r>
      <w:r w:rsidR="00F14871">
        <w:t xml:space="preserve"> the attention of the D</w:t>
      </w:r>
      <w:r>
        <w:t>elegate.</w:t>
      </w:r>
    </w:p>
    <w:p w14:paraId="27B1BEE6" w14:textId="77777777" w:rsidR="008E7846" w:rsidRDefault="008E7846" w:rsidP="008E7846">
      <w:pPr>
        <w:pStyle w:val="Heading3"/>
      </w:pPr>
      <w:bookmarkStart w:id="35" w:name="_Toc314842512"/>
      <w:bookmarkStart w:id="36" w:name="_Toc42768443"/>
      <w:r>
        <w:t>Nonclinical</w:t>
      </w:r>
      <w:bookmarkEnd w:id="35"/>
      <w:bookmarkEnd w:id="36"/>
    </w:p>
    <w:p w14:paraId="687B14A2" w14:textId="13EC847F" w:rsidR="00F14871" w:rsidRDefault="00F14871" w:rsidP="00F14871">
      <w:r>
        <w:t>The following points were summarised from the nonclinical evaluation:</w:t>
      </w:r>
    </w:p>
    <w:p w14:paraId="68F5506C" w14:textId="78298CB2" w:rsidR="004E62F6" w:rsidRDefault="004E62F6" w:rsidP="004E62F6">
      <w:pPr>
        <w:pStyle w:val="ListBullet"/>
      </w:pPr>
      <w:r>
        <w:t xml:space="preserve">The </w:t>
      </w:r>
      <w:r>
        <w:rPr>
          <w:i/>
        </w:rPr>
        <w:t xml:space="preserve">in </w:t>
      </w:r>
      <w:r>
        <w:rPr>
          <w:i/>
          <w:spacing w:val="-4"/>
        </w:rPr>
        <w:t xml:space="preserve">vitro </w:t>
      </w:r>
      <w:r>
        <w:t xml:space="preserve">and </w:t>
      </w:r>
      <w:r>
        <w:rPr>
          <w:i/>
        </w:rPr>
        <w:t xml:space="preserve">in vivo </w:t>
      </w:r>
      <w:r>
        <w:rPr>
          <w:spacing w:val="-3"/>
        </w:rPr>
        <w:t xml:space="preserve">pharmacology </w:t>
      </w:r>
      <w:r>
        <w:rPr>
          <w:spacing w:val="-4"/>
        </w:rPr>
        <w:t xml:space="preserve">studies </w:t>
      </w:r>
      <w:r>
        <w:t xml:space="preserve">support the proposed mechanism of </w:t>
      </w:r>
      <w:r>
        <w:rPr>
          <w:spacing w:val="-3"/>
        </w:rPr>
        <w:t xml:space="preserve">action </w:t>
      </w:r>
      <w:r>
        <w:t xml:space="preserve">of </w:t>
      </w:r>
      <w:r>
        <w:rPr>
          <w:spacing w:val="-5"/>
        </w:rPr>
        <w:t xml:space="preserve">baloxavir </w:t>
      </w:r>
      <w:r>
        <w:t xml:space="preserve">and indicate that </w:t>
      </w:r>
      <w:r>
        <w:rPr>
          <w:spacing w:val="-5"/>
        </w:rPr>
        <w:t xml:space="preserve">baloxavir </w:t>
      </w:r>
      <w:r>
        <w:t xml:space="preserve">has </w:t>
      </w:r>
      <w:r>
        <w:rPr>
          <w:spacing w:val="-3"/>
        </w:rPr>
        <w:t xml:space="preserve">antiviral </w:t>
      </w:r>
      <w:r>
        <w:rPr>
          <w:spacing w:val="-5"/>
        </w:rPr>
        <w:t xml:space="preserve">activity </w:t>
      </w:r>
      <w:r>
        <w:t>against a broad panel of</w:t>
      </w:r>
      <w:r w:rsidR="00895666">
        <w:t xml:space="preserve"> influenza</w:t>
      </w:r>
      <w:r>
        <w:t xml:space="preserve"> A and B</w:t>
      </w:r>
      <w:r>
        <w:rPr>
          <w:spacing w:val="14"/>
        </w:rPr>
        <w:t xml:space="preserve"> </w:t>
      </w:r>
      <w:r>
        <w:t>viruses.</w:t>
      </w:r>
    </w:p>
    <w:p w14:paraId="261B3B64" w14:textId="77777777" w:rsidR="004E62F6" w:rsidRDefault="004E62F6" w:rsidP="004E62F6">
      <w:pPr>
        <w:pStyle w:val="ListBullet"/>
      </w:pPr>
      <w:r>
        <w:t xml:space="preserve">In </w:t>
      </w:r>
      <w:r>
        <w:rPr>
          <w:spacing w:val="-4"/>
        </w:rPr>
        <w:t xml:space="preserve">toxicity </w:t>
      </w:r>
      <w:r>
        <w:rPr>
          <w:spacing w:val="-5"/>
        </w:rPr>
        <w:t xml:space="preserve">studies </w:t>
      </w:r>
      <w:r>
        <w:t xml:space="preserve">in </w:t>
      </w:r>
      <w:r>
        <w:rPr>
          <w:spacing w:val="-7"/>
        </w:rPr>
        <w:t xml:space="preserve">rats </w:t>
      </w:r>
      <w:r>
        <w:t xml:space="preserve">and monkeys with </w:t>
      </w:r>
      <w:r>
        <w:rPr>
          <w:spacing w:val="-6"/>
        </w:rPr>
        <w:t xml:space="preserve">daily dosing </w:t>
      </w:r>
      <w:r>
        <w:t xml:space="preserve">for up to one month, the main </w:t>
      </w:r>
      <w:r>
        <w:rPr>
          <w:spacing w:val="-5"/>
        </w:rPr>
        <w:t xml:space="preserve">target </w:t>
      </w:r>
      <w:r>
        <w:t xml:space="preserve">organ for </w:t>
      </w:r>
      <w:r>
        <w:rPr>
          <w:spacing w:val="-4"/>
        </w:rPr>
        <w:t xml:space="preserve">toxicity </w:t>
      </w:r>
      <w:r>
        <w:t xml:space="preserve">is </w:t>
      </w:r>
      <w:r>
        <w:rPr>
          <w:spacing w:val="-7"/>
        </w:rPr>
        <w:t xml:space="preserve">liver. </w:t>
      </w:r>
      <w:r>
        <w:rPr>
          <w:spacing w:val="-3"/>
        </w:rPr>
        <w:t xml:space="preserve">Hepatotoxicity was </w:t>
      </w:r>
      <w:r>
        <w:t xml:space="preserve">characterised by increases in </w:t>
      </w:r>
      <w:r>
        <w:rPr>
          <w:spacing w:val="-3"/>
        </w:rPr>
        <w:t xml:space="preserve">liver </w:t>
      </w:r>
      <w:r>
        <w:t xml:space="preserve">enzymes in </w:t>
      </w:r>
      <w:r>
        <w:rPr>
          <w:spacing w:val="-7"/>
        </w:rPr>
        <w:t xml:space="preserve">rats </w:t>
      </w:r>
      <w:r>
        <w:t xml:space="preserve">and monkeys and increases in </w:t>
      </w:r>
      <w:r>
        <w:rPr>
          <w:spacing w:val="-4"/>
        </w:rPr>
        <w:t xml:space="preserve">liver </w:t>
      </w:r>
      <w:r>
        <w:t xml:space="preserve">weight and </w:t>
      </w:r>
      <w:r>
        <w:rPr>
          <w:spacing w:val="-4"/>
        </w:rPr>
        <w:t xml:space="preserve">pathological </w:t>
      </w:r>
      <w:r>
        <w:t xml:space="preserve">changes in </w:t>
      </w:r>
      <w:r>
        <w:rPr>
          <w:spacing w:val="-6"/>
        </w:rPr>
        <w:t xml:space="preserve">rats. </w:t>
      </w:r>
      <w:r>
        <w:rPr>
          <w:spacing w:val="-5"/>
        </w:rPr>
        <w:t xml:space="preserve">However, </w:t>
      </w:r>
      <w:r>
        <w:t xml:space="preserve">the risk of </w:t>
      </w:r>
      <w:r>
        <w:rPr>
          <w:spacing w:val="-3"/>
        </w:rPr>
        <w:t xml:space="preserve">hepatotoxicity </w:t>
      </w:r>
      <w:r>
        <w:t xml:space="preserve">in human is </w:t>
      </w:r>
      <w:r>
        <w:rPr>
          <w:spacing w:val="-4"/>
        </w:rPr>
        <w:t xml:space="preserve">considered </w:t>
      </w:r>
      <w:r>
        <w:rPr>
          <w:spacing w:val="-10"/>
        </w:rPr>
        <w:t xml:space="preserve">low </w:t>
      </w:r>
      <w:r>
        <w:t xml:space="preserve">as only </w:t>
      </w:r>
      <w:r>
        <w:rPr>
          <w:spacing w:val="-6"/>
        </w:rPr>
        <w:t xml:space="preserve">single </w:t>
      </w:r>
      <w:r>
        <w:rPr>
          <w:spacing w:val="-7"/>
        </w:rPr>
        <w:t xml:space="preserve">dose </w:t>
      </w:r>
      <w:r>
        <w:rPr>
          <w:spacing w:val="-4"/>
        </w:rPr>
        <w:t xml:space="preserve">administration </w:t>
      </w:r>
      <w:r>
        <w:t xml:space="preserve">of </w:t>
      </w:r>
      <w:r>
        <w:rPr>
          <w:spacing w:val="-5"/>
        </w:rPr>
        <w:t xml:space="preserve">baloxavir </w:t>
      </w:r>
      <w:r>
        <w:t xml:space="preserve">marboxil is </w:t>
      </w:r>
      <w:r>
        <w:rPr>
          <w:spacing w:val="-5"/>
        </w:rPr>
        <w:t xml:space="preserve">intended </w:t>
      </w:r>
      <w:r>
        <w:rPr>
          <w:spacing w:val="-4"/>
        </w:rPr>
        <w:t xml:space="preserve">clinically. </w:t>
      </w:r>
      <w:r>
        <w:t xml:space="preserve">Occasional </w:t>
      </w:r>
      <w:r>
        <w:rPr>
          <w:spacing w:val="-3"/>
        </w:rPr>
        <w:t xml:space="preserve">gastrointestinal adverse </w:t>
      </w:r>
      <w:r>
        <w:t xml:space="preserve">findings </w:t>
      </w:r>
      <w:r>
        <w:rPr>
          <w:spacing w:val="-6"/>
        </w:rPr>
        <w:t xml:space="preserve">(loose </w:t>
      </w:r>
      <w:r>
        <w:rPr>
          <w:spacing w:val="-5"/>
        </w:rPr>
        <w:t xml:space="preserve">stool, </w:t>
      </w:r>
      <w:r>
        <w:t xml:space="preserve">diarrhoea and/or </w:t>
      </w:r>
      <w:r>
        <w:rPr>
          <w:spacing w:val="-3"/>
        </w:rPr>
        <w:t xml:space="preserve">vomiting) </w:t>
      </w:r>
      <w:r>
        <w:t>were seen in both</w:t>
      </w:r>
      <w:r>
        <w:rPr>
          <w:spacing w:val="-6"/>
        </w:rPr>
        <w:t xml:space="preserve"> </w:t>
      </w:r>
      <w:r>
        <w:t>species.</w:t>
      </w:r>
    </w:p>
    <w:p w14:paraId="7DC24457" w14:textId="3D33B12C" w:rsidR="004E62F6" w:rsidRDefault="004E62F6" w:rsidP="004E62F6">
      <w:pPr>
        <w:pStyle w:val="ListBullet"/>
      </w:pPr>
      <w:r>
        <w:rPr>
          <w:spacing w:val="-5"/>
        </w:rPr>
        <w:t xml:space="preserve">Baloxavir </w:t>
      </w:r>
      <w:r>
        <w:t xml:space="preserve">marboxil and </w:t>
      </w:r>
      <w:r>
        <w:rPr>
          <w:spacing w:val="-5"/>
        </w:rPr>
        <w:t xml:space="preserve">baloxavir </w:t>
      </w:r>
      <w:r>
        <w:t xml:space="preserve">were tested </w:t>
      </w:r>
      <w:r>
        <w:rPr>
          <w:spacing w:val="-4"/>
        </w:rPr>
        <w:t xml:space="preserve">negative </w:t>
      </w:r>
      <w:r>
        <w:t xml:space="preserve">for </w:t>
      </w:r>
      <w:proofErr w:type="spellStart"/>
      <w:r>
        <w:rPr>
          <w:spacing w:val="-3"/>
        </w:rPr>
        <w:t>genotoxicity</w:t>
      </w:r>
      <w:proofErr w:type="spellEnd"/>
      <w:r>
        <w:rPr>
          <w:spacing w:val="-3"/>
        </w:rPr>
        <w:t xml:space="preserve"> </w:t>
      </w:r>
      <w:r>
        <w:t>(</w:t>
      </w:r>
      <w:r>
        <w:rPr>
          <w:i/>
        </w:rPr>
        <w:t xml:space="preserve">in </w:t>
      </w:r>
      <w:r>
        <w:rPr>
          <w:i/>
          <w:spacing w:val="-3"/>
        </w:rPr>
        <w:t xml:space="preserve">vitro </w:t>
      </w:r>
      <w:r>
        <w:t xml:space="preserve">and </w:t>
      </w:r>
      <w:r>
        <w:rPr>
          <w:i/>
        </w:rPr>
        <w:t>in</w:t>
      </w:r>
      <w:r w:rsidR="00895666">
        <w:rPr>
          <w:i/>
        </w:rPr>
        <w:t> </w:t>
      </w:r>
      <w:r>
        <w:rPr>
          <w:i/>
        </w:rPr>
        <w:t>vivo</w:t>
      </w:r>
      <w:r>
        <w:t xml:space="preserve">). Carcinogenicity </w:t>
      </w:r>
      <w:r>
        <w:rPr>
          <w:spacing w:val="-5"/>
        </w:rPr>
        <w:t xml:space="preserve">studies </w:t>
      </w:r>
      <w:r>
        <w:rPr>
          <w:spacing w:val="-3"/>
        </w:rPr>
        <w:t xml:space="preserve">were </w:t>
      </w:r>
      <w:r>
        <w:t xml:space="preserve">not </w:t>
      </w:r>
      <w:r>
        <w:rPr>
          <w:spacing w:val="-5"/>
        </w:rPr>
        <w:t xml:space="preserve">needed </w:t>
      </w:r>
      <w:r>
        <w:rPr>
          <w:spacing w:val="-4"/>
        </w:rPr>
        <w:t xml:space="preserve">considering </w:t>
      </w:r>
      <w:r>
        <w:rPr>
          <w:spacing w:val="-6"/>
        </w:rPr>
        <w:t xml:space="preserve">single </w:t>
      </w:r>
      <w:r>
        <w:rPr>
          <w:spacing w:val="-7"/>
        </w:rPr>
        <w:t>dose</w:t>
      </w:r>
      <w:r>
        <w:rPr>
          <w:spacing w:val="24"/>
        </w:rPr>
        <w:t xml:space="preserve"> </w:t>
      </w:r>
      <w:r>
        <w:rPr>
          <w:spacing w:val="-4"/>
        </w:rPr>
        <w:t>treatment.</w:t>
      </w:r>
    </w:p>
    <w:p w14:paraId="20C4B5B8" w14:textId="1BD364DF" w:rsidR="004E62F6" w:rsidRDefault="004E62F6" w:rsidP="004E62F6">
      <w:pPr>
        <w:pStyle w:val="ListBullet"/>
      </w:pPr>
      <w:r>
        <w:rPr>
          <w:spacing w:val="-5"/>
        </w:rPr>
        <w:t xml:space="preserve">Baloxavir </w:t>
      </w:r>
      <w:r>
        <w:t xml:space="preserve">marboxil </w:t>
      </w:r>
      <w:r>
        <w:rPr>
          <w:spacing w:val="-3"/>
        </w:rPr>
        <w:t xml:space="preserve">did </w:t>
      </w:r>
      <w:r>
        <w:t xml:space="preserve">not affect </w:t>
      </w:r>
      <w:r>
        <w:rPr>
          <w:spacing w:val="-6"/>
        </w:rPr>
        <w:t xml:space="preserve">female </w:t>
      </w:r>
      <w:r>
        <w:t xml:space="preserve">or </w:t>
      </w:r>
      <w:r>
        <w:rPr>
          <w:spacing w:val="-7"/>
        </w:rPr>
        <w:t xml:space="preserve">male </w:t>
      </w:r>
      <w:r>
        <w:rPr>
          <w:spacing w:val="-5"/>
        </w:rPr>
        <w:t xml:space="preserve">fertility </w:t>
      </w:r>
      <w:r>
        <w:t xml:space="preserve">in </w:t>
      </w:r>
      <w:r>
        <w:rPr>
          <w:spacing w:val="-6"/>
        </w:rPr>
        <w:t xml:space="preserve">rats. </w:t>
      </w:r>
      <w:proofErr w:type="spellStart"/>
      <w:r>
        <w:rPr>
          <w:spacing w:val="-4"/>
        </w:rPr>
        <w:t>Embryofetal</w:t>
      </w:r>
      <w:proofErr w:type="spellEnd"/>
      <w:r>
        <w:rPr>
          <w:spacing w:val="-4"/>
        </w:rPr>
        <w:t xml:space="preserve"> </w:t>
      </w:r>
      <w:r>
        <w:rPr>
          <w:spacing w:val="-6"/>
        </w:rPr>
        <w:t xml:space="preserve">development </w:t>
      </w:r>
      <w:r w:rsidR="00753100">
        <w:rPr>
          <w:spacing w:val="-4"/>
        </w:rPr>
        <w:t xml:space="preserve">studies </w:t>
      </w:r>
      <w:r>
        <w:t xml:space="preserve">(at animal/human exposure </w:t>
      </w:r>
      <w:r>
        <w:rPr>
          <w:spacing w:val="-3"/>
        </w:rPr>
        <w:t xml:space="preserve">ratios </w:t>
      </w:r>
      <w:r>
        <w:t xml:space="preserve">2.1 and ≥ 2.7 </w:t>
      </w:r>
      <w:r>
        <w:rPr>
          <w:spacing w:val="-8"/>
        </w:rPr>
        <w:t xml:space="preserve">fold </w:t>
      </w:r>
      <w:r>
        <w:t xml:space="preserve">in </w:t>
      </w:r>
      <w:r>
        <w:rPr>
          <w:spacing w:val="-7"/>
        </w:rPr>
        <w:t xml:space="preserve">rats </w:t>
      </w:r>
      <w:r>
        <w:t xml:space="preserve">and </w:t>
      </w:r>
      <w:r>
        <w:rPr>
          <w:spacing w:val="-5"/>
        </w:rPr>
        <w:t xml:space="preserve">rabbits, </w:t>
      </w:r>
      <w:r>
        <w:rPr>
          <w:spacing w:val="-3"/>
        </w:rPr>
        <w:t xml:space="preserve">respectively) </w:t>
      </w:r>
      <w:r>
        <w:t xml:space="preserve">showed a </w:t>
      </w:r>
      <w:r>
        <w:rPr>
          <w:spacing w:val="-5"/>
        </w:rPr>
        <w:t xml:space="preserve">decrease </w:t>
      </w:r>
      <w:r>
        <w:t xml:space="preserve">in maternal body weight in </w:t>
      </w:r>
      <w:r>
        <w:rPr>
          <w:spacing w:val="-8"/>
        </w:rPr>
        <w:t xml:space="preserve">rats </w:t>
      </w:r>
      <w:r>
        <w:t xml:space="preserve">and </w:t>
      </w:r>
      <w:r>
        <w:rPr>
          <w:spacing w:val="-5"/>
        </w:rPr>
        <w:t xml:space="preserve">rabbits </w:t>
      </w:r>
      <w:r>
        <w:t xml:space="preserve">and </w:t>
      </w:r>
      <w:r>
        <w:rPr>
          <w:spacing w:val="-7"/>
        </w:rPr>
        <w:t xml:space="preserve">two </w:t>
      </w:r>
      <w:r>
        <w:t xml:space="preserve">abortions in </w:t>
      </w:r>
      <w:r>
        <w:rPr>
          <w:spacing w:val="-5"/>
        </w:rPr>
        <w:t xml:space="preserve">rabbits </w:t>
      </w:r>
      <w:r>
        <w:t xml:space="preserve">at the highest </w:t>
      </w:r>
      <w:r>
        <w:rPr>
          <w:spacing w:val="-7"/>
        </w:rPr>
        <w:t xml:space="preserve">dose </w:t>
      </w:r>
      <w:r>
        <w:t xml:space="preserve">(exposure </w:t>
      </w:r>
      <w:r>
        <w:rPr>
          <w:spacing w:val="-3"/>
        </w:rPr>
        <w:t xml:space="preserve">ratio </w:t>
      </w:r>
      <w:r>
        <w:t xml:space="preserve">6.1). </w:t>
      </w:r>
      <w:r>
        <w:rPr>
          <w:spacing w:val="-7"/>
        </w:rPr>
        <w:t xml:space="preserve">Skeletal </w:t>
      </w:r>
      <w:r>
        <w:t xml:space="preserve">variations (increased </w:t>
      </w:r>
      <w:r>
        <w:rPr>
          <w:spacing w:val="-4"/>
        </w:rPr>
        <w:t xml:space="preserve">incidence </w:t>
      </w:r>
      <w:r>
        <w:t xml:space="preserve">of cervical ribs and a </w:t>
      </w:r>
      <w:r>
        <w:rPr>
          <w:spacing w:val="-10"/>
        </w:rPr>
        <w:t xml:space="preserve">low </w:t>
      </w:r>
      <w:r>
        <w:rPr>
          <w:spacing w:val="-4"/>
        </w:rPr>
        <w:t xml:space="preserve">incidence </w:t>
      </w:r>
      <w:r>
        <w:t xml:space="preserve">of full supernumerary ribs) were increased in high </w:t>
      </w:r>
      <w:r>
        <w:rPr>
          <w:spacing w:val="-8"/>
        </w:rPr>
        <w:t xml:space="preserve">dose </w:t>
      </w:r>
      <w:r>
        <w:rPr>
          <w:spacing w:val="-5"/>
        </w:rPr>
        <w:t xml:space="preserve">rabbits </w:t>
      </w:r>
      <w:r>
        <w:t xml:space="preserve">(exposure </w:t>
      </w:r>
      <w:r>
        <w:rPr>
          <w:spacing w:val="-3"/>
        </w:rPr>
        <w:t xml:space="preserve">ratio </w:t>
      </w:r>
      <w:r>
        <w:t xml:space="preserve">6.1). There </w:t>
      </w:r>
      <w:r>
        <w:rPr>
          <w:spacing w:val="-3"/>
        </w:rPr>
        <w:t xml:space="preserve">were </w:t>
      </w:r>
      <w:r>
        <w:t xml:space="preserve">no </w:t>
      </w:r>
      <w:r>
        <w:rPr>
          <w:spacing w:val="-3"/>
        </w:rPr>
        <w:t xml:space="preserve">malformations observed. </w:t>
      </w:r>
      <w:r>
        <w:t xml:space="preserve">There </w:t>
      </w:r>
      <w:r>
        <w:rPr>
          <w:spacing w:val="-3"/>
        </w:rPr>
        <w:t xml:space="preserve">were </w:t>
      </w:r>
      <w:r>
        <w:t xml:space="preserve">no adverse </w:t>
      </w:r>
      <w:r>
        <w:rPr>
          <w:spacing w:val="-5"/>
        </w:rPr>
        <w:t xml:space="preserve">effects </w:t>
      </w:r>
      <w:r>
        <w:t xml:space="preserve">of </w:t>
      </w:r>
      <w:r>
        <w:rPr>
          <w:spacing w:val="-5"/>
        </w:rPr>
        <w:t xml:space="preserve">baloxavir </w:t>
      </w:r>
      <w:r>
        <w:t xml:space="preserve">marboxil on the </w:t>
      </w:r>
      <w:r>
        <w:rPr>
          <w:spacing w:val="-3"/>
        </w:rPr>
        <w:t xml:space="preserve">overall </w:t>
      </w:r>
      <w:r>
        <w:t xml:space="preserve">growth and </w:t>
      </w:r>
      <w:r>
        <w:rPr>
          <w:spacing w:val="-6"/>
        </w:rPr>
        <w:t xml:space="preserve">development </w:t>
      </w:r>
      <w:r>
        <w:t xml:space="preserve">of </w:t>
      </w:r>
      <w:r>
        <w:rPr>
          <w:spacing w:val="-5"/>
        </w:rPr>
        <w:t xml:space="preserve">juvenile </w:t>
      </w:r>
      <w:r>
        <w:rPr>
          <w:spacing w:val="-8"/>
        </w:rPr>
        <w:t xml:space="preserve">rats </w:t>
      </w:r>
      <w:r>
        <w:t xml:space="preserve">at the clinically </w:t>
      </w:r>
      <w:r>
        <w:rPr>
          <w:spacing w:val="-5"/>
        </w:rPr>
        <w:t xml:space="preserve">relevant </w:t>
      </w:r>
      <w:r>
        <w:t xml:space="preserve">exposure. </w:t>
      </w:r>
      <w:r>
        <w:rPr>
          <w:spacing w:val="-5"/>
        </w:rPr>
        <w:t xml:space="preserve">Overall, </w:t>
      </w:r>
      <w:r>
        <w:rPr>
          <w:spacing w:val="-4"/>
        </w:rPr>
        <w:t xml:space="preserve">safety </w:t>
      </w:r>
      <w:r>
        <w:lastRenderedPageBreak/>
        <w:t xml:space="preserve">margins </w:t>
      </w:r>
      <w:r>
        <w:rPr>
          <w:spacing w:val="-3"/>
        </w:rPr>
        <w:t xml:space="preserve">were </w:t>
      </w:r>
      <w:r>
        <w:rPr>
          <w:spacing w:val="-12"/>
        </w:rPr>
        <w:t xml:space="preserve">low, </w:t>
      </w:r>
      <w:r>
        <w:t xml:space="preserve">but </w:t>
      </w:r>
      <w:r>
        <w:rPr>
          <w:spacing w:val="-6"/>
        </w:rPr>
        <w:t xml:space="preserve">acceptable </w:t>
      </w:r>
      <w:r>
        <w:rPr>
          <w:spacing w:val="-3"/>
        </w:rPr>
        <w:t xml:space="preserve">considering </w:t>
      </w:r>
      <w:r>
        <w:rPr>
          <w:spacing w:val="-6"/>
        </w:rPr>
        <w:t xml:space="preserve">single </w:t>
      </w:r>
      <w:r>
        <w:rPr>
          <w:spacing w:val="-7"/>
        </w:rPr>
        <w:t xml:space="preserve">dose </w:t>
      </w:r>
      <w:r>
        <w:rPr>
          <w:spacing w:val="-5"/>
        </w:rPr>
        <w:t xml:space="preserve">treatment </w:t>
      </w:r>
      <w:r w:rsidR="00525B91">
        <w:t>in humans. Pregnancy C</w:t>
      </w:r>
      <w:r>
        <w:t xml:space="preserve">ategory B3 is </w:t>
      </w:r>
      <w:r>
        <w:rPr>
          <w:spacing w:val="-4"/>
        </w:rPr>
        <w:t xml:space="preserve">considered </w:t>
      </w:r>
      <w:r>
        <w:t>appropriate.</w:t>
      </w:r>
      <w:r w:rsidR="00753100">
        <w:rPr>
          <w:rStyle w:val="FootnoteReference"/>
        </w:rPr>
        <w:footnoteReference w:id="4"/>
      </w:r>
    </w:p>
    <w:p w14:paraId="357C0DEA" w14:textId="77777777" w:rsidR="004E62F6" w:rsidRDefault="004E62F6" w:rsidP="00803C60">
      <w:pPr>
        <w:pStyle w:val="Heading4"/>
      </w:pPr>
      <w:r>
        <w:t xml:space="preserve">Conclusion from the </w:t>
      </w:r>
      <w:r w:rsidR="00803C60">
        <w:t>nonclinical e</w:t>
      </w:r>
      <w:r>
        <w:t>valuation</w:t>
      </w:r>
    </w:p>
    <w:p w14:paraId="732E9B14" w14:textId="77777777" w:rsidR="004E62F6" w:rsidRDefault="004E62F6" w:rsidP="004E62F6">
      <w:r>
        <w:t xml:space="preserve">Overall, the submitted nonclinical documentation is considered sufficient to support the approval </w:t>
      </w:r>
      <w:r w:rsidRPr="00753100">
        <w:t xml:space="preserve">of </w:t>
      </w:r>
      <w:r w:rsidR="00753100" w:rsidRPr="00753100">
        <w:t xml:space="preserve">Xofluza </w:t>
      </w:r>
      <w:r w:rsidRPr="00753100">
        <w:t xml:space="preserve">with the </w:t>
      </w:r>
      <w:r>
        <w:t>new active substance baloxavir marboxil for the proposed indication.</w:t>
      </w:r>
    </w:p>
    <w:p w14:paraId="5E003CA2" w14:textId="77777777" w:rsidR="008E7846" w:rsidRDefault="004E62F6" w:rsidP="004E62F6">
      <w:r>
        <w:t xml:space="preserve">The draft </w:t>
      </w:r>
      <w:r w:rsidR="00753100">
        <w:t>PI</w:t>
      </w:r>
      <w:r>
        <w:t xml:space="preserve"> should be amended as directed. It is noted that relevant revisions have been recommended for Section 4.5, 4.6, 5.1, 5.2, and 5.3 of the proposed PI.</w:t>
      </w:r>
    </w:p>
    <w:p w14:paraId="4A23021F" w14:textId="77777777" w:rsidR="008E7846" w:rsidRDefault="008E7846" w:rsidP="008E7846">
      <w:pPr>
        <w:pStyle w:val="Heading3"/>
      </w:pPr>
      <w:bookmarkStart w:id="37" w:name="_Toc247691530"/>
      <w:bookmarkStart w:id="38" w:name="_Toc314842513"/>
      <w:bookmarkStart w:id="39" w:name="_Toc42768444"/>
      <w:r>
        <w:t>Clinical</w:t>
      </w:r>
      <w:bookmarkEnd w:id="37"/>
      <w:bookmarkEnd w:id="38"/>
      <w:bookmarkEnd w:id="39"/>
    </w:p>
    <w:p w14:paraId="3C152EFC" w14:textId="1B4DE2E8" w:rsidR="00FF25CD" w:rsidRPr="000B6ED9" w:rsidRDefault="00FF25CD" w:rsidP="000B6ED9">
      <w:bookmarkStart w:id="40" w:name="_Toc314842514"/>
      <w:r w:rsidRPr="000B6ED9">
        <w:t xml:space="preserve">To support this application, the sponsor has provided 16 </w:t>
      </w:r>
      <w:r w:rsidR="00753100" w:rsidRPr="000B6ED9">
        <w:t>PK/pharmacodynamic (</w:t>
      </w:r>
      <w:r w:rsidRPr="000B6ED9">
        <w:t>PD) studies and the following four safety and efficacy studies:</w:t>
      </w:r>
    </w:p>
    <w:p w14:paraId="13B85D94" w14:textId="77777777" w:rsidR="00FF25CD" w:rsidRDefault="00753100" w:rsidP="00803C60">
      <w:pPr>
        <w:pStyle w:val="ListBullet"/>
      </w:pPr>
      <w:r>
        <w:t>Study 1601T0831: a Phase III</w:t>
      </w:r>
      <w:r w:rsidR="00FF25CD">
        <w:t xml:space="preserve"> study in otherwise healthy subjects</w:t>
      </w:r>
      <w:r>
        <w:t>.</w:t>
      </w:r>
    </w:p>
    <w:p w14:paraId="22EABD0D" w14:textId="77777777" w:rsidR="007B6132" w:rsidRDefault="00753100" w:rsidP="00803C60">
      <w:pPr>
        <w:pStyle w:val="ListBullet"/>
      </w:pPr>
      <w:r>
        <w:t>Study 1601T0832: a Phase III</w:t>
      </w:r>
      <w:r w:rsidR="00FF25CD">
        <w:t xml:space="preserve"> study in subjects who are at high risk of influenza complications</w:t>
      </w:r>
      <w:r>
        <w:t>.</w:t>
      </w:r>
    </w:p>
    <w:p w14:paraId="22635DBD" w14:textId="77777777" w:rsidR="00803C60" w:rsidRDefault="00753100" w:rsidP="00803C60">
      <w:pPr>
        <w:pStyle w:val="ListBullet"/>
      </w:pPr>
      <w:r>
        <w:t>Study 1518T0821: a Phase III</w:t>
      </w:r>
      <w:r w:rsidR="00FF25CD">
        <w:t xml:space="preserve"> stud</w:t>
      </w:r>
      <w:r w:rsidR="00803C60">
        <w:t>y in otherwise healthy subjects</w:t>
      </w:r>
      <w:r>
        <w:t>.</w:t>
      </w:r>
    </w:p>
    <w:p w14:paraId="590FD01C" w14:textId="5727574E" w:rsidR="00FF25CD" w:rsidRDefault="00FF25CD" w:rsidP="00FF25CD">
      <w:pPr>
        <w:pStyle w:val="ListBullet"/>
      </w:pPr>
      <w:r>
        <w:t>St</w:t>
      </w:r>
      <w:r w:rsidR="00F14871">
        <w:t xml:space="preserve">udy 1518T0822: an open </w:t>
      </w:r>
      <w:r w:rsidR="00753100">
        <w:t>label, Phase III</w:t>
      </w:r>
      <w:r>
        <w:t xml:space="preserve"> study in paediatric subjects</w:t>
      </w:r>
      <w:r w:rsidR="00753100">
        <w:t>.</w:t>
      </w:r>
    </w:p>
    <w:p w14:paraId="4EAFA1B4" w14:textId="76C2EE01" w:rsidR="00FF25CD" w:rsidRDefault="00FF25CD" w:rsidP="00803C60">
      <w:pPr>
        <w:pStyle w:val="Heading4"/>
      </w:pPr>
      <w:r>
        <w:t>Clinical</w:t>
      </w:r>
      <w:r>
        <w:rPr>
          <w:spacing w:val="-3"/>
        </w:rPr>
        <w:t xml:space="preserve"> </w:t>
      </w:r>
      <w:r w:rsidR="00E54B31">
        <w:t>p</w:t>
      </w:r>
      <w:r>
        <w:t>harmacology</w:t>
      </w:r>
    </w:p>
    <w:p w14:paraId="42DB66EF" w14:textId="77777777" w:rsidR="00FF25CD" w:rsidRPr="000B6ED9" w:rsidRDefault="00FF25CD" w:rsidP="000B6ED9">
      <w:r w:rsidRPr="000B6ED9">
        <w:t xml:space="preserve">Among the submitted 16 PK/PD studies, 15 studies provided PK data and 3 studies provided PD data. A single dedicated population PK study (popPK) was also included as part of the </w:t>
      </w:r>
      <w:r w:rsidR="00803C60" w:rsidRPr="000B6ED9">
        <w:t>submission.</w:t>
      </w:r>
    </w:p>
    <w:p w14:paraId="7608B1EB" w14:textId="77777777" w:rsidR="00FF25CD" w:rsidRPr="000B6ED9" w:rsidRDefault="00FF25CD" w:rsidP="000B6ED9">
      <w:r w:rsidRPr="000B6ED9">
        <w:t xml:space="preserve">The clinical evaluator concluded that the </w:t>
      </w:r>
      <w:r w:rsidR="00AD71E0" w:rsidRPr="000B6ED9">
        <w:t xml:space="preserve">statements in the proposed PI </w:t>
      </w:r>
      <w:r w:rsidRPr="000B6ED9">
        <w:t xml:space="preserve">are supported by the submitted data with some PI amendments recommended to more accurately reflect the submitted </w:t>
      </w:r>
      <w:r w:rsidR="00803C60" w:rsidRPr="000B6ED9">
        <w:t>data.</w:t>
      </w:r>
    </w:p>
    <w:p w14:paraId="469E6F12" w14:textId="77777777" w:rsidR="00FF25CD" w:rsidRPr="00AD71E0" w:rsidRDefault="00FF25CD" w:rsidP="00803C60">
      <w:r w:rsidRPr="00AD71E0">
        <w:t xml:space="preserve">The following is a brief summary of </w:t>
      </w:r>
      <w:r w:rsidR="00803C60" w:rsidRPr="00AD71E0">
        <w:t>the results from these studies.</w:t>
      </w:r>
    </w:p>
    <w:p w14:paraId="4717D231" w14:textId="77777777" w:rsidR="00FF25CD" w:rsidRPr="00AD71E0" w:rsidRDefault="00FF25CD" w:rsidP="00AD71E0">
      <w:pPr>
        <w:pStyle w:val="Heading5"/>
      </w:pPr>
      <w:r w:rsidRPr="00AD71E0">
        <w:t>Absorption</w:t>
      </w:r>
      <w:r w:rsidR="00405630" w:rsidRPr="00AD71E0">
        <w:t>,</w:t>
      </w:r>
      <w:r w:rsidRPr="00AD71E0">
        <w:t xml:space="preserve"> </w:t>
      </w:r>
      <w:r w:rsidR="00405630" w:rsidRPr="00AD71E0">
        <w:t>distribution, metabolism and excretion</w:t>
      </w:r>
    </w:p>
    <w:p w14:paraId="77E774AB" w14:textId="77777777" w:rsidR="00FF25CD" w:rsidRPr="00AD71E0" w:rsidRDefault="00FF25CD" w:rsidP="005A7EA7">
      <w:pPr>
        <w:pStyle w:val="ListBullet"/>
      </w:pPr>
      <w:r w:rsidRPr="00AD71E0">
        <w:t>Following a single dose of the proposed marketing formulation of 20</w:t>
      </w:r>
      <w:r w:rsidR="00AD71E0">
        <w:t xml:space="preserve"> </w:t>
      </w:r>
      <w:r w:rsidRPr="00AD71E0">
        <w:t xml:space="preserve">mg baloxavir marboxil tablets, the median </w:t>
      </w:r>
      <w:proofErr w:type="spellStart"/>
      <w:r w:rsidRPr="00AD71E0">
        <w:t>T</w:t>
      </w:r>
      <w:r w:rsidRPr="00AD71E0">
        <w:rPr>
          <w:vertAlign w:val="subscript"/>
        </w:rPr>
        <w:t>max</w:t>
      </w:r>
      <w:proofErr w:type="spellEnd"/>
      <w:r w:rsidRPr="00AD71E0">
        <w:rPr>
          <w:vertAlign w:val="subscript"/>
        </w:rPr>
        <w:t xml:space="preserve"> </w:t>
      </w:r>
      <w:r w:rsidRPr="00AD71E0">
        <w:t>value was 4.0</w:t>
      </w:r>
      <w:r w:rsidRPr="00AD71E0">
        <w:rPr>
          <w:spacing w:val="-9"/>
        </w:rPr>
        <w:t xml:space="preserve"> </w:t>
      </w:r>
      <w:r w:rsidRPr="00AD71E0">
        <w:t>h</w:t>
      </w:r>
      <w:r w:rsidR="00AD71E0">
        <w:t>ours</w:t>
      </w:r>
      <w:r w:rsidRPr="00AD71E0">
        <w:t>.</w:t>
      </w:r>
    </w:p>
    <w:p w14:paraId="0573C048" w14:textId="77777777" w:rsidR="00FF25CD" w:rsidRPr="00AD71E0" w:rsidRDefault="00FF25CD" w:rsidP="005A7EA7">
      <w:pPr>
        <w:pStyle w:val="ListBullet"/>
      </w:pPr>
      <w:r w:rsidRPr="00AD71E0">
        <w:t>Following a single dose of 20 mg tablet or 20 mg suspension of baloxavir marboxil in the fasted state to healthy subjects, the two formulations have similar oral</w:t>
      </w:r>
      <w:r w:rsidRPr="00AD71E0">
        <w:rPr>
          <w:spacing w:val="-9"/>
        </w:rPr>
        <w:t xml:space="preserve"> </w:t>
      </w:r>
      <w:r w:rsidRPr="00AD71E0">
        <w:t>bioavailability.</w:t>
      </w:r>
    </w:p>
    <w:p w14:paraId="44A43CE2" w14:textId="77777777" w:rsidR="00FF25CD" w:rsidRPr="00AD71E0" w:rsidRDefault="00FF25CD" w:rsidP="005A7EA7">
      <w:pPr>
        <w:pStyle w:val="ListBullet"/>
      </w:pPr>
      <w:r w:rsidRPr="00AD71E0">
        <w:rPr>
          <w:i/>
        </w:rPr>
        <w:t xml:space="preserve">In vitro </w:t>
      </w:r>
      <w:r w:rsidRPr="00AD71E0">
        <w:t>dissolution testing indicated that th</w:t>
      </w:r>
      <w:r w:rsidR="00AD71E0">
        <w:t xml:space="preserve">e proposed marketing 20 mg film </w:t>
      </w:r>
      <w:r w:rsidRPr="00AD71E0">
        <w:t>coated tablet</w:t>
      </w:r>
      <w:r w:rsidR="00AD71E0">
        <w:t xml:space="preserve"> formulation and the 20 mg film </w:t>
      </w:r>
      <w:r w:rsidRPr="00AD71E0">
        <w:t>coated tablet formulation for clinical use were</w:t>
      </w:r>
      <w:r w:rsidRPr="00AD71E0">
        <w:rPr>
          <w:spacing w:val="-28"/>
        </w:rPr>
        <w:t xml:space="preserve"> </w:t>
      </w:r>
      <w:r w:rsidRPr="00AD71E0">
        <w:t>comparable.</w:t>
      </w:r>
    </w:p>
    <w:p w14:paraId="6BC082D0" w14:textId="77777777" w:rsidR="00FF25CD" w:rsidRPr="00AD71E0" w:rsidRDefault="00FF25CD" w:rsidP="005A7EA7">
      <w:pPr>
        <w:pStyle w:val="ListBullet"/>
      </w:pPr>
      <w:r w:rsidRPr="00AD71E0">
        <w:t xml:space="preserve">The sponsor has submitted a request for a biowaiver for conducting a BE study that compares the proposed marketing 40 mg tablet with the proposed marketing 20 mg </w:t>
      </w:r>
      <w:r w:rsidRPr="00571DCF">
        <w:lastRenderedPageBreak/>
        <w:t>tablet. Base</w:t>
      </w:r>
      <w:r w:rsidR="00AD71E0" w:rsidRPr="00571DCF">
        <w:t>d on the data submitted by the s</w:t>
      </w:r>
      <w:r w:rsidRPr="00571DCF">
        <w:t>ponsor, a biowaiver appears to be justified in this case</w:t>
      </w:r>
      <w:r w:rsidRPr="00AD71E0">
        <w:t>.</w:t>
      </w:r>
    </w:p>
    <w:p w14:paraId="53676829" w14:textId="72DC04DB" w:rsidR="00FF25CD" w:rsidRPr="005A7EA7" w:rsidRDefault="00FF25CD" w:rsidP="005A7EA7">
      <w:pPr>
        <w:pStyle w:val="ListBullet"/>
      </w:pPr>
      <w:r w:rsidRPr="005A7EA7">
        <w:t xml:space="preserve">A food-effect study involving the administration of baloxavir marboxil 20 mg tablets to healthy volunteers under fasting conditions and with a moderate fat, moderate calorie meal (approximately 400 to 500 kcal including 150 kcal from fat) indicated that </w:t>
      </w:r>
      <w:proofErr w:type="spellStart"/>
      <w:r w:rsidRPr="005A7EA7">
        <w:t>C</w:t>
      </w:r>
      <w:r w:rsidRPr="005A7EA7">
        <w:rPr>
          <w:vertAlign w:val="subscript"/>
        </w:rPr>
        <w:t>max</w:t>
      </w:r>
      <w:proofErr w:type="spellEnd"/>
      <w:r w:rsidRPr="005A7EA7">
        <w:t>, AUC</w:t>
      </w:r>
      <w:r w:rsidRPr="005A7EA7">
        <w:rPr>
          <w:vertAlign w:val="subscript"/>
        </w:rPr>
        <w:t xml:space="preserve">0-72 </w:t>
      </w:r>
      <w:r w:rsidRPr="005A7EA7">
        <w:t xml:space="preserve">and </w:t>
      </w:r>
      <w:r w:rsidR="00571DCF">
        <w:t>a</w:t>
      </w:r>
      <w:r w:rsidR="005A7EA7" w:rsidRPr="005A7EA7">
        <w:t>rea under the plasma concentration-time curve extrapolated from time zero to infinity (</w:t>
      </w:r>
      <w:r w:rsidRPr="005A7EA7">
        <w:t>AUC</w:t>
      </w:r>
      <w:r w:rsidR="00895666">
        <w:rPr>
          <w:vertAlign w:val="subscript"/>
        </w:rPr>
        <w:t>0-i</w:t>
      </w:r>
      <w:r w:rsidRPr="005A7EA7">
        <w:rPr>
          <w:vertAlign w:val="subscript"/>
        </w:rPr>
        <w:t>nf</w:t>
      </w:r>
      <w:r w:rsidR="005A7EA7" w:rsidRPr="005A7EA7">
        <w:t xml:space="preserve">) </w:t>
      </w:r>
      <w:r w:rsidRPr="005A7EA7">
        <w:t xml:space="preserve">of baloxavir were decreased by 48%, 44% and 37%, respectively under fed conditions. </w:t>
      </w:r>
      <w:proofErr w:type="spellStart"/>
      <w:r w:rsidRPr="005A7EA7">
        <w:t>T</w:t>
      </w:r>
      <w:r w:rsidRPr="005A7EA7">
        <w:rPr>
          <w:vertAlign w:val="subscript"/>
        </w:rPr>
        <w:t>max</w:t>
      </w:r>
      <w:proofErr w:type="spellEnd"/>
      <w:r w:rsidRPr="005A7EA7">
        <w:t xml:space="preserve"> was unchanged in the presence of food. In clinical studies with influenza patients where </w:t>
      </w:r>
      <w:r w:rsidR="00AD71E0" w:rsidRPr="005A7EA7">
        <w:t>Xofluza</w:t>
      </w:r>
      <w:r w:rsidRPr="005A7EA7">
        <w:t xml:space="preserve"> was administered with or without food, no clinically relevant differences in efficacy were observed.</w:t>
      </w:r>
    </w:p>
    <w:p w14:paraId="4113DDD0" w14:textId="77777777" w:rsidR="00FF25CD" w:rsidRDefault="00FF25CD" w:rsidP="005A7EA7">
      <w:pPr>
        <w:pStyle w:val="ListBullet"/>
      </w:pPr>
      <w:r>
        <w:t>Following ascending doses of baloxavir mar</w:t>
      </w:r>
      <w:r w:rsidR="00AD71E0">
        <w:t xml:space="preserve">boxil suspension ranging from 6 to </w:t>
      </w:r>
      <w:r>
        <w:t xml:space="preserve">80 mg in </w:t>
      </w:r>
      <w:r w:rsidRPr="00571DCF">
        <w:t>healthy adult Asian males in the fasted state baloxavir exposures increased in an almost dose-proportional</w:t>
      </w:r>
      <w:r>
        <w:rPr>
          <w:spacing w:val="-4"/>
        </w:rPr>
        <w:t xml:space="preserve"> </w:t>
      </w:r>
      <w:r>
        <w:t>manner.</w:t>
      </w:r>
    </w:p>
    <w:p w14:paraId="32314423" w14:textId="17B95794" w:rsidR="00FF25CD" w:rsidRDefault="00FF25CD" w:rsidP="005A7EA7">
      <w:pPr>
        <w:pStyle w:val="ListBullet"/>
      </w:pPr>
      <w:r>
        <w:t xml:space="preserve">The </w:t>
      </w:r>
      <w:r w:rsidR="00747709">
        <w:t>T</w:t>
      </w:r>
      <w:r>
        <w:t>horough QT/</w:t>
      </w:r>
      <w:r w:rsidR="00AD71E0">
        <w:t>corrected QT interval (</w:t>
      </w:r>
      <w:proofErr w:type="spellStart"/>
      <w:r>
        <w:t>QTc</w:t>
      </w:r>
      <w:proofErr w:type="spellEnd"/>
      <w:r w:rsidR="00AD71E0">
        <w:t>);</w:t>
      </w:r>
      <w:r w:rsidR="00AD71E0">
        <w:rPr>
          <w:rStyle w:val="FootnoteReference"/>
        </w:rPr>
        <w:footnoteReference w:id="5"/>
      </w:r>
      <w:r>
        <w:t xml:space="preserve"> study identified that baloxavir exposure increased linearly with dose following doses of 40 mg and 80</w:t>
      </w:r>
      <w:r>
        <w:rPr>
          <w:spacing w:val="-6"/>
        </w:rPr>
        <w:t xml:space="preserve"> </w:t>
      </w:r>
      <w:r>
        <w:t>mg.</w:t>
      </w:r>
    </w:p>
    <w:p w14:paraId="270FC8CF" w14:textId="77777777" w:rsidR="00FF25CD" w:rsidRDefault="00FF25CD" w:rsidP="005A7EA7">
      <w:pPr>
        <w:pStyle w:val="ListBullet"/>
      </w:pPr>
      <w:r>
        <w:t xml:space="preserve">Following a single oral dose of 20 mg baloxavir marboxil to healthy Asian males, the </w:t>
      </w:r>
      <w:r w:rsidR="00AD71E0">
        <w:t>a</w:t>
      </w:r>
      <w:r w:rsidR="00AD71E0" w:rsidRPr="00AD71E0">
        <w:t xml:space="preserve">pparent volume of distribution based on the terminal phase </w:t>
      </w:r>
      <w:r w:rsidR="00AD71E0">
        <w:t>(</w:t>
      </w:r>
      <w:proofErr w:type="spellStart"/>
      <w:r>
        <w:t>Vz</w:t>
      </w:r>
      <w:proofErr w:type="spellEnd"/>
      <w:r>
        <w:t>/F</w:t>
      </w:r>
      <w:r w:rsidR="00AD71E0">
        <w:t>)</w:t>
      </w:r>
      <w:r>
        <w:t xml:space="preserve"> was </w:t>
      </w:r>
      <w:r w:rsidRPr="00AD71E0">
        <w:t>698 L.</w:t>
      </w:r>
    </w:p>
    <w:p w14:paraId="23977BBA" w14:textId="77777777" w:rsidR="00FF25CD" w:rsidRDefault="00FF25CD" w:rsidP="005A7EA7">
      <w:pPr>
        <w:pStyle w:val="ListBullet"/>
      </w:pPr>
      <w:r>
        <w:t>Protein binding ratios ranged from 92.95 to 93.9% with baloxavir primarily bound to</w:t>
      </w:r>
      <w:r>
        <w:rPr>
          <w:spacing w:val="-18"/>
        </w:rPr>
        <w:t xml:space="preserve"> </w:t>
      </w:r>
      <w:r>
        <w:t>albumin.</w:t>
      </w:r>
    </w:p>
    <w:p w14:paraId="05724FD6" w14:textId="55DE0319" w:rsidR="00FF25CD" w:rsidRDefault="00FF25CD" w:rsidP="005A7EA7">
      <w:pPr>
        <w:pStyle w:val="ListBullet"/>
      </w:pPr>
      <w:r>
        <w:t xml:space="preserve">Baloxavir marboxil is hydrolysed by a serine esterase in the small intestine, blood and liver to become baloxavir. Metabolism of baloxavir into baloxavir glucuronide was predominantly mediated by </w:t>
      </w:r>
      <w:r w:rsidR="00895666">
        <w:t>uridine 5’</w:t>
      </w:r>
      <w:r w:rsidR="00AD71E0" w:rsidRPr="00AD71E0">
        <w:t>diphosp</w:t>
      </w:r>
      <w:r w:rsidR="00895666">
        <w:t>ho-</w:t>
      </w:r>
      <w:r w:rsidR="00AD71E0" w:rsidRPr="00AD71E0">
        <w:t>glucuronosyltransferase</w:t>
      </w:r>
      <w:r w:rsidR="00AD71E0">
        <w:t xml:space="preserve"> </w:t>
      </w:r>
      <w:r w:rsidR="00AD71E0" w:rsidRPr="00AD71E0">
        <w:t>family</w:t>
      </w:r>
      <w:r w:rsidR="00895666">
        <w:t> </w:t>
      </w:r>
      <w:r w:rsidR="00AD71E0" w:rsidRPr="00AD71E0">
        <w:t>1 member A3</w:t>
      </w:r>
      <w:r w:rsidR="00AD71E0">
        <w:t xml:space="preserve"> (</w:t>
      </w:r>
      <w:r>
        <w:t>UGT1A3</w:t>
      </w:r>
      <w:r w:rsidR="00AD71E0">
        <w:t>)</w:t>
      </w:r>
      <w:r>
        <w:t xml:space="preserve">, whereas, the formation of the baloxavir </w:t>
      </w:r>
      <w:proofErr w:type="spellStart"/>
      <w:r>
        <w:t>sulphoxides</w:t>
      </w:r>
      <w:proofErr w:type="spellEnd"/>
      <w:r>
        <w:t xml:space="preserve"> was found to be mediated </w:t>
      </w:r>
      <w:r w:rsidRPr="001735ED">
        <w:t xml:space="preserve">by </w:t>
      </w:r>
      <w:r w:rsidR="001735ED">
        <w:t>c</w:t>
      </w:r>
      <w:r w:rsidR="001735ED" w:rsidRPr="001735ED">
        <w:t xml:space="preserve">ytochrome P450 3A4 </w:t>
      </w:r>
      <w:r w:rsidR="001735ED">
        <w:t>(</w:t>
      </w:r>
      <w:r w:rsidRPr="001735ED">
        <w:t>CYP3A4</w:t>
      </w:r>
      <w:r w:rsidR="001735ED">
        <w:t>)</w:t>
      </w:r>
      <w:r>
        <w:t>.</w:t>
      </w:r>
    </w:p>
    <w:p w14:paraId="0D6D803D" w14:textId="77777777" w:rsidR="00FF25CD" w:rsidRDefault="00FF25CD" w:rsidP="005A7EA7">
      <w:pPr>
        <w:pStyle w:val="ListBullet"/>
      </w:pPr>
      <w:r>
        <w:t>The primary metabolite of baloxavir marboxil was baloxavir, which accounted for 82.2% of total radioactivity in plasma. The other metabolites were baloxavir glucuronide and (12a</w:t>
      </w:r>
      <w:r>
        <w:rPr>
          <w:i/>
        </w:rPr>
        <w:t>R</w:t>
      </w:r>
      <w:r>
        <w:t>, 5</w:t>
      </w:r>
      <w:r>
        <w:rPr>
          <w:i/>
        </w:rPr>
        <w:t>R</w:t>
      </w:r>
      <w:r>
        <w:t>, 11</w:t>
      </w:r>
      <w:r>
        <w:rPr>
          <w:i/>
        </w:rPr>
        <w:t>S</w:t>
      </w:r>
      <w:r>
        <w:t xml:space="preserve">)- baloxavir </w:t>
      </w:r>
      <w:proofErr w:type="spellStart"/>
      <w:r>
        <w:t>sulphoxide</w:t>
      </w:r>
      <w:proofErr w:type="spellEnd"/>
      <w:r>
        <w:t xml:space="preserve">, which accounted for 16.4% and 1.5%, respectively, of </w:t>
      </w:r>
      <w:r w:rsidRPr="001735ED">
        <w:t>total radioactivity</w:t>
      </w:r>
      <w:r w:rsidR="001735ED">
        <w:t>.</w:t>
      </w:r>
    </w:p>
    <w:p w14:paraId="3CDD602E" w14:textId="77777777" w:rsidR="00FF25CD" w:rsidRPr="005A7EA7" w:rsidRDefault="00FF25CD" w:rsidP="005A7EA7">
      <w:pPr>
        <w:pStyle w:val="ListBullet"/>
      </w:pPr>
      <w:r w:rsidRPr="005A7EA7">
        <w:t>Over a 432 h</w:t>
      </w:r>
      <w:r w:rsidR="001735ED" w:rsidRPr="005A7EA7">
        <w:t>our</w:t>
      </w:r>
      <w:r w:rsidRPr="005A7EA7">
        <w:t xml:space="preserve"> collection period, 80% of the radioactivity following a single 40 mg dose of [</w:t>
      </w:r>
      <w:r w:rsidRPr="005A7EA7">
        <w:rPr>
          <w:vertAlign w:val="superscript"/>
        </w:rPr>
        <w:t>14</w:t>
      </w:r>
      <w:r w:rsidRPr="005A7EA7">
        <w:t>C]</w:t>
      </w:r>
      <w:r w:rsidR="001735ED" w:rsidRPr="005A7EA7">
        <w:t>-</w:t>
      </w:r>
      <w:r w:rsidRPr="005A7EA7">
        <w:t xml:space="preserve">baloxavir marboxil was recovered in the faeces, while a further 14.7% was recovered in the urine and the estimated </w:t>
      </w:r>
      <w:r w:rsidR="001735ED" w:rsidRPr="005A7EA7">
        <w:t>apparent total clearance (</w:t>
      </w:r>
      <w:r w:rsidRPr="005A7EA7">
        <w:t>CL/F</w:t>
      </w:r>
      <w:r w:rsidR="001735ED" w:rsidRPr="005A7EA7">
        <w:t>)</w:t>
      </w:r>
      <w:r w:rsidRPr="005A7EA7">
        <w:t xml:space="preserve"> of baloxavir was 8.83 L/h, whereas, the estimated </w:t>
      </w:r>
      <w:r w:rsidR="005A7EA7" w:rsidRPr="005A7EA7">
        <w:t>renal clearance (</w:t>
      </w:r>
      <w:r w:rsidRPr="005A7EA7">
        <w:t>CL</w:t>
      </w:r>
      <w:r w:rsidR="005A7EA7" w:rsidRPr="005A7EA7">
        <w:rPr>
          <w:vertAlign w:val="subscript"/>
        </w:rPr>
        <w:t>R</w:t>
      </w:r>
      <w:r w:rsidR="005A7EA7">
        <w:t>)</w:t>
      </w:r>
      <w:r w:rsidRPr="005A7EA7">
        <w:t xml:space="preserve"> was 0.30 L/h.</w:t>
      </w:r>
    </w:p>
    <w:p w14:paraId="13BF8B26" w14:textId="77777777" w:rsidR="00FF25CD" w:rsidRPr="00405630" w:rsidRDefault="00405630" w:rsidP="00405630">
      <w:pPr>
        <w:pStyle w:val="Heading5"/>
      </w:pPr>
      <w:r>
        <w:t>Pharmacokinetics</w:t>
      </w:r>
      <w:r w:rsidR="00FF25CD">
        <w:t xml:space="preserve"> in the target population</w:t>
      </w:r>
    </w:p>
    <w:p w14:paraId="3649DA64" w14:textId="22DA73BF" w:rsidR="00FF25CD" w:rsidRDefault="00FF25CD" w:rsidP="00405630">
      <w:pPr>
        <w:pStyle w:val="ListBullet"/>
      </w:pPr>
      <w:r>
        <w:t xml:space="preserve">Baloxavir </w:t>
      </w:r>
      <w:r w:rsidR="00086064">
        <w:rPr>
          <w:rFonts w:eastAsiaTheme="minorHAnsi" w:cs="TimesNewRoman"/>
        </w:rPr>
        <w:t xml:space="preserve">plasma concentration </w:t>
      </w:r>
      <w:r w:rsidR="00086064" w:rsidRPr="00F772CE">
        <w:rPr>
          <w:rFonts w:eastAsiaTheme="minorHAnsi" w:cs="TimesNewRoman"/>
        </w:rPr>
        <w:t>24 h</w:t>
      </w:r>
      <w:r w:rsidR="00086064">
        <w:rPr>
          <w:rFonts w:eastAsiaTheme="minorHAnsi" w:cs="TimesNewRoman"/>
        </w:rPr>
        <w:t>ours</w:t>
      </w:r>
      <w:r w:rsidR="00086064" w:rsidRPr="00F772CE">
        <w:rPr>
          <w:rFonts w:eastAsiaTheme="minorHAnsi" w:cs="TimesNewRoman"/>
        </w:rPr>
        <w:t xml:space="preserve"> after dosing</w:t>
      </w:r>
      <w:r w:rsidR="00086064">
        <w:t xml:space="preserve"> (</w:t>
      </w:r>
      <w:r>
        <w:t>C24</w:t>
      </w:r>
      <w:r w:rsidR="00086064">
        <w:t>)</w:t>
      </w:r>
      <w:r>
        <w:t xml:space="preserve">, </w:t>
      </w:r>
      <w:r w:rsidR="00086064">
        <w:rPr>
          <w:rFonts w:eastAsiaTheme="minorHAnsi" w:cs="TimesNewRoman"/>
        </w:rPr>
        <w:t>plasma concentration 96 </w:t>
      </w:r>
      <w:r w:rsidR="00086064" w:rsidRPr="00F772CE">
        <w:rPr>
          <w:rFonts w:eastAsiaTheme="minorHAnsi" w:cs="TimesNewRoman"/>
        </w:rPr>
        <w:t>h</w:t>
      </w:r>
      <w:r w:rsidR="00086064">
        <w:rPr>
          <w:rFonts w:eastAsiaTheme="minorHAnsi" w:cs="TimesNewRoman"/>
        </w:rPr>
        <w:t>ours</w:t>
      </w:r>
      <w:r w:rsidR="00086064" w:rsidRPr="00F772CE">
        <w:rPr>
          <w:rFonts w:eastAsiaTheme="minorHAnsi" w:cs="TimesNewRoman"/>
        </w:rPr>
        <w:t xml:space="preserve"> after dosing</w:t>
      </w:r>
      <w:r w:rsidR="00086064">
        <w:t xml:space="preserve"> (</w:t>
      </w:r>
      <w:r>
        <w:t>C96</w:t>
      </w:r>
      <w:r w:rsidR="00086064">
        <w:t>)</w:t>
      </w:r>
      <w:r>
        <w:t xml:space="preserve"> and Bayesian-estimated exposure indices (</w:t>
      </w:r>
      <w:proofErr w:type="spellStart"/>
      <w:r>
        <w:t>C</w:t>
      </w:r>
      <w:r w:rsidRPr="005A7EA7">
        <w:rPr>
          <w:vertAlign w:val="subscript"/>
        </w:rPr>
        <w:t>max</w:t>
      </w:r>
      <w:proofErr w:type="spellEnd"/>
      <w:r>
        <w:t>, AUC</w:t>
      </w:r>
      <w:r>
        <w:rPr>
          <w:sz w:val="14"/>
        </w:rPr>
        <w:t>0-inf</w:t>
      </w:r>
      <w:r>
        <w:t>, C24, C72 and C96) were 34% to 48% lower for Non-Asian patients than Asian</w:t>
      </w:r>
      <w:r>
        <w:rPr>
          <w:spacing w:val="-7"/>
        </w:rPr>
        <w:t xml:space="preserve"> </w:t>
      </w:r>
      <w:r>
        <w:t>patients.</w:t>
      </w:r>
    </w:p>
    <w:p w14:paraId="4A4C00E6" w14:textId="77777777" w:rsidR="005A7EA7" w:rsidRDefault="00FF25CD" w:rsidP="00405630">
      <w:pPr>
        <w:pStyle w:val="ListBullet"/>
      </w:pPr>
      <w:r>
        <w:t xml:space="preserve">The high-risk categories: asthma or chronic lung disease; endocrine disorders; heart disease; elderly (≥ 65) and morbidity had little effect on the observed baloxavir C24 and C96 values or the Bayesian estimated PK parameters. By contrast, the C24, C96 and Bayesian-estimated exposure indices were 24% to 43% higher for patients with metabolic disorders than those </w:t>
      </w:r>
      <w:r w:rsidRPr="005A7EA7">
        <w:t xml:space="preserve">without metabolic </w:t>
      </w:r>
      <w:r w:rsidR="005A7EA7" w:rsidRPr="005A7EA7">
        <w:t>disorders</w:t>
      </w:r>
      <w:r w:rsidR="005A7EA7">
        <w:t>.</w:t>
      </w:r>
    </w:p>
    <w:p w14:paraId="60CB57D6" w14:textId="77777777" w:rsidR="00FF25CD" w:rsidRDefault="00FF25CD" w:rsidP="00405630">
      <w:pPr>
        <w:pStyle w:val="ListBullet"/>
      </w:pPr>
      <w:r>
        <w:lastRenderedPageBreak/>
        <w:t>Dose normalised baloxavir exposure was lower (31%) in subjects weighing ≥ 80 kg compared to subjects with body weights &lt; 80</w:t>
      </w:r>
      <w:r>
        <w:rPr>
          <w:spacing w:val="-1"/>
        </w:rPr>
        <w:t xml:space="preserve"> </w:t>
      </w:r>
      <w:r>
        <w:t>kg.</w:t>
      </w:r>
    </w:p>
    <w:p w14:paraId="73F5963D" w14:textId="77777777" w:rsidR="00FF25CD" w:rsidRDefault="00FF25CD" w:rsidP="00405630">
      <w:pPr>
        <w:pStyle w:val="ListBullet"/>
      </w:pPr>
      <w:r>
        <w:t>There appeared to be less of a food effect on baloxavir exposure in the target</w:t>
      </w:r>
      <w:r>
        <w:rPr>
          <w:spacing w:val="-12"/>
        </w:rPr>
        <w:t xml:space="preserve"> </w:t>
      </w:r>
      <w:r>
        <w:t>population.</w:t>
      </w:r>
    </w:p>
    <w:p w14:paraId="2F9198C6" w14:textId="77777777" w:rsidR="00FF25CD" w:rsidRDefault="00FF25CD" w:rsidP="00405630">
      <w:pPr>
        <w:pStyle w:val="ListBullet"/>
      </w:pPr>
      <w:r>
        <w:t>The C24 and C96 values appeared to be lower in those &lt; 18 years than in the other age</w:t>
      </w:r>
      <w:r>
        <w:rPr>
          <w:spacing w:val="-17"/>
        </w:rPr>
        <w:t xml:space="preserve"> </w:t>
      </w:r>
      <w:r>
        <w:t>groups.</w:t>
      </w:r>
    </w:p>
    <w:p w14:paraId="7F9EAC15" w14:textId="743C5E78" w:rsidR="00FF25CD" w:rsidRPr="000B6ED9" w:rsidRDefault="00FF25CD" w:rsidP="000B6ED9">
      <w:pPr>
        <w:pStyle w:val="ListBullet"/>
      </w:pPr>
      <w:r w:rsidRPr="000B6ED9">
        <w:t>The virus type (</w:t>
      </w:r>
      <w:r w:rsidR="00895666" w:rsidRPr="000B6ED9">
        <w:t xml:space="preserve">influenza </w:t>
      </w:r>
      <w:r w:rsidRPr="000B6ED9">
        <w:t>A or B</w:t>
      </w:r>
      <w:r w:rsidR="00895666" w:rsidRPr="000B6ED9">
        <w:t xml:space="preserve"> virus</w:t>
      </w:r>
      <w:r w:rsidRPr="000B6ED9">
        <w:t>) appeared to have little effect on the observed baloxavir C24 and C96 values.</w:t>
      </w:r>
    </w:p>
    <w:p w14:paraId="053C9EC3" w14:textId="77777777" w:rsidR="00FF25CD" w:rsidRPr="00405630" w:rsidRDefault="00FF25CD" w:rsidP="00405630">
      <w:pPr>
        <w:pStyle w:val="ListBullet"/>
      </w:pPr>
      <w:r>
        <w:t>Moderate hepatic impairment was associated with a 20% decrease in peak</w:t>
      </w:r>
      <w:r w:rsidR="005A7EA7">
        <w:t xml:space="preserve"> exposure and an increase of 10 to </w:t>
      </w:r>
      <w:r>
        <w:t>12% in total</w:t>
      </w:r>
      <w:r>
        <w:rPr>
          <w:spacing w:val="-5"/>
        </w:rPr>
        <w:t xml:space="preserve"> </w:t>
      </w:r>
      <w:r>
        <w:t>exposure.</w:t>
      </w:r>
    </w:p>
    <w:p w14:paraId="01A35F82" w14:textId="77777777" w:rsidR="00FF25CD" w:rsidRPr="007237E1" w:rsidRDefault="00405630" w:rsidP="00405630">
      <w:pPr>
        <w:pStyle w:val="Heading5"/>
      </w:pPr>
      <w:r w:rsidRPr="007237E1">
        <w:t>Drug-drug interactions</w:t>
      </w:r>
    </w:p>
    <w:p w14:paraId="7393A855" w14:textId="77777777" w:rsidR="00FF25CD" w:rsidRPr="007237E1" w:rsidRDefault="00FF25CD" w:rsidP="00405630">
      <w:pPr>
        <w:pStyle w:val="ListBullet"/>
      </w:pPr>
      <w:r w:rsidRPr="007237E1">
        <w:t xml:space="preserve">A </w:t>
      </w:r>
      <w:r w:rsidR="005A7EA7" w:rsidRPr="007237E1">
        <w:t>drug-drug interaction (</w:t>
      </w:r>
      <w:r w:rsidRPr="007237E1">
        <w:t>DDI</w:t>
      </w:r>
      <w:r w:rsidR="005A7EA7" w:rsidRPr="007237E1">
        <w:t>)</w:t>
      </w:r>
      <w:r w:rsidRPr="007237E1">
        <w:t xml:space="preserve"> existed between </w:t>
      </w:r>
      <w:proofErr w:type="spellStart"/>
      <w:r w:rsidRPr="007237E1">
        <w:t>itraconazole</w:t>
      </w:r>
      <w:proofErr w:type="spellEnd"/>
      <w:r w:rsidRPr="007237E1">
        <w:t xml:space="preserve"> and baloxavir marboxil, whereby exposure to baloxavir is increased by up to 32% when the two drugs are</w:t>
      </w:r>
      <w:r w:rsidRPr="007237E1">
        <w:rPr>
          <w:spacing w:val="-13"/>
        </w:rPr>
        <w:t xml:space="preserve"> </w:t>
      </w:r>
      <w:r w:rsidR="005A7EA7" w:rsidRPr="007237E1">
        <w:t>co</w:t>
      </w:r>
      <w:r w:rsidR="005A7EA7" w:rsidRPr="007237E1">
        <w:noBreakHyphen/>
      </w:r>
      <w:r w:rsidRPr="007237E1">
        <w:t>administered.</w:t>
      </w:r>
    </w:p>
    <w:p w14:paraId="02ADC83C" w14:textId="77777777" w:rsidR="00FF25CD" w:rsidRPr="007237E1" w:rsidRDefault="00FF25CD" w:rsidP="00405630">
      <w:pPr>
        <w:pStyle w:val="ListBullet"/>
      </w:pPr>
      <w:r w:rsidRPr="007237E1">
        <w:t>When co-administered with probenecid, there was a 21% to 25% decrease in baloxavir exposure compared to when baloxavir marboxil was administered</w:t>
      </w:r>
      <w:r w:rsidRPr="007237E1">
        <w:rPr>
          <w:spacing w:val="-5"/>
        </w:rPr>
        <w:t xml:space="preserve"> </w:t>
      </w:r>
      <w:r w:rsidRPr="007237E1">
        <w:t>alone.</w:t>
      </w:r>
    </w:p>
    <w:p w14:paraId="5FE74E7B" w14:textId="77777777" w:rsidR="00FF25CD" w:rsidRPr="007237E1" w:rsidRDefault="00FF25CD" w:rsidP="00405630">
      <w:pPr>
        <w:pStyle w:val="ListBullet"/>
      </w:pPr>
      <w:r w:rsidRPr="007237E1">
        <w:t>Digoxin exposure was reduced by about 15% following co-administration with baloxavir marboxil.</w:t>
      </w:r>
    </w:p>
    <w:p w14:paraId="47BAB6BA" w14:textId="77777777" w:rsidR="00FF25CD" w:rsidRPr="007237E1" w:rsidRDefault="00FF25CD" w:rsidP="00405630">
      <w:pPr>
        <w:pStyle w:val="ListBullet"/>
      </w:pPr>
      <w:proofErr w:type="spellStart"/>
      <w:r w:rsidRPr="007237E1">
        <w:t>Rosuvastatin</w:t>
      </w:r>
      <w:proofErr w:type="spellEnd"/>
      <w:r w:rsidRPr="007237E1">
        <w:t xml:space="preserve"> </w:t>
      </w:r>
      <w:proofErr w:type="spellStart"/>
      <w:r w:rsidRPr="007237E1">
        <w:t>C</w:t>
      </w:r>
      <w:r w:rsidRPr="007237E1">
        <w:rPr>
          <w:vertAlign w:val="subscript"/>
        </w:rPr>
        <w:t>max</w:t>
      </w:r>
      <w:proofErr w:type="spellEnd"/>
      <w:r w:rsidR="005A7EA7" w:rsidRPr="007237E1">
        <w:t xml:space="preserve"> and AUC decreased by about 15 to </w:t>
      </w:r>
      <w:r w:rsidRPr="007237E1">
        <w:t>18% following co-administration with baloxavir.</w:t>
      </w:r>
    </w:p>
    <w:p w14:paraId="6100D995" w14:textId="77777777" w:rsidR="00FF25CD" w:rsidRPr="007237E1" w:rsidRDefault="00FF25CD" w:rsidP="00405630">
      <w:pPr>
        <w:pStyle w:val="ListBullet"/>
      </w:pPr>
      <w:r w:rsidRPr="007237E1">
        <w:t xml:space="preserve">Co-administration of baloxavir marboxil had no effect on the PKs of midazolam, </w:t>
      </w:r>
      <w:proofErr w:type="spellStart"/>
      <w:r w:rsidRPr="007237E1">
        <w:t>oseltamivir</w:t>
      </w:r>
      <w:proofErr w:type="spellEnd"/>
      <w:r w:rsidRPr="007237E1">
        <w:t xml:space="preserve"> or </w:t>
      </w:r>
      <w:proofErr w:type="spellStart"/>
      <w:r w:rsidRPr="007237E1">
        <w:t>oseltamivir</w:t>
      </w:r>
      <w:proofErr w:type="spellEnd"/>
      <w:r w:rsidRPr="007237E1">
        <w:rPr>
          <w:spacing w:val="-4"/>
        </w:rPr>
        <w:t xml:space="preserve"> </w:t>
      </w:r>
      <w:r w:rsidRPr="007237E1">
        <w:t>carboxylate.</w:t>
      </w:r>
    </w:p>
    <w:p w14:paraId="78A80510" w14:textId="6BAFCA09" w:rsidR="00FF25CD" w:rsidRPr="007237E1" w:rsidRDefault="00FF25CD" w:rsidP="00405630">
      <w:pPr>
        <w:pStyle w:val="Heading5"/>
      </w:pPr>
      <w:r w:rsidRPr="007237E1">
        <w:t>Pop</w:t>
      </w:r>
      <w:r w:rsidR="00405630" w:rsidRPr="007237E1">
        <w:t xml:space="preserve">ulation </w:t>
      </w:r>
      <w:r w:rsidR="00E54B31" w:rsidRPr="007237E1">
        <w:t>pharmacokinetic</w:t>
      </w:r>
      <w:r w:rsidRPr="007237E1">
        <w:t xml:space="preserve"> analysis</w:t>
      </w:r>
    </w:p>
    <w:p w14:paraId="60D73225" w14:textId="5AAC53E1" w:rsidR="00FF25CD" w:rsidRPr="007237E1" w:rsidRDefault="00FF25CD" w:rsidP="00405630">
      <w:r w:rsidRPr="007237E1">
        <w:t xml:space="preserve">PopPK analysis indicated that baloxavir plasma concentrations could </w:t>
      </w:r>
      <w:r w:rsidR="007237E1">
        <w:t xml:space="preserve">be adequately described by a </w:t>
      </w:r>
      <w:r w:rsidR="00571DCF">
        <w:t>2-compartment</w:t>
      </w:r>
      <w:r w:rsidR="007237E1">
        <w:t xml:space="preserve"> model with first </w:t>
      </w:r>
      <w:r w:rsidRPr="007237E1">
        <w:t xml:space="preserve">order absorption and absorption lag time. Analysis of PK parameters calculated </w:t>
      </w:r>
      <w:r w:rsidRPr="007237E1">
        <w:rPr>
          <w:i/>
        </w:rPr>
        <w:t xml:space="preserve">post-hoc </w:t>
      </w:r>
      <w:r w:rsidRPr="007237E1">
        <w:t>by determining empirical Bayesian estimations indicated the following:</w:t>
      </w:r>
    </w:p>
    <w:p w14:paraId="3AAB8EAF" w14:textId="77777777" w:rsidR="00FF25CD" w:rsidRPr="007237E1" w:rsidRDefault="00FF25CD" w:rsidP="00405630">
      <w:pPr>
        <w:pStyle w:val="ListBullet"/>
        <w:rPr>
          <w:rFonts w:ascii="Symbol" w:hAnsi="Symbol"/>
        </w:rPr>
      </w:pPr>
      <w:r w:rsidRPr="007237E1">
        <w:t>Baloxavir exposures for Non-Asian were lower than those for</w:t>
      </w:r>
      <w:r w:rsidRPr="007237E1">
        <w:rPr>
          <w:spacing w:val="-13"/>
        </w:rPr>
        <w:t xml:space="preserve"> </w:t>
      </w:r>
      <w:r w:rsidRPr="007237E1">
        <w:t>Asian.</w:t>
      </w:r>
    </w:p>
    <w:p w14:paraId="628D8FDC" w14:textId="77777777" w:rsidR="00FF25CD" w:rsidRPr="007237E1" w:rsidRDefault="00FF25CD" w:rsidP="00405630">
      <w:pPr>
        <w:pStyle w:val="ListBullet"/>
        <w:rPr>
          <w:rFonts w:ascii="Symbol" w:hAnsi="Symbol"/>
        </w:rPr>
      </w:pPr>
      <w:r w:rsidRPr="007237E1">
        <w:t>Baloxavir exposures decrease as body weight</w:t>
      </w:r>
      <w:r w:rsidRPr="007237E1">
        <w:rPr>
          <w:spacing w:val="-1"/>
        </w:rPr>
        <w:t xml:space="preserve"> </w:t>
      </w:r>
      <w:r w:rsidRPr="007237E1">
        <w:t>increase</w:t>
      </w:r>
      <w:r w:rsidR="007237E1">
        <w:t>.</w:t>
      </w:r>
    </w:p>
    <w:p w14:paraId="6BD4E547" w14:textId="77777777" w:rsidR="00FF25CD" w:rsidRPr="007237E1" w:rsidRDefault="00FF25CD" w:rsidP="00405630">
      <w:pPr>
        <w:pStyle w:val="ListBullet"/>
        <w:rPr>
          <w:rFonts w:ascii="Symbol" w:hAnsi="Symbol"/>
        </w:rPr>
      </w:pPr>
      <w:r w:rsidRPr="007237E1">
        <w:t>Baloxavir exposures were similar in adults and adolescents</w:t>
      </w:r>
      <w:r w:rsidR="007237E1">
        <w:t>.</w:t>
      </w:r>
    </w:p>
    <w:p w14:paraId="616CC662" w14:textId="77777777" w:rsidR="00FF25CD" w:rsidRPr="007237E1" w:rsidRDefault="007237E1" w:rsidP="00405630">
      <w:pPr>
        <w:pStyle w:val="ListBullet"/>
        <w:rPr>
          <w:rFonts w:ascii="Symbol" w:hAnsi="Symbol"/>
        </w:rPr>
      </w:pPr>
      <w:r>
        <w:t>In the Phase II and Phase III</w:t>
      </w:r>
      <w:r w:rsidR="00FF25CD" w:rsidRPr="007237E1">
        <w:t xml:space="preserve"> studies, administration of baloxavir marboxil with food had little to no effect on </w:t>
      </w:r>
      <w:r w:rsidR="00FF25CD" w:rsidRPr="007237E1">
        <w:rPr>
          <w:i/>
        </w:rPr>
        <w:t xml:space="preserve">post-hoc </w:t>
      </w:r>
      <w:r w:rsidR="00FF25CD" w:rsidRPr="007237E1">
        <w:t>PK parameters for baloxavir when compared to administration in the fasted state or when administered 2 to 4 hours before or after a</w:t>
      </w:r>
      <w:r w:rsidR="00FF25CD" w:rsidRPr="007237E1">
        <w:rPr>
          <w:spacing w:val="-14"/>
        </w:rPr>
        <w:t xml:space="preserve"> </w:t>
      </w:r>
      <w:r w:rsidR="00FF25CD" w:rsidRPr="007237E1">
        <w:t>meal.</w:t>
      </w:r>
    </w:p>
    <w:p w14:paraId="25038587" w14:textId="77777777" w:rsidR="00FF25CD" w:rsidRDefault="00FF25CD" w:rsidP="00405630">
      <w:pPr>
        <w:pStyle w:val="Heading4"/>
      </w:pPr>
      <w:r>
        <w:t>Clinical</w:t>
      </w:r>
      <w:r>
        <w:rPr>
          <w:spacing w:val="-3"/>
        </w:rPr>
        <w:t xml:space="preserve"> </w:t>
      </w:r>
      <w:r w:rsidR="00405630">
        <w:t>e</w:t>
      </w:r>
      <w:r>
        <w:t>fficacy</w:t>
      </w:r>
    </w:p>
    <w:p w14:paraId="1326636A" w14:textId="71A819E8" w:rsidR="00FF25CD" w:rsidRDefault="00FF25CD" w:rsidP="00405630">
      <w:r>
        <w:t xml:space="preserve">The clinical data to support the indication in </w:t>
      </w:r>
      <w:r w:rsidR="00895666">
        <w:t>otherwise healthy (</w:t>
      </w:r>
      <w:proofErr w:type="spellStart"/>
      <w:r w:rsidR="007237E1">
        <w:t>OwH</w:t>
      </w:r>
      <w:proofErr w:type="spellEnd"/>
      <w:r w:rsidR="00895666">
        <w:t>)</w:t>
      </w:r>
      <w:r>
        <w:rPr>
          <w:sz w:val="20"/>
        </w:rPr>
        <w:t xml:space="preserve"> </w:t>
      </w:r>
      <w:r>
        <w:t>subjects incl</w:t>
      </w:r>
      <w:r w:rsidR="007237E1">
        <w:t>ude one pivotal Phase III</w:t>
      </w:r>
      <w:r>
        <w:t xml:space="preserve"> study (Study </w:t>
      </w:r>
      <w:r w:rsidR="00F14871">
        <w:t>1601T0831</w:t>
      </w:r>
      <w:r w:rsidR="007237E1">
        <w:t>) and one supportive Phase II</w:t>
      </w:r>
      <w:r>
        <w:t xml:space="preserve"> study (Study</w:t>
      </w:r>
      <w:r w:rsidR="00895666">
        <w:t> </w:t>
      </w:r>
      <w:r w:rsidR="00F14871">
        <w:t>1518T0821</w:t>
      </w:r>
      <w:r>
        <w:t>). The clinical data to support the indication in high risk (HR) patients</w:t>
      </w:r>
      <w:r w:rsidR="007237E1">
        <w:t xml:space="preserve"> is based on one pivotal Phase III</w:t>
      </w:r>
      <w:r>
        <w:t xml:space="preserve"> study (Study </w:t>
      </w:r>
      <w:r w:rsidR="00F14871">
        <w:t>1601T0832</w:t>
      </w:r>
      <w:r>
        <w:t>).</w:t>
      </w:r>
    </w:p>
    <w:p w14:paraId="42C0850B" w14:textId="5F5FCD68" w:rsidR="00FF25CD" w:rsidRDefault="00FF25CD" w:rsidP="00405630">
      <w:r>
        <w:t xml:space="preserve">The </w:t>
      </w:r>
      <w:proofErr w:type="spellStart"/>
      <w:r>
        <w:t>OwH</w:t>
      </w:r>
      <w:proofErr w:type="spellEnd"/>
      <w:r>
        <w:t xml:space="preserve"> studies (</w:t>
      </w:r>
      <w:r w:rsidR="007237E1">
        <w:t xml:space="preserve">Studies </w:t>
      </w:r>
      <w:r w:rsidR="00F14871">
        <w:t>1601T0831</w:t>
      </w:r>
      <w:r>
        <w:t xml:space="preserve"> and </w:t>
      </w:r>
      <w:r w:rsidR="00F14871">
        <w:t>1518T0821</w:t>
      </w:r>
      <w:r>
        <w:t>) generally excluded patients with HR factors for developing influenza complications, whereas the HR study (</w:t>
      </w:r>
      <w:r w:rsidR="007237E1">
        <w:t xml:space="preserve">Study </w:t>
      </w:r>
      <w:r w:rsidR="00F14871">
        <w:t>1601T0832</w:t>
      </w:r>
      <w:r>
        <w:t>) required patients to have at least one HR factor. The</w:t>
      </w:r>
      <w:r w:rsidR="00895666">
        <w:t xml:space="preserve"> US</w:t>
      </w:r>
      <w:r>
        <w:t xml:space="preserve"> </w:t>
      </w:r>
      <w:proofErr w:type="spellStart"/>
      <w:r>
        <w:t>Centers</w:t>
      </w:r>
      <w:proofErr w:type="spellEnd"/>
      <w:r>
        <w:t xml:space="preserve"> for </w:t>
      </w:r>
      <w:r w:rsidR="00086064">
        <w:t xml:space="preserve">Disease Control and Prevention (CDC) </w:t>
      </w:r>
      <w:r>
        <w:t xml:space="preserve">provides a complete list of people at </w:t>
      </w:r>
      <w:r w:rsidR="007237E1">
        <w:t>HR</w:t>
      </w:r>
      <w:r>
        <w:t xml:space="preserve"> of developing </w:t>
      </w:r>
      <w:r w:rsidR="00571DCF">
        <w:lastRenderedPageBreak/>
        <w:t>flu</w:t>
      </w:r>
      <w:r w:rsidR="00571DCF">
        <w:noBreakHyphen/>
      </w:r>
      <w:r>
        <w:t>related complications.</w:t>
      </w:r>
      <w:bookmarkStart w:id="41" w:name="_Ref36377213"/>
      <w:r w:rsidR="007237E1">
        <w:rPr>
          <w:rStyle w:val="FootnoteReference"/>
        </w:rPr>
        <w:footnoteReference w:id="6"/>
      </w:r>
      <w:bookmarkEnd w:id="41"/>
      <w:r>
        <w:t xml:space="preserve"> These complications include influenza pneumonia, secondary bacterial pneumonia, bronchitis, sinus and ear infections, hospitali</w:t>
      </w:r>
      <w:r w:rsidR="00747709">
        <w:t>s</w:t>
      </w:r>
      <w:r>
        <w:t>ation, and death. Influenza is also considered to make some chronic health conditions worse, such as asthm</w:t>
      </w:r>
      <w:r w:rsidR="00405630">
        <w:t>a and congestive heart failure.</w:t>
      </w:r>
    </w:p>
    <w:p w14:paraId="6EBCBEED" w14:textId="69BDF10C" w:rsidR="00FF25CD" w:rsidRPr="006131C6" w:rsidRDefault="00FF25CD" w:rsidP="006131C6">
      <w:pPr>
        <w:pStyle w:val="Heading5"/>
      </w:pPr>
      <w:r w:rsidRPr="006131C6">
        <w:t xml:space="preserve">Study </w:t>
      </w:r>
      <w:r w:rsidR="00F14871">
        <w:t>1601T0831</w:t>
      </w:r>
      <w:r w:rsidRPr="006131C6">
        <w:t xml:space="preserve"> in </w:t>
      </w:r>
      <w:r w:rsidR="00405630" w:rsidRPr="006131C6">
        <w:t>otherwise healthy subjects</w:t>
      </w:r>
    </w:p>
    <w:p w14:paraId="59F57252" w14:textId="145D6209" w:rsidR="00FF25CD" w:rsidRDefault="00FF25CD" w:rsidP="00405630">
      <w:r>
        <w:t xml:space="preserve">Study </w:t>
      </w:r>
      <w:r w:rsidR="00F14871">
        <w:t>1601T0831</w:t>
      </w:r>
      <w:r w:rsidR="00571DCF">
        <w:t xml:space="preserve"> was a randomis</w:t>
      </w:r>
      <w:r>
        <w:t>ed, dou</w:t>
      </w:r>
      <w:r w:rsidR="006131C6">
        <w:t>ble blind, multicentre, placebo and active controlled Phase III</w:t>
      </w:r>
      <w:r>
        <w:t xml:space="preserve"> study. The study evaluated the efficacy and </w:t>
      </w:r>
      <w:r w:rsidR="006131C6">
        <w:t>safety of baloxavir marboxil (S</w:t>
      </w:r>
      <w:r w:rsidR="006131C6">
        <w:noBreakHyphen/>
      </w:r>
      <w:r>
        <w:t xml:space="preserve">033188) in </w:t>
      </w:r>
      <w:proofErr w:type="spellStart"/>
      <w:r>
        <w:t>OwH</w:t>
      </w:r>
      <w:proofErr w:type="spellEnd"/>
      <w:r>
        <w:t xml:space="preserve"> patients aged 12 to 64 years with acute uncomplicated influenza. Key exclusion criteria include patients requiring inpatient treatment. Adult patients (20 t</w:t>
      </w:r>
      <w:r w:rsidR="00571DCF">
        <w:t>o 64 years of age) were randomis</w:t>
      </w:r>
      <w:r>
        <w:t xml:space="preserve">ed in a 2:1:2 ratio to receive baloxavir marboxil (single dose on Day 1), placebo, or </w:t>
      </w:r>
      <w:proofErr w:type="spellStart"/>
      <w:r>
        <w:t>oseltamivir</w:t>
      </w:r>
      <w:proofErr w:type="spellEnd"/>
      <w:r>
        <w:t xml:space="preserve"> (75 mg BID for 5 days). Adolescent patients (12 to 19 years of age) were randomized in a 2:1 ratio to receive either baloxavir marboxil or placebo. Baloxavir marboxil dosing was based on the patient’s body weight: patients who weighed 40 to 80 kg received 40 mg and patients who weighed 80 kg received 80 mg.</w:t>
      </w:r>
    </w:p>
    <w:p w14:paraId="382FA71B" w14:textId="26F96F98" w:rsidR="00FF25CD" w:rsidRDefault="00FF25CD" w:rsidP="00405630">
      <w:proofErr w:type="spellStart"/>
      <w:r>
        <w:t>Oseltamivir</w:t>
      </w:r>
      <w:proofErr w:type="spellEnd"/>
      <w:r>
        <w:t xml:space="preserve"> was not administered to patients under 20 years of age due to a labelling restriction on its use in adolescents in Japan at the time of the study. In each age group, patients were also stratified by region (Japan/Asia or Rest of the World), body weight, and compos</w:t>
      </w:r>
      <w:r w:rsidR="006131C6">
        <w:t>ite influenza symptom score at B</w:t>
      </w:r>
      <w:r>
        <w:t xml:space="preserve">aseline. The study drugs were administered at the study </w:t>
      </w:r>
      <w:r w:rsidR="00571DCF">
        <w:t>centre</w:t>
      </w:r>
      <w:r>
        <w:t xml:space="preserve"> within 48 hours of the onset of symp</w:t>
      </w:r>
      <w:r w:rsidR="006131C6">
        <w:t>toms and without regard to food</w:t>
      </w:r>
      <w:r w:rsidR="00405630">
        <w:t>.</w:t>
      </w:r>
    </w:p>
    <w:p w14:paraId="172A7F31" w14:textId="77777777" w:rsidR="00FF25CD" w:rsidRDefault="00FF25CD" w:rsidP="00405630">
      <w:r>
        <w:t>The primary efficacy objective was to evaluate the efficacy of a single dose of baloxavir marboxil compared with placebo by measuring the time to alleviation of symptoms in patients with uncomplicated influenza virus infection. The primary efficacy endpoint is the time to alleviation of symptoms which was defined as the time from the start of treatment to the al</w:t>
      </w:r>
      <w:r w:rsidR="006131C6">
        <w:t>leviation of influenza symptoms</w:t>
      </w:r>
      <w:r w:rsidR="00405630">
        <w:t>.</w:t>
      </w:r>
    </w:p>
    <w:p w14:paraId="545E401C" w14:textId="237751E7" w:rsidR="00FF25CD" w:rsidRPr="00405630" w:rsidRDefault="00FF25CD" w:rsidP="00405630">
      <w:r>
        <w:t>The primary and the secondary analyses were performed in a hierarchical manner to maintain control of overall Type I error. A total of 1436 patients were randomised: 612</w:t>
      </w:r>
      <w:r w:rsidR="00895666">
        <w:t> </w:t>
      </w:r>
      <w:r>
        <w:t xml:space="preserve">patients in the baloxavir marboxil (S-033188) group, 514 patients in the </w:t>
      </w:r>
      <w:proofErr w:type="spellStart"/>
      <w:r>
        <w:t>oseltamivir</w:t>
      </w:r>
      <w:proofErr w:type="spellEnd"/>
      <w:r>
        <w:t xml:space="preserve"> group and 310 patients in the placebo group. 1366 patients completed the study: 578</w:t>
      </w:r>
      <w:r w:rsidR="00895666">
        <w:t> </w:t>
      </w:r>
      <w:r>
        <w:t xml:space="preserve">patients (94.4%) in the baloxavir marboxil (S-033188) group, 498 patients (96.9%) in the </w:t>
      </w:r>
      <w:proofErr w:type="spellStart"/>
      <w:r>
        <w:t>oseltamivir</w:t>
      </w:r>
      <w:proofErr w:type="spellEnd"/>
      <w:r>
        <w:t xml:space="preserve"> group and 290 patients (93.5%) in the placebo group. The proportion of the patients who completed the </w:t>
      </w:r>
      <w:r w:rsidR="00405630">
        <w:t>study was similar among groups.</w:t>
      </w:r>
    </w:p>
    <w:p w14:paraId="3ECE4CB0" w14:textId="77777777" w:rsidR="00FF25CD" w:rsidRDefault="00FF25CD" w:rsidP="00405630">
      <w:pPr>
        <w:pStyle w:val="Heading6"/>
      </w:pPr>
      <w:r>
        <w:t xml:space="preserve">Results of </w:t>
      </w:r>
      <w:r w:rsidR="00405630">
        <w:t>primary efficacy endpoint</w:t>
      </w:r>
    </w:p>
    <w:p w14:paraId="0B60BF9A" w14:textId="64C9C78A" w:rsidR="00FF25CD" w:rsidRDefault="00FF25CD" w:rsidP="00405630">
      <w:r>
        <w:t xml:space="preserve">The median time to alleviation of symptoms was 53.7 hours (95% </w:t>
      </w:r>
      <w:r w:rsidR="006131C6">
        <w:t>confidence interval (</w:t>
      </w:r>
      <w:r>
        <w:t>CI</w:t>
      </w:r>
      <w:r w:rsidR="006131C6">
        <w:t>)</w:t>
      </w:r>
      <w:r>
        <w:t xml:space="preserve">: 49.5, 58.5) in the baloxavir marboxil group compared with 80.2 hours (95% CI: 72.6, 87.1) in the placebo group. The difference in median time was -26.5 hours (95% CI: -35.8, -17.8) between the baloxavir marboxil group and the placebo group. The baloxavir marboxil group showed a statistically significantly greater reduction in the time to alleviation of symptoms </w:t>
      </w:r>
      <w:r w:rsidR="006131C6">
        <w:t xml:space="preserve">(TTAS) </w:t>
      </w:r>
      <w:r>
        <w:t>compared to the placebo group (p &lt;</w:t>
      </w:r>
      <w:r w:rsidR="006131C6">
        <w:t xml:space="preserve"> </w:t>
      </w:r>
      <w:r>
        <w:t xml:space="preserve">0.0001). Study </w:t>
      </w:r>
      <w:r w:rsidR="00F14871">
        <w:t>1601T0831</w:t>
      </w:r>
      <w:r>
        <w:t xml:space="preserve"> has met its primary endpoint as a clinically meaningful and statistically significant reduction in TTAS was observed in the baloxavir marboxil group c</w:t>
      </w:r>
      <w:r w:rsidR="00405630">
        <w:t>ompared with the placebo group.</w:t>
      </w:r>
    </w:p>
    <w:p w14:paraId="19A32B3F" w14:textId="09F2B428" w:rsidR="00FF25CD" w:rsidRPr="00405630" w:rsidRDefault="00FF25CD" w:rsidP="00405630">
      <w:r>
        <w:t xml:space="preserve">In the secondary comparison between baloxavir marboxil </w:t>
      </w:r>
      <w:r w:rsidR="006131C6">
        <w:t xml:space="preserve">and </w:t>
      </w:r>
      <w:proofErr w:type="spellStart"/>
      <w:r w:rsidR="006131C6">
        <w:t>oseltamivir</w:t>
      </w:r>
      <w:proofErr w:type="spellEnd"/>
      <w:r w:rsidR="006131C6">
        <w:t xml:space="preserve"> in the 20 to 64 </w:t>
      </w:r>
      <w:r>
        <w:t xml:space="preserve">years of age stratum, the median time to alleviation of symptoms was 53.5 hours (95% CI: 48.0, 58.5) in the baloxavir marboxil group compared with 53.8 hours (95% CI: 50.2, 56.4) in the </w:t>
      </w:r>
      <w:proofErr w:type="spellStart"/>
      <w:r>
        <w:t>oseltamivir</w:t>
      </w:r>
      <w:proofErr w:type="spellEnd"/>
      <w:r>
        <w:t xml:space="preserve"> group. The difference in the median time was -0.3 hours </w:t>
      </w:r>
      <w:r>
        <w:lastRenderedPageBreak/>
        <w:t>(95%</w:t>
      </w:r>
      <w:r w:rsidR="00895666">
        <w:t> </w:t>
      </w:r>
      <w:r>
        <w:t xml:space="preserve">CI: </w:t>
      </w:r>
      <w:r w:rsidR="00895666">
        <w:noBreakHyphen/>
      </w:r>
      <w:r>
        <w:t xml:space="preserve">6.6, 6.6) and this was not statistically significant (p = 0.756). Similar results were obtained </w:t>
      </w:r>
      <w:r w:rsidR="00405630">
        <w:t>in the per-protocol population.</w:t>
      </w:r>
    </w:p>
    <w:p w14:paraId="23BEE17C" w14:textId="0760027D" w:rsidR="00FF25CD" w:rsidRDefault="00405630" w:rsidP="00017E9C">
      <w:pPr>
        <w:pStyle w:val="TableTitle"/>
        <w:pageBreakBefore/>
      </w:pPr>
      <w:r>
        <w:t xml:space="preserve">Table </w:t>
      </w:r>
      <w:fldSimple w:instr=" SEQ Table \* ARABIC ">
        <w:r w:rsidR="00DD3E93">
          <w:rPr>
            <w:noProof/>
          </w:rPr>
          <w:t>2</w:t>
        </w:r>
      </w:fldSimple>
      <w:r>
        <w:t xml:space="preserve">: Study </w:t>
      </w:r>
      <w:r w:rsidR="00F14871">
        <w:t>1601T0831</w:t>
      </w:r>
      <w:r>
        <w:t xml:space="preserve"> time to alleviation of symptoms</w:t>
      </w:r>
      <w:r w:rsidR="006131C6">
        <w:t xml:space="preserve"> (primary efficacy endpoint)</w:t>
      </w:r>
    </w:p>
    <w:p w14:paraId="6CDD2477" w14:textId="77777777" w:rsidR="00405630" w:rsidRDefault="00405630" w:rsidP="00017E9C">
      <w:r>
        <w:rPr>
          <w:noProof/>
          <w:lang w:eastAsia="en-AU"/>
        </w:rPr>
        <w:drawing>
          <wp:inline distT="0" distB="0" distL="0" distR="0" wp14:anchorId="37BC1D2F" wp14:editId="232455CC">
            <wp:extent cx="5559552" cy="1552506"/>
            <wp:effectExtent l="0" t="0" r="3175" b="0"/>
            <wp:docPr id="5" name="image3.png" descr="Study 1601T0831 time to alleviation of symptoms (primary efficacy end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79248" cy="1558006"/>
                    </a:xfrm>
                    <a:prstGeom prst="rect">
                      <a:avLst/>
                    </a:prstGeom>
                  </pic:spPr>
                </pic:pic>
              </a:graphicData>
            </a:graphic>
          </wp:inline>
        </w:drawing>
      </w:r>
    </w:p>
    <w:p w14:paraId="7ACCE1F0" w14:textId="77777777" w:rsidR="00FF25CD" w:rsidRDefault="00FF25CD" w:rsidP="00571DCF">
      <w:pPr>
        <w:pStyle w:val="TableDescription"/>
        <w:keepNext/>
      </w:pPr>
      <w:r>
        <w:t>S-033188 is baloxavir marboxil</w:t>
      </w:r>
    </w:p>
    <w:p w14:paraId="2104A601" w14:textId="3B990786" w:rsidR="00FF25CD" w:rsidRDefault="00FF25CD" w:rsidP="00405630">
      <w:r>
        <w:t xml:space="preserve">There were multiple secondary endpoints. The results of key secondary efficacy endpoints were supportive of the primary endpoint results, generally showing beneficial effects of baloxavir marboxil compared with placebo and, in patients aged 20 to 64 years, similar effects compared with </w:t>
      </w:r>
      <w:proofErr w:type="spellStart"/>
      <w:r>
        <w:t>oseltamivir</w:t>
      </w:r>
      <w:proofErr w:type="spellEnd"/>
      <w:r>
        <w:t xml:space="preserve">. Viral subtype analysis was of limited value since the majority of patients in this study had the </w:t>
      </w:r>
      <w:r w:rsidR="00895666">
        <w:t xml:space="preserve">influenza </w:t>
      </w:r>
      <w:r>
        <w:t xml:space="preserve">A/H3 subtype (84.8% to 88.1% across groups). A median difference of 27.3 hours was observed in favour of baloxavir marboxil over placebo for patients with the </w:t>
      </w:r>
      <w:r w:rsidR="00895666">
        <w:t xml:space="preserve">influenza </w:t>
      </w:r>
      <w:r>
        <w:t>A/H3 subtype.</w:t>
      </w:r>
    </w:p>
    <w:p w14:paraId="4A614AE8" w14:textId="77777777" w:rsidR="00FF25CD" w:rsidRDefault="00FF25CD" w:rsidP="00405630">
      <w:r>
        <w:t xml:space="preserve">Treatment-emergent amino acid changes at position 38 of </w:t>
      </w:r>
      <w:r w:rsidR="006131C6">
        <w:t xml:space="preserve">the PA gene were detected in 36 out of </w:t>
      </w:r>
      <w:r>
        <w:t>370 (9.7%) patients with evaluable samples in the baloxavir marboxil group compared with zero of 95 patie</w:t>
      </w:r>
      <w:r w:rsidR="00405630">
        <w:t>nts in the placebo group.</w:t>
      </w:r>
    </w:p>
    <w:p w14:paraId="11837842" w14:textId="4E464C76" w:rsidR="00FF25CD" w:rsidRDefault="006131C6" w:rsidP="00405630">
      <w:pPr>
        <w:pStyle w:val="Heading5"/>
        <w:rPr>
          <w:rFonts w:ascii="Symbol" w:hAnsi="Symbol"/>
        </w:rPr>
      </w:pPr>
      <w:r>
        <w:t xml:space="preserve">Study </w:t>
      </w:r>
      <w:r w:rsidR="00F14871">
        <w:t>1518T0821</w:t>
      </w:r>
      <w:r>
        <w:t xml:space="preserve"> </w:t>
      </w:r>
      <w:r w:rsidR="00FF25CD">
        <w:t>in otherwise healthy</w:t>
      </w:r>
      <w:r w:rsidR="00FF25CD">
        <w:rPr>
          <w:spacing w:val="-6"/>
        </w:rPr>
        <w:t xml:space="preserve"> </w:t>
      </w:r>
      <w:r>
        <w:t>adults</w:t>
      </w:r>
    </w:p>
    <w:p w14:paraId="7BA92482" w14:textId="77777777" w:rsidR="00FF25CD" w:rsidRDefault="006131C6" w:rsidP="00405630">
      <w:r>
        <w:t>This was a randomised, double blind, placebo controlled Phase II</w:t>
      </w:r>
      <w:r w:rsidR="00FF25CD">
        <w:t xml:space="preserve"> study of baloxavir marboxil in otherwise healthy adult patients with influenza. It was conducted in Japan in 2015 and 2016. The primary objective was to evaluate the efficacy of baloxavir marboxil 10 mg, 20 mg, and 40 mg versus placebo assessed by the time to alleviation of symptoms in patients with uncomplicated influenza.</w:t>
      </w:r>
    </w:p>
    <w:p w14:paraId="22EA99B2" w14:textId="437E9181" w:rsidR="00FF25CD" w:rsidRDefault="00FF25CD" w:rsidP="00405630">
      <w:r>
        <w:t>Eligible patients were randomised 1:1:1:1 to receive a single dose of study drug (10, 20, 40</w:t>
      </w:r>
      <w:r w:rsidR="006131C6">
        <w:t> </w:t>
      </w:r>
      <w:r>
        <w:t xml:space="preserve">mg or placebo on Day 1). A total of 400 adult patients were randomised and included in the </w:t>
      </w:r>
      <w:r w:rsidR="006131C6">
        <w:t>i</w:t>
      </w:r>
      <w:r w:rsidR="006131C6" w:rsidRPr="00F772CE">
        <w:t>ntention-to-treat infected</w:t>
      </w:r>
      <w:r w:rsidR="006131C6">
        <w:t xml:space="preserve"> (</w:t>
      </w:r>
      <w:r>
        <w:t>ITTI</w:t>
      </w:r>
      <w:r w:rsidR="006131C6">
        <w:t>)</w:t>
      </w:r>
      <w:r>
        <w:t xml:space="preserve"> population. A total of 389 completed the study and 368 were included in the </w:t>
      </w:r>
      <w:r w:rsidR="006131C6">
        <w:t>per protocol set (</w:t>
      </w:r>
      <w:r>
        <w:t>PPS</w:t>
      </w:r>
      <w:r w:rsidR="006131C6">
        <w:t>)</w:t>
      </w:r>
      <w:r>
        <w:t>. In the ITTI population, 75% to 79% were infected with influenza A (most com</w:t>
      </w:r>
      <w:r w:rsidR="00405630">
        <w:t xml:space="preserve">monly </w:t>
      </w:r>
      <w:r w:rsidR="00895666">
        <w:t xml:space="preserve">influenza </w:t>
      </w:r>
      <w:r w:rsidR="00405630">
        <w:t xml:space="preserve">A/H1N1pdm) and </w:t>
      </w:r>
      <w:r w:rsidR="00E54B31">
        <w:t xml:space="preserve">21% to 25 % with the </w:t>
      </w:r>
      <w:r w:rsidR="00895666">
        <w:t xml:space="preserve">influenza </w:t>
      </w:r>
      <w:r w:rsidR="00405630">
        <w:t>B subtype.</w:t>
      </w:r>
    </w:p>
    <w:p w14:paraId="1D170EEB" w14:textId="77777777" w:rsidR="00FF25CD" w:rsidRDefault="00FF25CD" w:rsidP="00405630">
      <w:pPr>
        <w:pStyle w:val="Heading6"/>
      </w:pPr>
      <w:r>
        <w:t xml:space="preserve">Results of </w:t>
      </w:r>
      <w:r w:rsidR="00405630">
        <w:t>the primary efficacy endpoint</w:t>
      </w:r>
    </w:p>
    <w:p w14:paraId="18A40B44" w14:textId="1AA47AD7" w:rsidR="00FF25CD" w:rsidRDefault="00FF25CD" w:rsidP="00405630">
      <w:r>
        <w:t xml:space="preserve">The primary efficacy endpoint is the </w:t>
      </w:r>
      <w:r w:rsidR="006131C6">
        <w:t>TTAS</w:t>
      </w:r>
      <w:r>
        <w:t>. The study showed that the median TTAS was shorter in patients treated with baloxavir marboxil than in patients treated with placebo for all 3 baloxavir marboxil dose groups. The median differenc</w:t>
      </w:r>
      <w:r w:rsidR="00FA2D9A">
        <w:t>e from placebo was 23.4 hours (95% CI -</w:t>
      </w:r>
      <w:r>
        <w:t xml:space="preserve">35.5, </w:t>
      </w:r>
      <w:r w:rsidR="00FA2D9A">
        <w:t xml:space="preserve">-4.6) </w:t>
      </w:r>
      <w:r>
        <w:t>in the 10 mg baloxav</w:t>
      </w:r>
      <w:r w:rsidR="00FA2D9A">
        <w:t xml:space="preserve">ir marboxil group, 26.6 hours (95% CI </w:t>
      </w:r>
      <w:r w:rsidR="00895666">
        <w:noBreakHyphen/>
      </w:r>
      <w:r>
        <w:t xml:space="preserve">38.4, </w:t>
      </w:r>
      <w:r w:rsidR="00FA2D9A">
        <w:t>-8.6)</w:t>
      </w:r>
      <w:r>
        <w:t xml:space="preserve"> in th</w:t>
      </w:r>
      <w:r w:rsidR="00FA2D9A">
        <w:t>e 20 mg group, and 28.2 hours (95% CI -</w:t>
      </w:r>
      <w:r>
        <w:t xml:space="preserve">39.8, </w:t>
      </w:r>
      <w:r w:rsidR="00FA2D9A">
        <w:t>-</w:t>
      </w:r>
      <w:r>
        <w:t>7.0] in the 40 mg group (stratified generali</w:t>
      </w:r>
      <w:r w:rsidR="00E42042">
        <w:t>s</w:t>
      </w:r>
      <w:r>
        <w:t>ed Wilcoxon tes</w:t>
      </w:r>
      <w:r w:rsidR="00405630">
        <w:t>t: p</w:t>
      </w:r>
      <w:r w:rsidR="00895666">
        <w:t xml:space="preserve"> </w:t>
      </w:r>
      <w:r w:rsidR="00405630">
        <w:t>&lt;</w:t>
      </w:r>
      <w:r w:rsidR="00FA2D9A">
        <w:t xml:space="preserve"> </w:t>
      </w:r>
      <w:r w:rsidR="00405630">
        <w:t>0.05 for all comparisons).</w:t>
      </w:r>
    </w:p>
    <w:p w14:paraId="6850E487" w14:textId="5A7558DB" w:rsidR="00FF25CD" w:rsidRDefault="00405630" w:rsidP="00405630">
      <w:pPr>
        <w:pStyle w:val="TableTitle"/>
      </w:pPr>
      <w:r>
        <w:lastRenderedPageBreak/>
        <w:t xml:space="preserve">Table </w:t>
      </w:r>
      <w:fldSimple w:instr=" SEQ Table \* ARABIC ">
        <w:r w:rsidR="00DD3E93">
          <w:rPr>
            <w:noProof/>
          </w:rPr>
          <w:t>3</w:t>
        </w:r>
      </w:fldSimple>
      <w:r>
        <w:t xml:space="preserve">: </w:t>
      </w:r>
      <w:r w:rsidR="00FA2D9A">
        <w:t xml:space="preserve">Study </w:t>
      </w:r>
      <w:r w:rsidR="00F14871">
        <w:t>1518T0821</w:t>
      </w:r>
      <w:r w:rsidR="00FA2D9A">
        <w:t xml:space="preserve"> r</w:t>
      </w:r>
      <w:r w:rsidR="00571DCF">
        <w:t>esults of primary e</w:t>
      </w:r>
      <w:r w:rsidR="00FF25CD">
        <w:t>ndpoint</w:t>
      </w:r>
      <w:r w:rsidR="00895666">
        <w:t xml:space="preserve">; </w:t>
      </w:r>
      <w:r w:rsidR="00FA2D9A">
        <w:t>time to alleviation of symptoms</w:t>
      </w:r>
    </w:p>
    <w:p w14:paraId="025BEB0F" w14:textId="11722AF3" w:rsidR="00405630" w:rsidRDefault="00405630" w:rsidP="00405630">
      <w:r>
        <w:rPr>
          <w:noProof/>
          <w:lang w:eastAsia="en-AU"/>
        </w:rPr>
        <w:drawing>
          <wp:inline distT="0" distB="0" distL="0" distR="0" wp14:anchorId="284CEA7F" wp14:editId="28C0D11E">
            <wp:extent cx="5446644" cy="1642220"/>
            <wp:effectExtent l="0" t="0" r="1905" b="0"/>
            <wp:docPr id="9" name="image4.png" descr="Study 1518T0821 results of Primary Endpoint - time to alleviation of symp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52097" cy="1643864"/>
                    </a:xfrm>
                    <a:prstGeom prst="rect">
                      <a:avLst/>
                    </a:prstGeom>
                  </pic:spPr>
                </pic:pic>
              </a:graphicData>
            </a:graphic>
          </wp:inline>
        </w:drawing>
      </w:r>
    </w:p>
    <w:p w14:paraId="63E6709C" w14:textId="03EE35D7" w:rsidR="00AE3EB8" w:rsidRDefault="00AE3EB8" w:rsidP="00AE3EB8">
      <w:pPr>
        <w:pStyle w:val="TableDescription"/>
      </w:pPr>
      <w:r>
        <w:t>a: 95% CIs for median difference was a post hoc analysis. Bootstrap estimates. b: Stratified generalized Wilcoxon test. Stratification factors: smoking habit and composite symptom score at Baseline.</w:t>
      </w:r>
    </w:p>
    <w:p w14:paraId="1B555407" w14:textId="4C13C3C1" w:rsidR="00FF25CD" w:rsidRDefault="00FF25CD" w:rsidP="005F2004">
      <w:r>
        <w:t>There was no meaningful dose-response relationship for the primary endpoint, however, there were trends in favour of the higher baloxavir marboxil doses for the secondary endpoints. For example, each dose of baloxavir marboxil significantly reduced time to resolution compared with placebo with a modest dose-response relationship. The median time to resolution of fever was 33.4, 31.6, and 28.9 hours in the baloxavir marboxil 10 mg, 20 mg, and 40 mg groups, respectively, compared with 45.3 hours in the placebo group. The 40</w:t>
      </w:r>
      <w:r w:rsidR="00FA2D9A">
        <w:t xml:space="preserve"> </w:t>
      </w:r>
      <w:r>
        <w:t>mg dose was selecte</w:t>
      </w:r>
      <w:r w:rsidR="00FA2D9A">
        <w:t>d to take forward in the Phase III S</w:t>
      </w:r>
      <w:r>
        <w:t xml:space="preserve">tudy </w:t>
      </w:r>
      <w:r w:rsidR="00F14871">
        <w:t>1601T0831</w:t>
      </w:r>
      <w:r>
        <w:t xml:space="preserve"> with the additional 80</w:t>
      </w:r>
      <w:r w:rsidR="00FA2D9A">
        <w:t xml:space="preserve"> </w:t>
      </w:r>
      <w:r>
        <w:t>mg for subjects who weigh more than 80</w:t>
      </w:r>
      <w:r w:rsidR="00DC0A78">
        <w:t xml:space="preserve"> </w:t>
      </w:r>
      <w:r>
        <w:t>mg.</w:t>
      </w:r>
    </w:p>
    <w:p w14:paraId="33853F27" w14:textId="1680843D" w:rsidR="00FF25CD" w:rsidRDefault="00FF25CD" w:rsidP="005F2004">
      <w:pPr>
        <w:pStyle w:val="Heading5"/>
        <w:rPr>
          <w:rFonts w:ascii="Symbol" w:hAnsi="Symbol"/>
          <w:sz w:val="26"/>
        </w:rPr>
      </w:pPr>
      <w:r>
        <w:rPr>
          <w:sz w:val="26"/>
        </w:rPr>
        <w:t>S</w:t>
      </w:r>
      <w:r w:rsidR="00086064">
        <w:t xml:space="preserve">tudy </w:t>
      </w:r>
      <w:r w:rsidR="00F14871">
        <w:t>1601T0832</w:t>
      </w:r>
      <w:r w:rsidR="00086064">
        <w:t xml:space="preserve"> </w:t>
      </w:r>
      <w:r>
        <w:t xml:space="preserve">in </w:t>
      </w:r>
      <w:r w:rsidR="00086064">
        <w:t>patients who are at high risk for</w:t>
      </w:r>
      <w:r w:rsidR="00086064">
        <w:rPr>
          <w:spacing w:val="-9"/>
        </w:rPr>
        <w:t xml:space="preserve"> </w:t>
      </w:r>
      <w:r w:rsidR="00086064">
        <w:t>complications</w:t>
      </w:r>
    </w:p>
    <w:p w14:paraId="19D484E6" w14:textId="23059612" w:rsidR="00DA3C8A" w:rsidRPr="005F2004" w:rsidRDefault="00FF25CD" w:rsidP="005F2004">
      <w:r>
        <w:t>Study</w:t>
      </w:r>
      <w:r w:rsidR="00086064">
        <w:t xml:space="preserve"> </w:t>
      </w:r>
      <w:r w:rsidR="00F14871">
        <w:t>1601T0832</w:t>
      </w:r>
      <w:r w:rsidR="00086064">
        <w:t xml:space="preserve"> was a randomi</w:t>
      </w:r>
      <w:r w:rsidR="00623020">
        <w:t>s</w:t>
      </w:r>
      <w:r w:rsidR="00086064">
        <w:t xml:space="preserve">ed, double </w:t>
      </w:r>
      <w:r>
        <w:t xml:space="preserve">blind, </w:t>
      </w:r>
      <w:r w:rsidR="00086064">
        <w:t xml:space="preserve">multicentre, parallel group, placebo and active </w:t>
      </w:r>
      <w:r>
        <w:t xml:space="preserve">controlled study. The study was to evaluate the efficacy and safety of a single dose of baloxavir marboxil for the treatment of uncomplicated influenza in patients older than 12 years of age who are at high risk of developing influenza complications. Eligible patients were randomized in a 1:1:1 ratio to receive a single oral dose of baloxavir marboxil, repeated doses of </w:t>
      </w:r>
      <w:proofErr w:type="spellStart"/>
      <w:r>
        <w:t>oseltamivir</w:t>
      </w:r>
      <w:proofErr w:type="spellEnd"/>
      <w:r>
        <w:t xml:space="preserve"> (75 mg BID for 5 </w:t>
      </w:r>
      <w:r w:rsidR="00571DCF">
        <w:t>days), or placebo. The dose of b</w:t>
      </w:r>
      <w:r>
        <w:t xml:space="preserve">aloxavir marboxil was based on the patient’s body weight. Patients were also stratified </w:t>
      </w:r>
      <w:r w:rsidRPr="00086064">
        <w:t xml:space="preserve">by baseline symptom score, pre-existing and worsened symptoms (yes or no), region, and body weight. The inclusion criteria for Study </w:t>
      </w:r>
      <w:r w:rsidR="00F14871">
        <w:t>1601T0832</w:t>
      </w:r>
      <w:r w:rsidRPr="00086064">
        <w:t xml:space="preserve"> were similar to those</w:t>
      </w:r>
      <w:r w:rsidRPr="00086064">
        <w:rPr>
          <w:spacing w:val="-35"/>
        </w:rPr>
        <w:t xml:space="preserve"> </w:t>
      </w:r>
      <w:r w:rsidRPr="00086064">
        <w:t>of</w:t>
      </w:r>
      <w:r w:rsidR="00571DCF">
        <w:t xml:space="preserve"> Study </w:t>
      </w:r>
      <w:r w:rsidR="00F14871">
        <w:t>1601T0831</w:t>
      </w:r>
      <w:r w:rsidR="00DA3C8A" w:rsidRPr="00086064">
        <w:t xml:space="preserve"> </w:t>
      </w:r>
      <w:r w:rsidR="00086064">
        <w:t>but with no upper age limit (compared with</w:t>
      </w:r>
      <w:r w:rsidR="00DA3C8A">
        <w:t xml:space="preserve"> upper age limit of 64 years in </w:t>
      </w:r>
      <w:r w:rsidR="00086064">
        <w:t xml:space="preserve">Study </w:t>
      </w:r>
      <w:r w:rsidR="00F14871">
        <w:t>1601T0831</w:t>
      </w:r>
      <w:r w:rsidR="00DA3C8A">
        <w:t xml:space="preserve">) and the additional requirement for at least one high risk factor for developing influenza complications, which were exclusion criteria in Study </w:t>
      </w:r>
      <w:r w:rsidR="00F14871">
        <w:t>1601T0831</w:t>
      </w:r>
      <w:r w:rsidR="00DA3C8A">
        <w:t xml:space="preserve">. The high risk factors were based on the </w:t>
      </w:r>
      <w:r w:rsidR="00086064">
        <w:t>CDC</w:t>
      </w:r>
      <w:r w:rsidR="00DA3C8A">
        <w:t xml:space="preserve"> definition of health factors known to increase the risk of developing serious complications from influenza.</w:t>
      </w:r>
      <w:r w:rsidR="00086064">
        <w:fldChar w:fldCharType="begin"/>
      </w:r>
      <w:r w:rsidR="00086064">
        <w:instrText xml:space="preserve"> NOTEREF _Ref36377213 \f \h </w:instrText>
      </w:r>
      <w:r w:rsidR="00086064">
        <w:fldChar w:fldCharType="separate"/>
      </w:r>
      <w:r w:rsidR="000B6ED9" w:rsidRPr="000B6ED9">
        <w:rPr>
          <w:rStyle w:val="FootnoteReference"/>
        </w:rPr>
        <w:t>6</w:t>
      </w:r>
      <w:r w:rsidR="00086064">
        <w:fldChar w:fldCharType="end"/>
      </w:r>
    </w:p>
    <w:p w14:paraId="08FB3B35" w14:textId="77777777" w:rsidR="00DA3C8A" w:rsidRDefault="00DA3C8A" w:rsidP="005F2004">
      <w:r>
        <w:t>The primary efficacy objective was to assess the efficacy of a single dose of baloxavir marboxil compared with placebo by measuring the time to improvement of influenza symptoms in patients with influenza. The primary efficacy endpoint was the time to improvement of 7 symptoms (cough, sore throat, headache, nasal congestion, feverishness or chills, muscle or joint pain, and fatigue), which was the time to alleviation of influenza symptoms with modifica</w:t>
      </w:r>
      <w:r w:rsidR="005F2004">
        <w:t>tion for pre-existing symptoms.</w:t>
      </w:r>
    </w:p>
    <w:p w14:paraId="291B16F4" w14:textId="4276E407" w:rsidR="00DA3C8A" w:rsidRDefault="00DA3C8A" w:rsidP="005F2004">
      <w:r>
        <w:t>A total of 2184 patients were randomised and 2075 patients completed the study (approximately 95% in each group). A total of 109 patients did not complete the study most commonly because of withdrawal of consent; lost to follow-up; adverse events</w:t>
      </w:r>
      <w:r w:rsidR="00086064">
        <w:t xml:space="preserve"> (AEs)</w:t>
      </w:r>
      <w:r>
        <w:t xml:space="preserve">; and protocol deviations. There were 33, 34, and 42 withdrawals in the baloxavir, placebo, and </w:t>
      </w:r>
      <w:proofErr w:type="spellStart"/>
      <w:r>
        <w:t>oseltamivir</w:t>
      </w:r>
      <w:proofErr w:type="spellEnd"/>
      <w:r>
        <w:t xml:space="preserve"> groups, re</w:t>
      </w:r>
      <w:r w:rsidR="005F2004">
        <w:t>spectively.</w:t>
      </w:r>
    </w:p>
    <w:p w14:paraId="0F4C590C" w14:textId="11BD9A96" w:rsidR="00DA3C8A" w:rsidRDefault="00DA3C8A" w:rsidP="005F2004">
      <w:pPr>
        <w:pStyle w:val="Heading6"/>
      </w:pPr>
      <w:r>
        <w:lastRenderedPageBreak/>
        <w:t xml:space="preserve">Results of the </w:t>
      </w:r>
      <w:r w:rsidR="00086064">
        <w:t>primary efficacy endpoint</w:t>
      </w:r>
    </w:p>
    <w:p w14:paraId="7F00E2FE" w14:textId="206D7CEA" w:rsidR="00DA3C8A" w:rsidRPr="005F2004" w:rsidRDefault="00DA3C8A" w:rsidP="005F2004">
      <w:r>
        <w:t>The primary effi</w:t>
      </w:r>
      <w:r w:rsidR="00086064">
        <w:t>cacy analysis population (ITTI p</w:t>
      </w:r>
      <w:r>
        <w:t>opulation) comprised 1163 of the randomi</w:t>
      </w:r>
      <w:r w:rsidR="00AD2C5A">
        <w:t>s</w:t>
      </w:r>
      <w:r>
        <w:t xml:space="preserve">ed patients: 388 patients in the baloxavir marboxil group, 386 patients in the placebo group, and 389 patients in the </w:t>
      </w:r>
      <w:proofErr w:type="spellStart"/>
      <w:r>
        <w:t>oseltamivir</w:t>
      </w:r>
      <w:proofErr w:type="spellEnd"/>
      <w:r>
        <w:t xml:space="preserve"> group.</w:t>
      </w:r>
    </w:p>
    <w:p w14:paraId="60112EF8" w14:textId="2F70DC5F" w:rsidR="00DA3C8A" w:rsidRDefault="00DA3C8A" w:rsidP="005F2004">
      <w:r>
        <w:t>The primary efficacy endpoint was achieved in the ITTI analys</w:t>
      </w:r>
      <w:r w:rsidR="005F2004">
        <w:t xml:space="preserve">is. A statistically significant </w:t>
      </w:r>
      <w:r>
        <w:t>improvement in the primary endpoint was observed for baloxavir marboxil when compared to placebo. The median time to improvem</w:t>
      </w:r>
      <w:r w:rsidR="00571DCF">
        <w:t>ent of symptoms (TTIS) was 73.2 </w:t>
      </w:r>
      <w:r>
        <w:t>hours (95% CI: 67.2, 85.1) in the baloxavir mar</w:t>
      </w:r>
      <w:r w:rsidR="00571DCF">
        <w:t>boxil group compared with 102.3 </w:t>
      </w:r>
      <w:r>
        <w:t>hours (95% CI: 92.7, 113.1) in the placebo group. The median</w:t>
      </w:r>
      <w:r w:rsidR="00B40844">
        <w:t xml:space="preserve"> treatment difference was </w:t>
      </w:r>
      <w:r w:rsidR="00B40844">
        <w:noBreakHyphen/>
      </w:r>
      <w:r w:rsidR="00086064">
        <w:t>29.1 </w:t>
      </w:r>
      <w:r>
        <w:t>hours (p</w:t>
      </w:r>
      <w:r w:rsidR="00086064">
        <w:t xml:space="preserve"> </w:t>
      </w:r>
      <w:r>
        <w:t>&lt;</w:t>
      </w:r>
      <w:r w:rsidR="00086064">
        <w:t xml:space="preserve"> </w:t>
      </w:r>
      <w:r>
        <w:t xml:space="preserve">0.0001). The median time to improvement of symptoms in the </w:t>
      </w:r>
      <w:proofErr w:type="spellStart"/>
      <w:r>
        <w:t>oseltamivir</w:t>
      </w:r>
      <w:proofErr w:type="spellEnd"/>
      <w:r>
        <w:t xml:space="preserve"> group was 81.0 hours (95% CI: 69.4, 91.5). The median difference between the baloxavir marboxil and </w:t>
      </w:r>
      <w:proofErr w:type="spellStart"/>
      <w:r>
        <w:t>oseltamivir</w:t>
      </w:r>
      <w:proofErr w:type="spellEnd"/>
      <w:r>
        <w:t xml:space="preserve"> groups was not significant (-7.7 hours</w:t>
      </w:r>
      <w:r w:rsidRPr="00086064">
        <w:t xml:space="preserve">, p = </w:t>
      </w:r>
      <w:r w:rsidR="005F2004" w:rsidRPr="00086064">
        <w:t>0.8347</w:t>
      </w:r>
      <w:r w:rsidR="005F2004">
        <w:t>).</w:t>
      </w:r>
    </w:p>
    <w:p w14:paraId="0E43D450" w14:textId="69ECD696" w:rsidR="00DA3C8A" w:rsidRDefault="005F2004" w:rsidP="00AE3EB8">
      <w:pPr>
        <w:pStyle w:val="TableTitle"/>
      </w:pPr>
      <w:r>
        <w:t xml:space="preserve">Table </w:t>
      </w:r>
      <w:fldSimple w:instr=" SEQ Table \* ARABIC ">
        <w:r w:rsidR="00DD3E93">
          <w:rPr>
            <w:noProof/>
          </w:rPr>
          <w:t>4</w:t>
        </w:r>
      </w:fldSimple>
      <w:r w:rsidR="0079710F">
        <w:t xml:space="preserve">: </w:t>
      </w:r>
      <w:r w:rsidR="00086064">
        <w:t xml:space="preserve">Study </w:t>
      </w:r>
      <w:r w:rsidR="00F14871">
        <w:t>1601T0832</w:t>
      </w:r>
      <w:r w:rsidR="00086064">
        <w:t>, i</w:t>
      </w:r>
      <w:r w:rsidR="00086064" w:rsidRPr="00F772CE">
        <w:t>ntention-to-treat infected</w:t>
      </w:r>
      <w:r>
        <w:t xml:space="preserve"> population, r</w:t>
      </w:r>
      <w:r w:rsidR="00DA3C8A">
        <w:t>e</w:t>
      </w:r>
      <w:r w:rsidR="00086064">
        <w:t>sults of the primary endpoint</w:t>
      </w:r>
      <w:r w:rsidR="00AD2C5A">
        <w:t xml:space="preserve">; </w:t>
      </w:r>
      <w:r>
        <w:t>t</w:t>
      </w:r>
      <w:r w:rsidR="00DA3C8A">
        <w:t>ime to improvement of influenza</w:t>
      </w:r>
      <w:r>
        <w:t xml:space="preserve"> symptoms</w:t>
      </w:r>
    </w:p>
    <w:p w14:paraId="5B34A9F9" w14:textId="120E28C9" w:rsidR="005F2004" w:rsidRDefault="005F2004" w:rsidP="00017E9C">
      <w:r>
        <w:rPr>
          <w:noProof/>
          <w:lang w:eastAsia="en-AU"/>
        </w:rPr>
        <w:drawing>
          <wp:inline distT="0" distB="0" distL="0" distR="0" wp14:anchorId="339AC7C5" wp14:editId="6BE7BDC8">
            <wp:extent cx="5399405" cy="1316736"/>
            <wp:effectExtent l="0" t="0" r="0" b="0"/>
            <wp:docPr id="10" name="image5.jpeg" descr="Study 1601T0832, intention-to-treat infected population, results of the primary endpoint - time to improvement of influenza symp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5152" cy="1318137"/>
                    </a:xfrm>
                    <a:prstGeom prst="rect">
                      <a:avLst/>
                    </a:prstGeom>
                  </pic:spPr>
                </pic:pic>
              </a:graphicData>
            </a:graphic>
          </wp:inline>
        </w:drawing>
      </w:r>
    </w:p>
    <w:p w14:paraId="443F5819" w14:textId="5ECF2B28" w:rsidR="00AE3EB8" w:rsidRDefault="00AE3EB8" w:rsidP="00AE3EB8">
      <w:pPr>
        <w:pStyle w:val="TableDescription"/>
        <w:keepNext/>
      </w:pPr>
      <w:r>
        <w:t>a: 95% CIs for the median difference are provided where available. Bootstrap estimates. b: P-values based on the stratified generalized Wilcoxon test: Stratification factors: region, composite symptom scores at baseline, and pre-existing and worsened symptom.</w:t>
      </w:r>
      <w:r w:rsidR="00525B91">
        <w:t xml:space="preserve"> </w:t>
      </w:r>
      <w:proofErr w:type="spellStart"/>
      <w:r w:rsidR="00525B91">
        <w:t>Bxm</w:t>
      </w:r>
      <w:proofErr w:type="spellEnd"/>
      <w:r w:rsidR="00525B91">
        <w:t xml:space="preserve"> = </w:t>
      </w:r>
      <w:r w:rsidR="00525B91" w:rsidRPr="00C10714">
        <w:t>baloxavir marboxil</w:t>
      </w:r>
      <w:r w:rsidR="00525B91">
        <w:t>.</w:t>
      </w:r>
    </w:p>
    <w:p w14:paraId="0E69960B" w14:textId="77777777" w:rsidR="00DA3C8A" w:rsidRDefault="00DA3C8A" w:rsidP="00B40844">
      <w:r>
        <w:t>Sensitivity analyses of the primary endpoint in the ITT population and the analysis of the primary endpoint using the PPS population confirmed the results of the primary analysis. Results of secondary endpoints were generally consistent with the primary endpoint and supportive of the clinical benefit of baloxavir marboxil.</w:t>
      </w:r>
    </w:p>
    <w:p w14:paraId="03ADDCA5" w14:textId="0455472F" w:rsidR="00DA3C8A" w:rsidRDefault="00DA3C8A" w:rsidP="00B40844">
      <w:r>
        <w:t>Analysis by viral subtype showed a clinically meaningful reduction in median time to improvement of influenza symptoms in the baloxavir marboxil group compared with the placebo group for both</w:t>
      </w:r>
      <w:r w:rsidR="00AD2C5A">
        <w:t xml:space="preserve"> influenza</w:t>
      </w:r>
      <w:r>
        <w:t xml:space="preserve"> A/H3 and </w:t>
      </w:r>
      <w:r w:rsidR="00AD2C5A">
        <w:t xml:space="preserve">influenza </w:t>
      </w:r>
      <w:r>
        <w:t xml:space="preserve">B viral subtypes and compared with </w:t>
      </w:r>
      <w:proofErr w:type="spellStart"/>
      <w:r>
        <w:t>oseltamivir</w:t>
      </w:r>
      <w:proofErr w:type="spellEnd"/>
      <w:r>
        <w:t xml:space="preserve"> for the B types. A median difference of -125 hours in favour of baloxavir marboxil over placebo for the </w:t>
      </w:r>
      <w:r w:rsidR="00AD2C5A">
        <w:t xml:space="preserve">influenza </w:t>
      </w:r>
      <w:r>
        <w:t>A/H1N1pdm subtype was also observed, although the number of patients infected with A/H1N1pdm sub</w:t>
      </w:r>
      <w:r w:rsidR="0079710F">
        <w:t>type was limited in this study.</w:t>
      </w:r>
    </w:p>
    <w:p w14:paraId="3FF665B5" w14:textId="07CA865E" w:rsidR="00DA3C8A" w:rsidRDefault="00DA3C8A" w:rsidP="0079710F">
      <w:pPr>
        <w:pStyle w:val="Heading5"/>
        <w:rPr>
          <w:rFonts w:ascii="Symbol" w:hAnsi="Symbol"/>
        </w:rPr>
      </w:pPr>
      <w:r>
        <w:t>Study</w:t>
      </w:r>
      <w:r>
        <w:rPr>
          <w:spacing w:val="-4"/>
        </w:rPr>
        <w:t xml:space="preserve"> </w:t>
      </w:r>
      <w:r w:rsidR="00F14871">
        <w:t>1518T0822</w:t>
      </w:r>
    </w:p>
    <w:p w14:paraId="6AA89A55" w14:textId="3DAC4ED9" w:rsidR="00DA3C8A" w:rsidRDefault="00DA3C8A" w:rsidP="0079710F">
      <w:r>
        <w:t xml:space="preserve">In Study </w:t>
      </w:r>
      <w:r w:rsidR="00F14871">
        <w:t>1518T0822</w:t>
      </w:r>
      <w:r>
        <w:t>, open label baloxavir marboxil was given as</w:t>
      </w:r>
      <w:r w:rsidR="00B40844">
        <w:t xml:space="preserve"> single weight-based doses of 5</w:t>
      </w:r>
      <w:r w:rsidR="00017E9C">
        <w:t xml:space="preserve"> </w:t>
      </w:r>
      <w:r>
        <w:t xml:space="preserve">mg, 10 mg, 20 mg, or 40 mg to otherwise healthy paediatric patients aged six months to </w:t>
      </w:r>
      <w:r w:rsidR="00017E9C">
        <w:t xml:space="preserve">&lt; </w:t>
      </w:r>
      <w:r>
        <w:t xml:space="preserve">12 years. Only two patients aged </w:t>
      </w:r>
      <w:r w:rsidR="00017E9C">
        <w:t xml:space="preserve">&lt; </w:t>
      </w:r>
      <w:r>
        <w:t>2 years were enrolled. Efficacy could not be assessed as there was no active comparator or placebo group. However, the median time to alleviation of influenza illness (45 hours)</w:t>
      </w:r>
      <w:r w:rsidR="00B40844">
        <w:t xml:space="preserve"> was consistent with the adult</w:t>
      </w:r>
      <w:r w:rsidR="00571DCF">
        <w:t xml:space="preserve"> studies,</w:t>
      </w:r>
      <w:r w:rsidR="00B40844">
        <w:t xml:space="preserve"> Studies </w:t>
      </w:r>
      <w:r w:rsidR="00F14871">
        <w:t>1601T0831</w:t>
      </w:r>
      <w:r w:rsidR="00B40844">
        <w:t xml:space="preserve"> (54 </w:t>
      </w:r>
      <w:r>
        <w:t xml:space="preserve">hours), </w:t>
      </w:r>
      <w:r w:rsidR="00F14871">
        <w:t>1518T0821</w:t>
      </w:r>
      <w:r>
        <w:t xml:space="preserve"> (54 hours), and </w:t>
      </w:r>
      <w:r w:rsidR="00F14871">
        <w:t>1601T0832</w:t>
      </w:r>
      <w:r>
        <w:t xml:space="preserve"> (73 hours).</w:t>
      </w:r>
    </w:p>
    <w:p w14:paraId="613596F4" w14:textId="77777777" w:rsidR="00DA3C8A" w:rsidRPr="0079710F" w:rsidRDefault="00DA3C8A" w:rsidP="0079710F">
      <w:pPr>
        <w:pStyle w:val="Heading4"/>
      </w:pPr>
      <w:r w:rsidRPr="0079710F">
        <w:t xml:space="preserve">Clinical </w:t>
      </w:r>
      <w:r w:rsidR="0079710F" w:rsidRPr="0079710F">
        <w:t>s</w:t>
      </w:r>
      <w:r w:rsidRPr="0079710F">
        <w:t>afety</w:t>
      </w:r>
    </w:p>
    <w:p w14:paraId="5FECF3F1" w14:textId="77777777" w:rsidR="00DA3C8A" w:rsidRDefault="00DA3C8A" w:rsidP="0079710F">
      <w:pPr>
        <w:pStyle w:val="Heading5"/>
      </w:pPr>
      <w:r>
        <w:t xml:space="preserve">Safety analysis from </w:t>
      </w:r>
      <w:r w:rsidR="0079710F">
        <w:t>the clinical</w:t>
      </w:r>
      <w:r w:rsidR="0079710F">
        <w:rPr>
          <w:spacing w:val="-4"/>
        </w:rPr>
        <w:t xml:space="preserve"> </w:t>
      </w:r>
      <w:r w:rsidR="0079710F">
        <w:t>studies</w:t>
      </w:r>
    </w:p>
    <w:p w14:paraId="20575492" w14:textId="08EA09BE" w:rsidR="00DA3C8A" w:rsidRDefault="00DA3C8A" w:rsidP="0079710F">
      <w:r>
        <w:t xml:space="preserve">The conclusion from the clinical evaluation is that no significant safety concerns were identified when baloxavir marboxil 40 mg or 80 mg was administered to patients with uncomplicated influenza. In the pooled </w:t>
      </w:r>
      <w:proofErr w:type="spellStart"/>
      <w:r>
        <w:t>OwH</w:t>
      </w:r>
      <w:proofErr w:type="spellEnd"/>
      <w:r>
        <w:t xml:space="preserve"> studies, baloxavir marboxil was well tolerated and the majority of symptoms were mild or moderate in severity. The most </w:t>
      </w:r>
      <w:r>
        <w:lastRenderedPageBreak/>
        <w:t xml:space="preserve">commonly reported severe AE in the pooled analysis was bronchitis (0.8%, 1.0% and 0.2%, in the baloxavir marboxil, placebo and </w:t>
      </w:r>
      <w:proofErr w:type="spellStart"/>
      <w:r>
        <w:t>oseltamivir</w:t>
      </w:r>
      <w:proofErr w:type="spellEnd"/>
      <w:r>
        <w:t xml:space="preserve"> groups, respectively). There were no drug-related </w:t>
      </w:r>
      <w:r w:rsidR="00C249D3">
        <w:t>serious adverse events (</w:t>
      </w:r>
      <w:r>
        <w:t>SAEs</w:t>
      </w:r>
      <w:r w:rsidR="00C249D3">
        <w:t>)</w:t>
      </w:r>
      <w:r>
        <w:t xml:space="preserve"> and no fatalities. There was a trend towards a reduced incidence of AEs in the baloxavir marboxil group compared with the placebo and </w:t>
      </w:r>
      <w:proofErr w:type="spellStart"/>
      <w:r>
        <w:t>oseltamivir</w:t>
      </w:r>
      <w:proofErr w:type="spellEnd"/>
      <w:r>
        <w:t xml:space="preserve"> groups. There was no evidence of drug-related hepatic impairment. Neuropsychiatric symptoms were identified as a potential risk based on </w:t>
      </w:r>
      <w:proofErr w:type="spellStart"/>
      <w:r>
        <w:t>oseltamivir</w:t>
      </w:r>
      <w:proofErr w:type="spellEnd"/>
      <w:r>
        <w:t xml:space="preserve"> reports; however, there was no evidence of such events in the </w:t>
      </w:r>
      <w:proofErr w:type="spellStart"/>
      <w:r>
        <w:t>OwH</w:t>
      </w:r>
      <w:proofErr w:type="spellEnd"/>
      <w:r>
        <w:t xml:space="preserve"> studies. The incidence of AEs was not influenced by age or gender. The incidence of AEs was higher in Japanese patients compared with White patient</w:t>
      </w:r>
      <w:r w:rsidR="00571DCF">
        <w:t>s and this was associated with approximately</w:t>
      </w:r>
      <w:r w:rsidR="00C249D3">
        <w:t xml:space="preserve"> </w:t>
      </w:r>
      <w:r>
        <w:t>30% higher balox</w:t>
      </w:r>
      <w:r w:rsidR="00C249D3">
        <w:t>avir exposure in the pop</w:t>
      </w:r>
      <w:r>
        <w:t xml:space="preserve">PK model. In the HR study, a lower percentage of patients in the baloxavir marboxil group reported AEs compared with the placebo and </w:t>
      </w:r>
      <w:proofErr w:type="spellStart"/>
      <w:r>
        <w:t>oseltamivir</w:t>
      </w:r>
      <w:proofErr w:type="spellEnd"/>
      <w:r>
        <w:t xml:space="preserve"> groups. Baloxavir marboxil was well tolerated and the majority of symptoms were mild or moderate in severity. Grade 3 events were reported in 1.5%, 1.8%, and 1.7% of the respective groups and no patients in the baloxavir marboxil group reported Grade 3 or 4 AEs. The most commonly reported AEs were bronchitis, sinusitis, diarrhoea, and nausea. However, the incidence of each of these AEs was lower in the baloxavir marboxil group compared with the placebo and</w:t>
      </w:r>
      <w:r w:rsidR="00C249D3">
        <w:t xml:space="preserve"> </w:t>
      </w:r>
      <w:proofErr w:type="spellStart"/>
      <w:r w:rsidR="00C249D3">
        <w:t>oseltamivir</w:t>
      </w:r>
      <w:proofErr w:type="spellEnd"/>
      <w:r w:rsidR="00C249D3">
        <w:t xml:space="preserve"> groups (see </w:t>
      </w:r>
      <w:r w:rsidR="00C249D3">
        <w:fldChar w:fldCharType="begin"/>
      </w:r>
      <w:r w:rsidR="00C249D3">
        <w:instrText xml:space="preserve"> REF _Ref36382667 \h </w:instrText>
      </w:r>
      <w:r w:rsidR="00C249D3">
        <w:fldChar w:fldCharType="separate"/>
      </w:r>
      <w:r w:rsidR="00C249D3">
        <w:t xml:space="preserve">Table </w:t>
      </w:r>
      <w:r w:rsidR="00C249D3">
        <w:rPr>
          <w:noProof/>
        </w:rPr>
        <w:t>5</w:t>
      </w:r>
      <w:r w:rsidR="00C249D3">
        <w:fldChar w:fldCharType="end"/>
      </w:r>
      <w:r w:rsidR="00C249D3">
        <w:t>,</w:t>
      </w:r>
      <w:r>
        <w:t xml:space="preserve"> below). There were no drug-related SAEs and no fatalities in the baloxavir marboxil group. AEs leading to drug withdrawal were reported in only four patients i</w:t>
      </w:r>
      <w:r w:rsidR="0079710F">
        <w:t>n the baloxavir marboxil group.</w:t>
      </w:r>
    </w:p>
    <w:p w14:paraId="51542DB8" w14:textId="2BD187D8" w:rsidR="00DA3C8A" w:rsidRDefault="0079710F" w:rsidP="0079710F">
      <w:pPr>
        <w:pStyle w:val="TableTitle"/>
      </w:pPr>
      <w:bookmarkStart w:id="42" w:name="_Ref36382667"/>
      <w:r>
        <w:t xml:space="preserve">Table </w:t>
      </w:r>
      <w:fldSimple w:instr=" SEQ Table \* ARABIC ">
        <w:r w:rsidR="00DD3E93">
          <w:rPr>
            <w:noProof/>
          </w:rPr>
          <w:t>5</w:t>
        </w:r>
      </w:fldSimple>
      <w:bookmarkEnd w:id="42"/>
      <w:r>
        <w:t xml:space="preserve">: </w:t>
      </w:r>
      <w:r w:rsidR="00DA3C8A" w:rsidRPr="0079710F">
        <w:t xml:space="preserve">Adverse </w:t>
      </w:r>
      <w:r w:rsidRPr="0079710F">
        <w:t>events occurring in &gt;</w:t>
      </w:r>
      <w:r w:rsidR="00C249D3">
        <w:t xml:space="preserve"> </w:t>
      </w:r>
      <w:r w:rsidRPr="0079710F">
        <w:t xml:space="preserve">1% of patients in the baloxavir marboxil group in pooled </w:t>
      </w:r>
      <w:r w:rsidR="00C249D3">
        <w:t>otherwise healthy +</w:t>
      </w:r>
      <w:r w:rsidR="004263E8">
        <w:t xml:space="preserve"> </w:t>
      </w:r>
      <w:r w:rsidR="00C249D3">
        <w:t>high risk</w:t>
      </w:r>
      <w:r w:rsidR="00AD2C5A">
        <w:t>;</w:t>
      </w:r>
      <w:r w:rsidR="00571DCF">
        <w:t xml:space="preserve"> Studies </w:t>
      </w:r>
      <w:r w:rsidR="00F14871">
        <w:t>1601T0831</w:t>
      </w:r>
      <w:r w:rsidR="00571DCF">
        <w:t xml:space="preserve">, </w:t>
      </w:r>
      <w:r w:rsidR="00F14871">
        <w:t>1518T0821</w:t>
      </w:r>
      <w:r w:rsidR="00571DCF">
        <w:t xml:space="preserve"> and </w:t>
      </w:r>
      <w:r w:rsidR="00F14871">
        <w:t>1601T0832</w:t>
      </w:r>
    </w:p>
    <w:p w14:paraId="256ACD07" w14:textId="77777777" w:rsidR="0079710F" w:rsidRPr="0079710F" w:rsidRDefault="0079710F" w:rsidP="0079710F">
      <w:r>
        <w:rPr>
          <w:noProof/>
          <w:lang w:eastAsia="en-AU"/>
        </w:rPr>
        <w:drawing>
          <wp:inline distT="0" distB="0" distL="0" distR="0" wp14:anchorId="0542F283" wp14:editId="2B20FF33">
            <wp:extent cx="5229860" cy="2425148"/>
            <wp:effectExtent l="0" t="0" r="8890" b="0"/>
            <wp:docPr id="11" name="image6.png" descr="Adverse events occurring in &gt; 1% of patients in the baloxavir marboxil group in pooled otherwise healthy +high risk Studies 1601T0831, 1518T0821 and 1601T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rotWithShape="1">
                    <a:blip r:embed="rId17" cstate="print">
                      <a:extLst>
                        <a:ext uri="{28A0092B-C50C-407E-A947-70E740481C1C}">
                          <a14:useLocalDpi xmlns:a14="http://schemas.microsoft.com/office/drawing/2010/main" val="0"/>
                        </a:ext>
                      </a:extLst>
                    </a:blip>
                    <a:srcRect b="5808"/>
                    <a:stretch/>
                  </pic:blipFill>
                  <pic:spPr bwMode="auto">
                    <a:xfrm>
                      <a:off x="0" y="0"/>
                      <a:ext cx="5256867" cy="2437671"/>
                    </a:xfrm>
                    <a:prstGeom prst="rect">
                      <a:avLst/>
                    </a:prstGeom>
                    <a:ln>
                      <a:noFill/>
                    </a:ln>
                    <a:extLst>
                      <a:ext uri="{53640926-AAD7-44D8-BBD7-CCE9431645EC}">
                        <a14:shadowObscured xmlns:a14="http://schemas.microsoft.com/office/drawing/2010/main"/>
                      </a:ext>
                    </a:extLst>
                  </pic:spPr>
                </pic:pic>
              </a:graphicData>
            </a:graphic>
          </wp:inline>
        </w:drawing>
      </w:r>
    </w:p>
    <w:p w14:paraId="0D484F93" w14:textId="77777777" w:rsidR="00FF25CD" w:rsidRDefault="00DA3C8A" w:rsidP="0079710F">
      <w:r>
        <w:t>Overall, baloxavir marboxil was well tolerated and no safety signals or concerns were identified in the clinical development program.</w:t>
      </w:r>
    </w:p>
    <w:p w14:paraId="2A217F90" w14:textId="18343BE5" w:rsidR="00DA3C8A" w:rsidRDefault="00DA3C8A" w:rsidP="0079710F">
      <w:pPr>
        <w:pStyle w:val="Heading6"/>
      </w:pPr>
      <w:r>
        <w:t xml:space="preserve">Hypersensitivity reactions in </w:t>
      </w:r>
      <w:r w:rsidR="00C249D3">
        <w:t xml:space="preserve">post-marketing analysis </w:t>
      </w:r>
      <w:r>
        <w:t>(United State and</w:t>
      </w:r>
      <w:r>
        <w:rPr>
          <w:spacing w:val="-11"/>
        </w:rPr>
        <w:t xml:space="preserve"> </w:t>
      </w:r>
      <w:r>
        <w:t>Japan)</w:t>
      </w:r>
    </w:p>
    <w:p w14:paraId="622783E3" w14:textId="77777777" w:rsidR="00DA3C8A" w:rsidRPr="0079710F" w:rsidRDefault="00DA3C8A" w:rsidP="0079710F">
      <w:r>
        <w:t>Based on the review of data from all completed and ongoing studies with baloxavir marboxil, no clear relationship between hypersensitivity events and baloxavir marboxil could be determined, as no AEs of anaphylaxis/anaphylactic reaction or other similar serious reactions were reported in baloxavir marboxil groups of completed or ongoing open-label clinical studies or in any treatment group of blinded ongoing studies.</w:t>
      </w:r>
    </w:p>
    <w:p w14:paraId="20FB8DBC" w14:textId="6DD322FE" w:rsidR="00DA3C8A" w:rsidRDefault="00DA3C8A" w:rsidP="0079710F">
      <w:r>
        <w:t xml:space="preserve">An estimated cumulative total of </w:t>
      </w:r>
      <w:r w:rsidR="0050178A">
        <w:t>[Information redacted]</w:t>
      </w:r>
      <w:r>
        <w:t xml:space="preserve"> </w:t>
      </w:r>
      <w:r w:rsidR="00BB6123">
        <w:t xml:space="preserve">patients </w:t>
      </w:r>
      <w:r>
        <w:t>have received baloxavir marboxil since March 2018. At the time of the initial submission to the TGA, the evaluation of hypersensitivi</w:t>
      </w:r>
      <w:r w:rsidR="00C249D3">
        <w:t>ty reactions received from post</w:t>
      </w:r>
      <w:r w:rsidR="00C249D3">
        <w:noBreakHyphen/>
      </w:r>
      <w:r>
        <w:t>marketing sources was ongoing. This evaluation h</w:t>
      </w:r>
      <w:r w:rsidR="00C249D3">
        <w:t>as now been completed, and the s</w:t>
      </w:r>
      <w:r>
        <w:t xml:space="preserve">ponsor is proposing to update its labelling to include adverse drug reaction text about hypersensitivity reactions. The intention to make this change was originally notified to the TGA </w:t>
      </w:r>
      <w:r w:rsidR="00C249D3">
        <w:t>on 12 June 2019, and the revised PI was</w:t>
      </w:r>
      <w:r>
        <w:t xml:space="preserve"> </w:t>
      </w:r>
      <w:r>
        <w:lastRenderedPageBreak/>
        <w:t xml:space="preserve">later included with the </w:t>
      </w:r>
      <w:r w:rsidR="00C249D3">
        <w:t>response to TGA questions</w:t>
      </w:r>
      <w:r>
        <w:t xml:space="preserve">. The Drug Safety Report 1095117 is also submitted with the </w:t>
      </w:r>
      <w:r w:rsidR="00C249D3">
        <w:t>response to TGA question</w:t>
      </w:r>
      <w:r w:rsidR="0050178A">
        <w:t>s</w:t>
      </w:r>
      <w:r w:rsidR="0079710F">
        <w:t>.</w:t>
      </w:r>
    </w:p>
    <w:p w14:paraId="6D7918D8" w14:textId="20141D74" w:rsidR="00DA3C8A" w:rsidRDefault="00DA3C8A" w:rsidP="0079710F">
      <w:r>
        <w:t>Due to the typically rare frequency of drug related h</w:t>
      </w:r>
      <w:r w:rsidR="00C249D3">
        <w:t>ypersensitivity reactions, post</w:t>
      </w:r>
      <w:r w:rsidR="00C249D3">
        <w:noBreakHyphen/>
      </w:r>
      <w:r>
        <w:t>marketing data are considered more likely to provide information to allow for the evaluation of these events. While large volumes of AE</w:t>
      </w:r>
      <w:r w:rsidR="00C249D3">
        <w:t>s may be received from the post</w:t>
      </w:r>
      <w:r w:rsidR="00C249D3">
        <w:noBreakHyphen/>
      </w:r>
      <w:r>
        <w:t>marketing phase, the majority of reports often lack sufficient detail for a full medical assessment and therefore these poorly documented cases are not considered to add to the weight of evidence when d</w:t>
      </w:r>
      <w:r w:rsidR="0079710F">
        <w:t>etermining causal relationship.</w:t>
      </w:r>
    </w:p>
    <w:p w14:paraId="59BB1579" w14:textId="2285721D" w:rsidR="00DA3C8A" w:rsidRDefault="00DA3C8A" w:rsidP="0079710F">
      <w:r>
        <w:t xml:space="preserve">Of the 29 SAEs of anaphylactic reaction, anaphylactic shock, and </w:t>
      </w:r>
      <w:proofErr w:type="spellStart"/>
      <w:r>
        <w:t>anaphylactoid</w:t>
      </w:r>
      <w:proofErr w:type="spellEnd"/>
      <w:r>
        <w:t xml:space="preserve"> reaction, 16 SAEs had insufficient information for medical assessment and 4 SAEs were confounded by concomitant medication or concurrent illness. Upon review of the 9 SAEs with no or limited confounding factors, 5 were considered to meet Sampson’s criteria of anaphylaxis.</w:t>
      </w:r>
      <w:r w:rsidR="00C249D3">
        <w:rPr>
          <w:rStyle w:val="FootnoteReference"/>
        </w:rPr>
        <w:footnoteReference w:id="7"/>
      </w:r>
      <w:r>
        <w:t xml:space="preserve"> For these events, the role of baloxavir marboxil could not be excluded. Finally, the 4 remaining SAEs were considered to be representative of a hypersensitivity or allergic response following treatment with baloxavir marboxil with patients typically experiencing swelling in the facial area or throa</w:t>
      </w:r>
      <w:r w:rsidR="0079710F">
        <w:t xml:space="preserve">t, skin eruption, or </w:t>
      </w:r>
      <w:proofErr w:type="spellStart"/>
      <w:r w:rsidR="0079710F">
        <w:t>urticaria</w:t>
      </w:r>
      <w:proofErr w:type="spellEnd"/>
      <w:r w:rsidR="0079710F">
        <w:t>.</w:t>
      </w:r>
    </w:p>
    <w:p w14:paraId="7933984C" w14:textId="392ADB42" w:rsidR="00DA3C8A" w:rsidRPr="0079710F" w:rsidRDefault="00DA3C8A" w:rsidP="0079710F">
      <w:r>
        <w:t xml:space="preserve">Within the categories of angioedema and </w:t>
      </w:r>
      <w:proofErr w:type="spellStart"/>
      <w:r>
        <w:t>urticaria</w:t>
      </w:r>
      <w:proofErr w:type="spellEnd"/>
      <w:r>
        <w:t xml:space="preserve">, a number of events (7 and 13 events, respectively) may be causally associated with baloxavir marboxil treatment. Severe cutaneous reactions are typically drug related and were therefore reviewed as a separate category. While one clear documented event of </w:t>
      </w:r>
      <w:r w:rsidR="00C249D3">
        <w:t>a</w:t>
      </w:r>
      <w:r w:rsidR="00C249D3" w:rsidRPr="00C249D3">
        <w:t xml:space="preserve">cute generalised </w:t>
      </w:r>
      <w:proofErr w:type="spellStart"/>
      <w:r w:rsidR="00C249D3" w:rsidRPr="00C249D3">
        <w:t>exanthematous</w:t>
      </w:r>
      <w:proofErr w:type="spellEnd"/>
      <w:r w:rsidR="00C249D3" w:rsidRPr="00C249D3">
        <w:t xml:space="preserve"> </w:t>
      </w:r>
      <w:proofErr w:type="spellStart"/>
      <w:r w:rsidR="00C249D3" w:rsidRPr="00C249D3">
        <w:t>pustulosis</w:t>
      </w:r>
      <w:proofErr w:type="spellEnd"/>
      <w:r w:rsidR="00C249D3" w:rsidRPr="00C249D3">
        <w:t xml:space="preserve"> </w:t>
      </w:r>
      <w:r w:rsidR="00C249D3">
        <w:t>(</w:t>
      </w:r>
      <w:r>
        <w:t>AGEP</w:t>
      </w:r>
      <w:r w:rsidR="00C249D3">
        <w:t>)</w:t>
      </w:r>
      <w:r>
        <w:t xml:space="preserve"> was reported, the remaining events assessed in this category were either considered confounded or too poorly documented for further assessment (as in the case of the two reports of </w:t>
      </w:r>
      <w:r w:rsidR="005C7576" w:rsidRPr="005C7576">
        <w:t xml:space="preserve">Stevens–Johnson </w:t>
      </w:r>
      <w:r w:rsidR="00AD2C5A">
        <w:t>s</w:t>
      </w:r>
      <w:r w:rsidR="005C7576" w:rsidRPr="005C7576">
        <w:t xml:space="preserve">yndrome </w:t>
      </w:r>
      <w:r w:rsidR="005C7576">
        <w:t>(</w:t>
      </w:r>
      <w:r>
        <w:t>SJS</w:t>
      </w:r>
      <w:r w:rsidR="005C7576">
        <w:t>)</w:t>
      </w:r>
      <w:r>
        <w:t>). The remaining hypersensitivity events were not considered to be related to the use of baloxavir marboxil, as these were either too poorly documented for further assessment or were considered to be confounded by the use of concomitant medications, reported co-suspec</w:t>
      </w:r>
      <w:r w:rsidR="0079710F">
        <w:t>t medication, or other factors.</w:t>
      </w:r>
    </w:p>
    <w:p w14:paraId="4B66978A" w14:textId="44FBF0C4" w:rsidR="00DA3C8A" w:rsidRDefault="00DA3C8A" w:rsidP="0079710F">
      <w:r>
        <w:t xml:space="preserve">Based on the review of the post-marketing data (up to February 2019), </w:t>
      </w:r>
      <w:r w:rsidR="005C7576">
        <w:t>the sponsor</w:t>
      </w:r>
      <w:r>
        <w:t xml:space="preserve"> believes that baloxavir marboxil is likely to be causally associated with hypersensitivity reactions characterized by the features of </w:t>
      </w:r>
      <w:proofErr w:type="spellStart"/>
      <w:r>
        <w:t>urticaria</w:t>
      </w:r>
      <w:proofErr w:type="spellEnd"/>
      <w:r>
        <w:t>, angioedema and anaphylaxis/anaphylactic reaction and recommends an update</w:t>
      </w:r>
      <w:r w:rsidR="0079710F">
        <w:t xml:space="preserve"> to the company core datasheet.</w:t>
      </w:r>
    </w:p>
    <w:p w14:paraId="39D073C2" w14:textId="7395CA0F" w:rsidR="00DA3C8A" w:rsidRPr="0079710F" w:rsidRDefault="00DA3C8A" w:rsidP="0079710F">
      <w:r>
        <w:t xml:space="preserve">In view of the serious </w:t>
      </w:r>
      <w:r w:rsidR="005C7576">
        <w:t>nature of these reactions, the D</w:t>
      </w:r>
      <w:r>
        <w:t>elegate is requesting that these reactions should b</w:t>
      </w:r>
      <w:r w:rsidR="005C7576">
        <w:t>e included in Section 4.4 ‘</w:t>
      </w:r>
      <w:r w:rsidR="007105F0">
        <w:t xml:space="preserve">Special Warnings and Precautions </w:t>
      </w:r>
      <w:r w:rsidR="000B6ED9">
        <w:t>for</w:t>
      </w:r>
      <w:r w:rsidR="007105F0">
        <w:t xml:space="preserve"> Use</w:t>
      </w:r>
      <w:r w:rsidR="005C7576">
        <w:t>’</w:t>
      </w:r>
      <w:r w:rsidR="0079710F">
        <w:t xml:space="preserve"> of the PI.</w:t>
      </w:r>
    </w:p>
    <w:p w14:paraId="0CF59F2A" w14:textId="77777777" w:rsidR="00DA3C8A" w:rsidRPr="0079710F" w:rsidRDefault="00DA3C8A" w:rsidP="0079710F">
      <w:pPr>
        <w:pStyle w:val="Heading5"/>
      </w:pPr>
      <w:r>
        <w:t>The effects of treatment-emergent amino acid</w:t>
      </w:r>
      <w:r>
        <w:rPr>
          <w:spacing w:val="-4"/>
        </w:rPr>
        <w:t xml:space="preserve"> </w:t>
      </w:r>
      <w:r>
        <w:t>substitutions</w:t>
      </w:r>
    </w:p>
    <w:p w14:paraId="45E7BEE3" w14:textId="582CA453" w:rsidR="00DA3C8A" w:rsidRDefault="00DA3C8A" w:rsidP="0079710F">
      <w:r>
        <w:t>The effects of treatment-emergent amino ac</w:t>
      </w:r>
      <w:r w:rsidR="005C7576">
        <w:t>id substitutions identified in S</w:t>
      </w:r>
      <w:r w:rsidR="007105F0">
        <w:t>tudies </w:t>
      </w:r>
      <w:r w:rsidR="00F14871">
        <w:t>1601T0831</w:t>
      </w:r>
      <w:r>
        <w:t xml:space="preserve">, </w:t>
      </w:r>
      <w:r w:rsidR="00F14871">
        <w:t>1518T0821</w:t>
      </w:r>
      <w:r>
        <w:t xml:space="preserve">, and </w:t>
      </w:r>
      <w:r w:rsidR="00F14871">
        <w:t>1601T0832</w:t>
      </w:r>
      <w:r>
        <w:t xml:space="preserve"> on drug susceptibility to baloxavir were investigated using recombinant viruses generated by reverse genetics techniques. In the absence of published criteria for indicating reduced susceptibility to baloxavir marboxil, the current </w:t>
      </w:r>
      <w:r w:rsidR="005C7576">
        <w:t>World Health Organization (</w:t>
      </w:r>
      <w:r>
        <w:t>WHO</w:t>
      </w:r>
      <w:r w:rsidR="005C7576">
        <w:t>)</w:t>
      </w:r>
      <w:r>
        <w:t xml:space="preserve"> guidelines for </w:t>
      </w:r>
      <w:proofErr w:type="spellStart"/>
      <w:r>
        <w:t>neuroaminidase</w:t>
      </w:r>
      <w:proofErr w:type="spellEnd"/>
      <w:r>
        <w:t xml:space="preserve"> inhi</w:t>
      </w:r>
      <w:r w:rsidR="005C7576">
        <w:t xml:space="preserve">bitors were applied; thus, a 10 </w:t>
      </w:r>
      <w:r>
        <w:t xml:space="preserve">fold change in the </w:t>
      </w:r>
      <w:r w:rsidR="005C7576">
        <w:t>half maximal effective concentration (</w:t>
      </w:r>
      <w:r>
        <w:t>EC</w:t>
      </w:r>
      <w:r w:rsidRPr="005C7576">
        <w:rPr>
          <w:vertAlign w:val="subscript"/>
        </w:rPr>
        <w:t>50</w:t>
      </w:r>
      <w:r w:rsidR="005C7576">
        <w:t>)</w:t>
      </w:r>
      <w:r>
        <w:t xml:space="preserve"> of baloxavir for the recombinant virus </w:t>
      </w:r>
      <w:proofErr w:type="spellStart"/>
      <w:r>
        <w:t>harboring</w:t>
      </w:r>
      <w:proofErr w:type="spellEnd"/>
      <w:r>
        <w:t xml:space="preserve"> the amino acid substitution to that of the wild type strain was used to indicate reduced susceptibility to bal</w:t>
      </w:r>
      <w:r w:rsidR="00A817BC">
        <w:t xml:space="preserve">oxavir for type A virus and a 5 </w:t>
      </w:r>
      <w:r>
        <w:t>fold change was used to indicated reduced susceptibility for type B vir</w:t>
      </w:r>
      <w:r w:rsidR="00A817BC">
        <w:t>us</w:t>
      </w:r>
      <w:r w:rsidR="0079710F">
        <w:t>.</w:t>
      </w:r>
      <w:r w:rsidR="005C7576">
        <w:rPr>
          <w:rStyle w:val="FootnoteReference"/>
        </w:rPr>
        <w:footnoteReference w:id="8"/>
      </w:r>
    </w:p>
    <w:p w14:paraId="6692DFE2" w14:textId="5E5F634B" w:rsidR="00DA3C8A" w:rsidRDefault="00A817BC" w:rsidP="0079710F">
      <w:r>
        <w:lastRenderedPageBreak/>
        <w:t xml:space="preserve">In </w:t>
      </w:r>
      <w:proofErr w:type="spellStart"/>
      <w:r>
        <w:t>OwH</w:t>
      </w:r>
      <w:proofErr w:type="spellEnd"/>
      <w:r>
        <w:t xml:space="preserve"> S</w:t>
      </w:r>
      <w:r w:rsidR="00DA3C8A">
        <w:t xml:space="preserve">tudies </w:t>
      </w:r>
      <w:r w:rsidR="00F14871">
        <w:t>1601T0831</w:t>
      </w:r>
      <w:r w:rsidR="00DA3C8A">
        <w:t xml:space="preserve"> and </w:t>
      </w:r>
      <w:r w:rsidR="00F14871">
        <w:t>1518T0821</w:t>
      </w:r>
      <w:r w:rsidR="00DA3C8A">
        <w:t>, treatment emergent amino acid substitutions in the PA gene exhibiting reduced susceptibility to baloxavir in recombinan</w:t>
      </w:r>
      <w:r>
        <w:t>t</w:t>
      </w:r>
      <w:r w:rsidR="00AD2C5A">
        <w:t xml:space="preserve"> influenza</w:t>
      </w:r>
      <w:r>
        <w:t xml:space="preserve"> strains were PA/I38T (A/H3N2 (fold change 48.90 to 56.59), A/H1N1 (fold change 27.24), B (</w:t>
      </w:r>
      <w:r w:rsidR="00DA3C8A">
        <w:t>fold change 5</w:t>
      </w:r>
      <w:r>
        <w:t>.76)), PA/I38F (A/H1N1 (fold change 10.61)), and PA/I38M (A/H3N2 (fold change 13.77)). In HR S</w:t>
      </w:r>
      <w:r w:rsidR="00DA3C8A">
        <w:t xml:space="preserve">tudy </w:t>
      </w:r>
      <w:r w:rsidR="00F14871">
        <w:t>1601T0832</w:t>
      </w:r>
      <w:r w:rsidR="00DA3C8A">
        <w:t>, treatment emergent amino acid substitutions in the PA gene exhibiting reduced susceptibility to baloxavir in recombinant strains were PA/I38T (A/H3N2, B), PA/I38M</w:t>
      </w:r>
      <w:r>
        <w:t xml:space="preserve"> (A/H3N2), and PA/I38N (A/H1N1 (fold change 23.66)). For all other treatment</w:t>
      </w:r>
      <w:r>
        <w:noBreakHyphen/>
      </w:r>
      <w:r w:rsidR="00DA3C8A">
        <w:t>emergent amino acid substitutions detected in these clinical studies, including all non-I38 substitutions, the fold change was &lt;</w:t>
      </w:r>
      <w:r>
        <w:t xml:space="preserve"> </w:t>
      </w:r>
      <w:r w:rsidR="00DA3C8A">
        <w:t>10 for type A virus and &lt;</w:t>
      </w:r>
      <w:r>
        <w:t xml:space="preserve"> </w:t>
      </w:r>
      <w:r w:rsidR="00DA3C8A">
        <w:t xml:space="preserve">5 for type B virus. Thus, overall, treatment emergent amino acid substitutions in the PA gene exhibiting reduced susceptibility to baloxavir in the </w:t>
      </w:r>
      <w:proofErr w:type="spellStart"/>
      <w:r w:rsidR="00DA3C8A">
        <w:t>OwH</w:t>
      </w:r>
      <w:proofErr w:type="spellEnd"/>
      <w:r w:rsidR="00DA3C8A">
        <w:t xml:space="preserve"> and HR studies were PA/I38T, F, M, and</w:t>
      </w:r>
      <w:r>
        <w:t xml:space="preserve"> N. The incidence of treatment-</w:t>
      </w:r>
      <w:r w:rsidR="00DA3C8A">
        <w:t>emergent PA/I38X substitutions in patients treat</w:t>
      </w:r>
      <w:r>
        <w:t>ed with ba</w:t>
      </w:r>
      <w:r w:rsidR="00DA3C8A">
        <w:t>loxavir marboxil in the three studies (</w:t>
      </w:r>
      <w:r>
        <w:t xml:space="preserve">Studies </w:t>
      </w:r>
      <w:r w:rsidR="00F14871">
        <w:t>1601T0831</w:t>
      </w:r>
      <w:r w:rsidR="00DA3C8A">
        <w:t xml:space="preserve">, </w:t>
      </w:r>
      <w:r w:rsidR="00F14871">
        <w:t>1601T0832</w:t>
      </w:r>
      <w:r w:rsidR="00DA3C8A">
        <w:t xml:space="preserve">, and </w:t>
      </w:r>
      <w:r w:rsidR="00F14871">
        <w:t>1518T0821</w:t>
      </w:r>
      <w:r w:rsidR="00DA3C8A">
        <w:t>)</w:t>
      </w:r>
      <w:r>
        <w:t xml:space="preserve"> is presented in Table 6,</w:t>
      </w:r>
      <w:r w:rsidR="0079710F">
        <w:t xml:space="preserve"> below.</w:t>
      </w:r>
    </w:p>
    <w:p w14:paraId="2BA3BDA4" w14:textId="584163A9" w:rsidR="00DA3C8A" w:rsidRDefault="00A817BC" w:rsidP="00A817BC">
      <w:pPr>
        <w:pStyle w:val="TableTitle"/>
      </w:pPr>
      <w:r>
        <w:t xml:space="preserve">Table </w:t>
      </w:r>
      <w:fldSimple w:instr=" SEQ Table \* ARABIC ">
        <w:r w:rsidR="00DD3E93">
          <w:rPr>
            <w:noProof/>
          </w:rPr>
          <w:t>6</w:t>
        </w:r>
      </w:fldSimple>
      <w:r>
        <w:t>: I</w:t>
      </w:r>
      <w:r w:rsidR="00DA3C8A">
        <w:t xml:space="preserve">ncidence of treatment-emergent </w:t>
      </w:r>
      <w:r>
        <w:t>p</w:t>
      </w:r>
      <w:r w:rsidRPr="00A817BC">
        <w:t xml:space="preserve">olymerase acidic protein </w:t>
      </w:r>
      <w:r w:rsidR="00DA3C8A">
        <w:t xml:space="preserve">/I38X substitutions in patients treated with </w:t>
      </w:r>
      <w:r>
        <w:t>baloxavir</w:t>
      </w:r>
      <w:r w:rsidR="00DA3C8A">
        <w:t xml:space="preserve"> marboxil in the three studies (</w:t>
      </w:r>
      <w:r>
        <w:t xml:space="preserve">Studies </w:t>
      </w:r>
      <w:r w:rsidR="00F14871">
        <w:t>1601T0831</w:t>
      </w:r>
      <w:r w:rsidR="00DA3C8A">
        <w:t xml:space="preserve">, </w:t>
      </w:r>
      <w:r w:rsidR="00F14871">
        <w:t>1601T0832</w:t>
      </w:r>
      <w:r w:rsidR="00DA3C8A">
        <w:t xml:space="preserve">, and </w:t>
      </w:r>
      <w:r w:rsidR="00F14871">
        <w:t>1518T0821</w:t>
      </w:r>
      <w:r w:rsidR="00DA3C8A">
        <w:t>)</w:t>
      </w:r>
    </w:p>
    <w:p w14:paraId="43AEFC91" w14:textId="77777777" w:rsidR="00DA3C8A" w:rsidRPr="0079710F" w:rsidRDefault="0079710F" w:rsidP="0079710F">
      <w:pPr>
        <w:rPr>
          <w:sz w:val="26"/>
        </w:rPr>
      </w:pPr>
      <w:r>
        <w:rPr>
          <w:noProof/>
          <w:lang w:eastAsia="en-AU"/>
        </w:rPr>
        <w:drawing>
          <wp:inline distT="0" distB="0" distL="0" distR="0" wp14:anchorId="5BD1E170" wp14:editId="07062D0E">
            <wp:extent cx="5400040" cy="1242482"/>
            <wp:effectExtent l="0" t="0" r="0" b="0"/>
            <wp:docPr id="13" name="image7.jpeg" descr="Incidence of treatment-emergent polymerase acidic protein /I38X substitutions in patients treated with baloxavir marboxil in the three studies (Studies 1601T0831, 1601T0832, and 1518T0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40" cy="1242482"/>
                    </a:xfrm>
                    <a:prstGeom prst="rect">
                      <a:avLst/>
                    </a:prstGeom>
                  </pic:spPr>
                </pic:pic>
              </a:graphicData>
            </a:graphic>
          </wp:inline>
        </w:drawing>
      </w:r>
    </w:p>
    <w:p w14:paraId="2B1C2529" w14:textId="143A7F00" w:rsidR="00DA3C8A" w:rsidRDefault="00A817BC" w:rsidP="00A817BC">
      <w:pPr>
        <w:pStyle w:val="TableTitle"/>
      </w:pPr>
      <w:r>
        <w:t xml:space="preserve">Table </w:t>
      </w:r>
      <w:fldSimple w:instr=" SEQ Table \* ARABIC ">
        <w:r w:rsidR="00DD3E93">
          <w:rPr>
            <w:noProof/>
          </w:rPr>
          <w:t>7</w:t>
        </w:r>
      </w:fldSimple>
      <w:r>
        <w:t xml:space="preserve">: </w:t>
      </w:r>
      <w:r w:rsidR="00DA3C8A">
        <w:t xml:space="preserve">Treatment-emergent amino acid substitutions in the </w:t>
      </w:r>
      <w:r>
        <w:t>polymerase acidic g</w:t>
      </w:r>
      <w:r w:rsidR="00DA3C8A">
        <w:t xml:space="preserve">ene associated </w:t>
      </w:r>
      <w:r>
        <w:t xml:space="preserve">with reduced susceptibility to baloxavir (Studies </w:t>
      </w:r>
      <w:r w:rsidR="00F14871">
        <w:t>1601T0831</w:t>
      </w:r>
      <w:r>
        <w:t xml:space="preserve">, </w:t>
      </w:r>
      <w:r w:rsidR="00F14871">
        <w:t>1518T0821</w:t>
      </w:r>
      <w:r>
        <w:t xml:space="preserve"> and </w:t>
      </w:r>
      <w:r w:rsidR="00F14871">
        <w:t>1601T0832</w:t>
      </w:r>
      <w:r w:rsidR="00DA3C8A">
        <w:t>)</w:t>
      </w:r>
    </w:p>
    <w:p w14:paraId="71CA719B" w14:textId="77777777" w:rsidR="0079710F" w:rsidRDefault="0079710F" w:rsidP="0079710F">
      <w:r>
        <w:rPr>
          <w:noProof/>
          <w:lang w:eastAsia="en-AU"/>
        </w:rPr>
        <w:drawing>
          <wp:inline distT="0" distB="0" distL="0" distR="0" wp14:anchorId="45338B94" wp14:editId="5CB783D8">
            <wp:extent cx="5728451" cy="1259586"/>
            <wp:effectExtent l="0" t="0" r="5715" b="0"/>
            <wp:docPr id="15" name="image8.jpeg" descr="Treatment-emergent amino acid substitutions in the polymerase acidic gene associated with reduced susceptibility to baloxavir (Studies 1601T0831, 1518T0821 and 1601T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28451" cy="1259586"/>
                    </a:xfrm>
                    <a:prstGeom prst="rect">
                      <a:avLst/>
                    </a:prstGeom>
                  </pic:spPr>
                </pic:pic>
              </a:graphicData>
            </a:graphic>
          </wp:inline>
        </w:drawing>
      </w:r>
    </w:p>
    <w:p w14:paraId="7E752DBB" w14:textId="56576213" w:rsidR="00DA3C8A" w:rsidRDefault="00DA3C8A" w:rsidP="0079710F">
      <w:r>
        <w:t>In term</w:t>
      </w:r>
      <w:r w:rsidR="00946683">
        <w:t>s of clinical impact, in Phase III</w:t>
      </w:r>
      <w:r>
        <w:t xml:space="preserve"> Study </w:t>
      </w:r>
      <w:r w:rsidR="00F14871">
        <w:t>1601T0831</w:t>
      </w:r>
      <w:r>
        <w:t>, the median TTAS in baloxavir marboxil-treated patients with a PA/I38 substitution was shorter than in the plac</w:t>
      </w:r>
      <w:r w:rsidR="0079710F">
        <w:t>ebo group (median difference: -</w:t>
      </w:r>
      <w:r w:rsidR="00946683">
        <w:t xml:space="preserve">17.2 </w:t>
      </w:r>
      <w:r>
        <w:t>hours) but numerically lo</w:t>
      </w:r>
      <w:r w:rsidR="007105F0">
        <w:t>nger than in baloxavir marboxil</w:t>
      </w:r>
      <w:r w:rsidR="007105F0">
        <w:noBreakHyphen/>
      </w:r>
      <w:r>
        <w:t>treated patients without a PA/I38 substitution (median difference: 12 hours). None of the patients in the placebo group had a PA/I38 substitution. Results for the time to alleviation of individual symptoms and the time to resolution of fever were overall consistent with those of the primary endpoint (TTAS). Baloxavir marboxil-treated patients with PA/I38 substitutions tended to have comparable or numerically shorter median times to alleviation/resolution than patients treated with placebo and numerically longer median times to alleviation/resolution than patients without</w:t>
      </w:r>
      <w:r>
        <w:rPr>
          <w:spacing w:val="-3"/>
        </w:rPr>
        <w:t xml:space="preserve"> </w:t>
      </w:r>
      <w:r w:rsidR="0079710F">
        <w:t>substitutions.</w:t>
      </w:r>
    </w:p>
    <w:p w14:paraId="70686AD2" w14:textId="51BA619B" w:rsidR="00DA3C8A" w:rsidRDefault="00DA3C8A" w:rsidP="0079710F">
      <w:r>
        <w:t xml:space="preserve">The sponsor should also provide the clinical impact analysis for the at </w:t>
      </w:r>
      <w:r w:rsidR="0079710F">
        <w:t xml:space="preserve">risk population in Study </w:t>
      </w:r>
      <w:r w:rsidR="00F14871">
        <w:t>1601T0832</w:t>
      </w:r>
      <w:r w:rsidR="0079710F">
        <w:t>.</w:t>
      </w:r>
    </w:p>
    <w:p w14:paraId="70D6FF49" w14:textId="7CD52EBA" w:rsidR="00DA3C8A" w:rsidRDefault="00DA3C8A" w:rsidP="0079710F">
      <w:r>
        <w:lastRenderedPageBreak/>
        <w:t>The public</w:t>
      </w:r>
      <w:r w:rsidR="00121236">
        <w:t>ly</w:t>
      </w:r>
      <w:r>
        <w:t xml:space="preserve"> available FDA assessment</w:t>
      </w:r>
      <w:r w:rsidR="00946683">
        <w:t xml:space="preserve"> report mentioned the following</w:t>
      </w:r>
      <w:r>
        <w:t>:</w:t>
      </w:r>
      <w:r w:rsidR="00946683">
        <w:rPr>
          <w:rStyle w:val="FootnoteReference"/>
        </w:rPr>
        <w:footnoteReference w:id="9"/>
      </w:r>
    </w:p>
    <w:p w14:paraId="030C7D3F" w14:textId="1F2613E1" w:rsidR="00DA3C8A" w:rsidRPr="0079710F" w:rsidRDefault="000B6ED9" w:rsidP="0079710F">
      <w:pPr>
        <w:ind w:left="720"/>
      </w:pPr>
      <w:r>
        <w:rPr>
          <w:i/>
        </w:rPr>
        <w:t>‘</w:t>
      </w:r>
      <w:r w:rsidR="00DA3C8A" w:rsidRPr="00121236">
        <w:rPr>
          <w:i/>
        </w:rPr>
        <w:t xml:space="preserve">In a pooled analysis of subjects </w:t>
      </w:r>
      <w:r w:rsidR="00121236" w:rsidRPr="00121236">
        <w:rPr>
          <w:i/>
        </w:rPr>
        <w:t>with type A virus infection in S</w:t>
      </w:r>
      <w:r w:rsidR="00DA3C8A" w:rsidRPr="00121236">
        <w:rPr>
          <w:i/>
        </w:rPr>
        <w:t xml:space="preserve">tudies </w:t>
      </w:r>
      <w:r w:rsidR="00F14871">
        <w:rPr>
          <w:i/>
        </w:rPr>
        <w:t>1518T0821</w:t>
      </w:r>
      <w:r w:rsidR="00DA3C8A" w:rsidRPr="00121236">
        <w:rPr>
          <w:i/>
        </w:rPr>
        <w:t xml:space="preserve"> and </w:t>
      </w:r>
      <w:r w:rsidR="00F14871">
        <w:rPr>
          <w:i/>
        </w:rPr>
        <w:t>1601T0831</w:t>
      </w:r>
      <w:r w:rsidR="00DA3C8A" w:rsidRPr="00121236">
        <w:t>,</w:t>
      </w:r>
      <w:r w:rsidR="00DA3C8A" w:rsidRPr="0079710F">
        <w:rPr>
          <w:i/>
        </w:rPr>
        <w:t xml:space="preserve"> </w:t>
      </w:r>
      <w:r w:rsidR="00DA3C8A" w:rsidRPr="0079710F">
        <w:t>treatment emergent resistance-associated substitutions were associated with an increase in the time to alleviation of symptoms (TTAS) in baloxavir marboxil treatment arms. The medians of the TTAS for subjects with and without a treatment-emergent resistance associated substitution were 63.32 (n</w:t>
      </w:r>
      <w:r w:rsidR="007105F0">
        <w:t> </w:t>
      </w:r>
      <w:r w:rsidR="00DA3C8A" w:rsidRPr="0079710F">
        <w:t>=</w:t>
      </w:r>
      <w:r w:rsidR="007105F0">
        <w:t> </w:t>
      </w:r>
      <w:r w:rsidR="00DA3C8A" w:rsidRPr="0079710F">
        <w:t>44) and 49.63 (n</w:t>
      </w:r>
      <w:r w:rsidR="00121236">
        <w:t xml:space="preserve"> </w:t>
      </w:r>
      <w:r w:rsidR="00DA3C8A" w:rsidRPr="0079710F">
        <w:t>=</w:t>
      </w:r>
      <w:r w:rsidR="00121236">
        <w:t xml:space="preserve"> </w:t>
      </w:r>
      <w:r w:rsidR="00DA3C8A" w:rsidRPr="0079710F">
        <w:t>413) hours, respectively, and the difference was statistically significant (p</w:t>
      </w:r>
      <w:r w:rsidR="00121236">
        <w:t xml:space="preserve"> </w:t>
      </w:r>
      <w:r w:rsidR="00DA3C8A" w:rsidRPr="0079710F">
        <w:t>=</w:t>
      </w:r>
      <w:r w:rsidR="00121236">
        <w:t xml:space="preserve"> </w:t>
      </w:r>
      <w:r w:rsidR="00DA3C8A" w:rsidRPr="0079710F">
        <w:t xml:space="preserve">0.0198, Mann-Whitney test). However, compared to placebo, the TTAS still remained shorter in subjects with </w:t>
      </w:r>
      <w:r w:rsidR="00121236" w:rsidRPr="00121236">
        <w:t>resistance-associated substitutions</w:t>
      </w:r>
      <w:r w:rsidR="00121236">
        <w:t xml:space="preserve"> (</w:t>
      </w:r>
      <w:r w:rsidR="00DA3C8A" w:rsidRPr="0079710F">
        <w:t>RAS</w:t>
      </w:r>
      <w:r w:rsidR="00121236">
        <w:t>)</w:t>
      </w:r>
      <w:r w:rsidR="00DA3C8A" w:rsidRPr="0079710F">
        <w:t xml:space="preserve"> treated with baloxavir marboxil.</w:t>
      </w:r>
    </w:p>
    <w:p w14:paraId="112D98C1" w14:textId="2FCF0840" w:rsidR="00DA3C8A" w:rsidRPr="0079710F" w:rsidRDefault="00DA3C8A" w:rsidP="0079710F">
      <w:pPr>
        <w:ind w:left="720"/>
        <w:rPr>
          <w:i/>
        </w:rPr>
      </w:pPr>
      <w:r w:rsidRPr="0079710F">
        <w:rPr>
          <w:i/>
        </w:rPr>
        <w:t>The presence of a resistance-associated substitution was associated with viral rebound and prolonged viral shedding (beyond Day 5) among balox</w:t>
      </w:r>
      <w:r w:rsidR="00121236">
        <w:rPr>
          <w:i/>
        </w:rPr>
        <w:t>avir marboxil</w:t>
      </w:r>
      <w:r w:rsidR="00121236">
        <w:rPr>
          <w:i/>
        </w:rPr>
        <w:noBreakHyphen/>
      </w:r>
      <w:r w:rsidR="0079710F">
        <w:rPr>
          <w:i/>
        </w:rPr>
        <w:t>treated subjects.</w:t>
      </w:r>
      <w:r w:rsidR="000B6ED9">
        <w:rPr>
          <w:i/>
        </w:rPr>
        <w:t>’</w:t>
      </w:r>
    </w:p>
    <w:p w14:paraId="1D49E6CE" w14:textId="5F2CE54D" w:rsidR="00DA3C8A" w:rsidRDefault="00DA3C8A" w:rsidP="0079710F">
      <w:r>
        <w:rPr>
          <w:color w:val="111111"/>
        </w:rPr>
        <w:t xml:space="preserve">The above analysis showed that in patients infected with mutant viruses with </w:t>
      </w:r>
      <w:r w:rsidR="00121236">
        <w:t>RAS</w:t>
      </w:r>
      <w:r>
        <w:t xml:space="preserve"> </w:t>
      </w:r>
      <w:r>
        <w:rPr>
          <w:color w:val="111111"/>
        </w:rPr>
        <w:t>exhibited prolonged virus shedding, and the median time to symptom alleviation was longer in baloxavir recipients infected with these viruses than those infected with viruses not harbouring these substitutions.</w:t>
      </w:r>
    </w:p>
    <w:p w14:paraId="37282A47" w14:textId="2B2E13DF" w:rsidR="00456765" w:rsidRPr="00456765" w:rsidRDefault="00121236" w:rsidP="00456765">
      <w:r>
        <w:t>The D</w:t>
      </w:r>
      <w:r w:rsidR="00DA3C8A">
        <w:t xml:space="preserve">elegate has requested the sponsor to </w:t>
      </w:r>
      <w:r>
        <w:t>review the PI statements under ‘</w:t>
      </w:r>
      <w:r w:rsidR="00DA3C8A">
        <w:t>Vi</w:t>
      </w:r>
      <w:r>
        <w:t>ral resistance/clinical studies’</w:t>
      </w:r>
      <w:r w:rsidR="00DA3C8A">
        <w:t xml:space="preserve"> </w:t>
      </w:r>
      <w:r>
        <w:t>section and in particular, the D</w:t>
      </w:r>
      <w:r w:rsidR="00DA3C8A">
        <w:t xml:space="preserve">elegate considers that the statement of </w:t>
      </w:r>
      <w:r>
        <w:rPr>
          <w:i/>
        </w:rPr>
        <w:t>‘</w:t>
      </w:r>
      <w:r w:rsidR="00DA3C8A">
        <w:rPr>
          <w:i/>
        </w:rPr>
        <w:t>Clinical impact of this re</w:t>
      </w:r>
      <w:r>
        <w:rPr>
          <w:i/>
        </w:rPr>
        <w:t>duced susceptibility is unknown’</w:t>
      </w:r>
      <w:r w:rsidR="00DA3C8A">
        <w:rPr>
          <w:i/>
        </w:rPr>
        <w:t xml:space="preserve"> </w:t>
      </w:r>
      <w:r w:rsidR="00DA3C8A">
        <w:t>is not accurate and should be revised.</w:t>
      </w:r>
    </w:p>
    <w:p w14:paraId="1AEABD89" w14:textId="77777777" w:rsidR="008E7846" w:rsidRDefault="00386150" w:rsidP="007B6132">
      <w:pPr>
        <w:pStyle w:val="Heading3"/>
        <w:rPr>
          <w:lang w:eastAsia="en-AU"/>
        </w:rPr>
      </w:pPr>
      <w:bookmarkStart w:id="43" w:name="_Toc42768445"/>
      <w:r>
        <w:rPr>
          <w:lang w:eastAsia="en-AU"/>
        </w:rPr>
        <w:t>Risk m</w:t>
      </w:r>
      <w:r w:rsidR="008E7846">
        <w:rPr>
          <w:lang w:eastAsia="en-AU"/>
        </w:rPr>
        <w:t xml:space="preserve">anagement </w:t>
      </w:r>
      <w:r>
        <w:rPr>
          <w:lang w:eastAsia="en-AU"/>
        </w:rPr>
        <w:t>p</w:t>
      </w:r>
      <w:r w:rsidR="008E7846">
        <w:rPr>
          <w:lang w:eastAsia="en-AU"/>
        </w:rPr>
        <w:t>lan</w:t>
      </w:r>
      <w:bookmarkEnd w:id="40"/>
      <w:bookmarkEnd w:id="43"/>
    </w:p>
    <w:p w14:paraId="3A75FF25" w14:textId="1D937926" w:rsidR="00F772CE" w:rsidRPr="00E724FC" w:rsidRDefault="00121236" w:rsidP="00F772CE">
      <w:pPr>
        <w:pStyle w:val="ListBullet"/>
      </w:pPr>
      <w:r>
        <w:t>The sponsor</w:t>
      </w:r>
      <w:r w:rsidR="00F772CE" w:rsidRPr="00E724FC">
        <w:t xml:space="preserve"> has submitted Core-</w:t>
      </w:r>
      <w:r>
        <w:t>risk management plan (</w:t>
      </w:r>
      <w:r w:rsidR="00F772CE" w:rsidRPr="00E724FC">
        <w:t>RMP</w:t>
      </w:r>
      <w:r>
        <w:t>)</w:t>
      </w:r>
      <w:r w:rsidR="00F772CE" w:rsidRPr="00E724FC">
        <w:t xml:space="preserve"> version 2.0 (27 March 2019; </w:t>
      </w:r>
      <w:r w:rsidR="00850898">
        <w:t>data lock point (</w:t>
      </w:r>
      <w:r w:rsidR="00F772CE" w:rsidRPr="00E724FC">
        <w:t>DLP</w:t>
      </w:r>
      <w:r w:rsidR="00850898">
        <w:t>)</w:t>
      </w:r>
      <w:r w:rsidR="00F772CE" w:rsidRPr="00E724FC">
        <w:t xml:space="preserve"> 11 March 2019) and </w:t>
      </w:r>
      <w:r w:rsidR="00850898">
        <w:t>Australian specific Annex (</w:t>
      </w:r>
      <w:r w:rsidR="00F772CE" w:rsidRPr="00E724FC">
        <w:t>ASA</w:t>
      </w:r>
      <w:r w:rsidR="00850898">
        <w:t>)</w:t>
      </w:r>
      <w:r w:rsidR="00F772CE" w:rsidRPr="00E724FC">
        <w:t xml:space="preserve"> version 1.0 (8 April 2019) in support of this application. </w:t>
      </w:r>
      <w:r w:rsidR="00F772CE">
        <w:t>No further updates of the above documents have been supplied in the sponsor’s response</w:t>
      </w:r>
      <w:r w:rsidR="00DD3E93">
        <w:t xml:space="preserve"> to TGA question</w:t>
      </w:r>
      <w:r w:rsidR="007105F0">
        <w:t>s</w:t>
      </w:r>
      <w:r w:rsidR="00F772CE">
        <w:t>.</w:t>
      </w:r>
    </w:p>
    <w:p w14:paraId="5BCA0821" w14:textId="6B8A5EDE" w:rsidR="00F772CE" w:rsidRDefault="00F772CE" w:rsidP="00F772CE">
      <w:pPr>
        <w:pStyle w:val="ListBullet"/>
      </w:pPr>
      <w:r w:rsidRPr="000A55D5">
        <w:t xml:space="preserve">The proposed summary of safety concerns and their associated risk monitoring and mitigation </w:t>
      </w:r>
      <w:r w:rsidR="00850898">
        <w:t xml:space="preserve">strategies are summarised below in </w:t>
      </w:r>
      <w:r w:rsidR="00DD3E93">
        <w:fldChar w:fldCharType="begin"/>
      </w:r>
      <w:r w:rsidR="00DD3E93">
        <w:instrText xml:space="preserve"> REF _Ref36387160 \h </w:instrText>
      </w:r>
      <w:r w:rsidR="00DD3E93">
        <w:fldChar w:fldCharType="separate"/>
      </w:r>
      <w:r w:rsidR="00DD3E93">
        <w:t xml:space="preserve">Table </w:t>
      </w:r>
      <w:r w:rsidR="00DD3E93">
        <w:rPr>
          <w:noProof/>
        </w:rPr>
        <w:t>8</w:t>
      </w:r>
      <w:r w:rsidR="00DD3E93">
        <w:fldChar w:fldCharType="end"/>
      </w:r>
      <w:r w:rsidR="00DD3E93">
        <w:t>.</w:t>
      </w:r>
      <w:r w:rsidR="00B3596B" w:rsidRPr="00B3596B">
        <w:rPr>
          <w:rStyle w:val="FootnoteReference"/>
          <w:lang w:eastAsia="en-AU"/>
        </w:rPr>
        <w:t xml:space="preserve"> </w:t>
      </w:r>
      <w:r w:rsidR="00B3596B">
        <w:rPr>
          <w:rStyle w:val="FootnoteReference"/>
          <w:lang w:eastAsia="en-AU"/>
        </w:rPr>
        <w:footnoteReference w:id="10"/>
      </w:r>
    </w:p>
    <w:p w14:paraId="5DAF6F21" w14:textId="67A6CCB7" w:rsidR="00850898" w:rsidRPr="000A55D5" w:rsidRDefault="00DD3E93" w:rsidP="007105F0">
      <w:pPr>
        <w:pStyle w:val="TableTitle"/>
      </w:pPr>
      <w:bookmarkStart w:id="44" w:name="_Ref36387160"/>
      <w:r>
        <w:lastRenderedPageBreak/>
        <w:t xml:space="preserve">Table </w:t>
      </w:r>
      <w:fldSimple w:instr=" SEQ Table \* ARABIC ">
        <w:r>
          <w:rPr>
            <w:noProof/>
          </w:rPr>
          <w:t>8</w:t>
        </w:r>
      </w:fldSimple>
      <w:bookmarkEnd w:id="44"/>
      <w:r>
        <w:t>: Summary of safety concerns</w:t>
      </w:r>
    </w:p>
    <w:tbl>
      <w:tblPr>
        <w:tblStyle w:val="TableTGAblue"/>
        <w:tblW w:w="5000" w:type="pct"/>
        <w:tblLook w:val="04A0" w:firstRow="1" w:lastRow="0" w:firstColumn="1" w:lastColumn="0" w:noHBand="0" w:noVBand="1"/>
      </w:tblPr>
      <w:tblGrid>
        <w:gridCol w:w="1667"/>
        <w:gridCol w:w="1453"/>
        <w:gridCol w:w="1230"/>
        <w:gridCol w:w="1452"/>
        <w:gridCol w:w="1230"/>
        <w:gridCol w:w="1452"/>
      </w:tblGrid>
      <w:tr w:rsidR="00F772CE" w:rsidRPr="00017E9C" w14:paraId="395B3A9D" w14:textId="77777777" w:rsidTr="00F772CE">
        <w:trPr>
          <w:cnfStyle w:val="100000000000" w:firstRow="1" w:lastRow="0" w:firstColumn="0" w:lastColumn="0" w:oddVBand="0" w:evenVBand="0" w:oddHBand="0" w:evenHBand="0" w:firstRowFirstColumn="0" w:firstRowLastColumn="0" w:lastRowFirstColumn="0" w:lastRowLastColumn="0"/>
          <w:trHeight w:val="131"/>
        </w:trPr>
        <w:tc>
          <w:tcPr>
            <w:tcW w:w="2106" w:type="pct"/>
            <w:gridSpan w:val="2"/>
            <w:vMerge w:val="restart"/>
          </w:tcPr>
          <w:p w14:paraId="70A6C416" w14:textId="77777777" w:rsidR="00F772CE" w:rsidRPr="00017E9C" w:rsidRDefault="00F772CE" w:rsidP="00017E9C">
            <w:pPr>
              <w:rPr>
                <w:b w:val="0"/>
                <w:sz w:val="20"/>
                <w:szCs w:val="20"/>
              </w:rPr>
            </w:pPr>
            <w:r w:rsidRPr="00017E9C">
              <w:rPr>
                <w:sz w:val="20"/>
                <w:szCs w:val="20"/>
              </w:rPr>
              <w:t>Summary of safety concerns</w:t>
            </w:r>
          </w:p>
        </w:tc>
        <w:tc>
          <w:tcPr>
            <w:tcW w:w="1447" w:type="pct"/>
            <w:gridSpan w:val="2"/>
          </w:tcPr>
          <w:p w14:paraId="48BD61A0" w14:textId="77777777" w:rsidR="00F772CE" w:rsidRPr="00017E9C" w:rsidRDefault="00F772CE" w:rsidP="00017E9C">
            <w:pPr>
              <w:rPr>
                <w:b w:val="0"/>
                <w:sz w:val="20"/>
                <w:szCs w:val="20"/>
              </w:rPr>
            </w:pPr>
            <w:r w:rsidRPr="00017E9C">
              <w:rPr>
                <w:sz w:val="20"/>
                <w:szCs w:val="20"/>
              </w:rPr>
              <w:t>Pharmacovigilance</w:t>
            </w:r>
          </w:p>
        </w:tc>
        <w:tc>
          <w:tcPr>
            <w:tcW w:w="1447" w:type="pct"/>
            <w:gridSpan w:val="2"/>
          </w:tcPr>
          <w:p w14:paraId="245704AE" w14:textId="77777777" w:rsidR="00F772CE" w:rsidRPr="00017E9C" w:rsidRDefault="00F772CE" w:rsidP="00017E9C">
            <w:pPr>
              <w:rPr>
                <w:b w:val="0"/>
                <w:sz w:val="20"/>
                <w:szCs w:val="20"/>
              </w:rPr>
            </w:pPr>
            <w:r w:rsidRPr="00017E9C">
              <w:rPr>
                <w:sz w:val="20"/>
                <w:szCs w:val="20"/>
              </w:rPr>
              <w:t>Risk Minimisation</w:t>
            </w:r>
          </w:p>
        </w:tc>
      </w:tr>
      <w:tr w:rsidR="00F772CE" w:rsidRPr="00017E9C" w14:paraId="27C60348" w14:textId="77777777" w:rsidTr="00F772CE">
        <w:trPr>
          <w:trHeight w:val="150"/>
        </w:trPr>
        <w:tc>
          <w:tcPr>
            <w:tcW w:w="2106" w:type="pct"/>
            <w:gridSpan w:val="2"/>
            <w:vMerge/>
          </w:tcPr>
          <w:p w14:paraId="7BE463BC" w14:textId="77777777" w:rsidR="00F772CE" w:rsidRPr="00017E9C" w:rsidRDefault="00F772CE" w:rsidP="00017E9C">
            <w:pPr>
              <w:rPr>
                <w:sz w:val="20"/>
                <w:szCs w:val="20"/>
              </w:rPr>
            </w:pPr>
          </w:p>
        </w:tc>
        <w:tc>
          <w:tcPr>
            <w:tcW w:w="666" w:type="pct"/>
          </w:tcPr>
          <w:p w14:paraId="03D3272D" w14:textId="77777777" w:rsidR="00F772CE" w:rsidRPr="00017E9C" w:rsidRDefault="00F772CE" w:rsidP="00017E9C">
            <w:pPr>
              <w:rPr>
                <w:sz w:val="20"/>
                <w:szCs w:val="20"/>
              </w:rPr>
            </w:pPr>
            <w:r w:rsidRPr="00017E9C">
              <w:rPr>
                <w:sz w:val="20"/>
                <w:szCs w:val="20"/>
              </w:rPr>
              <w:t>Routine</w:t>
            </w:r>
          </w:p>
        </w:tc>
        <w:tc>
          <w:tcPr>
            <w:tcW w:w="781" w:type="pct"/>
          </w:tcPr>
          <w:p w14:paraId="569290D5" w14:textId="77777777" w:rsidR="00F772CE" w:rsidRPr="00017E9C" w:rsidRDefault="00F772CE" w:rsidP="00017E9C">
            <w:pPr>
              <w:rPr>
                <w:sz w:val="20"/>
                <w:szCs w:val="20"/>
              </w:rPr>
            </w:pPr>
            <w:r w:rsidRPr="00017E9C">
              <w:rPr>
                <w:sz w:val="20"/>
                <w:szCs w:val="20"/>
              </w:rPr>
              <w:t>Additional</w:t>
            </w:r>
          </w:p>
        </w:tc>
        <w:tc>
          <w:tcPr>
            <w:tcW w:w="666" w:type="pct"/>
          </w:tcPr>
          <w:p w14:paraId="4FCB3104" w14:textId="77777777" w:rsidR="00F772CE" w:rsidRPr="00017E9C" w:rsidRDefault="00F772CE" w:rsidP="00017E9C">
            <w:pPr>
              <w:rPr>
                <w:sz w:val="20"/>
                <w:szCs w:val="20"/>
              </w:rPr>
            </w:pPr>
            <w:r w:rsidRPr="00017E9C">
              <w:rPr>
                <w:sz w:val="20"/>
                <w:szCs w:val="20"/>
              </w:rPr>
              <w:t>Routine</w:t>
            </w:r>
          </w:p>
        </w:tc>
        <w:tc>
          <w:tcPr>
            <w:tcW w:w="781" w:type="pct"/>
          </w:tcPr>
          <w:p w14:paraId="41244709" w14:textId="77777777" w:rsidR="00F772CE" w:rsidRPr="00017E9C" w:rsidRDefault="00F772CE" w:rsidP="00017E9C">
            <w:pPr>
              <w:rPr>
                <w:sz w:val="20"/>
                <w:szCs w:val="20"/>
              </w:rPr>
            </w:pPr>
            <w:r w:rsidRPr="00017E9C">
              <w:rPr>
                <w:sz w:val="20"/>
                <w:szCs w:val="20"/>
              </w:rPr>
              <w:t>Additional</w:t>
            </w:r>
          </w:p>
        </w:tc>
      </w:tr>
      <w:tr w:rsidR="00F772CE" w:rsidRPr="00017E9C" w14:paraId="65A3A7C9" w14:textId="77777777" w:rsidTr="00F772CE">
        <w:trPr>
          <w:trHeight w:val="789"/>
        </w:trPr>
        <w:tc>
          <w:tcPr>
            <w:tcW w:w="1077" w:type="pct"/>
          </w:tcPr>
          <w:p w14:paraId="7278A0EB" w14:textId="77777777" w:rsidR="00F772CE" w:rsidRPr="00017E9C" w:rsidRDefault="00F772CE" w:rsidP="00017E9C">
            <w:pPr>
              <w:rPr>
                <w:sz w:val="20"/>
                <w:szCs w:val="20"/>
              </w:rPr>
            </w:pPr>
            <w:r w:rsidRPr="00017E9C">
              <w:rPr>
                <w:sz w:val="20"/>
                <w:szCs w:val="20"/>
              </w:rPr>
              <w:t>Important identified risks</w:t>
            </w:r>
          </w:p>
        </w:tc>
        <w:tc>
          <w:tcPr>
            <w:tcW w:w="1029" w:type="pct"/>
          </w:tcPr>
          <w:p w14:paraId="18C24751" w14:textId="77777777" w:rsidR="00F772CE" w:rsidRPr="00017E9C" w:rsidRDefault="00F772CE" w:rsidP="00017E9C">
            <w:pPr>
              <w:rPr>
                <w:sz w:val="20"/>
                <w:szCs w:val="20"/>
                <w:highlight w:val="yellow"/>
              </w:rPr>
            </w:pPr>
            <w:r w:rsidRPr="00017E9C">
              <w:rPr>
                <w:sz w:val="20"/>
                <w:szCs w:val="20"/>
              </w:rPr>
              <w:t>None</w:t>
            </w:r>
          </w:p>
        </w:tc>
        <w:tc>
          <w:tcPr>
            <w:tcW w:w="666" w:type="pct"/>
          </w:tcPr>
          <w:p w14:paraId="7036B049" w14:textId="77777777" w:rsidR="00F772CE" w:rsidRPr="00017E9C" w:rsidRDefault="00F772CE" w:rsidP="00017E9C">
            <w:pPr>
              <w:rPr>
                <w:sz w:val="20"/>
                <w:szCs w:val="20"/>
                <w:highlight w:val="yellow"/>
              </w:rPr>
            </w:pPr>
            <w:r w:rsidRPr="00017E9C">
              <w:rPr>
                <w:sz w:val="20"/>
                <w:szCs w:val="20"/>
              </w:rPr>
              <w:t>–</w:t>
            </w:r>
          </w:p>
        </w:tc>
        <w:tc>
          <w:tcPr>
            <w:tcW w:w="781" w:type="pct"/>
          </w:tcPr>
          <w:p w14:paraId="7D15D3C1" w14:textId="77777777" w:rsidR="00F772CE" w:rsidRPr="00017E9C" w:rsidRDefault="00F772CE" w:rsidP="00017E9C">
            <w:pPr>
              <w:rPr>
                <w:sz w:val="20"/>
                <w:szCs w:val="20"/>
                <w:highlight w:val="yellow"/>
              </w:rPr>
            </w:pPr>
            <w:r w:rsidRPr="00017E9C">
              <w:rPr>
                <w:sz w:val="20"/>
                <w:szCs w:val="20"/>
              </w:rPr>
              <w:t>–</w:t>
            </w:r>
          </w:p>
        </w:tc>
        <w:tc>
          <w:tcPr>
            <w:tcW w:w="666" w:type="pct"/>
          </w:tcPr>
          <w:p w14:paraId="4969A167" w14:textId="77777777" w:rsidR="00F772CE" w:rsidRPr="00017E9C" w:rsidRDefault="00F772CE" w:rsidP="00017E9C">
            <w:pPr>
              <w:rPr>
                <w:sz w:val="20"/>
                <w:szCs w:val="20"/>
                <w:highlight w:val="yellow"/>
              </w:rPr>
            </w:pPr>
            <w:r w:rsidRPr="00017E9C">
              <w:rPr>
                <w:sz w:val="20"/>
                <w:szCs w:val="20"/>
              </w:rPr>
              <w:t>–</w:t>
            </w:r>
          </w:p>
        </w:tc>
        <w:tc>
          <w:tcPr>
            <w:tcW w:w="781" w:type="pct"/>
          </w:tcPr>
          <w:p w14:paraId="7461C3DB" w14:textId="77777777" w:rsidR="00F772CE" w:rsidRPr="00017E9C" w:rsidRDefault="00F772CE" w:rsidP="00017E9C">
            <w:pPr>
              <w:rPr>
                <w:sz w:val="20"/>
                <w:szCs w:val="20"/>
                <w:highlight w:val="yellow"/>
              </w:rPr>
            </w:pPr>
            <w:r w:rsidRPr="00017E9C">
              <w:rPr>
                <w:sz w:val="20"/>
                <w:szCs w:val="20"/>
              </w:rPr>
              <w:t>–</w:t>
            </w:r>
          </w:p>
        </w:tc>
      </w:tr>
      <w:tr w:rsidR="00F772CE" w:rsidRPr="00017E9C" w14:paraId="744EEAB5" w14:textId="77777777" w:rsidTr="00F772CE">
        <w:trPr>
          <w:trHeight w:val="789"/>
        </w:trPr>
        <w:tc>
          <w:tcPr>
            <w:tcW w:w="1077" w:type="pct"/>
          </w:tcPr>
          <w:p w14:paraId="5268B458" w14:textId="77777777" w:rsidR="00F772CE" w:rsidRPr="00017E9C" w:rsidRDefault="00F772CE" w:rsidP="00017E9C">
            <w:pPr>
              <w:rPr>
                <w:b/>
                <w:sz w:val="20"/>
                <w:szCs w:val="20"/>
              </w:rPr>
            </w:pPr>
            <w:r w:rsidRPr="00017E9C">
              <w:rPr>
                <w:b/>
                <w:sz w:val="20"/>
                <w:szCs w:val="20"/>
              </w:rPr>
              <w:t>Important potential risks</w:t>
            </w:r>
          </w:p>
        </w:tc>
        <w:tc>
          <w:tcPr>
            <w:tcW w:w="1029" w:type="pct"/>
          </w:tcPr>
          <w:p w14:paraId="15DB6425" w14:textId="77777777" w:rsidR="00F772CE" w:rsidRPr="00017E9C" w:rsidRDefault="00F772CE" w:rsidP="00017E9C">
            <w:pPr>
              <w:rPr>
                <w:sz w:val="20"/>
                <w:szCs w:val="20"/>
                <w:highlight w:val="yellow"/>
              </w:rPr>
            </w:pPr>
            <w:r w:rsidRPr="00017E9C">
              <w:rPr>
                <w:sz w:val="20"/>
                <w:szCs w:val="20"/>
              </w:rPr>
              <w:t>None</w:t>
            </w:r>
          </w:p>
        </w:tc>
        <w:tc>
          <w:tcPr>
            <w:tcW w:w="666" w:type="pct"/>
          </w:tcPr>
          <w:p w14:paraId="1C9DA08E" w14:textId="77777777" w:rsidR="00F772CE" w:rsidRPr="00017E9C" w:rsidRDefault="00F772CE" w:rsidP="00017E9C">
            <w:pPr>
              <w:rPr>
                <w:sz w:val="20"/>
                <w:szCs w:val="20"/>
                <w:highlight w:val="yellow"/>
              </w:rPr>
            </w:pPr>
            <w:r w:rsidRPr="00017E9C">
              <w:rPr>
                <w:sz w:val="20"/>
                <w:szCs w:val="20"/>
              </w:rPr>
              <w:t>–</w:t>
            </w:r>
          </w:p>
        </w:tc>
        <w:tc>
          <w:tcPr>
            <w:tcW w:w="781" w:type="pct"/>
          </w:tcPr>
          <w:p w14:paraId="66253B81" w14:textId="77777777" w:rsidR="00F772CE" w:rsidRPr="00017E9C" w:rsidRDefault="00F772CE" w:rsidP="00017E9C">
            <w:pPr>
              <w:rPr>
                <w:sz w:val="20"/>
                <w:szCs w:val="20"/>
                <w:highlight w:val="yellow"/>
              </w:rPr>
            </w:pPr>
            <w:r w:rsidRPr="00017E9C">
              <w:rPr>
                <w:sz w:val="20"/>
                <w:szCs w:val="20"/>
              </w:rPr>
              <w:t>–</w:t>
            </w:r>
          </w:p>
        </w:tc>
        <w:tc>
          <w:tcPr>
            <w:tcW w:w="666" w:type="pct"/>
          </w:tcPr>
          <w:p w14:paraId="3D68AE7D" w14:textId="77777777" w:rsidR="00F772CE" w:rsidRPr="00017E9C" w:rsidRDefault="00F772CE" w:rsidP="00017E9C">
            <w:pPr>
              <w:rPr>
                <w:sz w:val="20"/>
                <w:szCs w:val="20"/>
                <w:highlight w:val="yellow"/>
              </w:rPr>
            </w:pPr>
            <w:r w:rsidRPr="00017E9C">
              <w:rPr>
                <w:sz w:val="20"/>
                <w:szCs w:val="20"/>
              </w:rPr>
              <w:t>–</w:t>
            </w:r>
          </w:p>
        </w:tc>
        <w:tc>
          <w:tcPr>
            <w:tcW w:w="781" w:type="pct"/>
          </w:tcPr>
          <w:p w14:paraId="73FAB717" w14:textId="77777777" w:rsidR="00F772CE" w:rsidRPr="00017E9C" w:rsidRDefault="00F772CE" w:rsidP="00017E9C">
            <w:pPr>
              <w:rPr>
                <w:sz w:val="20"/>
                <w:szCs w:val="20"/>
                <w:highlight w:val="yellow"/>
              </w:rPr>
            </w:pPr>
            <w:r w:rsidRPr="00017E9C">
              <w:rPr>
                <w:sz w:val="20"/>
                <w:szCs w:val="20"/>
              </w:rPr>
              <w:t>–</w:t>
            </w:r>
          </w:p>
        </w:tc>
      </w:tr>
      <w:tr w:rsidR="00F772CE" w:rsidRPr="00017E9C" w14:paraId="0D60231F" w14:textId="77777777" w:rsidTr="00F772CE">
        <w:trPr>
          <w:trHeight w:val="592"/>
        </w:trPr>
        <w:tc>
          <w:tcPr>
            <w:tcW w:w="1077" w:type="pct"/>
          </w:tcPr>
          <w:p w14:paraId="128F1D9D" w14:textId="77777777" w:rsidR="00F772CE" w:rsidRPr="00017E9C" w:rsidRDefault="00F772CE" w:rsidP="00017E9C">
            <w:pPr>
              <w:rPr>
                <w:b/>
                <w:sz w:val="20"/>
                <w:szCs w:val="20"/>
              </w:rPr>
            </w:pPr>
            <w:r w:rsidRPr="00017E9C">
              <w:rPr>
                <w:b/>
                <w:sz w:val="20"/>
                <w:szCs w:val="20"/>
              </w:rPr>
              <w:t>Missing information</w:t>
            </w:r>
          </w:p>
        </w:tc>
        <w:tc>
          <w:tcPr>
            <w:tcW w:w="1029" w:type="pct"/>
          </w:tcPr>
          <w:p w14:paraId="176FCD41" w14:textId="77777777" w:rsidR="00F772CE" w:rsidRPr="00017E9C" w:rsidRDefault="00F772CE" w:rsidP="00017E9C">
            <w:pPr>
              <w:rPr>
                <w:sz w:val="20"/>
                <w:szCs w:val="20"/>
              </w:rPr>
            </w:pPr>
            <w:r w:rsidRPr="00017E9C">
              <w:rPr>
                <w:sz w:val="20"/>
                <w:szCs w:val="20"/>
              </w:rPr>
              <w:t xml:space="preserve">Use in pregnant and lactating women </w:t>
            </w:r>
          </w:p>
        </w:tc>
        <w:tc>
          <w:tcPr>
            <w:tcW w:w="666" w:type="pct"/>
          </w:tcPr>
          <w:p w14:paraId="3721F973" w14:textId="77777777" w:rsidR="00F772CE" w:rsidRPr="00017E9C" w:rsidRDefault="00F772CE" w:rsidP="00017E9C">
            <w:pPr>
              <w:rPr>
                <w:sz w:val="20"/>
                <w:szCs w:val="20"/>
              </w:rPr>
            </w:pPr>
            <w:r w:rsidRPr="00017E9C">
              <w:rPr>
                <w:sz w:val="20"/>
                <w:szCs w:val="20"/>
              </w:rPr>
              <w:sym w:font="Wingdings" w:char="F0FC"/>
            </w:r>
          </w:p>
        </w:tc>
        <w:tc>
          <w:tcPr>
            <w:tcW w:w="781" w:type="pct"/>
          </w:tcPr>
          <w:p w14:paraId="2D6B8B84" w14:textId="77777777" w:rsidR="00F772CE" w:rsidRPr="00017E9C" w:rsidRDefault="00F772CE" w:rsidP="00017E9C">
            <w:pPr>
              <w:rPr>
                <w:sz w:val="20"/>
                <w:szCs w:val="20"/>
              </w:rPr>
            </w:pPr>
            <w:r w:rsidRPr="00017E9C">
              <w:rPr>
                <w:sz w:val="20"/>
                <w:szCs w:val="20"/>
              </w:rPr>
              <w:t>–</w:t>
            </w:r>
          </w:p>
        </w:tc>
        <w:tc>
          <w:tcPr>
            <w:tcW w:w="666" w:type="pct"/>
          </w:tcPr>
          <w:p w14:paraId="11D41F86" w14:textId="77777777" w:rsidR="00F772CE" w:rsidRPr="00017E9C" w:rsidRDefault="00F772CE" w:rsidP="00017E9C">
            <w:pPr>
              <w:rPr>
                <w:sz w:val="20"/>
                <w:szCs w:val="20"/>
              </w:rPr>
            </w:pPr>
            <w:r w:rsidRPr="00017E9C">
              <w:rPr>
                <w:sz w:val="20"/>
                <w:szCs w:val="20"/>
              </w:rPr>
              <w:sym w:font="Wingdings" w:char="F0FC"/>
            </w:r>
          </w:p>
        </w:tc>
        <w:tc>
          <w:tcPr>
            <w:tcW w:w="781" w:type="pct"/>
          </w:tcPr>
          <w:p w14:paraId="11C9FF9F" w14:textId="77777777" w:rsidR="00F772CE" w:rsidRPr="00017E9C" w:rsidRDefault="00F772CE" w:rsidP="00017E9C">
            <w:pPr>
              <w:rPr>
                <w:sz w:val="20"/>
                <w:szCs w:val="20"/>
              </w:rPr>
            </w:pPr>
            <w:r w:rsidRPr="00017E9C">
              <w:rPr>
                <w:sz w:val="20"/>
                <w:szCs w:val="20"/>
              </w:rPr>
              <w:t>–</w:t>
            </w:r>
          </w:p>
        </w:tc>
      </w:tr>
    </w:tbl>
    <w:p w14:paraId="3C30241E" w14:textId="77777777" w:rsidR="00563583" w:rsidRDefault="00563583" w:rsidP="00F772CE">
      <w:r>
        <w:t>The evaluator is of the view that the routine pharmacovigilance activities to monitor th</w:t>
      </w:r>
      <w:r w:rsidR="00F772CE">
        <w:t>e safety concern is acceptable.</w:t>
      </w:r>
    </w:p>
    <w:p w14:paraId="1DE67428" w14:textId="4B0BF5FA" w:rsidR="008E7846" w:rsidRDefault="00DD3E93" w:rsidP="00F772CE">
      <w:r>
        <w:t>The D</w:t>
      </w:r>
      <w:r w:rsidR="00563583">
        <w:t xml:space="preserve">elegate noted that the sponsor has agreed to provide the FDA with annual update on the emergence of resistance as a post-marketing commitment, and the update will include information from clinical trials, national and international databases, and published literature. The sponsor should also provide TGA with this information. This information can be provided with the </w:t>
      </w:r>
      <w:r>
        <w:t xml:space="preserve">periodic safety update reports </w:t>
      </w:r>
      <w:r w:rsidR="00563583">
        <w:t>(PSURs).</w:t>
      </w:r>
    </w:p>
    <w:p w14:paraId="2D02F388" w14:textId="77777777" w:rsidR="008E7846" w:rsidRDefault="00AA0ED0" w:rsidP="008E7846">
      <w:pPr>
        <w:pStyle w:val="Heading3"/>
      </w:pPr>
      <w:bookmarkStart w:id="45" w:name="_Toc247691531"/>
      <w:bookmarkStart w:id="46" w:name="_Toc314842515"/>
      <w:bookmarkStart w:id="47" w:name="_Toc196046505"/>
      <w:bookmarkStart w:id="48" w:name="_Toc196046949"/>
      <w:bookmarkStart w:id="49" w:name="_Toc42768446"/>
      <w:r>
        <w:t>Risk-benefit a</w:t>
      </w:r>
      <w:r w:rsidR="008E7846">
        <w:t>nalysis</w:t>
      </w:r>
      <w:bookmarkEnd w:id="45"/>
      <w:bookmarkEnd w:id="46"/>
      <w:bookmarkEnd w:id="49"/>
    </w:p>
    <w:p w14:paraId="65456971" w14:textId="77777777" w:rsidR="00D23139" w:rsidRDefault="00B3596B" w:rsidP="00D23139">
      <w:pPr>
        <w:pStyle w:val="Heading4"/>
      </w:pPr>
      <w:r>
        <w:t>Delegate’s considerations</w:t>
      </w:r>
    </w:p>
    <w:p w14:paraId="32EB075E" w14:textId="742902F1" w:rsidR="00DA3C8A" w:rsidRDefault="00DA3C8A" w:rsidP="0079710F">
      <w:r>
        <w:t xml:space="preserve">There are currently two classes of influenza anti-viral medications registered in Australia: M2 blockers (amantadine) and </w:t>
      </w:r>
      <w:r w:rsidR="00781C61">
        <w:t>NAIs (</w:t>
      </w:r>
      <w:proofErr w:type="spellStart"/>
      <w:r>
        <w:t>oseltamivir</w:t>
      </w:r>
      <w:proofErr w:type="spellEnd"/>
      <w:r>
        <w:t xml:space="preserve">, </w:t>
      </w:r>
      <w:proofErr w:type="spellStart"/>
      <w:r>
        <w:t>z</w:t>
      </w:r>
      <w:r w:rsidR="00781C61">
        <w:t>anamivir</w:t>
      </w:r>
      <w:proofErr w:type="spellEnd"/>
      <w:r w:rsidR="00781C61">
        <w:t xml:space="preserve"> and </w:t>
      </w:r>
      <w:proofErr w:type="spellStart"/>
      <w:r w:rsidR="00781C61">
        <w:t>peramivir</w:t>
      </w:r>
      <w:proofErr w:type="spellEnd"/>
      <w:r w:rsidR="00781C61">
        <w:t>). The M2 </w:t>
      </w:r>
      <w:r>
        <w:t xml:space="preserve">blockers have become ineffective due to widespread, transmissible resistance; treatment of influenza is therefore limited to </w:t>
      </w:r>
      <w:r w:rsidR="00781C61">
        <w:t>NAIs</w:t>
      </w:r>
      <w:r>
        <w:t>. There is a need for an easily administered antiviral drug with a new mechanism of action and good antiviral efficacy.</w:t>
      </w:r>
    </w:p>
    <w:p w14:paraId="7D866987" w14:textId="77777777" w:rsidR="00DA3C8A" w:rsidRDefault="00DA3C8A" w:rsidP="0079710F">
      <w:r>
        <w:t xml:space="preserve">Baloxavir marboxil </w:t>
      </w:r>
      <w:r>
        <w:rPr>
          <w:color w:val="111111"/>
        </w:rPr>
        <w:t xml:space="preserve">targets a different site of the influenza virus to that of the NAIs. Baloxavir marboxil inhibits the endonuclease of the viral polymerase complex of influenza A and B viruses </w:t>
      </w:r>
      <w:r>
        <w:t xml:space="preserve">and </w:t>
      </w:r>
      <w:r>
        <w:rPr>
          <w:color w:val="111111"/>
        </w:rPr>
        <w:t>block the production of the primers necessary for transcription of the viral mRNA.</w:t>
      </w:r>
    </w:p>
    <w:p w14:paraId="288B4BB7" w14:textId="3B19BF97" w:rsidR="00DA3C8A" w:rsidRPr="0079710F" w:rsidRDefault="00DA3C8A" w:rsidP="0079710F">
      <w:r>
        <w:t>Based on the clinical evaluation,</w:t>
      </w:r>
      <w:r w:rsidR="00781C61">
        <w:t xml:space="preserve"> the D</w:t>
      </w:r>
      <w:r>
        <w:t>elegate is of the view that the results from the submitted studies have demonstrated the favourable benefit risk balance for the use of baloxavir marboxil, at the proposed dosage regimen, for the treatment of uncomplicated influenza infection in patients aged 12 and above who have been symptomatic for no more than 48 hours. The positive benefit risk balance is demonstrated in patients who are otherwise healthy as well as in patients who are at high risk of developin</w:t>
      </w:r>
      <w:r w:rsidR="00781C61">
        <w:t>g influenza complications. The D</w:t>
      </w:r>
      <w:r>
        <w:t>elegate is of the view that th</w:t>
      </w:r>
      <w:r w:rsidR="00781C61">
        <w:t>ere is an advantage of a single</w:t>
      </w:r>
      <w:r>
        <w:t xml:space="preserve"> dose of baloxavir marboxil versus </w:t>
      </w:r>
      <w:proofErr w:type="spellStart"/>
      <w:r>
        <w:t>oseltamivir</w:t>
      </w:r>
      <w:proofErr w:type="spellEnd"/>
      <w:r>
        <w:t xml:space="preserve"> which has to b</w:t>
      </w:r>
      <w:r w:rsidR="0079710F">
        <w:t>e taken twice daily for 5 days.</w:t>
      </w:r>
    </w:p>
    <w:p w14:paraId="02E48613" w14:textId="0F12882B" w:rsidR="00456765" w:rsidRDefault="00DA3C8A" w:rsidP="0079710F">
      <w:r>
        <w:t>It is noted that there is inconsistency with regards to the results in patients infected with influenza B</w:t>
      </w:r>
      <w:r w:rsidR="00781C61">
        <w:t xml:space="preserve"> virus, the D</w:t>
      </w:r>
      <w:r>
        <w:t>elegate agrees this may due to small number of patients infected with B type virus</w:t>
      </w:r>
      <w:r w:rsidR="00E54B31">
        <w:t xml:space="preserve"> in the Phase III study in the </w:t>
      </w:r>
      <w:proofErr w:type="spellStart"/>
      <w:r w:rsidR="00E54B31">
        <w:t>OwH</w:t>
      </w:r>
      <w:proofErr w:type="spellEnd"/>
      <w:r w:rsidR="00E54B31">
        <w:t xml:space="preserve"> population (Study 1601T0831)</w:t>
      </w:r>
      <w:r>
        <w:t xml:space="preserve">. It is noted that in the Phase II study and Phase III study in the </w:t>
      </w:r>
      <w:r w:rsidR="00781C61">
        <w:t>HR</w:t>
      </w:r>
      <w:r>
        <w:t xml:space="preserve"> population, the statistically significant reduction in median time to symptom improvement or alleviation has been demonstrated against placebo in patients infected with type B virus.</w:t>
      </w:r>
    </w:p>
    <w:p w14:paraId="13F82B2C" w14:textId="7277C3E4" w:rsidR="00DA3C8A" w:rsidRPr="0079710F" w:rsidRDefault="00DA3C8A" w:rsidP="0079710F">
      <w:r>
        <w:rPr>
          <w:color w:val="111111"/>
        </w:rPr>
        <w:lastRenderedPageBreak/>
        <w:t xml:space="preserve">It </w:t>
      </w:r>
      <w:r w:rsidR="00781C61">
        <w:rPr>
          <w:color w:val="111111"/>
        </w:rPr>
        <w:t>is noted that in the submitted S</w:t>
      </w:r>
      <w:r>
        <w:rPr>
          <w:color w:val="111111"/>
        </w:rPr>
        <w:t xml:space="preserve">tudies </w:t>
      </w:r>
      <w:r w:rsidR="00F14871">
        <w:t>1518T0821</w:t>
      </w:r>
      <w:r w:rsidR="00781C61">
        <w:t xml:space="preserve"> and </w:t>
      </w:r>
      <w:r w:rsidR="00F14871">
        <w:t>1601T0831</w:t>
      </w:r>
      <w:r>
        <w:rPr>
          <w:color w:val="111111"/>
        </w:rPr>
        <w:t xml:space="preserve">, patients infected with mutant viruses encoding the PA I38 substitution exhibited prolonged virus shedding, and the median time to symptom alleviation was longer in </w:t>
      </w:r>
      <w:r>
        <w:t xml:space="preserve">baloxavir marboxil </w:t>
      </w:r>
      <w:r>
        <w:rPr>
          <w:color w:val="111111"/>
        </w:rPr>
        <w:t xml:space="preserve">recipients infected with these viruses than those infected with viruses not harbouring these substitutions. </w:t>
      </w:r>
      <w:r>
        <w:t xml:space="preserve">The sponsor should provide the clinical impact analysis for the </w:t>
      </w:r>
      <w:r w:rsidR="00781C61">
        <w:t>HR population in Study </w:t>
      </w:r>
      <w:r w:rsidR="00F14871">
        <w:t>1601T0832</w:t>
      </w:r>
      <w:r w:rsidR="0079710F">
        <w:t>.</w:t>
      </w:r>
    </w:p>
    <w:p w14:paraId="329CE72B" w14:textId="6A4A0C54" w:rsidR="00DA3C8A" w:rsidRDefault="00781C61" w:rsidP="0079710F">
      <w:r>
        <w:t>The Delegate noted that the s</w:t>
      </w:r>
      <w:r w:rsidR="00DA3C8A">
        <w:t>ponso</w:t>
      </w:r>
      <w:r w:rsidR="007105F0">
        <w:t>r</w:t>
      </w:r>
      <w:r w:rsidR="00DA3C8A">
        <w:t xml:space="preserve"> has agreed to provide the FDA with an annual update on the emergence of resistance as a post-marketing commitment, and the update will include information from clinical trials, national and international databases, and published literature. The sponsor should also provide TGA with this information and this information can be provided with the </w:t>
      </w:r>
      <w:r>
        <w:t>PSURs</w:t>
      </w:r>
      <w:r w:rsidR="0079710F">
        <w:t>.</w:t>
      </w:r>
    </w:p>
    <w:p w14:paraId="485D1F3B" w14:textId="42080358" w:rsidR="00DA3C8A" w:rsidRDefault="00DA3C8A" w:rsidP="0079710F">
      <w:r>
        <w:t>The studied popula</w:t>
      </w:r>
      <w:r w:rsidR="00781C61">
        <w:t xml:space="preserve">tion in the two pivotal Phase III </w:t>
      </w:r>
      <w:r>
        <w:t xml:space="preserve">studies were patients with uncomplicated influenza as these patients were all outpatients who did not require hospitalisation. The FDA guideline describes the influenza in patients not requiring hospitalisation as uncomplicated influenza. </w:t>
      </w:r>
      <w:r>
        <w:rPr>
          <w:color w:val="111111"/>
        </w:rPr>
        <w:t xml:space="preserve">The limitation of these studies is that the study population was limited to patients with uncomplicated influenza, therefore the role of baloxavir </w:t>
      </w:r>
      <w:r>
        <w:t xml:space="preserve">marboxil </w:t>
      </w:r>
      <w:r>
        <w:rPr>
          <w:color w:val="111111"/>
        </w:rPr>
        <w:t>monotherapy or in combination with an NAI for treatment of hospitalized patients with influenza infection is unclear.</w:t>
      </w:r>
    </w:p>
    <w:p w14:paraId="378406A2" w14:textId="0BD574EE" w:rsidR="00DA3C8A" w:rsidRPr="0079710F" w:rsidRDefault="00DA3C8A" w:rsidP="0079710F">
      <w:r>
        <w:t>Following</w:t>
      </w:r>
      <w:r w:rsidR="00781C61">
        <w:t xml:space="preserve"> the TGA’s recommendation, the s</w:t>
      </w:r>
      <w:r>
        <w:t>ponsor has revised the initially propose</w:t>
      </w:r>
      <w:r w:rsidR="00781C61">
        <w:t>d indication to the following</w:t>
      </w:r>
      <w:r w:rsidR="0079710F">
        <w:t>:</w:t>
      </w:r>
    </w:p>
    <w:p w14:paraId="5EFF336A" w14:textId="77777777" w:rsidR="00DA3C8A" w:rsidRPr="0079710F" w:rsidRDefault="00DA3C8A" w:rsidP="0079710F">
      <w:pPr>
        <w:ind w:left="360"/>
        <w:rPr>
          <w:i/>
        </w:rPr>
      </w:pPr>
      <w:r w:rsidRPr="0079710F">
        <w:rPr>
          <w:i/>
        </w:rPr>
        <w:t xml:space="preserve">Xofluza is indicated for the treatment of uncomplicated influenza in patients 12 years of age and older who have been symptomatic for no </w:t>
      </w:r>
      <w:r w:rsidR="0079710F" w:rsidRPr="0079710F">
        <w:rPr>
          <w:i/>
        </w:rPr>
        <w:t>more than 48 hours and who are:</w:t>
      </w:r>
    </w:p>
    <w:p w14:paraId="7F645D0B" w14:textId="77777777" w:rsidR="00DA3C8A" w:rsidRPr="0079710F" w:rsidRDefault="00DA3C8A" w:rsidP="0079710F">
      <w:pPr>
        <w:pStyle w:val="ListBullet"/>
        <w:ind w:left="720"/>
        <w:rPr>
          <w:i/>
        </w:rPr>
      </w:pPr>
      <w:r w:rsidRPr="0079710F">
        <w:rPr>
          <w:i/>
        </w:rPr>
        <w:t>otherwise healthy,</w:t>
      </w:r>
      <w:r w:rsidRPr="0079710F">
        <w:rPr>
          <w:i/>
          <w:spacing w:val="-2"/>
        </w:rPr>
        <w:t xml:space="preserve"> </w:t>
      </w:r>
      <w:r w:rsidRPr="0079710F">
        <w:rPr>
          <w:i/>
        </w:rPr>
        <w:t>or</w:t>
      </w:r>
    </w:p>
    <w:p w14:paraId="485272A5" w14:textId="77777777" w:rsidR="00DA3C8A" w:rsidRPr="0079710F" w:rsidRDefault="00DA3C8A" w:rsidP="0079710F">
      <w:pPr>
        <w:pStyle w:val="ListBullet"/>
        <w:ind w:left="720"/>
        <w:rPr>
          <w:i/>
        </w:rPr>
      </w:pPr>
      <w:r w:rsidRPr="0079710F">
        <w:rPr>
          <w:i/>
        </w:rPr>
        <w:t>at high risk of developing influenza</w:t>
      </w:r>
      <w:r w:rsidRPr="0079710F">
        <w:rPr>
          <w:i/>
          <w:spacing w:val="-7"/>
        </w:rPr>
        <w:t xml:space="preserve"> </w:t>
      </w:r>
      <w:r w:rsidR="0079710F" w:rsidRPr="0079710F">
        <w:rPr>
          <w:i/>
        </w:rPr>
        <w:t>complications.</w:t>
      </w:r>
    </w:p>
    <w:p w14:paraId="1E050354" w14:textId="025FC1C3" w:rsidR="00DA3C8A" w:rsidRDefault="00781C61" w:rsidP="0079710F">
      <w:r>
        <w:t>The D</w:t>
      </w:r>
      <w:r w:rsidR="00DA3C8A">
        <w:t xml:space="preserve">elegate considers that the above revised indications acceptable and proposes the registration approval of </w:t>
      </w:r>
      <w:r w:rsidR="00DA3C8A">
        <w:rPr>
          <w:color w:val="111111"/>
        </w:rPr>
        <w:t xml:space="preserve">baloxavir </w:t>
      </w:r>
      <w:r w:rsidR="00DA3C8A">
        <w:t xml:space="preserve">marboxil </w:t>
      </w:r>
      <w:r w:rsidR="00DA3C8A">
        <w:rPr>
          <w:color w:val="111111"/>
        </w:rPr>
        <w:t>(</w:t>
      </w:r>
      <w:r w:rsidR="00DA3C8A">
        <w:t>Xofluza)</w:t>
      </w:r>
      <w:r w:rsidR="0079710F">
        <w:t xml:space="preserve"> for the revised indications.</w:t>
      </w:r>
    </w:p>
    <w:p w14:paraId="415D69C2" w14:textId="66990C76" w:rsidR="00DA3C8A" w:rsidRDefault="00DA3C8A" w:rsidP="0079710F">
      <w:r>
        <w:t>The proposed weight-based dosing is supported by the submitted data. With regards to the proposed package presentations, the sponsor has provided the justification for the proposed packages containing 20</w:t>
      </w:r>
      <w:r w:rsidR="00781C61">
        <w:t xml:space="preserve"> </w:t>
      </w:r>
      <w:r>
        <w:t>mg tablets. The sponsor states that the 20 mg tablets have been used in clinical studies, demonstrating clinical efficacy and safety. Consistent with the strategy to supply the US market, the initial launch in Australia will be with two package presentations: 2 x 20 mg tablets and 2 x 40 mg tablets. The 20 mg and 40 mg tablets offer maximum flexibility in terms of supply globally,</w:t>
      </w:r>
      <w:r w:rsidR="00781C61">
        <w:t xml:space="preserve"> and the available packs for 40 </w:t>
      </w:r>
      <w:r>
        <w:t>mg and 80 mg total dose reduce the possibility of over-dosing as patients receive a single pack with the dose they require. The different packs follow the Roche Family Design, with a colour assigned per tablet</w:t>
      </w:r>
      <w:r>
        <w:rPr>
          <w:spacing w:val="-4"/>
        </w:rPr>
        <w:t xml:space="preserve"> </w:t>
      </w:r>
      <w:r>
        <w:t>strength:</w:t>
      </w:r>
    </w:p>
    <w:p w14:paraId="37AF12D1" w14:textId="77777777" w:rsidR="00DA3C8A" w:rsidRDefault="00DA3C8A" w:rsidP="0079710F">
      <w:pPr>
        <w:pStyle w:val="ListBullet"/>
        <w:rPr>
          <w:rFonts w:ascii="Symbol" w:hAnsi="Symbol"/>
          <w:sz w:val="20"/>
        </w:rPr>
      </w:pPr>
      <w:r>
        <w:t>2 x 20 mg and 4 x 20 mg:</w:t>
      </w:r>
      <w:r>
        <w:rPr>
          <w:spacing w:val="-9"/>
        </w:rPr>
        <w:t xml:space="preserve"> </w:t>
      </w:r>
      <w:r>
        <w:t>orange</w:t>
      </w:r>
    </w:p>
    <w:p w14:paraId="52719F83" w14:textId="77777777" w:rsidR="00DA3C8A" w:rsidRDefault="00DA3C8A" w:rsidP="0079710F">
      <w:pPr>
        <w:pStyle w:val="ListBullet"/>
        <w:rPr>
          <w:rFonts w:ascii="Symbol" w:hAnsi="Symbol"/>
          <w:sz w:val="20"/>
        </w:rPr>
      </w:pPr>
      <w:r>
        <w:t>1 x 40 mg and 2 x 40 mg:</w:t>
      </w:r>
      <w:r>
        <w:rPr>
          <w:spacing w:val="-9"/>
        </w:rPr>
        <w:t xml:space="preserve"> </w:t>
      </w:r>
      <w:r>
        <w:t>blue</w:t>
      </w:r>
    </w:p>
    <w:p w14:paraId="6C013848" w14:textId="4C087B8C" w:rsidR="00DA3C8A" w:rsidRDefault="00781C61" w:rsidP="0079710F">
      <w:r>
        <w:t>The s</w:t>
      </w:r>
      <w:r w:rsidR="00DA3C8A">
        <w:t>ponsor has communicated their plan to develop 80 mg tablets in the future, and the package presentations will then be changed to 1 x 40 mg and 1 x 80 mg with the aim of enha</w:t>
      </w:r>
      <w:r>
        <w:t>ncing patient convenience. The D</w:t>
      </w:r>
      <w:r w:rsidR="00DA3C8A">
        <w:t>elegate accepts the justification for the current propo</w:t>
      </w:r>
      <w:r>
        <w:t>sed package presentations. The s</w:t>
      </w:r>
      <w:r w:rsidR="00DA3C8A">
        <w:t>ponsor should monitor any reported medication errors and additional communications to the Health Car</w:t>
      </w:r>
      <w:r w:rsidR="0079710F">
        <w:t>e professional may be required.</w:t>
      </w:r>
    </w:p>
    <w:p w14:paraId="05D91E3E" w14:textId="3AAE67C4" w:rsidR="00DA3C8A" w:rsidRDefault="00781C61" w:rsidP="0079710F">
      <w:r>
        <w:rPr>
          <w:color w:val="111111"/>
        </w:rPr>
        <w:t>The D</w:t>
      </w:r>
      <w:r w:rsidR="00DA3C8A">
        <w:rPr>
          <w:color w:val="111111"/>
        </w:rPr>
        <w:t xml:space="preserve">elegate is requesting further revisions to the </w:t>
      </w:r>
      <w:r>
        <w:rPr>
          <w:color w:val="111111"/>
        </w:rPr>
        <w:t xml:space="preserve">PI. </w:t>
      </w:r>
      <w:r w:rsidR="00DA3C8A">
        <w:rPr>
          <w:color w:val="111111"/>
        </w:rPr>
        <w:t xml:space="preserve">The finalisation of this submission is subject to the satisfactory resolution of the </w:t>
      </w:r>
      <w:r>
        <w:rPr>
          <w:color w:val="111111"/>
        </w:rPr>
        <w:t>PI</w:t>
      </w:r>
      <w:r w:rsidR="00DA3C8A">
        <w:rPr>
          <w:color w:val="111111"/>
        </w:rPr>
        <w:t xml:space="preserve"> and the agreement on the Conditions of Registration.</w:t>
      </w:r>
    </w:p>
    <w:p w14:paraId="7569DC34" w14:textId="12080D2E" w:rsidR="00DA3C8A" w:rsidRPr="00456765" w:rsidRDefault="00781C61" w:rsidP="0079710F">
      <w:r>
        <w:rPr>
          <w:color w:val="111111"/>
        </w:rPr>
        <w:t>The s</w:t>
      </w:r>
      <w:r w:rsidR="00DA3C8A">
        <w:rPr>
          <w:color w:val="111111"/>
        </w:rPr>
        <w:t xml:space="preserve">ponsor is requested to submit the revised </w:t>
      </w:r>
      <w:r>
        <w:rPr>
          <w:color w:val="111111"/>
        </w:rPr>
        <w:t>PI</w:t>
      </w:r>
      <w:r w:rsidR="00DA3C8A">
        <w:rPr>
          <w:color w:val="111111"/>
        </w:rPr>
        <w:t xml:space="preserve"> by 24 January 2020.</w:t>
      </w:r>
    </w:p>
    <w:p w14:paraId="7931B31E" w14:textId="77777777" w:rsidR="00D23139" w:rsidRDefault="00D23139" w:rsidP="00D23139">
      <w:pPr>
        <w:pStyle w:val="Heading4"/>
      </w:pPr>
      <w:r w:rsidRPr="00D23139">
        <w:lastRenderedPageBreak/>
        <w:t>Proposed action</w:t>
      </w:r>
    </w:p>
    <w:p w14:paraId="02B18C66" w14:textId="27171084" w:rsidR="0079710F" w:rsidRDefault="00781C61" w:rsidP="0079710F">
      <w:r>
        <w:t>The D</w:t>
      </w:r>
      <w:r w:rsidR="0079710F">
        <w:t>elegate proposes the registration approval of Xofluza for the revised indications below:</w:t>
      </w:r>
    </w:p>
    <w:p w14:paraId="7063DA53" w14:textId="77777777" w:rsidR="0079710F" w:rsidRPr="0079710F" w:rsidRDefault="0079710F" w:rsidP="0079710F">
      <w:pPr>
        <w:ind w:left="360"/>
        <w:rPr>
          <w:i/>
        </w:rPr>
      </w:pPr>
      <w:r w:rsidRPr="0079710F">
        <w:rPr>
          <w:i/>
        </w:rPr>
        <w:t>Xofluza is indicated for the treatment of uncomplicated influenza in patients 12 years of age and older who have been symptomatic for no more than 48 hours and who are:</w:t>
      </w:r>
    </w:p>
    <w:p w14:paraId="41BBA7FA" w14:textId="77777777" w:rsidR="0079710F" w:rsidRPr="0079710F" w:rsidRDefault="0079710F" w:rsidP="0079710F">
      <w:pPr>
        <w:pStyle w:val="ListBullet"/>
        <w:ind w:left="720"/>
        <w:rPr>
          <w:i/>
        </w:rPr>
      </w:pPr>
      <w:r w:rsidRPr="0079710F">
        <w:rPr>
          <w:i/>
        </w:rPr>
        <w:t>otherwise healthy, or</w:t>
      </w:r>
    </w:p>
    <w:p w14:paraId="5727FC1C" w14:textId="77777777" w:rsidR="0079710F" w:rsidRPr="0079710F" w:rsidRDefault="0079710F" w:rsidP="0079710F">
      <w:pPr>
        <w:pStyle w:val="ListBullet"/>
        <w:ind w:left="720"/>
        <w:rPr>
          <w:i/>
        </w:rPr>
      </w:pPr>
      <w:r w:rsidRPr="0079710F">
        <w:rPr>
          <w:i/>
        </w:rPr>
        <w:t>at high risk of developing influenza complications</w:t>
      </w:r>
    </w:p>
    <w:p w14:paraId="33FF934B" w14:textId="70BCCE4D" w:rsidR="00456765" w:rsidRDefault="0079710F" w:rsidP="0079710F">
      <w:r>
        <w:t xml:space="preserve">Further revisions to the </w:t>
      </w:r>
      <w:r w:rsidR="00781C61">
        <w:t>PI</w:t>
      </w:r>
      <w:r>
        <w:t xml:space="preserve"> have been requested.</w:t>
      </w:r>
    </w:p>
    <w:p w14:paraId="6EC264E8" w14:textId="67859641" w:rsidR="0079710F" w:rsidRPr="00456765" w:rsidRDefault="0079710F" w:rsidP="0079710F">
      <w:r w:rsidRPr="0079710F">
        <w:t xml:space="preserve">The finalisation of this submission is subject to the satisfactory resolution of the </w:t>
      </w:r>
      <w:r w:rsidR="00781C61">
        <w:t>PI</w:t>
      </w:r>
      <w:r w:rsidRPr="0079710F">
        <w:t xml:space="preserve"> and the agreement on the </w:t>
      </w:r>
      <w:r w:rsidR="007105F0" w:rsidRPr="0079710F">
        <w:t>conditions of registration</w:t>
      </w:r>
      <w:r w:rsidR="00781C61">
        <w:t>.</w:t>
      </w:r>
    </w:p>
    <w:p w14:paraId="32A60F1E" w14:textId="77777777" w:rsidR="00563583" w:rsidRDefault="00563583" w:rsidP="001D1B0D">
      <w:pPr>
        <w:pStyle w:val="Heading4"/>
      </w:pPr>
      <w:r>
        <w:t>Independent expert clinical advice</w:t>
      </w:r>
    </w:p>
    <w:p w14:paraId="279ECF09" w14:textId="77777777" w:rsidR="001D1B0D" w:rsidRPr="001D1B0D" w:rsidRDefault="001D1B0D" w:rsidP="001D1B0D">
      <w:r>
        <w:t>The Delegate sought and received independent expert clinical advice in the field of infectious diseases.</w:t>
      </w:r>
    </w:p>
    <w:p w14:paraId="12795DA5" w14:textId="77777777" w:rsidR="008E7846" w:rsidRDefault="008E7846" w:rsidP="008E7846">
      <w:pPr>
        <w:pStyle w:val="Heading4"/>
      </w:pPr>
      <w:r>
        <w:t>Advisory Committee Considerations</w:t>
      </w:r>
      <w:r w:rsidR="00456765">
        <w:rPr>
          <w:rStyle w:val="FootnoteReference"/>
        </w:rPr>
        <w:footnoteReference w:id="11"/>
      </w:r>
    </w:p>
    <w:p w14:paraId="550A4075" w14:textId="77777777" w:rsidR="00456765" w:rsidRPr="00A322B3" w:rsidRDefault="00456765" w:rsidP="008E7846">
      <w:r>
        <w:rPr>
          <w:bCs/>
        </w:rPr>
        <w:t>The Delegate did not refer this application to the Advisory Committee on Medicines (ACM) for advice.</w:t>
      </w:r>
    </w:p>
    <w:p w14:paraId="0557A738" w14:textId="77777777" w:rsidR="008E7846" w:rsidRPr="002E238E" w:rsidRDefault="008E7846" w:rsidP="008E7846">
      <w:pPr>
        <w:pStyle w:val="Heading3"/>
      </w:pPr>
      <w:bookmarkStart w:id="50" w:name="_Toc247691532"/>
      <w:bookmarkStart w:id="51" w:name="_Toc314842516"/>
      <w:bookmarkStart w:id="52" w:name="_Toc42768447"/>
      <w:bookmarkEnd w:id="30"/>
      <w:bookmarkEnd w:id="47"/>
      <w:bookmarkEnd w:id="48"/>
      <w:r>
        <w:t>Outcome</w:t>
      </w:r>
      <w:bookmarkEnd w:id="50"/>
      <w:bookmarkEnd w:id="51"/>
      <w:bookmarkEnd w:id="52"/>
    </w:p>
    <w:p w14:paraId="0EB6B33D" w14:textId="77777777" w:rsidR="00D23139" w:rsidRPr="00D23139" w:rsidRDefault="00D23139" w:rsidP="00D23139">
      <w:bookmarkStart w:id="53" w:name="_Toc247691533"/>
      <w:bookmarkStart w:id="54" w:name="_Toc314842517"/>
      <w:r w:rsidRPr="00D23139">
        <w:t xml:space="preserve">Based on a review of quality, safety and efficacy, TGA approved the registration of </w:t>
      </w:r>
      <w:r w:rsidR="00650675">
        <w:rPr>
          <w:rFonts w:eastAsia="Calibri"/>
        </w:rPr>
        <w:t>Xofluza (b</w:t>
      </w:r>
      <w:r w:rsidR="00650675" w:rsidRPr="00F96B9E">
        <w:rPr>
          <w:rFonts w:eastAsia="Calibri"/>
        </w:rPr>
        <w:t>aloxavir marboxil</w:t>
      </w:r>
      <w:r w:rsidR="00650675">
        <w:rPr>
          <w:rFonts w:eastAsia="Calibri"/>
        </w:rPr>
        <w:t>) 20 mg and 40 mg film coated tablets</w:t>
      </w:r>
      <w:r w:rsidR="00650675">
        <w:t xml:space="preserve">, </w:t>
      </w:r>
      <w:r w:rsidRPr="00D23139">
        <w:t>indicated for:</w:t>
      </w:r>
    </w:p>
    <w:p w14:paraId="1206DEDD" w14:textId="77777777" w:rsidR="00650675" w:rsidRPr="00F96B9E" w:rsidRDefault="00650675" w:rsidP="00650675">
      <w:pPr>
        <w:ind w:left="360"/>
        <w:rPr>
          <w:i/>
        </w:rPr>
      </w:pPr>
      <w:r w:rsidRPr="00F96B9E">
        <w:rPr>
          <w:i/>
        </w:rPr>
        <w:t>Xofluza is indicated for the treatment of uncomplicated influenza in patients aged 12 years of age and older who have been symptomatic for no more than 48 hours and who are:</w:t>
      </w:r>
    </w:p>
    <w:p w14:paraId="2CA08480" w14:textId="77777777" w:rsidR="00650675" w:rsidRPr="00F96B9E" w:rsidRDefault="00650675" w:rsidP="00650675">
      <w:pPr>
        <w:pStyle w:val="ListBullet"/>
        <w:ind w:left="720"/>
        <w:rPr>
          <w:i/>
        </w:rPr>
      </w:pPr>
      <w:r w:rsidRPr="00F96B9E">
        <w:rPr>
          <w:i/>
        </w:rPr>
        <w:t>otherwise healthy, or</w:t>
      </w:r>
    </w:p>
    <w:p w14:paraId="2507EF87" w14:textId="77777777" w:rsidR="00D23139" w:rsidRPr="00650675" w:rsidRDefault="00650675" w:rsidP="00D23139">
      <w:pPr>
        <w:pStyle w:val="ListBullet"/>
        <w:ind w:left="720"/>
        <w:rPr>
          <w:i/>
        </w:rPr>
      </w:pPr>
      <w:r w:rsidRPr="00F96B9E">
        <w:rPr>
          <w:i/>
        </w:rPr>
        <w:t>at high risk of developing influenza complications.</w:t>
      </w:r>
    </w:p>
    <w:p w14:paraId="3C7CDD64" w14:textId="77777777" w:rsidR="00D23139" w:rsidRPr="00D23139" w:rsidRDefault="00D23139" w:rsidP="00D23139">
      <w:pPr>
        <w:pStyle w:val="Heading4"/>
      </w:pPr>
      <w:r w:rsidRPr="00D23139">
        <w:t>Specific conditions of registration applying to these goods</w:t>
      </w:r>
    </w:p>
    <w:p w14:paraId="1D462CE2" w14:textId="77777777" w:rsidR="00650675" w:rsidRPr="00904A16" w:rsidRDefault="00650675" w:rsidP="00650675">
      <w:pPr>
        <w:pStyle w:val="ListBullet"/>
      </w:pPr>
      <w:r w:rsidRPr="00904A16">
        <w:t>Provide TGA with the Annual Reports regarding the Update on the Emergence of Resistance, up to December 2023.</w:t>
      </w:r>
    </w:p>
    <w:p w14:paraId="28348EA1" w14:textId="3FCB20EF" w:rsidR="00650675" w:rsidRPr="00904A16" w:rsidRDefault="00650675" w:rsidP="00650675">
      <w:pPr>
        <w:pStyle w:val="ListBullet"/>
      </w:pPr>
      <w:r w:rsidRPr="00904A16">
        <w:t xml:space="preserve">Xofluza (Baloxavir marboxil) is to be included in the Black Triangle Scheme. The PI and </w:t>
      </w:r>
      <w:r>
        <w:t>Consumer Medicines Information (</w:t>
      </w:r>
      <w:r w:rsidRPr="00904A16">
        <w:t>CMI</w:t>
      </w:r>
      <w:r>
        <w:t>)</w:t>
      </w:r>
      <w:r w:rsidRPr="00904A16">
        <w:t xml:space="preserve"> for Xofluza must include the black triangle symbol and mandatory accompanying text for five years, which starts from the date that the sponsor notifies the TGA of supply of the product.</w:t>
      </w:r>
    </w:p>
    <w:p w14:paraId="035076A2" w14:textId="0DA356BB" w:rsidR="00650675" w:rsidRPr="00904A16" w:rsidRDefault="00650675" w:rsidP="00650675">
      <w:pPr>
        <w:pStyle w:val="ListBullet"/>
      </w:pPr>
      <w:r w:rsidRPr="00904A16">
        <w:lastRenderedPageBreak/>
        <w:t>The Xofluza Core-</w:t>
      </w:r>
      <w:r w:rsidR="007105F0">
        <w:t>RMP</w:t>
      </w:r>
      <w:r w:rsidRPr="00904A16">
        <w:t xml:space="preserve"> (version 2.0, dated 27 March 2019</w:t>
      </w:r>
      <w:r w:rsidR="007105F0">
        <w:t xml:space="preserve"> DLP</w:t>
      </w:r>
      <w:r w:rsidRPr="00904A16">
        <w:t xml:space="preserve"> 11 March 2019), with </w:t>
      </w:r>
      <w:r w:rsidR="007105F0">
        <w:t>ASA</w:t>
      </w:r>
      <w:r w:rsidRPr="00904A16">
        <w:t xml:space="preserve"> (version 1.0, dated 8 April 2019), included with submission PM-2019-01386-1-2, and any subsequent revisions, as agreed with the TGA will be implemented in Australia.</w:t>
      </w:r>
    </w:p>
    <w:p w14:paraId="40E3C48C" w14:textId="3A51B748" w:rsidR="00650675" w:rsidRPr="00904A16" w:rsidRDefault="00650675" w:rsidP="00650675">
      <w:pPr>
        <w:pStyle w:val="ListBullet"/>
        <w:numPr>
          <w:ilvl w:val="0"/>
          <w:numId w:val="0"/>
        </w:numPr>
        <w:ind w:left="360"/>
      </w:pPr>
      <w:r w:rsidRPr="00904A16">
        <w:t xml:space="preserve">An obligatory component of risk management plans is routine pharmacovigilance. Routine pharmacovigilance includes the submission of </w:t>
      </w:r>
      <w:r w:rsidR="007105F0">
        <w:t>PSURs</w:t>
      </w:r>
      <w:r w:rsidRPr="00904A16">
        <w:t>.</w:t>
      </w:r>
    </w:p>
    <w:p w14:paraId="7CF80254" w14:textId="77777777" w:rsidR="00650675" w:rsidRPr="00904A16" w:rsidRDefault="00650675" w:rsidP="00650675">
      <w:pPr>
        <w:pStyle w:val="ListBullet"/>
        <w:numPr>
          <w:ilvl w:val="0"/>
          <w:numId w:val="0"/>
        </w:numPr>
        <w:ind w:left="360"/>
      </w:pPr>
      <w:r w:rsidRPr="00904A16">
        <w:t>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The annual submission may be made up of two PSURs each covering six months. If the sponsor wishes, the six monthly reports may be submitted separately as they become available.</w:t>
      </w:r>
    </w:p>
    <w:p w14:paraId="517E4EB2" w14:textId="77777777" w:rsidR="009752A5" w:rsidRDefault="00650675" w:rsidP="0079710F">
      <w:pPr>
        <w:pStyle w:val="ListBullet"/>
        <w:numPr>
          <w:ilvl w:val="0"/>
          <w:numId w:val="0"/>
        </w:numPr>
        <w:ind w:left="360"/>
      </w:pPr>
      <w:r w:rsidRPr="00904A16">
        <w:t>The reports are to at least meet the requirements for PSURs as described in the European M</w:t>
      </w:r>
      <w:r>
        <w:t>edicines Agency’s Guideline on Good Pharmacovigilance P</w:t>
      </w:r>
      <w:r w:rsidRPr="00904A16">
        <w:t>ractices (GVP) Module VII-periodic safety update report (Rev 1), Part VII.B Structures and processes. Note that submission of a PSUR does not constitute an application to vary the registration. Each report must have been prepared within ninety calendar days of the data l</w:t>
      </w:r>
      <w:r w:rsidR="0079710F">
        <w:t>ock point for that report.</w:t>
      </w:r>
    </w:p>
    <w:p w14:paraId="759DD801" w14:textId="77777777" w:rsidR="008E7846" w:rsidRDefault="00A80B5B" w:rsidP="00D23139">
      <w:pPr>
        <w:pStyle w:val="Heading2"/>
      </w:pPr>
      <w:bookmarkStart w:id="55" w:name="_Toc42768448"/>
      <w:r>
        <w:t xml:space="preserve">Attachment 1. </w:t>
      </w:r>
      <w:r w:rsidR="008E7846">
        <w:t xml:space="preserve">Product </w:t>
      </w:r>
      <w:r w:rsidR="00AA0ED0">
        <w:t>I</w:t>
      </w:r>
      <w:r w:rsidR="008E7846">
        <w:t>nformation</w:t>
      </w:r>
      <w:bookmarkEnd w:id="53"/>
      <w:bookmarkEnd w:id="54"/>
      <w:bookmarkEnd w:id="55"/>
    </w:p>
    <w:p w14:paraId="43749A4B" w14:textId="77777777" w:rsidR="00C80137" w:rsidRDefault="006136D7" w:rsidP="00C80137">
      <w:pPr>
        <w:rPr>
          <w:color w:val="000000"/>
          <w:lang w:eastAsia="en-AU"/>
        </w:rPr>
      </w:pPr>
      <w:r w:rsidRPr="002B3624">
        <w:t xml:space="preserve">The </w:t>
      </w:r>
      <w:r>
        <w:t>PI</w:t>
      </w:r>
      <w:r w:rsidRPr="002B3624">
        <w:t xml:space="preserve"> for </w:t>
      </w:r>
      <w:r w:rsidR="00650675">
        <w:t>Xofluza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0" w:history="1">
        <w:r w:rsidR="007C6B9B" w:rsidRPr="007C6B9B">
          <w:rPr>
            <w:rStyle w:val="Hyperlink"/>
          </w:rPr>
          <w:t>https://www.tga.gov.au/product-information-pi</w:t>
        </w:r>
      </w:hyperlink>
      <w:r w:rsidR="00650675">
        <w:t>&gt;.</w:t>
      </w:r>
    </w:p>
    <w:p w14:paraId="4785CF52" w14:textId="745FFAE5" w:rsidR="00291957" w:rsidRDefault="00291957" w:rsidP="007105F0">
      <w:pPr>
        <w:autoSpaceDE w:val="0"/>
        <w:autoSpaceDN w:val="0"/>
        <w:adjustRightInd w:val="0"/>
        <w:spacing w:after="0"/>
        <w:rPr>
          <w:lang w:eastAsia="ja-JP"/>
        </w:rPr>
      </w:pPr>
    </w:p>
    <w:p w14:paraId="736F532E" w14:textId="77777777" w:rsidR="00C80137" w:rsidRPr="001D043B" w:rsidRDefault="00C80137" w:rsidP="003A7F6C">
      <w:pPr>
        <w:pStyle w:val="TableTitle"/>
        <w:sectPr w:rsidR="00C80137" w:rsidRPr="001D043B" w:rsidSect="00B452CE">
          <w:headerReference w:type="even" r:id="rId21"/>
          <w:headerReference w:type="default" r:id="rId22"/>
          <w:headerReference w:type="first" r:id="rId23"/>
          <w:footerReference w:type="first" r:id="rId2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21AC6751" w14:textId="77777777" w:rsidTr="00A05FA4">
        <w:trPr>
          <w:trHeight w:hRule="exact" w:val="704"/>
        </w:trPr>
        <w:tc>
          <w:tcPr>
            <w:tcW w:w="9175" w:type="dxa"/>
          </w:tcPr>
          <w:p w14:paraId="10D6F61D" w14:textId="77777777" w:rsidR="001C32CD" w:rsidRPr="00487162" w:rsidRDefault="001C32CD" w:rsidP="00A05FA4">
            <w:pPr>
              <w:pStyle w:val="TGASignoff"/>
            </w:pPr>
            <w:r w:rsidRPr="00487162">
              <w:lastRenderedPageBreak/>
              <w:t>Therapeutic Goods Administration</w:t>
            </w:r>
          </w:p>
        </w:tc>
      </w:tr>
      <w:tr w:rsidR="001C32CD" w:rsidRPr="004C239D" w14:paraId="1802A6BD" w14:textId="77777777" w:rsidTr="00A05FA4">
        <w:trPr>
          <w:trHeight w:val="1221"/>
        </w:trPr>
        <w:tc>
          <w:tcPr>
            <w:tcW w:w="9175" w:type="dxa"/>
            <w:tcMar>
              <w:top w:w="28" w:type="dxa"/>
            </w:tcMar>
          </w:tcPr>
          <w:p w14:paraId="6E044B6A" w14:textId="77777777" w:rsidR="001C32CD" w:rsidRPr="00487162" w:rsidRDefault="001C32CD" w:rsidP="00A05FA4">
            <w:pPr>
              <w:pStyle w:val="Address"/>
            </w:pPr>
            <w:r w:rsidRPr="00487162">
              <w:t>PO Box 100 Woden ACT 2606 Australia</w:t>
            </w:r>
          </w:p>
          <w:p w14:paraId="35CE1C2B" w14:textId="77777777" w:rsidR="001C32CD" w:rsidRPr="00487162" w:rsidRDefault="001C32CD" w:rsidP="00A05FA4">
            <w:pPr>
              <w:pStyle w:val="Address"/>
            </w:pPr>
            <w:r w:rsidRPr="00487162">
              <w:t xml:space="preserve">Email: </w:t>
            </w:r>
            <w:hyperlink r:id="rId25" w:history="1">
              <w:r w:rsidRPr="004C239D">
                <w:rPr>
                  <w:rStyle w:val="Hyperlink"/>
                </w:rPr>
                <w:t>info@tga.gov.au</w:t>
              </w:r>
            </w:hyperlink>
            <w:r w:rsidRPr="00487162">
              <w:t xml:space="preserve">  Phone: 1800 020 653  Fax: 02 6232 8605</w:t>
            </w:r>
          </w:p>
          <w:p w14:paraId="3F1B5E6F" w14:textId="77777777" w:rsidR="001C32CD" w:rsidRPr="004C239D" w:rsidRDefault="00017E9C" w:rsidP="00A05FA4">
            <w:pPr>
              <w:pStyle w:val="Address"/>
              <w:spacing w:line="260" w:lineRule="atLeast"/>
              <w:rPr>
                <w:b/>
                <w:color w:val="0000FF"/>
                <w:u w:val="single"/>
              </w:rPr>
            </w:pPr>
            <w:hyperlink r:id="rId26" w:history="1">
              <w:r w:rsidR="007C6B9B" w:rsidRPr="007C6B9B">
                <w:rPr>
                  <w:rStyle w:val="Hyperlink"/>
                  <w:b/>
                </w:rPr>
                <w:t>https://www.tga.gov.au</w:t>
              </w:r>
            </w:hyperlink>
          </w:p>
        </w:tc>
      </w:tr>
    </w:tbl>
    <w:p w14:paraId="38C34F0B" w14:textId="77777777" w:rsidR="00774E1D" w:rsidRPr="008A5E0B" w:rsidRDefault="00774E1D" w:rsidP="004C239D"/>
    <w:sectPr w:rsidR="00774E1D" w:rsidRPr="008A5E0B" w:rsidSect="001C32CD">
      <w:headerReference w:type="even" r:id="rId27"/>
      <w:headerReference w:type="default" r:id="rId28"/>
      <w:footerReference w:type="default" r:id="rId29"/>
      <w:headerReference w:type="first" r:id="rId30"/>
      <w:footerReference w:type="first" r:id="rId31"/>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CE76A" w14:textId="77777777" w:rsidR="00017E9C" w:rsidRDefault="00017E9C" w:rsidP="00C40A36">
      <w:pPr>
        <w:spacing w:after="0"/>
      </w:pPr>
      <w:r>
        <w:separator/>
      </w:r>
    </w:p>
  </w:endnote>
  <w:endnote w:type="continuationSeparator" w:id="0">
    <w:p w14:paraId="0CA6E5B0" w14:textId="77777777" w:rsidR="00017E9C" w:rsidRDefault="00017E9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TimesNewRoman">
    <w:altName w:val="MS Mincho"/>
    <w:panose1 w:val="00000000000000000000"/>
    <w:charset w:val="80"/>
    <w:family w:val="auto"/>
    <w:notTrueType/>
    <w:pitch w:val="default"/>
    <w:sig w:usb0="00000003" w:usb1="08070000" w:usb2="00000010" w:usb3="00000000" w:csb0="00020001"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017E9C" w:rsidRPr="00487162" w14:paraId="19EB4211" w14:textId="77777777" w:rsidTr="00DB750B">
      <w:trPr>
        <w:trHeight w:val="269"/>
      </w:trPr>
      <w:tc>
        <w:tcPr>
          <w:tcW w:w="7371" w:type="dxa"/>
          <w:tcMar>
            <w:top w:w="142" w:type="dxa"/>
            <w:bottom w:w="0" w:type="dxa"/>
          </w:tcMar>
        </w:tcPr>
        <w:p w14:paraId="774009A1" w14:textId="46510643" w:rsidR="00017E9C" w:rsidRPr="00487162" w:rsidRDefault="00017E9C" w:rsidP="00525B91">
          <w:pPr>
            <w:pStyle w:val="Footer"/>
          </w:pPr>
          <w:r w:rsidRPr="00487162">
            <w:t>AusPA</w:t>
          </w:r>
          <w:r>
            <w:t>R -</w:t>
          </w:r>
          <w:r w:rsidRPr="00C10714">
            <w:t>XOFLUZA - baloxavir marboxil - Roche Products Pty Limited (Australia) - PM-2019-01386-1-2</w:t>
          </w:r>
          <w:r>
            <w:br/>
            <w:t>FINAL 4 June 2020</w:t>
          </w:r>
        </w:p>
      </w:tc>
      <w:tc>
        <w:tcPr>
          <w:tcW w:w="1490" w:type="dxa"/>
          <w:tcMar>
            <w:top w:w="142" w:type="dxa"/>
            <w:bottom w:w="0" w:type="dxa"/>
          </w:tcMar>
        </w:tcPr>
        <w:p w14:paraId="6EBE69BC" w14:textId="2DAB81D5" w:rsidR="00017E9C" w:rsidRPr="00487162" w:rsidRDefault="00017E9C" w:rsidP="00DB750B">
          <w:pPr>
            <w:pStyle w:val="Footer"/>
            <w:jc w:val="right"/>
          </w:pPr>
          <w:r w:rsidRPr="00487162">
            <w:t xml:space="preserve">Page </w:t>
          </w:r>
          <w:r>
            <w:fldChar w:fldCharType="begin"/>
          </w:r>
          <w:r>
            <w:instrText xml:space="preserve"> PAGE  \* Arabic </w:instrText>
          </w:r>
          <w:r>
            <w:fldChar w:fldCharType="separate"/>
          </w:r>
          <w:r w:rsidR="00A16826">
            <w:rPr>
              <w:noProof/>
            </w:rPr>
            <w:t>3</w:t>
          </w:r>
          <w:r>
            <w:fldChar w:fldCharType="end"/>
          </w:r>
          <w:r w:rsidRPr="00487162">
            <w:t xml:space="preserve"> of </w:t>
          </w:r>
          <w:fldSimple w:instr=" NUMPAGES  \* Arabic ">
            <w:r w:rsidR="00A16826">
              <w:rPr>
                <w:noProof/>
              </w:rPr>
              <w:t>27</w:t>
            </w:r>
          </w:fldSimple>
        </w:p>
      </w:tc>
    </w:tr>
  </w:tbl>
  <w:p w14:paraId="715247E3" w14:textId="77777777" w:rsidR="00017E9C" w:rsidRDefault="00017E9C"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017E9C" w:rsidRPr="00487162" w14:paraId="0778C231" w14:textId="77777777" w:rsidTr="00E45619">
      <w:trPr>
        <w:trHeight w:val="269"/>
      </w:trPr>
      <w:tc>
        <w:tcPr>
          <w:tcW w:w="4519" w:type="dxa"/>
          <w:tcBorders>
            <w:top w:val="single" w:sz="4" w:space="0" w:color="auto"/>
          </w:tcBorders>
          <w:tcMar>
            <w:top w:w="142" w:type="dxa"/>
            <w:bottom w:w="0" w:type="dxa"/>
          </w:tcMar>
        </w:tcPr>
        <w:p w14:paraId="0904F0ED" w14:textId="77777777" w:rsidR="00017E9C" w:rsidRPr="00487162" w:rsidRDefault="00017E9C" w:rsidP="00FE1DEE">
          <w:pPr>
            <w:pStyle w:val="Footer"/>
          </w:pPr>
          <w:r w:rsidRPr="00487162">
            <w:t>Document title, Part #, Section # - Section title</w:t>
          </w:r>
        </w:p>
        <w:p w14:paraId="1D9B713E" w14:textId="77777777" w:rsidR="00017E9C" w:rsidRPr="00487162" w:rsidRDefault="00017E9C" w:rsidP="00FE1DEE">
          <w:pPr>
            <w:pStyle w:val="Footer"/>
          </w:pPr>
          <w:r w:rsidRPr="00487162">
            <w:t>V1.0 October 2010</w:t>
          </w:r>
        </w:p>
      </w:tc>
      <w:tc>
        <w:tcPr>
          <w:tcW w:w="4342" w:type="dxa"/>
          <w:tcBorders>
            <w:top w:val="single" w:sz="4" w:space="0" w:color="auto"/>
          </w:tcBorders>
          <w:tcMar>
            <w:top w:w="142" w:type="dxa"/>
            <w:bottom w:w="0" w:type="dxa"/>
          </w:tcMar>
        </w:tcPr>
        <w:p w14:paraId="6F541363" w14:textId="77777777" w:rsidR="00017E9C" w:rsidRPr="00487162" w:rsidRDefault="00017E9C"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14:paraId="3EBE83C7" w14:textId="77777777" w:rsidR="00017E9C" w:rsidRDefault="00017E9C">
    <w:pPr>
      <w:pStyle w:val="Footer"/>
    </w:pPr>
  </w:p>
  <w:p w14:paraId="2DD2490E" w14:textId="77777777" w:rsidR="00017E9C" w:rsidRDefault="00017E9C"/>
  <w:p w14:paraId="774956CE" w14:textId="77777777" w:rsidR="00017E9C" w:rsidRDefault="00017E9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A5DE8" w14:textId="77777777" w:rsidR="00017E9C" w:rsidRPr="001C32CD" w:rsidRDefault="00017E9C"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017E9C" w14:paraId="5CAEB43C" w14:textId="77777777" w:rsidTr="0010601F">
      <w:trPr>
        <w:trHeight w:val="108"/>
      </w:trPr>
      <w:tc>
        <w:tcPr>
          <w:tcW w:w="8875" w:type="dxa"/>
          <w:gridSpan w:val="2"/>
          <w:tcBorders>
            <w:bottom w:val="single" w:sz="4" w:space="0" w:color="auto"/>
          </w:tcBorders>
          <w:tcMar>
            <w:right w:w="284" w:type="dxa"/>
          </w:tcMar>
        </w:tcPr>
        <w:p w14:paraId="307E3ABD" w14:textId="77777777" w:rsidR="00017E9C" w:rsidRDefault="00017E9C" w:rsidP="006E08B3">
          <w:pPr>
            <w:pStyle w:val="Heading3"/>
          </w:pPr>
          <w:r>
            <w:t>Copyright</w:t>
          </w:r>
        </w:p>
        <w:p w14:paraId="75A03235" w14:textId="77777777" w:rsidR="00017E9C" w:rsidRDefault="00017E9C" w:rsidP="006E08B3">
          <w:r>
            <w:rPr>
              <w:rFonts w:cs="Arial"/>
            </w:rPr>
            <w:t>©</w:t>
          </w:r>
          <w:r>
            <w:t xml:space="preserve"> Commonwealth of Australia [add year]</w:t>
          </w:r>
        </w:p>
        <w:p w14:paraId="1DB31B62" w14:textId="77777777" w:rsidR="00017E9C" w:rsidRDefault="00017E9C" w:rsidP="006E08B3"/>
        <w:p w14:paraId="7B2E4974" w14:textId="77777777" w:rsidR="00017E9C" w:rsidRDefault="00017E9C"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39C4D297" w14:textId="77777777" w:rsidR="00017E9C" w:rsidRDefault="00017E9C" w:rsidP="006E08B3"/>
        <w:p w14:paraId="4ECFB09D" w14:textId="77777777" w:rsidR="00017E9C" w:rsidRDefault="00017E9C" w:rsidP="006E08B3">
          <w:pPr>
            <w:pStyle w:val="Heading3"/>
          </w:pPr>
          <w:r>
            <w:t>Confidentiality</w:t>
          </w:r>
        </w:p>
        <w:p w14:paraId="10B75500" w14:textId="77777777" w:rsidR="00017E9C" w:rsidRDefault="00017E9C"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64448BEF" w14:textId="77777777" w:rsidR="00017E9C" w:rsidRDefault="00017E9C" w:rsidP="006E08B3"/>
        <w:p w14:paraId="34B92CBC" w14:textId="77777777" w:rsidR="00017E9C" w:rsidRDefault="00017E9C" w:rsidP="006E08B3">
          <w:r>
            <w:t>For submission made by individuals, all personal details, other than your name, will be removed from your submission before it is published on the TGA’s Internet site.</w:t>
          </w:r>
        </w:p>
        <w:p w14:paraId="3EF60B21" w14:textId="77777777" w:rsidR="00017E9C" w:rsidRDefault="00017E9C" w:rsidP="006E08B3"/>
        <w:p w14:paraId="0015BADF" w14:textId="77777777" w:rsidR="00017E9C" w:rsidRDefault="00017E9C"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017E9C" w14:paraId="4B8E084C" w14:textId="77777777" w:rsidTr="0010601F">
      <w:trPr>
        <w:trHeight w:val="417"/>
      </w:trPr>
      <w:tc>
        <w:tcPr>
          <w:tcW w:w="4519" w:type="dxa"/>
          <w:tcBorders>
            <w:top w:val="single" w:sz="4" w:space="0" w:color="auto"/>
          </w:tcBorders>
          <w:tcMar>
            <w:top w:w="142" w:type="dxa"/>
            <w:bottom w:w="0" w:type="dxa"/>
          </w:tcMar>
        </w:tcPr>
        <w:p w14:paraId="3545369E" w14:textId="77777777" w:rsidR="00017E9C" w:rsidRDefault="00017E9C" w:rsidP="006E08B3">
          <w:r>
            <w:t>Document title, Part #, Section # - Section title</w:t>
          </w:r>
        </w:p>
        <w:p w14:paraId="3B4D2430" w14:textId="77777777" w:rsidR="00017E9C" w:rsidRDefault="00017E9C" w:rsidP="006E08B3">
          <w:r>
            <w:t>V1.0 October 2010</w:t>
          </w:r>
        </w:p>
      </w:tc>
      <w:tc>
        <w:tcPr>
          <w:tcW w:w="4356" w:type="dxa"/>
          <w:tcBorders>
            <w:top w:val="single" w:sz="4" w:space="0" w:color="auto"/>
          </w:tcBorders>
          <w:tcMar>
            <w:top w:w="142" w:type="dxa"/>
            <w:bottom w:w="0" w:type="dxa"/>
          </w:tcMar>
        </w:tcPr>
        <w:p w14:paraId="197228A5" w14:textId="77777777" w:rsidR="00017E9C" w:rsidRDefault="00017E9C"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14:paraId="22E13AF4" w14:textId="77777777" w:rsidR="00017E9C" w:rsidRDefault="00017E9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DFFB3" w14:textId="77777777" w:rsidR="00017E9C" w:rsidRDefault="00017E9C" w:rsidP="00C40A36">
      <w:pPr>
        <w:spacing w:after="0"/>
      </w:pPr>
      <w:r>
        <w:separator/>
      </w:r>
    </w:p>
  </w:footnote>
  <w:footnote w:type="continuationSeparator" w:id="0">
    <w:p w14:paraId="7FD29462" w14:textId="77777777" w:rsidR="00017E9C" w:rsidRDefault="00017E9C" w:rsidP="00C40A36">
      <w:pPr>
        <w:spacing w:after="0"/>
      </w:pPr>
      <w:r>
        <w:continuationSeparator/>
      </w:r>
    </w:p>
  </w:footnote>
  <w:footnote w:id="1">
    <w:p w14:paraId="7C0999C4" w14:textId="77777777" w:rsidR="00017E9C" w:rsidRDefault="00017E9C">
      <w:pPr>
        <w:pStyle w:val="FootnoteText"/>
      </w:pPr>
      <w:r>
        <w:rPr>
          <w:rStyle w:val="FootnoteReference"/>
        </w:rPr>
        <w:footnoteRef/>
      </w:r>
      <w:r>
        <w:t xml:space="preserve"> </w:t>
      </w:r>
      <w:r>
        <w:rPr>
          <w:lang w:val="en"/>
        </w:rPr>
        <w:t xml:space="preserve">Australian Technical Advisory Group on </w:t>
      </w:r>
      <w:proofErr w:type="spellStart"/>
      <w:r>
        <w:rPr>
          <w:lang w:val="en"/>
        </w:rPr>
        <w:t>Immunisation</w:t>
      </w:r>
      <w:proofErr w:type="spellEnd"/>
      <w:r>
        <w:rPr>
          <w:lang w:val="en"/>
        </w:rPr>
        <w:t xml:space="preserve"> (ATAGI). Australian </w:t>
      </w:r>
      <w:proofErr w:type="spellStart"/>
      <w:r>
        <w:rPr>
          <w:lang w:val="en"/>
        </w:rPr>
        <w:t>Immunisation</w:t>
      </w:r>
      <w:proofErr w:type="spellEnd"/>
      <w:r>
        <w:rPr>
          <w:lang w:val="en"/>
        </w:rPr>
        <w:t xml:space="preserve"> Handbook, Australian Government Department of Health, Canberra, 2018, immunisationhandbook.health.gov.au.</w:t>
      </w:r>
    </w:p>
  </w:footnote>
  <w:footnote w:id="2">
    <w:p w14:paraId="3BA2BB5E" w14:textId="00835299" w:rsidR="00017E9C" w:rsidRPr="00000790" w:rsidRDefault="00017E9C" w:rsidP="00017E9C">
      <w:pPr>
        <w:pStyle w:val="FootnoteText"/>
        <w:ind w:right="-285"/>
      </w:pPr>
      <w:r>
        <w:rPr>
          <w:rStyle w:val="FootnoteReference"/>
        </w:rPr>
        <w:footnoteRef/>
      </w:r>
      <w:r>
        <w:t xml:space="preserve"> The ACSS Consortium is a medium-sized coalition, which was formed in 2007 by 'like-minded' regulatory authorities to promote greater regulatory collaboration and alignment of regulatory requirements. Its goal is to maximise international cooperation, reduce duplication, and increase each agency's capacity to ensure consumers have timely access to high quality, safe and effective therapeutic products. For further information, visit the relevant TGA webpage: </w:t>
      </w:r>
      <w:hyperlink r:id="rId1" w:history="1">
        <w:r w:rsidRPr="00606AEA">
          <w:rPr>
            <w:rStyle w:val="Hyperlink"/>
          </w:rPr>
          <w:t>https://www.tga.gov.au/australia-canada-singapore-switzerland-acss-consortium</w:t>
        </w:r>
      </w:hyperlink>
      <w:r>
        <w:t>.</w:t>
      </w:r>
    </w:p>
  </w:footnote>
  <w:footnote w:id="3">
    <w:p w14:paraId="66DA038B" w14:textId="68FB0FA2" w:rsidR="00017E9C" w:rsidRDefault="00017E9C">
      <w:pPr>
        <w:pStyle w:val="FootnoteText"/>
      </w:pPr>
      <w:r>
        <w:rPr>
          <w:rStyle w:val="FootnoteReference"/>
        </w:rPr>
        <w:footnoteRef/>
      </w:r>
      <w:r>
        <w:t xml:space="preserve"> The final registered pack sizes are 2 tablet packs of 20 mg and 40 mg.</w:t>
      </w:r>
    </w:p>
  </w:footnote>
  <w:footnote w:id="4">
    <w:p w14:paraId="175CF9BA" w14:textId="77777777" w:rsidR="00017E9C" w:rsidRDefault="00017E9C" w:rsidP="00753100">
      <w:pPr>
        <w:pStyle w:val="FootnoteText"/>
      </w:pPr>
      <w:r>
        <w:rPr>
          <w:rStyle w:val="FootnoteReference"/>
        </w:rPr>
        <w:footnoteRef/>
      </w:r>
      <w:r>
        <w:t xml:space="preserve"> Australian Pregnancy Category B3: 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w:t>
      </w:r>
    </w:p>
    <w:p w14:paraId="64E5226B" w14:textId="77777777" w:rsidR="00017E9C" w:rsidRDefault="00017E9C" w:rsidP="00753100">
      <w:pPr>
        <w:pStyle w:val="FootnoteText"/>
      </w:pPr>
      <w:r>
        <w:t xml:space="preserve">Studies in animals have shown evidence of an increased occurrence of </w:t>
      </w:r>
      <w:proofErr w:type="spellStart"/>
      <w:r>
        <w:t>fetal</w:t>
      </w:r>
      <w:proofErr w:type="spellEnd"/>
      <w:r>
        <w:t xml:space="preserve"> damage, the significance of which is considered uncertain in humans.</w:t>
      </w:r>
    </w:p>
  </w:footnote>
  <w:footnote w:id="5">
    <w:p w14:paraId="45665882" w14:textId="77777777" w:rsidR="00017E9C" w:rsidRDefault="00017E9C">
      <w:pPr>
        <w:pStyle w:val="FootnoteText"/>
      </w:pPr>
      <w:r>
        <w:rPr>
          <w:rStyle w:val="FootnoteReference"/>
        </w:rPr>
        <w:footnoteRef/>
      </w:r>
      <w:r>
        <w:t xml:space="preserve"> </w:t>
      </w:r>
      <w:r w:rsidRPr="00AD71E0">
        <w:t xml:space="preserve">The QT interval is the time from the start of the Q wave to the end of the T wave. It represents the time taken for ventricular depolarisation and repolarisation, effectively the period of ventricular systole from ventricular </w:t>
      </w:r>
      <w:proofErr w:type="spellStart"/>
      <w:r w:rsidRPr="00AD71E0">
        <w:t>isovolumetric</w:t>
      </w:r>
      <w:proofErr w:type="spellEnd"/>
      <w:r w:rsidRPr="00AD71E0">
        <w:t xml:space="preserve"> contraction to </w:t>
      </w:r>
      <w:proofErr w:type="spellStart"/>
      <w:r w:rsidRPr="00AD71E0">
        <w:t>isovolumetric</w:t>
      </w:r>
      <w:proofErr w:type="spellEnd"/>
      <w:r w:rsidRPr="00AD71E0">
        <w:t xml:space="preserve"> </w:t>
      </w:r>
      <w:proofErr w:type="spellStart"/>
      <w:r w:rsidRPr="00AD71E0">
        <w:t>relaxation.The</w:t>
      </w:r>
      <w:proofErr w:type="spellEnd"/>
      <w:r w:rsidRPr="00AD71E0">
        <w:t xml:space="preserve"> QT shortens at faster heart rates. An abnormally prolonged QT is associated with an increased risk of ventricular arrhythmias, especially Torsades de Pointes. The recently described congenital short QT syndrome has been found to be associated with an increased risk of paroxysmal atrial and ventricular fibrillation and sudden cardiac death.</w:t>
      </w:r>
    </w:p>
  </w:footnote>
  <w:footnote w:id="6">
    <w:p w14:paraId="025E53D0" w14:textId="66ED8551" w:rsidR="00017E9C" w:rsidRDefault="00017E9C">
      <w:pPr>
        <w:pStyle w:val="FootnoteText"/>
      </w:pPr>
      <w:r>
        <w:rPr>
          <w:rStyle w:val="FootnoteReference"/>
        </w:rPr>
        <w:footnoteRef/>
      </w:r>
      <w:r>
        <w:t xml:space="preserve"> </w:t>
      </w:r>
      <w:proofErr w:type="spellStart"/>
      <w:r w:rsidRPr="007237E1">
        <w:t>Centers</w:t>
      </w:r>
      <w:proofErr w:type="spellEnd"/>
      <w:r w:rsidRPr="007237E1">
        <w:t xml:space="preserve"> for Disease Control and Prevention, National </w:t>
      </w:r>
      <w:proofErr w:type="spellStart"/>
      <w:r w:rsidRPr="007237E1">
        <w:t>Center</w:t>
      </w:r>
      <w:proofErr w:type="spellEnd"/>
      <w:r w:rsidRPr="007237E1">
        <w:t xml:space="preserve"> for Immunization and Respiratory Diseases (NCIRD)</w:t>
      </w:r>
      <w:r>
        <w:t xml:space="preserve">, </w:t>
      </w:r>
      <w:r>
        <w:rPr>
          <w:lang w:val="en-US"/>
        </w:rPr>
        <w:t>People at High Risk for Flu Complications, Accessed from the CDC website, last reviewed 27 August 2018.</w:t>
      </w:r>
    </w:p>
  </w:footnote>
  <w:footnote w:id="7">
    <w:p w14:paraId="747789B7" w14:textId="64C3703A" w:rsidR="00017E9C" w:rsidRDefault="00017E9C">
      <w:pPr>
        <w:pStyle w:val="FootnoteText"/>
      </w:pPr>
      <w:r>
        <w:rPr>
          <w:rStyle w:val="FootnoteReference"/>
        </w:rPr>
        <w:footnoteRef/>
      </w:r>
      <w:r w:rsidRPr="00517D42">
        <w:rPr>
          <w:lang w:val="fr-FR"/>
        </w:rPr>
        <w:t xml:space="preserve"> </w:t>
      </w:r>
      <w:proofErr w:type="spellStart"/>
      <w:r w:rsidRPr="00517D42">
        <w:rPr>
          <w:lang w:val="fr-FR"/>
        </w:rPr>
        <w:t>Sampson</w:t>
      </w:r>
      <w:proofErr w:type="spellEnd"/>
      <w:r w:rsidRPr="00517D42">
        <w:rPr>
          <w:lang w:val="fr-FR"/>
        </w:rPr>
        <w:t xml:space="preserve">, H.A. et al. </w:t>
      </w:r>
      <w:r>
        <w:rPr>
          <w:lang w:val="en"/>
        </w:rPr>
        <w:t xml:space="preserve">Second symposium on the definition and management of anaphylaxis: Summary report—Second National Institute of Allergy and Infectious Disease/Food Allergy and Anaphylaxis Network symposium, </w:t>
      </w:r>
      <w:r w:rsidRPr="00A817BC">
        <w:rPr>
          <w:i/>
          <w:lang w:val="en"/>
        </w:rPr>
        <w:t>Journal of Allergy and Clinical Immunology</w:t>
      </w:r>
      <w:r>
        <w:rPr>
          <w:lang w:val="en"/>
        </w:rPr>
        <w:t>, 2006; 117: 391-</w:t>
      </w:r>
      <w:r w:rsidRPr="00C249D3">
        <w:rPr>
          <w:lang w:val="en"/>
        </w:rPr>
        <w:t>397</w:t>
      </w:r>
      <w:r>
        <w:rPr>
          <w:lang w:val="en"/>
        </w:rPr>
        <w:t>.</w:t>
      </w:r>
    </w:p>
  </w:footnote>
  <w:footnote w:id="8">
    <w:p w14:paraId="0C8E4CB3" w14:textId="3410F625" w:rsidR="00017E9C" w:rsidRDefault="00017E9C">
      <w:pPr>
        <w:pStyle w:val="FootnoteText"/>
      </w:pPr>
      <w:r>
        <w:rPr>
          <w:rStyle w:val="FootnoteReference"/>
        </w:rPr>
        <w:footnoteRef/>
      </w:r>
      <w:r>
        <w:t xml:space="preserve"> </w:t>
      </w:r>
      <w:proofErr w:type="spellStart"/>
      <w:r>
        <w:t>Gubareva</w:t>
      </w:r>
      <w:proofErr w:type="spellEnd"/>
      <w:r>
        <w:t xml:space="preserve">, L.V. et al. </w:t>
      </w:r>
      <w:r>
        <w:rPr>
          <w:lang w:val="en"/>
        </w:rPr>
        <w:t xml:space="preserve">Global update on the susceptibility of human influenza viruses to neuraminidase inhibitors, 2015–2016, </w:t>
      </w:r>
      <w:r w:rsidRPr="00A817BC">
        <w:rPr>
          <w:i/>
          <w:lang w:val="en"/>
        </w:rPr>
        <w:t>Antiviral Res</w:t>
      </w:r>
      <w:r>
        <w:rPr>
          <w:lang w:val="en"/>
        </w:rPr>
        <w:t>, 2017</w:t>
      </w:r>
      <w:r w:rsidRPr="005C7576">
        <w:rPr>
          <w:lang w:val="en"/>
        </w:rPr>
        <w:t>; 146: 12–20.</w:t>
      </w:r>
    </w:p>
  </w:footnote>
  <w:footnote w:id="9">
    <w:p w14:paraId="5AE9496A" w14:textId="7445BEF2" w:rsidR="00017E9C" w:rsidRDefault="00017E9C" w:rsidP="00121236">
      <w:pPr>
        <w:pStyle w:val="FootnoteText"/>
      </w:pPr>
      <w:r>
        <w:rPr>
          <w:rStyle w:val="FootnoteReference"/>
        </w:rPr>
        <w:footnoteRef/>
      </w:r>
      <w:r>
        <w:t xml:space="preserve"> FDA, </w:t>
      </w:r>
      <w:proofErr w:type="spellStart"/>
      <w:r>
        <w:t>Center</w:t>
      </w:r>
      <w:proofErr w:type="spellEnd"/>
      <w:r>
        <w:t xml:space="preserve"> for Drug Evaluation a</w:t>
      </w:r>
      <w:r w:rsidRPr="00946683">
        <w:t>nd Research</w:t>
      </w:r>
      <w:r>
        <w:t>, Clinical Microbiology/Virology Review(S), Xofluza</w:t>
      </w:r>
      <w:r w:rsidRPr="00946683">
        <w:t xml:space="preserve"> 20 mg and 40 mg tablets</w:t>
      </w:r>
      <w:r>
        <w:t xml:space="preserve">, </w:t>
      </w:r>
      <w:r w:rsidRPr="00121236">
        <w:t>baloxavir marboxil</w:t>
      </w:r>
      <w:r>
        <w:t xml:space="preserve">, Approval date 16 October </w:t>
      </w:r>
      <w:r w:rsidRPr="00121236">
        <w:t>2019</w:t>
      </w:r>
      <w:r>
        <w:t>. Available from the FDA website.</w:t>
      </w:r>
    </w:p>
  </w:footnote>
  <w:footnote w:id="10">
    <w:p w14:paraId="77C20B35" w14:textId="77777777" w:rsidR="00017E9C" w:rsidRDefault="00017E9C" w:rsidP="00B3596B">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6A34D662" w14:textId="77777777" w:rsidR="00017E9C" w:rsidRDefault="00017E9C" w:rsidP="00B3596B">
      <w:pPr>
        <w:pStyle w:val="FootnoteText"/>
      </w:pPr>
      <w:r w:rsidRPr="00F12492">
        <w:rPr>
          <w:i/>
        </w:rPr>
        <w:t>Routine pharmacovigilance</w:t>
      </w:r>
      <w:r>
        <w:t xml:space="preserve"> practices involve the following activities:</w:t>
      </w:r>
    </w:p>
    <w:p w14:paraId="08114E30" w14:textId="77777777" w:rsidR="00017E9C" w:rsidRDefault="00017E9C" w:rsidP="00B3596B">
      <w:pPr>
        <w:pStyle w:val="FootnoteText"/>
        <w:numPr>
          <w:ilvl w:val="0"/>
          <w:numId w:val="28"/>
        </w:numPr>
      </w:pPr>
      <w:r>
        <w:t>All suspected adverse reactions that are reported to the personnel of the company are collected and collated in an accessible manner;</w:t>
      </w:r>
    </w:p>
    <w:p w14:paraId="1AF14016" w14:textId="77777777" w:rsidR="00017E9C" w:rsidRDefault="00017E9C" w:rsidP="00B3596B">
      <w:pPr>
        <w:pStyle w:val="FootnoteText"/>
        <w:numPr>
          <w:ilvl w:val="0"/>
          <w:numId w:val="28"/>
        </w:numPr>
      </w:pPr>
      <w:r>
        <w:t>Reporting to regulatory authorities;</w:t>
      </w:r>
    </w:p>
    <w:p w14:paraId="34344BC2" w14:textId="5C61F788" w:rsidR="00017E9C" w:rsidRDefault="00017E9C" w:rsidP="00B3596B">
      <w:pPr>
        <w:pStyle w:val="FootnoteText"/>
        <w:numPr>
          <w:ilvl w:val="0"/>
          <w:numId w:val="28"/>
        </w:numPr>
      </w:pPr>
      <w:r>
        <w:t>Continuous monitoring of the safety profiles of approved products including signal detection and updating of labelling;</w:t>
      </w:r>
    </w:p>
    <w:p w14:paraId="554B1B0E" w14:textId="77777777" w:rsidR="00017E9C" w:rsidRDefault="00017E9C" w:rsidP="00B3596B">
      <w:pPr>
        <w:pStyle w:val="FootnoteText"/>
        <w:numPr>
          <w:ilvl w:val="0"/>
          <w:numId w:val="28"/>
        </w:numPr>
      </w:pPr>
      <w:r>
        <w:t>Submission of PSURs;</w:t>
      </w:r>
    </w:p>
    <w:p w14:paraId="3D59D029" w14:textId="77777777" w:rsidR="00017E9C" w:rsidRPr="00F12492" w:rsidRDefault="00017E9C" w:rsidP="00B3596B">
      <w:pPr>
        <w:pStyle w:val="FootnoteText"/>
        <w:numPr>
          <w:ilvl w:val="0"/>
          <w:numId w:val="28"/>
        </w:numPr>
        <w:rPr>
          <w:lang w:val="en-US"/>
        </w:rPr>
      </w:pPr>
      <w:r>
        <w:t>Meeting other local regulatory agency requirements.</w:t>
      </w:r>
    </w:p>
  </w:footnote>
  <w:footnote w:id="11">
    <w:p w14:paraId="39939A33" w14:textId="77777777" w:rsidR="00017E9C" w:rsidRDefault="00017E9C"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6E8F602E" w14:textId="77777777" w:rsidR="00017E9C" w:rsidRPr="00456765" w:rsidRDefault="00017E9C"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B4D39" w14:textId="77777777" w:rsidR="00017E9C" w:rsidRDefault="00017E9C"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FB339" w14:textId="77777777" w:rsidR="00017E9C" w:rsidRDefault="00017E9C">
    <w:pPr>
      <w:rPr>
        <w:noProof/>
        <w:lang w:eastAsia="en-AU"/>
      </w:rPr>
    </w:pPr>
    <w:r w:rsidRPr="00347824">
      <w:rPr>
        <w:noProof/>
        <w:lang w:eastAsia="en-AU"/>
      </w:rPr>
      <w:drawing>
        <wp:anchor distT="0" distB="0" distL="114300" distR="114300" simplePos="0" relativeHeight="251659264" behindDoc="1" locked="0" layoutInCell="1" allowOverlap="1" wp14:anchorId="5E2BB90A" wp14:editId="4E66997C">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151B5A77" w14:textId="4293EA44" w:rsidR="00017E9C" w:rsidRDefault="00017E9C"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00AB9" w14:textId="77777777" w:rsidR="00017E9C" w:rsidRDefault="00017E9C">
    <w:pPr>
      <w:pStyle w:val="Header"/>
    </w:pPr>
  </w:p>
  <w:p w14:paraId="7028471A" w14:textId="77777777" w:rsidR="00017E9C" w:rsidRDefault="00017E9C"/>
  <w:p w14:paraId="543C9FDD" w14:textId="77777777" w:rsidR="00017E9C" w:rsidRDefault="00017E9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60592" w14:textId="77777777" w:rsidR="00017E9C" w:rsidRDefault="00017E9C" w:rsidP="004E62F6">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32DC4" w14:textId="77777777" w:rsidR="00017E9C" w:rsidRDefault="00017E9C">
    <w:pPr>
      <w:pStyle w:val="Header"/>
    </w:pPr>
    <w:r>
      <w:t>Therapeutic Goods Administration</w:t>
    </w:r>
  </w:p>
  <w:p w14:paraId="4F3FB303" w14:textId="77777777" w:rsidR="00017E9C" w:rsidRDefault="00017E9C"/>
  <w:p w14:paraId="59C348D7" w14:textId="77777777" w:rsidR="00017E9C" w:rsidRDefault="00017E9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DDB48" w14:textId="77777777" w:rsidR="00017E9C" w:rsidRDefault="00017E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BB93D" w14:textId="77777777" w:rsidR="00017E9C" w:rsidRDefault="00017E9C"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3F471" w14:textId="77777777" w:rsidR="00017E9C" w:rsidRDefault="00017E9C" w:rsidP="006E08B3">
    <w:r>
      <w:t>Therapeutic Goods Administration</w:t>
    </w:r>
  </w:p>
  <w:p w14:paraId="7FB580F8" w14:textId="77777777" w:rsidR="00017E9C" w:rsidRDefault="00017E9C"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3D487D"/>
    <w:multiLevelType w:val="hybridMultilevel"/>
    <w:tmpl w:val="716C99E8"/>
    <w:lvl w:ilvl="0" w:tplc="C396CC6A">
      <w:numFmt w:val="bullet"/>
      <w:lvlText w:val="*"/>
      <w:lvlJc w:val="left"/>
      <w:pPr>
        <w:ind w:left="259" w:hanging="143"/>
      </w:pPr>
      <w:rPr>
        <w:rFonts w:ascii="Cambria" w:eastAsia="Cambria" w:hAnsi="Cambria" w:cs="Cambria" w:hint="default"/>
        <w:w w:val="100"/>
        <w:sz w:val="22"/>
        <w:szCs w:val="22"/>
        <w:lang w:val="en-AU" w:eastAsia="en-AU" w:bidi="en-AU"/>
      </w:rPr>
    </w:lvl>
    <w:lvl w:ilvl="1" w:tplc="B818DF60">
      <w:numFmt w:val="bullet"/>
      <w:lvlText w:val="•"/>
      <w:lvlJc w:val="left"/>
      <w:pPr>
        <w:ind w:left="1243" w:hanging="143"/>
      </w:pPr>
      <w:rPr>
        <w:rFonts w:hint="default"/>
        <w:lang w:val="en-AU" w:eastAsia="en-AU" w:bidi="en-AU"/>
      </w:rPr>
    </w:lvl>
    <w:lvl w:ilvl="2" w:tplc="02BA1844">
      <w:numFmt w:val="bullet"/>
      <w:lvlText w:val="•"/>
      <w:lvlJc w:val="left"/>
      <w:pPr>
        <w:ind w:left="2226" w:hanging="143"/>
      </w:pPr>
      <w:rPr>
        <w:rFonts w:hint="default"/>
        <w:lang w:val="en-AU" w:eastAsia="en-AU" w:bidi="en-AU"/>
      </w:rPr>
    </w:lvl>
    <w:lvl w:ilvl="3" w:tplc="66E4ABBE">
      <w:numFmt w:val="bullet"/>
      <w:lvlText w:val="•"/>
      <w:lvlJc w:val="left"/>
      <w:pPr>
        <w:ind w:left="3209" w:hanging="143"/>
      </w:pPr>
      <w:rPr>
        <w:rFonts w:hint="default"/>
        <w:lang w:val="en-AU" w:eastAsia="en-AU" w:bidi="en-AU"/>
      </w:rPr>
    </w:lvl>
    <w:lvl w:ilvl="4" w:tplc="13A04E06">
      <w:numFmt w:val="bullet"/>
      <w:lvlText w:val="•"/>
      <w:lvlJc w:val="left"/>
      <w:pPr>
        <w:ind w:left="4192" w:hanging="143"/>
      </w:pPr>
      <w:rPr>
        <w:rFonts w:hint="default"/>
        <w:lang w:val="en-AU" w:eastAsia="en-AU" w:bidi="en-AU"/>
      </w:rPr>
    </w:lvl>
    <w:lvl w:ilvl="5" w:tplc="C7ACA28C">
      <w:numFmt w:val="bullet"/>
      <w:lvlText w:val="•"/>
      <w:lvlJc w:val="left"/>
      <w:pPr>
        <w:ind w:left="5175" w:hanging="143"/>
      </w:pPr>
      <w:rPr>
        <w:rFonts w:hint="default"/>
        <w:lang w:val="en-AU" w:eastAsia="en-AU" w:bidi="en-AU"/>
      </w:rPr>
    </w:lvl>
    <w:lvl w:ilvl="6" w:tplc="66149D7A">
      <w:numFmt w:val="bullet"/>
      <w:lvlText w:val="•"/>
      <w:lvlJc w:val="left"/>
      <w:pPr>
        <w:ind w:left="6158" w:hanging="143"/>
      </w:pPr>
      <w:rPr>
        <w:rFonts w:hint="default"/>
        <w:lang w:val="en-AU" w:eastAsia="en-AU" w:bidi="en-AU"/>
      </w:rPr>
    </w:lvl>
    <w:lvl w:ilvl="7" w:tplc="C4F81866">
      <w:numFmt w:val="bullet"/>
      <w:lvlText w:val="•"/>
      <w:lvlJc w:val="left"/>
      <w:pPr>
        <w:ind w:left="7141" w:hanging="143"/>
      </w:pPr>
      <w:rPr>
        <w:rFonts w:hint="default"/>
        <w:lang w:val="en-AU" w:eastAsia="en-AU" w:bidi="en-AU"/>
      </w:rPr>
    </w:lvl>
    <w:lvl w:ilvl="8" w:tplc="5D5648DA">
      <w:numFmt w:val="bullet"/>
      <w:lvlText w:val="•"/>
      <w:lvlJc w:val="left"/>
      <w:pPr>
        <w:ind w:left="8124" w:hanging="143"/>
      </w:pPr>
      <w:rPr>
        <w:rFonts w:hint="default"/>
        <w:lang w:val="en-AU" w:eastAsia="en-AU" w:bidi="en-AU"/>
      </w:r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2C13091"/>
    <w:multiLevelType w:val="multilevel"/>
    <w:tmpl w:val="2182D4BE"/>
    <w:lvl w:ilvl="0">
      <w:start w:val="4"/>
      <w:numFmt w:val="decimal"/>
      <w:lvlText w:val="%1"/>
      <w:lvlJc w:val="left"/>
      <w:pPr>
        <w:ind w:left="1387" w:hanging="408"/>
      </w:pPr>
      <w:rPr>
        <w:rFonts w:hint="default"/>
        <w:lang w:val="en-AU" w:eastAsia="en-AU" w:bidi="en-AU"/>
      </w:rPr>
    </w:lvl>
    <w:lvl w:ilvl="1">
      <w:start w:val="1"/>
      <w:numFmt w:val="decimal"/>
      <w:lvlText w:val="%1.%2."/>
      <w:lvlJc w:val="left"/>
      <w:pPr>
        <w:ind w:left="1387" w:hanging="408"/>
        <w:jc w:val="right"/>
      </w:pPr>
      <w:rPr>
        <w:rFonts w:ascii="Cambria" w:eastAsia="Cambria" w:hAnsi="Cambria" w:cs="Cambria" w:hint="default"/>
        <w:b/>
        <w:bCs/>
        <w:spacing w:val="-2"/>
        <w:w w:val="100"/>
        <w:sz w:val="22"/>
        <w:szCs w:val="22"/>
        <w:lang w:val="en-AU" w:eastAsia="en-AU" w:bidi="en-AU"/>
      </w:rPr>
    </w:lvl>
    <w:lvl w:ilvl="2">
      <w:start w:val="1"/>
      <w:numFmt w:val="decimal"/>
      <w:lvlText w:val="%1.%2.%3."/>
      <w:lvlJc w:val="left"/>
      <w:pPr>
        <w:ind w:left="979" w:hanging="720"/>
      </w:pPr>
      <w:rPr>
        <w:rFonts w:ascii="Cambria" w:eastAsia="Cambria" w:hAnsi="Cambria" w:cs="Cambria" w:hint="default"/>
        <w:b/>
        <w:bCs/>
        <w:spacing w:val="-2"/>
        <w:w w:val="100"/>
        <w:sz w:val="22"/>
        <w:szCs w:val="22"/>
        <w:lang w:val="en-AU" w:eastAsia="en-AU" w:bidi="en-AU"/>
      </w:rPr>
    </w:lvl>
    <w:lvl w:ilvl="3">
      <w:numFmt w:val="bullet"/>
      <w:lvlText w:val="•"/>
      <w:lvlJc w:val="left"/>
      <w:pPr>
        <w:ind w:left="3315" w:hanging="720"/>
      </w:pPr>
      <w:rPr>
        <w:rFonts w:hint="default"/>
        <w:lang w:val="en-AU" w:eastAsia="en-AU" w:bidi="en-AU"/>
      </w:rPr>
    </w:lvl>
    <w:lvl w:ilvl="4">
      <w:numFmt w:val="bullet"/>
      <w:lvlText w:val="•"/>
      <w:lvlJc w:val="left"/>
      <w:pPr>
        <w:ind w:left="4283" w:hanging="720"/>
      </w:pPr>
      <w:rPr>
        <w:rFonts w:hint="default"/>
        <w:lang w:val="en-AU" w:eastAsia="en-AU" w:bidi="en-AU"/>
      </w:rPr>
    </w:lvl>
    <w:lvl w:ilvl="5">
      <w:numFmt w:val="bullet"/>
      <w:lvlText w:val="•"/>
      <w:lvlJc w:val="left"/>
      <w:pPr>
        <w:ind w:left="5251" w:hanging="720"/>
      </w:pPr>
      <w:rPr>
        <w:rFonts w:hint="default"/>
        <w:lang w:val="en-AU" w:eastAsia="en-AU" w:bidi="en-AU"/>
      </w:rPr>
    </w:lvl>
    <w:lvl w:ilvl="6">
      <w:numFmt w:val="bullet"/>
      <w:lvlText w:val="•"/>
      <w:lvlJc w:val="left"/>
      <w:pPr>
        <w:ind w:left="6219" w:hanging="720"/>
      </w:pPr>
      <w:rPr>
        <w:rFonts w:hint="default"/>
        <w:lang w:val="en-AU" w:eastAsia="en-AU" w:bidi="en-AU"/>
      </w:rPr>
    </w:lvl>
    <w:lvl w:ilvl="7">
      <w:numFmt w:val="bullet"/>
      <w:lvlText w:val="•"/>
      <w:lvlJc w:val="left"/>
      <w:pPr>
        <w:ind w:left="7187" w:hanging="720"/>
      </w:pPr>
      <w:rPr>
        <w:rFonts w:hint="default"/>
        <w:lang w:val="en-AU" w:eastAsia="en-AU" w:bidi="en-AU"/>
      </w:rPr>
    </w:lvl>
    <w:lvl w:ilvl="8">
      <w:numFmt w:val="bullet"/>
      <w:lvlText w:val="•"/>
      <w:lvlJc w:val="left"/>
      <w:pPr>
        <w:ind w:left="8155" w:hanging="720"/>
      </w:pPr>
      <w:rPr>
        <w:rFonts w:hint="default"/>
        <w:lang w:val="en-AU" w:eastAsia="en-AU" w:bidi="en-AU"/>
      </w:rPr>
    </w:lvl>
  </w:abstractNum>
  <w:abstractNum w:abstractNumId="8" w15:restartNumberingAfterBreak="0">
    <w:nsid w:val="168F13E9"/>
    <w:multiLevelType w:val="multilevel"/>
    <w:tmpl w:val="D5CA4854"/>
    <w:styleLink w:val="ListBullets"/>
    <w:lvl w:ilvl="0">
      <w:start w:val="1"/>
      <w:numFmt w:val="bullet"/>
      <w:pStyle w:val="ListBullet"/>
      <w:lvlText w:val="•"/>
      <w:lvlJc w:val="left"/>
      <w:pPr>
        <w:ind w:left="360" w:hanging="360"/>
      </w:pPr>
      <w:rPr>
        <w:rFonts w:ascii="Cambria" w:hAnsi="Cambria" w:hint="default"/>
        <w:color w:val="auto"/>
        <w:sz w:val="20"/>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CF178B0"/>
    <w:multiLevelType w:val="hybridMultilevel"/>
    <w:tmpl w:val="95B4C5FA"/>
    <w:lvl w:ilvl="0" w:tplc="BB76357C">
      <w:start w:val="4"/>
      <w:numFmt w:val="decimal"/>
      <w:lvlText w:val="%1."/>
      <w:lvlJc w:val="left"/>
      <w:pPr>
        <w:ind w:left="679" w:hanging="420"/>
      </w:pPr>
      <w:rPr>
        <w:rFonts w:ascii="Cambria" w:eastAsia="Cambria" w:hAnsi="Cambria" w:cs="Cambria" w:hint="default"/>
        <w:b/>
        <w:bCs/>
        <w:spacing w:val="-2"/>
        <w:w w:val="100"/>
        <w:sz w:val="22"/>
        <w:szCs w:val="22"/>
        <w:lang w:val="en-AU" w:eastAsia="en-AU" w:bidi="en-AU"/>
      </w:rPr>
    </w:lvl>
    <w:lvl w:ilvl="1" w:tplc="5AD04AE0">
      <w:numFmt w:val="bullet"/>
      <w:lvlText w:val=""/>
      <w:lvlJc w:val="left"/>
      <w:pPr>
        <w:ind w:left="979" w:hanging="360"/>
      </w:pPr>
      <w:rPr>
        <w:rFonts w:hint="default"/>
        <w:w w:val="99"/>
        <w:lang w:val="en-AU" w:eastAsia="en-AU" w:bidi="en-AU"/>
      </w:rPr>
    </w:lvl>
    <w:lvl w:ilvl="2" w:tplc="DF183560">
      <w:numFmt w:val="bullet"/>
      <w:lvlText w:val="•"/>
      <w:lvlJc w:val="left"/>
      <w:pPr>
        <w:ind w:left="1992" w:hanging="360"/>
      </w:pPr>
      <w:rPr>
        <w:rFonts w:hint="default"/>
        <w:lang w:val="en-AU" w:eastAsia="en-AU" w:bidi="en-AU"/>
      </w:rPr>
    </w:lvl>
    <w:lvl w:ilvl="3" w:tplc="261C730A">
      <w:numFmt w:val="bullet"/>
      <w:lvlText w:val="•"/>
      <w:lvlJc w:val="left"/>
      <w:pPr>
        <w:ind w:left="3004" w:hanging="360"/>
      </w:pPr>
      <w:rPr>
        <w:rFonts w:hint="default"/>
        <w:lang w:val="en-AU" w:eastAsia="en-AU" w:bidi="en-AU"/>
      </w:rPr>
    </w:lvl>
    <w:lvl w:ilvl="4" w:tplc="D69A6228">
      <w:numFmt w:val="bullet"/>
      <w:lvlText w:val="•"/>
      <w:lvlJc w:val="left"/>
      <w:pPr>
        <w:ind w:left="4017" w:hanging="360"/>
      </w:pPr>
      <w:rPr>
        <w:rFonts w:hint="default"/>
        <w:lang w:val="en-AU" w:eastAsia="en-AU" w:bidi="en-AU"/>
      </w:rPr>
    </w:lvl>
    <w:lvl w:ilvl="5" w:tplc="1868A650">
      <w:numFmt w:val="bullet"/>
      <w:lvlText w:val="•"/>
      <w:lvlJc w:val="left"/>
      <w:pPr>
        <w:ind w:left="5029" w:hanging="360"/>
      </w:pPr>
      <w:rPr>
        <w:rFonts w:hint="default"/>
        <w:lang w:val="en-AU" w:eastAsia="en-AU" w:bidi="en-AU"/>
      </w:rPr>
    </w:lvl>
    <w:lvl w:ilvl="6" w:tplc="E22A15AC">
      <w:numFmt w:val="bullet"/>
      <w:lvlText w:val="•"/>
      <w:lvlJc w:val="left"/>
      <w:pPr>
        <w:ind w:left="6041" w:hanging="360"/>
      </w:pPr>
      <w:rPr>
        <w:rFonts w:hint="default"/>
        <w:lang w:val="en-AU" w:eastAsia="en-AU" w:bidi="en-AU"/>
      </w:rPr>
    </w:lvl>
    <w:lvl w:ilvl="7" w:tplc="CFB62FEA">
      <w:numFmt w:val="bullet"/>
      <w:lvlText w:val="•"/>
      <w:lvlJc w:val="left"/>
      <w:pPr>
        <w:ind w:left="7054" w:hanging="360"/>
      </w:pPr>
      <w:rPr>
        <w:rFonts w:hint="default"/>
        <w:lang w:val="en-AU" w:eastAsia="en-AU" w:bidi="en-AU"/>
      </w:rPr>
    </w:lvl>
    <w:lvl w:ilvl="8" w:tplc="6BE48DF2">
      <w:numFmt w:val="bullet"/>
      <w:lvlText w:val="•"/>
      <w:lvlJc w:val="left"/>
      <w:pPr>
        <w:ind w:left="8066" w:hanging="360"/>
      </w:pPr>
      <w:rPr>
        <w:rFonts w:hint="default"/>
        <w:lang w:val="en-AU" w:eastAsia="en-AU" w:bidi="en-AU"/>
      </w:rPr>
    </w:lvl>
  </w:abstractNum>
  <w:abstractNum w:abstractNumId="10" w15:restartNumberingAfterBreak="0">
    <w:nsid w:val="226D780A"/>
    <w:multiLevelType w:val="hybridMultilevel"/>
    <w:tmpl w:val="C9264AB2"/>
    <w:lvl w:ilvl="0" w:tplc="E3BC4060">
      <w:numFmt w:val="bullet"/>
      <w:lvlText w:val=""/>
      <w:lvlJc w:val="left"/>
      <w:pPr>
        <w:ind w:left="979" w:hanging="360"/>
      </w:pPr>
      <w:rPr>
        <w:rFonts w:ascii="Symbol" w:eastAsia="Symbol" w:hAnsi="Symbol" w:cs="Symbol" w:hint="default"/>
        <w:w w:val="100"/>
        <w:position w:val="2"/>
        <w:sz w:val="22"/>
        <w:szCs w:val="22"/>
        <w:lang w:val="en-AU" w:eastAsia="en-AU" w:bidi="en-AU"/>
      </w:rPr>
    </w:lvl>
    <w:lvl w:ilvl="1" w:tplc="2B82A97C">
      <w:numFmt w:val="bullet"/>
      <w:lvlText w:val="•"/>
      <w:lvlJc w:val="left"/>
      <w:pPr>
        <w:ind w:left="1891" w:hanging="360"/>
      </w:pPr>
      <w:rPr>
        <w:rFonts w:hint="default"/>
        <w:lang w:val="en-AU" w:eastAsia="en-AU" w:bidi="en-AU"/>
      </w:rPr>
    </w:lvl>
    <w:lvl w:ilvl="2" w:tplc="9ED25C7A">
      <w:numFmt w:val="bullet"/>
      <w:lvlText w:val="•"/>
      <w:lvlJc w:val="left"/>
      <w:pPr>
        <w:ind w:left="2802" w:hanging="360"/>
      </w:pPr>
      <w:rPr>
        <w:rFonts w:hint="default"/>
        <w:lang w:val="en-AU" w:eastAsia="en-AU" w:bidi="en-AU"/>
      </w:rPr>
    </w:lvl>
    <w:lvl w:ilvl="3" w:tplc="13F870F6">
      <w:numFmt w:val="bullet"/>
      <w:lvlText w:val="•"/>
      <w:lvlJc w:val="left"/>
      <w:pPr>
        <w:ind w:left="3713" w:hanging="360"/>
      </w:pPr>
      <w:rPr>
        <w:rFonts w:hint="default"/>
        <w:lang w:val="en-AU" w:eastAsia="en-AU" w:bidi="en-AU"/>
      </w:rPr>
    </w:lvl>
    <w:lvl w:ilvl="4" w:tplc="EFF8BE7C">
      <w:numFmt w:val="bullet"/>
      <w:lvlText w:val="•"/>
      <w:lvlJc w:val="left"/>
      <w:pPr>
        <w:ind w:left="4624" w:hanging="360"/>
      </w:pPr>
      <w:rPr>
        <w:rFonts w:hint="default"/>
        <w:lang w:val="en-AU" w:eastAsia="en-AU" w:bidi="en-AU"/>
      </w:rPr>
    </w:lvl>
    <w:lvl w:ilvl="5" w:tplc="5456EB58">
      <w:numFmt w:val="bullet"/>
      <w:lvlText w:val="•"/>
      <w:lvlJc w:val="left"/>
      <w:pPr>
        <w:ind w:left="5535" w:hanging="360"/>
      </w:pPr>
      <w:rPr>
        <w:rFonts w:hint="default"/>
        <w:lang w:val="en-AU" w:eastAsia="en-AU" w:bidi="en-AU"/>
      </w:rPr>
    </w:lvl>
    <w:lvl w:ilvl="6" w:tplc="0D8E4B66">
      <w:numFmt w:val="bullet"/>
      <w:lvlText w:val="•"/>
      <w:lvlJc w:val="left"/>
      <w:pPr>
        <w:ind w:left="6446" w:hanging="360"/>
      </w:pPr>
      <w:rPr>
        <w:rFonts w:hint="default"/>
        <w:lang w:val="en-AU" w:eastAsia="en-AU" w:bidi="en-AU"/>
      </w:rPr>
    </w:lvl>
    <w:lvl w:ilvl="7" w:tplc="1384FE4A">
      <w:numFmt w:val="bullet"/>
      <w:lvlText w:val="•"/>
      <w:lvlJc w:val="left"/>
      <w:pPr>
        <w:ind w:left="7357" w:hanging="360"/>
      </w:pPr>
      <w:rPr>
        <w:rFonts w:hint="default"/>
        <w:lang w:val="en-AU" w:eastAsia="en-AU" w:bidi="en-AU"/>
      </w:rPr>
    </w:lvl>
    <w:lvl w:ilvl="8" w:tplc="150A8E24">
      <w:numFmt w:val="bullet"/>
      <w:lvlText w:val="•"/>
      <w:lvlJc w:val="left"/>
      <w:pPr>
        <w:ind w:left="8268" w:hanging="360"/>
      </w:pPr>
      <w:rPr>
        <w:rFonts w:hint="default"/>
        <w:lang w:val="en-AU" w:eastAsia="en-AU" w:bidi="en-AU"/>
      </w:rPr>
    </w:lvl>
  </w:abstractNum>
  <w:abstractNum w:abstractNumId="11" w15:restartNumberingAfterBreak="0">
    <w:nsid w:val="300978D4"/>
    <w:multiLevelType w:val="hybridMultilevel"/>
    <w:tmpl w:val="8228D662"/>
    <w:lvl w:ilvl="0" w:tplc="2FCAA12E">
      <w:numFmt w:val="bullet"/>
      <w:lvlText w:val="*"/>
      <w:lvlJc w:val="left"/>
      <w:pPr>
        <w:ind w:left="259" w:hanging="143"/>
      </w:pPr>
      <w:rPr>
        <w:rFonts w:ascii="Cambria" w:eastAsia="Cambria" w:hAnsi="Cambria" w:cs="Cambria" w:hint="default"/>
        <w:w w:val="100"/>
        <w:sz w:val="22"/>
        <w:szCs w:val="22"/>
        <w:lang w:val="en-AU" w:eastAsia="en-AU" w:bidi="en-AU"/>
      </w:rPr>
    </w:lvl>
    <w:lvl w:ilvl="1" w:tplc="E434286C">
      <w:numFmt w:val="bullet"/>
      <w:lvlText w:val="*"/>
      <w:lvlJc w:val="left"/>
      <w:pPr>
        <w:ind w:left="259" w:hanging="143"/>
      </w:pPr>
      <w:rPr>
        <w:rFonts w:ascii="Cambria" w:eastAsia="Cambria" w:hAnsi="Cambria" w:cs="Cambria" w:hint="default"/>
        <w:w w:val="100"/>
        <w:sz w:val="22"/>
        <w:szCs w:val="22"/>
        <w:lang w:val="en-AU" w:eastAsia="en-AU" w:bidi="en-AU"/>
      </w:rPr>
    </w:lvl>
    <w:lvl w:ilvl="2" w:tplc="40186302">
      <w:numFmt w:val="bullet"/>
      <w:lvlText w:val=""/>
      <w:lvlJc w:val="left"/>
      <w:pPr>
        <w:ind w:left="979" w:hanging="360"/>
      </w:pPr>
      <w:rPr>
        <w:rFonts w:hint="default"/>
        <w:w w:val="100"/>
        <w:lang w:val="en-AU" w:eastAsia="en-AU" w:bidi="en-AU"/>
      </w:rPr>
    </w:lvl>
    <w:lvl w:ilvl="3" w:tplc="C696E65C">
      <w:numFmt w:val="bullet"/>
      <w:lvlText w:val="•"/>
      <w:lvlJc w:val="left"/>
      <w:pPr>
        <w:ind w:left="3004" w:hanging="360"/>
      </w:pPr>
      <w:rPr>
        <w:rFonts w:hint="default"/>
        <w:lang w:val="en-AU" w:eastAsia="en-AU" w:bidi="en-AU"/>
      </w:rPr>
    </w:lvl>
    <w:lvl w:ilvl="4" w:tplc="07D61F0C">
      <w:numFmt w:val="bullet"/>
      <w:lvlText w:val="•"/>
      <w:lvlJc w:val="left"/>
      <w:pPr>
        <w:ind w:left="4017" w:hanging="360"/>
      </w:pPr>
      <w:rPr>
        <w:rFonts w:hint="default"/>
        <w:lang w:val="en-AU" w:eastAsia="en-AU" w:bidi="en-AU"/>
      </w:rPr>
    </w:lvl>
    <w:lvl w:ilvl="5" w:tplc="8F94BD72">
      <w:numFmt w:val="bullet"/>
      <w:lvlText w:val="•"/>
      <w:lvlJc w:val="left"/>
      <w:pPr>
        <w:ind w:left="5029" w:hanging="360"/>
      </w:pPr>
      <w:rPr>
        <w:rFonts w:hint="default"/>
        <w:lang w:val="en-AU" w:eastAsia="en-AU" w:bidi="en-AU"/>
      </w:rPr>
    </w:lvl>
    <w:lvl w:ilvl="6" w:tplc="4DB6B1A6">
      <w:numFmt w:val="bullet"/>
      <w:lvlText w:val="•"/>
      <w:lvlJc w:val="left"/>
      <w:pPr>
        <w:ind w:left="6041" w:hanging="360"/>
      </w:pPr>
      <w:rPr>
        <w:rFonts w:hint="default"/>
        <w:lang w:val="en-AU" w:eastAsia="en-AU" w:bidi="en-AU"/>
      </w:rPr>
    </w:lvl>
    <w:lvl w:ilvl="7" w:tplc="E50A500E">
      <w:numFmt w:val="bullet"/>
      <w:lvlText w:val="•"/>
      <w:lvlJc w:val="left"/>
      <w:pPr>
        <w:ind w:left="7054" w:hanging="360"/>
      </w:pPr>
      <w:rPr>
        <w:rFonts w:hint="default"/>
        <w:lang w:val="en-AU" w:eastAsia="en-AU" w:bidi="en-AU"/>
      </w:rPr>
    </w:lvl>
    <w:lvl w:ilvl="8" w:tplc="93386528">
      <w:numFmt w:val="bullet"/>
      <w:lvlText w:val="•"/>
      <w:lvlJc w:val="left"/>
      <w:pPr>
        <w:ind w:left="8066" w:hanging="360"/>
      </w:pPr>
      <w:rPr>
        <w:rFonts w:hint="default"/>
        <w:lang w:val="en-AU" w:eastAsia="en-AU" w:bidi="en-AU"/>
      </w:rPr>
    </w:lvl>
  </w:abstractNum>
  <w:abstractNum w:abstractNumId="12" w15:restartNumberingAfterBreak="0">
    <w:nsid w:val="33D37448"/>
    <w:multiLevelType w:val="multilevel"/>
    <w:tmpl w:val="2182D4BE"/>
    <w:lvl w:ilvl="0">
      <w:start w:val="4"/>
      <w:numFmt w:val="decimal"/>
      <w:lvlText w:val="%1"/>
      <w:lvlJc w:val="left"/>
      <w:pPr>
        <w:ind w:left="1387" w:hanging="408"/>
      </w:pPr>
      <w:rPr>
        <w:rFonts w:hint="default"/>
        <w:lang w:val="en-AU" w:eastAsia="en-AU" w:bidi="en-AU"/>
      </w:rPr>
    </w:lvl>
    <w:lvl w:ilvl="1">
      <w:start w:val="1"/>
      <w:numFmt w:val="decimal"/>
      <w:lvlText w:val="%1.%2."/>
      <w:lvlJc w:val="left"/>
      <w:pPr>
        <w:ind w:left="1387" w:hanging="408"/>
        <w:jc w:val="right"/>
      </w:pPr>
      <w:rPr>
        <w:rFonts w:ascii="Cambria" w:eastAsia="Cambria" w:hAnsi="Cambria" w:cs="Cambria" w:hint="default"/>
        <w:b/>
        <w:bCs/>
        <w:spacing w:val="-2"/>
        <w:w w:val="100"/>
        <w:sz w:val="22"/>
        <w:szCs w:val="22"/>
        <w:lang w:val="en-AU" w:eastAsia="en-AU" w:bidi="en-AU"/>
      </w:rPr>
    </w:lvl>
    <w:lvl w:ilvl="2">
      <w:start w:val="1"/>
      <w:numFmt w:val="decimal"/>
      <w:lvlText w:val="%1.%2.%3."/>
      <w:lvlJc w:val="left"/>
      <w:pPr>
        <w:ind w:left="979" w:hanging="720"/>
      </w:pPr>
      <w:rPr>
        <w:rFonts w:ascii="Cambria" w:eastAsia="Cambria" w:hAnsi="Cambria" w:cs="Cambria" w:hint="default"/>
        <w:b/>
        <w:bCs/>
        <w:spacing w:val="-2"/>
        <w:w w:val="100"/>
        <w:sz w:val="22"/>
        <w:szCs w:val="22"/>
        <w:lang w:val="en-AU" w:eastAsia="en-AU" w:bidi="en-AU"/>
      </w:rPr>
    </w:lvl>
    <w:lvl w:ilvl="3">
      <w:numFmt w:val="bullet"/>
      <w:lvlText w:val="•"/>
      <w:lvlJc w:val="left"/>
      <w:pPr>
        <w:ind w:left="3315" w:hanging="720"/>
      </w:pPr>
      <w:rPr>
        <w:rFonts w:hint="default"/>
        <w:lang w:val="en-AU" w:eastAsia="en-AU" w:bidi="en-AU"/>
      </w:rPr>
    </w:lvl>
    <w:lvl w:ilvl="4">
      <w:numFmt w:val="bullet"/>
      <w:lvlText w:val="•"/>
      <w:lvlJc w:val="left"/>
      <w:pPr>
        <w:ind w:left="4283" w:hanging="720"/>
      </w:pPr>
      <w:rPr>
        <w:rFonts w:hint="default"/>
        <w:lang w:val="en-AU" w:eastAsia="en-AU" w:bidi="en-AU"/>
      </w:rPr>
    </w:lvl>
    <w:lvl w:ilvl="5">
      <w:numFmt w:val="bullet"/>
      <w:lvlText w:val="•"/>
      <w:lvlJc w:val="left"/>
      <w:pPr>
        <w:ind w:left="5251" w:hanging="720"/>
      </w:pPr>
      <w:rPr>
        <w:rFonts w:hint="default"/>
        <w:lang w:val="en-AU" w:eastAsia="en-AU" w:bidi="en-AU"/>
      </w:rPr>
    </w:lvl>
    <w:lvl w:ilvl="6">
      <w:numFmt w:val="bullet"/>
      <w:lvlText w:val="•"/>
      <w:lvlJc w:val="left"/>
      <w:pPr>
        <w:ind w:left="6219" w:hanging="720"/>
      </w:pPr>
      <w:rPr>
        <w:rFonts w:hint="default"/>
        <w:lang w:val="en-AU" w:eastAsia="en-AU" w:bidi="en-AU"/>
      </w:rPr>
    </w:lvl>
    <w:lvl w:ilvl="7">
      <w:numFmt w:val="bullet"/>
      <w:lvlText w:val="•"/>
      <w:lvlJc w:val="left"/>
      <w:pPr>
        <w:ind w:left="7187" w:hanging="720"/>
      </w:pPr>
      <w:rPr>
        <w:rFonts w:hint="default"/>
        <w:lang w:val="en-AU" w:eastAsia="en-AU" w:bidi="en-AU"/>
      </w:rPr>
    </w:lvl>
    <w:lvl w:ilvl="8">
      <w:numFmt w:val="bullet"/>
      <w:lvlText w:val="•"/>
      <w:lvlJc w:val="left"/>
      <w:pPr>
        <w:ind w:left="8155" w:hanging="720"/>
      </w:pPr>
      <w:rPr>
        <w:rFonts w:hint="default"/>
        <w:lang w:val="en-AU" w:eastAsia="en-AU" w:bidi="en-AU"/>
      </w:rPr>
    </w:lvl>
  </w:abstractNum>
  <w:abstractNum w:abstractNumId="13" w15:restartNumberingAfterBreak="0">
    <w:nsid w:val="4C4B1BB9"/>
    <w:multiLevelType w:val="hybridMultilevel"/>
    <w:tmpl w:val="7B7256AE"/>
    <w:lvl w:ilvl="0" w:tplc="C464E6B2">
      <w:start w:val="1"/>
      <w:numFmt w:val="decimal"/>
      <w:lvlText w:val="%1."/>
      <w:lvlJc w:val="left"/>
      <w:pPr>
        <w:ind w:left="1267" w:hanging="648"/>
      </w:pPr>
      <w:rPr>
        <w:rFonts w:hint="default"/>
        <w:b/>
        <w:bCs/>
        <w:spacing w:val="-2"/>
        <w:w w:val="100"/>
        <w:lang w:val="en-AU" w:eastAsia="en-AU" w:bidi="en-AU"/>
      </w:rPr>
    </w:lvl>
    <w:lvl w:ilvl="1" w:tplc="E572E3D8">
      <w:numFmt w:val="bullet"/>
      <w:lvlText w:val="•"/>
      <w:lvlJc w:val="left"/>
      <w:pPr>
        <w:ind w:left="1126" w:hanging="147"/>
      </w:pPr>
      <w:rPr>
        <w:rFonts w:ascii="Cambria" w:eastAsia="Cambria" w:hAnsi="Cambria" w:cs="Cambria" w:hint="default"/>
        <w:i/>
        <w:w w:val="100"/>
        <w:sz w:val="22"/>
        <w:szCs w:val="22"/>
        <w:lang w:val="en-AU" w:eastAsia="en-AU" w:bidi="en-AU"/>
      </w:rPr>
    </w:lvl>
    <w:lvl w:ilvl="2" w:tplc="5268BCAA">
      <w:numFmt w:val="bullet"/>
      <w:lvlText w:val="•"/>
      <w:lvlJc w:val="left"/>
      <w:pPr>
        <w:ind w:left="2241" w:hanging="147"/>
      </w:pPr>
      <w:rPr>
        <w:rFonts w:hint="default"/>
        <w:lang w:val="en-AU" w:eastAsia="en-AU" w:bidi="en-AU"/>
      </w:rPr>
    </w:lvl>
    <w:lvl w:ilvl="3" w:tplc="53660A1A">
      <w:numFmt w:val="bullet"/>
      <w:lvlText w:val="•"/>
      <w:lvlJc w:val="left"/>
      <w:pPr>
        <w:ind w:left="3222" w:hanging="147"/>
      </w:pPr>
      <w:rPr>
        <w:rFonts w:hint="default"/>
        <w:lang w:val="en-AU" w:eastAsia="en-AU" w:bidi="en-AU"/>
      </w:rPr>
    </w:lvl>
    <w:lvl w:ilvl="4" w:tplc="F42A703C">
      <w:numFmt w:val="bullet"/>
      <w:lvlText w:val="•"/>
      <w:lvlJc w:val="left"/>
      <w:pPr>
        <w:ind w:left="4203" w:hanging="147"/>
      </w:pPr>
      <w:rPr>
        <w:rFonts w:hint="default"/>
        <w:lang w:val="en-AU" w:eastAsia="en-AU" w:bidi="en-AU"/>
      </w:rPr>
    </w:lvl>
    <w:lvl w:ilvl="5" w:tplc="4D04E048">
      <w:numFmt w:val="bullet"/>
      <w:lvlText w:val="•"/>
      <w:lvlJc w:val="left"/>
      <w:pPr>
        <w:ind w:left="5184" w:hanging="147"/>
      </w:pPr>
      <w:rPr>
        <w:rFonts w:hint="default"/>
        <w:lang w:val="en-AU" w:eastAsia="en-AU" w:bidi="en-AU"/>
      </w:rPr>
    </w:lvl>
    <w:lvl w:ilvl="6" w:tplc="C4E8AB1C">
      <w:numFmt w:val="bullet"/>
      <w:lvlText w:val="•"/>
      <w:lvlJc w:val="left"/>
      <w:pPr>
        <w:ind w:left="6166" w:hanging="147"/>
      </w:pPr>
      <w:rPr>
        <w:rFonts w:hint="default"/>
        <w:lang w:val="en-AU" w:eastAsia="en-AU" w:bidi="en-AU"/>
      </w:rPr>
    </w:lvl>
    <w:lvl w:ilvl="7" w:tplc="D8909094">
      <w:numFmt w:val="bullet"/>
      <w:lvlText w:val="•"/>
      <w:lvlJc w:val="left"/>
      <w:pPr>
        <w:ind w:left="7147" w:hanging="147"/>
      </w:pPr>
      <w:rPr>
        <w:rFonts w:hint="default"/>
        <w:lang w:val="en-AU" w:eastAsia="en-AU" w:bidi="en-AU"/>
      </w:rPr>
    </w:lvl>
    <w:lvl w:ilvl="8" w:tplc="13A03410">
      <w:numFmt w:val="bullet"/>
      <w:lvlText w:val="•"/>
      <w:lvlJc w:val="left"/>
      <w:pPr>
        <w:ind w:left="8128" w:hanging="147"/>
      </w:pPr>
      <w:rPr>
        <w:rFonts w:hint="default"/>
        <w:lang w:val="en-AU" w:eastAsia="en-AU" w:bidi="en-AU"/>
      </w:rPr>
    </w:lvl>
  </w:abstractNum>
  <w:abstractNum w:abstractNumId="14"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7C2BC8"/>
    <w:multiLevelType w:val="hybridMultilevel"/>
    <w:tmpl w:val="C354153E"/>
    <w:lvl w:ilvl="0" w:tplc="50F673CC">
      <w:numFmt w:val="bullet"/>
      <w:lvlText w:val=""/>
      <w:lvlJc w:val="left"/>
      <w:pPr>
        <w:ind w:left="686" w:hanging="360"/>
      </w:pPr>
      <w:rPr>
        <w:rFonts w:ascii="Symbol" w:eastAsia="Symbol" w:hAnsi="Symbol" w:cs="Symbol" w:hint="default"/>
        <w:w w:val="100"/>
        <w:sz w:val="22"/>
        <w:szCs w:val="22"/>
        <w:lang w:val="en-AU" w:eastAsia="en-AU" w:bidi="en-AU"/>
      </w:rPr>
    </w:lvl>
    <w:lvl w:ilvl="1" w:tplc="B5948038">
      <w:numFmt w:val="bullet"/>
      <w:lvlText w:val="•"/>
      <w:lvlJc w:val="left"/>
      <w:pPr>
        <w:ind w:left="1621" w:hanging="360"/>
      </w:pPr>
      <w:rPr>
        <w:rFonts w:hint="default"/>
        <w:lang w:val="en-AU" w:eastAsia="en-AU" w:bidi="en-AU"/>
      </w:rPr>
    </w:lvl>
    <w:lvl w:ilvl="2" w:tplc="89480CB4">
      <w:numFmt w:val="bullet"/>
      <w:lvlText w:val="•"/>
      <w:lvlJc w:val="left"/>
      <w:pPr>
        <w:ind w:left="2562" w:hanging="360"/>
      </w:pPr>
      <w:rPr>
        <w:rFonts w:hint="default"/>
        <w:lang w:val="en-AU" w:eastAsia="en-AU" w:bidi="en-AU"/>
      </w:rPr>
    </w:lvl>
    <w:lvl w:ilvl="3" w:tplc="A3465BBC">
      <w:numFmt w:val="bullet"/>
      <w:lvlText w:val="•"/>
      <w:lvlJc w:val="left"/>
      <w:pPr>
        <w:ind w:left="3503" w:hanging="360"/>
      </w:pPr>
      <w:rPr>
        <w:rFonts w:hint="default"/>
        <w:lang w:val="en-AU" w:eastAsia="en-AU" w:bidi="en-AU"/>
      </w:rPr>
    </w:lvl>
    <w:lvl w:ilvl="4" w:tplc="B568C92A">
      <w:numFmt w:val="bullet"/>
      <w:lvlText w:val="•"/>
      <w:lvlJc w:val="left"/>
      <w:pPr>
        <w:ind w:left="4444" w:hanging="360"/>
      </w:pPr>
      <w:rPr>
        <w:rFonts w:hint="default"/>
        <w:lang w:val="en-AU" w:eastAsia="en-AU" w:bidi="en-AU"/>
      </w:rPr>
    </w:lvl>
    <w:lvl w:ilvl="5" w:tplc="D09456B4">
      <w:numFmt w:val="bullet"/>
      <w:lvlText w:val="•"/>
      <w:lvlJc w:val="left"/>
      <w:pPr>
        <w:ind w:left="5385" w:hanging="360"/>
      </w:pPr>
      <w:rPr>
        <w:rFonts w:hint="default"/>
        <w:lang w:val="en-AU" w:eastAsia="en-AU" w:bidi="en-AU"/>
      </w:rPr>
    </w:lvl>
    <w:lvl w:ilvl="6" w:tplc="A1F6C94A">
      <w:numFmt w:val="bullet"/>
      <w:lvlText w:val="•"/>
      <w:lvlJc w:val="left"/>
      <w:pPr>
        <w:ind w:left="6326" w:hanging="360"/>
      </w:pPr>
      <w:rPr>
        <w:rFonts w:hint="default"/>
        <w:lang w:val="en-AU" w:eastAsia="en-AU" w:bidi="en-AU"/>
      </w:rPr>
    </w:lvl>
    <w:lvl w:ilvl="7" w:tplc="C8E47440">
      <w:numFmt w:val="bullet"/>
      <w:lvlText w:val="•"/>
      <w:lvlJc w:val="left"/>
      <w:pPr>
        <w:ind w:left="7267" w:hanging="360"/>
      </w:pPr>
      <w:rPr>
        <w:rFonts w:hint="default"/>
        <w:lang w:val="en-AU" w:eastAsia="en-AU" w:bidi="en-AU"/>
      </w:rPr>
    </w:lvl>
    <w:lvl w:ilvl="8" w:tplc="551202F2">
      <w:numFmt w:val="bullet"/>
      <w:lvlText w:val="•"/>
      <w:lvlJc w:val="left"/>
      <w:pPr>
        <w:ind w:left="8208" w:hanging="360"/>
      </w:pPr>
      <w:rPr>
        <w:rFonts w:hint="default"/>
        <w:lang w:val="en-AU" w:eastAsia="en-AU" w:bidi="en-AU"/>
      </w:rPr>
    </w:lvl>
  </w:abstractNum>
  <w:abstractNum w:abstractNumId="16" w15:restartNumberingAfterBreak="0">
    <w:nsid w:val="734269D4"/>
    <w:multiLevelType w:val="hybridMultilevel"/>
    <w:tmpl w:val="702263D4"/>
    <w:lvl w:ilvl="0" w:tplc="3DE00512">
      <w:numFmt w:val="bullet"/>
      <w:lvlText w:val="•"/>
      <w:lvlJc w:val="left"/>
      <w:pPr>
        <w:ind w:left="1126" w:hanging="147"/>
      </w:pPr>
      <w:rPr>
        <w:rFonts w:ascii="Cambria" w:eastAsia="Cambria" w:hAnsi="Cambria" w:cs="Cambria" w:hint="default"/>
        <w:w w:val="100"/>
        <w:sz w:val="22"/>
        <w:szCs w:val="22"/>
        <w:lang w:val="en-AU" w:eastAsia="en-AU" w:bidi="en-AU"/>
      </w:rPr>
    </w:lvl>
    <w:lvl w:ilvl="1" w:tplc="C6E845A6">
      <w:numFmt w:val="bullet"/>
      <w:lvlText w:val="•"/>
      <w:lvlJc w:val="left"/>
      <w:pPr>
        <w:ind w:left="2017" w:hanging="147"/>
      </w:pPr>
      <w:rPr>
        <w:rFonts w:hint="default"/>
        <w:lang w:val="en-AU" w:eastAsia="en-AU" w:bidi="en-AU"/>
      </w:rPr>
    </w:lvl>
    <w:lvl w:ilvl="2" w:tplc="4FA87544">
      <w:numFmt w:val="bullet"/>
      <w:lvlText w:val="•"/>
      <w:lvlJc w:val="left"/>
      <w:pPr>
        <w:ind w:left="2914" w:hanging="147"/>
      </w:pPr>
      <w:rPr>
        <w:rFonts w:hint="default"/>
        <w:lang w:val="en-AU" w:eastAsia="en-AU" w:bidi="en-AU"/>
      </w:rPr>
    </w:lvl>
    <w:lvl w:ilvl="3" w:tplc="49387D88">
      <w:numFmt w:val="bullet"/>
      <w:lvlText w:val="•"/>
      <w:lvlJc w:val="left"/>
      <w:pPr>
        <w:ind w:left="3811" w:hanging="147"/>
      </w:pPr>
      <w:rPr>
        <w:rFonts w:hint="default"/>
        <w:lang w:val="en-AU" w:eastAsia="en-AU" w:bidi="en-AU"/>
      </w:rPr>
    </w:lvl>
    <w:lvl w:ilvl="4" w:tplc="484AB526">
      <w:numFmt w:val="bullet"/>
      <w:lvlText w:val="•"/>
      <w:lvlJc w:val="left"/>
      <w:pPr>
        <w:ind w:left="4708" w:hanging="147"/>
      </w:pPr>
      <w:rPr>
        <w:rFonts w:hint="default"/>
        <w:lang w:val="en-AU" w:eastAsia="en-AU" w:bidi="en-AU"/>
      </w:rPr>
    </w:lvl>
    <w:lvl w:ilvl="5" w:tplc="106EA364">
      <w:numFmt w:val="bullet"/>
      <w:lvlText w:val="•"/>
      <w:lvlJc w:val="left"/>
      <w:pPr>
        <w:ind w:left="5605" w:hanging="147"/>
      </w:pPr>
      <w:rPr>
        <w:rFonts w:hint="default"/>
        <w:lang w:val="en-AU" w:eastAsia="en-AU" w:bidi="en-AU"/>
      </w:rPr>
    </w:lvl>
    <w:lvl w:ilvl="6" w:tplc="BBD4435A">
      <w:numFmt w:val="bullet"/>
      <w:lvlText w:val="•"/>
      <w:lvlJc w:val="left"/>
      <w:pPr>
        <w:ind w:left="6502" w:hanging="147"/>
      </w:pPr>
      <w:rPr>
        <w:rFonts w:hint="default"/>
        <w:lang w:val="en-AU" w:eastAsia="en-AU" w:bidi="en-AU"/>
      </w:rPr>
    </w:lvl>
    <w:lvl w:ilvl="7" w:tplc="3C44522E">
      <w:numFmt w:val="bullet"/>
      <w:lvlText w:val="•"/>
      <w:lvlJc w:val="left"/>
      <w:pPr>
        <w:ind w:left="7399" w:hanging="147"/>
      </w:pPr>
      <w:rPr>
        <w:rFonts w:hint="default"/>
        <w:lang w:val="en-AU" w:eastAsia="en-AU" w:bidi="en-AU"/>
      </w:rPr>
    </w:lvl>
    <w:lvl w:ilvl="8" w:tplc="2632AC0E">
      <w:numFmt w:val="bullet"/>
      <w:lvlText w:val="•"/>
      <w:lvlJc w:val="left"/>
      <w:pPr>
        <w:ind w:left="8296" w:hanging="147"/>
      </w:pPr>
      <w:rPr>
        <w:rFonts w:hint="default"/>
        <w:lang w:val="en-AU" w:eastAsia="en-AU" w:bidi="en-AU"/>
      </w:rPr>
    </w:lvl>
  </w:abstractNum>
  <w:abstractNum w:abstractNumId="17" w15:restartNumberingAfterBreak="0">
    <w:nsid w:val="75FC15F7"/>
    <w:multiLevelType w:val="multilevel"/>
    <w:tmpl w:val="02FE415E"/>
    <w:lvl w:ilvl="0">
      <w:start w:val="17"/>
      <w:numFmt w:val="decimal"/>
      <w:lvlText w:val="%1"/>
      <w:lvlJc w:val="left"/>
      <w:pPr>
        <w:ind w:left="259" w:hanging="462"/>
      </w:pPr>
      <w:rPr>
        <w:rFonts w:hint="default"/>
        <w:lang w:val="en-AU" w:eastAsia="en-AU" w:bidi="en-AU"/>
      </w:rPr>
    </w:lvl>
    <w:lvl w:ilvl="1">
      <w:start w:val="2"/>
      <w:numFmt w:val="decimal"/>
      <w:lvlText w:val="%1.%2"/>
      <w:lvlJc w:val="left"/>
      <w:pPr>
        <w:ind w:left="259" w:hanging="462"/>
      </w:pPr>
      <w:rPr>
        <w:rFonts w:ascii="Cambria" w:eastAsia="Cambria" w:hAnsi="Cambria" w:cs="Cambria" w:hint="default"/>
        <w:w w:val="100"/>
        <w:sz w:val="22"/>
        <w:szCs w:val="22"/>
        <w:lang w:val="en-AU" w:eastAsia="en-AU" w:bidi="en-AU"/>
      </w:rPr>
    </w:lvl>
    <w:lvl w:ilvl="2">
      <w:numFmt w:val="bullet"/>
      <w:lvlText w:val=""/>
      <w:lvlJc w:val="left"/>
      <w:pPr>
        <w:ind w:left="979" w:hanging="360"/>
      </w:pPr>
      <w:rPr>
        <w:rFonts w:ascii="Symbol" w:eastAsia="Symbol" w:hAnsi="Symbol" w:cs="Symbol" w:hint="default"/>
        <w:w w:val="100"/>
        <w:sz w:val="22"/>
        <w:szCs w:val="22"/>
        <w:lang w:val="en-AU" w:eastAsia="en-AU" w:bidi="en-AU"/>
      </w:rPr>
    </w:lvl>
    <w:lvl w:ilvl="3">
      <w:numFmt w:val="bullet"/>
      <w:lvlText w:val="•"/>
      <w:lvlJc w:val="left"/>
      <w:pPr>
        <w:ind w:left="3004" w:hanging="360"/>
      </w:pPr>
      <w:rPr>
        <w:rFonts w:hint="default"/>
        <w:lang w:val="en-AU" w:eastAsia="en-AU" w:bidi="en-AU"/>
      </w:rPr>
    </w:lvl>
    <w:lvl w:ilvl="4">
      <w:numFmt w:val="bullet"/>
      <w:lvlText w:val="•"/>
      <w:lvlJc w:val="left"/>
      <w:pPr>
        <w:ind w:left="4017" w:hanging="360"/>
      </w:pPr>
      <w:rPr>
        <w:rFonts w:hint="default"/>
        <w:lang w:val="en-AU" w:eastAsia="en-AU" w:bidi="en-AU"/>
      </w:rPr>
    </w:lvl>
    <w:lvl w:ilvl="5">
      <w:numFmt w:val="bullet"/>
      <w:lvlText w:val="•"/>
      <w:lvlJc w:val="left"/>
      <w:pPr>
        <w:ind w:left="5029" w:hanging="360"/>
      </w:pPr>
      <w:rPr>
        <w:rFonts w:hint="default"/>
        <w:lang w:val="en-AU" w:eastAsia="en-AU" w:bidi="en-AU"/>
      </w:rPr>
    </w:lvl>
    <w:lvl w:ilvl="6">
      <w:numFmt w:val="bullet"/>
      <w:lvlText w:val="•"/>
      <w:lvlJc w:val="left"/>
      <w:pPr>
        <w:ind w:left="6041" w:hanging="360"/>
      </w:pPr>
      <w:rPr>
        <w:rFonts w:hint="default"/>
        <w:lang w:val="en-AU" w:eastAsia="en-AU" w:bidi="en-AU"/>
      </w:rPr>
    </w:lvl>
    <w:lvl w:ilvl="7">
      <w:numFmt w:val="bullet"/>
      <w:lvlText w:val="•"/>
      <w:lvlJc w:val="left"/>
      <w:pPr>
        <w:ind w:left="7054" w:hanging="360"/>
      </w:pPr>
      <w:rPr>
        <w:rFonts w:hint="default"/>
        <w:lang w:val="en-AU" w:eastAsia="en-AU" w:bidi="en-AU"/>
      </w:rPr>
    </w:lvl>
    <w:lvl w:ilvl="8">
      <w:numFmt w:val="bullet"/>
      <w:lvlText w:val="•"/>
      <w:lvlJc w:val="left"/>
      <w:pPr>
        <w:ind w:left="8066" w:hanging="360"/>
      </w:pPr>
      <w:rPr>
        <w:rFonts w:hint="default"/>
        <w:lang w:val="en-AU" w:eastAsia="en-AU" w:bidi="en-AU"/>
      </w:rPr>
    </w:lvl>
  </w:abstractNum>
  <w:abstractNum w:abstractNumId="18"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6"/>
  </w:num>
  <w:num w:numId="17">
    <w:abstractNumId w:val="6"/>
  </w:num>
  <w:num w:numId="18">
    <w:abstractNumId w:val="6"/>
  </w:num>
  <w:num w:numId="19">
    <w:abstractNumId w:val="8"/>
  </w:num>
  <w:num w:numId="20">
    <w:abstractNumId w:val="8"/>
  </w:num>
  <w:num w:numId="21">
    <w:abstractNumId w:val="8"/>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4"/>
  </w:num>
  <w:num w:numId="28">
    <w:abstractNumId w:val="18"/>
  </w:num>
  <w:num w:numId="29">
    <w:abstractNumId w:val="10"/>
  </w:num>
  <w:num w:numId="30">
    <w:abstractNumId w:val="15"/>
  </w:num>
  <w:num w:numId="31">
    <w:abstractNumId w:val="5"/>
  </w:num>
  <w:num w:numId="32">
    <w:abstractNumId w:val="7"/>
  </w:num>
  <w:num w:numId="33">
    <w:abstractNumId w:val="11"/>
  </w:num>
  <w:num w:numId="34">
    <w:abstractNumId w:val="12"/>
  </w:num>
  <w:num w:numId="35">
    <w:abstractNumId w:val="17"/>
  </w:num>
  <w:num w:numId="36">
    <w:abstractNumId w:val="16"/>
  </w:num>
  <w:num w:numId="37">
    <w:abstractNumId w:val="9"/>
  </w:num>
  <w:num w:numId="38">
    <w:abstractNumId w:val="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14"/>
    <w:rsid w:val="00000790"/>
    <w:rsid w:val="00002031"/>
    <w:rsid w:val="00004734"/>
    <w:rsid w:val="00006B22"/>
    <w:rsid w:val="0001276A"/>
    <w:rsid w:val="00017E9C"/>
    <w:rsid w:val="000246AE"/>
    <w:rsid w:val="00025C67"/>
    <w:rsid w:val="00044772"/>
    <w:rsid w:val="0004541C"/>
    <w:rsid w:val="0005559E"/>
    <w:rsid w:val="000604D6"/>
    <w:rsid w:val="000734D8"/>
    <w:rsid w:val="00077775"/>
    <w:rsid w:val="000845B1"/>
    <w:rsid w:val="00086064"/>
    <w:rsid w:val="00090471"/>
    <w:rsid w:val="00096AA7"/>
    <w:rsid w:val="000A3AED"/>
    <w:rsid w:val="000B3532"/>
    <w:rsid w:val="000B3A75"/>
    <w:rsid w:val="000B6ED9"/>
    <w:rsid w:val="000C00C2"/>
    <w:rsid w:val="000C1D93"/>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21236"/>
    <w:rsid w:val="00124ACD"/>
    <w:rsid w:val="00125318"/>
    <w:rsid w:val="001305A2"/>
    <w:rsid w:val="00133238"/>
    <w:rsid w:val="00133A1B"/>
    <w:rsid w:val="0014197B"/>
    <w:rsid w:val="001447CD"/>
    <w:rsid w:val="001516B1"/>
    <w:rsid w:val="00154EBB"/>
    <w:rsid w:val="00156316"/>
    <w:rsid w:val="00161181"/>
    <w:rsid w:val="00162248"/>
    <w:rsid w:val="00162D14"/>
    <w:rsid w:val="00163780"/>
    <w:rsid w:val="00165389"/>
    <w:rsid w:val="001735ED"/>
    <w:rsid w:val="0017693F"/>
    <w:rsid w:val="0018110E"/>
    <w:rsid w:val="00181684"/>
    <w:rsid w:val="001843C6"/>
    <w:rsid w:val="00184966"/>
    <w:rsid w:val="001850E0"/>
    <w:rsid w:val="001A03AF"/>
    <w:rsid w:val="001A2158"/>
    <w:rsid w:val="001A525F"/>
    <w:rsid w:val="001B09F9"/>
    <w:rsid w:val="001B5C90"/>
    <w:rsid w:val="001B6448"/>
    <w:rsid w:val="001C32CD"/>
    <w:rsid w:val="001D1B0D"/>
    <w:rsid w:val="001D2984"/>
    <w:rsid w:val="001E07CF"/>
    <w:rsid w:val="001E59F1"/>
    <w:rsid w:val="001F2CEE"/>
    <w:rsid w:val="001F49EB"/>
    <w:rsid w:val="001F6CBA"/>
    <w:rsid w:val="00201D4E"/>
    <w:rsid w:val="002076C9"/>
    <w:rsid w:val="00220B8A"/>
    <w:rsid w:val="002257F3"/>
    <w:rsid w:val="00233456"/>
    <w:rsid w:val="002339A5"/>
    <w:rsid w:val="00257848"/>
    <w:rsid w:val="002578E8"/>
    <w:rsid w:val="0027084A"/>
    <w:rsid w:val="00280265"/>
    <w:rsid w:val="00286434"/>
    <w:rsid w:val="00286C59"/>
    <w:rsid w:val="00291957"/>
    <w:rsid w:val="002942D1"/>
    <w:rsid w:val="0029501A"/>
    <w:rsid w:val="002A3721"/>
    <w:rsid w:val="002B1638"/>
    <w:rsid w:val="002B3624"/>
    <w:rsid w:val="002D0952"/>
    <w:rsid w:val="002E40B3"/>
    <w:rsid w:val="002E4C9A"/>
    <w:rsid w:val="002F11F8"/>
    <w:rsid w:val="002F3F56"/>
    <w:rsid w:val="002F44B5"/>
    <w:rsid w:val="002F5122"/>
    <w:rsid w:val="00311AC0"/>
    <w:rsid w:val="003176FC"/>
    <w:rsid w:val="0032583B"/>
    <w:rsid w:val="00327883"/>
    <w:rsid w:val="00335504"/>
    <w:rsid w:val="00340C18"/>
    <w:rsid w:val="003442FD"/>
    <w:rsid w:val="00347824"/>
    <w:rsid w:val="00350567"/>
    <w:rsid w:val="003521E8"/>
    <w:rsid w:val="00357B54"/>
    <w:rsid w:val="00370CE3"/>
    <w:rsid w:val="003728F3"/>
    <w:rsid w:val="003735BC"/>
    <w:rsid w:val="0037496E"/>
    <w:rsid w:val="00383221"/>
    <w:rsid w:val="00386150"/>
    <w:rsid w:val="003874CE"/>
    <w:rsid w:val="00390900"/>
    <w:rsid w:val="003A7F6C"/>
    <w:rsid w:val="003B4D60"/>
    <w:rsid w:val="003B7E39"/>
    <w:rsid w:val="003C58DC"/>
    <w:rsid w:val="003D1E62"/>
    <w:rsid w:val="003E0B99"/>
    <w:rsid w:val="003E2486"/>
    <w:rsid w:val="003E3208"/>
    <w:rsid w:val="003F0B04"/>
    <w:rsid w:val="0040134E"/>
    <w:rsid w:val="00405630"/>
    <w:rsid w:val="004263E8"/>
    <w:rsid w:val="004334C7"/>
    <w:rsid w:val="00440A2D"/>
    <w:rsid w:val="00441C3F"/>
    <w:rsid w:val="00444D1A"/>
    <w:rsid w:val="0045186A"/>
    <w:rsid w:val="004564A7"/>
    <w:rsid w:val="00456765"/>
    <w:rsid w:val="004617BF"/>
    <w:rsid w:val="00463658"/>
    <w:rsid w:val="004637A0"/>
    <w:rsid w:val="004722CC"/>
    <w:rsid w:val="00490483"/>
    <w:rsid w:val="004936E4"/>
    <w:rsid w:val="00494E60"/>
    <w:rsid w:val="00497487"/>
    <w:rsid w:val="004A2771"/>
    <w:rsid w:val="004A6189"/>
    <w:rsid w:val="004A7390"/>
    <w:rsid w:val="004B7B76"/>
    <w:rsid w:val="004C239D"/>
    <w:rsid w:val="004C2DCA"/>
    <w:rsid w:val="004C61D2"/>
    <w:rsid w:val="004D0389"/>
    <w:rsid w:val="004E62F6"/>
    <w:rsid w:val="004F0C4A"/>
    <w:rsid w:val="004F0F38"/>
    <w:rsid w:val="004F47D6"/>
    <w:rsid w:val="00500337"/>
    <w:rsid w:val="005012B4"/>
    <w:rsid w:val="0050178A"/>
    <w:rsid w:val="00501921"/>
    <w:rsid w:val="00517D42"/>
    <w:rsid w:val="00525B91"/>
    <w:rsid w:val="00530354"/>
    <w:rsid w:val="0053625B"/>
    <w:rsid w:val="005434C6"/>
    <w:rsid w:val="00543B39"/>
    <w:rsid w:val="00546154"/>
    <w:rsid w:val="00550096"/>
    <w:rsid w:val="00555280"/>
    <w:rsid w:val="00557FF9"/>
    <w:rsid w:val="00562327"/>
    <w:rsid w:val="00563583"/>
    <w:rsid w:val="005711D5"/>
    <w:rsid w:val="00571DCF"/>
    <w:rsid w:val="00576378"/>
    <w:rsid w:val="00577130"/>
    <w:rsid w:val="00577945"/>
    <w:rsid w:val="00577E38"/>
    <w:rsid w:val="00585322"/>
    <w:rsid w:val="005857C6"/>
    <w:rsid w:val="00592F6E"/>
    <w:rsid w:val="00593AD1"/>
    <w:rsid w:val="005A68B6"/>
    <w:rsid w:val="005A7EA7"/>
    <w:rsid w:val="005C5570"/>
    <w:rsid w:val="005C7576"/>
    <w:rsid w:val="005C79A4"/>
    <w:rsid w:val="005D5442"/>
    <w:rsid w:val="005F2004"/>
    <w:rsid w:val="00603F32"/>
    <w:rsid w:val="00605AD4"/>
    <w:rsid w:val="006131C6"/>
    <w:rsid w:val="006136D7"/>
    <w:rsid w:val="00623020"/>
    <w:rsid w:val="00625A6E"/>
    <w:rsid w:val="00632398"/>
    <w:rsid w:val="00640FC3"/>
    <w:rsid w:val="00642020"/>
    <w:rsid w:val="006430EE"/>
    <w:rsid w:val="00650675"/>
    <w:rsid w:val="0065337B"/>
    <w:rsid w:val="0065419D"/>
    <w:rsid w:val="006603BC"/>
    <w:rsid w:val="006604D8"/>
    <w:rsid w:val="00664A5B"/>
    <w:rsid w:val="0066735C"/>
    <w:rsid w:val="006763D2"/>
    <w:rsid w:val="00680C08"/>
    <w:rsid w:val="006916A0"/>
    <w:rsid w:val="006931B1"/>
    <w:rsid w:val="006A15C0"/>
    <w:rsid w:val="006A58A8"/>
    <w:rsid w:val="006C3E2A"/>
    <w:rsid w:val="006C642F"/>
    <w:rsid w:val="006D03E5"/>
    <w:rsid w:val="006D5D3E"/>
    <w:rsid w:val="006E08B3"/>
    <w:rsid w:val="006F17AC"/>
    <w:rsid w:val="006F25B8"/>
    <w:rsid w:val="006F572E"/>
    <w:rsid w:val="007046D6"/>
    <w:rsid w:val="00705DB0"/>
    <w:rsid w:val="007105F0"/>
    <w:rsid w:val="00722B57"/>
    <w:rsid w:val="007237E1"/>
    <w:rsid w:val="00730F8A"/>
    <w:rsid w:val="00735A8C"/>
    <w:rsid w:val="0074253D"/>
    <w:rsid w:val="0074429B"/>
    <w:rsid w:val="00747709"/>
    <w:rsid w:val="00753100"/>
    <w:rsid w:val="007615BC"/>
    <w:rsid w:val="00762F05"/>
    <w:rsid w:val="007652FF"/>
    <w:rsid w:val="00770CAC"/>
    <w:rsid w:val="00770EF1"/>
    <w:rsid w:val="00772CC4"/>
    <w:rsid w:val="00773EF7"/>
    <w:rsid w:val="00774E1D"/>
    <w:rsid w:val="007765D8"/>
    <w:rsid w:val="0077675A"/>
    <w:rsid w:val="00780355"/>
    <w:rsid w:val="007819FD"/>
    <w:rsid w:val="00781C61"/>
    <w:rsid w:val="00785717"/>
    <w:rsid w:val="00785721"/>
    <w:rsid w:val="00793A59"/>
    <w:rsid w:val="0079710F"/>
    <w:rsid w:val="007A46F5"/>
    <w:rsid w:val="007A6505"/>
    <w:rsid w:val="007B6132"/>
    <w:rsid w:val="007B6E9F"/>
    <w:rsid w:val="007C1216"/>
    <w:rsid w:val="007C1AF7"/>
    <w:rsid w:val="007C6B9B"/>
    <w:rsid w:val="00803C60"/>
    <w:rsid w:val="00805D27"/>
    <w:rsid w:val="00806DCB"/>
    <w:rsid w:val="00821776"/>
    <w:rsid w:val="008321F5"/>
    <w:rsid w:val="00832369"/>
    <w:rsid w:val="00834660"/>
    <w:rsid w:val="00836B51"/>
    <w:rsid w:val="00836BC2"/>
    <w:rsid w:val="00850898"/>
    <w:rsid w:val="0085156D"/>
    <w:rsid w:val="00852B28"/>
    <w:rsid w:val="0085641B"/>
    <w:rsid w:val="00857136"/>
    <w:rsid w:val="00857332"/>
    <w:rsid w:val="00861D71"/>
    <w:rsid w:val="00875A6B"/>
    <w:rsid w:val="00885B11"/>
    <w:rsid w:val="00886D15"/>
    <w:rsid w:val="00887DD8"/>
    <w:rsid w:val="00891BA9"/>
    <w:rsid w:val="00895666"/>
    <w:rsid w:val="00896018"/>
    <w:rsid w:val="008960DD"/>
    <w:rsid w:val="0089635C"/>
    <w:rsid w:val="0089696C"/>
    <w:rsid w:val="008A2B9D"/>
    <w:rsid w:val="008A3D9F"/>
    <w:rsid w:val="008A5E0B"/>
    <w:rsid w:val="008A6D59"/>
    <w:rsid w:val="008B4B03"/>
    <w:rsid w:val="008B596F"/>
    <w:rsid w:val="008C159F"/>
    <w:rsid w:val="008C1623"/>
    <w:rsid w:val="008C1850"/>
    <w:rsid w:val="008C2329"/>
    <w:rsid w:val="008C51A9"/>
    <w:rsid w:val="008E08E6"/>
    <w:rsid w:val="008E7846"/>
    <w:rsid w:val="008F02E5"/>
    <w:rsid w:val="008F1CCC"/>
    <w:rsid w:val="008F2967"/>
    <w:rsid w:val="008F6943"/>
    <w:rsid w:val="00902A21"/>
    <w:rsid w:val="0091523F"/>
    <w:rsid w:val="00920330"/>
    <w:rsid w:val="009219D7"/>
    <w:rsid w:val="00922D53"/>
    <w:rsid w:val="00923B70"/>
    <w:rsid w:val="00924482"/>
    <w:rsid w:val="00930237"/>
    <w:rsid w:val="00937C17"/>
    <w:rsid w:val="00940A89"/>
    <w:rsid w:val="00941F77"/>
    <w:rsid w:val="00946683"/>
    <w:rsid w:val="00946EA5"/>
    <w:rsid w:val="00960520"/>
    <w:rsid w:val="00963C08"/>
    <w:rsid w:val="009752A5"/>
    <w:rsid w:val="0098585A"/>
    <w:rsid w:val="009A4CED"/>
    <w:rsid w:val="009A690D"/>
    <w:rsid w:val="009B1D12"/>
    <w:rsid w:val="009B416B"/>
    <w:rsid w:val="009C4BD5"/>
    <w:rsid w:val="009C6605"/>
    <w:rsid w:val="009D7B77"/>
    <w:rsid w:val="009E0BB0"/>
    <w:rsid w:val="009E3FBB"/>
    <w:rsid w:val="009F7353"/>
    <w:rsid w:val="00A04F85"/>
    <w:rsid w:val="00A05FA4"/>
    <w:rsid w:val="00A102E4"/>
    <w:rsid w:val="00A1219C"/>
    <w:rsid w:val="00A12C42"/>
    <w:rsid w:val="00A14DF7"/>
    <w:rsid w:val="00A16826"/>
    <w:rsid w:val="00A22D57"/>
    <w:rsid w:val="00A3246D"/>
    <w:rsid w:val="00A36FA7"/>
    <w:rsid w:val="00A44DDB"/>
    <w:rsid w:val="00A475B7"/>
    <w:rsid w:val="00A47AF7"/>
    <w:rsid w:val="00A47C3E"/>
    <w:rsid w:val="00A50226"/>
    <w:rsid w:val="00A60BAD"/>
    <w:rsid w:val="00A77F87"/>
    <w:rsid w:val="00A80B5B"/>
    <w:rsid w:val="00A817BC"/>
    <w:rsid w:val="00A84E36"/>
    <w:rsid w:val="00A964D1"/>
    <w:rsid w:val="00AA0ED0"/>
    <w:rsid w:val="00AA5159"/>
    <w:rsid w:val="00AB0BD7"/>
    <w:rsid w:val="00AC2B40"/>
    <w:rsid w:val="00AC2BB2"/>
    <w:rsid w:val="00AC2C3C"/>
    <w:rsid w:val="00AC512D"/>
    <w:rsid w:val="00AD0083"/>
    <w:rsid w:val="00AD27A1"/>
    <w:rsid w:val="00AD2C5A"/>
    <w:rsid w:val="00AD3935"/>
    <w:rsid w:val="00AD71E0"/>
    <w:rsid w:val="00AE3EB8"/>
    <w:rsid w:val="00AE65EB"/>
    <w:rsid w:val="00AE67A7"/>
    <w:rsid w:val="00AF1D94"/>
    <w:rsid w:val="00AF60C5"/>
    <w:rsid w:val="00B009C6"/>
    <w:rsid w:val="00B01548"/>
    <w:rsid w:val="00B130C5"/>
    <w:rsid w:val="00B13EBD"/>
    <w:rsid w:val="00B21D29"/>
    <w:rsid w:val="00B25034"/>
    <w:rsid w:val="00B33588"/>
    <w:rsid w:val="00B33863"/>
    <w:rsid w:val="00B3596B"/>
    <w:rsid w:val="00B37D17"/>
    <w:rsid w:val="00B40844"/>
    <w:rsid w:val="00B4175E"/>
    <w:rsid w:val="00B41C85"/>
    <w:rsid w:val="00B452CE"/>
    <w:rsid w:val="00B5278D"/>
    <w:rsid w:val="00B54C25"/>
    <w:rsid w:val="00B76B91"/>
    <w:rsid w:val="00B77EB1"/>
    <w:rsid w:val="00B811C6"/>
    <w:rsid w:val="00B855B0"/>
    <w:rsid w:val="00B92E08"/>
    <w:rsid w:val="00BB6123"/>
    <w:rsid w:val="00BC622A"/>
    <w:rsid w:val="00BE0A78"/>
    <w:rsid w:val="00BE79F0"/>
    <w:rsid w:val="00BF046D"/>
    <w:rsid w:val="00BF1190"/>
    <w:rsid w:val="00BF3774"/>
    <w:rsid w:val="00BF5D04"/>
    <w:rsid w:val="00C009AA"/>
    <w:rsid w:val="00C10714"/>
    <w:rsid w:val="00C1164D"/>
    <w:rsid w:val="00C16861"/>
    <w:rsid w:val="00C249D3"/>
    <w:rsid w:val="00C346AB"/>
    <w:rsid w:val="00C404A6"/>
    <w:rsid w:val="00C40A36"/>
    <w:rsid w:val="00C44419"/>
    <w:rsid w:val="00C45E7B"/>
    <w:rsid w:val="00C471B1"/>
    <w:rsid w:val="00C52E24"/>
    <w:rsid w:val="00C6316B"/>
    <w:rsid w:val="00C634A9"/>
    <w:rsid w:val="00C64586"/>
    <w:rsid w:val="00C70D53"/>
    <w:rsid w:val="00C73C1B"/>
    <w:rsid w:val="00C73D0B"/>
    <w:rsid w:val="00C74F5C"/>
    <w:rsid w:val="00C772FF"/>
    <w:rsid w:val="00C80137"/>
    <w:rsid w:val="00C801AF"/>
    <w:rsid w:val="00C80256"/>
    <w:rsid w:val="00C94CD4"/>
    <w:rsid w:val="00C9747E"/>
    <w:rsid w:val="00CB6BC0"/>
    <w:rsid w:val="00CC1B7C"/>
    <w:rsid w:val="00CC727F"/>
    <w:rsid w:val="00CF15C3"/>
    <w:rsid w:val="00CF2B6F"/>
    <w:rsid w:val="00CF2F3E"/>
    <w:rsid w:val="00CF58B6"/>
    <w:rsid w:val="00D0062D"/>
    <w:rsid w:val="00D017ED"/>
    <w:rsid w:val="00D040D3"/>
    <w:rsid w:val="00D04C65"/>
    <w:rsid w:val="00D153D8"/>
    <w:rsid w:val="00D201D2"/>
    <w:rsid w:val="00D224FE"/>
    <w:rsid w:val="00D23139"/>
    <w:rsid w:val="00D425BB"/>
    <w:rsid w:val="00D453FA"/>
    <w:rsid w:val="00D6493E"/>
    <w:rsid w:val="00D7195D"/>
    <w:rsid w:val="00D7301E"/>
    <w:rsid w:val="00D83AE1"/>
    <w:rsid w:val="00D855D4"/>
    <w:rsid w:val="00D90248"/>
    <w:rsid w:val="00D902C9"/>
    <w:rsid w:val="00D93466"/>
    <w:rsid w:val="00DA1124"/>
    <w:rsid w:val="00DA3C8A"/>
    <w:rsid w:val="00DA64CB"/>
    <w:rsid w:val="00DB06B8"/>
    <w:rsid w:val="00DB32B7"/>
    <w:rsid w:val="00DB6124"/>
    <w:rsid w:val="00DB698F"/>
    <w:rsid w:val="00DB750B"/>
    <w:rsid w:val="00DB75B7"/>
    <w:rsid w:val="00DC0A2F"/>
    <w:rsid w:val="00DC0A78"/>
    <w:rsid w:val="00DC1948"/>
    <w:rsid w:val="00DC6E02"/>
    <w:rsid w:val="00DD28CD"/>
    <w:rsid w:val="00DD3E93"/>
    <w:rsid w:val="00DE02AE"/>
    <w:rsid w:val="00DE39D1"/>
    <w:rsid w:val="00DF1D7F"/>
    <w:rsid w:val="00DF4BE4"/>
    <w:rsid w:val="00E02382"/>
    <w:rsid w:val="00E02FB4"/>
    <w:rsid w:val="00E13FC7"/>
    <w:rsid w:val="00E20571"/>
    <w:rsid w:val="00E235F7"/>
    <w:rsid w:val="00E23659"/>
    <w:rsid w:val="00E239D4"/>
    <w:rsid w:val="00E26130"/>
    <w:rsid w:val="00E37228"/>
    <w:rsid w:val="00E40B22"/>
    <w:rsid w:val="00E42042"/>
    <w:rsid w:val="00E44ED1"/>
    <w:rsid w:val="00E45619"/>
    <w:rsid w:val="00E4588F"/>
    <w:rsid w:val="00E46DA3"/>
    <w:rsid w:val="00E51BB1"/>
    <w:rsid w:val="00E54B31"/>
    <w:rsid w:val="00E55CB0"/>
    <w:rsid w:val="00E5655C"/>
    <w:rsid w:val="00E624A5"/>
    <w:rsid w:val="00E64BA4"/>
    <w:rsid w:val="00E7344E"/>
    <w:rsid w:val="00E82665"/>
    <w:rsid w:val="00E90BB1"/>
    <w:rsid w:val="00EB0798"/>
    <w:rsid w:val="00EB40AD"/>
    <w:rsid w:val="00EB586E"/>
    <w:rsid w:val="00EB5FC8"/>
    <w:rsid w:val="00EC3673"/>
    <w:rsid w:val="00EC463D"/>
    <w:rsid w:val="00EC7A85"/>
    <w:rsid w:val="00ED2922"/>
    <w:rsid w:val="00ED3CAD"/>
    <w:rsid w:val="00ED5A41"/>
    <w:rsid w:val="00EE1DE8"/>
    <w:rsid w:val="00EE27C2"/>
    <w:rsid w:val="00EF4BAD"/>
    <w:rsid w:val="00EF59DC"/>
    <w:rsid w:val="00F033EC"/>
    <w:rsid w:val="00F04F68"/>
    <w:rsid w:val="00F12670"/>
    <w:rsid w:val="00F14871"/>
    <w:rsid w:val="00F14B27"/>
    <w:rsid w:val="00F3148D"/>
    <w:rsid w:val="00F325C5"/>
    <w:rsid w:val="00F32FE0"/>
    <w:rsid w:val="00F35298"/>
    <w:rsid w:val="00F47333"/>
    <w:rsid w:val="00F47E37"/>
    <w:rsid w:val="00F53C07"/>
    <w:rsid w:val="00F54B65"/>
    <w:rsid w:val="00F640B6"/>
    <w:rsid w:val="00F66DF2"/>
    <w:rsid w:val="00F772CE"/>
    <w:rsid w:val="00F80E40"/>
    <w:rsid w:val="00F848D9"/>
    <w:rsid w:val="00FA236F"/>
    <w:rsid w:val="00FA2D9A"/>
    <w:rsid w:val="00FA5069"/>
    <w:rsid w:val="00FA5B82"/>
    <w:rsid w:val="00FA639E"/>
    <w:rsid w:val="00FC1FCA"/>
    <w:rsid w:val="00FC25E4"/>
    <w:rsid w:val="00FC4EF7"/>
    <w:rsid w:val="00FD0824"/>
    <w:rsid w:val="00FD119B"/>
    <w:rsid w:val="00FD1EDC"/>
    <w:rsid w:val="00FD6BD5"/>
    <w:rsid w:val="00FE1DEE"/>
    <w:rsid w:val="00FF2126"/>
    <w:rsid w:val="00FF25CD"/>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BDFF161"/>
  <w15:docId w15:val="{846FA62E-3962-4E4F-847A-FAC3130A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5067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017E9C"/>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BodyText">
    <w:name w:val="Body Text"/>
    <w:basedOn w:val="Normal"/>
    <w:link w:val="BodyTextChar"/>
    <w:uiPriority w:val="1"/>
    <w:qFormat/>
    <w:rsid w:val="004E62F6"/>
    <w:pPr>
      <w:widowControl w:val="0"/>
      <w:autoSpaceDE w:val="0"/>
      <w:autoSpaceDN w:val="0"/>
      <w:spacing w:before="0" w:after="0" w:line="240" w:lineRule="auto"/>
    </w:pPr>
    <w:rPr>
      <w:rFonts w:cs="Cambria"/>
      <w:lang w:eastAsia="en-AU" w:bidi="en-AU"/>
    </w:rPr>
  </w:style>
  <w:style w:type="character" w:customStyle="1" w:styleId="BodyTextChar">
    <w:name w:val="Body Text Char"/>
    <w:basedOn w:val="DefaultParagraphFont"/>
    <w:link w:val="BodyText"/>
    <w:uiPriority w:val="1"/>
    <w:rsid w:val="004E62F6"/>
    <w:rPr>
      <w:rFonts w:ascii="Cambria" w:eastAsia="Cambria" w:hAnsi="Cambria" w:cs="Cambria"/>
      <w:lang w:eastAsia="en-AU" w:bidi="en-AU"/>
    </w:rPr>
  </w:style>
  <w:style w:type="paragraph" w:styleId="ListParagraph">
    <w:name w:val="List Paragraph"/>
    <w:basedOn w:val="Normal"/>
    <w:uiPriority w:val="1"/>
    <w:qFormat/>
    <w:rsid w:val="004E62F6"/>
    <w:pPr>
      <w:widowControl w:val="0"/>
      <w:autoSpaceDE w:val="0"/>
      <w:autoSpaceDN w:val="0"/>
      <w:spacing w:before="0" w:after="0" w:line="240" w:lineRule="auto"/>
      <w:ind w:left="979"/>
    </w:pPr>
    <w:rPr>
      <w:rFonts w:cs="Cambria"/>
      <w:lang w:eastAsia="en-AU" w:bidi="en-AU"/>
    </w:rPr>
  </w:style>
  <w:style w:type="paragraph" w:customStyle="1" w:styleId="Bulletlist">
    <w:name w:val="Bullet list"/>
    <w:basedOn w:val="Normal"/>
    <w:link w:val="BulletlistChar"/>
    <w:qFormat/>
    <w:rsid w:val="00F772CE"/>
    <w:pPr>
      <w:numPr>
        <w:numId w:val="38"/>
      </w:numPr>
      <w:spacing w:before="0" w:after="180" w:line="252" w:lineRule="auto"/>
    </w:pPr>
    <w:rPr>
      <w:rFonts w:eastAsia="Times New Roman"/>
      <w:snapToGrid w:val="0"/>
      <w:kern w:val="2"/>
      <w:sz w:val="23"/>
    </w:rPr>
  </w:style>
  <w:style w:type="character" w:customStyle="1" w:styleId="TabletextChar">
    <w:name w:val="Table text Char"/>
    <w:basedOn w:val="DefaultParagraphFont"/>
    <w:link w:val="Tabletext"/>
    <w:rsid w:val="00F772CE"/>
    <w:rPr>
      <w:rFonts w:ascii="Cambria" w:eastAsia="Cambria" w:hAnsi="Cambria" w:cs="Times New Roman"/>
      <w:sz w:val="19"/>
    </w:rPr>
  </w:style>
  <w:style w:type="character" w:customStyle="1" w:styleId="BulletlistChar">
    <w:name w:val="Bullet list Char"/>
    <w:basedOn w:val="DefaultParagraphFont"/>
    <w:link w:val="Bulletlist"/>
    <w:rsid w:val="00F772CE"/>
    <w:rPr>
      <w:rFonts w:ascii="Cambria" w:eastAsia="Times New Roman" w:hAnsi="Cambria" w:cs="Times New Roman"/>
      <w:snapToGrid w:val="0"/>
      <w:kern w:val="2"/>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395563">
      <w:bodyDiv w:val="1"/>
      <w:marLeft w:val="0"/>
      <w:marRight w:val="0"/>
      <w:marTop w:val="0"/>
      <w:marBottom w:val="0"/>
      <w:divBdr>
        <w:top w:val="none" w:sz="0" w:space="0" w:color="auto"/>
        <w:left w:val="none" w:sz="0" w:space="0" w:color="auto"/>
        <w:bottom w:val="none" w:sz="0" w:space="0" w:color="auto"/>
        <w:right w:val="none" w:sz="0" w:space="0" w:color="auto"/>
      </w:divBdr>
      <w:divsChild>
        <w:div w:id="404230306">
          <w:marLeft w:val="0"/>
          <w:marRight w:val="0"/>
          <w:marTop w:val="0"/>
          <w:marBottom w:val="0"/>
          <w:divBdr>
            <w:top w:val="none" w:sz="0" w:space="0" w:color="auto"/>
            <w:left w:val="none" w:sz="0" w:space="0" w:color="auto"/>
            <w:bottom w:val="none" w:sz="0" w:space="0" w:color="auto"/>
            <w:right w:val="none" w:sz="0" w:space="0" w:color="auto"/>
          </w:divBdr>
          <w:divsChild>
            <w:div w:id="1378703283">
              <w:marLeft w:val="0"/>
              <w:marRight w:val="0"/>
              <w:marTop w:val="0"/>
              <w:marBottom w:val="0"/>
              <w:divBdr>
                <w:top w:val="none" w:sz="0" w:space="0" w:color="auto"/>
                <w:left w:val="none" w:sz="0" w:space="0" w:color="auto"/>
                <w:bottom w:val="none" w:sz="0" w:space="0" w:color="auto"/>
                <w:right w:val="none" w:sz="0" w:space="0" w:color="auto"/>
              </w:divBdr>
              <w:divsChild>
                <w:div w:id="1032339980">
                  <w:marLeft w:val="0"/>
                  <w:marRight w:val="0"/>
                  <w:marTop w:val="0"/>
                  <w:marBottom w:val="0"/>
                  <w:divBdr>
                    <w:top w:val="none" w:sz="0" w:space="0" w:color="auto"/>
                    <w:left w:val="none" w:sz="0" w:space="0" w:color="auto"/>
                    <w:bottom w:val="none" w:sz="0" w:space="0" w:color="auto"/>
                    <w:right w:val="none" w:sz="0" w:space="0" w:color="auto"/>
                  </w:divBdr>
                  <w:divsChild>
                    <w:div w:id="1436707345">
                      <w:marLeft w:val="0"/>
                      <w:marRight w:val="0"/>
                      <w:marTop w:val="0"/>
                      <w:marBottom w:val="0"/>
                      <w:divBdr>
                        <w:top w:val="none" w:sz="0" w:space="0" w:color="auto"/>
                        <w:left w:val="none" w:sz="0" w:space="0" w:color="auto"/>
                        <w:bottom w:val="none" w:sz="0" w:space="0" w:color="auto"/>
                        <w:right w:val="none" w:sz="0" w:space="0" w:color="auto"/>
                      </w:divBdr>
                      <w:divsChild>
                        <w:div w:id="544758309">
                          <w:marLeft w:val="0"/>
                          <w:marRight w:val="0"/>
                          <w:marTop w:val="0"/>
                          <w:marBottom w:val="0"/>
                          <w:divBdr>
                            <w:top w:val="none" w:sz="0" w:space="0" w:color="auto"/>
                            <w:left w:val="none" w:sz="0" w:space="0" w:color="auto"/>
                            <w:bottom w:val="none" w:sz="0" w:space="0" w:color="auto"/>
                            <w:right w:val="none" w:sz="0" w:space="0" w:color="auto"/>
                          </w:divBdr>
                          <w:divsChild>
                            <w:div w:id="325785853">
                              <w:marLeft w:val="0"/>
                              <w:marRight w:val="0"/>
                              <w:marTop w:val="0"/>
                              <w:marBottom w:val="0"/>
                              <w:divBdr>
                                <w:top w:val="none" w:sz="0" w:space="0" w:color="auto"/>
                                <w:left w:val="none" w:sz="0" w:space="0" w:color="auto"/>
                                <w:bottom w:val="none" w:sz="0" w:space="0" w:color="auto"/>
                                <w:right w:val="none" w:sz="0" w:space="0" w:color="auto"/>
                              </w:divBdr>
                              <w:divsChild>
                                <w:div w:id="161088096">
                                  <w:marLeft w:val="0"/>
                                  <w:marRight w:val="0"/>
                                  <w:marTop w:val="0"/>
                                  <w:marBottom w:val="0"/>
                                  <w:divBdr>
                                    <w:top w:val="none" w:sz="0" w:space="0" w:color="auto"/>
                                    <w:left w:val="none" w:sz="0" w:space="0" w:color="auto"/>
                                    <w:bottom w:val="none" w:sz="0" w:space="0" w:color="auto"/>
                                    <w:right w:val="none" w:sz="0" w:space="0" w:color="auto"/>
                                  </w:divBdr>
                                  <w:divsChild>
                                    <w:div w:id="1322350143">
                                      <w:marLeft w:val="0"/>
                                      <w:marRight w:val="0"/>
                                      <w:marTop w:val="0"/>
                                      <w:marBottom w:val="0"/>
                                      <w:divBdr>
                                        <w:top w:val="none" w:sz="0" w:space="0" w:color="auto"/>
                                        <w:left w:val="none" w:sz="0" w:space="0" w:color="auto"/>
                                        <w:bottom w:val="none" w:sz="0" w:space="0" w:color="auto"/>
                                        <w:right w:val="none" w:sz="0" w:space="0" w:color="auto"/>
                                      </w:divBdr>
                                      <w:divsChild>
                                        <w:div w:id="18099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347845">
      <w:bodyDiv w:val="1"/>
      <w:marLeft w:val="0"/>
      <w:marRight w:val="0"/>
      <w:marTop w:val="0"/>
      <w:marBottom w:val="0"/>
      <w:divBdr>
        <w:top w:val="none" w:sz="0" w:space="0" w:color="auto"/>
        <w:left w:val="none" w:sz="0" w:space="0" w:color="auto"/>
        <w:bottom w:val="none" w:sz="0" w:space="0" w:color="auto"/>
        <w:right w:val="none" w:sz="0" w:space="0" w:color="auto"/>
      </w:divBdr>
      <w:divsChild>
        <w:div w:id="1278291289">
          <w:marLeft w:val="0"/>
          <w:marRight w:val="0"/>
          <w:marTop w:val="0"/>
          <w:marBottom w:val="0"/>
          <w:divBdr>
            <w:top w:val="none" w:sz="0" w:space="0" w:color="auto"/>
            <w:left w:val="none" w:sz="0" w:space="0" w:color="auto"/>
            <w:bottom w:val="none" w:sz="0" w:space="0" w:color="auto"/>
            <w:right w:val="none" w:sz="0" w:space="0" w:color="auto"/>
          </w:divBdr>
          <w:divsChild>
            <w:div w:id="2004818684">
              <w:marLeft w:val="0"/>
              <w:marRight w:val="0"/>
              <w:marTop w:val="0"/>
              <w:marBottom w:val="0"/>
              <w:divBdr>
                <w:top w:val="none" w:sz="0" w:space="0" w:color="auto"/>
                <w:left w:val="none" w:sz="0" w:space="0" w:color="auto"/>
                <w:bottom w:val="none" w:sz="0" w:space="0" w:color="auto"/>
                <w:right w:val="none" w:sz="0" w:space="0" w:color="auto"/>
              </w:divBdr>
              <w:divsChild>
                <w:div w:id="350181769">
                  <w:marLeft w:val="0"/>
                  <w:marRight w:val="0"/>
                  <w:marTop w:val="0"/>
                  <w:marBottom w:val="0"/>
                  <w:divBdr>
                    <w:top w:val="none" w:sz="0" w:space="0" w:color="auto"/>
                    <w:left w:val="none" w:sz="0" w:space="0" w:color="auto"/>
                    <w:bottom w:val="none" w:sz="0" w:space="0" w:color="auto"/>
                    <w:right w:val="none" w:sz="0" w:space="0" w:color="auto"/>
                  </w:divBdr>
                  <w:divsChild>
                    <w:div w:id="1317580">
                      <w:marLeft w:val="0"/>
                      <w:marRight w:val="0"/>
                      <w:marTop w:val="0"/>
                      <w:marBottom w:val="0"/>
                      <w:divBdr>
                        <w:top w:val="none" w:sz="0" w:space="0" w:color="auto"/>
                        <w:left w:val="none" w:sz="0" w:space="0" w:color="auto"/>
                        <w:bottom w:val="none" w:sz="0" w:space="0" w:color="auto"/>
                        <w:right w:val="none" w:sz="0" w:space="0" w:color="auto"/>
                      </w:divBdr>
                      <w:divsChild>
                        <w:div w:id="1892034903">
                          <w:marLeft w:val="0"/>
                          <w:marRight w:val="0"/>
                          <w:marTop w:val="0"/>
                          <w:marBottom w:val="0"/>
                          <w:divBdr>
                            <w:top w:val="none" w:sz="0" w:space="0" w:color="auto"/>
                            <w:left w:val="none" w:sz="0" w:space="0" w:color="auto"/>
                            <w:bottom w:val="none" w:sz="0" w:space="0" w:color="auto"/>
                            <w:right w:val="none" w:sz="0" w:space="0" w:color="auto"/>
                          </w:divBdr>
                          <w:divsChild>
                            <w:div w:id="9053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https://www.tga.gov.au/product-information-pi" TargetMode="External"/><Relationship Id="rId18" Type="http://schemas.openxmlformats.org/officeDocument/2006/relationships/image" Target="media/image6.jpeg"/><Relationship Id="rId26"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yperlink" Target="mailto:info@tga.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tga.gov.au/product-information-p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7.jpe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australia-canada-singapore-switzerland-acss-consortiu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8472\t0QF3WIP.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691EB-6C8E-4AA2-8ECE-69A026DF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t0QF3WIP</Template>
  <TotalTime>12</TotalTime>
  <Pages>27</Pages>
  <Words>9364</Words>
  <Characters>53377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Australian Public Assessment Report for Baloxavir marboxil</vt:lpstr>
    </vt:vector>
  </TitlesOfParts>
  <Company>Department of Health Therapeutic Goods Administration</Company>
  <LinksUpToDate>false</LinksUpToDate>
  <CharactersWithSpaces>62616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Baloxavir marboxil</dc:title>
  <dc:subject>prescription medicines</dc:subject>
  <dc:creator>Therapeutic Goods Administration</dc:creator>
  <cp:keywords/>
  <cp:lastPrinted>2019-08-14T04:30:00Z</cp:lastPrinted>
  <dcterms:created xsi:type="dcterms:W3CDTF">2020-06-11T01:33:00Z</dcterms:created>
  <dcterms:modified xsi:type="dcterms:W3CDTF">2020-06-11T01:47:00Z</dcterms:modified>
  <cp:category/>
</cp:coreProperties>
</file>