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64BD3" w14:textId="77777777" w:rsidR="00671ECF" w:rsidRPr="00FC0A0D" w:rsidRDefault="00343240" w:rsidP="00343240">
      <w:pPr>
        <w:jc w:val="center"/>
        <w:rPr>
          <w:b/>
          <w:color w:val="auto"/>
          <w:sz w:val="28"/>
          <w:szCs w:val="28"/>
          <w:lang w:val="fr-FR"/>
        </w:rPr>
      </w:pPr>
      <w:r w:rsidRPr="00FC0A0D">
        <w:rPr>
          <w:b/>
          <w:color w:val="auto"/>
          <w:sz w:val="28"/>
          <w:szCs w:val="28"/>
          <w:lang w:val="fr-FR"/>
        </w:rPr>
        <w:t xml:space="preserve">AUSTRALIAN PRODUCT INFORMATION </w:t>
      </w:r>
    </w:p>
    <w:p w14:paraId="4EA16B10" w14:textId="1D8D5770" w:rsidR="00343240" w:rsidRPr="00FC0A0D" w:rsidRDefault="00671ECF" w:rsidP="00343240">
      <w:pPr>
        <w:jc w:val="center"/>
        <w:rPr>
          <w:b/>
          <w:color w:val="auto"/>
          <w:sz w:val="28"/>
          <w:szCs w:val="28"/>
          <w:lang w:val="fr-FR"/>
        </w:rPr>
      </w:pPr>
      <w:r w:rsidRPr="00FC0A0D">
        <w:rPr>
          <w:b/>
          <w:color w:val="auto"/>
          <w:sz w:val="28"/>
          <w:szCs w:val="28"/>
          <w:lang w:val="fr-FR"/>
        </w:rPr>
        <w:t>Xofluza</w:t>
      </w:r>
      <w:r w:rsidR="00343240" w:rsidRPr="00FC0A0D">
        <w:rPr>
          <w:b/>
          <w:color w:val="auto"/>
          <w:sz w:val="28"/>
          <w:szCs w:val="28"/>
          <w:vertAlign w:val="superscript"/>
          <w:lang w:val="fr-FR"/>
        </w:rPr>
        <w:t>®</w:t>
      </w:r>
      <w:r w:rsidR="00343240" w:rsidRPr="00FC0A0D">
        <w:rPr>
          <w:b/>
          <w:color w:val="auto"/>
          <w:sz w:val="28"/>
          <w:szCs w:val="28"/>
          <w:lang w:val="fr-FR"/>
        </w:rPr>
        <w:t xml:space="preserve"> (</w:t>
      </w:r>
      <w:r w:rsidRPr="00FC0A0D">
        <w:rPr>
          <w:b/>
          <w:color w:val="auto"/>
          <w:sz w:val="28"/>
          <w:szCs w:val="28"/>
          <w:lang w:val="fr-FR"/>
        </w:rPr>
        <w:t>baloxavir marboxil</w:t>
      </w:r>
      <w:r w:rsidR="00343240" w:rsidRPr="00FC0A0D">
        <w:rPr>
          <w:b/>
          <w:color w:val="auto"/>
          <w:sz w:val="28"/>
          <w:szCs w:val="28"/>
          <w:lang w:val="fr-FR"/>
        </w:rPr>
        <w:t>)</w:t>
      </w:r>
      <w:r w:rsidR="001D7B9B">
        <w:rPr>
          <w:b/>
          <w:color w:val="auto"/>
          <w:sz w:val="28"/>
          <w:szCs w:val="28"/>
          <w:lang w:val="fr-FR"/>
        </w:rPr>
        <w:t xml:space="preserve"> </w:t>
      </w:r>
      <w:proofErr w:type="spellStart"/>
      <w:r w:rsidR="001D7B9B">
        <w:rPr>
          <w:b/>
          <w:color w:val="auto"/>
          <w:sz w:val="28"/>
          <w:szCs w:val="28"/>
          <w:lang w:val="fr-FR"/>
        </w:rPr>
        <w:t>tablets</w:t>
      </w:r>
      <w:proofErr w:type="spellEnd"/>
    </w:p>
    <w:p w14:paraId="7616D93F" w14:textId="0890E9C1" w:rsidR="00D52399" w:rsidRPr="00435230" w:rsidRDefault="006C73C2" w:rsidP="00435230">
      <w:pPr>
        <w:pStyle w:val="Heading1"/>
      </w:pPr>
      <w:r w:rsidRPr="00435230">
        <w:t>NAME OF THE MEDICINE</w:t>
      </w:r>
    </w:p>
    <w:p w14:paraId="7BEF6039" w14:textId="77777777" w:rsidR="00517FED" w:rsidRDefault="00517FED"/>
    <w:p w14:paraId="65994F61" w14:textId="51BD29A1" w:rsidR="00D52399" w:rsidRDefault="009872F9">
      <w:r>
        <w:t>B</w:t>
      </w:r>
      <w:r w:rsidR="00671ECF" w:rsidRPr="00671ECF">
        <w:t>aloxavir marboxil</w:t>
      </w:r>
      <w:r w:rsidR="00570912">
        <w:t>.</w:t>
      </w:r>
    </w:p>
    <w:p w14:paraId="5DD4CE34" w14:textId="0B7F3D78" w:rsidR="00D52399" w:rsidRDefault="00615052" w:rsidP="00435230">
      <w:pPr>
        <w:pStyle w:val="Heading1"/>
      </w:pPr>
      <w:r>
        <w:t>QUALITATIVE AND QUANTITATIVE COMPOSITION</w:t>
      </w:r>
    </w:p>
    <w:p w14:paraId="4A0F092C" w14:textId="3B829F95" w:rsidR="00D52399" w:rsidRDefault="00D52399">
      <w:pPr>
        <w:rPr>
          <w:u w:val="single"/>
        </w:rPr>
      </w:pPr>
    </w:p>
    <w:p w14:paraId="4BF72531" w14:textId="3A1AAF4E" w:rsidR="00671ECF" w:rsidRPr="00671ECF" w:rsidRDefault="00A35C2F" w:rsidP="00671ECF">
      <w:r>
        <w:t xml:space="preserve">Each </w:t>
      </w:r>
      <w:r w:rsidR="00671ECF" w:rsidRPr="00671ECF">
        <w:t>20 mg</w:t>
      </w:r>
      <w:r>
        <w:t xml:space="preserve"> film-coated tablet contains</w:t>
      </w:r>
      <w:r w:rsidR="00671ECF" w:rsidRPr="00671ECF">
        <w:t xml:space="preserve"> 20 mg baloxavir marboxil</w:t>
      </w:r>
      <w:r>
        <w:t>.</w:t>
      </w:r>
    </w:p>
    <w:p w14:paraId="1D30EA74" w14:textId="33B4BE7A" w:rsidR="00671ECF" w:rsidRPr="00671ECF" w:rsidRDefault="00A35C2F" w:rsidP="00671ECF">
      <w:r>
        <w:t xml:space="preserve">Each </w:t>
      </w:r>
      <w:r w:rsidR="00671ECF" w:rsidRPr="00671ECF">
        <w:t>40 mg</w:t>
      </w:r>
      <w:r w:rsidRPr="00A35C2F">
        <w:t xml:space="preserve"> </w:t>
      </w:r>
      <w:r>
        <w:t xml:space="preserve">film-coated </w:t>
      </w:r>
      <w:r w:rsidR="00671ECF" w:rsidRPr="00671ECF">
        <w:t>tablet</w:t>
      </w:r>
      <w:r>
        <w:t xml:space="preserve"> contains</w:t>
      </w:r>
      <w:r w:rsidR="00671ECF" w:rsidRPr="00671ECF">
        <w:t xml:space="preserve"> 40 mg baloxavir marboxil</w:t>
      </w:r>
      <w:r>
        <w:t>.</w:t>
      </w:r>
    </w:p>
    <w:p w14:paraId="66D1B467" w14:textId="67858E6F" w:rsidR="002F0E1A" w:rsidRDefault="002F0E1A" w:rsidP="002F0E1A">
      <w:pPr>
        <w:pStyle w:val="Heading4"/>
      </w:pPr>
      <w:r>
        <w:t>Excipients with known effect</w:t>
      </w:r>
    </w:p>
    <w:p w14:paraId="7FAA9B59" w14:textId="77777777" w:rsidR="002F0E1A" w:rsidRDefault="002F0E1A">
      <w:pPr>
        <w:rPr>
          <w:u w:val="single"/>
        </w:rPr>
      </w:pPr>
    </w:p>
    <w:p w14:paraId="3DDFB12B" w14:textId="0285A334" w:rsidR="00D52399" w:rsidRDefault="002F0E1A">
      <w:pPr>
        <w:rPr>
          <w:u w:val="single"/>
        </w:rPr>
      </w:pPr>
      <w:bookmarkStart w:id="0" w:name="_gjdgxs" w:colFirst="0" w:colLast="0"/>
      <w:bookmarkEnd w:id="0"/>
      <w:r>
        <w:t xml:space="preserve">Each 20 mg tablet contains 77.9 mg of lactose monohydrate and each 40 mg tablet contains 155.8 mg of lactose monohydrate. </w:t>
      </w:r>
      <w:r w:rsidR="00615052">
        <w:t>For the full list of excipients, see section 6.1.</w:t>
      </w:r>
    </w:p>
    <w:p w14:paraId="499C880D" w14:textId="77777777" w:rsidR="00D52399" w:rsidRPr="00435230" w:rsidRDefault="00615052" w:rsidP="00FD32C0">
      <w:pPr>
        <w:pStyle w:val="Heading1"/>
      </w:pPr>
      <w:r w:rsidRPr="00435230">
        <w:t>PHARMACEUTICAL FORM</w:t>
      </w:r>
    </w:p>
    <w:p w14:paraId="151C34DD" w14:textId="77777777" w:rsidR="00D52399" w:rsidRDefault="00D52399" w:rsidP="0093644E"/>
    <w:p w14:paraId="6585CB96" w14:textId="1F787F87" w:rsidR="0093644E" w:rsidRDefault="0093644E" w:rsidP="0093644E">
      <w:r>
        <w:t>Film-coated tablets</w:t>
      </w:r>
    </w:p>
    <w:p w14:paraId="6CC12D21" w14:textId="77777777" w:rsidR="0093644E" w:rsidRDefault="0093644E" w:rsidP="0093644E"/>
    <w:p w14:paraId="58E01BDF" w14:textId="6CBCFD03" w:rsidR="0093644E" w:rsidRDefault="0093644E" w:rsidP="0093644E">
      <w:r>
        <w:t>Xofluza 20 mg tablets are white to light yellow, oblong-shaped film-coated tablets debossed with “</w:t>
      </w:r>
      <w:r>
        <w:rPr>
          <w:rFonts w:eastAsia="MS Mincho" w:cs="Arial"/>
          <w:noProof/>
          <w:kern w:val="2"/>
          <w:szCs w:val="22"/>
          <w:lang w:val="en-AU"/>
        </w:rPr>
        <w:drawing>
          <wp:inline distT="0" distB="0" distL="0" distR="0" wp14:anchorId="529CFE56" wp14:editId="6BD61DC1">
            <wp:extent cx="158750" cy="14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a:ln>
                      <a:noFill/>
                    </a:ln>
                  </pic:spPr>
                </pic:pic>
              </a:graphicData>
            </a:graphic>
          </wp:inline>
        </w:drawing>
      </w:r>
      <w:r>
        <w:t>772” on one side and “20” on the other side.</w:t>
      </w:r>
    </w:p>
    <w:p w14:paraId="29434E22" w14:textId="77777777" w:rsidR="0093644E" w:rsidRDefault="0093644E" w:rsidP="0093644E"/>
    <w:p w14:paraId="31BA925D" w14:textId="1D3CA3EB" w:rsidR="00343240" w:rsidRDefault="0093644E" w:rsidP="0093644E">
      <w:r>
        <w:t>Xofluza 40 mg tablets are white to light yellow, oblong-shaped film-coated tablets debossed on one side with “BXM40”.</w:t>
      </w:r>
      <w:r w:rsidR="00435230" w:rsidRPr="00786B90">
        <w:t xml:space="preserve"> </w:t>
      </w:r>
    </w:p>
    <w:p w14:paraId="2A0765AF" w14:textId="7C6B0C0F" w:rsidR="00D52399" w:rsidRDefault="00615052" w:rsidP="00343240">
      <w:pPr>
        <w:pStyle w:val="Heading1"/>
      </w:pPr>
      <w:r>
        <w:t>CLINICAL PARTICULARS</w:t>
      </w:r>
    </w:p>
    <w:p w14:paraId="78D4B3B3" w14:textId="77777777" w:rsidR="00D52399" w:rsidRDefault="004C2563">
      <w:pPr>
        <w:pStyle w:val="Heading2"/>
        <w:numPr>
          <w:ilvl w:val="0"/>
          <w:numId w:val="1"/>
        </w:numPr>
        <w:ind w:left="0" w:firstLine="0"/>
      </w:pPr>
      <w:r>
        <w:t>THERAPEUTIC INDICATIONS</w:t>
      </w:r>
    </w:p>
    <w:p w14:paraId="12FEE506" w14:textId="77777777" w:rsidR="00D52399" w:rsidRDefault="00D52399"/>
    <w:p w14:paraId="15406FE2" w14:textId="60391CA9" w:rsidR="005847BA" w:rsidRDefault="00BE5798" w:rsidP="00BE5798">
      <w:r>
        <w:t>Xofluza</w:t>
      </w:r>
      <w:r w:rsidRPr="00BE5798">
        <w:t xml:space="preserve"> is indicated for the treatment of </w:t>
      </w:r>
      <w:r w:rsidR="004F2FB4">
        <w:t xml:space="preserve">uncomplicated </w:t>
      </w:r>
      <w:r w:rsidRPr="00BE5798">
        <w:t>influenza in patients 12</w:t>
      </w:r>
      <w:r w:rsidR="005847BA">
        <w:t xml:space="preserve"> years of age</w:t>
      </w:r>
      <w:r w:rsidRPr="00BE5798">
        <w:t xml:space="preserve"> and </w:t>
      </w:r>
      <w:r w:rsidR="005847BA">
        <w:t>older</w:t>
      </w:r>
      <w:r w:rsidR="005847BA" w:rsidRPr="00BE5798">
        <w:t xml:space="preserve"> </w:t>
      </w:r>
      <w:r w:rsidRPr="00BE5798">
        <w:t>who have been sympto</w:t>
      </w:r>
      <w:r w:rsidR="00EF06F2">
        <w:t>matic for no more than 48 hours</w:t>
      </w:r>
      <w:r w:rsidR="005847BA">
        <w:t xml:space="preserve"> and </w:t>
      </w:r>
      <w:r w:rsidR="004F2FB4">
        <w:t>who are</w:t>
      </w:r>
      <w:r w:rsidR="00EF6316">
        <w:t>:</w:t>
      </w:r>
      <w:r w:rsidR="004F2FB4">
        <w:t xml:space="preserve"> </w:t>
      </w:r>
    </w:p>
    <w:p w14:paraId="7330D34C" w14:textId="0A0D7782" w:rsidR="005847BA" w:rsidRDefault="004F2FB4" w:rsidP="00DD5662">
      <w:pPr>
        <w:pStyle w:val="ListParagraph"/>
        <w:numPr>
          <w:ilvl w:val="0"/>
          <w:numId w:val="15"/>
        </w:numPr>
        <w:spacing w:before="60"/>
        <w:ind w:left="714" w:hanging="357"/>
        <w:contextualSpacing w:val="0"/>
      </w:pPr>
      <w:r>
        <w:t>otherwise healthy</w:t>
      </w:r>
      <w:r w:rsidR="005847BA">
        <w:t>, or</w:t>
      </w:r>
    </w:p>
    <w:p w14:paraId="5AE4DCB1" w14:textId="3E681173" w:rsidR="00FC0A0D" w:rsidRDefault="00BE5798" w:rsidP="00085E3B">
      <w:pPr>
        <w:pStyle w:val="ListParagraph"/>
        <w:numPr>
          <w:ilvl w:val="0"/>
          <w:numId w:val="15"/>
        </w:numPr>
        <w:spacing w:before="60"/>
        <w:ind w:left="714" w:hanging="357"/>
        <w:contextualSpacing w:val="0"/>
      </w:pPr>
      <w:r w:rsidRPr="00BE5798">
        <w:t xml:space="preserve">at high risk of developing influenza complications. </w:t>
      </w:r>
    </w:p>
    <w:p w14:paraId="49642F36" w14:textId="77777777" w:rsidR="00FC0A0D" w:rsidRDefault="00FC0A0D" w:rsidP="0058021C">
      <w:pPr>
        <w:pStyle w:val="Heading2"/>
        <w:keepNext/>
        <w:numPr>
          <w:ilvl w:val="1"/>
          <w:numId w:val="2"/>
        </w:numPr>
        <w:ind w:left="0" w:firstLine="0"/>
      </w:pPr>
      <w:r>
        <w:t>DOSE AND METHOD OF ADMINISTRATION</w:t>
      </w:r>
    </w:p>
    <w:p w14:paraId="3B7A1DD8" w14:textId="77777777" w:rsidR="00947662" w:rsidRDefault="00947662" w:rsidP="00947662"/>
    <w:p w14:paraId="35203D27" w14:textId="56520F9D" w:rsidR="00840C56" w:rsidRDefault="00840C56" w:rsidP="00840C56">
      <w:r>
        <w:t xml:space="preserve">A single </w:t>
      </w:r>
      <w:r w:rsidR="00B62885">
        <w:t xml:space="preserve">oral </w:t>
      </w:r>
      <w:r>
        <w:t xml:space="preserve">dose of </w:t>
      </w:r>
      <w:r w:rsidR="002F0E1A">
        <w:t>Xofluza</w:t>
      </w:r>
      <w:r>
        <w:t xml:space="preserve"> should be </w:t>
      </w:r>
      <w:r w:rsidR="00B62885">
        <w:t>taken</w:t>
      </w:r>
      <w:r>
        <w:t xml:space="preserve"> within 48 hours of symptom onset.</w:t>
      </w:r>
    </w:p>
    <w:p w14:paraId="5D62F0AC" w14:textId="77777777" w:rsidR="00840C56" w:rsidRDefault="00840C56" w:rsidP="00840C56"/>
    <w:p w14:paraId="6B47BB57" w14:textId="216ACAB0" w:rsidR="00947662" w:rsidRDefault="002F0E1A" w:rsidP="00840C56">
      <w:r>
        <w:t>Xofluza</w:t>
      </w:r>
      <w:r w:rsidR="00840C56">
        <w:t xml:space="preserve"> may be taken with or without food (see section 5.2 Pharmacokinetic Properties).</w:t>
      </w:r>
      <w:r w:rsidR="00A26385">
        <w:t xml:space="preserve"> </w:t>
      </w:r>
      <w:r w:rsidR="00A26385" w:rsidRPr="00A26385">
        <w:t>Avoid co-administration of X</w:t>
      </w:r>
      <w:r w:rsidR="00F72340">
        <w:t xml:space="preserve">ofluza </w:t>
      </w:r>
      <w:r w:rsidR="00A26385" w:rsidRPr="00A26385">
        <w:t>with calcium-fortified beverages, polyvalent cation-containing laxatives, antacids or oral supplements</w:t>
      </w:r>
      <w:r w:rsidR="00F72340">
        <w:t xml:space="preserve">, </w:t>
      </w:r>
      <w:r w:rsidR="00A26385" w:rsidRPr="00A26385">
        <w:t>e.g., calcium, iron, magnesium, selenium, or zinc</w:t>
      </w:r>
      <w:r w:rsidR="00F72340">
        <w:t>. Where possible, avoid co-administration of Xofluza with dairy products</w:t>
      </w:r>
      <w:r w:rsidR="00A26385">
        <w:t xml:space="preserve"> (see section</w:t>
      </w:r>
      <w:r w:rsidR="00437DBA">
        <w:t> </w:t>
      </w:r>
      <w:r w:rsidR="00A26385">
        <w:t>4.5)</w:t>
      </w:r>
      <w:r w:rsidR="00A26385" w:rsidRPr="00A26385">
        <w:t>.</w:t>
      </w:r>
    </w:p>
    <w:p w14:paraId="39EAE135" w14:textId="77777777" w:rsidR="00D52399" w:rsidRDefault="00615052" w:rsidP="005A5476">
      <w:pPr>
        <w:pStyle w:val="Heading3"/>
        <w:keepNext/>
      </w:pPr>
      <w:r>
        <w:lastRenderedPageBreak/>
        <w:t>Dose</w:t>
      </w:r>
    </w:p>
    <w:p w14:paraId="41DC1FC6" w14:textId="174F1348" w:rsidR="00947662" w:rsidRDefault="00B62885" w:rsidP="005A5476">
      <w:pPr>
        <w:pStyle w:val="Heading4"/>
        <w:keepNext/>
      </w:pPr>
      <w:r>
        <w:t>Adults and Adolescents (≥</w:t>
      </w:r>
      <w:r w:rsidRPr="00B62885">
        <w:t xml:space="preserve"> 12 years of age)</w:t>
      </w:r>
    </w:p>
    <w:p w14:paraId="34BBCE77" w14:textId="77777777" w:rsidR="00947662" w:rsidRDefault="00947662" w:rsidP="00947662"/>
    <w:p w14:paraId="23EC7569" w14:textId="4D207406" w:rsidR="00947662" w:rsidRDefault="00B62885" w:rsidP="00947662">
      <w:r w:rsidRPr="00B62885">
        <w:t xml:space="preserve">The recommended dose of </w:t>
      </w:r>
      <w:r w:rsidR="002F0E1A">
        <w:t>Xofluza</w:t>
      </w:r>
      <w:r w:rsidRPr="00B62885">
        <w:t xml:space="preserve"> depending on body weight is shown in Table 1</w:t>
      </w:r>
      <w:r>
        <w:t>.</w:t>
      </w:r>
    </w:p>
    <w:p w14:paraId="3F3D810F" w14:textId="66EEACCC" w:rsidR="00B62885" w:rsidRPr="00B41F0E" w:rsidRDefault="00B62885" w:rsidP="00B62885">
      <w:pPr>
        <w:pStyle w:val="Tableheading"/>
      </w:pPr>
      <w:r>
        <w:t>Table 1</w:t>
      </w:r>
      <w:r w:rsidRPr="00B41F0E">
        <w:tab/>
      </w:r>
      <w:r>
        <w:t>Xofluza dosing by patient weight</w:t>
      </w:r>
    </w:p>
    <w:tbl>
      <w:tblPr>
        <w:tblStyle w:val="TableGrid"/>
        <w:tblW w:w="0" w:type="auto"/>
        <w:jc w:val="center"/>
        <w:tblLook w:val="04A0" w:firstRow="1" w:lastRow="0" w:firstColumn="1" w:lastColumn="0" w:noHBand="0" w:noVBand="1"/>
      </w:tblPr>
      <w:tblGrid>
        <w:gridCol w:w="4530"/>
        <w:gridCol w:w="4530"/>
      </w:tblGrid>
      <w:tr w:rsidR="00B62885" w:rsidRPr="00B62885" w14:paraId="2480FD52" w14:textId="77777777" w:rsidTr="00B62885">
        <w:trPr>
          <w:jc w:val="center"/>
        </w:trPr>
        <w:tc>
          <w:tcPr>
            <w:tcW w:w="4530" w:type="dxa"/>
          </w:tcPr>
          <w:p w14:paraId="5B771C1D" w14:textId="19E14CA7" w:rsidR="00B62885" w:rsidRPr="00B62885" w:rsidRDefault="00B62885" w:rsidP="00B62885">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Patient Body Weight</w:t>
            </w:r>
          </w:p>
        </w:tc>
        <w:tc>
          <w:tcPr>
            <w:tcW w:w="4530" w:type="dxa"/>
          </w:tcPr>
          <w:p w14:paraId="037E6F50" w14:textId="2D5B411C" w:rsidR="00B62885" w:rsidRPr="00B62885" w:rsidRDefault="00B62885" w:rsidP="00B62885">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B62885">
              <w:rPr>
                <w:sz w:val="22"/>
                <w:lang w:val="en-AU"/>
              </w:rPr>
              <w:t>Recommended Oral Dose</w:t>
            </w:r>
          </w:p>
        </w:tc>
      </w:tr>
      <w:tr w:rsidR="00B62885" w:rsidRPr="00B62885" w14:paraId="28761C78" w14:textId="77777777" w:rsidTr="00B62885">
        <w:trPr>
          <w:jc w:val="center"/>
        </w:trPr>
        <w:tc>
          <w:tcPr>
            <w:tcW w:w="4530" w:type="dxa"/>
          </w:tcPr>
          <w:p w14:paraId="0383018B" w14:textId="3B08FCD5" w:rsidR="00B62885" w:rsidRPr="00B62885" w:rsidRDefault="00B62885" w:rsidP="00B62885">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40 kg to &lt; 80 kg</w:t>
            </w:r>
          </w:p>
        </w:tc>
        <w:tc>
          <w:tcPr>
            <w:tcW w:w="4530" w:type="dxa"/>
          </w:tcPr>
          <w:p w14:paraId="53DEE14D" w14:textId="48A91F3E" w:rsidR="00B62885" w:rsidRPr="00B62885" w:rsidRDefault="00B62885" w:rsidP="00B62885">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40 mg</w:t>
            </w:r>
          </w:p>
        </w:tc>
      </w:tr>
      <w:tr w:rsidR="00B62885" w:rsidRPr="00B62885" w14:paraId="6827CA83" w14:textId="77777777" w:rsidTr="00B62885">
        <w:trPr>
          <w:jc w:val="center"/>
        </w:trPr>
        <w:tc>
          <w:tcPr>
            <w:tcW w:w="4530" w:type="dxa"/>
          </w:tcPr>
          <w:p w14:paraId="1861A3BD" w14:textId="611D82F3" w:rsidR="00B62885" w:rsidRDefault="00B62885" w:rsidP="00B62885">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 80 kg</w:t>
            </w:r>
          </w:p>
        </w:tc>
        <w:tc>
          <w:tcPr>
            <w:tcW w:w="4530" w:type="dxa"/>
          </w:tcPr>
          <w:p w14:paraId="74D345C0" w14:textId="603B506B" w:rsidR="00B62885" w:rsidRDefault="00B62885" w:rsidP="00B62885">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80 mg</w:t>
            </w:r>
          </w:p>
        </w:tc>
      </w:tr>
    </w:tbl>
    <w:p w14:paraId="4161103E" w14:textId="27AE51B4" w:rsidR="00947662" w:rsidRDefault="00947662" w:rsidP="00947662">
      <w:pPr>
        <w:pStyle w:val="Heading4"/>
      </w:pPr>
      <w:r>
        <w:t xml:space="preserve">Dosage </w:t>
      </w:r>
      <w:r w:rsidR="00B62885">
        <w:t>modifications</w:t>
      </w:r>
      <w:r>
        <w:t xml:space="preserve"> </w:t>
      </w:r>
    </w:p>
    <w:p w14:paraId="43B8DEDC" w14:textId="20613BC4" w:rsidR="00947662" w:rsidRDefault="00947662" w:rsidP="00947662"/>
    <w:p w14:paraId="264A6A93" w14:textId="0D0F7E6F" w:rsidR="00947662" w:rsidRDefault="00B62885" w:rsidP="00947662">
      <w:r w:rsidRPr="00B62885">
        <w:t xml:space="preserve">No dose reductions of </w:t>
      </w:r>
      <w:r w:rsidR="002F0E1A">
        <w:t>Xofluza</w:t>
      </w:r>
      <w:r w:rsidRPr="00B62885">
        <w:t xml:space="preserve"> are recommended.</w:t>
      </w:r>
      <w:r w:rsidR="00947662">
        <w:t xml:space="preserve"> </w:t>
      </w:r>
    </w:p>
    <w:p w14:paraId="6C9B78F4" w14:textId="77777777" w:rsidR="00D52399" w:rsidRDefault="00615052" w:rsidP="00DE0BE2">
      <w:pPr>
        <w:pStyle w:val="Heading4"/>
        <w:keepNext/>
      </w:pPr>
      <w:r>
        <w:t>Special populations</w:t>
      </w:r>
    </w:p>
    <w:p w14:paraId="2F5D67B9" w14:textId="77777777" w:rsidR="00665095" w:rsidRPr="00D760FE" w:rsidRDefault="00665095" w:rsidP="00665095">
      <w:pPr>
        <w:pStyle w:val="Heading5"/>
      </w:pPr>
      <w:r w:rsidRPr="00D760FE">
        <w:t>Hepatic impairment</w:t>
      </w:r>
    </w:p>
    <w:p w14:paraId="2D6101F2" w14:textId="05C634F0" w:rsidR="00665095" w:rsidRPr="00B11D1D" w:rsidRDefault="00665095" w:rsidP="00665095">
      <w:r w:rsidRPr="008F4CFE">
        <w:t xml:space="preserve">No dose adjustment is required in patients with mild (Child-Pugh class A) to moderate (Child-Pugh class B) hepatic impairment (see section 5.2 Pharmacokinetics in special populations, Hepatic impairment). </w:t>
      </w:r>
      <w:r w:rsidR="002F0E1A">
        <w:t>Xofluza</w:t>
      </w:r>
      <w:r w:rsidRPr="008F4CFE">
        <w:t xml:space="preserve"> has not been studied in patients with severe hepatic impairment.</w:t>
      </w:r>
    </w:p>
    <w:p w14:paraId="2C115A08" w14:textId="77777777" w:rsidR="007C3EF6" w:rsidRPr="00D760FE" w:rsidRDefault="007C3EF6" w:rsidP="007C3EF6">
      <w:pPr>
        <w:pStyle w:val="Heading5"/>
      </w:pPr>
      <w:r w:rsidRPr="00D760FE">
        <w:t>Renal impairment</w:t>
      </w:r>
    </w:p>
    <w:p w14:paraId="30B7BA8E" w14:textId="5D8EA761" w:rsidR="007C3EF6" w:rsidRDefault="007C3EF6" w:rsidP="007C3EF6">
      <w:r w:rsidRPr="008F4CFE">
        <w:t xml:space="preserve">The safety and efficacy of </w:t>
      </w:r>
      <w:r w:rsidR="002F0E1A">
        <w:t>Xofluza</w:t>
      </w:r>
      <w:r w:rsidRPr="008F4CFE">
        <w:t xml:space="preserve"> has not been studied in patients with renal impairment. A change in dose is not required for patients with renal impairment (see section 5.2 Pharmacokinetics in special populations, Renal impairment).</w:t>
      </w:r>
    </w:p>
    <w:p w14:paraId="5926FFA0" w14:textId="77777777" w:rsidR="00665095" w:rsidRPr="00D760FE" w:rsidRDefault="00665095" w:rsidP="00665095">
      <w:pPr>
        <w:pStyle w:val="Heading5"/>
        <w:keepNext/>
      </w:pPr>
      <w:r>
        <w:t>Elderly</w:t>
      </w:r>
    </w:p>
    <w:p w14:paraId="482986EC" w14:textId="77777777" w:rsidR="00665095" w:rsidRPr="00D760FE" w:rsidRDefault="00665095" w:rsidP="00665095">
      <w:r w:rsidRPr="001871BC">
        <w:t>No dosage adjustment is recommended</w:t>
      </w:r>
      <w:r>
        <w:t xml:space="preserve"> in elderly patients</w:t>
      </w:r>
      <w:r w:rsidRPr="001871BC">
        <w:t xml:space="preserve"> (see section </w:t>
      </w:r>
      <w:r>
        <w:t>5.2</w:t>
      </w:r>
      <w:r w:rsidRPr="001871BC">
        <w:t xml:space="preserve"> Pharmacokinetics in </w:t>
      </w:r>
      <w:r>
        <w:t>s</w:t>
      </w:r>
      <w:r w:rsidRPr="001871BC">
        <w:t xml:space="preserve">pecial </w:t>
      </w:r>
      <w:r>
        <w:t>p</w:t>
      </w:r>
      <w:r w:rsidRPr="001871BC">
        <w:t xml:space="preserve">opulations, </w:t>
      </w:r>
      <w:r>
        <w:t>Elderly</w:t>
      </w:r>
      <w:r w:rsidRPr="001871BC">
        <w:t>).</w:t>
      </w:r>
      <w:r w:rsidRPr="00D760FE">
        <w:t xml:space="preserve"> </w:t>
      </w:r>
    </w:p>
    <w:p w14:paraId="237C0900" w14:textId="77777777" w:rsidR="00947662" w:rsidRPr="00947662" w:rsidRDefault="00947662" w:rsidP="00DE0BE2">
      <w:pPr>
        <w:pStyle w:val="Heading5"/>
        <w:keepNext/>
      </w:pPr>
      <w:r w:rsidRPr="00947662">
        <w:t>P</w:t>
      </w:r>
      <w:r w:rsidR="005616C2">
        <w:t>a</w:t>
      </w:r>
      <w:r w:rsidRPr="00947662">
        <w:t>ediatric populations</w:t>
      </w:r>
    </w:p>
    <w:p w14:paraId="68720F40" w14:textId="41AE7039" w:rsidR="00947662" w:rsidRPr="00D760FE" w:rsidRDefault="00B62885" w:rsidP="00947662">
      <w:r w:rsidRPr="00B62885">
        <w:t xml:space="preserve">The safety and efficacy of </w:t>
      </w:r>
      <w:r w:rsidR="002F0E1A">
        <w:t>Xofluza</w:t>
      </w:r>
      <w:r w:rsidRPr="00B62885">
        <w:t xml:space="preserve"> in patients &lt; 12 years of age has not been established. For patients</w:t>
      </w:r>
      <w:r>
        <w:t xml:space="preserve"> ≥ </w:t>
      </w:r>
      <w:r w:rsidRPr="00B62885">
        <w:t>12 years</w:t>
      </w:r>
      <w:r w:rsidR="003B4A6B">
        <w:t xml:space="preserve"> weighing at least 40 kg</w:t>
      </w:r>
      <w:r w:rsidR="008F4CFE">
        <w:t>,</w:t>
      </w:r>
      <w:r w:rsidRPr="00B62885">
        <w:t xml:space="preserve"> see </w:t>
      </w:r>
      <w:r>
        <w:t>Table 1</w:t>
      </w:r>
      <w:r w:rsidRPr="00B62885">
        <w:t>.</w:t>
      </w:r>
    </w:p>
    <w:p w14:paraId="4A9E20A3" w14:textId="00DD2AFD" w:rsidR="00D52399" w:rsidRDefault="007828E3" w:rsidP="00627B2B">
      <w:pPr>
        <w:pStyle w:val="Heading2"/>
        <w:keepNext/>
        <w:numPr>
          <w:ilvl w:val="1"/>
          <w:numId w:val="2"/>
        </w:numPr>
        <w:ind w:left="0" w:firstLine="0"/>
      </w:pPr>
      <w:r>
        <w:t>CONTRAINDICATIONS</w:t>
      </w:r>
    </w:p>
    <w:p w14:paraId="2F56E3C2" w14:textId="77777777" w:rsidR="00D52399" w:rsidRDefault="00D52399" w:rsidP="00627B2B">
      <w:pPr>
        <w:keepNext/>
      </w:pPr>
    </w:p>
    <w:p w14:paraId="5EFD19AD" w14:textId="251C565D" w:rsidR="00D52399" w:rsidRDefault="002F0E1A">
      <w:r>
        <w:t>Xofluza</w:t>
      </w:r>
      <w:r w:rsidR="005A5476" w:rsidRPr="005A5476">
        <w:t xml:space="preserve"> is contraindicated in patients with a known hypersensitivity to baloxavir marboxil or </w:t>
      </w:r>
      <w:r w:rsidR="005A5476">
        <w:t xml:space="preserve">to </w:t>
      </w:r>
      <w:r w:rsidR="005A5476" w:rsidRPr="005A5476">
        <w:t>any of the excipients</w:t>
      </w:r>
      <w:r w:rsidR="00B86540">
        <w:t xml:space="preserve"> </w:t>
      </w:r>
      <w:r w:rsidR="00B86540" w:rsidRPr="00B86540">
        <w:t xml:space="preserve">(see section </w:t>
      </w:r>
      <w:r w:rsidR="00A26385">
        <w:t>4.8</w:t>
      </w:r>
      <w:r w:rsidR="00B86540" w:rsidRPr="00B86540">
        <w:t xml:space="preserve"> Post</w:t>
      </w:r>
      <w:r w:rsidR="00B86540">
        <w:t>-</w:t>
      </w:r>
      <w:r w:rsidR="00B86540" w:rsidRPr="00B86540">
        <w:t>marketing Experience)</w:t>
      </w:r>
      <w:r w:rsidR="005A5476" w:rsidRPr="005A5476">
        <w:t>.</w:t>
      </w:r>
    </w:p>
    <w:p w14:paraId="2ECEE5F4" w14:textId="67C76176" w:rsidR="00D52399" w:rsidRDefault="00615052" w:rsidP="00417E6D">
      <w:pPr>
        <w:pStyle w:val="Heading2"/>
        <w:keepNext/>
        <w:ind w:hanging="786"/>
      </w:pPr>
      <w:r>
        <w:t>4.4</w:t>
      </w:r>
      <w:r>
        <w:tab/>
      </w:r>
      <w:r w:rsidR="007828E3">
        <w:t>SPECIAL WARNINGS AND PRECAUTIONS FOR USE</w:t>
      </w:r>
    </w:p>
    <w:p w14:paraId="7FD3BC3D" w14:textId="51BCD821" w:rsidR="007828E3" w:rsidRDefault="007828E3" w:rsidP="00417E6D">
      <w:pPr>
        <w:keepNext/>
      </w:pPr>
    </w:p>
    <w:p w14:paraId="42B1F949" w14:textId="4B29E5FB" w:rsidR="007828E3" w:rsidRDefault="00A707C5" w:rsidP="007828E3">
      <w:r w:rsidRPr="00A707C5">
        <w:t xml:space="preserve">Influenza viruses change over time, and factors such as the virus type or subtype, emergence of resistance, or changes in viral virulence could diminish the clinical benefit of antiviral </w:t>
      </w:r>
      <w:r>
        <w:t>medicines</w:t>
      </w:r>
      <w:r w:rsidRPr="00A707C5">
        <w:t>. Consider available information on drug susceptibility patterns for circulating influenza virus strains when deciding whether to use X</w:t>
      </w:r>
      <w:r>
        <w:t>ofluza</w:t>
      </w:r>
      <w:r w:rsidRPr="00A707C5">
        <w:t>.</w:t>
      </w:r>
    </w:p>
    <w:p w14:paraId="0D3FE03A" w14:textId="2FE58BCD" w:rsidR="00A707C5" w:rsidRDefault="00A707C5" w:rsidP="00437DBA">
      <w:pPr>
        <w:pStyle w:val="Heading3"/>
        <w:keepNext/>
      </w:pPr>
      <w:r>
        <w:lastRenderedPageBreak/>
        <w:t>Hypersensitivity</w:t>
      </w:r>
    </w:p>
    <w:p w14:paraId="14311151" w14:textId="38370655" w:rsidR="00A707C5" w:rsidRDefault="00A707C5" w:rsidP="00437DBA">
      <w:pPr>
        <w:keepNext/>
      </w:pPr>
    </w:p>
    <w:p w14:paraId="31FAABC5" w14:textId="6F33BED1" w:rsidR="00A707C5" w:rsidRPr="00A707C5" w:rsidRDefault="00A707C5" w:rsidP="00A707C5">
      <w:r w:rsidRPr="00A707C5">
        <w:t>Hypersensitivity reactions after use of Xofluza have been reported in post-marketing surveillance. While in several cases a definitive causal relationship could not be confirmed, cases of hypersensitivity (including anaphylaxis, facial/throat swelling, skin eruptions an</w:t>
      </w:r>
      <w:r>
        <w:t xml:space="preserve">d </w:t>
      </w:r>
      <w:proofErr w:type="spellStart"/>
      <w:r>
        <w:t>urticaria</w:t>
      </w:r>
      <w:proofErr w:type="spellEnd"/>
      <w:r>
        <w:t>)</w:t>
      </w:r>
      <w:r w:rsidRPr="00A707C5">
        <w:t xml:space="preserve"> have been attributed to exposure to baloxavir. Appropriate treatment should be instituted if an allergic-like reaction occurs or is suspected.</w:t>
      </w:r>
    </w:p>
    <w:p w14:paraId="3B9235BB" w14:textId="59D64C74" w:rsidR="008D29EE" w:rsidRDefault="008D29EE" w:rsidP="008D29EE">
      <w:pPr>
        <w:pStyle w:val="Heading3"/>
        <w:keepNext/>
      </w:pPr>
      <w:r>
        <w:t>Use in hepatic impairment</w:t>
      </w:r>
    </w:p>
    <w:p w14:paraId="0A2086DB" w14:textId="5F527CEA" w:rsidR="008D29EE" w:rsidRDefault="008D29EE" w:rsidP="008D29EE">
      <w:pPr>
        <w:keepNext/>
      </w:pPr>
    </w:p>
    <w:p w14:paraId="7A8EFC2A" w14:textId="0A77036D" w:rsidR="008D29EE" w:rsidRDefault="00784EC0" w:rsidP="008D29EE">
      <w:r w:rsidRPr="00784EC0">
        <w:rPr>
          <w:lang w:val="en-AU"/>
        </w:rPr>
        <w:t xml:space="preserve">The safety and efficacy of </w:t>
      </w:r>
      <w:r w:rsidR="002F0E1A">
        <w:rPr>
          <w:lang w:val="en-AU"/>
        </w:rPr>
        <w:t>Xofluza</w:t>
      </w:r>
      <w:r w:rsidRPr="00784EC0">
        <w:rPr>
          <w:lang w:val="en-AU"/>
        </w:rPr>
        <w:t xml:space="preserve"> in patients with severe hepatic impairment has not been studied. </w:t>
      </w:r>
      <w:r>
        <w:rPr>
          <w:lang w:val="en-AU"/>
        </w:rPr>
        <w:t>Refer to</w:t>
      </w:r>
      <w:r w:rsidRPr="00784EC0">
        <w:rPr>
          <w:lang w:val="en-AU"/>
        </w:rPr>
        <w:t xml:space="preserve"> sections </w:t>
      </w:r>
      <w:r>
        <w:rPr>
          <w:lang w:val="en-AU"/>
        </w:rPr>
        <w:t>4.2 Dose, Special populations, Hepatic impairment</w:t>
      </w:r>
      <w:r w:rsidRPr="00784EC0">
        <w:rPr>
          <w:lang w:val="en-AU"/>
        </w:rPr>
        <w:t xml:space="preserve"> and </w:t>
      </w:r>
      <w:r w:rsidR="00EF6316">
        <w:rPr>
          <w:lang w:val="en-AU"/>
        </w:rPr>
        <w:t>5.2 </w:t>
      </w:r>
      <w:r>
        <w:rPr>
          <w:lang w:val="en-AU"/>
        </w:rPr>
        <w:t>Pharmacokinetics in special populations, Hepatic impairment</w:t>
      </w:r>
      <w:r w:rsidRPr="00784EC0">
        <w:rPr>
          <w:lang w:val="en-AU"/>
        </w:rPr>
        <w:t>.</w:t>
      </w:r>
    </w:p>
    <w:p w14:paraId="60E1ABCB" w14:textId="077D4E3A" w:rsidR="008D29EE" w:rsidRDefault="008D29EE" w:rsidP="00AE69EE">
      <w:pPr>
        <w:pStyle w:val="Heading3"/>
        <w:keepNext/>
      </w:pPr>
      <w:r>
        <w:t>Use in renal impairment</w:t>
      </w:r>
    </w:p>
    <w:p w14:paraId="6D2EC449" w14:textId="7C51BAC4" w:rsidR="008D29EE" w:rsidRDefault="008D29EE" w:rsidP="00AE69EE">
      <w:pPr>
        <w:keepNext/>
      </w:pPr>
    </w:p>
    <w:p w14:paraId="6676F24D" w14:textId="792D2FD0" w:rsidR="008D29EE" w:rsidRPr="00784EC0" w:rsidRDefault="00784EC0" w:rsidP="00784EC0">
      <w:r w:rsidRPr="00784EC0">
        <w:t xml:space="preserve">The safety and efficacy of </w:t>
      </w:r>
      <w:r w:rsidR="002F0E1A">
        <w:t>Xofluza</w:t>
      </w:r>
      <w:r w:rsidRPr="00784EC0">
        <w:t xml:space="preserve"> in patients with renal impairment has not been studied.</w:t>
      </w:r>
      <w:r w:rsidRPr="00784EC0">
        <w:rPr>
          <w:lang w:val="en-AU"/>
        </w:rPr>
        <w:t xml:space="preserve"> </w:t>
      </w:r>
      <w:r>
        <w:rPr>
          <w:lang w:val="en-AU"/>
        </w:rPr>
        <w:t>Refer to</w:t>
      </w:r>
      <w:r w:rsidRPr="00784EC0">
        <w:rPr>
          <w:lang w:val="en-AU"/>
        </w:rPr>
        <w:t xml:space="preserve"> sections </w:t>
      </w:r>
      <w:r>
        <w:rPr>
          <w:lang w:val="en-AU"/>
        </w:rPr>
        <w:t>4.2 Dose, Special populations, Renal impairment</w:t>
      </w:r>
      <w:r w:rsidRPr="00784EC0">
        <w:rPr>
          <w:lang w:val="en-AU"/>
        </w:rPr>
        <w:t xml:space="preserve"> and </w:t>
      </w:r>
      <w:r>
        <w:rPr>
          <w:lang w:val="en-AU"/>
        </w:rPr>
        <w:t>5.2 Pharmacokinetics in special populations, Renal impairment</w:t>
      </w:r>
      <w:r w:rsidRPr="00784EC0">
        <w:rPr>
          <w:lang w:val="en-AU"/>
        </w:rPr>
        <w:t>.</w:t>
      </w:r>
    </w:p>
    <w:p w14:paraId="64E75C37" w14:textId="77777777" w:rsidR="008D29EE" w:rsidRDefault="008D29EE" w:rsidP="0043279A">
      <w:pPr>
        <w:pStyle w:val="Heading3"/>
        <w:keepNext/>
      </w:pPr>
      <w:r>
        <w:t>Use in the elderly</w:t>
      </w:r>
    </w:p>
    <w:p w14:paraId="3A059C5B" w14:textId="77777777" w:rsidR="008D29EE" w:rsidRDefault="008D29EE" w:rsidP="0043279A">
      <w:pPr>
        <w:keepNext/>
        <w:rPr>
          <w:lang w:val="en-AU"/>
        </w:rPr>
      </w:pPr>
    </w:p>
    <w:p w14:paraId="1AC9A311" w14:textId="351321EB" w:rsidR="008D29EE" w:rsidRPr="00BA738F" w:rsidRDefault="00784EC0" w:rsidP="008D29EE">
      <w:pPr>
        <w:rPr>
          <w:lang w:val="en-AU"/>
        </w:rPr>
      </w:pPr>
      <w:r w:rsidRPr="00784EC0">
        <w:rPr>
          <w:lang w:val="en-AU"/>
        </w:rPr>
        <w:t xml:space="preserve">The safety and efficacy of </w:t>
      </w:r>
      <w:r w:rsidR="002F0E1A">
        <w:rPr>
          <w:lang w:val="en-AU"/>
        </w:rPr>
        <w:t>Xofluza</w:t>
      </w:r>
      <w:r w:rsidRPr="00784EC0">
        <w:rPr>
          <w:lang w:val="en-AU"/>
        </w:rPr>
        <w:t xml:space="preserve"> for the treatment of influe</w:t>
      </w:r>
      <w:r>
        <w:rPr>
          <w:lang w:val="en-AU"/>
        </w:rPr>
        <w:t>nza in geriatric patients age ≥</w:t>
      </w:r>
      <w:r w:rsidR="00636279">
        <w:rPr>
          <w:lang w:val="en-AU"/>
        </w:rPr>
        <w:t> </w:t>
      </w:r>
      <w:r w:rsidRPr="00784EC0">
        <w:rPr>
          <w:lang w:val="en-AU"/>
        </w:rPr>
        <w:t>65</w:t>
      </w:r>
      <w:r w:rsidR="00636279">
        <w:rPr>
          <w:lang w:val="en-AU"/>
        </w:rPr>
        <w:t> </w:t>
      </w:r>
      <w:r w:rsidRPr="00784EC0">
        <w:rPr>
          <w:lang w:val="en-AU"/>
        </w:rPr>
        <w:t>years and weighing at leas</w:t>
      </w:r>
      <w:r>
        <w:rPr>
          <w:lang w:val="en-AU"/>
        </w:rPr>
        <w:t>t 40 kg have been established. Refer to</w:t>
      </w:r>
      <w:r w:rsidRPr="00784EC0">
        <w:rPr>
          <w:lang w:val="en-AU"/>
        </w:rPr>
        <w:t xml:space="preserve"> sections </w:t>
      </w:r>
      <w:r>
        <w:rPr>
          <w:lang w:val="en-AU"/>
        </w:rPr>
        <w:t>4.2 Dose, Special populations, Elderly</w:t>
      </w:r>
      <w:r w:rsidRPr="00784EC0">
        <w:rPr>
          <w:lang w:val="en-AU"/>
        </w:rPr>
        <w:t xml:space="preserve"> and </w:t>
      </w:r>
      <w:r>
        <w:rPr>
          <w:lang w:val="en-AU"/>
        </w:rPr>
        <w:t>5.2 Pharmacokinetics in special populations, Elderly</w:t>
      </w:r>
      <w:r w:rsidRPr="00784EC0">
        <w:rPr>
          <w:lang w:val="en-AU"/>
        </w:rPr>
        <w:t>.</w:t>
      </w:r>
    </w:p>
    <w:p w14:paraId="3B48487A" w14:textId="4BE8C31E" w:rsidR="007828E3" w:rsidRDefault="007828E3" w:rsidP="008D29EE">
      <w:pPr>
        <w:pStyle w:val="Heading3"/>
      </w:pPr>
      <w:r>
        <w:t>Paediatric use</w:t>
      </w:r>
    </w:p>
    <w:p w14:paraId="2448BF66" w14:textId="77777777" w:rsidR="008D29EE" w:rsidRDefault="008D29EE" w:rsidP="007828E3">
      <w:pPr>
        <w:rPr>
          <w:lang w:val="en-AU"/>
        </w:rPr>
      </w:pPr>
    </w:p>
    <w:p w14:paraId="00C6AEA7" w14:textId="106BAD61" w:rsidR="00BB671D" w:rsidRPr="00BB671D" w:rsidRDefault="00A52E15" w:rsidP="00000D32">
      <w:pPr>
        <w:rPr>
          <w:lang w:val="en-AU"/>
        </w:rPr>
      </w:pPr>
      <w:r w:rsidRPr="00A52E15">
        <w:rPr>
          <w:lang w:val="en-AU"/>
        </w:rPr>
        <w:t>The safety and efficacy in p</w:t>
      </w:r>
      <w:r>
        <w:rPr>
          <w:lang w:val="en-AU"/>
        </w:rPr>
        <w:t>a</w:t>
      </w:r>
      <w:r w:rsidRPr="00A52E15">
        <w:rPr>
          <w:lang w:val="en-AU"/>
        </w:rPr>
        <w:t>ediatric patients (&lt; 12 years of age</w:t>
      </w:r>
      <w:r w:rsidR="003B4A6B">
        <w:rPr>
          <w:lang w:val="en-AU"/>
        </w:rPr>
        <w:t xml:space="preserve"> and/or weighing &lt; 40 kg</w:t>
      </w:r>
      <w:r w:rsidRPr="00A52E15">
        <w:rPr>
          <w:lang w:val="en-AU"/>
        </w:rPr>
        <w:t>) has not been established.</w:t>
      </w:r>
    </w:p>
    <w:p w14:paraId="79894CD7" w14:textId="77777777" w:rsidR="007828E3" w:rsidRDefault="007828E3" w:rsidP="00E96BC3">
      <w:pPr>
        <w:pStyle w:val="Heading3"/>
      </w:pPr>
      <w:r w:rsidRPr="004D1592">
        <w:t xml:space="preserve">Effects on </w:t>
      </w:r>
      <w:r>
        <w:t>l</w:t>
      </w:r>
      <w:r w:rsidRPr="004D1592">
        <w:t xml:space="preserve">aboratory </w:t>
      </w:r>
      <w:r>
        <w:t>t</w:t>
      </w:r>
      <w:r w:rsidRPr="004D1592">
        <w:t>ests</w:t>
      </w:r>
    </w:p>
    <w:p w14:paraId="7367A72F" w14:textId="77777777" w:rsidR="00E96BC3" w:rsidRDefault="00E96BC3" w:rsidP="007828E3">
      <w:pPr>
        <w:rPr>
          <w:lang w:val="en-AU"/>
        </w:rPr>
      </w:pPr>
    </w:p>
    <w:p w14:paraId="2AFBB7B2" w14:textId="2D30786A" w:rsidR="007828E3" w:rsidRPr="004D1592" w:rsidRDefault="00A52E15" w:rsidP="007828E3">
      <w:pPr>
        <w:rPr>
          <w:lang w:val="en-AU"/>
        </w:rPr>
      </w:pPr>
      <w:r>
        <w:rPr>
          <w:lang w:val="en-AU"/>
        </w:rPr>
        <w:t>No data available.</w:t>
      </w:r>
    </w:p>
    <w:p w14:paraId="71BFF1D0" w14:textId="0B4C2979" w:rsidR="00D52399" w:rsidRDefault="00615052" w:rsidP="00674CFD">
      <w:pPr>
        <w:pStyle w:val="Heading2"/>
        <w:ind w:hanging="786"/>
      </w:pPr>
      <w:r>
        <w:t>4.5</w:t>
      </w:r>
      <w:r>
        <w:tab/>
      </w:r>
      <w:r w:rsidR="00E96BC3">
        <w:t>INTERACTIONS WITH OTHER MEDICINES AND OTHER FORMS OF INTERACTIONS</w:t>
      </w:r>
    </w:p>
    <w:p w14:paraId="6BACBAEF" w14:textId="397FCF6D" w:rsidR="00D52399" w:rsidRDefault="00D52399"/>
    <w:p w14:paraId="71BE9C2C" w14:textId="4558C44C" w:rsidR="006A16FA" w:rsidRDefault="006A16FA" w:rsidP="006A16FA">
      <w:r>
        <w:t>No clinically significant drug-drug interactions are anticipated between baloxavir marboxil or its active metabolite, baloxavir, and substrates, inhibitors, or inducers of cytochrome P450 (CYP enzymes), inhibitors of u</w:t>
      </w:r>
      <w:r w:rsidRPr="006A16FA">
        <w:t>ridine 5'-diphosp</w:t>
      </w:r>
      <w:r w:rsidR="00C16219">
        <w:t>ho-glucuronosyltransferase (UDP</w:t>
      </w:r>
      <w:r w:rsidR="00C16219">
        <w:noBreakHyphen/>
      </w:r>
      <w:r w:rsidRPr="006A16FA">
        <w:t xml:space="preserve">glucuronosyltransferase, UGT) </w:t>
      </w:r>
      <w:r>
        <w:t>enzyme, or gut</w:t>
      </w:r>
      <w:r w:rsidR="00AA166E">
        <w:t xml:space="preserve"> or</w:t>
      </w:r>
      <w:r>
        <w:t xml:space="preserve"> renal transporters.</w:t>
      </w:r>
    </w:p>
    <w:p w14:paraId="705BBD94" w14:textId="77777777" w:rsidR="006A16FA" w:rsidRDefault="006A16FA" w:rsidP="006A16FA"/>
    <w:p w14:paraId="0D2CD200" w14:textId="118B32F9" w:rsidR="00E96BC3" w:rsidRDefault="006A16FA" w:rsidP="006A16FA">
      <w:r>
        <w:t xml:space="preserve">Polyvalent cation containing products may decrease plasma concentrations of baloxavir. </w:t>
      </w:r>
      <w:r w:rsidR="002F0E1A">
        <w:t>Xofluza</w:t>
      </w:r>
      <w:r>
        <w:t xml:space="preserve"> should not be taken with </w:t>
      </w:r>
      <w:r w:rsidR="001F3703" w:rsidRPr="00A26385">
        <w:t xml:space="preserve">calcium-fortified beverages, </w:t>
      </w:r>
      <w:r>
        <w:t>polyvalent cation containing laxatives or antacids, or oral supplements containing iron, zinc, selenium, calcium, magnesium.</w:t>
      </w:r>
      <w:r w:rsidR="001F3703">
        <w:t xml:space="preserve"> Where possible, avoid co-administration of Xofluza with dairy products.</w:t>
      </w:r>
    </w:p>
    <w:p w14:paraId="22BD134E" w14:textId="1659CCB8" w:rsidR="006E1417" w:rsidRDefault="006E1417" w:rsidP="006A16FA"/>
    <w:p w14:paraId="215D1101" w14:textId="688CBD81" w:rsidR="006E1417" w:rsidRDefault="00CC457D" w:rsidP="006A16FA">
      <w:r w:rsidRPr="00CC457D">
        <w:rPr>
          <w:lang w:val="en-AU"/>
        </w:rPr>
        <w:t xml:space="preserve">The concurrent use of </w:t>
      </w:r>
      <w:r>
        <w:rPr>
          <w:lang w:val="en-AU"/>
        </w:rPr>
        <w:t>Xofluza</w:t>
      </w:r>
      <w:r w:rsidRPr="00CC457D">
        <w:rPr>
          <w:lang w:val="en-AU"/>
        </w:rPr>
        <w:t xml:space="preserve"> with intranasal live attenuated influenza vaccine (LAIV) has not been evaluated. Concurrent administration of antiviral drugs may inhibit viral replication </w:t>
      </w:r>
      <w:r w:rsidRPr="00CC457D">
        <w:rPr>
          <w:lang w:val="en-AU"/>
        </w:rPr>
        <w:lastRenderedPageBreak/>
        <w:t xml:space="preserve">of LAIV and thereby decrease the effectiveness of LAIV vaccination. Interactions between inactivated influenza vaccines and </w:t>
      </w:r>
      <w:r>
        <w:rPr>
          <w:lang w:val="en-AU"/>
        </w:rPr>
        <w:t>Xofluza</w:t>
      </w:r>
      <w:r w:rsidRPr="00CC457D">
        <w:rPr>
          <w:lang w:val="en-AU"/>
        </w:rPr>
        <w:t xml:space="preserve"> have not been evaluated.</w:t>
      </w:r>
    </w:p>
    <w:p w14:paraId="7EAE4133" w14:textId="2F94FA9B" w:rsidR="006A16FA" w:rsidRDefault="006A16FA" w:rsidP="008E39AB">
      <w:pPr>
        <w:pStyle w:val="Heading3"/>
        <w:keepNext/>
      </w:pPr>
      <w:r>
        <w:t>E</w:t>
      </w:r>
      <w:r w:rsidRPr="006A16FA">
        <w:t xml:space="preserve">ffects of </w:t>
      </w:r>
      <w:r>
        <w:t>o</w:t>
      </w:r>
      <w:r w:rsidRPr="006A16FA">
        <w:t xml:space="preserve">ther </w:t>
      </w:r>
      <w:r>
        <w:t>medicines</w:t>
      </w:r>
      <w:r w:rsidRPr="006A16FA">
        <w:t xml:space="preserve"> on </w:t>
      </w:r>
      <w:r>
        <w:t>b</w:t>
      </w:r>
      <w:r w:rsidRPr="006A16FA">
        <w:t xml:space="preserve">aloxavir </w:t>
      </w:r>
      <w:r>
        <w:t>m</w:t>
      </w:r>
      <w:r w:rsidRPr="006A16FA">
        <w:t xml:space="preserve">arboxil or its </w:t>
      </w:r>
      <w:r>
        <w:t>active m</w:t>
      </w:r>
      <w:r w:rsidRPr="006A16FA">
        <w:t xml:space="preserve">etabolite </w:t>
      </w:r>
      <w:r>
        <w:t>b</w:t>
      </w:r>
      <w:r w:rsidRPr="006A16FA">
        <w:t>aloxavir</w:t>
      </w:r>
    </w:p>
    <w:p w14:paraId="015EC9DE" w14:textId="3F4E7F93" w:rsidR="006A16FA" w:rsidRDefault="006A16FA" w:rsidP="008E39AB">
      <w:pPr>
        <w:keepNext/>
      </w:pPr>
    </w:p>
    <w:p w14:paraId="6348EE04" w14:textId="0A9C2BA6" w:rsidR="006A16FA" w:rsidRDefault="00AA166E" w:rsidP="006A16FA">
      <w:r>
        <w:t>Baloxavir marboxil and baloxavir are substrates for P-glycoprotein (P-</w:t>
      </w:r>
      <w:proofErr w:type="spellStart"/>
      <w:r>
        <w:t>gp</w:t>
      </w:r>
      <w:proofErr w:type="spellEnd"/>
      <w:r>
        <w:t xml:space="preserve">). </w:t>
      </w:r>
      <w:proofErr w:type="spellStart"/>
      <w:r w:rsidR="006A16FA">
        <w:t>Itraconazole</w:t>
      </w:r>
      <w:proofErr w:type="spellEnd"/>
      <w:r w:rsidR="006A16FA">
        <w:t>, an inhibitor of P-</w:t>
      </w:r>
      <w:proofErr w:type="spellStart"/>
      <w:r w:rsidR="006A16FA">
        <w:t>gp</w:t>
      </w:r>
      <w:proofErr w:type="spellEnd"/>
      <w:r w:rsidR="006A16FA">
        <w:t xml:space="preserve">, increased the </w:t>
      </w:r>
      <w:proofErr w:type="spellStart"/>
      <w:r w:rsidR="006A16FA">
        <w:t>C</w:t>
      </w:r>
      <w:r w:rsidR="006A16FA" w:rsidRPr="006A16FA">
        <w:rPr>
          <w:vertAlign w:val="subscript"/>
        </w:rPr>
        <w:t>max</w:t>
      </w:r>
      <w:proofErr w:type="spellEnd"/>
      <w:r w:rsidR="006A16FA">
        <w:t xml:space="preserve"> and AUC</w:t>
      </w:r>
      <w:r w:rsidR="006A16FA" w:rsidRPr="006A16FA">
        <w:rPr>
          <w:vertAlign w:val="subscript"/>
        </w:rPr>
        <w:t>0-inf</w:t>
      </w:r>
      <w:r w:rsidR="006A16FA">
        <w:t xml:space="preserve"> of baloxavir 1.33-fold and 1.23-fold, respectively. These increases are not considered to be clinically meaningful.</w:t>
      </w:r>
    </w:p>
    <w:p w14:paraId="53C6A2E7" w14:textId="77777777" w:rsidR="006A16FA" w:rsidRDefault="006A16FA" w:rsidP="006A16FA"/>
    <w:p w14:paraId="418105BD" w14:textId="464D09DA" w:rsidR="006A16FA" w:rsidRDefault="006A16FA" w:rsidP="006A16FA">
      <w:r>
        <w:t xml:space="preserve">Probenecid, an inhibitor of UGT enzyme, decreased the </w:t>
      </w:r>
      <w:proofErr w:type="spellStart"/>
      <w:r>
        <w:t>C</w:t>
      </w:r>
      <w:r w:rsidRPr="006A16FA">
        <w:rPr>
          <w:vertAlign w:val="subscript"/>
        </w:rPr>
        <w:t>max</w:t>
      </w:r>
      <w:proofErr w:type="spellEnd"/>
      <w:r>
        <w:t xml:space="preserve"> and AUC</w:t>
      </w:r>
      <w:r w:rsidRPr="006A16FA">
        <w:rPr>
          <w:vertAlign w:val="subscript"/>
        </w:rPr>
        <w:t>0-inf</w:t>
      </w:r>
      <w:r>
        <w:t xml:space="preserve"> of baloxavir by 21% and 25%, respectively. These decreases are not considered to be clinically meaningful.</w:t>
      </w:r>
    </w:p>
    <w:p w14:paraId="147FD1E8" w14:textId="646CC820" w:rsidR="006F410D" w:rsidRDefault="006F410D" w:rsidP="006F410D">
      <w:pPr>
        <w:pStyle w:val="Heading3"/>
      </w:pPr>
      <w:r w:rsidRPr="006F410D">
        <w:t xml:space="preserve">Effects of </w:t>
      </w:r>
      <w:r>
        <w:t>baloxavir m</w:t>
      </w:r>
      <w:r w:rsidRPr="006F410D">
        <w:t xml:space="preserve">arboxil or its </w:t>
      </w:r>
      <w:r>
        <w:t>a</w:t>
      </w:r>
      <w:r w:rsidRPr="006F410D">
        <w:t xml:space="preserve">ctive </w:t>
      </w:r>
      <w:r>
        <w:t>m</w:t>
      </w:r>
      <w:r w:rsidRPr="006F410D">
        <w:t xml:space="preserve">etabolite </w:t>
      </w:r>
      <w:r>
        <w:t>b</w:t>
      </w:r>
      <w:r w:rsidRPr="006F410D">
        <w:t xml:space="preserve">aloxavir on </w:t>
      </w:r>
      <w:r>
        <w:t>o</w:t>
      </w:r>
      <w:r w:rsidRPr="006F410D">
        <w:t xml:space="preserve">ther </w:t>
      </w:r>
      <w:r>
        <w:t>medicines</w:t>
      </w:r>
    </w:p>
    <w:p w14:paraId="3C4669DD" w14:textId="4751EF6B" w:rsidR="006F410D" w:rsidRDefault="006F410D" w:rsidP="006F410D"/>
    <w:p w14:paraId="7BF86FA7" w14:textId="3CA5DDD2" w:rsidR="00AA166E" w:rsidRDefault="006F410D" w:rsidP="006F410D">
      <w:r>
        <w:t>In</w:t>
      </w:r>
      <w:r w:rsidRPr="006F410D">
        <w:rPr>
          <w:i/>
        </w:rPr>
        <w:t xml:space="preserve"> in vitro </w:t>
      </w:r>
      <w:r>
        <w:t xml:space="preserve">studies at clinically relevant concentrations, baloxavir marboxil and its active metabolite, baloxavir, did not inhibit any of the following isozymes of the CYP or UGT family: CYP1A2, CYP2B6, CYP2C8, CYP2C9, CYP2C19, CYP2D6, CYP3A4, UGT1A1, UGT1A3, UGT1A4, UGT1A6, UGT1A9, UGT2B7 and UGT2B15 isozymes. In </w:t>
      </w:r>
      <w:r w:rsidRPr="006F410D">
        <w:rPr>
          <w:i/>
        </w:rPr>
        <w:t>in vitro</w:t>
      </w:r>
      <w:r>
        <w:t xml:space="preserve"> studies at clinically relevant concentrations, baloxavir marboxil and baloxavir did not cause significant induction of CYP1A2, CYP2B6, and CYP3A4. </w:t>
      </w:r>
    </w:p>
    <w:p w14:paraId="2975D884" w14:textId="77777777" w:rsidR="00AA166E" w:rsidRDefault="00AA166E" w:rsidP="006F410D"/>
    <w:p w14:paraId="6864E686" w14:textId="24432B24" w:rsidR="006F410D" w:rsidRDefault="006F410D" w:rsidP="006F410D">
      <w:r>
        <w:t xml:space="preserve">In </w:t>
      </w:r>
      <w:r w:rsidRPr="006F410D">
        <w:rPr>
          <w:i/>
        </w:rPr>
        <w:t>in vitro</w:t>
      </w:r>
      <w:r>
        <w:t xml:space="preserve"> transporter studies at clinically relevant concentrations, baloxavir marboxil inhibited </w:t>
      </w:r>
      <w:r w:rsidR="00063684">
        <w:t>the efflux transporter (P-</w:t>
      </w:r>
      <w:proofErr w:type="spellStart"/>
      <w:r w:rsidR="00063684">
        <w:t>gp</w:t>
      </w:r>
      <w:proofErr w:type="spellEnd"/>
      <w:r w:rsidR="00063684">
        <w:t xml:space="preserve">). </w:t>
      </w:r>
      <w:r>
        <w:t>Baloxavir</w:t>
      </w:r>
      <w:r w:rsidR="00AD38F1">
        <w:t>,</w:t>
      </w:r>
      <w:r>
        <w:t xml:space="preserve"> but not baloxavir marboxil</w:t>
      </w:r>
      <w:r w:rsidR="00AD38F1">
        <w:t>,</w:t>
      </w:r>
      <w:r>
        <w:t xml:space="preserve"> inhibited </w:t>
      </w:r>
      <w:r w:rsidR="00063684" w:rsidRPr="00063684">
        <w:t xml:space="preserve">Breast Cancer Resistance Protein </w:t>
      </w:r>
      <w:r w:rsidR="00063684">
        <w:t>(</w:t>
      </w:r>
      <w:r>
        <w:t>BCRP</w:t>
      </w:r>
      <w:r w:rsidR="00063684">
        <w:t>)</w:t>
      </w:r>
      <w:r>
        <w:t>.</w:t>
      </w:r>
      <w:r w:rsidR="00AA166E">
        <w:t xml:space="preserve"> </w:t>
      </w:r>
    </w:p>
    <w:p w14:paraId="535C119D" w14:textId="27C6DDEF" w:rsidR="00063684" w:rsidRDefault="00063684" w:rsidP="006F410D"/>
    <w:p w14:paraId="01EC9420" w14:textId="3FDAC185" w:rsidR="006F410D" w:rsidRDefault="00CC7E3A" w:rsidP="006F410D">
      <w:r>
        <w:t xml:space="preserve">Baloxavir is not an inhibitor of BSEP or OAT1 </w:t>
      </w:r>
      <w:r w:rsidRPr="00CC7E3A">
        <w:rPr>
          <w:i/>
        </w:rPr>
        <w:t>in vitro</w:t>
      </w:r>
      <w:r>
        <w:t xml:space="preserve">. </w:t>
      </w:r>
      <w:r w:rsidR="006F410D">
        <w:t xml:space="preserve">Based on </w:t>
      </w:r>
      <w:r w:rsidR="006F410D" w:rsidRPr="00AD38F1">
        <w:rPr>
          <w:i/>
        </w:rPr>
        <w:t>in vitro</w:t>
      </w:r>
      <w:r w:rsidR="006F410D">
        <w:t xml:space="preserve"> transporter studies, despite a weak </w:t>
      </w:r>
      <w:r w:rsidR="006F410D" w:rsidRPr="00AD38F1">
        <w:rPr>
          <w:i/>
        </w:rPr>
        <w:t>in vitro</w:t>
      </w:r>
      <w:r w:rsidR="006F410D">
        <w:t xml:space="preserve"> inhibitory potential, baloxavir is not expected to be an </w:t>
      </w:r>
      <w:r w:rsidR="006F410D" w:rsidRPr="00AD38F1">
        <w:rPr>
          <w:i/>
        </w:rPr>
        <w:t>in vivo</w:t>
      </w:r>
      <w:r w:rsidR="006F410D">
        <w:t xml:space="preserve"> inhibitor of OATP1B1, OATP1B3, OCT1, OCT2, OAT3, MATE1, or MATE2K</w:t>
      </w:r>
      <w:r w:rsidR="00AD38F1">
        <w:t>.</w:t>
      </w:r>
      <w:r w:rsidR="006F410D">
        <w:t xml:space="preserve"> </w:t>
      </w:r>
      <w:r w:rsidR="00AD38F1">
        <w:t>H</w:t>
      </w:r>
      <w:r w:rsidR="006F410D">
        <w:t>ence</w:t>
      </w:r>
      <w:r w:rsidR="00AD38F1">
        <w:t>,</w:t>
      </w:r>
      <w:r w:rsidR="006F410D">
        <w:t xml:space="preserve"> no relevant pharmacokinetic interaction is anticipated between baloxavir and medicines which are substrates of these transporters.</w:t>
      </w:r>
    </w:p>
    <w:p w14:paraId="33EF13BE" w14:textId="77777777" w:rsidR="00AD38F1" w:rsidRDefault="00AD38F1" w:rsidP="006F410D"/>
    <w:p w14:paraId="2D5AA54D" w14:textId="34AACD7A" w:rsidR="006F410D" w:rsidRDefault="006F410D" w:rsidP="006F410D">
      <w:r>
        <w:t>A single 40 mg dose of baloxavir marboxil did not affect the pharmacokinetics of midazolam, a substrate of CYP3A4, suggesting that baloxavir marboxil or baloxavir is not expected to affect the pharmacokinetics of co-administered drugs that are substrates of CYP3A.</w:t>
      </w:r>
    </w:p>
    <w:p w14:paraId="17998DAD" w14:textId="7C29D634" w:rsidR="00AD38F1" w:rsidRDefault="00AD38F1" w:rsidP="006F410D"/>
    <w:p w14:paraId="4D2E4531" w14:textId="3B30F0CD" w:rsidR="00AD38F1" w:rsidRDefault="00AD38F1" w:rsidP="00AD38F1">
      <w:r>
        <w:t>A single 80 mg dose of baloxavir marboxil did not affect the pharmacokinetics of digoxin, a substrate of P-</w:t>
      </w:r>
      <w:proofErr w:type="spellStart"/>
      <w:r>
        <w:t>gp</w:t>
      </w:r>
      <w:proofErr w:type="spellEnd"/>
      <w:r>
        <w:t>, suggesting that baloxavir marboxil or baloxavir is not expected to affect the pharmacokinetics of co-administered drugs that are substrates of P-</w:t>
      </w:r>
      <w:proofErr w:type="spellStart"/>
      <w:r>
        <w:t>gp</w:t>
      </w:r>
      <w:proofErr w:type="spellEnd"/>
      <w:r>
        <w:t>.</w:t>
      </w:r>
    </w:p>
    <w:p w14:paraId="5F92AD7B" w14:textId="77777777" w:rsidR="00AD38F1" w:rsidRDefault="00AD38F1" w:rsidP="00AD38F1"/>
    <w:p w14:paraId="6C0B9681" w14:textId="755C0545" w:rsidR="00AD38F1" w:rsidRPr="006F410D" w:rsidRDefault="00AD38F1" w:rsidP="00AD38F1">
      <w:r>
        <w:t xml:space="preserve">A single 80 mg dose of baloxavir marboxil decreased </w:t>
      </w:r>
      <w:proofErr w:type="spellStart"/>
      <w:r>
        <w:t>C</w:t>
      </w:r>
      <w:r w:rsidRPr="00AD38F1">
        <w:rPr>
          <w:vertAlign w:val="subscript"/>
        </w:rPr>
        <w:t>max</w:t>
      </w:r>
      <w:proofErr w:type="spellEnd"/>
      <w:r>
        <w:t xml:space="preserve"> and AUC</w:t>
      </w:r>
      <w:r w:rsidRPr="00AD38F1">
        <w:rPr>
          <w:vertAlign w:val="subscript"/>
        </w:rPr>
        <w:t>0-inf</w:t>
      </w:r>
      <w:r>
        <w:t xml:space="preserve"> of </w:t>
      </w:r>
      <w:proofErr w:type="spellStart"/>
      <w:r>
        <w:t>rosuvastatin</w:t>
      </w:r>
      <w:proofErr w:type="spellEnd"/>
      <w:r>
        <w:t>, a substrate of BCRP, by 18% and 17%, respectively. These decreases are not considered to be clinically meaningful and indicate that baloxavir marboxil or baloxavir is not expected to affect the pharmacokinetics of co-administered drugs that are substrates of BCRP</w:t>
      </w:r>
      <w:r w:rsidR="00EF5D60">
        <w:t>.</w:t>
      </w:r>
    </w:p>
    <w:p w14:paraId="41A1B929" w14:textId="3B57BE6E" w:rsidR="00D52399" w:rsidRDefault="00615052" w:rsidP="006C5801">
      <w:pPr>
        <w:pStyle w:val="Heading2"/>
        <w:keepNext/>
        <w:ind w:hanging="786"/>
      </w:pPr>
      <w:r>
        <w:t>4.6</w:t>
      </w:r>
      <w:r>
        <w:tab/>
      </w:r>
      <w:r w:rsidR="00E96BC3">
        <w:t>FERTILITY, PREGNANCY AND LACTATION</w:t>
      </w:r>
    </w:p>
    <w:p w14:paraId="7054AB6E" w14:textId="77777777" w:rsidR="00E96BC3" w:rsidRDefault="00E96BC3" w:rsidP="006C5801">
      <w:pPr>
        <w:pStyle w:val="Heading3"/>
        <w:keepNext/>
      </w:pPr>
      <w:r>
        <w:t>Effects on fertility</w:t>
      </w:r>
    </w:p>
    <w:p w14:paraId="5176CB6C" w14:textId="77777777" w:rsidR="00E96BC3" w:rsidRDefault="00E96BC3" w:rsidP="006C5801">
      <w:pPr>
        <w:keepNext/>
        <w:rPr>
          <w:lang w:val="en-AU"/>
        </w:rPr>
      </w:pPr>
    </w:p>
    <w:p w14:paraId="7B4190AC" w14:textId="463EE30F" w:rsidR="00E96BC3" w:rsidRDefault="00891A5A" w:rsidP="00E96BC3">
      <w:pPr>
        <w:rPr>
          <w:lang w:val="en-AU"/>
        </w:rPr>
      </w:pPr>
      <w:r w:rsidRPr="00891A5A">
        <w:rPr>
          <w:lang w:val="en-AU"/>
        </w:rPr>
        <w:t xml:space="preserve">Baloxavir marboxil had no effects on fertility when given orally to male and female rats at doses up to 1000 mg/kg/day, which is equivalent to </w:t>
      </w:r>
      <w:r w:rsidR="007A1D32">
        <w:rPr>
          <w:lang w:val="en-AU"/>
        </w:rPr>
        <w:t>2</w:t>
      </w:r>
      <w:r w:rsidRPr="00891A5A">
        <w:rPr>
          <w:lang w:val="en-AU"/>
        </w:rPr>
        <w:t>-times the human exposure based on AUC</w:t>
      </w:r>
      <w:r w:rsidRPr="00891A5A">
        <w:rPr>
          <w:vertAlign w:val="subscript"/>
          <w:lang w:val="en-AU"/>
        </w:rPr>
        <w:t>0-24hr</w:t>
      </w:r>
      <w:r w:rsidR="007A1D32" w:rsidRPr="007A1D32">
        <w:rPr>
          <w:lang w:val="en-AU"/>
        </w:rPr>
        <w:t xml:space="preserve"> at the</w:t>
      </w:r>
      <w:r w:rsidR="007A1D32">
        <w:rPr>
          <w:lang w:val="en-AU"/>
        </w:rPr>
        <w:t xml:space="preserve"> maximum recommended human dose</w:t>
      </w:r>
      <w:r>
        <w:rPr>
          <w:lang w:val="en-AU"/>
        </w:rPr>
        <w:t>.</w:t>
      </w:r>
    </w:p>
    <w:p w14:paraId="1D57FE1D" w14:textId="5DF2792B" w:rsidR="00E96BC3" w:rsidRDefault="00E96BC3" w:rsidP="008E39AB">
      <w:pPr>
        <w:pStyle w:val="Heading3"/>
        <w:keepNext/>
      </w:pPr>
      <w:r>
        <w:lastRenderedPageBreak/>
        <w:t>Use in pregnancy</w:t>
      </w:r>
      <w:r w:rsidRPr="00442E89">
        <w:t xml:space="preserve"> </w:t>
      </w:r>
      <w:r>
        <w:t xml:space="preserve">- Category </w:t>
      </w:r>
      <w:r w:rsidR="008863B8">
        <w:t>B3</w:t>
      </w:r>
    </w:p>
    <w:p w14:paraId="0C547D0C" w14:textId="77777777" w:rsidR="00E96BC3" w:rsidRDefault="00E96BC3" w:rsidP="008E39AB">
      <w:pPr>
        <w:keepNext/>
        <w:rPr>
          <w:lang w:val="en-AU"/>
        </w:rPr>
      </w:pPr>
    </w:p>
    <w:p w14:paraId="2BEBDFC6" w14:textId="6B88EBCA" w:rsidR="000774D1" w:rsidRDefault="000774D1" w:rsidP="000774D1">
      <w:pPr>
        <w:rPr>
          <w:lang w:val="en-AU"/>
        </w:rPr>
      </w:pPr>
      <w:r w:rsidRPr="000774D1">
        <w:rPr>
          <w:lang w:val="en-AU"/>
        </w:rPr>
        <w:t xml:space="preserve">There are no adequate and well-controlled studies with </w:t>
      </w:r>
      <w:r w:rsidR="002F0E1A">
        <w:rPr>
          <w:lang w:val="en-AU"/>
        </w:rPr>
        <w:t>Xofluza</w:t>
      </w:r>
      <w:r w:rsidRPr="000774D1">
        <w:rPr>
          <w:lang w:val="en-AU"/>
        </w:rPr>
        <w:t xml:space="preserve"> in pregnant women. The potential risk of </w:t>
      </w:r>
      <w:r w:rsidR="002F0E1A">
        <w:rPr>
          <w:lang w:val="en-AU"/>
        </w:rPr>
        <w:t>Xofluza</w:t>
      </w:r>
      <w:r w:rsidRPr="000774D1">
        <w:rPr>
          <w:lang w:val="en-AU"/>
        </w:rPr>
        <w:t xml:space="preserve"> in pregnant women is unknown. </w:t>
      </w:r>
      <w:r w:rsidR="002F0E1A">
        <w:rPr>
          <w:lang w:val="en-AU"/>
        </w:rPr>
        <w:t>Xofluza</w:t>
      </w:r>
      <w:r w:rsidRPr="000774D1">
        <w:rPr>
          <w:lang w:val="en-AU"/>
        </w:rPr>
        <w:t xml:space="preserve"> should be avoided during pregnancy unless the potential benefit justifies the potential risk to the </w:t>
      </w:r>
      <w:proofErr w:type="spellStart"/>
      <w:r w:rsidRPr="000774D1">
        <w:rPr>
          <w:lang w:val="en-AU"/>
        </w:rPr>
        <w:t>fetus</w:t>
      </w:r>
      <w:proofErr w:type="spellEnd"/>
      <w:r w:rsidRPr="000774D1">
        <w:rPr>
          <w:lang w:val="en-AU"/>
        </w:rPr>
        <w:t>.</w:t>
      </w:r>
    </w:p>
    <w:p w14:paraId="72A33E58" w14:textId="77777777" w:rsidR="000774D1" w:rsidRPr="000774D1" w:rsidRDefault="000774D1" w:rsidP="000774D1">
      <w:pPr>
        <w:rPr>
          <w:lang w:val="en-AU"/>
        </w:rPr>
      </w:pPr>
    </w:p>
    <w:p w14:paraId="2D839255" w14:textId="1D896C58" w:rsidR="000774D1" w:rsidRDefault="007A1D32" w:rsidP="000774D1">
      <w:pPr>
        <w:rPr>
          <w:lang w:val="en-AU"/>
        </w:rPr>
      </w:pPr>
      <w:r>
        <w:rPr>
          <w:lang w:val="en-AU"/>
        </w:rPr>
        <w:t xml:space="preserve">A tissue distribution study in pregnant rats showed that baloxavir crosses the placenta. </w:t>
      </w:r>
      <w:r w:rsidR="000774D1" w:rsidRPr="000774D1">
        <w:rPr>
          <w:lang w:val="en-AU"/>
        </w:rPr>
        <w:t>Baloxavir marboxil did not cause malformations in rats or rabbits. The oral embryo-</w:t>
      </w:r>
      <w:proofErr w:type="spellStart"/>
      <w:r w:rsidR="000774D1" w:rsidRPr="000774D1">
        <w:rPr>
          <w:lang w:val="en-AU"/>
        </w:rPr>
        <w:t>fetal</w:t>
      </w:r>
      <w:proofErr w:type="spellEnd"/>
      <w:r w:rsidR="000774D1" w:rsidRPr="000774D1">
        <w:rPr>
          <w:lang w:val="en-AU"/>
        </w:rPr>
        <w:t xml:space="preserve"> development study of baloxavir marboxil in rats with daily doses from gestation day 6 to 17 revealed no signs of </w:t>
      </w:r>
      <w:proofErr w:type="spellStart"/>
      <w:r w:rsidR="000774D1" w:rsidRPr="000774D1">
        <w:rPr>
          <w:lang w:val="en-AU"/>
        </w:rPr>
        <w:t>fetal</w:t>
      </w:r>
      <w:proofErr w:type="spellEnd"/>
      <w:r w:rsidR="000774D1" w:rsidRPr="000774D1">
        <w:rPr>
          <w:lang w:val="en-AU"/>
        </w:rPr>
        <w:t xml:space="preserve"> toxicity up to </w:t>
      </w:r>
      <w:r w:rsidR="000774D1">
        <w:rPr>
          <w:lang w:val="en-AU"/>
        </w:rPr>
        <w:t>the highest tested dose of 1000 </w:t>
      </w:r>
      <w:r w:rsidR="000774D1" w:rsidRPr="000774D1">
        <w:rPr>
          <w:lang w:val="en-AU"/>
        </w:rPr>
        <w:t xml:space="preserve">mg/kg/day, which is equivalent to </w:t>
      </w:r>
      <w:r>
        <w:rPr>
          <w:lang w:val="en-AU"/>
        </w:rPr>
        <w:t>2</w:t>
      </w:r>
      <w:r w:rsidR="000774D1" w:rsidRPr="000774D1">
        <w:rPr>
          <w:lang w:val="en-AU"/>
        </w:rPr>
        <w:t>-times the human exposure based on AUC</w:t>
      </w:r>
      <w:r w:rsidR="000774D1" w:rsidRPr="000774D1">
        <w:rPr>
          <w:vertAlign w:val="subscript"/>
          <w:lang w:val="en-AU"/>
        </w:rPr>
        <w:t>0-24hr</w:t>
      </w:r>
      <w:r w:rsidRPr="007A1D32">
        <w:rPr>
          <w:lang w:val="en-AU"/>
        </w:rPr>
        <w:t xml:space="preserve"> at the</w:t>
      </w:r>
      <w:r>
        <w:rPr>
          <w:lang w:val="en-AU"/>
        </w:rPr>
        <w:t xml:space="preserve"> maximum recommended human dose</w:t>
      </w:r>
      <w:r w:rsidR="000774D1" w:rsidRPr="000774D1">
        <w:rPr>
          <w:lang w:val="en-AU"/>
        </w:rPr>
        <w:t xml:space="preserve">. </w:t>
      </w:r>
    </w:p>
    <w:p w14:paraId="234C83D2" w14:textId="77777777" w:rsidR="000774D1" w:rsidRPr="000774D1" w:rsidRDefault="000774D1" w:rsidP="000774D1">
      <w:pPr>
        <w:rPr>
          <w:lang w:val="en-AU"/>
        </w:rPr>
      </w:pPr>
    </w:p>
    <w:p w14:paraId="501A98F8" w14:textId="62600612" w:rsidR="000774D1" w:rsidRDefault="000774D1" w:rsidP="000774D1">
      <w:pPr>
        <w:rPr>
          <w:lang w:val="en-AU"/>
        </w:rPr>
      </w:pPr>
      <w:r w:rsidRPr="000774D1">
        <w:rPr>
          <w:lang w:val="en-AU"/>
        </w:rPr>
        <w:t xml:space="preserve">In rabbits, a dose level of 1000 mg/kg/day (equivalent to </w:t>
      </w:r>
      <w:r w:rsidR="007A1D32">
        <w:rPr>
          <w:lang w:val="en-AU"/>
        </w:rPr>
        <w:t>6</w:t>
      </w:r>
      <w:r w:rsidRPr="000774D1">
        <w:rPr>
          <w:lang w:val="en-AU"/>
        </w:rPr>
        <w:t>-times the human exposure based on AUC</w:t>
      </w:r>
      <w:r w:rsidRPr="000774D1">
        <w:rPr>
          <w:vertAlign w:val="subscript"/>
          <w:lang w:val="en-AU"/>
        </w:rPr>
        <w:t>0-24hr</w:t>
      </w:r>
      <w:r w:rsidRPr="000774D1">
        <w:rPr>
          <w:lang w:val="en-AU"/>
        </w:rPr>
        <w:t xml:space="preserve"> following the </w:t>
      </w:r>
      <w:r>
        <w:rPr>
          <w:lang w:val="en-AU"/>
        </w:rPr>
        <w:t>maximum recommended human dose</w:t>
      </w:r>
      <w:r w:rsidRPr="000774D1">
        <w:rPr>
          <w:lang w:val="en-AU"/>
        </w:rPr>
        <w:t xml:space="preserve">) caused maternal toxicity resulting in 2 miscarriages out of 19 and an increased incidence of </w:t>
      </w:r>
      <w:proofErr w:type="spellStart"/>
      <w:r w:rsidRPr="000774D1">
        <w:rPr>
          <w:lang w:val="en-AU"/>
        </w:rPr>
        <w:t>fetuses</w:t>
      </w:r>
      <w:proofErr w:type="spellEnd"/>
      <w:r w:rsidRPr="000774D1">
        <w:rPr>
          <w:lang w:val="en-AU"/>
        </w:rPr>
        <w:t xml:space="preserve"> with a skeletal variation (cervical rib), but no malformations. A dose of 100 mg/kg/day (equivalent to </w:t>
      </w:r>
      <w:r w:rsidR="007A1D32">
        <w:rPr>
          <w:lang w:val="en-AU"/>
        </w:rPr>
        <w:t>3</w:t>
      </w:r>
      <w:r w:rsidR="00417DF3">
        <w:rPr>
          <w:lang w:val="en-AU"/>
        </w:rPr>
        <w:noBreakHyphen/>
      </w:r>
      <w:r w:rsidRPr="000774D1">
        <w:rPr>
          <w:lang w:val="en-AU"/>
        </w:rPr>
        <w:t>times the human exposure based on AUC</w:t>
      </w:r>
      <w:r w:rsidRPr="000774D1">
        <w:rPr>
          <w:vertAlign w:val="subscript"/>
          <w:lang w:val="en-AU"/>
        </w:rPr>
        <w:t>0-24hr</w:t>
      </w:r>
      <w:r w:rsidRPr="000774D1">
        <w:rPr>
          <w:lang w:val="en-AU"/>
        </w:rPr>
        <w:t>) in rabbits was without adverse effects.</w:t>
      </w:r>
    </w:p>
    <w:p w14:paraId="2B918898" w14:textId="791FB2C8" w:rsidR="000774D1" w:rsidRPr="000774D1" w:rsidRDefault="000774D1" w:rsidP="000774D1">
      <w:pPr>
        <w:rPr>
          <w:lang w:val="en-AU"/>
        </w:rPr>
      </w:pPr>
      <w:r w:rsidRPr="000774D1">
        <w:rPr>
          <w:lang w:val="en-AU"/>
        </w:rPr>
        <w:t xml:space="preserve"> </w:t>
      </w:r>
    </w:p>
    <w:p w14:paraId="53BC5A1A" w14:textId="52BA3F36" w:rsidR="00E96BC3" w:rsidRPr="000774D1" w:rsidRDefault="000774D1" w:rsidP="000774D1">
      <w:pPr>
        <w:rPr>
          <w:lang w:val="en-AU"/>
        </w:rPr>
      </w:pPr>
      <w:r w:rsidRPr="000774D1">
        <w:rPr>
          <w:lang w:val="en-AU"/>
        </w:rPr>
        <w:t xml:space="preserve">The pre- and postnatal study in rats did not show drug-related adverse findings in dams and pups up to the highest tested dose of 1000 mg/kg/day, which is equivalent to </w:t>
      </w:r>
      <w:r w:rsidR="007A1D32">
        <w:rPr>
          <w:lang w:val="en-AU"/>
        </w:rPr>
        <w:t>2</w:t>
      </w:r>
      <w:r w:rsidRPr="000774D1">
        <w:rPr>
          <w:lang w:val="en-AU"/>
        </w:rPr>
        <w:t>-times the human exposure based on AUC</w:t>
      </w:r>
      <w:r w:rsidRPr="000774D1">
        <w:rPr>
          <w:vertAlign w:val="subscript"/>
          <w:lang w:val="en-AU"/>
        </w:rPr>
        <w:t>0-24hr</w:t>
      </w:r>
      <w:r>
        <w:rPr>
          <w:lang w:val="en-AU"/>
        </w:rPr>
        <w:t>.</w:t>
      </w:r>
    </w:p>
    <w:p w14:paraId="7BD980CB" w14:textId="77777777" w:rsidR="00E96BC3" w:rsidRDefault="00E96BC3" w:rsidP="00E96BC3">
      <w:pPr>
        <w:pStyle w:val="Heading4"/>
        <w:rPr>
          <w:lang w:val="en-AU"/>
        </w:rPr>
      </w:pPr>
      <w:r>
        <w:rPr>
          <w:lang w:val="en-AU"/>
        </w:rPr>
        <w:t>Labour and delivery</w:t>
      </w:r>
    </w:p>
    <w:p w14:paraId="6AECE309" w14:textId="77777777" w:rsidR="00E96BC3" w:rsidRDefault="00E96BC3" w:rsidP="00E96BC3">
      <w:pPr>
        <w:rPr>
          <w:lang w:val="en-AU"/>
        </w:rPr>
      </w:pPr>
    </w:p>
    <w:p w14:paraId="622ED46B" w14:textId="3FB3732A" w:rsidR="00E96BC3" w:rsidRDefault="00E96BC3" w:rsidP="00E96BC3">
      <w:pPr>
        <w:rPr>
          <w:lang w:val="en-AU"/>
        </w:rPr>
      </w:pPr>
      <w:r w:rsidRPr="00BA26D7">
        <w:rPr>
          <w:lang w:val="en-AU"/>
        </w:rPr>
        <w:t xml:space="preserve">The safe use of </w:t>
      </w:r>
      <w:r w:rsidR="008863B8">
        <w:rPr>
          <w:lang w:val="en-AU"/>
        </w:rPr>
        <w:t>Xofluza</w:t>
      </w:r>
      <w:r w:rsidRPr="00BA26D7">
        <w:rPr>
          <w:lang w:val="en-AU"/>
        </w:rPr>
        <w:t xml:space="preserve"> during labo</w:t>
      </w:r>
      <w:r>
        <w:rPr>
          <w:lang w:val="en-AU"/>
        </w:rPr>
        <w:t>u</w:t>
      </w:r>
      <w:r w:rsidRPr="00BA26D7">
        <w:rPr>
          <w:lang w:val="en-AU"/>
        </w:rPr>
        <w:t>r and delivery has not been established.</w:t>
      </w:r>
    </w:p>
    <w:p w14:paraId="399803A2" w14:textId="77777777" w:rsidR="00E96BC3" w:rsidRDefault="00E96BC3" w:rsidP="00E96BC3">
      <w:pPr>
        <w:pStyle w:val="Heading3"/>
      </w:pPr>
      <w:r>
        <w:t>Use in lactation</w:t>
      </w:r>
    </w:p>
    <w:p w14:paraId="371476F2" w14:textId="77777777" w:rsidR="00E96BC3" w:rsidRDefault="00E96BC3" w:rsidP="00E96BC3">
      <w:pPr>
        <w:rPr>
          <w:lang w:val="en-AU"/>
        </w:rPr>
      </w:pPr>
    </w:p>
    <w:p w14:paraId="46E9F199" w14:textId="4E897A86" w:rsidR="00717BC0" w:rsidRDefault="00717BC0" w:rsidP="00717BC0">
      <w:pPr>
        <w:rPr>
          <w:lang w:val="en-AU"/>
        </w:rPr>
      </w:pPr>
      <w:r w:rsidRPr="00717BC0">
        <w:rPr>
          <w:lang w:val="en-AU"/>
        </w:rPr>
        <w:t>It is not known whether baloxavir marboxil and the active metabolite, baloxavir, are excreted in human breast milk. When dosed at 1 mg/kg, baloxavir marboxil or its metabolites are secreted in the milk of lactating rats.</w:t>
      </w:r>
    </w:p>
    <w:p w14:paraId="0B2E3967" w14:textId="77777777" w:rsidR="00717BC0" w:rsidRPr="00717BC0" w:rsidRDefault="00717BC0" w:rsidP="00717BC0">
      <w:pPr>
        <w:rPr>
          <w:lang w:val="en-AU"/>
        </w:rPr>
      </w:pPr>
    </w:p>
    <w:p w14:paraId="05D1F087" w14:textId="30313BAA" w:rsidR="00BA0878" w:rsidRPr="00E96BC3" w:rsidRDefault="00717BC0" w:rsidP="00717BC0">
      <w:pPr>
        <w:rPr>
          <w:lang w:val="en-AU"/>
        </w:rPr>
      </w:pPr>
      <w:r>
        <w:rPr>
          <w:lang w:val="en-AU"/>
        </w:rPr>
        <w:t xml:space="preserve">A </w:t>
      </w:r>
      <w:r w:rsidRPr="00717BC0">
        <w:rPr>
          <w:lang w:val="en-AU"/>
        </w:rPr>
        <w:t xml:space="preserve">decision should be made whether to discontinue nursing or to initiate treatment with </w:t>
      </w:r>
      <w:r w:rsidR="002F0E1A">
        <w:rPr>
          <w:lang w:val="en-AU"/>
        </w:rPr>
        <w:t>Xofluza</w:t>
      </w:r>
      <w:r w:rsidRPr="00717BC0">
        <w:rPr>
          <w:lang w:val="en-AU"/>
        </w:rPr>
        <w:t xml:space="preserve">, taking into consideration the potential benefit of </w:t>
      </w:r>
      <w:r w:rsidR="002F0E1A">
        <w:rPr>
          <w:lang w:val="en-AU"/>
        </w:rPr>
        <w:t>Xofluza</w:t>
      </w:r>
      <w:r w:rsidRPr="00717BC0">
        <w:rPr>
          <w:lang w:val="en-AU"/>
        </w:rPr>
        <w:t xml:space="preserve"> to the nursing mother and the potential risk to the infant.</w:t>
      </w:r>
    </w:p>
    <w:p w14:paraId="620513CD" w14:textId="1FA373BB" w:rsidR="00D52399" w:rsidRDefault="00615052" w:rsidP="008903F2">
      <w:pPr>
        <w:pStyle w:val="Heading2"/>
        <w:ind w:hanging="786"/>
      </w:pPr>
      <w:r>
        <w:t>4.7</w:t>
      </w:r>
      <w:r>
        <w:tab/>
      </w:r>
      <w:r w:rsidR="00E96BC3">
        <w:t>EFFECTS ON ABILITY TO DRIVE AND USE MACHINES</w:t>
      </w:r>
    </w:p>
    <w:p w14:paraId="77D5987B" w14:textId="087D643B" w:rsidR="00D52399" w:rsidRDefault="00D52399"/>
    <w:p w14:paraId="59849AC9" w14:textId="2FC4DFDC" w:rsidR="00E96BC3" w:rsidRPr="00726AAA" w:rsidRDefault="00967471" w:rsidP="00E96BC3">
      <w:pPr>
        <w:rPr>
          <w:lang w:val="en-AU"/>
        </w:rPr>
      </w:pPr>
      <w:r w:rsidRPr="00967471">
        <w:rPr>
          <w:lang w:val="en-AU"/>
        </w:rPr>
        <w:t>No studies on the effects on the ability to drive and to use machines have been performed.</w:t>
      </w:r>
    </w:p>
    <w:p w14:paraId="53967BF1" w14:textId="512991B9" w:rsidR="00D52399" w:rsidRPr="00CF3BFF" w:rsidRDefault="00615052" w:rsidP="004020B3">
      <w:pPr>
        <w:pStyle w:val="Heading2"/>
        <w:ind w:hanging="786"/>
      </w:pPr>
      <w:r>
        <w:t>4.8</w:t>
      </w:r>
      <w:r>
        <w:tab/>
      </w:r>
      <w:r w:rsidR="00CF3BFF">
        <w:t>ADVERSE EFFECTS (UNDESIRABLE EFFECTS)</w:t>
      </w:r>
    </w:p>
    <w:p w14:paraId="5D24EEE0" w14:textId="77777777" w:rsidR="004020B3" w:rsidRPr="00FF64E1" w:rsidRDefault="004020B3" w:rsidP="002A0CE0">
      <w:pPr>
        <w:pStyle w:val="Heading3"/>
      </w:pPr>
      <w:r>
        <w:t>Clinical trials</w:t>
      </w:r>
    </w:p>
    <w:p w14:paraId="15DD4B1E" w14:textId="77777777" w:rsidR="002A0CE0" w:rsidRDefault="002A0CE0" w:rsidP="004020B3"/>
    <w:p w14:paraId="780E41FB" w14:textId="5D8E4000" w:rsidR="00B7020F" w:rsidRDefault="00967471" w:rsidP="00967471">
      <w:r w:rsidRPr="00967471">
        <w:t xml:space="preserve">The overall safety profile of </w:t>
      </w:r>
      <w:r w:rsidR="002F0E1A">
        <w:t>Xofluza</w:t>
      </w:r>
      <w:r w:rsidRPr="00967471">
        <w:t xml:space="preserve"> is based on data from 2109 subjects in 17 clinical trials receiving </w:t>
      </w:r>
      <w:r w:rsidR="002F0E1A">
        <w:t>Xofluza</w:t>
      </w:r>
      <w:r w:rsidRPr="00967471">
        <w:t xml:space="preserve">. No adverse drug reactions have been identified based on pooled data from 3 placebo-controlled clinical studies (studies 1518T0821, </w:t>
      </w:r>
      <w:r w:rsidR="00670787">
        <w:t>CAPSTONE-1</w:t>
      </w:r>
      <w:r w:rsidRPr="00967471">
        <w:t xml:space="preserve"> and </w:t>
      </w:r>
      <w:r w:rsidR="00670787">
        <w:t>CAPSTONE-2</w:t>
      </w:r>
      <w:r w:rsidRPr="00967471">
        <w:t xml:space="preserve">) in adult and adolescent patients, in which a total of 1640 patients have received </w:t>
      </w:r>
      <w:r w:rsidR="002F0E1A">
        <w:t>Xofluza</w:t>
      </w:r>
      <w:r w:rsidRPr="00967471">
        <w:t xml:space="preserve">. This includes otherwise healthy adults and adolescents and patients at high risk of developing complications associated with influenza, e.g. elderly patients and patients with chronic cardiac </w:t>
      </w:r>
      <w:r w:rsidRPr="00967471">
        <w:lastRenderedPageBreak/>
        <w:t>or respiratory disease.</w:t>
      </w:r>
      <w:r w:rsidR="00670787">
        <w:t xml:space="preserve"> Of these, </w:t>
      </w:r>
      <w:r w:rsidRPr="00967471">
        <w:t>133</w:t>
      </w:r>
      <w:r w:rsidR="0020172A">
        <w:t>4 patients (81.3%) were adults from</w:t>
      </w:r>
      <w:r w:rsidR="00670787">
        <w:t> </w:t>
      </w:r>
      <w:r w:rsidR="0020172A">
        <w:t xml:space="preserve">18 years to </w:t>
      </w:r>
      <w:r w:rsidRPr="00967471">
        <w:t>64 years</w:t>
      </w:r>
      <w:r w:rsidR="0020172A">
        <w:t xml:space="preserve"> or lower</w:t>
      </w:r>
      <w:r w:rsidRPr="00967471">
        <w:t xml:space="preserve">, 209 patients (12.7%) were adults </w:t>
      </w:r>
      <w:r w:rsidR="0020172A">
        <w:t>at least</w:t>
      </w:r>
      <w:r w:rsidRPr="00967471">
        <w:t xml:space="preserve"> 65 years</w:t>
      </w:r>
      <w:r w:rsidR="0020172A">
        <w:t xml:space="preserve"> of age or older</w:t>
      </w:r>
      <w:r w:rsidR="00670787">
        <w:t>,</w:t>
      </w:r>
      <w:r w:rsidRPr="00967471">
        <w:t xml:space="preserve"> and 97 patients (5.9%) were adolescents </w:t>
      </w:r>
      <w:r w:rsidR="0020172A">
        <w:t>at least</w:t>
      </w:r>
      <w:r w:rsidRPr="00967471">
        <w:t xml:space="preserve"> 12 years to 18 years</w:t>
      </w:r>
      <w:r w:rsidR="0020172A">
        <w:t xml:space="preserve"> of age</w:t>
      </w:r>
      <w:r w:rsidRPr="00967471">
        <w:t xml:space="preserve">. </w:t>
      </w:r>
      <w:r w:rsidR="00701192" w:rsidRPr="00701192">
        <w:t xml:space="preserve">Of these, 1440 </w:t>
      </w:r>
      <w:r w:rsidR="00701192">
        <w:t>patients</w:t>
      </w:r>
      <w:r w:rsidR="00701192" w:rsidRPr="00701192">
        <w:t xml:space="preserve"> received </w:t>
      </w:r>
      <w:r w:rsidR="00701192">
        <w:t>Xofluza</w:t>
      </w:r>
      <w:r w:rsidR="00701192" w:rsidRPr="00701192">
        <w:t xml:space="preserve"> at the recommended dose.</w:t>
      </w:r>
      <w:r w:rsidRPr="00967471">
        <w:t xml:space="preserve"> The safety profile in patients at high risk was similar to that in otherwise healthy adults and adolescents</w:t>
      </w:r>
      <w:r>
        <w:t>.</w:t>
      </w:r>
      <w:r w:rsidR="00B7020F">
        <w:t xml:space="preserve"> </w:t>
      </w:r>
    </w:p>
    <w:p w14:paraId="5E762578" w14:textId="77777777" w:rsidR="00B7020F" w:rsidRDefault="00B7020F" w:rsidP="00967471"/>
    <w:p w14:paraId="25D0727C" w14:textId="6A231932" w:rsidR="00B7020F" w:rsidRDefault="00701192" w:rsidP="00701192">
      <w:r>
        <w:t xml:space="preserve">Table 2 displays the most common adverse events (regardless of causality assessment) reported in at least 1% of adult and adolescent subjects who received Xofluza at the recommended dose in </w:t>
      </w:r>
      <w:r w:rsidRPr="00701192">
        <w:t>studies 1518T0821, CAPSTONE-1 and CAPSTONE-2</w:t>
      </w:r>
      <w:r>
        <w:t>.</w:t>
      </w:r>
    </w:p>
    <w:p w14:paraId="6B481EFD" w14:textId="5CB721B6" w:rsidR="00B7020F" w:rsidRDefault="00B7020F" w:rsidP="00EF2045">
      <w:pPr>
        <w:pStyle w:val="Tableheading"/>
      </w:pPr>
      <w:r w:rsidRPr="00B7020F">
        <w:t>Table 2</w:t>
      </w:r>
      <w:r w:rsidRPr="00B7020F">
        <w:tab/>
        <w:t xml:space="preserve">Incidence of </w:t>
      </w:r>
      <w:r>
        <w:t>a</w:t>
      </w:r>
      <w:r w:rsidRPr="00B7020F">
        <w:t xml:space="preserve">dverse </w:t>
      </w:r>
      <w:r>
        <w:t>e</w:t>
      </w:r>
      <w:r w:rsidRPr="00B7020F">
        <w:t xml:space="preserve">vents </w:t>
      </w:r>
      <w:r>
        <w:t>o</w:t>
      </w:r>
      <w:r w:rsidRPr="00B7020F">
        <w:t xml:space="preserve">ccurring in </w:t>
      </w:r>
      <w:r>
        <w:t>g</w:t>
      </w:r>
      <w:r w:rsidRPr="00B7020F">
        <w:t xml:space="preserve">reater </w:t>
      </w:r>
      <w:r>
        <w:t>t</w:t>
      </w:r>
      <w:r w:rsidRPr="00B7020F">
        <w:t xml:space="preserve">han or </w:t>
      </w:r>
      <w:r>
        <w:t>e</w:t>
      </w:r>
      <w:r w:rsidRPr="00B7020F">
        <w:t>qual to 1%</w:t>
      </w:r>
      <w:r>
        <w:t xml:space="preserve"> </w:t>
      </w:r>
      <w:r w:rsidRPr="00B7020F">
        <w:t xml:space="preserve">of </w:t>
      </w:r>
      <w:r>
        <w:t>subjects r</w:t>
      </w:r>
      <w:r w:rsidRPr="00B7020F">
        <w:t xml:space="preserve">eceiving </w:t>
      </w:r>
      <w:r>
        <w:t>Xofluza</w:t>
      </w:r>
      <w:r w:rsidRPr="00B7020F">
        <w:t xml:space="preserve"> in the </w:t>
      </w:r>
      <w:r>
        <w:t>a</w:t>
      </w:r>
      <w:r w:rsidRPr="00B7020F">
        <w:t xml:space="preserve">cute </w:t>
      </w:r>
      <w:r>
        <w:t>u</w:t>
      </w:r>
      <w:r w:rsidRPr="00B7020F">
        <w:t xml:space="preserve">ncomplicated </w:t>
      </w:r>
      <w:r>
        <w:t>i</w:t>
      </w:r>
      <w:r w:rsidRPr="00B7020F">
        <w:t>nfluenza</w:t>
      </w:r>
      <w:r>
        <w:t xml:space="preserve"> t</w:t>
      </w:r>
      <w:r w:rsidRPr="00B7020F">
        <w:t>rials</w:t>
      </w:r>
    </w:p>
    <w:tbl>
      <w:tblPr>
        <w:tblStyle w:val="TableGrid"/>
        <w:tblW w:w="0" w:type="auto"/>
        <w:tblLook w:val="04A0" w:firstRow="1" w:lastRow="0" w:firstColumn="1" w:lastColumn="0" w:noHBand="0" w:noVBand="1"/>
      </w:tblPr>
      <w:tblGrid>
        <w:gridCol w:w="3020"/>
        <w:gridCol w:w="3020"/>
        <w:gridCol w:w="3020"/>
      </w:tblGrid>
      <w:tr w:rsidR="00B7020F" w:rsidRPr="00E638BF" w14:paraId="458A4D8F" w14:textId="77777777" w:rsidTr="00F401EB">
        <w:tc>
          <w:tcPr>
            <w:tcW w:w="3020" w:type="dxa"/>
          </w:tcPr>
          <w:p w14:paraId="607BC948" w14:textId="77777777" w:rsidR="00B7020F" w:rsidRPr="00E638BF" w:rsidRDefault="00B7020F"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rPr>
            </w:pPr>
            <w:r w:rsidRPr="00E638BF">
              <w:rPr>
                <w:sz w:val="22"/>
              </w:rPr>
              <w:t>Adverse Event</w:t>
            </w:r>
          </w:p>
        </w:tc>
        <w:tc>
          <w:tcPr>
            <w:tcW w:w="3020" w:type="dxa"/>
          </w:tcPr>
          <w:p w14:paraId="1077317A" w14:textId="61E8D42E" w:rsidR="00B7020F" w:rsidRPr="00E638BF" w:rsidRDefault="00CE5F5B"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E638BF">
              <w:rPr>
                <w:sz w:val="22"/>
              </w:rPr>
              <w:t>Xofluza</w:t>
            </w:r>
            <w:r w:rsidRPr="00E638BF">
              <w:rPr>
                <w:sz w:val="22"/>
              </w:rPr>
              <w:br/>
            </w:r>
            <w:r w:rsidR="00B7020F" w:rsidRPr="00E638BF">
              <w:rPr>
                <w:sz w:val="22"/>
              </w:rPr>
              <w:t>(N=1440)</w:t>
            </w:r>
          </w:p>
        </w:tc>
        <w:tc>
          <w:tcPr>
            <w:tcW w:w="3020" w:type="dxa"/>
          </w:tcPr>
          <w:p w14:paraId="0A2EEEC2" w14:textId="6DCF8FCC" w:rsidR="00B7020F" w:rsidRPr="00E638BF" w:rsidRDefault="00B7020F"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E638BF">
              <w:rPr>
                <w:sz w:val="22"/>
              </w:rPr>
              <w:t>Placebo</w:t>
            </w:r>
            <w:r w:rsidR="00CE5F5B" w:rsidRPr="00E638BF">
              <w:rPr>
                <w:sz w:val="22"/>
              </w:rPr>
              <w:br/>
            </w:r>
            <w:r w:rsidRPr="00E638BF">
              <w:rPr>
                <w:sz w:val="22"/>
              </w:rPr>
              <w:t>(N=1136)</w:t>
            </w:r>
          </w:p>
        </w:tc>
      </w:tr>
      <w:tr w:rsidR="00B7020F" w:rsidRPr="00B7020F" w14:paraId="7274209D" w14:textId="77777777" w:rsidTr="00F401EB">
        <w:tc>
          <w:tcPr>
            <w:tcW w:w="3020" w:type="dxa"/>
          </w:tcPr>
          <w:p w14:paraId="65CE52EB" w14:textId="24550218" w:rsidR="00B7020F" w:rsidRPr="00B7020F" w:rsidRDefault="00B7020F"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rPr>
            </w:pPr>
            <w:r w:rsidRPr="00B7020F">
              <w:rPr>
                <w:sz w:val="22"/>
              </w:rPr>
              <w:t>Diarrh</w:t>
            </w:r>
            <w:r w:rsidR="00CE5F5B">
              <w:rPr>
                <w:sz w:val="22"/>
              </w:rPr>
              <w:t>o</w:t>
            </w:r>
            <w:r w:rsidRPr="00B7020F">
              <w:rPr>
                <w:sz w:val="22"/>
              </w:rPr>
              <w:t>ea</w:t>
            </w:r>
          </w:p>
        </w:tc>
        <w:tc>
          <w:tcPr>
            <w:tcW w:w="3020" w:type="dxa"/>
          </w:tcPr>
          <w:p w14:paraId="374FF7C2" w14:textId="77777777" w:rsidR="00B7020F" w:rsidRPr="00B7020F" w:rsidRDefault="00B7020F"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B7020F">
              <w:rPr>
                <w:sz w:val="22"/>
              </w:rPr>
              <w:t>3%</w:t>
            </w:r>
          </w:p>
        </w:tc>
        <w:tc>
          <w:tcPr>
            <w:tcW w:w="3020" w:type="dxa"/>
          </w:tcPr>
          <w:p w14:paraId="11E0A705" w14:textId="77777777" w:rsidR="00B7020F" w:rsidRPr="00B7020F" w:rsidRDefault="00B7020F"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B7020F">
              <w:rPr>
                <w:sz w:val="22"/>
              </w:rPr>
              <w:t>4%</w:t>
            </w:r>
          </w:p>
        </w:tc>
      </w:tr>
      <w:tr w:rsidR="00B7020F" w:rsidRPr="00B7020F" w14:paraId="7BF49520" w14:textId="77777777" w:rsidTr="00F401EB">
        <w:tc>
          <w:tcPr>
            <w:tcW w:w="3020" w:type="dxa"/>
          </w:tcPr>
          <w:p w14:paraId="6C1410E8" w14:textId="77777777" w:rsidR="00B7020F" w:rsidRPr="00B7020F" w:rsidRDefault="00B7020F"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rPr>
            </w:pPr>
            <w:r w:rsidRPr="00B7020F">
              <w:rPr>
                <w:sz w:val="22"/>
              </w:rPr>
              <w:t>Bronchitis</w:t>
            </w:r>
          </w:p>
        </w:tc>
        <w:tc>
          <w:tcPr>
            <w:tcW w:w="3020" w:type="dxa"/>
          </w:tcPr>
          <w:p w14:paraId="58D98772" w14:textId="77777777" w:rsidR="00B7020F" w:rsidRPr="00B7020F" w:rsidRDefault="00B7020F"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B7020F">
              <w:rPr>
                <w:sz w:val="22"/>
              </w:rPr>
              <w:t>3%</w:t>
            </w:r>
          </w:p>
        </w:tc>
        <w:tc>
          <w:tcPr>
            <w:tcW w:w="3020" w:type="dxa"/>
          </w:tcPr>
          <w:p w14:paraId="2C2E014C" w14:textId="77777777" w:rsidR="00B7020F" w:rsidRPr="00B7020F" w:rsidRDefault="00B7020F"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B7020F">
              <w:rPr>
                <w:sz w:val="22"/>
              </w:rPr>
              <w:t>4%</w:t>
            </w:r>
          </w:p>
        </w:tc>
      </w:tr>
      <w:tr w:rsidR="00B7020F" w:rsidRPr="00B7020F" w14:paraId="24B83A26" w14:textId="77777777" w:rsidTr="00F401EB">
        <w:tc>
          <w:tcPr>
            <w:tcW w:w="3020" w:type="dxa"/>
          </w:tcPr>
          <w:p w14:paraId="7109E8A1" w14:textId="77777777" w:rsidR="00B7020F" w:rsidRPr="00B7020F" w:rsidRDefault="00B7020F" w:rsidP="00CE5F5B">
            <w:pPr>
              <w:pBdr>
                <w:top w:val="none" w:sz="0" w:space="0" w:color="auto"/>
                <w:left w:val="none" w:sz="0" w:space="0" w:color="auto"/>
                <w:bottom w:val="none" w:sz="0" w:space="0" w:color="auto"/>
                <w:right w:val="none" w:sz="0" w:space="0" w:color="auto"/>
                <w:between w:val="none" w:sz="0" w:space="0" w:color="auto"/>
              </w:pBdr>
              <w:spacing w:before="40" w:after="40"/>
              <w:rPr>
                <w:sz w:val="22"/>
              </w:rPr>
            </w:pPr>
            <w:r w:rsidRPr="00B7020F">
              <w:rPr>
                <w:sz w:val="22"/>
              </w:rPr>
              <w:t>Nausea</w:t>
            </w:r>
          </w:p>
        </w:tc>
        <w:tc>
          <w:tcPr>
            <w:tcW w:w="3020" w:type="dxa"/>
          </w:tcPr>
          <w:p w14:paraId="242E5A02" w14:textId="77777777" w:rsidR="00B7020F" w:rsidRPr="00B7020F" w:rsidRDefault="00B7020F" w:rsidP="00CE5F5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B7020F">
              <w:rPr>
                <w:sz w:val="22"/>
              </w:rPr>
              <w:t>2%</w:t>
            </w:r>
          </w:p>
        </w:tc>
        <w:tc>
          <w:tcPr>
            <w:tcW w:w="3020" w:type="dxa"/>
          </w:tcPr>
          <w:p w14:paraId="213FB966" w14:textId="77777777" w:rsidR="00B7020F" w:rsidRPr="00B7020F" w:rsidRDefault="00B7020F" w:rsidP="00CE5F5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B7020F">
              <w:rPr>
                <w:sz w:val="22"/>
              </w:rPr>
              <w:t>3%</w:t>
            </w:r>
          </w:p>
        </w:tc>
      </w:tr>
      <w:tr w:rsidR="00B7020F" w:rsidRPr="00B7020F" w14:paraId="65E33629" w14:textId="77777777" w:rsidTr="00F401EB">
        <w:tc>
          <w:tcPr>
            <w:tcW w:w="3020" w:type="dxa"/>
          </w:tcPr>
          <w:p w14:paraId="4A9B9135" w14:textId="77777777" w:rsidR="00B7020F" w:rsidRPr="00B7020F" w:rsidRDefault="00B7020F" w:rsidP="00CE5F5B">
            <w:pPr>
              <w:pBdr>
                <w:top w:val="none" w:sz="0" w:space="0" w:color="auto"/>
                <w:left w:val="none" w:sz="0" w:space="0" w:color="auto"/>
                <w:bottom w:val="none" w:sz="0" w:space="0" w:color="auto"/>
                <w:right w:val="none" w:sz="0" w:space="0" w:color="auto"/>
                <w:between w:val="none" w:sz="0" w:space="0" w:color="auto"/>
              </w:pBdr>
              <w:spacing w:before="40" w:after="40"/>
              <w:rPr>
                <w:sz w:val="22"/>
              </w:rPr>
            </w:pPr>
            <w:r w:rsidRPr="00B7020F">
              <w:rPr>
                <w:sz w:val="22"/>
              </w:rPr>
              <w:t>Sinusitis</w:t>
            </w:r>
          </w:p>
        </w:tc>
        <w:tc>
          <w:tcPr>
            <w:tcW w:w="3020" w:type="dxa"/>
          </w:tcPr>
          <w:p w14:paraId="4D1E6A15" w14:textId="77777777" w:rsidR="00B7020F" w:rsidRPr="00B7020F" w:rsidRDefault="00B7020F" w:rsidP="00CE5F5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B7020F">
              <w:rPr>
                <w:sz w:val="22"/>
              </w:rPr>
              <w:t>2%</w:t>
            </w:r>
          </w:p>
        </w:tc>
        <w:tc>
          <w:tcPr>
            <w:tcW w:w="3020" w:type="dxa"/>
          </w:tcPr>
          <w:p w14:paraId="22D87A94" w14:textId="77777777" w:rsidR="00B7020F" w:rsidRPr="00B7020F" w:rsidRDefault="00B7020F" w:rsidP="00CE5F5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B7020F">
              <w:rPr>
                <w:sz w:val="22"/>
              </w:rPr>
              <w:t>3%</w:t>
            </w:r>
          </w:p>
        </w:tc>
      </w:tr>
      <w:tr w:rsidR="00B7020F" w:rsidRPr="00B7020F" w14:paraId="11AFE5B6" w14:textId="77777777" w:rsidTr="00F401EB">
        <w:tc>
          <w:tcPr>
            <w:tcW w:w="3020" w:type="dxa"/>
          </w:tcPr>
          <w:p w14:paraId="58A1BE26" w14:textId="77777777" w:rsidR="00B7020F" w:rsidRPr="00B7020F" w:rsidRDefault="00B7020F" w:rsidP="00CE5F5B">
            <w:pPr>
              <w:pBdr>
                <w:top w:val="none" w:sz="0" w:space="0" w:color="auto"/>
                <w:left w:val="none" w:sz="0" w:space="0" w:color="auto"/>
                <w:bottom w:val="none" w:sz="0" w:space="0" w:color="auto"/>
                <w:right w:val="none" w:sz="0" w:space="0" w:color="auto"/>
                <w:between w:val="none" w:sz="0" w:space="0" w:color="auto"/>
              </w:pBdr>
              <w:spacing w:before="40" w:after="40"/>
              <w:rPr>
                <w:sz w:val="22"/>
              </w:rPr>
            </w:pPr>
            <w:r w:rsidRPr="00B7020F">
              <w:rPr>
                <w:sz w:val="22"/>
              </w:rPr>
              <w:t>Headache</w:t>
            </w:r>
          </w:p>
        </w:tc>
        <w:tc>
          <w:tcPr>
            <w:tcW w:w="3020" w:type="dxa"/>
          </w:tcPr>
          <w:p w14:paraId="5008B04A" w14:textId="77777777" w:rsidR="00B7020F" w:rsidRPr="00B7020F" w:rsidRDefault="00B7020F" w:rsidP="00CE5F5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B7020F">
              <w:rPr>
                <w:sz w:val="22"/>
              </w:rPr>
              <w:t>1%</w:t>
            </w:r>
          </w:p>
        </w:tc>
        <w:tc>
          <w:tcPr>
            <w:tcW w:w="3020" w:type="dxa"/>
          </w:tcPr>
          <w:p w14:paraId="785FE3B7" w14:textId="77777777" w:rsidR="00B7020F" w:rsidRPr="00B7020F" w:rsidRDefault="00B7020F" w:rsidP="00CE5F5B">
            <w:pPr>
              <w:pBdr>
                <w:top w:val="none" w:sz="0" w:space="0" w:color="auto"/>
                <w:left w:val="none" w:sz="0" w:space="0" w:color="auto"/>
                <w:bottom w:val="none" w:sz="0" w:space="0" w:color="auto"/>
                <w:right w:val="none" w:sz="0" w:space="0" w:color="auto"/>
                <w:between w:val="none" w:sz="0" w:space="0" w:color="auto"/>
              </w:pBdr>
              <w:spacing w:before="40" w:after="40"/>
              <w:jc w:val="center"/>
              <w:rPr>
                <w:sz w:val="22"/>
              </w:rPr>
            </w:pPr>
            <w:r w:rsidRPr="00B7020F">
              <w:rPr>
                <w:sz w:val="22"/>
              </w:rPr>
              <w:t>1%</w:t>
            </w:r>
          </w:p>
        </w:tc>
      </w:tr>
    </w:tbl>
    <w:p w14:paraId="01E172BC" w14:textId="7650529F" w:rsidR="000D4FD7" w:rsidRPr="00FF64E1" w:rsidRDefault="000D4FD7" w:rsidP="00E153FF">
      <w:pPr>
        <w:pStyle w:val="Heading3"/>
        <w:spacing w:before="240"/>
      </w:pPr>
      <w:r>
        <w:t>Post-marketing experience</w:t>
      </w:r>
    </w:p>
    <w:p w14:paraId="5FADCA5F" w14:textId="77777777" w:rsidR="00B55BDA" w:rsidRDefault="00B55BDA" w:rsidP="00B55BDA"/>
    <w:p w14:paraId="2163C610" w14:textId="441B6586" w:rsidR="00B55BDA" w:rsidRDefault="00B55BDA" w:rsidP="00B55BDA">
      <w:r>
        <w:t xml:space="preserve">The following adverse effects have been identified during post-marketing use of Xofluza. Because these </w:t>
      </w:r>
      <w:r w:rsidR="000841EC">
        <w:t>effects</w:t>
      </w:r>
      <w:r>
        <w:t xml:space="preserve"> are reported voluntarily from a population of uncertain size, it is not possible to reliably estimate their frequency or establish a causal relationship to Xofluza exposure.</w:t>
      </w:r>
    </w:p>
    <w:p w14:paraId="0BB205DE" w14:textId="77777777" w:rsidR="00B55BDA" w:rsidRDefault="00B55BDA" w:rsidP="00B55BDA"/>
    <w:p w14:paraId="4797D603" w14:textId="77777777" w:rsidR="00B55BDA" w:rsidRDefault="00B55BDA" w:rsidP="00B55BDA">
      <w:r w:rsidRPr="00B55BDA">
        <w:rPr>
          <w:i/>
        </w:rPr>
        <w:t xml:space="preserve">Immune system disorder: </w:t>
      </w:r>
      <w:r>
        <w:t>Anaphylaxis, anaphylactic reactions, hypersensitivity.</w:t>
      </w:r>
    </w:p>
    <w:p w14:paraId="26FA0C0E" w14:textId="77777777" w:rsidR="00B55BDA" w:rsidRDefault="00B55BDA" w:rsidP="00B55BDA"/>
    <w:p w14:paraId="61AD3C31" w14:textId="1E7210B0" w:rsidR="00B55BDA" w:rsidRDefault="00B55BDA" w:rsidP="00B55BDA">
      <w:r w:rsidRPr="00B55BDA">
        <w:rPr>
          <w:i/>
        </w:rPr>
        <w:t xml:space="preserve">Skin and subcutaneous tissue disorders: </w:t>
      </w:r>
      <w:r>
        <w:t xml:space="preserve">Angioedema, </w:t>
      </w:r>
      <w:proofErr w:type="spellStart"/>
      <w:r>
        <w:t>urticaria</w:t>
      </w:r>
      <w:proofErr w:type="spellEnd"/>
      <w:r>
        <w:t>, rash.</w:t>
      </w:r>
    </w:p>
    <w:p w14:paraId="4DEB0C1A" w14:textId="77777777" w:rsidR="00B55BDA" w:rsidRDefault="00B55BDA" w:rsidP="00B55BDA"/>
    <w:p w14:paraId="5098044E" w14:textId="4461E567" w:rsidR="000D4FD7" w:rsidRDefault="00B55BDA" w:rsidP="00B55BDA">
      <w:r w:rsidRPr="00B55BDA">
        <w:rPr>
          <w:i/>
        </w:rPr>
        <w:t xml:space="preserve">Gastrointestinal disorders: </w:t>
      </w:r>
      <w:r>
        <w:t xml:space="preserve">Vomiting, bloody diarrhoea, </w:t>
      </w:r>
      <w:proofErr w:type="spellStart"/>
      <w:r>
        <w:t>melaena</w:t>
      </w:r>
      <w:proofErr w:type="spellEnd"/>
      <w:r>
        <w:t>, ischemic colitis.</w:t>
      </w:r>
    </w:p>
    <w:p w14:paraId="3753C0EB" w14:textId="749EA0AF" w:rsidR="00E153FF" w:rsidRPr="00A04320" w:rsidRDefault="00E153FF" w:rsidP="00B9637E">
      <w:pPr>
        <w:pStyle w:val="Heading4"/>
        <w:keepNext/>
      </w:pPr>
      <w:r w:rsidRPr="00A04320">
        <w:t>Description of selected adverse drug reactions from post</w:t>
      </w:r>
      <w:r>
        <w:t>-</w:t>
      </w:r>
      <w:r w:rsidRPr="00A04320">
        <w:t>marketing experience</w:t>
      </w:r>
    </w:p>
    <w:p w14:paraId="543A720F" w14:textId="77777777" w:rsidR="00E153FF" w:rsidRDefault="00E153FF" w:rsidP="00B9637E">
      <w:pPr>
        <w:keepNext/>
      </w:pPr>
    </w:p>
    <w:p w14:paraId="593CCA90" w14:textId="04874DDE" w:rsidR="00E153FF" w:rsidRPr="00967471" w:rsidRDefault="00E153FF" w:rsidP="00E153FF">
      <w:bookmarkStart w:id="1" w:name="OLE_LINK1"/>
      <w:bookmarkStart w:id="2" w:name="OLE_LINK2"/>
      <w:r w:rsidRPr="00A04320">
        <w:t>Hypersensitivity reactions have been observed in the post</w:t>
      </w:r>
      <w:r>
        <w:t>-</w:t>
      </w:r>
      <w:r w:rsidRPr="00A04320">
        <w:t xml:space="preserve">marketing setting which include reports of anaphylaxis/anaphylactic reactions and less severe forms of hypersensitivity reactions including </w:t>
      </w:r>
      <w:r w:rsidR="00B55BDA" w:rsidRPr="00A04320">
        <w:t>angioedema</w:t>
      </w:r>
      <w:r w:rsidR="00B55BDA">
        <w:t>,</w:t>
      </w:r>
      <w:r w:rsidR="00B55BDA" w:rsidRPr="00A04320">
        <w:t xml:space="preserve"> </w:t>
      </w:r>
      <w:proofErr w:type="spellStart"/>
      <w:r w:rsidRPr="00A04320">
        <w:t>urticaria</w:t>
      </w:r>
      <w:proofErr w:type="spellEnd"/>
      <w:r w:rsidRPr="00A04320">
        <w:t xml:space="preserve"> and</w:t>
      </w:r>
      <w:r w:rsidR="00B55BDA">
        <w:t xml:space="preserve"> rash</w:t>
      </w:r>
      <w:r w:rsidRPr="00A04320">
        <w:t>.</w:t>
      </w:r>
    </w:p>
    <w:bookmarkEnd w:id="1"/>
    <w:bookmarkEnd w:id="2"/>
    <w:p w14:paraId="5F62A546" w14:textId="77777777" w:rsidR="006F052E" w:rsidRPr="006F052E" w:rsidRDefault="006F052E" w:rsidP="00E153FF">
      <w:pPr>
        <w:pStyle w:val="Heading4"/>
      </w:pPr>
      <w:r w:rsidRPr="006F052E">
        <w:t>Reporting of suspected adverse reactions</w:t>
      </w:r>
    </w:p>
    <w:p w14:paraId="57B472FF" w14:textId="77777777" w:rsidR="002A0CE0" w:rsidRDefault="002A0CE0" w:rsidP="002A0CE0"/>
    <w:p w14:paraId="666B60C5" w14:textId="01DCD862" w:rsidR="00E21CCD" w:rsidRPr="00E21CCD" w:rsidRDefault="00E21CCD" w:rsidP="002A0CE0">
      <w:pPr>
        <w:rPr>
          <w:u w:val="single"/>
        </w:rPr>
      </w:pPr>
      <w:r w:rsidRPr="00E21CCD">
        <w:t>Reporting suspected adverse reactions after registration of the medicinal product is important. It allows continued monitoring of the benefit-risk balance of the medicinal product. Healthcare professionals are asked to report any suspected adverse reactions at</w:t>
      </w:r>
      <w:r w:rsidR="00BE1773">
        <w:t xml:space="preserve"> </w:t>
      </w:r>
      <w:hyperlink r:id="rId8" w:history="1">
        <w:r w:rsidR="00BE1773" w:rsidRPr="00693DF7">
          <w:rPr>
            <w:rStyle w:val="Hyperlink"/>
          </w:rPr>
          <w:t>www.tga.gov.au/reporting-problems</w:t>
        </w:r>
      </w:hyperlink>
      <w:r w:rsidR="00BE1773">
        <w:t>.</w:t>
      </w:r>
    </w:p>
    <w:p w14:paraId="406C4673" w14:textId="77230F78" w:rsidR="00D52399" w:rsidRDefault="00615052" w:rsidP="00F60B0A">
      <w:pPr>
        <w:pStyle w:val="Heading2"/>
        <w:keepNext/>
        <w:ind w:hanging="786"/>
      </w:pPr>
      <w:r>
        <w:lastRenderedPageBreak/>
        <w:t>4.9</w:t>
      </w:r>
      <w:r>
        <w:tab/>
      </w:r>
      <w:r w:rsidR="002A0CE0">
        <w:t>OVERDOSE</w:t>
      </w:r>
      <w:r>
        <w:t xml:space="preserve"> </w:t>
      </w:r>
    </w:p>
    <w:p w14:paraId="14D77E4D" w14:textId="47BDBA61" w:rsidR="00D52399" w:rsidRDefault="00E94719" w:rsidP="00F60B0A">
      <w:pPr>
        <w:pStyle w:val="Heading3"/>
        <w:keepNext/>
      </w:pPr>
      <w:r>
        <w:t>Clinical experience</w:t>
      </w:r>
    </w:p>
    <w:p w14:paraId="54A4094F" w14:textId="77777777" w:rsidR="00E94719" w:rsidRPr="00E94719" w:rsidRDefault="00E94719" w:rsidP="00F60B0A">
      <w:pPr>
        <w:keepNext/>
      </w:pPr>
    </w:p>
    <w:p w14:paraId="17085D99" w14:textId="3911371D" w:rsidR="000D4FD7" w:rsidRDefault="00E94719" w:rsidP="000D4FD7">
      <w:r>
        <w:t>Reports of overdose</w:t>
      </w:r>
      <w:r w:rsidRPr="00E94719">
        <w:t xml:space="preserve"> have been received from clinical trials and during post</w:t>
      </w:r>
      <w:r>
        <w:t>-</w:t>
      </w:r>
      <w:r w:rsidRPr="00E94719">
        <w:t>marketing experience. In the majority of cases</w:t>
      </w:r>
      <w:r w:rsidR="00862A7C">
        <w:t xml:space="preserve"> reporting overdose</w:t>
      </w:r>
      <w:r w:rsidRPr="00E94719">
        <w:t xml:space="preserve">, no adverse events were reported. </w:t>
      </w:r>
      <w:r>
        <w:t>From the</w:t>
      </w:r>
      <w:r w:rsidRPr="00E94719">
        <w:t xml:space="preserve"> limited number of cases </w:t>
      </w:r>
      <w:r>
        <w:t>associated</w:t>
      </w:r>
      <w:r w:rsidRPr="00E94719">
        <w:t xml:space="preserve"> with adverse events, data are insufficient to determine what symptoms may be anticipated as a result of an overdose</w:t>
      </w:r>
      <w:r>
        <w:t>.</w:t>
      </w:r>
    </w:p>
    <w:p w14:paraId="70ED65B7" w14:textId="28EE78FE" w:rsidR="000D4FD7" w:rsidRDefault="00E94719" w:rsidP="00E94719">
      <w:pPr>
        <w:pStyle w:val="Heading3"/>
      </w:pPr>
      <w:r>
        <w:t>Management</w:t>
      </w:r>
    </w:p>
    <w:p w14:paraId="32EB093A" w14:textId="77777777" w:rsidR="00E94719" w:rsidRDefault="00E94719" w:rsidP="000D4FD7"/>
    <w:p w14:paraId="404BAC4B" w14:textId="2C28C3C4" w:rsidR="000D4FD7" w:rsidRDefault="000D4FD7" w:rsidP="000D4FD7">
      <w:r>
        <w:t xml:space="preserve">No known specific antidote exists for </w:t>
      </w:r>
      <w:r w:rsidR="002F0E1A">
        <w:t>Xofluza</w:t>
      </w:r>
      <w:r>
        <w:t>. In the event of overdose, standard supportive medical care should be initiated based on the patient’s signs and symptoms.</w:t>
      </w:r>
    </w:p>
    <w:p w14:paraId="0EA3E924" w14:textId="77777777" w:rsidR="000D4FD7" w:rsidRDefault="000D4FD7" w:rsidP="000D4FD7"/>
    <w:p w14:paraId="5F8DA217" w14:textId="0091D4EB" w:rsidR="002A0CE0" w:rsidRDefault="000D4FD7" w:rsidP="000D4FD7">
      <w:r>
        <w:t>Baloxavir is unlikely to be significantly removed by dialysis due to high serum protein binding.</w:t>
      </w:r>
    </w:p>
    <w:p w14:paraId="57902991" w14:textId="77777777" w:rsidR="002A0CE0" w:rsidRDefault="002A0CE0" w:rsidP="002A0CE0"/>
    <w:p w14:paraId="6610C0B0" w14:textId="144F1B45" w:rsidR="002A0CE0" w:rsidRDefault="002A0CE0">
      <w:r w:rsidRPr="0028771A">
        <w:t>For information on the management of overdose, contact the Poison Information Centre on 13</w:t>
      </w:r>
      <w:r>
        <w:t> </w:t>
      </w:r>
      <w:r w:rsidRPr="0028771A">
        <w:t>11</w:t>
      </w:r>
      <w:r>
        <w:t> 26 (Australia).</w:t>
      </w:r>
    </w:p>
    <w:p w14:paraId="165F997F" w14:textId="77777777" w:rsidR="00D52399" w:rsidRDefault="00615052" w:rsidP="00D15197">
      <w:pPr>
        <w:pStyle w:val="Heading1"/>
        <w:numPr>
          <w:ilvl w:val="0"/>
          <w:numId w:val="2"/>
        </w:numPr>
      </w:pPr>
      <w:r>
        <w:t>PHARMACOLOGICAL PROPERTIES</w:t>
      </w:r>
    </w:p>
    <w:p w14:paraId="79967001" w14:textId="15D20917" w:rsidR="00D52399" w:rsidRDefault="004303A3" w:rsidP="00D15197">
      <w:pPr>
        <w:pStyle w:val="Heading2"/>
        <w:keepNext/>
        <w:numPr>
          <w:ilvl w:val="0"/>
          <w:numId w:val="1"/>
        </w:numPr>
        <w:ind w:left="709" w:hanging="709"/>
      </w:pPr>
      <w:r>
        <w:t>PHARMACODYNAMIC PROPERTIES</w:t>
      </w:r>
    </w:p>
    <w:p w14:paraId="4CFF431D" w14:textId="07EA918F" w:rsidR="00D52399" w:rsidRDefault="00615052" w:rsidP="00D15197">
      <w:pPr>
        <w:pStyle w:val="Heading3"/>
        <w:keepNext/>
      </w:pPr>
      <w:r>
        <w:t xml:space="preserve">Mechanism of </w:t>
      </w:r>
      <w:r w:rsidR="00964DFF">
        <w:t>a</w:t>
      </w:r>
      <w:r>
        <w:t>ction</w:t>
      </w:r>
    </w:p>
    <w:p w14:paraId="77BE8793" w14:textId="491F210E" w:rsidR="00D52399" w:rsidRDefault="00D52399" w:rsidP="00D15197">
      <w:pPr>
        <w:keepNext/>
      </w:pPr>
    </w:p>
    <w:p w14:paraId="22715A1B" w14:textId="18ED9109" w:rsidR="00C0048E" w:rsidRDefault="00C0048E" w:rsidP="00C0048E">
      <w:r>
        <w:t>Baloxavir marboxil is a prodrug that is converted by hydrolysis to its active metabolite, baloxavir, the active form that exerts anti-influenza activity. Baloxavir acts on the cap</w:t>
      </w:r>
      <w:r w:rsidR="00EF2045">
        <w:noBreakHyphen/>
      </w:r>
      <w:r>
        <w:t>dependent endonuclease (CEN), an influenza virus-specific enzyme in the polymerase acidic (PA) subunit of the viral RNA polymerase complex and thereby inhibits the transcription of influenza virus genomes resulting in inhibition of influenza virus replication. The 50% inhibition concentration (IC</w:t>
      </w:r>
      <w:r w:rsidRPr="00C0048E">
        <w:rPr>
          <w:vertAlign w:val="subscript"/>
        </w:rPr>
        <w:t>50</w:t>
      </w:r>
      <w:r>
        <w:t xml:space="preserve">) of baloxavir was 1.4 to 3.1 </w:t>
      </w:r>
      <w:proofErr w:type="spellStart"/>
      <w:r>
        <w:t>nmol</w:t>
      </w:r>
      <w:proofErr w:type="spellEnd"/>
      <w:r>
        <w:t xml:space="preserve">/L for influenza A viruses and 4.5 to 8.9 </w:t>
      </w:r>
      <w:proofErr w:type="spellStart"/>
      <w:r>
        <w:t>nmol</w:t>
      </w:r>
      <w:proofErr w:type="spellEnd"/>
      <w:r>
        <w:t>/L for influenza B viruses in an enzyme inhibition assay.</w:t>
      </w:r>
    </w:p>
    <w:p w14:paraId="45FC203B" w14:textId="77777777" w:rsidR="00C0048E" w:rsidRDefault="00C0048E" w:rsidP="00C0048E"/>
    <w:p w14:paraId="719A7B66" w14:textId="46E40A08" w:rsidR="00C0048E" w:rsidRDefault="00C0048E" w:rsidP="00C0048E">
      <w:r>
        <w:t xml:space="preserve">Nonclinical studies demonstrate potent antiviral activity of baloxavir against influenza A and B virus </w:t>
      </w:r>
      <w:r w:rsidRPr="00C0048E">
        <w:rPr>
          <w:i/>
        </w:rPr>
        <w:t>in vitro</w:t>
      </w:r>
      <w:r>
        <w:t xml:space="preserve"> and </w:t>
      </w:r>
      <w:r w:rsidRPr="00C0048E">
        <w:rPr>
          <w:i/>
        </w:rPr>
        <w:t>in vivo</w:t>
      </w:r>
      <w:r>
        <w:t>. The antiviral activity of baloxavir against laboratory strains and clinical isolates of influenza A and B viruses was determined in the MDCK cell culture assay. The median 50% effective concentration (EC</w:t>
      </w:r>
      <w:r w:rsidRPr="00C0048E">
        <w:rPr>
          <w:vertAlign w:val="subscript"/>
        </w:rPr>
        <w:t>50</w:t>
      </w:r>
      <w:r>
        <w:t xml:space="preserve">) values of baloxavir were 0.73 </w:t>
      </w:r>
      <w:proofErr w:type="spellStart"/>
      <w:r>
        <w:t>nmol</w:t>
      </w:r>
      <w:proofErr w:type="spellEnd"/>
      <w:r>
        <w:t xml:space="preserve">/L (n=31; range: 0.20 to 1.85 </w:t>
      </w:r>
      <w:proofErr w:type="spellStart"/>
      <w:r>
        <w:t>nmol</w:t>
      </w:r>
      <w:proofErr w:type="spellEnd"/>
      <w:r>
        <w:t xml:space="preserve">/L) for subtype A/H1N1 strains, 0.83 </w:t>
      </w:r>
      <w:proofErr w:type="spellStart"/>
      <w:r>
        <w:t>nmol</w:t>
      </w:r>
      <w:proofErr w:type="spellEnd"/>
      <w:r>
        <w:t xml:space="preserve">/L (n=33; range: 0.35 to 2.63 </w:t>
      </w:r>
      <w:proofErr w:type="spellStart"/>
      <w:r>
        <w:t>nmol</w:t>
      </w:r>
      <w:proofErr w:type="spellEnd"/>
      <w:r>
        <w:t xml:space="preserve">/L) for subtype A/H3N2 strains, and 5.97 </w:t>
      </w:r>
      <w:proofErr w:type="spellStart"/>
      <w:r>
        <w:t>nmol</w:t>
      </w:r>
      <w:proofErr w:type="spellEnd"/>
      <w:r>
        <w:t>/L (n=30; range: 2.67 to 14.23 </w:t>
      </w:r>
      <w:proofErr w:type="spellStart"/>
      <w:r>
        <w:t>nmol</w:t>
      </w:r>
      <w:proofErr w:type="spellEnd"/>
      <w:r>
        <w:t>/L) for type B strains. In a MDCK cell-based virus titre reduction assay, the 90% effective concentration (EC</w:t>
      </w:r>
      <w:r w:rsidRPr="00C0048E">
        <w:rPr>
          <w:vertAlign w:val="subscript"/>
        </w:rPr>
        <w:t>90</w:t>
      </w:r>
      <w:r>
        <w:t xml:space="preserve">) values of baloxavir were in the range of 0.46 to 0.98 </w:t>
      </w:r>
      <w:proofErr w:type="spellStart"/>
      <w:r>
        <w:t>nmol</w:t>
      </w:r>
      <w:proofErr w:type="spellEnd"/>
      <w:r>
        <w:t xml:space="preserve">/L for subtype A/H1N1 and A/H3N2 viruses, 0.80 to 3.16 </w:t>
      </w:r>
      <w:proofErr w:type="spellStart"/>
      <w:r>
        <w:t>nmol</w:t>
      </w:r>
      <w:proofErr w:type="spellEnd"/>
      <w:r>
        <w:t xml:space="preserve">/L for avian subtype A/H5N1 and A/H7N9 viruses, and 2.21 to 6.48 </w:t>
      </w:r>
      <w:proofErr w:type="spellStart"/>
      <w:r>
        <w:t>nmol</w:t>
      </w:r>
      <w:proofErr w:type="spellEnd"/>
      <w:r>
        <w:t>/L for type B viruses.</w:t>
      </w:r>
    </w:p>
    <w:p w14:paraId="3561B87D" w14:textId="77777777" w:rsidR="00C0048E" w:rsidRDefault="00C0048E" w:rsidP="00C0048E"/>
    <w:p w14:paraId="4A43F0E6" w14:textId="6A35B057" w:rsidR="009255F7" w:rsidRDefault="00C0048E" w:rsidP="00C0048E">
      <w:r>
        <w:t xml:space="preserve">Viruses bearing the PA/I38T/M mutation selected </w:t>
      </w:r>
      <w:r w:rsidRPr="00C0048E">
        <w:rPr>
          <w:i/>
        </w:rPr>
        <w:t>in vitro</w:t>
      </w:r>
      <w:r>
        <w:t xml:space="preserve"> or in clinical studies show reduced susceptibility to baloxavir. Baloxavir is active against neuraminidase inhibitor resistant strains including H274Y in A/H1N1, E119V and R292K in A/H3</w:t>
      </w:r>
      <w:r w:rsidR="00F60B0A">
        <w:t>N2, and R152K and D198E in type </w:t>
      </w:r>
      <w:r>
        <w:t>B virus, H274Y in A/H5N1, R292K in A/H7N9.</w:t>
      </w:r>
    </w:p>
    <w:p w14:paraId="3FEFCAA1" w14:textId="77777777" w:rsidR="00C0048E" w:rsidRDefault="00C0048E" w:rsidP="00C0048E"/>
    <w:p w14:paraId="03B6A511" w14:textId="46239D64" w:rsidR="00C0048E" w:rsidRDefault="00C0048E" w:rsidP="00C0048E">
      <w:r>
        <w:lastRenderedPageBreak/>
        <w:t>The relationship between antiviral activity in cell culture and inhibition of influenza virus replication in humans has not been established.</w:t>
      </w:r>
    </w:p>
    <w:p w14:paraId="44596F48" w14:textId="77777777" w:rsidR="006E1417" w:rsidRDefault="006E1417" w:rsidP="006E1417">
      <w:pPr>
        <w:pStyle w:val="Heading4"/>
        <w:keepNext/>
      </w:pPr>
      <w:r>
        <w:t>Viral resistance</w:t>
      </w:r>
    </w:p>
    <w:p w14:paraId="360F02FC" w14:textId="77777777" w:rsidR="006E1417" w:rsidRDefault="006E1417" w:rsidP="006E1417">
      <w:pPr>
        <w:pStyle w:val="Heading5"/>
        <w:keepNext/>
        <w:rPr>
          <w:lang w:val="en-AU"/>
        </w:rPr>
      </w:pPr>
      <w:r w:rsidRPr="00D743BC">
        <w:rPr>
          <w:lang w:val="en-AU"/>
        </w:rPr>
        <w:t>Resistance Monitoring during Clinical Development</w:t>
      </w:r>
    </w:p>
    <w:p w14:paraId="0331EC99" w14:textId="77777777" w:rsidR="006E1417" w:rsidRDefault="006E1417" w:rsidP="006E1417">
      <w:pPr>
        <w:rPr>
          <w:lang w:val="en-AU"/>
        </w:rPr>
      </w:pPr>
      <w:r w:rsidRPr="00D343C9">
        <w:rPr>
          <w:i/>
          <w:lang w:val="en-AU"/>
        </w:rPr>
        <w:t>Cell culture:</w:t>
      </w:r>
      <w:r w:rsidRPr="00D343C9">
        <w:rPr>
          <w:lang w:val="en-AU"/>
        </w:rPr>
        <w:t xml:space="preserve"> Influenza A virus isolates with reduced susceptibility to baloxavir have been detected by serial passage of virus in cell culture in the presence of increasing concentrations of baloxavir. Reduced susceptibility of influenza A virus to baloxavir was observed in amino acid substitutions I38T (H1N1 and H3N2) and E199G (H3N2) in the polymerase acidic (PA) protein of the viral RNA polymerase complex. Influenza B virus isolates with reduced susceptibility to baloxavir have not been detected in cell culture.</w:t>
      </w:r>
    </w:p>
    <w:p w14:paraId="2D4E671A" w14:textId="77777777" w:rsidR="006E1417" w:rsidRPr="00D343C9" w:rsidRDefault="006E1417" w:rsidP="006E1417">
      <w:pPr>
        <w:rPr>
          <w:lang w:val="en-AU"/>
        </w:rPr>
      </w:pPr>
    </w:p>
    <w:p w14:paraId="33D608CB" w14:textId="4E17DA26" w:rsidR="006E1417" w:rsidRDefault="006E1417" w:rsidP="006E1417">
      <w:pPr>
        <w:rPr>
          <w:lang w:val="en-AU"/>
        </w:rPr>
      </w:pPr>
      <w:r w:rsidRPr="00D343C9">
        <w:rPr>
          <w:i/>
          <w:lang w:val="en-AU"/>
        </w:rPr>
        <w:t xml:space="preserve">Clinical studies: </w:t>
      </w:r>
      <w:r w:rsidRPr="00D343C9">
        <w:rPr>
          <w:lang w:val="en-AU"/>
        </w:rPr>
        <w:t>Influenza A virus isolates with treatment-emergent amino acid substitutions at position PA/I38T/F/M associated with &gt; 10</w:t>
      </w:r>
      <w:r w:rsidR="00041BB3">
        <w:rPr>
          <w:lang w:val="en-AU"/>
        </w:rPr>
        <w:t>-</w:t>
      </w:r>
      <w:r w:rsidRPr="00D343C9">
        <w:rPr>
          <w:lang w:val="en-AU"/>
        </w:rPr>
        <w:t xml:space="preserve">fold reduced susceptibility to baloxavir were observed in clinical studies. The clinical impact of this reduced susceptibility is </w:t>
      </w:r>
      <w:r w:rsidR="00C04C9F">
        <w:rPr>
          <w:lang w:val="en-AU"/>
        </w:rPr>
        <w:t>unclear</w:t>
      </w:r>
      <w:r w:rsidRPr="00D343C9">
        <w:rPr>
          <w:lang w:val="en-AU"/>
        </w:rPr>
        <w:t>.</w:t>
      </w:r>
    </w:p>
    <w:p w14:paraId="20D42D33" w14:textId="77777777" w:rsidR="00D82153" w:rsidRPr="00D343C9" w:rsidRDefault="00D82153" w:rsidP="006E1417">
      <w:pPr>
        <w:rPr>
          <w:lang w:val="en-AU"/>
        </w:rPr>
      </w:pPr>
    </w:p>
    <w:p w14:paraId="351C3501" w14:textId="68DA0F78" w:rsidR="006E1417" w:rsidRDefault="006E1417" w:rsidP="006E1417">
      <w:pPr>
        <w:rPr>
          <w:lang w:val="en-AU"/>
        </w:rPr>
      </w:pPr>
      <w:r w:rsidRPr="00D343C9">
        <w:rPr>
          <w:lang w:val="en-AU"/>
        </w:rPr>
        <w:t xml:space="preserve">No pre-treatment isolates, with amino acid substitutions associated with reduced susceptibility to baloxavir, were found in the clinical studies or in the National </w:t>
      </w:r>
      <w:proofErr w:type="spellStart"/>
      <w:r w:rsidRPr="00D343C9">
        <w:rPr>
          <w:lang w:val="en-AU"/>
        </w:rPr>
        <w:t>Center</w:t>
      </w:r>
      <w:proofErr w:type="spellEnd"/>
      <w:r w:rsidRPr="00D343C9">
        <w:rPr>
          <w:lang w:val="en-AU"/>
        </w:rPr>
        <w:t xml:space="preserve"> for Biotechnology Information/Inf</w:t>
      </w:r>
      <w:r>
        <w:rPr>
          <w:lang w:val="en-AU"/>
        </w:rPr>
        <w:t>luenza virus resources database</w:t>
      </w:r>
      <w:r w:rsidRPr="00D343C9">
        <w:rPr>
          <w:lang w:val="en-AU"/>
        </w:rPr>
        <w:t xml:space="preserve">. </w:t>
      </w:r>
    </w:p>
    <w:p w14:paraId="52A9926D" w14:textId="77777777" w:rsidR="00D82153" w:rsidRDefault="00D82153" w:rsidP="00D82153">
      <w:pPr>
        <w:rPr>
          <w:lang w:val="en-AU"/>
        </w:rPr>
      </w:pPr>
    </w:p>
    <w:p w14:paraId="0847A93C" w14:textId="009FBC6E" w:rsidR="00254C63" w:rsidRDefault="00D82153" w:rsidP="00D82153">
      <w:pPr>
        <w:rPr>
          <w:lang w:val="en-AU"/>
        </w:rPr>
      </w:pPr>
      <w:r>
        <w:rPr>
          <w:lang w:val="en-AU"/>
        </w:rPr>
        <w:t>I</w:t>
      </w:r>
      <w:r w:rsidRPr="00340D2E">
        <w:rPr>
          <w:lang w:val="en-AU"/>
        </w:rPr>
        <w:t>n the phase 3 study in otherwise healthy patients (</w:t>
      </w:r>
      <w:r>
        <w:rPr>
          <w:lang w:val="en-AU"/>
        </w:rPr>
        <w:t>CAPSTONE-1</w:t>
      </w:r>
      <w:r w:rsidRPr="00340D2E">
        <w:rPr>
          <w:lang w:val="en-AU"/>
        </w:rPr>
        <w:t>), PA/I38T/M were detected in 36 of 370 patients (9.7%) in the X</w:t>
      </w:r>
      <w:r>
        <w:rPr>
          <w:lang w:val="en-AU"/>
        </w:rPr>
        <w:t>ofluza</w:t>
      </w:r>
      <w:r w:rsidRPr="00340D2E">
        <w:rPr>
          <w:lang w:val="en-AU"/>
        </w:rPr>
        <w:t xml:space="preserve"> treatment group. In the phase 3 study in high risk patients (</w:t>
      </w:r>
      <w:r>
        <w:rPr>
          <w:lang w:val="en-AU"/>
        </w:rPr>
        <w:t>CAPSTONE-2</w:t>
      </w:r>
      <w:r w:rsidRPr="00340D2E">
        <w:rPr>
          <w:lang w:val="en-AU"/>
        </w:rPr>
        <w:t>), PA/I38T/M/N were detected in 15 of 290 patients (5.2%) in the X</w:t>
      </w:r>
      <w:r>
        <w:rPr>
          <w:lang w:val="en-AU"/>
        </w:rPr>
        <w:t>ofluza</w:t>
      </w:r>
      <w:r w:rsidRPr="00340D2E">
        <w:rPr>
          <w:lang w:val="en-AU"/>
        </w:rPr>
        <w:t xml:space="preserve"> treatment group</w:t>
      </w:r>
      <w:r>
        <w:rPr>
          <w:lang w:val="en-AU"/>
        </w:rPr>
        <w:t>.</w:t>
      </w:r>
    </w:p>
    <w:p w14:paraId="055F2268" w14:textId="77777777" w:rsidR="00410BAE" w:rsidRDefault="00410BAE" w:rsidP="006E1417">
      <w:pPr>
        <w:rPr>
          <w:lang w:val="en-AU"/>
        </w:rPr>
      </w:pPr>
    </w:p>
    <w:p w14:paraId="11357BB6" w14:textId="0EAFA887" w:rsidR="00410BAE" w:rsidRDefault="00410BAE" w:rsidP="006E1417">
      <w:pPr>
        <w:rPr>
          <w:lang w:val="en-AU"/>
        </w:rPr>
      </w:pPr>
      <w:r w:rsidRPr="00410BAE">
        <w:rPr>
          <w:lang w:val="en-AU"/>
        </w:rPr>
        <w:t>Prescribers should consider available information</w:t>
      </w:r>
      <w:r w:rsidR="00D82153">
        <w:rPr>
          <w:lang w:val="en-AU"/>
        </w:rPr>
        <w:t xml:space="preserve"> from the WHO and/or local government websites</w:t>
      </w:r>
      <w:r w:rsidRPr="00410BAE">
        <w:rPr>
          <w:lang w:val="en-AU"/>
        </w:rPr>
        <w:t xml:space="preserve"> on influenza drug susceptibility patterns and treatment effects when deciding whether to use Xofluza.</w:t>
      </w:r>
    </w:p>
    <w:p w14:paraId="42A079F9" w14:textId="77777777" w:rsidR="006E1417" w:rsidRPr="006E1417" w:rsidRDefault="006E1417" w:rsidP="006E1417">
      <w:pPr>
        <w:pStyle w:val="Heading5"/>
        <w:rPr>
          <w:lang w:val="en-AU"/>
        </w:rPr>
      </w:pPr>
      <w:r w:rsidRPr="006E1417">
        <w:rPr>
          <w:lang w:val="en-AU"/>
        </w:rPr>
        <w:t>Cross Resistance</w:t>
      </w:r>
    </w:p>
    <w:p w14:paraId="433FE438" w14:textId="0F64FACE" w:rsidR="006E1417" w:rsidRPr="00D343C9" w:rsidRDefault="006E1417" w:rsidP="006E1417">
      <w:pPr>
        <w:rPr>
          <w:lang w:val="en-AU"/>
        </w:rPr>
      </w:pPr>
      <w:r w:rsidRPr="006E1417">
        <w:rPr>
          <w:lang w:val="en-AU"/>
        </w:rPr>
        <w:t xml:space="preserve">No single amino acid substitution has been identified that could confer cross-resistance between baloxavir and neuraminidase inhibitors (e.g., </w:t>
      </w:r>
      <w:proofErr w:type="spellStart"/>
      <w:r w:rsidRPr="006E1417">
        <w:rPr>
          <w:lang w:val="en-AU"/>
        </w:rPr>
        <w:t>peramivir</w:t>
      </w:r>
      <w:proofErr w:type="spellEnd"/>
      <w:r w:rsidRPr="006E1417">
        <w:rPr>
          <w:lang w:val="en-AU"/>
        </w:rPr>
        <w:t xml:space="preserve">, </w:t>
      </w:r>
      <w:proofErr w:type="spellStart"/>
      <w:r w:rsidRPr="006E1417">
        <w:rPr>
          <w:lang w:val="en-AU"/>
        </w:rPr>
        <w:t>oseltamivir</w:t>
      </w:r>
      <w:proofErr w:type="spellEnd"/>
      <w:r w:rsidRPr="006E1417">
        <w:rPr>
          <w:lang w:val="en-AU"/>
        </w:rPr>
        <w:t xml:space="preserve">, </w:t>
      </w:r>
      <w:proofErr w:type="spellStart"/>
      <w:r w:rsidRPr="006E1417">
        <w:rPr>
          <w:lang w:val="en-AU"/>
        </w:rPr>
        <w:t>zanamivir</w:t>
      </w:r>
      <w:proofErr w:type="spellEnd"/>
      <w:r w:rsidRPr="006E1417">
        <w:rPr>
          <w:lang w:val="en-AU"/>
        </w:rPr>
        <w:t>). However, a virus may carry amino acid substitutions associated with reduced susceptibility to baloxavir in the PA protein and to neuraminidase inhibitors in the neuraminidase and may therefore exhibit reduced susceptibility to both classes of inhibitors. The clinical relevance of phenotypic cross resistance evaluations has not been established.</w:t>
      </w:r>
    </w:p>
    <w:p w14:paraId="6363FCA6" w14:textId="195DCAC3" w:rsidR="00D52399" w:rsidRDefault="00615052" w:rsidP="006E1417">
      <w:pPr>
        <w:pStyle w:val="Heading4"/>
      </w:pPr>
      <w:r>
        <w:t>Pharmacodynamic effect</w:t>
      </w:r>
      <w:r w:rsidR="006E1417">
        <w:t>s</w:t>
      </w:r>
    </w:p>
    <w:p w14:paraId="4B4AD318" w14:textId="77777777" w:rsidR="00717106" w:rsidRDefault="00717106" w:rsidP="00717106"/>
    <w:p w14:paraId="2D097B26" w14:textId="0470D655" w:rsidR="006E1417" w:rsidRPr="006E1417" w:rsidRDefault="00717106" w:rsidP="00717106">
      <w:pPr>
        <w:rPr>
          <w:lang w:val="en-AU"/>
        </w:rPr>
      </w:pPr>
      <w:r>
        <w:t xml:space="preserve">At twice the expected exposure from recommended dosing, </w:t>
      </w:r>
      <w:r w:rsidR="002F0E1A">
        <w:t>Xofluza</w:t>
      </w:r>
      <w:r>
        <w:t xml:space="preserve"> did not prolong the </w:t>
      </w:r>
      <w:proofErr w:type="spellStart"/>
      <w:r>
        <w:t>QTc</w:t>
      </w:r>
      <w:proofErr w:type="spellEnd"/>
      <w:r>
        <w:t xml:space="preserve"> interval.</w:t>
      </w:r>
    </w:p>
    <w:p w14:paraId="73372559" w14:textId="77777777" w:rsidR="00D52399" w:rsidRPr="002A6A3C" w:rsidRDefault="00615052" w:rsidP="001D0A17">
      <w:pPr>
        <w:pStyle w:val="Heading3"/>
        <w:keepNext/>
      </w:pPr>
      <w:r w:rsidRPr="002A6A3C">
        <w:t xml:space="preserve">Clinical </w:t>
      </w:r>
      <w:r w:rsidR="00594C19" w:rsidRPr="002A6A3C">
        <w:t>trials</w:t>
      </w:r>
    </w:p>
    <w:p w14:paraId="40B04711" w14:textId="77777777" w:rsidR="00437DBA" w:rsidRDefault="00437DBA" w:rsidP="00437DBA"/>
    <w:p w14:paraId="32E42A1B" w14:textId="065331F5" w:rsidR="008C3A9E" w:rsidRDefault="008C3A9E" w:rsidP="00437DBA">
      <w:r>
        <w:t xml:space="preserve">Clinical trials </w:t>
      </w:r>
      <w:r w:rsidR="00A975B6">
        <w:t>for</w:t>
      </w:r>
      <w:r>
        <w:t xml:space="preserve"> the approved indication of treatment of patients with uncomplicated influenza are described in this section. Prophylaxis of influenza is outside the scope of the current indication. </w:t>
      </w:r>
    </w:p>
    <w:p w14:paraId="02CE277E" w14:textId="79364AE5" w:rsidR="0027576D" w:rsidRDefault="0027576D" w:rsidP="001D0A17">
      <w:pPr>
        <w:pStyle w:val="Heading4"/>
        <w:keepNext/>
      </w:pPr>
      <w:r w:rsidRPr="0027576D">
        <w:lastRenderedPageBreak/>
        <w:t xml:space="preserve">Clinical </w:t>
      </w:r>
      <w:r w:rsidR="00964DFF">
        <w:t>trials</w:t>
      </w:r>
      <w:r w:rsidRPr="0027576D">
        <w:t xml:space="preserve"> in </w:t>
      </w:r>
      <w:r w:rsidR="00E103FD">
        <w:t>Otherwise H</w:t>
      </w:r>
      <w:r w:rsidR="001D0A17" w:rsidRPr="001D0A17">
        <w:t>ealthy patients</w:t>
      </w:r>
    </w:p>
    <w:p w14:paraId="35C34625" w14:textId="7BDDC859" w:rsidR="0027576D" w:rsidRDefault="001D0A17" w:rsidP="001D0A17">
      <w:pPr>
        <w:pStyle w:val="Heading5"/>
        <w:keepNext/>
      </w:pPr>
      <w:r>
        <w:t>CAPSTONE-1 (Study</w:t>
      </w:r>
      <w:r w:rsidRPr="001D0A17">
        <w:t xml:space="preserve"> 1601T0831</w:t>
      </w:r>
      <w:r>
        <w:t>)</w:t>
      </w:r>
    </w:p>
    <w:p w14:paraId="70F7C226" w14:textId="13C22846" w:rsidR="001D0A17" w:rsidRDefault="001D0A17" w:rsidP="001D0A17">
      <w:r>
        <w:t xml:space="preserve">CAPSTONE-1 is a randomised, double-blind, multicentre, placebo- and active-controlled study designed to evaluate the efficacy and safety of a single oral dose of </w:t>
      </w:r>
      <w:r w:rsidR="002F0E1A">
        <w:t>Xofluza</w:t>
      </w:r>
      <w:r>
        <w:t xml:space="preserve"> compared with placebo or </w:t>
      </w:r>
      <w:proofErr w:type="spellStart"/>
      <w:r>
        <w:t>oseltamivir</w:t>
      </w:r>
      <w:proofErr w:type="spellEnd"/>
      <w:r>
        <w:t xml:space="preserve"> in otherwise healthy adult </w:t>
      </w:r>
      <w:r w:rsidR="00636279">
        <w:t>and adolescent patients (aged ≥ 12 </w:t>
      </w:r>
      <w:r>
        <w:t xml:space="preserve">years to ≤ 64 years) with influenza. </w:t>
      </w:r>
      <w:r w:rsidR="00B274AF">
        <w:t>Patients infected with human immunodeficiency virus (HIV) or with cancer were not enrolled in this study.</w:t>
      </w:r>
    </w:p>
    <w:p w14:paraId="63A63817" w14:textId="77777777" w:rsidR="001D0A17" w:rsidRDefault="001D0A17" w:rsidP="001D0A17"/>
    <w:p w14:paraId="13260C8C" w14:textId="1E7766FA" w:rsidR="00F401EB" w:rsidRDefault="001D0A17" w:rsidP="001D0A17">
      <w:r>
        <w:t xml:space="preserve">A total of 1436 patients were randomised to receive treatment in the 2016-2017 Northern Hemisphere influenza season. Patients were randomised to receive 40 mg or 80 mg of </w:t>
      </w:r>
      <w:r w:rsidR="002F0E1A">
        <w:t>Xofluza</w:t>
      </w:r>
      <w:r>
        <w:t xml:space="preserve"> according to weight (&lt; 80</w:t>
      </w:r>
      <w:r w:rsidR="00040F3F">
        <w:t> </w:t>
      </w:r>
      <w:r>
        <w:t>kg or ≥ 80</w:t>
      </w:r>
      <w:r w:rsidR="00040F3F">
        <w:t> </w:t>
      </w:r>
      <w:r>
        <w:t xml:space="preserve">kg respectively), </w:t>
      </w:r>
      <w:proofErr w:type="spellStart"/>
      <w:r>
        <w:t>oseltamivir</w:t>
      </w:r>
      <w:proofErr w:type="spellEnd"/>
      <w:r>
        <w:t xml:space="preserve"> 75 mg twice daily for 5 days (if aged &gt; 20 years) or placebo.</w:t>
      </w:r>
      <w:r w:rsidR="00F401EB">
        <w:t xml:space="preserve"> </w:t>
      </w:r>
      <w:r w:rsidR="00F401EB" w:rsidRPr="00F401EB">
        <w:t xml:space="preserve">The primary efficacy population was defined as those who received study medication and had a positive influenza </w:t>
      </w:r>
      <w:r w:rsidR="0086513E">
        <w:t>r</w:t>
      </w:r>
      <w:r w:rsidR="0086513E" w:rsidRPr="0086513E">
        <w:t>everse transcription polymerase chain reaction</w:t>
      </w:r>
      <w:r w:rsidR="0086513E">
        <w:t xml:space="preserve"> (</w:t>
      </w:r>
      <w:r w:rsidR="00F401EB" w:rsidRPr="00F401EB">
        <w:t>RT-PCR</w:t>
      </w:r>
      <w:r w:rsidR="0086513E">
        <w:t>) result</w:t>
      </w:r>
      <w:r w:rsidR="00F401EB" w:rsidRPr="00F401EB">
        <w:t xml:space="preserve"> at trial entry.</w:t>
      </w:r>
      <w:r>
        <w:t xml:space="preserve"> </w:t>
      </w:r>
    </w:p>
    <w:p w14:paraId="4BD6DF64" w14:textId="77777777" w:rsidR="00F401EB" w:rsidRDefault="00F401EB" w:rsidP="001D0A17"/>
    <w:p w14:paraId="065BEDE7" w14:textId="0956A81D" w:rsidR="001D0A17" w:rsidRDefault="001D0A17" w:rsidP="001D0A17">
      <w:r>
        <w:t xml:space="preserve">The predominant influenza virus strain in this study was the A/H3 subtype (84.8% to 88.1%) followed by the B type (8.3% to 9.0%) and the A/H1N1pdm subtype (0.5% to 3.0%). The primary efficacy endpoint was time to alleviation of symptoms (cough, sore throat, headache, nasal congestion, feverishness or chills, muscle or joint pain, and fatigue). A statistically significant and clinically meaningful improvement in the primary endpoint was seen for </w:t>
      </w:r>
      <w:r w:rsidR="002F0E1A">
        <w:t>Xofluza</w:t>
      </w:r>
      <w:r>
        <w:t xml:space="preserve"> when compared with placebo </w:t>
      </w:r>
      <w:r w:rsidR="00E103FD">
        <w:t>(</w:t>
      </w:r>
      <w:r w:rsidR="004E486E">
        <w:t xml:space="preserve">Table </w:t>
      </w:r>
      <w:r w:rsidR="0031430F">
        <w:t>3</w:t>
      </w:r>
      <w:r w:rsidR="00E103FD">
        <w:t>)</w:t>
      </w:r>
      <w:r>
        <w:t>.</w:t>
      </w:r>
    </w:p>
    <w:p w14:paraId="2285A19D" w14:textId="5C7C2432" w:rsidR="00E103FD" w:rsidRPr="00B41F0E" w:rsidRDefault="00E103FD" w:rsidP="00E103FD">
      <w:pPr>
        <w:pStyle w:val="Tableheading"/>
      </w:pPr>
      <w:r>
        <w:t xml:space="preserve">Table </w:t>
      </w:r>
      <w:r w:rsidR="0031430F">
        <w:t>3</w:t>
      </w:r>
      <w:r w:rsidRPr="00B41F0E">
        <w:tab/>
      </w:r>
      <w:r w:rsidR="001D0931">
        <w:t xml:space="preserve">Primary efficacy endpoint: </w:t>
      </w:r>
      <w:r>
        <w:t>Time to alleviation of s</w:t>
      </w:r>
      <w:r w:rsidRPr="00E103FD">
        <w:t xml:space="preserve">ymptoms in Otherwise Healthy </w:t>
      </w:r>
      <w:r>
        <w:t>p</w:t>
      </w:r>
      <w:r w:rsidRPr="00E103FD">
        <w:t xml:space="preserve">atients with </w:t>
      </w:r>
      <w:r>
        <w:t>i</w:t>
      </w:r>
      <w:r w:rsidRPr="00E103FD">
        <w:t>nfluenza (</w:t>
      </w:r>
      <w:r w:rsidR="002F0E1A">
        <w:t>Xofluza</w:t>
      </w:r>
      <w:r w:rsidRPr="00E103FD">
        <w:t xml:space="preserve"> vs Placebo)</w:t>
      </w:r>
    </w:p>
    <w:tbl>
      <w:tblPr>
        <w:tblStyle w:val="TableGrid"/>
        <w:tblW w:w="0" w:type="auto"/>
        <w:tblLook w:val="04A0" w:firstRow="1" w:lastRow="0" w:firstColumn="1" w:lastColumn="0" w:noHBand="0" w:noVBand="1"/>
      </w:tblPr>
      <w:tblGrid>
        <w:gridCol w:w="2265"/>
        <w:gridCol w:w="2265"/>
        <w:gridCol w:w="2836"/>
        <w:gridCol w:w="1694"/>
      </w:tblGrid>
      <w:tr w:rsidR="00F55867" w:rsidRPr="00F55867" w14:paraId="15F97F4A" w14:textId="77777777" w:rsidTr="009A096F">
        <w:tc>
          <w:tcPr>
            <w:tcW w:w="9060" w:type="dxa"/>
            <w:gridSpan w:val="4"/>
          </w:tcPr>
          <w:p w14:paraId="3D984771" w14:textId="60697902" w:rsidR="00F55867" w:rsidRPr="00F55867" w:rsidRDefault="00106E7C"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Median</w:t>
            </w:r>
            <w:r w:rsidRPr="00F55867">
              <w:rPr>
                <w:sz w:val="22"/>
                <w:lang w:val="en-AU"/>
              </w:rPr>
              <w:t xml:space="preserve"> </w:t>
            </w:r>
            <w:r w:rsidR="00F55867" w:rsidRPr="00F55867">
              <w:rPr>
                <w:sz w:val="22"/>
                <w:lang w:val="en-AU"/>
              </w:rPr>
              <w:t xml:space="preserve">Time to </w:t>
            </w:r>
            <w:r w:rsidR="00F55867">
              <w:rPr>
                <w:sz w:val="22"/>
                <w:lang w:val="en-AU"/>
              </w:rPr>
              <w:t>Alleviation of Symptoms (</w:t>
            </w:r>
            <w:r>
              <w:rPr>
                <w:sz w:val="22"/>
                <w:lang w:val="en-AU"/>
              </w:rPr>
              <w:t>Hours</w:t>
            </w:r>
            <w:r w:rsidR="00F55867">
              <w:rPr>
                <w:sz w:val="22"/>
                <w:lang w:val="en-AU"/>
              </w:rPr>
              <w:t>)</w:t>
            </w:r>
          </w:p>
        </w:tc>
      </w:tr>
      <w:tr w:rsidR="00F55867" w:rsidRPr="00F55867" w14:paraId="21236FD0" w14:textId="77777777" w:rsidTr="00F55867">
        <w:tc>
          <w:tcPr>
            <w:tcW w:w="2265" w:type="dxa"/>
          </w:tcPr>
          <w:p w14:paraId="1F94E711" w14:textId="4DA13E74" w:rsidR="00F55867" w:rsidRPr="00F55867" w:rsidRDefault="002F0E1A" w:rsidP="00F55867">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Xofluza</w:t>
            </w:r>
            <w:r w:rsidR="00F55867" w:rsidRPr="00F55867">
              <w:rPr>
                <w:sz w:val="22"/>
                <w:lang w:val="en-AU"/>
              </w:rPr>
              <w:t xml:space="preserve"> 40/80 mg</w:t>
            </w:r>
            <w:r w:rsidR="00CE00B1" w:rsidRPr="00CE00B1">
              <w:rPr>
                <w:sz w:val="22"/>
                <w:vertAlign w:val="superscript"/>
                <w:lang w:val="en-AU"/>
              </w:rPr>
              <w:t>1</w:t>
            </w:r>
            <w:r w:rsidR="00F55867">
              <w:rPr>
                <w:sz w:val="22"/>
                <w:lang w:val="en-AU"/>
              </w:rPr>
              <w:br/>
            </w:r>
            <w:r w:rsidR="00F55867" w:rsidRPr="00F55867">
              <w:rPr>
                <w:sz w:val="22"/>
                <w:lang w:val="en-AU"/>
              </w:rPr>
              <w:t xml:space="preserve"> (95% CI)</w:t>
            </w:r>
            <w:r w:rsidR="00F55867">
              <w:rPr>
                <w:sz w:val="22"/>
                <w:lang w:val="en-AU"/>
              </w:rPr>
              <w:br/>
            </w:r>
            <w:r w:rsidR="00F55867" w:rsidRPr="00F55867">
              <w:rPr>
                <w:sz w:val="22"/>
                <w:lang w:val="en-AU"/>
              </w:rPr>
              <w:t>N=455</w:t>
            </w:r>
          </w:p>
        </w:tc>
        <w:tc>
          <w:tcPr>
            <w:tcW w:w="2265" w:type="dxa"/>
          </w:tcPr>
          <w:p w14:paraId="2E713EF5" w14:textId="65A5D35D" w:rsidR="00F55867" w:rsidRPr="00F55867" w:rsidRDefault="00F55867" w:rsidP="00F55867">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F55867">
              <w:rPr>
                <w:sz w:val="22"/>
                <w:lang w:val="en-AU"/>
              </w:rPr>
              <w:t>Placebo</w:t>
            </w:r>
            <w:r>
              <w:rPr>
                <w:sz w:val="22"/>
                <w:lang w:val="en-AU"/>
              </w:rPr>
              <w:br/>
            </w:r>
            <w:r w:rsidRPr="00F55867">
              <w:rPr>
                <w:sz w:val="22"/>
                <w:lang w:val="en-AU"/>
              </w:rPr>
              <w:t xml:space="preserve"> (95% CI)</w:t>
            </w:r>
            <w:r>
              <w:rPr>
                <w:sz w:val="22"/>
                <w:lang w:val="en-AU"/>
              </w:rPr>
              <w:br/>
            </w:r>
            <w:r w:rsidRPr="00F55867">
              <w:rPr>
                <w:sz w:val="22"/>
                <w:lang w:val="en-AU"/>
              </w:rPr>
              <w:t>N=230</w:t>
            </w:r>
          </w:p>
        </w:tc>
        <w:tc>
          <w:tcPr>
            <w:tcW w:w="2836" w:type="dxa"/>
          </w:tcPr>
          <w:p w14:paraId="4989174B" w14:textId="517CE222" w:rsidR="00F55867" w:rsidRPr="00F55867" w:rsidRDefault="00F55867" w:rsidP="00F55867">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F55867">
              <w:rPr>
                <w:sz w:val="22"/>
                <w:lang w:val="en-AU"/>
              </w:rPr>
              <w:t xml:space="preserve">Difference between </w:t>
            </w:r>
            <w:r w:rsidR="002F0E1A">
              <w:rPr>
                <w:sz w:val="22"/>
                <w:lang w:val="en-AU"/>
              </w:rPr>
              <w:t>Xofluza</w:t>
            </w:r>
            <w:r w:rsidRPr="00F55867">
              <w:rPr>
                <w:sz w:val="22"/>
                <w:lang w:val="en-AU"/>
              </w:rPr>
              <w:t xml:space="preserve"> and placebo</w:t>
            </w:r>
            <w:r>
              <w:rPr>
                <w:sz w:val="22"/>
                <w:lang w:val="en-AU"/>
              </w:rPr>
              <w:br/>
            </w:r>
            <w:r w:rsidRPr="00F55867">
              <w:rPr>
                <w:sz w:val="22"/>
                <w:lang w:val="en-AU"/>
              </w:rPr>
              <w:t>(95% CI for difference)</w:t>
            </w:r>
          </w:p>
        </w:tc>
        <w:tc>
          <w:tcPr>
            <w:tcW w:w="1694" w:type="dxa"/>
          </w:tcPr>
          <w:p w14:paraId="2B4F6D5E" w14:textId="086DF656" w:rsidR="00F55867" w:rsidRPr="00F55867" w:rsidRDefault="00F55867" w:rsidP="00F55867">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P-value</w:t>
            </w:r>
            <w:r w:rsidR="00CE00B1" w:rsidRPr="00CE00B1">
              <w:rPr>
                <w:sz w:val="22"/>
                <w:vertAlign w:val="superscript"/>
                <w:lang w:val="en-AU"/>
              </w:rPr>
              <w:t>2</w:t>
            </w:r>
          </w:p>
        </w:tc>
      </w:tr>
      <w:tr w:rsidR="00F55867" w:rsidRPr="00F55867" w14:paraId="526E91EC" w14:textId="77777777" w:rsidTr="00F55867">
        <w:tc>
          <w:tcPr>
            <w:tcW w:w="2265" w:type="dxa"/>
          </w:tcPr>
          <w:p w14:paraId="75D51AB6" w14:textId="4AB6CA60" w:rsidR="00F55867" w:rsidRPr="00F55867" w:rsidRDefault="00106E7C"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53.7</w:t>
            </w:r>
            <w:r w:rsidR="00F55867">
              <w:rPr>
                <w:sz w:val="22"/>
                <w:lang w:val="en-AU"/>
              </w:rPr>
              <w:br/>
            </w:r>
            <w:r w:rsidR="00F55867" w:rsidRPr="00F55867">
              <w:rPr>
                <w:sz w:val="22"/>
                <w:lang w:val="en-AU"/>
              </w:rPr>
              <w:t>(49.5, 58.5)</w:t>
            </w:r>
          </w:p>
        </w:tc>
        <w:tc>
          <w:tcPr>
            <w:tcW w:w="2265" w:type="dxa"/>
          </w:tcPr>
          <w:p w14:paraId="0B6E9D20" w14:textId="2F45B29C" w:rsidR="00F55867" w:rsidRPr="00F55867" w:rsidRDefault="00106E7C"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80.2</w:t>
            </w:r>
            <w:r w:rsidR="00F55867">
              <w:rPr>
                <w:sz w:val="22"/>
                <w:lang w:val="en-AU"/>
              </w:rPr>
              <w:br/>
            </w:r>
            <w:r w:rsidR="00F55867" w:rsidRPr="00F55867">
              <w:rPr>
                <w:sz w:val="22"/>
                <w:lang w:val="en-AU"/>
              </w:rPr>
              <w:t>(72.6, 87.1)</w:t>
            </w:r>
          </w:p>
        </w:tc>
        <w:tc>
          <w:tcPr>
            <w:tcW w:w="2836" w:type="dxa"/>
          </w:tcPr>
          <w:p w14:paraId="2D8E997C" w14:textId="68B61C2E" w:rsidR="00F55867" w:rsidRPr="00F55867" w:rsidRDefault="00F55867"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F55867">
              <w:rPr>
                <w:sz w:val="22"/>
                <w:lang w:val="en-AU"/>
              </w:rPr>
              <w:t>-26.5</w:t>
            </w:r>
            <w:r>
              <w:rPr>
                <w:sz w:val="22"/>
                <w:lang w:val="en-AU"/>
              </w:rPr>
              <w:br/>
            </w:r>
            <w:r w:rsidRPr="00F55867">
              <w:rPr>
                <w:sz w:val="22"/>
                <w:lang w:val="en-AU"/>
              </w:rPr>
              <w:t>(−35.8, −17.8)</w:t>
            </w:r>
          </w:p>
        </w:tc>
        <w:tc>
          <w:tcPr>
            <w:tcW w:w="1694" w:type="dxa"/>
          </w:tcPr>
          <w:p w14:paraId="52A3011D" w14:textId="49FB75D1" w:rsidR="00F55867" w:rsidRDefault="00F55867" w:rsidP="00F55867">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F55867">
              <w:rPr>
                <w:sz w:val="22"/>
                <w:lang w:val="en-AU"/>
              </w:rPr>
              <w:t>&lt; 0.0001</w:t>
            </w:r>
          </w:p>
        </w:tc>
      </w:tr>
    </w:tbl>
    <w:p w14:paraId="7040F36B" w14:textId="33F236A1" w:rsidR="00F55867" w:rsidRPr="00F55867" w:rsidRDefault="00CE00B1" w:rsidP="00CE00B1">
      <w:pPr>
        <w:spacing w:before="40"/>
      </w:pPr>
      <w:r>
        <w:rPr>
          <w:sz w:val="22"/>
          <w:lang w:val="en-AU"/>
        </w:rPr>
        <w:t>CI = confidence interval</w:t>
      </w:r>
      <w:r w:rsidRPr="00CE00B1">
        <w:rPr>
          <w:sz w:val="22"/>
          <w:vertAlign w:val="superscript"/>
          <w:lang w:val="en-AU"/>
        </w:rPr>
        <w:t xml:space="preserve"> </w:t>
      </w:r>
      <w:r>
        <w:rPr>
          <w:sz w:val="22"/>
          <w:vertAlign w:val="superscript"/>
          <w:lang w:val="en-AU"/>
        </w:rPr>
        <w:br/>
      </w:r>
      <w:r w:rsidRPr="00CE00B1">
        <w:rPr>
          <w:sz w:val="22"/>
          <w:vertAlign w:val="superscript"/>
          <w:lang w:val="en-AU"/>
        </w:rPr>
        <w:t>1</w:t>
      </w:r>
      <w:r>
        <w:rPr>
          <w:sz w:val="22"/>
          <w:lang w:val="en-AU"/>
        </w:rPr>
        <w:t xml:space="preserve"> </w:t>
      </w:r>
      <w:r w:rsidRPr="00CE00B1">
        <w:rPr>
          <w:sz w:val="22"/>
          <w:lang w:val="en-AU"/>
        </w:rPr>
        <w:t xml:space="preserve">Dosing was based on weight. </w:t>
      </w:r>
      <w:r>
        <w:rPr>
          <w:sz w:val="22"/>
          <w:lang w:val="en-AU"/>
        </w:rPr>
        <w:t>Patients</w:t>
      </w:r>
      <w:r w:rsidRPr="00CE00B1">
        <w:rPr>
          <w:sz w:val="22"/>
          <w:lang w:val="en-AU"/>
        </w:rPr>
        <w:t xml:space="preserve"> weighing &lt; 80 kg received a single 40 mg dose and </w:t>
      </w:r>
      <w:r>
        <w:rPr>
          <w:sz w:val="22"/>
          <w:lang w:val="en-AU"/>
        </w:rPr>
        <w:t>patients ≥ </w:t>
      </w:r>
      <w:r w:rsidRPr="00CE00B1">
        <w:rPr>
          <w:sz w:val="22"/>
          <w:lang w:val="en-AU"/>
        </w:rPr>
        <w:t xml:space="preserve">80 </w:t>
      </w:r>
      <w:r>
        <w:rPr>
          <w:sz w:val="22"/>
          <w:lang w:val="en-AU"/>
        </w:rPr>
        <w:t>kg received a single 80 mg dose</w:t>
      </w:r>
      <w:r>
        <w:rPr>
          <w:sz w:val="22"/>
          <w:lang w:val="en-AU"/>
        </w:rPr>
        <w:br/>
      </w:r>
      <w:r w:rsidRPr="00DD5662">
        <w:rPr>
          <w:sz w:val="22"/>
          <w:vertAlign w:val="superscript"/>
          <w:lang w:val="en-AU"/>
        </w:rPr>
        <w:t>2</w:t>
      </w:r>
      <w:r>
        <w:rPr>
          <w:sz w:val="22"/>
          <w:lang w:val="en-AU"/>
        </w:rPr>
        <w:t xml:space="preserve"> </w:t>
      </w:r>
      <w:r w:rsidRPr="00CE00B1">
        <w:rPr>
          <w:sz w:val="22"/>
          <w:lang w:val="en-AU"/>
        </w:rPr>
        <w:t>P-values b</w:t>
      </w:r>
      <w:r>
        <w:rPr>
          <w:sz w:val="22"/>
          <w:lang w:val="en-AU"/>
        </w:rPr>
        <w:t>ased on the stratified generalis</w:t>
      </w:r>
      <w:r w:rsidRPr="00CE00B1">
        <w:rPr>
          <w:sz w:val="22"/>
          <w:lang w:val="en-AU"/>
        </w:rPr>
        <w:t>ed Wilcoxon test. Stratification factors: composite symptom scores at baseline and region</w:t>
      </w:r>
      <w:r>
        <w:rPr>
          <w:sz w:val="22"/>
          <w:lang w:val="en-AU"/>
        </w:rPr>
        <w:br/>
      </w:r>
    </w:p>
    <w:p w14:paraId="28F93996" w14:textId="3D5F7020" w:rsidR="001D0931" w:rsidRDefault="001D0931" w:rsidP="001D0931">
      <w:pPr>
        <w:keepNext/>
      </w:pPr>
      <w:r>
        <w:t>Secondary efficacy endpoints</w:t>
      </w:r>
    </w:p>
    <w:p w14:paraId="115D4176" w14:textId="77777777" w:rsidR="001D0931" w:rsidRDefault="001D0931" w:rsidP="001D0931">
      <w:pPr>
        <w:keepNext/>
      </w:pPr>
    </w:p>
    <w:p w14:paraId="2A9B21DB" w14:textId="21856CD4" w:rsidR="00F55867" w:rsidRDefault="00F55867" w:rsidP="00F55867">
      <w:r w:rsidRPr="00F55867">
        <w:t xml:space="preserve">When the </w:t>
      </w:r>
      <w:r w:rsidR="002F0E1A">
        <w:t>Xofluza</w:t>
      </w:r>
      <w:r w:rsidRPr="00F55867">
        <w:t xml:space="preserve"> group was compared to the </w:t>
      </w:r>
      <w:proofErr w:type="spellStart"/>
      <w:r w:rsidRPr="00F55867">
        <w:t>oseltamivir</w:t>
      </w:r>
      <w:proofErr w:type="spellEnd"/>
      <w:r w:rsidRPr="00F55867">
        <w:t xml:space="preserve"> group, there was no statistically significant difference in time to</w:t>
      </w:r>
      <w:r>
        <w:t xml:space="preserve"> alleviation of symptoms (53.5 h</w:t>
      </w:r>
      <w:r w:rsidRPr="00F55867">
        <w:t xml:space="preserve"> vs 53.8 h respectively)</w:t>
      </w:r>
      <w:r>
        <w:t xml:space="preserve"> (Table </w:t>
      </w:r>
      <w:r w:rsidR="0031430F">
        <w:t>4</w:t>
      </w:r>
      <w:r>
        <w:t>).</w:t>
      </w:r>
    </w:p>
    <w:p w14:paraId="6BEE967D" w14:textId="16ACD29E" w:rsidR="00F55867" w:rsidRPr="00F55867" w:rsidRDefault="004E486E" w:rsidP="004E486E">
      <w:pPr>
        <w:pStyle w:val="Tableheading"/>
      </w:pPr>
      <w:r>
        <w:lastRenderedPageBreak/>
        <w:t xml:space="preserve">Table </w:t>
      </w:r>
      <w:r w:rsidR="0031430F">
        <w:t>4</w:t>
      </w:r>
      <w:r w:rsidR="00F55867" w:rsidRPr="00B41F0E">
        <w:tab/>
      </w:r>
      <w:r w:rsidR="00F55867" w:rsidRPr="00F55867">
        <w:t xml:space="preserve">Time to </w:t>
      </w:r>
      <w:r w:rsidR="00F55867">
        <w:t>a</w:t>
      </w:r>
      <w:r w:rsidR="00F55867" w:rsidRPr="00F55867">
        <w:t xml:space="preserve">lleviation of </w:t>
      </w:r>
      <w:r w:rsidR="00F55867">
        <w:t>s</w:t>
      </w:r>
      <w:r w:rsidR="00F55867" w:rsidRPr="00F55867">
        <w:t xml:space="preserve">ymptoms in Otherwise Healthy </w:t>
      </w:r>
      <w:r w:rsidR="00F55867">
        <w:t>p</w:t>
      </w:r>
      <w:r w:rsidR="00F55867" w:rsidRPr="00F55867">
        <w:t>atients</w:t>
      </w:r>
      <w:r w:rsidR="00F55867">
        <w:t xml:space="preserve"> </w:t>
      </w:r>
      <w:r w:rsidR="00F55867" w:rsidRPr="00F55867">
        <w:t>(≥</w:t>
      </w:r>
      <w:r w:rsidR="00F55867">
        <w:t xml:space="preserve"> 20 years of age)</w:t>
      </w:r>
      <w:r w:rsidR="00F55867" w:rsidRPr="00F55867">
        <w:t xml:space="preserve"> with </w:t>
      </w:r>
      <w:r w:rsidR="00F55867">
        <w:t>i</w:t>
      </w:r>
      <w:r w:rsidR="00F55867" w:rsidRPr="00F55867">
        <w:t xml:space="preserve">nfluenza </w:t>
      </w:r>
      <w:r w:rsidR="00F55867">
        <w:t>(</w:t>
      </w:r>
      <w:r w:rsidR="002F0E1A">
        <w:t>Xofluza</w:t>
      </w:r>
      <w:r w:rsidR="00F55867">
        <w:t xml:space="preserve"> vs </w:t>
      </w:r>
      <w:proofErr w:type="spellStart"/>
      <w:r w:rsidR="00F55867">
        <w:t>o</w:t>
      </w:r>
      <w:r w:rsidR="00F55867" w:rsidRPr="00F55867">
        <w:t>seltamivir</w:t>
      </w:r>
      <w:proofErr w:type="spellEnd"/>
      <w:r w:rsidR="00F55867" w:rsidRPr="00F55867">
        <w:t>)</w:t>
      </w:r>
    </w:p>
    <w:tbl>
      <w:tblPr>
        <w:tblStyle w:val="TableGrid"/>
        <w:tblW w:w="0" w:type="auto"/>
        <w:tblLook w:val="04A0" w:firstRow="1" w:lastRow="0" w:firstColumn="1" w:lastColumn="0" w:noHBand="0" w:noVBand="1"/>
      </w:tblPr>
      <w:tblGrid>
        <w:gridCol w:w="2265"/>
        <w:gridCol w:w="2265"/>
        <w:gridCol w:w="2836"/>
        <w:gridCol w:w="1694"/>
      </w:tblGrid>
      <w:tr w:rsidR="009856B7" w:rsidRPr="00F55867" w14:paraId="0B597B62" w14:textId="77777777" w:rsidTr="009A096F">
        <w:tc>
          <w:tcPr>
            <w:tcW w:w="9060" w:type="dxa"/>
            <w:gridSpan w:val="4"/>
          </w:tcPr>
          <w:p w14:paraId="77B8E5EC" w14:textId="3B8E40D9" w:rsidR="009856B7" w:rsidRPr="00F55867" w:rsidRDefault="00106E7C" w:rsidP="004E486E">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Median</w:t>
            </w:r>
            <w:r w:rsidRPr="00F55867">
              <w:rPr>
                <w:sz w:val="22"/>
                <w:lang w:val="en-AU"/>
              </w:rPr>
              <w:t xml:space="preserve"> </w:t>
            </w:r>
            <w:r w:rsidR="009856B7" w:rsidRPr="00F55867">
              <w:rPr>
                <w:sz w:val="22"/>
                <w:lang w:val="en-AU"/>
              </w:rPr>
              <w:t xml:space="preserve">Time to </w:t>
            </w:r>
            <w:r w:rsidR="009856B7">
              <w:rPr>
                <w:sz w:val="22"/>
                <w:lang w:val="en-AU"/>
              </w:rPr>
              <w:t>Alleviation of Symptoms (</w:t>
            </w:r>
            <w:r>
              <w:rPr>
                <w:sz w:val="22"/>
                <w:lang w:val="en-AU"/>
              </w:rPr>
              <w:t>hours</w:t>
            </w:r>
            <w:r w:rsidR="009856B7">
              <w:rPr>
                <w:sz w:val="22"/>
                <w:lang w:val="en-AU"/>
              </w:rPr>
              <w:t>)</w:t>
            </w:r>
          </w:p>
        </w:tc>
      </w:tr>
      <w:tr w:rsidR="009856B7" w:rsidRPr="00F55867" w14:paraId="7BCF79A5" w14:textId="77777777" w:rsidTr="009A096F">
        <w:tc>
          <w:tcPr>
            <w:tcW w:w="2265" w:type="dxa"/>
          </w:tcPr>
          <w:p w14:paraId="02DF20C4" w14:textId="34BED036" w:rsidR="009856B7" w:rsidRPr="00F55867" w:rsidRDefault="002F0E1A" w:rsidP="004E486E">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Xofluza</w:t>
            </w:r>
            <w:r w:rsidR="009856B7" w:rsidRPr="00F55867">
              <w:rPr>
                <w:sz w:val="22"/>
                <w:lang w:val="en-AU"/>
              </w:rPr>
              <w:t xml:space="preserve"> 40/80 mg</w:t>
            </w:r>
            <w:r w:rsidR="00CE00B1" w:rsidRPr="00CE00B1">
              <w:rPr>
                <w:sz w:val="22"/>
                <w:vertAlign w:val="superscript"/>
                <w:lang w:val="en-AU"/>
              </w:rPr>
              <w:t>1</w:t>
            </w:r>
            <w:r w:rsidR="009856B7">
              <w:rPr>
                <w:sz w:val="22"/>
                <w:lang w:val="en-AU"/>
              </w:rPr>
              <w:br/>
            </w:r>
            <w:r w:rsidR="009856B7" w:rsidRPr="00F55867">
              <w:rPr>
                <w:sz w:val="22"/>
                <w:lang w:val="en-AU"/>
              </w:rPr>
              <w:t xml:space="preserve"> (95% CI)</w:t>
            </w:r>
            <w:r w:rsidR="009856B7">
              <w:rPr>
                <w:sz w:val="22"/>
                <w:lang w:val="en-AU"/>
              </w:rPr>
              <w:br/>
            </w:r>
            <w:r w:rsidR="009856B7" w:rsidRPr="00F55867">
              <w:rPr>
                <w:sz w:val="22"/>
                <w:lang w:val="en-AU"/>
              </w:rPr>
              <w:t>N=</w:t>
            </w:r>
            <w:r w:rsidR="009856B7">
              <w:rPr>
                <w:sz w:val="22"/>
                <w:lang w:val="en-AU"/>
              </w:rPr>
              <w:t>375</w:t>
            </w:r>
          </w:p>
        </w:tc>
        <w:tc>
          <w:tcPr>
            <w:tcW w:w="2265" w:type="dxa"/>
          </w:tcPr>
          <w:p w14:paraId="44F8C197" w14:textId="417CBF20" w:rsidR="009856B7" w:rsidRPr="00F55867" w:rsidRDefault="0097149D" w:rsidP="004E486E">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proofErr w:type="spellStart"/>
            <w:r w:rsidRPr="0097149D">
              <w:rPr>
                <w:sz w:val="22"/>
                <w:lang w:val="en-AU"/>
              </w:rPr>
              <w:t>Oseltamivir</w:t>
            </w:r>
            <w:proofErr w:type="spellEnd"/>
            <w:r w:rsidR="009856B7">
              <w:rPr>
                <w:sz w:val="22"/>
                <w:lang w:val="en-AU"/>
              </w:rPr>
              <w:br/>
            </w:r>
            <w:r w:rsidR="009856B7" w:rsidRPr="00F55867">
              <w:rPr>
                <w:sz w:val="22"/>
                <w:lang w:val="en-AU"/>
              </w:rPr>
              <w:t xml:space="preserve"> (95% CI)</w:t>
            </w:r>
            <w:r w:rsidR="009856B7">
              <w:rPr>
                <w:sz w:val="22"/>
                <w:lang w:val="en-AU"/>
              </w:rPr>
              <w:br/>
            </w:r>
            <w:r w:rsidR="009856B7" w:rsidRPr="00F55867">
              <w:rPr>
                <w:sz w:val="22"/>
                <w:lang w:val="en-AU"/>
              </w:rPr>
              <w:t>N=</w:t>
            </w:r>
            <w:r w:rsidR="009856B7">
              <w:rPr>
                <w:sz w:val="22"/>
                <w:lang w:val="en-AU"/>
              </w:rPr>
              <w:t>377</w:t>
            </w:r>
          </w:p>
        </w:tc>
        <w:tc>
          <w:tcPr>
            <w:tcW w:w="2836" w:type="dxa"/>
          </w:tcPr>
          <w:p w14:paraId="16279527" w14:textId="10B1DD0D" w:rsidR="009856B7" w:rsidRPr="00F55867" w:rsidRDefault="009856B7" w:rsidP="004E486E">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F55867">
              <w:rPr>
                <w:sz w:val="22"/>
                <w:lang w:val="en-AU"/>
              </w:rPr>
              <w:t xml:space="preserve">Difference between </w:t>
            </w:r>
            <w:r w:rsidR="002F0E1A">
              <w:rPr>
                <w:sz w:val="22"/>
                <w:lang w:val="en-AU"/>
              </w:rPr>
              <w:t>Xofluza</w:t>
            </w:r>
            <w:r w:rsidRPr="00F55867">
              <w:rPr>
                <w:sz w:val="22"/>
                <w:lang w:val="en-AU"/>
              </w:rPr>
              <w:t xml:space="preserve"> and </w:t>
            </w:r>
            <w:proofErr w:type="spellStart"/>
            <w:r>
              <w:rPr>
                <w:sz w:val="22"/>
                <w:lang w:val="en-AU"/>
              </w:rPr>
              <w:t>o</w:t>
            </w:r>
            <w:r w:rsidRPr="009856B7">
              <w:rPr>
                <w:sz w:val="22"/>
                <w:lang w:val="en-AU"/>
              </w:rPr>
              <w:t>seltamivir</w:t>
            </w:r>
            <w:proofErr w:type="spellEnd"/>
            <w:r>
              <w:rPr>
                <w:sz w:val="22"/>
                <w:lang w:val="en-AU"/>
              </w:rPr>
              <w:br/>
            </w:r>
            <w:r w:rsidRPr="00F55867">
              <w:rPr>
                <w:sz w:val="22"/>
                <w:lang w:val="en-AU"/>
              </w:rPr>
              <w:t>(95% CI for difference)</w:t>
            </w:r>
          </w:p>
        </w:tc>
        <w:tc>
          <w:tcPr>
            <w:tcW w:w="1694" w:type="dxa"/>
          </w:tcPr>
          <w:p w14:paraId="0791B4BD" w14:textId="165FEFE0" w:rsidR="009856B7" w:rsidRPr="00F55867" w:rsidRDefault="009856B7" w:rsidP="004E486E">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P-value</w:t>
            </w:r>
            <w:r w:rsidR="00CE00B1" w:rsidRPr="00CE00B1">
              <w:rPr>
                <w:sz w:val="22"/>
                <w:vertAlign w:val="superscript"/>
                <w:lang w:val="en-AU"/>
              </w:rPr>
              <w:t>2</w:t>
            </w:r>
          </w:p>
        </w:tc>
      </w:tr>
      <w:tr w:rsidR="009856B7" w:rsidRPr="00F55867" w14:paraId="6319553E" w14:textId="77777777" w:rsidTr="009A096F">
        <w:tc>
          <w:tcPr>
            <w:tcW w:w="2265" w:type="dxa"/>
          </w:tcPr>
          <w:p w14:paraId="617A979D" w14:textId="7B5AD594" w:rsidR="009856B7" w:rsidRPr="00F55867" w:rsidRDefault="00106E7C"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53.5</w:t>
            </w:r>
            <w:r w:rsidR="009856B7">
              <w:rPr>
                <w:sz w:val="22"/>
                <w:lang w:val="en-AU"/>
              </w:rPr>
              <w:br/>
            </w:r>
            <w:r w:rsidR="009856B7" w:rsidRPr="009856B7">
              <w:rPr>
                <w:sz w:val="22"/>
                <w:lang w:val="en-AU"/>
              </w:rPr>
              <w:t>(48.0, 58.5)</w:t>
            </w:r>
          </w:p>
        </w:tc>
        <w:tc>
          <w:tcPr>
            <w:tcW w:w="2265" w:type="dxa"/>
          </w:tcPr>
          <w:p w14:paraId="371758CC" w14:textId="2C315EF1" w:rsidR="009856B7" w:rsidRPr="00F55867" w:rsidRDefault="00106E7C"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53.8</w:t>
            </w:r>
            <w:r w:rsidR="009856B7">
              <w:rPr>
                <w:sz w:val="22"/>
                <w:lang w:val="en-AU"/>
              </w:rPr>
              <w:br/>
            </w:r>
            <w:r w:rsidR="009856B7" w:rsidRPr="009856B7">
              <w:rPr>
                <w:sz w:val="22"/>
                <w:lang w:val="en-AU"/>
              </w:rPr>
              <w:t>(50.2, 56.4)</w:t>
            </w:r>
          </w:p>
        </w:tc>
        <w:tc>
          <w:tcPr>
            <w:tcW w:w="2836" w:type="dxa"/>
          </w:tcPr>
          <w:p w14:paraId="15B66021" w14:textId="369537FA" w:rsidR="009856B7" w:rsidRPr="00F55867" w:rsidRDefault="009856B7"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9856B7">
              <w:rPr>
                <w:sz w:val="22"/>
                <w:lang w:val="en-AU"/>
              </w:rPr>
              <w:t>-0.3</w:t>
            </w:r>
            <w:r>
              <w:rPr>
                <w:sz w:val="22"/>
                <w:lang w:val="en-AU"/>
              </w:rPr>
              <w:br/>
            </w:r>
            <w:r w:rsidRPr="009856B7">
              <w:rPr>
                <w:sz w:val="22"/>
                <w:lang w:val="en-AU"/>
              </w:rPr>
              <w:t>(−6.6, 6.6)</w:t>
            </w:r>
          </w:p>
        </w:tc>
        <w:tc>
          <w:tcPr>
            <w:tcW w:w="1694" w:type="dxa"/>
          </w:tcPr>
          <w:p w14:paraId="1092998C" w14:textId="07F41EEB" w:rsidR="009856B7" w:rsidRDefault="009856B7"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9856B7">
              <w:rPr>
                <w:sz w:val="22"/>
                <w:lang w:val="en-AU"/>
              </w:rPr>
              <w:t>0.7560</w:t>
            </w:r>
          </w:p>
        </w:tc>
      </w:tr>
    </w:tbl>
    <w:p w14:paraId="47C1A3E3" w14:textId="60435978" w:rsidR="009856B7" w:rsidRDefault="00CE00B1" w:rsidP="009856B7">
      <w:pPr>
        <w:rPr>
          <w:lang w:val="en-AU"/>
        </w:rPr>
      </w:pPr>
      <w:r>
        <w:rPr>
          <w:sz w:val="22"/>
          <w:lang w:val="en-AU"/>
        </w:rPr>
        <w:t>CI = confidence interval</w:t>
      </w:r>
      <w:r w:rsidRPr="00CE00B1">
        <w:rPr>
          <w:sz w:val="22"/>
          <w:vertAlign w:val="superscript"/>
          <w:lang w:val="en-AU"/>
        </w:rPr>
        <w:t xml:space="preserve"> </w:t>
      </w:r>
      <w:r>
        <w:rPr>
          <w:sz w:val="22"/>
          <w:vertAlign w:val="superscript"/>
          <w:lang w:val="en-AU"/>
        </w:rPr>
        <w:br/>
      </w:r>
      <w:r w:rsidRPr="00CE00B1">
        <w:rPr>
          <w:sz w:val="22"/>
          <w:vertAlign w:val="superscript"/>
          <w:lang w:val="en-AU"/>
        </w:rPr>
        <w:t>1</w:t>
      </w:r>
      <w:r>
        <w:rPr>
          <w:sz w:val="22"/>
          <w:lang w:val="en-AU"/>
        </w:rPr>
        <w:t xml:space="preserve"> </w:t>
      </w:r>
      <w:r w:rsidRPr="00CE00B1">
        <w:rPr>
          <w:sz w:val="22"/>
          <w:lang w:val="en-AU"/>
        </w:rPr>
        <w:t xml:space="preserve">Dosing was based on weight. </w:t>
      </w:r>
      <w:r>
        <w:rPr>
          <w:sz w:val="22"/>
          <w:lang w:val="en-AU"/>
        </w:rPr>
        <w:t>Patients</w:t>
      </w:r>
      <w:r w:rsidRPr="00CE00B1">
        <w:rPr>
          <w:sz w:val="22"/>
          <w:lang w:val="en-AU"/>
        </w:rPr>
        <w:t xml:space="preserve"> weighing &lt; 80 kg received a single 40 mg dose and </w:t>
      </w:r>
      <w:r>
        <w:rPr>
          <w:sz w:val="22"/>
          <w:lang w:val="en-AU"/>
        </w:rPr>
        <w:t>patients ≥ </w:t>
      </w:r>
      <w:r w:rsidRPr="00CE00B1">
        <w:rPr>
          <w:sz w:val="22"/>
          <w:lang w:val="en-AU"/>
        </w:rPr>
        <w:t xml:space="preserve">80 </w:t>
      </w:r>
      <w:r>
        <w:rPr>
          <w:sz w:val="22"/>
          <w:lang w:val="en-AU"/>
        </w:rPr>
        <w:t>kg received a single 80 mg dose</w:t>
      </w:r>
      <w:r>
        <w:rPr>
          <w:sz w:val="22"/>
          <w:lang w:val="en-AU"/>
        </w:rPr>
        <w:br/>
      </w:r>
      <w:r w:rsidRPr="00DD5662">
        <w:rPr>
          <w:sz w:val="22"/>
          <w:vertAlign w:val="superscript"/>
          <w:lang w:val="en-AU"/>
        </w:rPr>
        <w:t>2</w:t>
      </w:r>
      <w:r>
        <w:rPr>
          <w:sz w:val="22"/>
          <w:lang w:val="en-AU"/>
        </w:rPr>
        <w:t xml:space="preserve"> </w:t>
      </w:r>
      <w:r w:rsidRPr="00CE00B1">
        <w:rPr>
          <w:sz w:val="22"/>
          <w:lang w:val="en-AU"/>
        </w:rPr>
        <w:t>P-values b</w:t>
      </w:r>
      <w:r>
        <w:rPr>
          <w:sz w:val="22"/>
          <w:lang w:val="en-AU"/>
        </w:rPr>
        <w:t>ased on the stratified generalis</w:t>
      </w:r>
      <w:r w:rsidRPr="00CE00B1">
        <w:rPr>
          <w:sz w:val="22"/>
          <w:lang w:val="en-AU"/>
        </w:rPr>
        <w:t>ed Wilcoxon test. Stratification factors: composite symptom scores at baseline and region</w:t>
      </w:r>
    </w:p>
    <w:p w14:paraId="63FFB271" w14:textId="77777777" w:rsidR="00CE00B1" w:rsidRDefault="00CE00B1" w:rsidP="009856B7">
      <w:pPr>
        <w:rPr>
          <w:i/>
          <w:lang w:val="en-AU"/>
        </w:rPr>
      </w:pPr>
    </w:p>
    <w:p w14:paraId="3A436758" w14:textId="76743AC6" w:rsidR="009856B7" w:rsidRDefault="009856B7" w:rsidP="009856B7">
      <w:pPr>
        <w:rPr>
          <w:lang w:val="en-AU"/>
        </w:rPr>
      </w:pPr>
      <w:r w:rsidRPr="009856B7">
        <w:rPr>
          <w:i/>
          <w:lang w:val="en-AU"/>
        </w:rPr>
        <w:t>Resolution of Fever:</w:t>
      </w:r>
      <w:r>
        <w:rPr>
          <w:lang w:val="en-AU"/>
        </w:rPr>
        <w:t xml:space="preserve"> </w:t>
      </w:r>
      <w:r w:rsidRPr="009856B7">
        <w:rPr>
          <w:lang w:val="en-AU"/>
        </w:rPr>
        <w:t xml:space="preserve">Following study drug administration there was faster resolution of fever in the </w:t>
      </w:r>
      <w:r w:rsidR="002F0E1A">
        <w:rPr>
          <w:lang w:val="en-AU"/>
        </w:rPr>
        <w:t>Xofluza</w:t>
      </w:r>
      <w:r w:rsidRPr="009856B7">
        <w:rPr>
          <w:lang w:val="en-AU"/>
        </w:rPr>
        <w:t xml:space="preserve"> group compared with the placebo group. The median time to resolution of fever in patients treated with </w:t>
      </w:r>
      <w:r w:rsidR="002F0E1A">
        <w:rPr>
          <w:lang w:val="en-AU"/>
        </w:rPr>
        <w:t>Xofluza</w:t>
      </w:r>
      <w:r w:rsidRPr="009856B7">
        <w:rPr>
          <w:lang w:val="en-AU"/>
        </w:rPr>
        <w:t xml:space="preserve"> was 24.5 hours (95% CI: 22.6, 26.6) compared with 42.0 hours (95% CI: 37.4, 44.6) in those receiving placebo. No difference was noted in duration of fever in the </w:t>
      </w:r>
      <w:r w:rsidR="002F0E1A">
        <w:rPr>
          <w:lang w:val="en-AU"/>
        </w:rPr>
        <w:t>Xofluza</w:t>
      </w:r>
      <w:r w:rsidRPr="009856B7">
        <w:rPr>
          <w:lang w:val="en-AU"/>
        </w:rPr>
        <w:t xml:space="preserve"> group comp</w:t>
      </w:r>
      <w:r>
        <w:rPr>
          <w:lang w:val="en-AU"/>
        </w:rPr>
        <w:t xml:space="preserve">ared with the </w:t>
      </w:r>
      <w:proofErr w:type="spellStart"/>
      <w:r>
        <w:rPr>
          <w:lang w:val="en-AU"/>
        </w:rPr>
        <w:t>oseltamivir</w:t>
      </w:r>
      <w:proofErr w:type="spellEnd"/>
      <w:r>
        <w:rPr>
          <w:lang w:val="en-AU"/>
        </w:rPr>
        <w:t xml:space="preserve"> group</w:t>
      </w:r>
      <w:r w:rsidRPr="009856B7">
        <w:rPr>
          <w:lang w:val="en-AU"/>
        </w:rPr>
        <w:t>.</w:t>
      </w:r>
    </w:p>
    <w:p w14:paraId="031CC216" w14:textId="77777777" w:rsidR="009856B7" w:rsidRPr="009856B7" w:rsidRDefault="009856B7" w:rsidP="009856B7">
      <w:pPr>
        <w:rPr>
          <w:lang w:val="en-AU"/>
        </w:rPr>
      </w:pPr>
    </w:p>
    <w:p w14:paraId="4A5ED110" w14:textId="1D544A12" w:rsidR="00F55867" w:rsidRDefault="009856B7" w:rsidP="009856B7">
      <w:pPr>
        <w:rPr>
          <w:lang w:val="en-AU"/>
        </w:rPr>
      </w:pPr>
      <w:r w:rsidRPr="009856B7">
        <w:rPr>
          <w:i/>
          <w:lang w:val="en-AU"/>
        </w:rPr>
        <w:t>Antiviral Activity:</w:t>
      </w:r>
      <w:r>
        <w:rPr>
          <w:lang w:val="en-AU"/>
        </w:rPr>
        <w:t xml:space="preserve"> </w:t>
      </w:r>
      <w:r w:rsidRPr="009856B7">
        <w:rPr>
          <w:lang w:val="en-AU"/>
        </w:rPr>
        <w:t xml:space="preserve">Patients treated with </w:t>
      </w:r>
      <w:r w:rsidR="002F0E1A">
        <w:rPr>
          <w:lang w:val="en-AU"/>
        </w:rPr>
        <w:t>Xofluza</w:t>
      </w:r>
      <w:r w:rsidRPr="009856B7">
        <w:rPr>
          <w:lang w:val="en-AU"/>
        </w:rPr>
        <w:t xml:space="preserve"> showed</w:t>
      </w:r>
      <w:r w:rsidR="00BC50FF">
        <w:rPr>
          <w:lang w:val="en-AU"/>
        </w:rPr>
        <w:t xml:space="preserve"> a rapid reduction in virus tit</w:t>
      </w:r>
      <w:r w:rsidRPr="009856B7">
        <w:rPr>
          <w:lang w:val="en-AU"/>
        </w:rPr>
        <w:t>r</w:t>
      </w:r>
      <w:r w:rsidR="00BC50FF">
        <w:rPr>
          <w:lang w:val="en-AU"/>
        </w:rPr>
        <w:t>e</w:t>
      </w:r>
      <w:r w:rsidRPr="009856B7">
        <w:rPr>
          <w:lang w:val="en-AU"/>
        </w:rPr>
        <w:t>. The median time to cessation of viral s</w:t>
      </w:r>
      <w:r w:rsidR="00BC50FF">
        <w:rPr>
          <w:lang w:val="en-AU"/>
        </w:rPr>
        <w:t>hedding determined by virus tit</w:t>
      </w:r>
      <w:r w:rsidRPr="009856B7">
        <w:rPr>
          <w:lang w:val="en-AU"/>
        </w:rPr>
        <w:t>r</w:t>
      </w:r>
      <w:r w:rsidR="00BC50FF">
        <w:rPr>
          <w:lang w:val="en-AU"/>
        </w:rPr>
        <w:t>e was 24.0 hours (95% </w:t>
      </w:r>
      <w:r w:rsidR="00EF2045">
        <w:rPr>
          <w:lang w:val="en-AU"/>
        </w:rPr>
        <w:t>CI: </w:t>
      </w:r>
      <w:r w:rsidRPr="009856B7">
        <w:rPr>
          <w:lang w:val="en-AU"/>
        </w:rPr>
        <w:t xml:space="preserve">24.0, 48.0) in the </w:t>
      </w:r>
      <w:r w:rsidR="002F0E1A">
        <w:rPr>
          <w:lang w:val="en-AU"/>
        </w:rPr>
        <w:t>Xofluza</w:t>
      </w:r>
      <w:r w:rsidRPr="009856B7">
        <w:rPr>
          <w:lang w:val="en-AU"/>
        </w:rPr>
        <w:t xml:space="preserve"> group compared with 72.0 hours (95% CI: 72.0, 96.0) in the </w:t>
      </w:r>
      <w:proofErr w:type="spellStart"/>
      <w:r w:rsidRPr="009856B7">
        <w:rPr>
          <w:lang w:val="en-AU"/>
        </w:rPr>
        <w:t>oseltamivir</w:t>
      </w:r>
      <w:proofErr w:type="spellEnd"/>
      <w:r w:rsidRPr="009856B7">
        <w:rPr>
          <w:lang w:val="en-AU"/>
        </w:rPr>
        <w:t xml:space="preserve"> group and 96.0 hours (95% CI: 96.0, 96.0) in the placebo group.</w:t>
      </w:r>
    </w:p>
    <w:p w14:paraId="5F8F0726" w14:textId="1525D21A" w:rsidR="002824AE" w:rsidRDefault="002824AE" w:rsidP="002824AE">
      <w:pPr>
        <w:pStyle w:val="Heading5"/>
        <w:keepNext/>
      </w:pPr>
      <w:r w:rsidRPr="002824AE">
        <w:t>Study 1518T0821</w:t>
      </w:r>
    </w:p>
    <w:p w14:paraId="023ECCEF" w14:textId="06695242" w:rsidR="002824AE" w:rsidRDefault="002824AE" w:rsidP="002824AE">
      <w:pPr>
        <w:rPr>
          <w:lang w:val="en-AU"/>
        </w:rPr>
      </w:pPr>
      <w:r w:rsidRPr="002824AE">
        <w:rPr>
          <w:lang w:val="en-AU"/>
        </w:rPr>
        <w:t xml:space="preserve">The phase 2 study was designed to evaluate the efficacy and safety of a single oral dose of </w:t>
      </w:r>
      <w:r w:rsidR="002F0E1A">
        <w:rPr>
          <w:lang w:val="en-AU"/>
        </w:rPr>
        <w:t>Xofluza</w:t>
      </w:r>
      <w:r w:rsidRPr="002824AE">
        <w:rPr>
          <w:lang w:val="en-AU"/>
        </w:rPr>
        <w:t xml:space="preserve"> compared with placebo in otherwise healthy adult</w:t>
      </w:r>
      <w:r>
        <w:rPr>
          <w:lang w:val="en-AU"/>
        </w:rPr>
        <w:t xml:space="preserve"> patients (aged ≥ 20 years to ≤</w:t>
      </w:r>
      <w:r w:rsidR="00636279">
        <w:rPr>
          <w:lang w:val="en-AU"/>
        </w:rPr>
        <w:t> </w:t>
      </w:r>
      <w:r>
        <w:rPr>
          <w:lang w:val="en-AU"/>
        </w:rPr>
        <w:t>64</w:t>
      </w:r>
      <w:r w:rsidR="00636279">
        <w:rPr>
          <w:lang w:val="en-AU"/>
        </w:rPr>
        <w:t> </w:t>
      </w:r>
      <w:r>
        <w:rPr>
          <w:lang w:val="en-AU"/>
        </w:rPr>
        <w:t xml:space="preserve">years) with influenza. </w:t>
      </w:r>
      <w:r w:rsidRPr="002824AE">
        <w:rPr>
          <w:lang w:val="en-AU"/>
        </w:rPr>
        <w:t>A total of 400 pa</w:t>
      </w:r>
      <w:r>
        <w:rPr>
          <w:lang w:val="en-AU"/>
        </w:rPr>
        <w:t>tients were randomis</w:t>
      </w:r>
      <w:r w:rsidRPr="002824AE">
        <w:rPr>
          <w:lang w:val="en-AU"/>
        </w:rPr>
        <w:t xml:space="preserve">ed to one of three dose groups of </w:t>
      </w:r>
      <w:r w:rsidR="002F0E1A">
        <w:rPr>
          <w:lang w:val="en-AU"/>
        </w:rPr>
        <w:t>Xofluza</w:t>
      </w:r>
      <w:r w:rsidRPr="002824AE">
        <w:rPr>
          <w:lang w:val="en-AU"/>
        </w:rPr>
        <w:t xml:space="preserve"> (10</w:t>
      </w:r>
      <w:r>
        <w:rPr>
          <w:lang w:val="en-AU"/>
        </w:rPr>
        <w:t xml:space="preserve"> mg</w:t>
      </w:r>
      <w:r w:rsidRPr="002824AE">
        <w:rPr>
          <w:lang w:val="en-AU"/>
        </w:rPr>
        <w:t>, 20</w:t>
      </w:r>
      <w:r>
        <w:rPr>
          <w:lang w:val="en-AU"/>
        </w:rPr>
        <w:t xml:space="preserve"> mg</w:t>
      </w:r>
      <w:r w:rsidRPr="002824AE">
        <w:rPr>
          <w:lang w:val="en-AU"/>
        </w:rPr>
        <w:t xml:space="preserve"> or 40 mg) or placebo in the 2015-2016 Northern Hemisphere influenza season in Japan. The predominant influenza virus strain was A/H1N1pdm subtype (61% to 71%) followed by B subtype (21% to 24%) and A/H3N2 subtype (5% to 13%).  </w:t>
      </w:r>
    </w:p>
    <w:p w14:paraId="5E86C04F" w14:textId="77777777" w:rsidR="002824AE" w:rsidRPr="002824AE" w:rsidRDefault="002824AE" w:rsidP="002824AE">
      <w:pPr>
        <w:rPr>
          <w:lang w:val="en-AU"/>
        </w:rPr>
      </w:pPr>
    </w:p>
    <w:p w14:paraId="5FB435B6" w14:textId="58FDA884" w:rsidR="002824AE" w:rsidRDefault="002824AE" w:rsidP="002824AE">
      <w:pPr>
        <w:rPr>
          <w:lang w:val="en-AU"/>
        </w:rPr>
      </w:pPr>
      <w:r w:rsidRPr="002824AE">
        <w:rPr>
          <w:lang w:val="en-AU"/>
        </w:rPr>
        <w:t xml:space="preserve">The median time to alleviation of symptoms </w:t>
      </w:r>
      <w:r w:rsidR="001D0931">
        <w:rPr>
          <w:lang w:val="en-AU"/>
        </w:rPr>
        <w:t xml:space="preserve">(primary efficacy endpoint) </w:t>
      </w:r>
      <w:r w:rsidRPr="002824AE">
        <w:rPr>
          <w:lang w:val="en-AU"/>
        </w:rPr>
        <w:t>was significantly shorter (p &lt; 0.05) compared with placebo in all dose groups. At 40 mg</w:t>
      </w:r>
      <w:r>
        <w:rPr>
          <w:lang w:val="en-AU"/>
        </w:rPr>
        <w:t>,</w:t>
      </w:r>
      <w:r w:rsidRPr="002824AE">
        <w:rPr>
          <w:lang w:val="en-AU"/>
        </w:rPr>
        <w:t xml:space="preserve"> the median time to alleviation of symptoms was 49.5 hours (95% CI: 44.5, 64.4) versus 77.7 hours (95% CI: 67.6, 88.7) in the placebo group.</w:t>
      </w:r>
    </w:p>
    <w:p w14:paraId="2094A7F3" w14:textId="19BD256F" w:rsidR="002824AE" w:rsidRDefault="002824AE" w:rsidP="002824AE">
      <w:pPr>
        <w:rPr>
          <w:lang w:val="en-AU"/>
        </w:rPr>
      </w:pPr>
    </w:p>
    <w:p w14:paraId="0851CBAD" w14:textId="236FDBE9" w:rsidR="002824AE" w:rsidRDefault="002824AE" w:rsidP="002824AE">
      <w:pPr>
        <w:rPr>
          <w:lang w:val="en-AU"/>
        </w:rPr>
      </w:pPr>
      <w:r w:rsidRPr="002824AE">
        <w:rPr>
          <w:i/>
          <w:lang w:val="en-AU"/>
        </w:rPr>
        <w:t>Resolution of Fever</w:t>
      </w:r>
      <w:r w:rsidR="001D0931">
        <w:rPr>
          <w:i/>
          <w:lang w:val="en-AU"/>
        </w:rPr>
        <w:t xml:space="preserve"> (secondary efficacy endpoint)</w:t>
      </w:r>
      <w:r w:rsidRPr="002824AE">
        <w:rPr>
          <w:i/>
          <w:lang w:val="en-AU"/>
        </w:rPr>
        <w:t>:</w:t>
      </w:r>
      <w:r>
        <w:rPr>
          <w:lang w:val="en-AU"/>
        </w:rPr>
        <w:t xml:space="preserve"> </w:t>
      </w:r>
      <w:r w:rsidRPr="002824AE">
        <w:rPr>
          <w:lang w:val="en-AU"/>
        </w:rPr>
        <w:t>The median time to resolution of fever was significantly reduced in all dose</w:t>
      </w:r>
      <w:r>
        <w:rPr>
          <w:lang w:val="en-AU"/>
        </w:rPr>
        <w:t xml:space="preserve"> groups compared with placebo. </w:t>
      </w:r>
      <w:r w:rsidRPr="002824AE">
        <w:rPr>
          <w:lang w:val="en-AU"/>
        </w:rPr>
        <w:t>At 40 mg</w:t>
      </w:r>
      <w:r>
        <w:rPr>
          <w:lang w:val="en-AU"/>
        </w:rPr>
        <w:t>,</w:t>
      </w:r>
      <w:r w:rsidRPr="002824AE">
        <w:rPr>
          <w:lang w:val="en-AU"/>
        </w:rPr>
        <w:t xml:space="preserve"> the median time was 28.9 hours (95% CI: 24.5, 34.7) versus 45.3 hours (95% CI: 35.6, 54.0) in the placebo group. Viral endpoint results were consistent with those in </w:t>
      </w:r>
      <w:r>
        <w:rPr>
          <w:lang w:val="en-AU"/>
        </w:rPr>
        <w:t>CAPSTONE-1</w:t>
      </w:r>
      <w:r w:rsidRPr="002824AE">
        <w:rPr>
          <w:lang w:val="en-AU"/>
        </w:rPr>
        <w:t>.</w:t>
      </w:r>
    </w:p>
    <w:p w14:paraId="18C2DA7A" w14:textId="76BBA49A" w:rsidR="00040F3F" w:rsidRDefault="00040F3F" w:rsidP="00040F3F">
      <w:pPr>
        <w:pStyle w:val="Heading4"/>
        <w:keepNext/>
      </w:pPr>
      <w:r w:rsidRPr="0027576D">
        <w:t xml:space="preserve">Clinical </w:t>
      </w:r>
      <w:r>
        <w:t>trials</w:t>
      </w:r>
      <w:r w:rsidRPr="0027576D">
        <w:t xml:space="preserve"> in </w:t>
      </w:r>
      <w:r>
        <w:t>High Risk</w:t>
      </w:r>
      <w:r w:rsidRPr="001D0A17">
        <w:t xml:space="preserve"> patients</w:t>
      </w:r>
    </w:p>
    <w:p w14:paraId="18937DF5" w14:textId="19B8D280" w:rsidR="00040F3F" w:rsidRDefault="00040F3F" w:rsidP="00040F3F">
      <w:pPr>
        <w:pStyle w:val="Heading5"/>
        <w:keepNext/>
      </w:pPr>
      <w:r>
        <w:t>CAPSTONE-2 (Study</w:t>
      </w:r>
      <w:r w:rsidRPr="001D0A17">
        <w:t xml:space="preserve"> </w:t>
      </w:r>
      <w:r w:rsidRPr="00040F3F">
        <w:t>1602T0832</w:t>
      </w:r>
      <w:r>
        <w:t>)</w:t>
      </w:r>
    </w:p>
    <w:p w14:paraId="5CBF8512" w14:textId="5037A6A3" w:rsidR="00040F3F" w:rsidRDefault="00040F3F" w:rsidP="00040F3F">
      <w:r>
        <w:t xml:space="preserve">CAPSTONE-2 is a randomised, double-blind, multicentre, placebo- and active-controlled study designed to evaluate the efficacy and safety of a single oral dose of </w:t>
      </w:r>
      <w:r w:rsidR="002F0E1A">
        <w:t>Xofluza</w:t>
      </w:r>
      <w:r>
        <w:t xml:space="preserve"> compared with placebo or </w:t>
      </w:r>
      <w:proofErr w:type="spellStart"/>
      <w:r>
        <w:t>oseltamivir</w:t>
      </w:r>
      <w:proofErr w:type="spellEnd"/>
      <w:r>
        <w:t xml:space="preserve"> in adult and adolescent patients (aged ≥ 12 years) with influenza </w:t>
      </w:r>
      <w:r>
        <w:lastRenderedPageBreak/>
        <w:t xml:space="preserve">at high risk of influenza complications (e.g. asthma or chronic lung disease, endocrine disorders, heart disease, age ≥ 65 years, metabolic disorders, morbid obesity). </w:t>
      </w:r>
      <w:r w:rsidR="009E3D5B">
        <w:t>Patients who had cancer within the last 5 years (other than non-melanoma skin cancer), untreated HIV infection, or treated HIV infection with a CD4 count below 350 cells/mm</w:t>
      </w:r>
      <w:r w:rsidR="009E3D5B">
        <w:rPr>
          <w:vertAlign w:val="superscript"/>
        </w:rPr>
        <w:t xml:space="preserve">3 </w:t>
      </w:r>
      <w:r w:rsidR="00B11B62">
        <w:t>in the last 6 </w:t>
      </w:r>
      <w:r w:rsidR="009E3D5B">
        <w:t>months, were not enrolled in this study.</w:t>
      </w:r>
    </w:p>
    <w:p w14:paraId="07E66837" w14:textId="77777777" w:rsidR="00040F3F" w:rsidRDefault="00040F3F" w:rsidP="00040F3F"/>
    <w:p w14:paraId="03135AB5" w14:textId="15EA3DEC" w:rsidR="00B57EDF" w:rsidRDefault="00040F3F" w:rsidP="00040F3F">
      <w:r>
        <w:t xml:space="preserve">A total of 2184 patients were randomised to receive a single oral dose of 40 mg or 80 mg of </w:t>
      </w:r>
      <w:r w:rsidR="002F0E1A">
        <w:t>Xofluza</w:t>
      </w:r>
      <w:r>
        <w:t xml:space="preserve"> according to body weight (40 kg to &lt; 80 kg </w:t>
      </w:r>
      <w:r w:rsidR="00714720">
        <w:t>or</w:t>
      </w:r>
      <w:r>
        <w:t xml:space="preserve"> ≥ 80 kg </w:t>
      </w:r>
      <w:r w:rsidR="00714720">
        <w:t>respectively</w:t>
      </w:r>
      <w:r w:rsidR="00EF2045">
        <w:t xml:space="preserve">), </w:t>
      </w:r>
      <w:proofErr w:type="spellStart"/>
      <w:r w:rsidR="00EF2045">
        <w:t>oseltamivir</w:t>
      </w:r>
      <w:proofErr w:type="spellEnd"/>
      <w:r w:rsidR="00EF2045">
        <w:t xml:space="preserve"> 75 </w:t>
      </w:r>
      <w:r>
        <w:t>mg twice daily for 5 days, or placebo.</w:t>
      </w:r>
      <w:r w:rsidR="00B57EDF">
        <w:t xml:space="preserve"> </w:t>
      </w:r>
      <w:r w:rsidR="00B57EDF" w:rsidRPr="00B57EDF">
        <w:t>The primary efficacy population was defined as those w</w:t>
      </w:r>
      <w:r w:rsidR="000844F6">
        <w:t>ho received study medication,</w:t>
      </w:r>
      <w:r w:rsidR="00B57EDF" w:rsidRPr="00B57EDF">
        <w:t xml:space="preserve"> had a positive influenza RT-PCR at trial entry</w:t>
      </w:r>
      <w:r w:rsidR="000844F6" w:rsidRPr="000844F6">
        <w:t xml:space="preserve"> and were enrolled at sites with Good Clinical Practice (GCP) compliance</w:t>
      </w:r>
      <w:r w:rsidR="00B57EDF" w:rsidRPr="00B57EDF">
        <w:t>.</w:t>
      </w:r>
      <w:r>
        <w:t xml:space="preserve"> </w:t>
      </w:r>
    </w:p>
    <w:p w14:paraId="30D91BC7" w14:textId="77777777" w:rsidR="00B57EDF" w:rsidRDefault="00B57EDF" w:rsidP="00040F3F"/>
    <w:p w14:paraId="67985835" w14:textId="7F18A374" w:rsidR="00040F3F" w:rsidRDefault="00040F3F" w:rsidP="00040F3F">
      <w:r>
        <w:t xml:space="preserve">The predominant influenza viruses in this study were the A/H3 subtype (46.9% to 48.8%) and influenza B (38.3% to 43.5%). The primary efficacy endpoint was time to improvement of influenza symptoms (cough, sore throat, headache, nasal congestion, feverishness or chills, muscle or joint pain, and fatigue). A statistically significant improvement in the primary endpoint was observed for </w:t>
      </w:r>
      <w:r w:rsidR="002F0E1A">
        <w:t>Xofluza</w:t>
      </w:r>
      <w:r>
        <w:t xml:space="preserve"> when compared with placebo (Table </w:t>
      </w:r>
      <w:r w:rsidR="0031430F">
        <w:t>5</w:t>
      </w:r>
      <w:r>
        <w:t>).</w:t>
      </w:r>
    </w:p>
    <w:p w14:paraId="658E465E" w14:textId="6F4391D9" w:rsidR="00040F3F" w:rsidRPr="00F55867" w:rsidRDefault="004E486E" w:rsidP="00040F3F">
      <w:pPr>
        <w:pStyle w:val="Tableheading"/>
      </w:pPr>
      <w:r>
        <w:t xml:space="preserve">Table </w:t>
      </w:r>
      <w:r w:rsidR="0031430F">
        <w:t>5</w:t>
      </w:r>
      <w:r w:rsidR="00040F3F" w:rsidRPr="00B41F0E">
        <w:tab/>
      </w:r>
      <w:r w:rsidR="009E3D5B">
        <w:t xml:space="preserve">Primary efficacy endpoint: </w:t>
      </w:r>
      <w:r w:rsidR="00040F3F" w:rsidRPr="00040F3F">
        <w:t xml:space="preserve">Time to </w:t>
      </w:r>
      <w:r w:rsidR="0097149D">
        <w:t>improvement</w:t>
      </w:r>
      <w:r w:rsidR="00040F3F" w:rsidRPr="00040F3F">
        <w:t xml:space="preserve"> of </w:t>
      </w:r>
      <w:r w:rsidR="0097149D">
        <w:t xml:space="preserve">influenza </w:t>
      </w:r>
      <w:r w:rsidR="00040F3F" w:rsidRPr="00040F3F">
        <w:t xml:space="preserve">symptoms in </w:t>
      </w:r>
      <w:r w:rsidR="0097149D">
        <w:t xml:space="preserve">High Risk </w:t>
      </w:r>
      <w:r w:rsidR="00040F3F">
        <w:t xml:space="preserve">patients </w:t>
      </w:r>
      <w:r w:rsidR="00040F3F" w:rsidRPr="00040F3F">
        <w:t>(</w:t>
      </w:r>
      <w:r w:rsidR="002F0E1A">
        <w:t>Xofluza</w:t>
      </w:r>
      <w:r w:rsidR="00040F3F" w:rsidRPr="00040F3F">
        <w:t xml:space="preserve"> vs Placebo)</w:t>
      </w:r>
    </w:p>
    <w:tbl>
      <w:tblPr>
        <w:tblStyle w:val="TableGrid"/>
        <w:tblW w:w="0" w:type="auto"/>
        <w:tblLook w:val="04A0" w:firstRow="1" w:lastRow="0" w:firstColumn="1" w:lastColumn="0" w:noHBand="0" w:noVBand="1"/>
      </w:tblPr>
      <w:tblGrid>
        <w:gridCol w:w="2265"/>
        <w:gridCol w:w="2265"/>
        <w:gridCol w:w="2836"/>
        <w:gridCol w:w="1694"/>
      </w:tblGrid>
      <w:tr w:rsidR="00040F3F" w:rsidRPr="00F55867" w14:paraId="7E50FD93" w14:textId="77777777" w:rsidTr="009A096F">
        <w:tc>
          <w:tcPr>
            <w:tcW w:w="9060" w:type="dxa"/>
            <w:gridSpan w:val="4"/>
          </w:tcPr>
          <w:p w14:paraId="46CB3F87" w14:textId="7700E415" w:rsidR="00040F3F" w:rsidRPr="00F55867" w:rsidRDefault="00106E7C"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Median</w:t>
            </w:r>
            <w:r w:rsidRPr="00F55867">
              <w:rPr>
                <w:sz w:val="22"/>
                <w:lang w:val="en-AU"/>
              </w:rPr>
              <w:t xml:space="preserve"> </w:t>
            </w:r>
            <w:r w:rsidR="00040F3F" w:rsidRPr="00F55867">
              <w:rPr>
                <w:sz w:val="22"/>
                <w:lang w:val="en-AU"/>
              </w:rPr>
              <w:t xml:space="preserve">Time to </w:t>
            </w:r>
            <w:r w:rsidR="00040F3F">
              <w:rPr>
                <w:sz w:val="22"/>
                <w:lang w:val="en-AU"/>
              </w:rPr>
              <w:t>Improvement of Influenza Symptoms (</w:t>
            </w:r>
            <w:r>
              <w:rPr>
                <w:sz w:val="22"/>
                <w:lang w:val="en-AU"/>
              </w:rPr>
              <w:t>hours</w:t>
            </w:r>
            <w:r w:rsidR="00040F3F">
              <w:rPr>
                <w:sz w:val="22"/>
                <w:lang w:val="en-AU"/>
              </w:rPr>
              <w:t>)</w:t>
            </w:r>
          </w:p>
        </w:tc>
      </w:tr>
      <w:tr w:rsidR="00040F3F" w:rsidRPr="00F55867" w14:paraId="26EBE69A" w14:textId="77777777" w:rsidTr="009A096F">
        <w:tc>
          <w:tcPr>
            <w:tcW w:w="2265" w:type="dxa"/>
          </w:tcPr>
          <w:p w14:paraId="041CE0F3" w14:textId="552D520B" w:rsidR="00040F3F" w:rsidRPr="00B57EDF" w:rsidRDefault="002F0E1A" w:rsidP="00040F3F">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B57EDF">
              <w:rPr>
                <w:sz w:val="22"/>
                <w:lang w:val="en-AU"/>
              </w:rPr>
              <w:t>Xofluza</w:t>
            </w:r>
            <w:r w:rsidR="00040F3F" w:rsidRPr="00B57EDF">
              <w:rPr>
                <w:sz w:val="22"/>
                <w:lang w:val="en-AU"/>
              </w:rPr>
              <w:t xml:space="preserve"> 40/80 mg</w:t>
            </w:r>
            <w:r w:rsidR="00CE00B1" w:rsidRPr="00CE00B1">
              <w:rPr>
                <w:sz w:val="22"/>
                <w:vertAlign w:val="superscript"/>
                <w:lang w:val="en-AU"/>
              </w:rPr>
              <w:t>1</w:t>
            </w:r>
            <w:r w:rsidR="00040F3F" w:rsidRPr="00B57EDF">
              <w:rPr>
                <w:sz w:val="22"/>
                <w:lang w:val="en-AU"/>
              </w:rPr>
              <w:br/>
              <w:t xml:space="preserve"> (95% CI)</w:t>
            </w:r>
            <w:r w:rsidR="00040F3F" w:rsidRPr="00B57EDF">
              <w:rPr>
                <w:sz w:val="22"/>
                <w:lang w:val="en-AU"/>
              </w:rPr>
              <w:br/>
              <w:t>N=385</w:t>
            </w:r>
          </w:p>
        </w:tc>
        <w:tc>
          <w:tcPr>
            <w:tcW w:w="2265" w:type="dxa"/>
          </w:tcPr>
          <w:p w14:paraId="62EE7728" w14:textId="7CF67307" w:rsidR="00040F3F" w:rsidRPr="00B57EDF" w:rsidRDefault="00040F3F" w:rsidP="00040F3F">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B57EDF">
              <w:rPr>
                <w:sz w:val="22"/>
                <w:lang w:val="en-AU"/>
              </w:rPr>
              <w:t>Placebo</w:t>
            </w:r>
            <w:r w:rsidRPr="00B57EDF">
              <w:rPr>
                <w:sz w:val="22"/>
                <w:lang w:val="en-AU"/>
              </w:rPr>
              <w:br/>
              <w:t xml:space="preserve"> (95% CI)</w:t>
            </w:r>
            <w:r w:rsidRPr="00B57EDF">
              <w:rPr>
                <w:sz w:val="22"/>
                <w:lang w:val="en-AU"/>
              </w:rPr>
              <w:br/>
              <w:t>N=385</w:t>
            </w:r>
          </w:p>
        </w:tc>
        <w:tc>
          <w:tcPr>
            <w:tcW w:w="2836" w:type="dxa"/>
          </w:tcPr>
          <w:p w14:paraId="715E322A" w14:textId="4FFE6DDE" w:rsidR="00040F3F" w:rsidRPr="00B57EDF" w:rsidRDefault="00040F3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B57EDF">
              <w:rPr>
                <w:sz w:val="22"/>
                <w:lang w:val="en-AU"/>
              </w:rPr>
              <w:t xml:space="preserve">Difference between </w:t>
            </w:r>
            <w:r w:rsidR="002F0E1A" w:rsidRPr="00B57EDF">
              <w:rPr>
                <w:sz w:val="22"/>
                <w:lang w:val="en-AU"/>
              </w:rPr>
              <w:t>Xofluza</w:t>
            </w:r>
            <w:r w:rsidRPr="00B57EDF">
              <w:rPr>
                <w:sz w:val="22"/>
                <w:lang w:val="en-AU"/>
              </w:rPr>
              <w:t xml:space="preserve"> and placebo</w:t>
            </w:r>
            <w:r w:rsidRPr="00B57EDF">
              <w:rPr>
                <w:sz w:val="22"/>
                <w:lang w:val="en-AU"/>
              </w:rPr>
              <w:br/>
              <w:t>(95% CI for difference)</w:t>
            </w:r>
          </w:p>
        </w:tc>
        <w:tc>
          <w:tcPr>
            <w:tcW w:w="1694" w:type="dxa"/>
          </w:tcPr>
          <w:p w14:paraId="45B76008" w14:textId="7F97FF9D" w:rsidR="00040F3F" w:rsidRPr="00F55867" w:rsidRDefault="00040F3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B57EDF">
              <w:rPr>
                <w:sz w:val="22"/>
                <w:lang w:val="en-AU"/>
              </w:rPr>
              <w:t>P-value</w:t>
            </w:r>
            <w:r w:rsidR="00CE00B1" w:rsidRPr="00CE00B1">
              <w:rPr>
                <w:sz w:val="22"/>
                <w:vertAlign w:val="superscript"/>
                <w:lang w:val="en-AU"/>
              </w:rPr>
              <w:t>2</w:t>
            </w:r>
          </w:p>
        </w:tc>
      </w:tr>
      <w:tr w:rsidR="00040F3F" w:rsidRPr="00F55867" w14:paraId="5FB2F793" w14:textId="77777777" w:rsidTr="009A096F">
        <w:tc>
          <w:tcPr>
            <w:tcW w:w="2265" w:type="dxa"/>
          </w:tcPr>
          <w:p w14:paraId="42FA77AA" w14:textId="1925E5BC" w:rsidR="00040F3F" w:rsidRPr="00F55867" w:rsidRDefault="00040F3F"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040F3F">
              <w:rPr>
                <w:sz w:val="22"/>
                <w:lang w:val="en-AU"/>
              </w:rPr>
              <w:t>73.2</w:t>
            </w:r>
            <w:r>
              <w:rPr>
                <w:sz w:val="22"/>
                <w:lang w:val="en-AU"/>
              </w:rPr>
              <w:br/>
            </w:r>
            <w:r w:rsidRPr="00040F3F">
              <w:rPr>
                <w:sz w:val="22"/>
                <w:lang w:val="en-AU"/>
              </w:rPr>
              <w:t>(67.5, 85.1)</w:t>
            </w:r>
          </w:p>
        </w:tc>
        <w:tc>
          <w:tcPr>
            <w:tcW w:w="2265" w:type="dxa"/>
          </w:tcPr>
          <w:p w14:paraId="1DCD86CF" w14:textId="39BBBF3C" w:rsidR="00040F3F" w:rsidRPr="00F55867" w:rsidRDefault="00040F3F"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040F3F">
              <w:rPr>
                <w:sz w:val="22"/>
                <w:lang w:val="en-AU"/>
              </w:rPr>
              <w:t>102.3</w:t>
            </w:r>
            <w:r>
              <w:rPr>
                <w:sz w:val="22"/>
                <w:lang w:val="en-AU"/>
              </w:rPr>
              <w:br/>
            </w:r>
            <w:r w:rsidRPr="00040F3F">
              <w:rPr>
                <w:sz w:val="22"/>
                <w:lang w:val="en-AU"/>
              </w:rPr>
              <w:t>(92.7, 113.1)</w:t>
            </w:r>
          </w:p>
        </w:tc>
        <w:tc>
          <w:tcPr>
            <w:tcW w:w="2836" w:type="dxa"/>
          </w:tcPr>
          <w:p w14:paraId="70B962B3" w14:textId="3627D37B" w:rsidR="00040F3F" w:rsidRPr="00F55867" w:rsidRDefault="00040F3F"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040F3F">
              <w:rPr>
                <w:sz w:val="22"/>
                <w:lang w:val="en-AU"/>
              </w:rPr>
              <w:t>-29.1</w:t>
            </w:r>
            <w:r>
              <w:rPr>
                <w:sz w:val="22"/>
                <w:lang w:val="en-AU"/>
              </w:rPr>
              <w:br/>
            </w:r>
            <w:r w:rsidRPr="00040F3F">
              <w:rPr>
                <w:sz w:val="22"/>
                <w:lang w:val="en-AU"/>
              </w:rPr>
              <w:t>(−42.8, −14.6)</w:t>
            </w:r>
          </w:p>
        </w:tc>
        <w:tc>
          <w:tcPr>
            <w:tcW w:w="1694" w:type="dxa"/>
          </w:tcPr>
          <w:p w14:paraId="130C7360" w14:textId="596711B1" w:rsidR="00040F3F" w:rsidRDefault="00040F3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040F3F">
              <w:rPr>
                <w:sz w:val="22"/>
                <w:lang w:val="en-AU"/>
              </w:rPr>
              <w:t>&lt; 0.0001</w:t>
            </w:r>
          </w:p>
        </w:tc>
      </w:tr>
    </w:tbl>
    <w:p w14:paraId="70B67076" w14:textId="74D1466F" w:rsidR="00CE00B1" w:rsidRDefault="00CE00B1" w:rsidP="00CE00B1">
      <w:pPr>
        <w:rPr>
          <w:lang w:val="en-AU"/>
        </w:rPr>
      </w:pPr>
      <w:r>
        <w:rPr>
          <w:sz w:val="22"/>
          <w:lang w:val="en-AU"/>
        </w:rPr>
        <w:t>CI = confidence interval</w:t>
      </w:r>
      <w:r w:rsidRPr="00CE00B1">
        <w:rPr>
          <w:sz w:val="22"/>
          <w:vertAlign w:val="superscript"/>
          <w:lang w:val="en-AU"/>
        </w:rPr>
        <w:t xml:space="preserve"> </w:t>
      </w:r>
      <w:r>
        <w:rPr>
          <w:sz w:val="22"/>
          <w:vertAlign w:val="superscript"/>
          <w:lang w:val="en-AU"/>
        </w:rPr>
        <w:br/>
      </w:r>
      <w:r w:rsidRPr="00CE00B1">
        <w:rPr>
          <w:sz w:val="22"/>
          <w:vertAlign w:val="superscript"/>
          <w:lang w:val="en-AU"/>
        </w:rPr>
        <w:t>1</w:t>
      </w:r>
      <w:r>
        <w:rPr>
          <w:sz w:val="22"/>
          <w:lang w:val="en-AU"/>
        </w:rPr>
        <w:t xml:space="preserve"> </w:t>
      </w:r>
      <w:r w:rsidRPr="00CE00B1">
        <w:rPr>
          <w:sz w:val="22"/>
          <w:lang w:val="en-AU"/>
        </w:rPr>
        <w:t xml:space="preserve">Dosing was based on weight. </w:t>
      </w:r>
      <w:r>
        <w:rPr>
          <w:sz w:val="22"/>
          <w:lang w:val="en-AU"/>
        </w:rPr>
        <w:t>Patients</w:t>
      </w:r>
      <w:r w:rsidRPr="00CE00B1">
        <w:rPr>
          <w:sz w:val="22"/>
          <w:lang w:val="en-AU"/>
        </w:rPr>
        <w:t xml:space="preserve"> weighing &lt; 80 kg received a single 40 mg dose and </w:t>
      </w:r>
      <w:r>
        <w:rPr>
          <w:sz w:val="22"/>
          <w:lang w:val="en-AU"/>
        </w:rPr>
        <w:t>patients ≥ </w:t>
      </w:r>
      <w:r w:rsidRPr="00CE00B1">
        <w:rPr>
          <w:sz w:val="22"/>
          <w:lang w:val="en-AU"/>
        </w:rPr>
        <w:t xml:space="preserve">80 </w:t>
      </w:r>
      <w:r>
        <w:rPr>
          <w:sz w:val="22"/>
          <w:lang w:val="en-AU"/>
        </w:rPr>
        <w:t>kg received a single 80 mg dose</w:t>
      </w:r>
      <w:r>
        <w:rPr>
          <w:sz w:val="22"/>
          <w:lang w:val="en-AU"/>
        </w:rPr>
        <w:br/>
      </w:r>
      <w:r w:rsidRPr="00DD5662">
        <w:rPr>
          <w:sz w:val="22"/>
          <w:vertAlign w:val="superscript"/>
          <w:lang w:val="en-AU"/>
        </w:rPr>
        <w:t>2</w:t>
      </w:r>
      <w:r>
        <w:rPr>
          <w:sz w:val="22"/>
          <w:lang w:val="en-AU"/>
        </w:rPr>
        <w:t xml:space="preserve"> </w:t>
      </w:r>
      <w:r w:rsidRPr="00CE00B1">
        <w:rPr>
          <w:sz w:val="22"/>
          <w:lang w:val="en-AU"/>
        </w:rPr>
        <w:t>P-values b</w:t>
      </w:r>
      <w:r>
        <w:rPr>
          <w:sz w:val="22"/>
          <w:lang w:val="en-AU"/>
        </w:rPr>
        <w:t>ased on the stratified generalis</w:t>
      </w:r>
      <w:r w:rsidRPr="00CE00B1">
        <w:rPr>
          <w:sz w:val="22"/>
          <w:lang w:val="en-AU"/>
        </w:rPr>
        <w:t xml:space="preserve">ed Wilcoxon test. Stratification factors: </w:t>
      </w:r>
      <w:r w:rsidR="003F3694" w:rsidRPr="00CE00B1">
        <w:rPr>
          <w:sz w:val="22"/>
          <w:lang w:val="en-AU"/>
        </w:rPr>
        <w:t>region</w:t>
      </w:r>
      <w:r w:rsidR="003F3694">
        <w:rPr>
          <w:sz w:val="22"/>
          <w:lang w:val="en-AU"/>
        </w:rPr>
        <w:t>,</w:t>
      </w:r>
      <w:r w:rsidR="003F3694" w:rsidRPr="00CE00B1">
        <w:rPr>
          <w:sz w:val="22"/>
          <w:lang w:val="en-AU"/>
        </w:rPr>
        <w:t xml:space="preserve"> </w:t>
      </w:r>
      <w:r w:rsidRPr="00CE00B1">
        <w:rPr>
          <w:sz w:val="22"/>
          <w:lang w:val="en-AU"/>
        </w:rPr>
        <w:t>composite symptom scores at baseline</w:t>
      </w:r>
      <w:r w:rsidR="00E42F85">
        <w:rPr>
          <w:sz w:val="22"/>
          <w:lang w:val="en-AU"/>
        </w:rPr>
        <w:t>,</w:t>
      </w:r>
      <w:r w:rsidRPr="00CE00B1">
        <w:rPr>
          <w:sz w:val="22"/>
          <w:lang w:val="en-AU"/>
        </w:rPr>
        <w:t xml:space="preserve"> and </w:t>
      </w:r>
      <w:r w:rsidR="003F3694" w:rsidRPr="003F3694">
        <w:rPr>
          <w:sz w:val="22"/>
          <w:lang w:val="en-AU"/>
        </w:rPr>
        <w:t>pre</w:t>
      </w:r>
      <w:r w:rsidR="00E42F85">
        <w:rPr>
          <w:sz w:val="22"/>
          <w:lang w:val="en-AU"/>
        </w:rPr>
        <w:t>-</w:t>
      </w:r>
      <w:r w:rsidR="003F3694" w:rsidRPr="003F3694">
        <w:rPr>
          <w:sz w:val="22"/>
          <w:lang w:val="en-AU"/>
        </w:rPr>
        <w:t>existing and worsened symptom</w:t>
      </w:r>
      <w:r w:rsidR="00E42F85">
        <w:rPr>
          <w:sz w:val="22"/>
          <w:lang w:val="en-AU"/>
        </w:rPr>
        <w:t>s</w:t>
      </w:r>
    </w:p>
    <w:p w14:paraId="207DB7A7" w14:textId="54EAE165" w:rsidR="00040F3F" w:rsidRDefault="00040F3F" w:rsidP="002824AE">
      <w:pPr>
        <w:rPr>
          <w:lang w:val="en-AU"/>
        </w:rPr>
      </w:pPr>
    </w:p>
    <w:p w14:paraId="0178CB66" w14:textId="77777777" w:rsidR="001D0931" w:rsidRDefault="001D0931" w:rsidP="001D0931">
      <w:pPr>
        <w:keepNext/>
      </w:pPr>
      <w:r>
        <w:t>Secondary efficacy endpoints</w:t>
      </w:r>
    </w:p>
    <w:p w14:paraId="121FC280" w14:textId="77777777" w:rsidR="001D0931" w:rsidRDefault="001D0931" w:rsidP="001D0931">
      <w:pPr>
        <w:keepNext/>
      </w:pPr>
    </w:p>
    <w:p w14:paraId="51D5C0DF" w14:textId="0E3F23A7" w:rsidR="00040F3F" w:rsidRDefault="00040F3F" w:rsidP="002824AE">
      <w:pPr>
        <w:rPr>
          <w:lang w:val="en-AU"/>
        </w:rPr>
      </w:pPr>
      <w:r w:rsidRPr="00040F3F">
        <w:rPr>
          <w:lang w:val="en-AU"/>
        </w:rPr>
        <w:t xml:space="preserve">When the </w:t>
      </w:r>
      <w:r w:rsidR="002F0E1A">
        <w:rPr>
          <w:lang w:val="en-AU"/>
        </w:rPr>
        <w:t>Xofluza</w:t>
      </w:r>
      <w:r w:rsidRPr="00040F3F">
        <w:rPr>
          <w:lang w:val="en-AU"/>
        </w:rPr>
        <w:t xml:space="preserve"> group was compared to the </w:t>
      </w:r>
      <w:proofErr w:type="spellStart"/>
      <w:r w:rsidRPr="00040F3F">
        <w:rPr>
          <w:lang w:val="en-AU"/>
        </w:rPr>
        <w:t>oseltamivir</w:t>
      </w:r>
      <w:proofErr w:type="spellEnd"/>
      <w:r w:rsidRPr="00040F3F">
        <w:rPr>
          <w:lang w:val="en-AU"/>
        </w:rPr>
        <w:t xml:space="preserve"> group, there was no statistically significant difference in time to improvement of influenza symptoms (73.2 h vs 81.0 h respectively) </w:t>
      </w:r>
      <w:r>
        <w:rPr>
          <w:lang w:val="en-AU"/>
        </w:rPr>
        <w:t>(</w:t>
      </w:r>
      <w:r w:rsidR="004E486E">
        <w:rPr>
          <w:lang w:val="en-AU"/>
        </w:rPr>
        <w:t xml:space="preserve">Table </w:t>
      </w:r>
      <w:r w:rsidR="0031430F">
        <w:rPr>
          <w:lang w:val="en-AU"/>
        </w:rPr>
        <w:t>6</w:t>
      </w:r>
      <w:r>
        <w:rPr>
          <w:lang w:val="en-AU"/>
        </w:rPr>
        <w:t>).</w:t>
      </w:r>
    </w:p>
    <w:p w14:paraId="189F8B79" w14:textId="27476DD9" w:rsidR="0097149D" w:rsidRPr="00F55867" w:rsidRDefault="0097149D" w:rsidP="00B739DB">
      <w:pPr>
        <w:pStyle w:val="Tableheading"/>
      </w:pPr>
      <w:r>
        <w:t xml:space="preserve">Table </w:t>
      </w:r>
      <w:r w:rsidR="0031430F">
        <w:t>6</w:t>
      </w:r>
      <w:r w:rsidRPr="00B41F0E">
        <w:tab/>
      </w:r>
      <w:r w:rsidRPr="00F55867">
        <w:t xml:space="preserve">Time to </w:t>
      </w:r>
      <w:r>
        <w:t>improvement</w:t>
      </w:r>
      <w:r w:rsidRPr="00F55867">
        <w:t xml:space="preserve"> of </w:t>
      </w:r>
      <w:r>
        <w:t>influenza s</w:t>
      </w:r>
      <w:r w:rsidRPr="00F55867">
        <w:t xml:space="preserve">ymptoms in </w:t>
      </w:r>
      <w:r>
        <w:t>High Risk</w:t>
      </w:r>
      <w:r w:rsidRPr="00F55867">
        <w:t xml:space="preserve"> </w:t>
      </w:r>
      <w:r>
        <w:t>p</w:t>
      </w:r>
      <w:r w:rsidRPr="00F55867">
        <w:t xml:space="preserve">atients </w:t>
      </w:r>
      <w:r>
        <w:t>(</w:t>
      </w:r>
      <w:r w:rsidR="002F0E1A">
        <w:t>Xofluza</w:t>
      </w:r>
      <w:r>
        <w:t xml:space="preserve"> vs </w:t>
      </w:r>
      <w:proofErr w:type="spellStart"/>
      <w:r>
        <w:t>o</w:t>
      </w:r>
      <w:r w:rsidRPr="00F55867">
        <w:t>seltamivir</w:t>
      </w:r>
      <w:proofErr w:type="spellEnd"/>
      <w:r w:rsidRPr="00F55867">
        <w:t>)</w:t>
      </w:r>
    </w:p>
    <w:tbl>
      <w:tblPr>
        <w:tblStyle w:val="TableGrid"/>
        <w:tblW w:w="0" w:type="auto"/>
        <w:tblLook w:val="04A0" w:firstRow="1" w:lastRow="0" w:firstColumn="1" w:lastColumn="0" w:noHBand="0" w:noVBand="1"/>
      </w:tblPr>
      <w:tblGrid>
        <w:gridCol w:w="2265"/>
        <w:gridCol w:w="2265"/>
        <w:gridCol w:w="2836"/>
        <w:gridCol w:w="1694"/>
      </w:tblGrid>
      <w:tr w:rsidR="0097149D" w:rsidRPr="00F55867" w14:paraId="60640EDE" w14:textId="77777777" w:rsidTr="009A096F">
        <w:tc>
          <w:tcPr>
            <w:tcW w:w="9060" w:type="dxa"/>
            <w:gridSpan w:val="4"/>
          </w:tcPr>
          <w:p w14:paraId="3BB66C43" w14:textId="19E56BB3" w:rsidR="0097149D" w:rsidRPr="00F55867" w:rsidRDefault="00106E7C" w:rsidP="00B739D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Median</w:t>
            </w:r>
            <w:r w:rsidRPr="0097149D">
              <w:rPr>
                <w:sz w:val="22"/>
                <w:lang w:val="en-AU"/>
              </w:rPr>
              <w:t xml:space="preserve"> </w:t>
            </w:r>
            <w:r w:rsidR="0097149D" w:rsidRPr="0097149D">
              <w:rPr>
                <w:sz w:val="22"/>
                <w:lang w:val="en-AU"/>
              </w:rPr>
              <w:t>Time to Improvement of Influenza Symptoms</w:t>
            </w:r>
            <w:r w:rsidR="0097149D">
              <w:rPr>
                <w:sz w:val="22"/>
                <w:lang w:val="en-AU"/>
              </w:rPr>
              <w:t xml:space="preserve"> (</w:t>
            </w:r>
            <w:r>
              <w:rPr>
                <w:sz w:val="22"/>
                <w:lang w:val="en-AU"/>
              </w:rPr>
              <w:t>hours</w:t>
            </w:r>
            <w:r w:rsidR="0097149D">
              <w:rPr>
                <w:sz w:val="22"/>
                <w:lang w:val="en-AU"/>
              </w:rPr>
              <w:t>)</w:t>
            </w:r>
          </w:p>
        </w:tc>
      </w:tr>
      <w:tr w:rsidR="0097149D" w:rsidRPr="00F55867" w14:paraId="3739FBFC" w14:textId="77777777" w:rsidTr="00B57EDF">
        <w:tc>
          <w:tcPr>
            <w:tcW w:w="2265" w:type="dxa"/>
            <w:shd w:val="clear" w:color="auto" w:fill="FFFFFF" w:themeFill="background1"/>
          </w:tcPr>
          <w:p w14:paraId="799B5441" w14:textId="0BC02E6B" w:rsidR="0097149D" w:rsidRPr="00F55867" w:rsidRDefault="002F0E1A" w:rsidP="00B739D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Xofluza</w:t>
            </w:r>
            <w:r w:rsidR="0097149D" w:rsidRPr="00F55867">
              <w:rPr>
                <w:sz w:val="22"/>
                <w:lang w:val="en-AU"/>
              </w:rPr>
              <w:t xml:space="preserve"> 40/80 mg</w:t>
            </w:r>
            <w:r w:rsidR="003F3694" w:rsidRPr="003F3694">
              <w:rPr>
                <w:sz w:val="22"/>
                <w:vertAlign w:val="superscript"/>
                <w:lang w:val="en-AU"/>
              </w:rPr>
              <w:t>1</w:t>
            </w:r>
            <w:r w:rsidR="0097149D">
              <w:rPr>
                <w:sz w:val="22"/>
                <w:lang w:val="en-AU"/>
              </w:rPr>
              <w:br/>
            </w:r>
            <w:r w:rsidR="0097149D" w:rsidRPr="00F55867">
              <w:rPr>
                <w:sz w:val="22"/>
                <w:lang w:val="en-AU"/>
              </w:rPr>
              <w:t xml:space="preserve"> (95% CI)</w:t>
            </w:r>
            <w:r w:rsidR="0097149D">
              <w:rPr>
                <w:sz w:val="22"/>
                <w:lang w:val="en-AU"/>
              </w:rPr>
              <w:br/>
            </w:r>
            <w:r w:rsidR="0097149D" w:rsidRPr="00B57EDF">
              <w:rPr>
                <w:sz w:val="22"/>
                <w:lang w:val="en-AU"/>
              </w:rPr>
              <w:t>N=385</w:t>
            </w:r>
          </w:p>
        </w:tc>
        <w:tc>
          <w:tcPr>
            <w:tcW w:w="2265" w:type="dxa"/>
            <w:shd w:val="clear" w:color="auto" w:fill="FFFFFF" w:themeFill="background1"/>
          </w:tcPr>
          <w:p w14:paraId="56FC3A3F" w14:textId="0D7F0C8D" w:rsidR="0097149D" w:rsidRPr="00F55867" w:rsidRDefault="0097149D" w:rsidP="00B739D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proofErr w:type="spellStart"/>
            <w:r w:rsidRPr="0097149D">
              <w:rPr>
                <w:sz w:val="22"/>
                <w:lang w:val="en-AU"/>
              </w:rPr>
              <w:t>Oseltamivir</w:t>
            </w:r>
            <w:proofErr w:type="spellEnd"/>
            <w:r>
              <w:rPr>
                <w:sz w:val="22"/>
                <w:lang w:val="en-AU"/>
              </w:rPr>
              <w:br/>
            </w:r>
            <w:r w:rsidRPr="00F55867">
              <w:rPr>
                <w:sz w:val="22"/>
                <w:lang w:val="en-AU"/>
              </w:rPr>
              <w:t xml:space="preserve"> (95% CI)</w:t>
            </w:r>
            <w:r>
              <w:rPr>
                <w:sz w:val="22"/>
                <w:lang w:val="en-AU"/>
              </w:rPr>
              <w:br/>
            </w:r>
            <w:r w:rsidRPr="00F55867">
              <w:rPr>
                <w:sz w:val="22"/>
                <w:lang w:val="en-AU"/>
              </w:rPr>
              <w:t>N=</w:t>
            </w:r>
            <w:r w:rsidRPr="00B57EDF">
              <w:rPr>
                <w:sz w:val="22"/>
                <w:lang w:val="en-AU"/>
              </w:rPr>
              <w:t>388</w:t>
            </w:r>
          </w:p>
        </w:tc>
        <w:tc>
          <w:tcPr>
            <w:tcW w:w="2836" w:type="dxa"/>
            <w:shd w:val="clear" w:color="auto" w:fill="FFFFFF" w:themeFill="background1"/>
          </w:tcPr>
          <w:p w14:paraId="25536DD0" w14:textId="5E01F755" w:rsidR="0097149D" w:rsidRPr="00F55867" w:rsidRDefault="0097149D" w:rsidP="00B739D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F55867">
              <w:rPr>
                <w:sz w:val="22"/>
                <w:lang w:val="en-AU"/>
              </w:rPr>
              <w:t xml:space="preserve">Difference between </w:t>
            </w:r>
            <w:r w:rsidR="002F0E1A">
              <w:rPr>
                <w:sz w:val="22"/>
                <w:lang w:val="en-AU"/>
              </w:rPr>
              <w:t>Xofluza</w:t>
            </w:r>
            <w:r w:rsidRPr="00F55867">
              <w:rPr>
                <w:sz w:val="22"/>
                <w:lang w:val="en-AU"/>
              </w:rPr>
              <w:t xml:space="preserve"> and </w:t>
            </w:r>
            <w:proofErr w:type="spellStart"/>
            <w:r>
              <w:rPr>
                <w:sz w:val="22"/>
                <w:lang w:val="en-AU"/>
              </w:rPr>
              <w:t>o</w:t>
            </w:r>
            <w:r w:rsidRPr="009856B7">
              <w:rPr>
                <w:sz w:val="22"/>
                <w:lang w:val="en-AU"/>
              </w:rPr>
              <w:t>seltamivir</w:t>
            </w:r>
            <w:proofErr w:type="spellEnd"/>
            <w:r>
              <w:rPr>
                <w:sz w:val="22"/>
                <w:lang w:val="en-AU"/>
              </w:rPr>
              <w:br/>
            </w:r>
            <w:r w:rsidRPr="00F55867">
              <w:rPr>
                <w:sz w:val="22"/>
                <w:lang w:val="en-AU"/>
              </w:rPr>
              <w:t>(95% CI for difference)</w:t>
            </w:r>
          </w:p>
        </w:tc>
        <w:tc>
          <w:tcPr>
            <w:tcW w:w="1694" w:type="dxa"/>
            <w:shd w:val="clear" w:color="auto" w:fill="FFFFFF" w:themeFill="background1"/>
          </w:tcPr>
          <w:p w14:paraId="0CA87FC2" w14:textId="16360C76" w:rsidR="0097149D" w:rsidRPr="00F55867" w:rsidRDefault="0097149D" w:rsidP="00B739DB">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P-value</w:t>
            </w:r>
            <w:r w:rsidR="003F3694" w:rsidRPr="003F3694">
              <w:rPr>
                <w:sz w:val="22"/>
                <w:vertAlign w:val="superscript"/>
                <w:lang w:val="en-AU"/>
              </w:rPr>
              <w:t>2</w:t>
            </w:r>
          </w:p>
        </w:tc>
      </w:tr>
      <w:tr w:rsidR="0097149D" w:rsidRPr="00F55867" w14:paraId="245FF0E0" w14:textId="77777777" w:rsidTr="009A096F">
        <w:tc>
          <w:tcPr>
            <w:tcW w:w="2265" w:type="dxa"/>
          </w:tcPr>
          <w:p w14:paraId="4684C977" w14:textId="01DD9218" w:rsidR="0097149D" w:rsidRPr="00F55867" w:rsidRDefault="00106E7C"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73.2</w:t>
            </w:r>
            <w:r w:rsidR="0097149D">
              <w:rPr>
                <w:sz w:val="22"/>
                <w:lang w:val="en-AU"/>
              </w:rPr>
              <w:br/>
            </w:r>
            <w:r w:rsidR="0097149D" w:rsidRPr="0097149D">
              <w:rPr>
                <w:sz w:val="22"/>
                <w:lang w:val="en-AU"/>
              </w:rPr>
              <w:t>(67.5, 85.1)</w:t>
            </w:r>
          </w:p>
        </w:tc>
        <w:tc>
          <w:tcPr>
            <w:tcW w:w="2265" w:type="dxa"/>
          </w:tcPr>
          <w:p w14:paraId="6F31A8AE" w14:textId="2E059657" w:rsidR="0097149D" w:rsidRPr="00F55867" w:rsidRDefault="00106E7C"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81.0</w:t>
            </w:r>
            <w:r w:rsidR="0097149D">
              <w:rPr>
                <w:sz w:val="22"/>
                <w:lang w:val="en-AU"/>
              </w:rPr>
              <w:br/>
            </w:r>
            <w:r w:rsidR="0097149D" w:rsidRPr="0097149D">
              <w:rPr>
                <w:sz w:val="22"/>
                <w:lang w:val="en-AU"/>
              </w:rPr>
              <w:t>(69.4, 91.5)</w:t>
            </w:r>
          </w:p>
        </w:tc>
        <w:tc>
          <w:tcPr>
            <w:tcW w:w="2836" w:type="dxa"/>
          </w:tcPr>
          <w:p w14:paraId="5F20FBDE" w14:textId="63FFE1CA" w:rsidR="0097149D" w:rsidRPr="00F55867" w:rsidRDefault="00106E7C" w:rsidP="00106E7C">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Pr>
                <w:sz w:val="22"/>
                <w:lang w:val="en-AU"/>
              </w:rPr>
              <w:t>-7.7</w:t>
            </w:r>
            <w:r w:rsidR="0097149D">
              <w:rPr>
                <w:sz w:val="22"/>
                <w:lang w:val="en-AU"/>
              </w:rPr>
              <w:br/>
            </w:r>
            <w:r w:rsidR="0097149D" w:rsidRPr="0097149D">
              <w:rPr>
                <w:sz w:val="22"/>
                <w:lang w:val="en-AU"/>
              </w:rPr>
              <w:t>(−22.7, 7.9)</w:t>
            </w:r>
          </w:p>
        </w:tc>
        <w:tc>
          <w:tcPr>
            <w:tcW w:w="1694" w:type="dxa"/>
          </w:tcPr>
          <w:p w14:paraId="0F6B59C7" w14:textId="6D080974" w:rsidR="0097149D" w:rsidRDefault="0097149D"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97149D">
              <w:rPr>
                <w:sz w:val="22"/>
                <w:lang w:val="en-AU"/>
              </w:rPr>
              <w:t>0.8347</w:t>
            </w:r>
          </w:p>
        </w:tc>
      </w:tr>
    </w:tbl>
    <w:p w14:paraId="54E1C375" w14:textId="6FCDF3B9" w:rsidR="003F3694" w:rsidRDefault="003F3694" w:rsidP="003F3694">
      <w:pPr>
        <w:rPr>
          <w:lang w:val="en-AU"/>
        </w:rPr>
      </w:pPr>
      <w:r>
        <w:rPr>
          <w:sz w:val="22"/>
          <w:lang w:val="en-AU"/>
        </w:rPr>
        <w:t>CI = confidence interval</w:t>
      </w:r>
      <w:r w:rsidRPr="00CE00B1">
        <w:rPr>
          <w:sz w:val="22"/>
          <w:vertAlign w:val="superscript"/>
          <w:lang w:val="en-AU"/>
        </w:rPr>
        <w:t xml:space="preserve"> </w:t>
      </w:r>
      <w:r>
        <w:rPr>
          <w:sz w:val="22"/>
          <w:vertAlign w:val="superscript"/>
          <w:lang w:val="en-AU"/>
        </w:rPr>
        <w:br/>
      </w:r>
      <w:r w:rsidRPr="00CE00B1">
        <w:rPr>
          <w:sz w:val="22"/>
          <w:vertAlign w:val="superscript"/>
          <w:lang w:val="en-AU"/>
        </w:rPr>
        <w:t>1</w:t>
      </w:r>
      <w:r>
        <w:rPr>
          <w:sz w:val="22"/>
          <w:lang w:val="en-AU"/>
        </w:rPr>
        <w:t xml:space="preserve"> </w:t>
      </w:r>
      <w:r w:rsidRPr="00CE00B1">
        <w:rPr>
          <w:sz w:val="22"/>
          <w:lang w:val="en-AU"/>
        </w:rPr>
        <w:t xml:space="preserve">Dosing was based on weight. </w:t>
      </w:r>
      <w:r>
        <w:rPr>
          <w:sz w:val="22"/>
          <w:lang w:val="en-AU"/>
        </w:rPr>
        <w:t>Patients</w:t>
      </w:r>
      <w:r w:rsidRPr="00CE00B1">
        <w:rPr>
          <w:sz w:val="22"/>
          <w:lang w:val="en-AU"/>
        </w:rPr>
        <w:t xml:space="preserve"> weighing &lt; 80 kg received a single 40 mg dose and </w:t>
      </w:r>
      <w:r>
        <w:rPr>
          <w:sz w:val="22"/>
          <w:lang w:val="en-AU"/>
        </w:rPr>
        <w:t>patients ≥ </w:t>
      </w:r>
      <w:r w:rsidRPr="00CE00B1">
        <w:rPr>
          <w:sz w:val="22"/>
          <w:lang w:val="en-AU"/>
        </w:rPr>
        <w:t xml:space="preserve">80 </w:t>
      </w:r>
      <w:r>
        <w:rPr>
          <w:sz w:val="22"/>
          <w:lang w:val="en-AU"/>
        </w:rPr>
        <w:t>kg received a single 80 mg dose</w:t>
      </w:r>
      <w:r>
        <w:rPr>
          <w:sz w:val="22"/>
          <w:lang w:val="en-AU"/>
        </w:rPr>
        <w:br/>
      </w:r>
      <w:r w:rsidRPr="00DD5662">
        <w:rPr>
          <w:sz w:val="22"/>
          <w:vertAlign w:val="superscript"/>
          <w:lang w:val="en-AU"/>
        </w:rPr>
        <w:t>2</w:t>
      </w:r>
      <w:r>
        <w:rPr>
          <w:sz w:val="22"/>
          <w:lang w:val="en-AU"/>
        </w:rPr>
        <w:t xml:space="preserve"> </w:t>
      </w:r>
      <w:r w:rsidRPr="00CE00B1">
        <w:rPr>
          <w:sz w:val="22"/>
          <w:lang w:val="en-AU"/>
        </w:rPr>
        <w:t>P-values b</w:t>
      </w:r>
      <w:r>
        <w:rPr>
          <w:sz w:val="22"/>
          <w:lang w:val="en-AU"/>
        </w:rPr>
        <w:t>ased on the stratified generalis</w:t>
      </w:r>
      <w:r w:rsidRPr="00CE00B1">
        <w:rPr>
          <w:sz w:val="22"/>
          <w:lang w:val="en-AU"/>
        </w:rPr>
        <w:t>ed Wilcoxon test. Stratification factors: region</w:t>
      </w:r>
      <w:r>
        <w:rPr>
          <w:sz w:val="22"/>
          <w:lang w:val="en-AU"/>
        </w:rPr>
        <w:t>,</w:t>
      </w:r>
      <w:r w:rsidRPr="00CE00B1">
        <w:rPr>
          <w:sz w:val="22"/>
          <w:lang w:val="en-AU"/>
        </w:rPr>
        <w:t xml:space="preserve"> composite symptom scores at baseline</w:t>
      </w:r>
      <w:r w:rsidR="00E42F85">
        <w:rPr>
          <w:sz w:val="22"/>
          <w:lang w:val="en-AU"/>
        </w:rPr>
        <w:t>,</w:t>
      </w:r>
      <w:r w:rsidRPr="00CE00B1">
        <w:rPr>
          <w:sz w:val="22"/>
          <w:lang w:val="en-AU"/>
        </w:rPr>
        <w:t xml:space="preserve"> and </w:t>
      </w:r>
      <w:r w:rsidRPr="003F3694">
        <w:rPr>
          <w:sz w:val="22"/>
          <w:lang w:val="en-AU"/>
        </w:rPr>
        <w:t>pre</w:t>
      </w:r>
      <w:r w:rsidR="00E42F85">
        <w:rPr>
          <w:sz w:val="22"/>
          <w:lang w:val="en-AU"/>
        </w:rPr>
        <w:t>-</w:t>
      </w:r>
      <w:r w:rsidRPr="003F3694">
        <w:rPr>
          <w:sz w:val="22"/>
          <w:lang w:val="en-AU"/>
        </w:rPr>
        <w:t>existing and worsened symptom</w:t>
      </w:r>
    </w:p>
    <w:p w14:paraId="6BD16B20" w14:textId="78D0B19C" w:rsidR="00040F3F" w:rsidRDefault="00040F3F" w:rsidP="002824AE">
      <w:pPr>
        <w:rPr>
          <w:lang w:val="en-AU"/>
        </w:rPr>
      </w:pPr>
    </w:p>
    <w:p w14:paraId="793AA99A" w14:textId="7A4DEFCD" w:rsidR="00B93645" w:rsidRDefault="00B93645" w:rsidP="002824AE">
      <w:pPr>
        <w:rPr>
          <w:lang w:val="en-AU"/>
        </w:rPr>
      </w:pPr>
      <w:r w:rsidRPr="00B93645">
        <w:rPr>
          <w:lang w:val="en-AU"/>
        </w:rPr>
        <w:t xml:space="preserve">For patients infected with type A/H3 virus (predominant strain), the median time to improvement of influenza symptoms was shorter in the </w:t>
      </w:r>
      <w:r w:rsidR="002F0E1A">
        <w:rPr>
          <w:lang w:val="en-AU"/>
        </w:rPr>
        <w:t>Xofluza</w:t>
      </w:r>
      <w:r w:rsidRPr="00B93645">
        <w:rPr>
          <w:lang w:val="en-AU"/>
        </w:rPr>
        <w:t xml:space="preserve"> group compared with the placebo group but not </w:t>
      </w:r>
      <w:r w:rsidR="002678CE">
        <w:rPr>
          <w:lang w:val="en-AU"/>
        </w:rPr>
        <w:t xml:space="preserve">when </w:t>
      </w:r>
      <w:r w:rsidRPr="00B93645">
        <w:rPr>
          <w:lang w:val="en-AU"/>
        </w:rPr>
        <w:t xml:space="preserve">compared with the </w:t>
      </w:r>
      <w:proofErr w:type="spellStart"/>
      <w:r w:rsidRPr="00B93645">
        <w:rPr>
          <w:lang w:val="en-AU"/>
        </w:rPr>
        <w:t>oseltamivir</w:t>
      </w:r>
      <w:proofErr w:type="spellEnd"/>
      <w:r w:rsidRPr="00B93645">
        <w:rPr>
          <w:lang w:val="en-AU"/>
        </w:rPr>
        <w:t xml:space="preserve"> group (</w:t>
      </w:r>
      <w:r>
        <w:rPr>
          <w:lang w:val="en-AU"/>
        </w:rPr>
        <w:t>Table </w:t>
      </w:r>
      <w:r w:rsidR="0031430F">
        <w:rPr>
          <w:lang w:val="en-AU"/>
        </w:rPr>
        <w:t>7</w:t>
      </w:r>
      <w:r w:rsidRPr="00B93645">
        <w:rPr>
          <w:lang w:val="en-AU"/>
        </w:rPr>
        <w:t xml:space="preserve">). In the subgroup of patients infected with type B virus, the median time to improvement of influenza symptoms was shorter in the </w:t>
      </w:r>
      <w:r w:rsidR="002F0E1A">
        <w:rPr>
          <w:lang w:val="en-AU"/>
        </w:rPr>
        <w:t>Xofluza</w:t>
      </w:r>
      <w:r w:rsidRPr="00B93645">
        <w:rPr>
          <w:lang w:val="en-AU"/>
        </w:rPr>
        <w:t xml:space="preserve"> group compared with both the placebo and </w:t>
      </w:r>
      <w:proofErr w:type="spellStart"/>
      <w:r w:rsidRPr="00B93645">
        <w:rPr>
          <w:lang w:val="en-AU"/>
        </w:rPr>
        <w:t>oseltamivir</w:t>
      </w:r>
      <w:proofErr w:type="spellEnd"/>
      <w:r w:rsidRPr="00B93645">
        <w:rPr>
          <w:lang w:val="en-AU"/>
        </w:rPr>
        <w:t xml:space="preserve"> group.</w:t>
      </w:r>
    </w:p>
    <w:p w14:paraId="57838371" w14:textId="1AF580BD" w:rsidR="00B93645" w:rsidRPr="00F55867" w:rsidRDefault="004E486E" w:rsidP="00EF2045">
      <w:pPr>
        <w:pStyle w:val="Tableheading"/>
      </w:pPr>
      <w:r>
        <w:t xml:space="preserve">Table </w:t>
      </w:r>
      <w:r w:rsidR="0031430F">
        <w:t>7</w:t>
      </w:r>
      <w:r w:rsidR="00B93645" w:rsidRPr="00B41F0E">
        <w:tab/>
      </w:r>
      <w:r w:rsidR="00B93645" w:rsidRPr="00F55867">
        <w:t xml:space="preserve">Time to </w:t>
      </w:r>
      <w:r w:rsidR="00B93645">
        <w:t>improvement</w:t>
      </w:r>
      <w:r w:rsidR="00B93645" w:rsidRPr="00F55867">
        <w:t xml:space="preserve"> of </w:t>
      </w:r>
      <w:r w:rsidR="00B93645">
        <w:t>s</w:t>
      </w:r>
      <w:r w:rsidR="00B93645" w:rsidRPr="00F55867">
        <w:t>ymptoms</w:t>
      </w:r>
      <w:r w:rsidR="00B93645">
        <w:t xml:space="preserve"> by influenza</w:t>
      </w:r>
      <w:r w:rsidR="00106E7C">
        <w:t xml:space="preserve"> virus</w:t>
      </w:r>
      <w:r w:rsidR="00B93645">
        <w:t xml:space="preserve"> subtype </w:t>
      </w:r>
    </w:p>
    <w:tbl>
      <w:tblPr>
        <w:tblStyle w:val="TableGrid"/>
        <w:tblW w:w="9069" w:type="dxa"/>
        <w:tblLayout w:type="fixed"/>
        <w:tblLook w:val="04A0" w:firstRow="1" w:lastRow="0" w:firstColumn="1" w:lastColumn="0" w:noHBand="0" w:noVBand="1"/>
      </w:tblPr>
      <w:tblGrid>
        <w:gridCol w:w="1413"/>
        <w:gridCol w:w="2552"/>
        <w:gridCol w:w="2552"/>
        <w:gridCol w:w="2552"/>
      </w:tblGrid>
      <w:tr w:rsidR="00106E7C" w:rsidRPr="00106E7C" w14:paraId="1A64034E" w14:textId="77777777" w:rsidTr="00106E7C">
        <w:tc>
          <w:tcPr>
            <w:tcW w:w="9069" w:type="dxa"/>
            <w:gridSpan w:val="4"/>
          </w:tcPr>
          <w:p w14:paraId="783B6A25" w14:textId="23DB2EC0" w:rsidR="00106E7C" w:rsidRPr="00106E7C" w:rsidRDefault="00106E7C"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lang w:val="en-AU"/>
              </w:rPr>
            </w:pPr>
            <w:r w:rsidRPr="00106E7C">
              <w:rPr>
                <w:sz w:val="22"/>
                <w:szCs w:val="22"/>
                <w:lang w:val="en-AU"/>
              </w:rPr>
              <w:t>Median Time to Improvement of Symptoms (Hours)</w:t>
            </w:r>
          </w:p>
        </w:tc>
      </w:tr>
      <w:tr w:rsidR="00106E7C" w:rsidRPr="00106E7C" w14:paraId="70A88909" w14:textId="77777777" w:rsidTr="00106E7C">
        <w:tc>
          <w:tcPr>
            <w:tcW w:w="1413" w:type="dxa"/>
          </w:tcPr>
          <w:p w14:paraId="09DF968A" w14:textId="0AA48BF6" w:rsidR="00106E7C" w:rsidRPr="00106E7C" w:rsidRDefault="00106E7C"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lang w:val="en-AU"/>
              </w:rPr>
            </w:pPr>
            <w:r w:rsidRPr="00106E7C">
              <w:rPr>
                <w:sz w:val="22"/>
                <w:szCs w:val="22"/>
                <w:lang w:val="en-AU"/>
              </w:rPr>
              <w:t>Virus</w:t>
            </w:r>
          </w:p>
        </w:tc>
        <w:tc>
          <w:tcPr>
            <w:tcW w:w="2552" w:type="dxa"/>
          </w:tcPr>
          <w:p w14:paraId="619EDF62" w14:textId="17185A1E" w:rsidR="00106E7C" w:rsidRPr="00106E7C" w:rsidRDefault="002F0E1A"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lang w:val="en-AU"/>
              </w:rPr>
            </w:pPr>
            <w:r>
              <w:rPr>
                <w:sz w:val="22"/>
                <w:szCs w:val="22"/>
                <w:lang w:val="en-AU"/>
              </w:rPr>
              <w:t>Xofluza</w:t>
            </w:r>
            <w:r w:rsidR="00106E7C" w:rsidRPr="00106E7C">
              <w:rPr>
                <w:sz w:val="22"/>
                <w:szCs w:val="22"/>
                <w:lang w:val="en-AU"/>
              </w:rPr>
              <w:t xml:space="preserve"> 40/80 mg</w:t>
            </w:r>
            <w:r w:rsidR="003F3694" w:rsidRPr="003F3694">
              <w:rPr>
                <w:sz w:val="22"/>
                <w:szCs w:val="22"/>
                <w:vertAlign w:val="superscript"/>
                <w:lang w:val="en-AU"/>
              </w:rPr>
              <w:t>1</w:t>
            </w:r>
            <w:r w:rsidR="00106E7C" w:rsidRPr="00106E7C">
              <w:rPr>
                <w:sz w:val="22"/>
                <w:szCs w:val="22"/>
                <w:lang w:val="en-AU"/>
              </w:rPr>
              <w:br/>
              <w:t xml:space="preserve"> (95% CI)</w:t>
            </w:r>
          </w:p>
        </w:tc>
        <w:tc>
          <w:tcPr>
            <w:tcW w:w="2552" w:type="dxa"/>
          </w:tcPr>
          <w:p w14:paraId="26EC95BC" w14:textId="59720814" w:rsidR="00106E7C" w:rsidRPr="00106E7C" w:rsidRDefault="00106E7C"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lang w:val="en-AU"/>
              </w:rPr>
            </w:pPr>
            <w:r w:rsidRPr="00106E7C">
              <w:rPr>
                <w:sz w:val="22"/>
                <w:szCs w:val="22"/>
                <w:lang w:val="en-AU"/>
              </w:rPr>
              <w:t>Placebo</w:t>
            </w:r>
            <w:r w:rsidRPr="00106E7C">
              <w:rPr>
                <w:sz w:val="22"/>
                <w:szCs w:val="22"/>
                <w:lang w:val="en-AU"/>
              </w:rPr>
              <w:br/>
              <w:t xml:space="preserve"> (95% CI)</w:t>
            </w:r>
          </w:p>
        </w:tc>
        <w:tc>
          <w:tcPr>
            <w:tcW w:w="2552" w:type="dxa"/>
          </w:tcPr>
          <w:p w14:paraId="5D390CAF" w14:textId="6F5B64B5" w:rsidR="00106E7C" w:rsidRPr="00106E7C" w:rsidRDefault="00106E7C"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lang w:val="en-AU"/>
              </w:rPr>
            </w:pPr>
            <w:proofErr w:type="spellStart"/>
            <w:r w:rsidRPr="00106E7C">
              <w:rPr>
                <w:sz w:val="22"/>
                <w:szCs w:val="22"/>
                <w:lang w:val="en-AU"/>
              </w:rPr>
              <w:t>Oseltamivir</w:t>
            </w:r>
            <w:proofErr w:type="spellEnd"/>
            <w:r w:rsidRPr="00106E7C">
              <w:rPr>
                <w:sz w:val="22"/>
                <w:szCs w:val="22"/>
                <w:lang w:val="en-AU"/>
              </w:rPr>
              <w:br/>
              <w:t xml:space="preserve"> (95% CI)</w:t>
            </w:r>
          </w:p>
        </w:tc>
      </w:tr>
      <w:tr w:rsidR="00106E7C" w:rsidRPr="00106E7C" w14:paraId="5A7A5226" w14:textId="77777777" w:rsidTr="00106E7C">
        <w:tc>
          <w:tcPr>
            <w:tcW w:w="1413" w:type="dxa"/>
          </w:tcPr>
          <w:p w14:paraId="4A7D962C" w14:textId="13C42B91" w:rsidR="00106E7C" w:rsidRPr="00106E7C" w:rsidRDefault="00106E7C"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lang w:val="en-AU"/>
              </w:rPr>
            </w:pPr>
            <w:r w:rsidRPr="00106E7C">
              <w:rPr>
                <w:sz w:val="22"/>
                <w:szCs w:val="22"/>
                <w:lang w:val="en-AU"/>
              </w:rPr>
              <w:t>A/H3</w:t>
            </w:r>
          </w:p>
        </w:tc>
        <w:tc>
          <w:tcPr>
            <w:tcW w:w="2552" w:type="dxa"/>
          </w:tcPr>
          <w:p w14:paraId="4EF6FB70" w14:textId="56F635E4" w:rsidR="00106E7C" w:rsidRPr="00106E7C" w:rsidRDefault="00106E7C"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lang w:val="en-AU"/>
              </w:rPr>
            </w:pPr>
            <w:r w:rsidRPr="00106E7C">
              <w:rPr>
                <w:sz w:val="22"/>
                <w:szCs w:val="22"/>
                <w:lang w:val="en-AU"/>
              </w:rPr>
              <w:t>75.4</w:t>
            </w:r>
            <w:r>
              <w:rPr>
                <w:sz w:val="22"/>
                <w:szCs w:val="22"/>
                <w:lang w:val="en-AU"/>
              </w:rPr>
              <w:br/>
              <w:t>(62.4, 91.6)</w:t>
            </w:r>
            <w:r>
              <w:rPr>
                <w:sz w:val="22"/>
                <w:szCs w:val="22"/>
                <w:lang w:val="en-AU"/>
              </w:rPr>
              <w:br/>
              <w:t>N=</w:t>
            </w:r>
            <w:r w:rsidRPr="00106E7C">
              <w:rPr>
                <w:sz w:val="22"/>
                <w:szCs w:val="22"/>
                <w:lang w:val="en-AU"/>
              </w:rPr>
              <w:t>180</w:t>
            </w:r>
          </w:p>
        </w:tc>
        <w:tc>
          <w:tcPr>
            <w:tcW w:w="2552" w:type="dxa"/>
          </w:tcPr>
          <w:p w14:paraId="7418CF47" w14:textId="23147B17" w:rsidR="00106E7C" w:rsidRPr="00106E7C" w:rsidRDefault="00106E7C"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lang w:val="en-AU"/>
              </w:rPr>
            </w:pPr>
            <w:r w:rsidRPr="00106E7C">
              <w:rPr>
                <w:sz w:val="22"/>
                <w:szCs w:val="22"/>
                <w:lang w:val="en-AU"/>
              </w:rPr>
              <w:t>100.4</w:t>
            </w:r>
            <w:r>
              <w:rPr>
                <w:sz w:val="22"/>
                <w:szCs w:val="22"/>
                <w:lang w:val="en-AU"/>
              </w:rPr>
              <w:br/>
              <w:t>(88.4, 113.4)</w:t>
            </w:r>
            <w:r>
              <w:rPr>
                <w:sz w:val="22"/>
                <w:szCs w:val="22"/>
                <w:lang w:val="en-AU"/>
              </w:rPr>
              <w:br/>
            </w:r>
            <w:r w:rsidRPr="00106E7C">
              <w:rPr>
                <w:sz w:val="22"/>
                <w:szCs w:val="22"/>
                <w:lang w:val="en-AU"/>
              </w:rPr>
              <w:t>N=185</w:t>
            </w:r>
          </w:p>
        </w:tc>
        <w:tc>
          <w:tcPr>
            <w:tcW w:w="2552" w:type="dxa"/>
          </w:tcPr>
          <w:p w14:paraId="76D4BD97" w14:textId="5FC32D83" w:rsidR="00106E7C" w:rsidRPr="00106E7C" w:rsidRDefault="00106E7C"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lang w:val="en-AU"/>
              </w:rPr>
            </w:pPr>
            <w:r w:rsidRPr="00106E7C">
              <w:rPr>
                <w:sz w:val="22"/>
                <w:szCs w:val="22"/>
                <w:lang w:val="en-AU"/>
              </w:rPr>
              <w:t>68.2</w:t>
            </w:r>
            <w:r>
              <w:rPr>
                <w:sz w:val="22"/>
                <w:szCs w:val="22"/>
                <w:lang w:val="en-AU"/>
              </w:rPr>
              <w:br/>
              <w:t>(53.9, 81.0)</w:t>
            </w:r>
            <w:r>
              <w:rPr>
                <w:sz w:val="22"/>
                <w:szCs w:val="22"/>
                <w:lang w:val="en-AU"/>
              </w:rPr>
              <w:br/>
            </w:r>
            <w:r w:rsidRPr="00106E7C">
              <w:rPr>
                <w:sz w:val="22"/>
                <w:szCs w:val="22"/>
                <w:lang w:val="en-AU"/>
              </w:rPr>
              <w:t>N=190</w:t>
            </w:r>
          </w:p>
        </w:tc>
      </w:tr>
      <w:tr w:rsidR="00106E7C" w:rsidRPr="00106E7C" w14:paraId="50DC2BA5" w14:textId="77777777" w:rsidTr="00106E7C">
        <w:tc>
          <w:tcPr>
            <w:tcW w:w="1413" w:type="dxa"/>
          </w:tcPr>
          <w:p w14:paraId="6C875403" w14:textId="016E363D" w:rsidR="00106E7C" w:rsidRPr="00106E7C" w:rsidRDefault="00106E7C" w:rsidP="00EF2045">
            <w:pPr>
              <w:keepNext/>
              <w:pBdr>
                <w:top w:val="none" w:sz="0" w:space="0" w:color="auto"/>
                <w:left w:val="none" w:sz="0" w:space="0" w:color="auto"/>
                <w:bottom w:val="none" w:sz="0" w:space="0" w:color="auto"/>
                <w:right w:val="none" w:sz="0" w:space="0" w:color="auto"/>
                <w:between w:val="none" w:sz="0" w:space="0" w:color="auto"/>
              </w:pBdr>
              <w:spacing w:before="40" w:after="40"/>
              <w:rPr>
                <w:sz w:val="22"/>
                <w:szCs w:val="22"/>
                <w:lang w:val="en-AU"/>
              </w:rPr>
            </w:pPr>
            <w:r>
              <w:rPr>
                <w:sz w:val="22"/>
                <w:szCs w:val="22"/>
                <w:lang w:val="en-AU"/>
              </w:rPr>
              <w:t>B</w:t>
            </w:r>
          </w:p>
        </w:tc>
        <w:tc>
          <w:tcPr>
            <w:tcW w:w="2552" w:type="dxa"/>
          </w:tcPr>
          <w:p w14:paraId="1EAEF738" w14:textId="2E9948AC" w:rsidR="00106E7C" w:rsidRPr="00106E7C" w:rsidRDefault="00106E7C"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lang w:val="en-AU"/>
              </w:rPr>
            </w:pPr>
            <w:r w:rsidRPr="00106E7C">
              <w:rPr>
                <w:sz w:val="22"/>
                <w:szCs w:val="22"/>
                <w:lang w:val="en-AU"/>
              </w:rPr>
              <w:t>74.6</w:t>
            </w:r>
            <w:r>
              <w:rPr>
                <w:sz w:val="22"/>
                <w:szCs w:val="22"/>
                <w:lang w:val="en-AU"/>
              </w:rPr>
              <w:br/>
              <w:t>(</w:t>
            </w:r>
            <w:r w:rsidRPr="00106E7C">
              <w:rPr>
                <w:sz w:val="22"/>
                <w:szCs w:val="22"/>
                <w:lang w:val="en-AU"/>
              </w:rPr>
              <w:t>67.4, 90.2)</w:t>
            </w:r>
            <w:r>
              <w:rPr>
                <w:sz w:val="22"/>
                <w:szCs w:val="22"/>
                <w:lang w:val="en-AU"/>
              </w:rPr>
              <w:br/>
            </w:r>
            <w:r w:rsidRPr="00106E7C">
              <w:rPr>
                <w:sz w:val="22"/>
                <w:szCs w:val="22"/>
                <w:lang w:val="en-AU"/>
              </w:rPr>
              <w:t>N=166</w:t>
            </w:r>
          </w:p>
        </w:tc>
        <w:tc>
          <w:tcPr>
            <w:tcW w:w="2552" w:type="dxa"/>
          </w:tcPr>
          <w:p w14:paraId="394EEA33" w14:textId="5AC91260" w:rsidR="00106E7C" w:rsidRPr="00106E7C" w:rsidRDefault="00106E7C"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lang w:val="en-AU"/>
              </w:rPr>
            </w:pPr>
            <w:r w:rsidRPr="00106E7C">
              <w:rPr>
                <w:sz w:val="22"/>
                <w:szCs w:val="22"/>
                <w:lang w:val="en-AU"/>
              </w:rPr>
              <w:t>100.6</w:t>
            </w:r>
            <w:r>
              <w:rPr>
                <w:sz w:val="22"/>
                <w:szCs w:val="22"/>
                <w:lang w:val="en-AU"/>
              </w:rPr>
              <w:br/>
              <w:t>(82.8, 115.8)</w:t>
            </w:r>
            <w:r>
              <w:rPr>
                <w:sz w:val="22"/>
                <w:szCs w:val="22"/>
                <w:lang w:val="en-AU"/>
              </w:rPr>
              <w:br/>
            </w:r>
            <w:r w:rsidRPr="00106E7C">
              <w:rPr>
                <w:sz w:val="22"/>
                <w:szCs w:val="22"/>
                <w:lang w:val="en-AU"/>
              </w:rPr>
              <w:t>N=167</w:t>
            </w:r>
          </w:p>
        </w:tc>
        <w:tc>
          <w:tcPr>
            <w:tcW w:w="2552" w:type="dxa"/>
          </w:tcPr>
          <w:p w14:paraId="237B6B9D" w14:textId="7C6AD5EF" w:rsidR="00106E7C" w:rsidRPr="00106E7C" w:rsidRDefault="00B14276" w:rsidP="00EF2045">
            <w:pPr>
              <w:keepNext/>
              <w:pBdr>
                <w:top w:val="none" w:sz="0" w:space="0" w:color="auto"/>
                <w:left w:val="none" w:sz="0" w:space="0" w:color="auto"/>
                <w:bottom w:val="none" w:sz="0" w:space="0" w:color="auto"/>
                <w:right w:val="none" w:sz="0" w:space="0" w:color="auto"/>
                <w:between w:val="none" w:sz="0" w:space="0" w:color="auto"/>
              </w:pBdr>
              <w:spacing w:before="40" w:after="40"/>
              <w:jc w:val="center"/>
              <w:rPr>
                <w:sz w:val="22"/>
                <w:szCs w:val="22"/>
                <w:lang w:val="en-AU"/>
              </w:rPr>
            </w:pPr>
            <w:r w:rsidRPr="00B14276">
              <w:rPr>
                <w:sz w:val="22"/>
                <w:szCs w:val="22"/>
                <w:lang w:val="en-AU"/>
              </w:rPr>
              <w:t xml:space="preserve">101.6 </w:t>
            </w:r>
            <w:r>
              <w:rPr>
                <w:sz w:val="22"/>
                <w:szCs w:val="22"/>
                <w:lang w:val="en-AU"/>
              </w:rPr>
              <w:br/>
              <w:t>(90.5, 114.9)</w:t>
            </w:r>
            <w:r>
              <w:rPr>
                <w:sz w:val="22"/>
                <w:szCs w:val="22"/>
                <w:lang w:val="en-AU"/>
              </w:rPr>
              <w:br/>
            </w:r>
            <w:r w:rsidRPr="00B14276">
              <w:rPr>
                <w:sz w:val="22"/>
                <w:szCs w:val="22"/>
                <w:lang w:val="en-AU"/>
              </w:rPr>
              <w:t>N= 148</w:t>
            </w:r>
          </w:p>
        </w:tc>
      </w:tr>
    </w:tbl>
    <w:p w14:paraId="12888F3B" w14:textId="375E2A77" w:rsidR="00B93645" w:rsidRDefault="003F3694" w:rsidP="002824AE">
      <w:pPr>
        <w:rPr>
          <w:lang w:val="en-AU"/>
        </w:rPr>
      </w:pPr>
      <w:r>
        <w:rPr>
          <w:sz w:val="22"/>
          <w:lang w:val="en-AU"/>
        </w:rPr>
        <w:t>CI = confidence interval</w:t>
      </w:r>
      <w:r w:rsidRPr="00CE00B1">
        <w:rPr>
          <w:sz w:val="22"/>
          <w:vertAlign w:val="superscript"/>
          <w:lang w:val="en-AU"/>
        </w:rPr>
        <w:t xml:space="preserve"> </w:t>
      </w:r>
      <w:r>
        <w:rPr>
          <w:sz w:val="22"/>
          <w:vertAlign w:val="superscript"/>
          <w:lang w:val="en-AU"/>
        </w:rPr>
        <w:br/>
      </w:r>
      <w:r w:rsidRPr="00CE00B1">
        <w:rPr>
          <w:sz w:val="22"/>
          <w:vertAlign w:val="superscript"/>
          <w:lang w:val="en-AU"/>
        </w:rPr>
        <w:t>1</w:t>
      </w:r>
      <w:r>
        <w:rPr>
          <w:sz w:val="22"/>
          <w:lang w:val="en-AU"/>
        </w:rPr>
        <w:t xml:space="preserve"> </w:t>
      </w:r>
      <w:r w:rsidRPr="00CE00B1">
        <w:rPr>
          <w:sz w:val="22"/>
          <w:lang w:val="en-AU"/>
        </w:rPr>
        <w:t xml:space="preserve">Dosing was based on weight. </w:t>
      </w:r>
      <w:r>
        <w:rPr>
          <w:sz w:val="22"/>
          <w:lang w:val="en-AU"/>
        </w:rPr>
        <w:t>Patients</w:t>
      </w:r>
      <w:r w:rsidRPr="00CE00B1">
        <w:rPr>
          <w:sz w:val="22"/>
          <w:lang w:val="en-AU"/>
        </w:rPr>
        <w:t xml:space="preserve"> weighing &lt; 80 kg received a single 40 mg dose and </w:t>
      </w:r>
      <w:r>
        <w:rPr>
          <w:sz w:val="22"/>
          <w:lang w:val="en-AU"/>
        </w:rPr>
        <w:t>patients ≥ </w:t>
      </w:r>
      <w:r w:rsidRPr="00CE00B1">
        <w:rPr>
          <w:sz w:val="22"/>
          <w:lang w:val="en-AU"/>
        </w:rPr>
        <w:t xml:space="preserve">80 </w:t>
      </w:r>
      <w:r>
        <w:rPr>
          <w:sz w:val="22"/>
          <w:lang w:val="en-AU"/>
        </w:rPr>
        <w:t>kg received a single 80 mg dose</w:t>
      </w:r>
      <w:r>
        <w:rPr>
          <w:sz w:val="22"/>
          <w:lang w:val="en-AU"/>
        </w:rPr>
        <w:br/>
      </w:r>
    </w:p>
    <w:p w14:paraId="17520D2F" w14:textId="4FC0AB53" w:rsidR="00B93645" w:rsidRDefault="00B14276" w:rsidP="00B14276">
      <w:pPr>
        <w:rPr>
          <w:lang w:val="en-AU"/>
        </w:rPr>
      </w:pPr>
      <w:r w:rsidRPr="00B14276">
        <w:rPr>
          <w:i/>
          <w:lang w:val="en-AU"/>
        </w:rPr>
        <w:t xml:space="preserve">Resolution of Fever: </w:t>
      </w:r>
      <w:r w:rsidRPr="00B14276">
        <w:rPr>
          <w:lang w:val="en-AU"/>
        </w:rPr>
        <w:t xml:space="preserve">The proportion of patients who had fever was reduced more rapidly in the </w:t>
      </w:r>
      <w:r w:rsidR="002F0E1A">
        <w:rPr>
          <w:lang w:val="en-AU"/>
        </w:rPr>
        <w:t>Xofluza</w:t>
      </w:r>
      <w:r w:rsidRPr="00B14276">
        <w:rPr>
          <w:lang w:val="en-AU"/>
        </w:rPr>
        <w:t xml:space="preserve"> group than in the placebo group following study drug administration. The median time to resolution of fever was 30.8 hours (95% CI: 28.2, 35.4) in the </w:t>
      </w:r>
      <w:r w:rsidR="002F0E1A">
        <w:rPr>
          <w:lang w:val="en-AU"/>
        </w:rPr>
        <w:t>Xofluza</w:t>
      </w:r>
      <w:r w:rsidRPr="00B14276">
        <w:rPr>
          <w:lang w:val="en-AU"/>
        </w:rPr>
        <w:t xml:space="preserve"> group compared with 50.7 hours (95% CI: 44.6, 58.8) in the placebo group. No </w:t>
      </w:r>
      <w:r w:rsidR="002678CE">
        <w:rPr>
          <w:lang w:val="en-AU"/>
        </w:rPr>
        <w:t>clear</w:t>
      </w:r>
      <w:r w:rsidR="002678CE" w:rsidRPr="00B14276">
        <w:rPr>
          <w:lang w:val="en-AU"/>
        </w:rPr>
        <w:t xml:space="preserve"> </w:t>
      </w:r>
      <w:r w:rsidRPr="00B14276">
        <w:rPr>
          <w:lang w:val="en-AU"/>
        </w:rPr>
        <w:t xml:space="preserve">differences between the </w:t>
      </w:r>
      <w:r w:rsidR="002F0E1A">
        <w:rPr>
          <w:lang w:val="en-AU"/>
        </w:rPr>
        <w:t>Xofluza</w:t>
      </w:r>
      <w:r w:rsidRPr="00B14276">
        <w:rPr>
          <w:lang w:val="en-AU"/>
        </w:rPr>
        <w:t xml:space="preserve"> group and the </w:t>
      </w:r>
      <w:proofErr w:type="spellStart"/>
      <w:r w:rsidRPr="00B14276">
        <w:rPr>
          <w:lang w:val="en-AU"/>
        </w:rPr>
        <w:t>oseltamivir</w:t>
      </w:r>
      <w:proofErr w:type="spellEnd"/>
      <w:r w:rsidRPr="00B14276">
        <w:rPr>
          <w:lang w:val="en-AU"/>
        </w:rPr>
        <w:t xml:space="preserve"> group were observed.</w:t>
      </w:r>
    </w:p>
    <w:p w14:paraId="503130B0" w14:textId="03E68CBC" w:rsidR="00B14276" w:rsidRDefault="00B14276" w:rsidP="00B14276">
      <w:pPr>
        <w:rPr>
          <w:lang w:val="en-AU"/>
        </w:rPr>
      </w:pPr>
    </w:p>
    <w:p w14:paraId="3C0FCE9A" w14:textId="6FFE9B8B" w:rsidR="002C1F59" w:rsidRDefault="00B14276" w:rsidP="00B14276">
      <w:pPr>
        <w:rPr>
          <w:lang w:val="en-AU"/>
        </w:rPr>
      </w:pPr>
      <w:r w:rsidRPr="00B14276">
        <w:rPr>
          <w:i/>
          <w:lang w:val="en-AU"/>
        </w:rPr>
        <w:t xml:space="preserve">Incidence of Influenza-Related Complications: </w:t>
      </w:r>
      <w:r w:rsidRPr="00B14276">
        <w:rPr>
          <w:lang w:val="en-AU"/>
        </w:rPr>
        <w:t xml:space="preserve">The overall incidence of influenza-related </w:t>
      </w:r>
      <w:r>
        <w:rPr>
          <w:lang w:val="en-AU"/>
        </w:rPr>
        <w:t>complications (death, hospitalis</w:t>
      </w:r>
      <w:r w:rsidRPr="00B14276">
        <w:rPr>
          <w:lang w:val="en-AU"/>
        </w:rPr>
        <w:t xml:space="preserve">ation, sinusitis, otitis media, bronchitis, and/or pneumonia) </w:t>
      </w:r>
      <w:r w:rsidRPr="00B57EDF">
        <w:rPr>
          <w:lang w:val="en-AU"/>
        </w:rPr>
        <w:t xml:space="preserve">was 2.8% (11/388 patients) in the </w:t>
      </w:r>
      <w:r w:rsidR="002F0E1A" w:rsidRPr="00B57EDF">
        <w:rPr>
          <w:lang w:val="en-AU"/>
        </w:rPr>
        <w:t>Xofluza</w:t>
      </w:r>
      <w:r w:rsidRPr="00B57EDF">
        <w:rPr>
          <w:lang w:val="en-AU"/>
        </w:rPr>
        <w:t xml:space="preserve"> group compared with 10.4% (40/386 patients) in the placebo group and 4.6% (18/389 patients) in the </w:t>
      </w:r>
      <w:proofErr w:type="spellStart"/>
      <w:r w:rsidRPr="00B57EDF">
        <w:rPr>
          <w:lang w:val="en-AU"/>
        </w:rPr>
        <w:t>oseltamivir</w:t>
      </w:r>
      <w:proofErr w:type="spellEnd"/>
      <w:r w:rsidRPr="00B57EDF">
        <w:rPr>
          <w:lang w:val="en-AU"/>
        </w:rPr>
        <w:t xml:space="preserve"> group. The lower overall</w:t>
      </w:r>
      <w:r w:rsidRPr="00B14276">
        <w:rPr>
          <w:lang w:val="en-AU"/>
        </w:rPr>
        <w:t xml:space="preserve"> incidence of influenza-related complications in the </w:t>
      </w:r>
      <w:r w:rsidR="002C1F59">
        <w:rPr>
          <w:lang w:val="en-AU"/>
        </w:rPr>
        <w:t>Xofluza</w:t>
      </w:r>
      <w:r w:rsidRPr="00B14276">
        <w:rPr>
          <w:lang w:val="en-AU"/>
        </w:rPr>
        <w:t xml:space="preserve"> group compared with the placebo group was mainly driven by lower incidences of bronchitis (1.8% vs. 6.0%, respectively) and sinusiti</w:t>
      </w:r>
      <w:r w:rsidR="002C1F59">
        <w:rPr>
          <w:lang w:val="en-AU"/>
        </w:rPr>
        <w:t>s (0.3% vs. 2.1%, respectively)</w:t>
      </w:r>
      <w:r w:rsidRPr="00B14276">
        <w:rPr>
          <w:lang w:val="en-AU"/>
        </w:rPr>
        <w:t>.</w:t>
      </w:r>
    </w:p>
    <w:p w14:paraId="2BABCF65" w14:textId="2C906F6F" w:rsidR="00B14276" w:rsidRPr="00B14276" w:rsidRDefault="00B14276" w:rsidP="00B14276">
      <w:pPr>
        <w:rPr>
          <w:lang w:val="en-AU"/>
        </w:rPr>
      </w:pPr>
      <w:r w:rsidRPr="00B14276">
        <w:rPr>
          <w:lang w:val="en-AU"/>
        </w:rPr>
        <w:t xml:space="preserve">  </w:t>
      </w:r>
    </w:p>
    <w:p w14:paraId="3EB1B807" w14:textId="4D20BE3F" w:rsidR="00B14276" w:rsidRDefault="00B14276" w:rsidP="00B14276">
      <w:pPr>
        <w:rPr>
          <w:lang w:val="en-AU"/>
        </w:rPr>
      </w:pPr>
      <w:r w:rsidRPr="00B14276">
        <w:rPr>
          <w:lang w:val="en-AU"/>
        </w:rPr>
        <w:t xml:space="preserve">The proportion of patients requiring systemic antibiotics for infections secondary to influenza infection was lower in the </w:t>
      </w:r>
      <w:r w:rsidR="002F0E1A">
        <w:rPr>
          <w:lang w:val="en-AU"/>
        </w:rPr>
        <w:t>Xofluza</w:t>
      </w:r>
      <w:r w:rsidRPr="00B14276">
        <w:rPr>
          <w:lang w:val="en-AU"/>
        </w:rPr>
        <w:t xml:space="preserve"> group (3.4%) compare</w:t>
      </w:r>
      <w:r w:rsidR="002C1F59">
        <w:rPr>
          <w:lang w:val="en-AU"/>
        </w:rPr>
        <w:t>d with the placebo group (7.5%)</w:t>
      </w:r>
      <w:r w:rsidRPr="00B14276">
        <w:rPr>
          <w:lang w:val="en-AU"/>
        </w:rPr>
        <w:t xml:space="preserve"> and the difference between these 2 groups was statistically significant (p=0.0112). The proportion of patients requiring systemic antibiotics in the </w:t>
      </w:r>
      <w:r w:rsidR="002F0E1A">
        <w:rPr>
          <w:lang w:val="en-AU"/>
        </w:rPr>
        <w:t>Xofluza</w:t>
      </w:r>
      <w:r w:rsidRPr="00B14276">
        <w:rPr>
          <w:lang w:val="en-AU"/>
        </w:rPr>
        <w:t xml:space="preserve"> group was comparable with the proportion in the </w:t>
      </w:r>
      <w:proofErr w:type="spellStart"/>
      <w:r w:rsidR="002C1F59">
        <w:rPr>
          <w:lang w:val="en-AU"/>
        </w:rPr>
        <w:t>oseltamivir</w:t>
      </w:r>
      <w:proofErr w:type="spellEnd"/>
      <w:r w:rsidR="002C1F59">
        <w:rPr>
          <w:lang w:val="en-AU"/>
        </w:rPr>
        <w:t xml:space="preserve"> group (3.9%)</w:t>
      </w:r>
      <w:r w:rsidRPr="00B14276">
        <w:rPr>
          <w:lang w:val="en-AU"/>
        </w:rPr>
        <w:t>.</w:t>
      </w:r>
    </w:p>
    <w:p w14:paraId="7B45B3AB" w14:textId="18801B25" w:rsidR="002C1F59" w:rsidRDefault="002C1F59" w:rsidP="00B14276">
      <w:pPr>
        <w:rPr>
          <w:lang w:val="en-AU"/>
        </w:rPr>
      </w:pPr>
    </w:p>
    <w:p w14:paraId="059E2500" w14:textId="6F70EA44" w:rsidR="002C1F59" w:rsidRDefault="002C1F59" w:rsidP="002C1F59">
      <w:pPr>
        <w:rPr>
          <w:lang w:val="en-AU"/>
        </w:rPr>
      </w:pPr>
      <w:r w:rsidRPr="002C1F59">
        <w:rPr>
          <w:i/>
          <w:lang w:val="en-AU"/>
        </w:rPr>
        <w:t xml:space="preserve">Antiviral Activity: </w:t>
      </w:r>
      <w:r w:rsidRPr="002C1F59">
        <w:rPr>
          <w:lang w:val="en-AU"/>
        </w:rPr>
        <w:t>Patients at high risk of influenza complications</w:t>
      </w:r>
      <w:r>
        <w:rPr>
          <w:lang w:val="en-AU"/>
        </w:rPr>
        <w:t xml:space="preserve"> treated with </w:t>
      </w:r>
      <w:r w:rsidR="002F0E1A">
        <w:rPr>
          <w:lang w:val="en-AU"/>
        </w:rPr>
        <w:t>Xofluza</w:t>
      </w:r>
      <w:r w:rsidRPr="002C1F59">
        <w:rPr>
          <w:lang w:val="en-AU"/>
        </w:rPr>
        <w:t xml:space="preserve"> showed a rapid reduction in virus titr</w:t>
      </w:r>
      <w:r>
        <w:rPr>
          <w:lang w:val="en-AU"/>
        </w:rPr>
        <w:t>e</w:t>
      </w:r>
      <w:r w:rsidRPr="002C1F59">
        <w:rPr>
          <w:lang w:val="en-AU"/>
        </w:rPr>
        <w:t xml:space="preserve"> and a significantly shortened time to cessation of viral shedding. The median time to cessation of viral s</w:t>
      </w:r>
      <w:r>
        <w:rPr>
          <w:lang w:val="en-AU"/>
        </w:rPr>
        <w:t>hedding determined by virus tit</w:t>
      </w:r>
      <w:r w:rsidRPr="002C1F59">
        <w:rPr>
          <w:lang w:val="en-AU"/>
        </w:rPr>
        <w:t>r</w:t>
      </w:r>
      <w:r>
        <w:rPr>
          <w:lang w:val="en-AU"/>
        </w:rPr>
        <w:t>e</w:t>
      </w:r>
      <w:r w:rsidR="00E541A8">
        <w:rPr>
          <w:lang w:val="en-AU"/>
        </w:rPr>
        <w:t xml:space="preserve"> was 48 </w:t>
      </w:r>
      <w:r w:rsidRPr="002C1F59">
        <w:rPr>
          <w:lang w:val="en-AU"/>
        </w:rPr>
        <w:t xml:space="preserve">hours in the </w:t>
      </w:r>
      <w:r w:rsidR="002F0E1A">
        <w:rPr>
          <w:lang w:val="en-AU"/>
        </w:rPr>
        <w:t>Xofluza</w:t>
      </w:r>
      <w:r w:rsidRPr="002C1F59">
        <w:rPr>
          <w:lang w:val="en-AU"/>
        </w:rPr>
        <w:t xml:space="preserve"> group compared with 96 hours in the placebo and </w:t>
      </w:r>
      <w:proofErr w:type="spellStart"/>
      <w:r w:rsidRPr="002C1F59">
        <w:rPr>
          <w:lang w:val="en-AU"/>
        </w:rPr>
        <w:t>oseltamivir</w:t>
      </w:r>
      <w:proofErr w:type="spellEnd"/>
      <w:r w:rsidRPr="002C1F59">
        <w:rPr>
          <w:lang w:val="en-AU"/>
        </w:rPr>
        <w:t xml:space="preserve"> group</w:t>
      </w:r>
      <w:r>
        <w:rPr>
          <w:lang w:val="en-AU"/>
        </w:rPr>
        <w:t>s</w:t>
      </w:r>
      <w:r w:rsidRPr="002C1F59">
        <w:rPr>
          <w:lang w:val="en-AU"/>
        </w:rPr>
        <w:t>.</w:t>
      </w:r>
    </w:p>
    <w:p w14:paraId="56FD6E81" w14:textId="04A17BC3" w:rsidR="00D52399" w:rsidRDefault="00615052" w:rsidP="00D15197">
      <w:pPr>
        <w:pStyle w:val="Heading2"/>
        <w:keepNext/>
        <w:ind w:hanging="786"/>
      </w:pPr>
      <w:r>
        <w:lastRenderedPageBreak/>
        <w:t>5.2</w:t>
      </w:r>
      <w:r>
        <w:tab/>
      </w:r>
      <w:r w:rsidR="004303A3">
        <w:t>PHARMACOKINETIC PROPERTIES</w:t>
      </w:r>
      <w:r>
        <w:t xml:space="preserve"> </w:t>
      </w:r>
    </w:p>
    <w:p w14:paraId="127FEC5B" w14:textId="77777777" w:rsidR="004303A3" w:rsidRDefault="004303A3" w:rsidP="00D15197">
      <w:pPr>
        <w:keepNext/>
      </w:pPr>
    </w:p>
    <w:p w14:paraId="10DE29D6" w14:textId="73DA6EB3" w:rsidR="009A096F" w:rsidRDefault="009A096F" w:rsidP="009A096F">
      <w:r>
        <w:t xml:space="preserve">After oral administration, baloxavir marboxil is extensively converted to its active metabolite (baloxavir) predominantly by </w:t>
      </w:r>
      <w:proofErr w:type="spellStart"/>
      <w:r>
        <w:t>arylacetamide</w:t>
      </w:r>
      <w:proofErr w:type="spellEnd"/>
      <w:r>
        <w:t xml:space="preserve"> deacetylase in the gastrointestinal lumen, intestinal epithelium, and liver. The plasma concentration of baloxavir marboxil was very low or below the limit of quantitation (&lt; 0.100 ng/mL).</w:t>
      </w:r>
    </w:p>
    <w:p w14:paraId="1DD5CE54" w14:textId="77777777" w:rsidR="009A096F" w:rsidRDefault="009A096F" w:rsidP="009A096F"/>
    <w:p w14:paraId="352CCC48" w14:textId="7BAB6C89" w:rsidR="004303A3" w:rsidRDefault="009A096F" w:rsidP="009A096F">
      <w:r>
        <w:t xml:space="preserve">The pharmacokinetic parameters of baloxavir in Japanese healthy adult subjects after a single oral administration of 40 mg baloxavir marboxil in the fasted and fed </w:t>
      </w:r>
      <w:r w:rsidR="004E486E">
        <w:t xml:space="preserve">states are summarised in Table </w:t>
      </w:r>
      <w:r w:rsidR="0031430F">
        <w:t>8</w:t>
      </w:r>
      <w:r>
        <w:t xml:space="preserve">. The pharmacokinetic parameters of baloxavir in Caucasian healthy adult subjects after a single oral administration of 80 mg baloxavir marboxil in the fasted state are summarised in Table </w:t>
      </w:r>
      <w:r w:rsidR="0031430F">
        <w:t>9</w:t>
      </w:r>
      <w:r>
        <w:t>.</w:t>
      </w:r>
    </w:p>
    <w:p w14:paraId="2455674D" w14:textId="7A6FCA43" w:rsidR="009A096F" w:rsidRPr="00F55867" w:rsidRDefault="004E486E" w:rsidP="009A096F">
      <w:pPr>
        <w:pStyle w:val="Tableheading"/>
      </w:pPr>
      <w:r>
        <w:t xml:space="preserve">Table </w:t>
      </w:r>
      <w:r w:rsidR="0031430F">
        <w:t>8</w:t>
      </w:r>
      <w:r w:rsidR="009A096F" w:rsidRPr="00B41F0E">
        <w:tab/>
      </w:r>
      <w:r w:rsidR="009A096F" w:rsidRPr="009A096F">
        <w:t xml:space="preserve">Pharmacokinetic </w:t>
      </w:r>
      <w:r w:rsidR="009A096F">
        <w:t>p</w:t>
      </w:r>
      <w:r w:rsidR="009A096F" w:rsidRPr="009A096F">
        <w:t xml:space="preserve">arameters of </w:t>
      </w:r>
      <w:r w:rsidR="009A096F">
        <w:t>p</w:t>
      </w:r>
      <w:r w:rsidR="009A096F" w:rsidRPr="009A096F">
        <w:t xml:space="preserve">lasma baloxavir in Japanese healthy subjects after a </w:t>
      </w:r>
      <w:r w:rsidR="009A096F">
        <w:t>s</w:t>
      </w:r>
      <w:r w:rsidR="009A096F" w:rsidRPr="009A096F">
        <w:t xml:space="preserve">ingle </w:t>
      </w:r>
      <w:r w:rsidR="009A096F">
        <w:t>o</w:t>
      </w:r>
      <w:r w:rsidR="009A096F" w:rsidRPr="009A096F">
        <w:t xml:space="preserve">ral </w:t>
      </w:r>
      <w:r w:rsidR="009A096F">
        <w:t xml:space="preserve">dose of 40 mg </w:t>
      </w:r>
      <w:r w:rsidR="009A096F" w:rsidRPr="009A096F">
        <w:t xml:space="preserve">baloxavir marboxil in the </w:t>
      </w:r>
      <w:r w:rsidR="009A096F">
        <w:t>f</w:t>
      </w:r>
      <w:r w:rsidR="009A096F" w:rsidRPr="009A096F">
        <w:t xml:space="preserve">asted and </w:t>
      </w:r>
      <w:r w:rsidR="009A096F">
        <w:t>f</w:t>
      </w:r>
      <w:r w:rsidR="009A096F" w:rsidRPr="009A096F">
        <w:t xml:space="preserve">ed </w:t>
      </w:r>
      <w:r w:rsidR="009A096F">
        <w:t>s</w:t>
      </w:r>
      <w:r w:rsidR="009A096F" w:rsidRPr="009A096F">
        <w:t>tate</w:t>
      </w:r>
      <w:r w:rsidR="009A096F">
        <w:t xml:space="preserve"> </w:t>
      </w:r>
    </w:p>
    <w:tbl>
      <w:tblPr>
        <w:tblStyle w:val="TableGrid"/>
        <w:tblW w:w="0" w:type="auto"/>
        <w:tblLook w:val="04A0" w:firstRow="1" w:lastRow="0" w:firstColumn="1" w:lastColumn="0" w:noHBand="0" w:noVBand="1"/>
      </w:tblPr>
      <w:tblGrid>
        <w:gridCol w:w="3020"/>
        <w:gridCol w:w="3020"/>
        <w:gridCol w:w="3020"/>
      </w:tblGrid>
      <w:tr w:rsidR="009A096F" w:rsidRPr="009A096F" w14:paraId="4A5E0898" w14:textId="77777777" w:rsidTr="009A096F">
        <w:tc>
          <w:tcPr>
            <w:tcW w:w="3020" w:type="dxa"/>
            <w:vMerge w:val="restart"/>
            <w:vAlign w:val="center"/>
          </w:tcPr>
          <w:p w14:paraId="70BCDA9F" w14:textId="477B3A97" w:rsidR="009A096F" w:rsidRPr="009A096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rPr>
                <w:b/>
                <w:sz w:val="22"/>
                <w:lang w:val="en-AU"/>
              </w:rPr>
            </w:pPr>
            <w:r w:rsidRPr="009A096F">
              <w:rPr>
                <w:b/>
                <w:sz w:val="22"/>
                <w:lang w:val="en-AU"/>
              </w:rPr>
              <w:t>Parameters</w:t>
            </w:r>
          </w:p>
        </w:tc>
        <w:tc>
          <w:tcPr>
            <w:tcW w:w="6040" w:type="dxa"/>
            <w:gridSpan w:val="2"/>
          </w:tcPr>
          <w:p w14:paraId="05B34B57" w14:textId="38E6A61D" w:rsidR="009A096F" w:rsidRPr="009A096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b/>
                <w:sz w:val="22"/>
                <w:lang w:val="en-AU"/>
              </w:rPr>
            </w:pPr>
            <w:r w:rsidRPr="009A096F">
              <w:rPr>
                <w:b/>
                <w:sz w:val="22"/>
                <w:lang w:val="en-AU"/>
              </w:rPr>
              <w:t>Geometric Mean (CV%)</w:t>
            </w:r>
          </w:p>
        </w:tc>
      </w:tr>
      <w:tr w:rsidR="009A096F" w:rsidRPr="009A096F" w14:paraId="7F880D76" w14:textId="77777777" w:rsidTr="009A096F">
        <w:tc>
          <w:tcPr>
            <w:tcW w:w="3020" w:type="dxa"/>
            <w:vMerge/>
          </w:tcPr>
          <w:p w14:paraId="147C8DB5" w14:textId="77777777" w:rsidR="009A096F" w:rsidRPr="009A096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rPr>
                <w:b/>
                <w:sz w:val="22"/>
                <w:lang w:val="en-AU"/>
              </w:rPr>
            </w:pPr>
          </w:p>
        </w:tc>
        <w:tc>
          <w:tcPr>
            <w:tcW w:w="3020" w:type="dxa"/>
          </w:tcPr>
          <w:p w14:paraId="09550E1B" w14:textId="69E48270" w:rsidR="009A096F" w:rsidRPr="009A096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b/>
                <w:sz w:val="22"/>
                <w:lang w:val="en-AU"/>
              </w:rPr>
            </w:pPr>
            <w:r w:rsidRPr="009A096F">
              <w:rPr>
                <w:b/>
                <w:sz w:val="22"/>
                <w:lang w:val="en-AU"/>
              </w:rPr>
              <w:t>Fasted</w:t>
            </w:r>
          </w:p>
        </w:tc>
        <w:tc>
          <w:tcPr>
            <w:tcW w:w="3020" w:type="dxa"/>
          </w:tcPr>
          <w:p w14:paraId="1F0AE1E0" w14:textId="21B46DEC" w:rsidR="009A096F" w:rsidRPr="009A096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b/>
                <w:sz w:val="22"/>
                <w:lang w:val="en-AU"/>
              </w:rPr>
            </w:pPr>
            <w:r w:rsidRPr="009A096F">
              <w:rPr>
                <w:b/>
                <w:sz w:val="22"/>
                <w:lang w:val="en-AU"/>
              </w:rPr>
              <w:t>Fed</w:t>
            </w:r>
          </w:p>
        </w:tc>
      </w:tr>
      <w:tr w:rsidR="009A096F" w:rsidRPr="009A096F" w14:paraId="59B21AF6" w14:textId="77777777" w:rsidTr="009A096F">
        <w:tc>
          <w:tcPr>
            <w:tcW w:w="3020" w:type="dxa"/>
            <w:vAlign w:val="center"/>
          </w:tcPr>
          <w:p w14:paraId="68E1D09A" w14:textId="0A45C286" w:rsidR="009A096F" w:rsidRPr="009A096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rPr>
                <w:sz w:val="22"/>
                <w:lang w:val="en-AU"/>
              </w:rPr>
            </w:pPr>
            <w:r w:rsidRPr="00CD0DFF">
              <w:rPr>
                <w:rFonts w:eastAsia="MS PGothic" w:cs="Arial"/>
                <w:kern w:val="2"/>
                <w:sz w:val="22"/>
                <w:szCs w:val="22"/>
                <w:lang w:eastAsia="ja-JP"/>
              </w:rPr>
              <w:t>N</w:t>
            </w:r>
          </w:p>
        </w:tc>
        <w:tc>
          <w:tcPr>
            <w:tcW w:w="3020" w:type="dxa"/>
            <w:vAlign w:val="center"/>
          </w:tcPr>
          <w:p w14:paraId="3A0CA559" w14:textId="31445411" w:rsidR="009A096F" w:rsidRPr="009A096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CD0DFF">
              <w:rPr>
                <w:rFonts w:eastAsia="MS Mincho" w:cs="Arial"/>
                <w:snapToGrid w:val="0"/>
                <w:sz w:val="22"/>
                <w:szCs w:val="22"/>
                <w:lang w:eastAsia="ja-JP"/>
              </w:rPr>
              <w:t>14</w:t>
            </w:r>
          </w:p>
        </w:tc>
        <w:tc>
          <w:tcPr>
            <w:tcW w:w="3020" w:type="dxa"/>
            <w:vAlign w:val="center"/>
          </w:tcPr>
          <w:p w14:paraId="12301569" w14:textId="2559CB4C" w:rsidR="009A096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sz w:val="22"/>
                <w:lang w:val="en-AU"/>
              </w:rPr>
            </w:pPr>
            <w:r w:rsidRPr="00CD0DFF">
              <w:rPr>
                <w:rFonts w:eastAsia="MS Mincho" w:cs="Arial"/>
                <w:snapToGrid w:val="0"/>
                <w:sz w:val="22"/>
                <w:szCs w:val="22"/>
                <w:lang w:eastAsia="ja-JP"/>
              </w:rPr>
              <w:t>14</w:t>
            </w:r>
          </w:p>
        </w:tc>
      </w:tr>
      <w:tr w:rsidR="009A096F" w:rsidRPr="009A096F" w14:paraId="52AD5073" w14:textId="77777777" w:rsidTr="009A096F">
        <w:tc>
          <w:tcPr>
            <w:tcW w:w="3020" w:type="dxa"/>
            <w:vAlign w:val="center"/>
          </w:tcPr>
          <w:p w14:paraId="50CB162D" w14:textId="5DF43606"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eastAsia="ja-JP"/>
              </w:rPr>
            </w:pPr>
            <w:proofErr w:type="spellStart"/>
            <w:r w:rsidRPr="00CD0DFF">
              <w:rPr>
                <w:rFonts w:eastAsia="MS PGothic" w:cs="Arial"/>
                <w:kern w:val="2"/>
                <w:sz w:val="22"/>
                <w:szCs w:val="22"/>
                <w:lang w:eastAsia="ja-JP"/>
              </w:rPr>
              <w:t>C</w:t>
            </w:r>
            <w:r w:rsidRPr="00CD0DFF">
              <w:rPr>
                <w:rFonts w:eastAsia="MS PGothic" w:cs="Arial"/>
                <w:kern w:val="2"/>
                <w:sz w:val="22"/>
                <w:szCs w:val="22"/>
                <w:vertAlign w:val="subscript"/>
                <w:lang w:eastAsia="ja-JP"/>
              </w:rPr>
              <w:t>max</w:t>
            </w:r>
            <w:proofErr w:type="spellEnd"/>
            <w:r w:rsidRPr="00CD0DFF">
              <w:rPr>
                <w:rFonts w:eastAsia="MS PGothic" w:cs="Arial"/>
                <w:kern w:val="2"/>
                <w:sz w:val="22"/>
                <w:szCs w:val="22"/>
                <w:lang w:eastAsia="ja-JP"/>
              </w:rPr>
              <w:t xml:space="preserve"> (ng/mL)</w:t>
            </w:r>
          </w:p>
        </w:tc>
        <w:tc>
          <w:tcPr>
            <w:tcW w:w="3020" w:type="dxa"/>
            <w:vAlign w:val="center"/>
          </w:tcPr>
          <w:p w14:paraId="1A1E9F38" w14:textId="7CC973BF"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Mincho" w:cs="Arial"/>
                <w:snapToGrid w:val="0"/>
                <w:sz w:val="22"/>
                <w:szCs w:val="22"/>
                <w:lang w:eastAsia="ja-JP"/>
              </w:rPr>
            </w:pPr>
            <w:r w:rsidRPr="00CD0DFF">
              <w:rPr>
                <w:rFonts w:eastAsia="MS PGothic" w:cs="Arial"/>
                <w:snapToGrid w:val="0"/>
                <w:sz w:val="22"/>
                <w:szCs w:val="22"/>
                <w:lang w:eastAsia="ja-JP"/>
              </w:rPr>
              <w:t>130 (24.1)</w:t>
            </w:r>
          </w:p>
        </w:tc>
        <w:tc>
          <w:tcPr>
            <w:tcW w:w="3020" w:type="dxa"/>
            <w:vAlign w:val="center"/>
          </w:tcPr>
          <w:p w14:paraId="23CEE17D" w14:textId="576A51FC"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Mincho" w:cs="Arial"/>
                <w:snapToGrid w:val="0"/>
                <w:sz w:val="22"/>
                <w:szCs w:val="22"/>
                <w:lang w:eastAsia="ja-JP"/>
              </w:rPr>
            </w:pPr>
            <w:r w:rsidRPr="00CD0DFF">
              <w:rPr>
                <w:rFonts w:eastAsia="MS PGothic" w:cs="Arial"/>
                <w:snapToGrid w:val="0"/>
                <w:sz w:val="22"/>
                <w:szCs w:val="22"/>
                <w:lang w:eastAsia="ja-JP"/>
              </w:rPr>
              <w:t>67.6 (40.0)</w:t>
            </w:r>
          </w:p>
        </w:tc>
      </w:tr>
      <w:tr w:rsidR="009A096F" w:rsidRPr="009A096F" w14:paraId="33FF4ED0" w14:textId="77777777" w:rsidTr="009A096F">
        <w:tc>
          <w:tcPr>
            <w:tcW w:w="3020" w:type="dxa"/>
            <w:vAlign w:val="center"/>
          </w:tcPr>
          <w:p w14:paraId="75117680" w14:textId="43A38423"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eastAsia="ja-JP"/>
              </w:rPr>
            </w:pPr>
            <w:proofErr w:type="spellStart"/>
            <w:r w:rsidRPr="00CD0DFF">
              <w:rPr>
                <w:rFonts w:eastAsia="MS PGothic" w:cs="Arial"/>
                <w:kern w:val="2"/>
                <w:sz w:val="22"/>
                <w:szCs w:val="22"/>
                <w:lang w:eastAsia="ja-JP"/>
              </w:rPr>
              <w:t>T</w:t>
            </w:r>
            <w:r w:rsidRPr="00CD0DFF">
              <w:rPr>
                <w:rFonts w:eastAsia="MS PGothic" w:cs="Arial"/>
                <w:kern w:val="2"/>
                <w:sz w:val="22"/>
                <w:szCs w:val="22"/>
                <w:vertAlign w:val="subscript"/>
                <w:lang w:eastAsia="ja-JP"/>
              </w:rPr>
              <w:t>max</w:t>
            </w:r>
            <w:proofErr w:type="spellEnd"/>
            <w:r>
              <w:rPr>
                <w:rFonts w:eastAsia="MS PGothic" w:cs="Arial"/>
                <w:kern w:val="2"/>
                <w:sz w:val="22"/>
                <w:szCs w:val="22"/>
                <w:lang w:eastAsia="ja-JP"/>
              </w:rPr>
              <w:t xml:space="preserve"> </w:t>
            </w:r>
            <w:r w:rsidRPr="00CD0DFF">
              <w:rPr>
                <w:rFonts w:eastAsia="MS PGothic" w:cs="Arial"/>
                <w:kern w:val="2"/>
                <w:sz w:val="22"/>
                <w:szCs w:val="22"/>
                <w:lang w:eastAsia="ja-JP"/>
              </w:rPr>
              <w:t>(hr)</w:t>
            </w:r>
            <w:r w:rsidRPr="00CD0DFF">
              <w:rPr>
                <w:rFonts w:eastAsia="MS PGothic" w:cs="Arial"/>
                <w:kern w:val="2"/>
                <w:sz w:val="22"/>
                <w:szCs w:val="22"/>
                <w:vertAlign w:val="superscript"/>
                <w:lang w:eastAsia="ja-JP"/>
              </w:rPr>
              <w:t xml:space="preserve"> a</w:t>
            </w:r>
          </w:p>
        </w:tc>
        <w:tc>
          <w:tcPr>
            <w:tcW w:w="3020" w:type="dxa"/>
            <w:vAlign w:val="center"/>
          </w:tcPr>
          <w:p w14:paraId="39FBF387" w14:textId="00E8BDE0"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4.00 (3.00, 5.00)</w:t>
            </w:r>
          </w:p>
        </w:tc>
        <w:tc>
          <w:tcPr>
            <w:tcW w:w="3020" w:type="dxa"/>
            <w:vAlign w:val="center"/>
          </w:tcPr>
          <w:p w14:paraId="11BA5298" w14:textId="7BC8EE72"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4.00 (0.50, 5.00)</w:t>
            </w:r>
          </w:p>
        </w:tc>
      </w:tr>
      <w:tr w:rsidR="009A096F" w:rsidRPr="009A096F" w14:paraId="3FD39D44" w14:textId="77777777" w:rsidTr="009A096F">
        <w:tc>
          <w:tcPr>
            <w:tcW w:w="3020" w:type="dxa"/>
            <w:vAlign w:val="center"/>
          </w:tcPr>
          <w:p w14:paraId="2AB3A1CA" w14:textId="344510B2"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eastAsia="ja-JP"/>
              </w:rPr>
            </w:pPr>
            <w:r w:rsidRPr="00CD0DFF">
              <w:rPr>
                <w:rFonts w:eastAsia="MS PGothic" w:cs="Arial"/>
                <w:kern w:val="2"/>
                <w:sz w:val="22"/>
                <w:szCs w:val="22"/>
                <w:lang w:eastAsia="ja-JP"/>
              </w:rPr>
              <w:t>AUC</w:t>
            </w:r>
            <w:r w:rsidRPr="00CD0DFF">
              <w:rPr>
                <w:rFonts w:eastAsia="MS PGothic" w:cs="Arial"/>
                <w:kern w:val="2"/>
                <w:sz w:val="22"/>
                <w:szCs w:val="22"/>
                <w:vertAlign w:val="subscript"/>
                <w:lang w:eastAsia="ja-JP"/>
              </w:rPr>
              <w:t>0-last</w:t>
            </w:r>
            <w:r w:rsidRPr="00CD0DFF">
              <w:rPr>
                <w:rFonts w:eastAsia="MS PGothic" w:cs="Arial"/>
                <w:kern w:val="2"/>
                <w:sz w:val="22"/>
                <w:szCs w:val="22"/>
                <w:lang w:eastAsia="ja-JP"/>
              </w:rPr>
              <w:t xml:space="preserve"> (</w:t>
            </w:r>
            <w:proofErr w:type="spellStart"/>
            <w:r w:rsidRPr="00CD0DFF">
              <w:rPr>
                <w:rFonts w:eastAsia="MS PGothic" w:cs="Arial"/>
                <w:kern w:val="2"/>
                <w:sz w:val="22"/>
                <w:szCs w:val="22"/>
                <w:lang w:eastAsia="ja-JP"/>
              </w:rPr>
              <w:t>ng</w:t>
            </w:r>
            <w:r w:rsidRPr="00CD0DFF">
              <w:rPr>
                <w:rFonts w:eastAsia="MS Mincho" w:cs="Arial"/>
                <w:kern w:val="2"/>
                <w:sz w:val="22"/>
                <w:szCs w:val="22"/>
                <w:lang w:eastAsia="ja-JP"/>
              </w:rPr>
              <w:t>·</w:t>
            </w:r>
            <w:r w:rsidRPr="00CD0DFF">
              <w:rPr>
                <w:rFonts w:eastAsia="MS PGothic" w:cs="Arial"/>
                <w:kern w:val="2"/>
                <w:sz w:val="22"/>
                <w:szCs w:val="22"/>
                <w:lang w:eastAsia="ja-JP"/>
              </w:rPr>
              <w:t>hr</w:t>
            </w:r>
            <w:proofErr w:type="spellEnd"/>
            <w:r w:rsidRPr="00CD0DFF">
              <w:rPr>
                <w:rFonts w:eastAsia="MS PGothic" w:cs="Arial"/>
                <w:kern w:val="2"/>
                <w:sz w:val="22"/>
                <w:szCs w:val="22"/>
                <w:lang w:eastAsia="ja-JP"/>
              </w:rPr>
              <w:t>/mL)</w:t>
            </w:r>
          </w:p>
        </w:tc>
        <w:tc>
          <w:tcPr>
            <w:tcW w:w="3020" w:type="dxa"/>
            <w:vAlign w:val="center"/>
          </w:tcPr>
          <w:p w14:paraId="4852964D" w14:textId="589E5215"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6932 (19.2)</w:t>
            </w:r>
          </w:p>
        </w:tc>
        <w:tc>
          <w:tcPr>
            <w:tcW w:w="3020" w:type="dxa"/>
            <w:vAlign w:val="center"/>
          </w:tcPr>
          <w:p w14:paraId="235CF299" w14:textId="4CBFCC2A"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4406 (38.8)</w:t>
            </w:r>
          </w:p>
        </w:tc>
      </w:tr>
      <w:tr w:rsidR="009A096F" w:rsidRPr="009A096F" w14:paraId="5DACE4D9" w14:textId="77777777" w:rsidTr="009A096F">
        <w:tc>
          <w:tcPr>
            <w:tcW w:w="3020" w:type="dxa"/>
            <w:vAlign w:val="center"/>
          </w:tcPr>
          <w:p w14:paraId="0C983AD3" w14:textId="4CD44C85" w:rsidR="009A096F" w:rsidRPr="009A096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val="de-DE" w:eastAsia="ja-JP"/>
              </w:rPr>
            </w:pPr>
            <w:r w:rsidRPr="00CD0DFF">
              <w:rPr>
                <w:rFonts w:eastAsia="MS PGothic" w:cs="Arial"/>
                <w:kern w:val="2"/>
                <w:sz w:val="22"/>
                <w:szCs w:val="22"/>
                <w:lang w:val="de-CH" w:eastAsia="ja-JP"/>
              </w:rPr>
              <w:t>AUC</w:t>
            </w:r>
            <w:r w:rsidRPr="00CD0DFF">
              <w:rPr>
                <w:rFonts w:eastAsia="MS PGothic" w:cs="Arial"/>
                <w:kern w:val="2"/>
                <w:sz w:val="22"/>
                <w:szCs w:val="22"/>
                <w:vertAlign w:val="subscript"/>
                <w:lang w:val="de-CH" w:eastAsia="ja-JP"/>
              </w:rPr>
              <w:t>0-inf</w:t>
            </w:r>
            <w:r w:rsidRPr="00CD0DFF">
              <w:rPr>
                <w:rFonts w:eastAsia="MS PGothic" w:cs="Arial"/>
                <w:kern w:val="2"/>
                <w:sz w:val="22"/>
                <w:szCs w:val="22"/>
                <w:lang w:val="de-CH" w:eastAsia="ja-JP"/>
              </w:rPr>
              <w:t xml:space="preserve"> (ng</w:t>
            </w:r>
            <w:r w:rsidRPr="00CD0DFF">
              <w:rPr>
                <w:rFonts w:eastAsia="MS Mincho" w:cs="Arial"/>
                <w:kern w:val="2"/>
                <w:sz w:val="22"/>
                <w:szCs w:val="22"/>
                <w:lang w:val="de-CH" w:eastAsia="ja-JP"/>
              </w:rPr>
              <w:t>·</w:t>
            </w:r>
            <w:r w:rsidRPr="00CD0DFF">
              <w:rPr>
                <w:rFonts w:eastAsia="MS PGothic" w:cs="Arial"/>
                <w:kern w:val="2"/>
                <w:sz w:val="22"/>
                <w:szCs w:val="22"/>
                <w:lang w:val="de-CH" w:eastAsia="ja-JP"/>
              </w:rPr>
              <w:t>hr/mL)</w:t>
            </w:r>
          </w:p>
        </w:tc>
        <w:tc>
          <w:tcPr>
            <w:tcW w:w="3020" w:type="dxa"/>
            <w:vAlign w:val="center"/>
          </w:tcPr>
          <w:p w14:paraId="47156B9F" w14:textId="0788758B"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7086 (19.6)</w:t>
            </w:r>
          </w:p>
        </w:tc>
        <w:tc>
          <w:tcPr>
            <w:tcW w:w="3020" w:type="dxa"/>
            <w:vAlign w:val="center"/>
          </w:tcPr>
          <w:p w14:paraId="1BCE8ABB" w14:textId="19120634"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4540 (39.1)</w:t>
            </w:r>
          </w:p>
        </w:tc>
      </w:tr>
      <w:tr w:rsidR="009A096F" w:rsidRPr="009A096F" w14:paraId="042A8B2E" w14:textId="77777777" w:rsidTr="009A096F">
        <w:tc>
          <w:tcPr>
            <w:tcW w:w="3020" w:type="dxa"/>
            <w:vAlign w:val="center"/>
          </w:tcPr>
          <w:p w14:paraId="580AB067" w14:textId="6F2A1E61"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val="de-CH" w:eastAsia="ja-JP"/>
              </w:rPr>
            </w:pPr>
            <w:r w:rsidRPr="00CD0DFF">
              <w:rPr>
                <w:rFonts w:eastAsia="MS PGothic" w:cs="Arial"/>
                <w:kern w:val="2"/>
                <w:sz w:val="22"/>
                <w:szCs w:val="22"/>
                <w:lang w:eastAsia="ja-JP"/>
              </w:rPr>
              <w:t>t</w:t>
            </w:r>
            <w:r w:rsidRPr="00CD0DFF">
              <w:rPr>
                <w:rFonts w:eastAsia="MS PGothic" w:cs="Arial"/>
                <w:kern w:val="2"/>
                <w:sz w:val="22"/>
                <w:szCs w:val="22"/>
                <w:vertAlign w:val="subscript"/>
                <w:lang w:eastAsia="ja-JP"/>
              </w:rPr>
              <w:t>1/2,z</w:t>
            </w:r>
            <w:r w:rsidRPr="00CD0DFF">
              <w:rPr>
                <w:rFonts w:eastAsia="MS PGothic" w:cs="Arial"/>
                <w:kern w:val="2"/>
                <w:sz w:val="22"/>
                <w:szCs w:val="22"/>
                <w:lang w:eastAsia="ja-JP"/>
              </w:rPr>
              <w:t xml:space="preserve"> (hr)</w:t>
            </w:r>
          </w:p>
        </w:tc>
        <w:tc>
          <w:tcPr>
            <w:tcW w:w="3020" w:type="dxa"/>
            <w:vAlign w:val="center"/>
          </w:tcPr>
          <w:p w14:paraId="2D1E53DC" w14:textId="3DDC51B2"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93.9 (21.6)</w:t>
            </w:r>
          </w:p>
        </w:tc>
        <w:tc>
          <w:tcPr>
            <w:tcW w:w="3020" w:type="dxa"/>
            <w:vAlign w:val="center"/>
          </w:tcPr>
          <w:p w14:paraId="7F83F3BD" w14:textId="4836E737"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97.5 (22.8)</w:t>
            </w:r>
          </w:p>
        </w:tc>
      </w:tr>
      <w:tr w:rsidR="009A096F" w:rsidRPr="009A096F" w14:paraId="15AD05F9" w14:textId="77777777" w:rsidTr="009A096F">
        <w:tc>
          <w:tcPr>
            <w:tcW w:w="3020" w:type="dxa"/>
            <w:vAlign w:val="center"/>
          </w:tcPr>
          <w:p w14:paraId="3AC2E95F" w14:textId="29CACC9E"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eastAsia="ja-JP"/>
              </w:rPr>
            </w:pPr>
            <w:r w:rsidRPr="00CD0DFF">
              <w:rPr>
                <w:rFonts w:eastAsia="MS PGothic" w:cs="Arial"/>
                <w:kern w:val="2"/>
                <w:sz w:val="22"/>
                <w:szCs w:val="22"/>
                <w:lang w:eastAsia="ja-JP"/>
              </w:rPr>
              <w:t>CL/F (L/hr)</w:t>
            </w:r>
          </w:p>
        </w:tc>
        <w:tc>
          <w:tcPr>
            <w:tcW w:w="3020" w:type="dxa"/>
            <w:vAlign w:val="center"/>
          </w:tcPr>
          <w:p w14:paraId="627FACAA" w14:textId="641894D9"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4.78 (19.6)</w:t>
            </w:r>
          </w:p>
        </w:tc>
        <w:tc>
          <w:tcPr>
            <w:tcW w:w="3020" w:type="dxa"/>
            <w:vAlign w:val="center"/>
          </w:tcPr>
          <w:p w14:paraId="570FD6B7" w14:textId="1E1345AA"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7.45 (39.1)</w:t>
            </w:r>
          </w:p>
        </w:tc>
      </w:tr>
      <w:tr w:rsidR="009A096F" w:rsidRPr="009A096F" w14:paraId="0C19DCD0" w14:textId="77777777" w:rsidTr="009A096F">
        <w:tc>
          <w:tcPr>
            <w:tcW w:w="3020" w:type="dxa"/>
            <w:vAlign w:val="center"/>
          </w:tcPr>
          <w:p w14:paraId="43CFB284" w14:textId="5738BD8D"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eastAsia="ja-JP"/>
              </w:rPr>
            </w:pPr>
            <w:proofErr w:type="spellStart"/>
            <w:r w:rsidRPr="00CD0DFF">
              <w:rPr>
                <w:rFonts w:eastAsia="MS PGothic" w:cs="Arial"/>
                <w:kern w:val="2"/>
                <w:sz w:val="22"/>
                <w:szCs w:val="22"/>
                <w:lang w:eastAsia="ja-JP"/>
              </w:rPr>
              <w:t>V</w:t>
            </w:r>
            <w:r w:rsidRPr="00CD0DFF">
              <w:rPr>
                <w:rFonts w:eastAsia="MS PGothic" w:cs="Arial"/>
                <w:kern w:val="2"/>
                <w:sz w:val="22"/>
                <w:szCs w:val="22"/>
                <w:vertAlign w:val="subscript"/>
                <w:lang w:eastAsia="ja-JP"/>
              </w:rPr>
              <w:t>z</w:t>
            </w:r>
            <w:proofErr w:type="spellEnd"/>
            <w:r w:rsidRPr="00CD0DFF">
              <w:rPr>
                <w:rFonts w:eastAsia="MS PGothic" w:cs="Arial"/>
                <w:kern w:val="2"/>
                <w:sz w:val="22"/>
                <w:szCs w:val="22"/>
                <w:lang w:eastAsia="ja-JP"/>
              </w:rPr>
              <w:t>/F (L)</w:t>
            </w:r>
          </w:p>
        </w:tc>
        <w:tc>
          <w:tcPr>
            <w:tcW w:w="3020" w:type="dxa"/>
            <w:vAlign w:val="center"/>
          </w:tcPr>
          <w:p w14:paraId="12004B6C" w14:textId="36CCA796"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647 (19.1)</w:t>
            </w:r>
          </w:p>
        </w:tc>
        <w:tc>
          <w:tcPr>
            <w:tcW w:w="3020" w:type="dxa"/>
            <w:vAlign w:val="center"/>
          </w:tcPr>
          <w:p w14:paraId="305A1D11" w14:textId="6445E567" w:rsidR="009A096F" w:rsidRPr="00CD0DFF" w:rsidRDefault="009A096F" w:rsidP="009A096F">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1050 (35.6)</w:t>
            </w:r>
          </w:p>
        </w:tc>
      </w:tr>
    </w:tbl>
    <w:p w14:paraId="4CA16D47" w14:textId="77777777" w:rsidR="009A096F" w:rsidRPr="009A096F" w:rsidRDefault="009A096F" w:rsidP="009A096F">
      <w:pPr>
        <w:spacing w:before="40"/>
        <w:rPr>
          <w:sz w:val="22"/>
          <w:lang w:val="en-AU"/>
        </w:rPr>
      </w:pPr>
      <w:r w:rsidRPr="00E42F85">
        <w:rPr>
          <w:sz w:val="22"/>
          <w:vertAlign w:val="superscript"/>
          <w:lang w:val="en-AU"/>
        </w:rPr>
        <w:t>a</w:t>
      </w:r>
      <w:r w:rsidRPr="009A096F">
        <w:rPr>
          <w:sz w:val="22"/>
          <w:lang w:val="en-AU"/>
        </w:rPr>
        <w:t xml:space="preserve"> Median (Min, Max)</w:t>
      </w:r>
    </w:p>
    <w:p w14:paraId="5BD5E6F1" w14:textId="11B0B49A" w:rsidR="009A096F" w:rsidRDefault="009A096F" w:rsidP="009A096F">
      <w:pPr>
        <w:rPr>
          <w:lang w:val="en-AU"/>
        </w:rPr>
      </w:pPr>
    </w:p>
    <w:p w14:paraId="06B1FDC1" w14:textId="2DAF6E58" w:rsidR="009A096F" w:rsidRPr="00F55867" w:rsidRDefault="004E486E" w:rsidP="00B739DB">
      <w:pPr>
        <w:pStyle w:val="Tableheading"/>
        <w:ind w:right="-2"/>
      </w:pPr>
      <w:r>
        <w:t xml:space="preserve">Table </w:t>
      </w:r>
      <w:r w:rsidR="0031430F">
        <w:t>9</w:t>
      </w:r>
      <w:r w:rsidR="009A096F" w:rsidRPr="00B41F0E">
        <w:tab/>
      </w:r>
      <w:r w:rsidR="009A096F" w:rsidRPr="009A096F">
        <w:t xml:space="preserve">Pharmacokinetic </w:t>
      </w:r>
      <w:r w:rsidR="009A096F">
        <w:t>p</w:t>
      </w:r>
      <w:r w:rsidR="009A096F" w:rsidRPr="009A096F">
        <w:t xml:space="preserve">arameters of </w:t>
      </w:r>
      <w:r w:rsidR="009A096F">
        <w:t>p</w:t>
      </w:r>
      <w:r w:rsidR="009A096F" w:rsidRPr="009A096F">
        <w:t xml:space="preserve">lasma baloxavir in </w:t>
      </w:r>
      <w:r w:rsidR="009A096F">
        <w:t>Caucasian</w:t>
      </w:r>
      <w:r w:rsidR="009A096F" w:rsidRPr="009A096F">
        <w:t xml:space="preserve"> healthy subjects after a </w:t>
      </w:r>
      <w:r w:rsidR="009A096F">
        <w:t>s</w:t>
      </w:r>
      <w:r w:rsidR="009A096F" w:rsidRPr="009A096F">
        <w:t xml:space="preserve">ingle </w:t>
      </w:r>
      <w:r w:rsidR="009A096F">
        <w:t>o</w:t>
      </w:r>
      <w:r w:rsidR="009A096F" w:rsidRPr="009A096F">
        <w:t xml:space="preserve">ral </w:t>
      </w:r>
      <w:r w:rsidR="009A096F">
        <w:t xml:space="preserve">dose of 80 mg </w:t>
      </w:r>
      <w:r w:rsidR="009A096F" w:rsidRPr="009A096F">
        <w:t xml:space="preserve">baloxavir marboxil in the </w:t>
      </w:r>
      <w:r w:rsidR="009A096F">
        <w:t>fasted s</w:t>
      </w:r>
      <w:r w:rsidR="009A096F" w:rsidRPr="009A096F">
        <w:t xml:space="preserve">tate </w:t>
      </w:r>
    </w:p>
    <w:tbl>
      <w:tblPr>
        <w:tblStyle w:val="TableGrid"/>
        <w:tblW w:w="0" w:type="auto"/>
        <w:tblLook w:val="04A0" w:firstRow="1" w:lastRow="0" w:firstColumn="1" w:lastColumn="0" w:noHBand="0" w:noVBand="1"/>
      </w:tblPr>
      <w:tblGrid>
        <w:gridCol w:w="3020"/>
        <w:gridCol w:w="4205"/>
      </w:tblGrid>
      <w:tr w:rsidR="00B319D6" w:rsidRPr="009A096F" w14:paraId="215B8193" w14:textId="77777777" w:rsidTr="00B319D6">
        <w:tc>
          <w:tcPr>
            <w:tcW w:w="3020" w:type="dxa"/>
            <w:vAlign w:val="center"/>
          </w:tcPr>
          <w:p w14:paraId="360E55CC" w14:textId="6A42E5A4" w:rsidR="00B319D6" w:rsidRPr="00B319D6"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b/>
                <w:kern w:val="2"/>
                <w:sz w:val="22"/>
                <w:szCs w:val="22"/>
                <w:lang w:eastAsia="ja-JP"/>
              </w:rPr>
            </w:pPr>
            <w:r w:rsidRPr="00B319D6">
              <w:rPr>
                <w:rFonts w:eastAsia="MS PGothic" w:cs="Arial"/>
                <w:b/>
                <w:kern w:val="2"/>
                <w:sz w:val="22"/>
                <w:szCs w:val="22"/>
                <w:lang w:eastAsia="ja-JP"/>
              </w:rPr>
              <w:t>Parameters</w:t>
            </w:r>
          </w:p>
        </w:tc>
        <w:tc>
          <w:tcPr>
            <w:tcW w:w="4205" w:type="dxa"/>
            <w:vAlign w:val="center"/>
          </w:tcPr>
          <w:p w14:paraId="5EFE4DB2" w14:textId="75EDFB0E" w:rsidR="00B319D6" w:rsidRPr="00B319D6"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b/>
                <w:snapToGrid w:val="0"/>
                <w:sz w:val="22"/>
                <w:szCs w:val="22"/>
                <w:lang w:eastAsia="ja-JP"/>
              </w:rPr>
            </w:pPr>
            <w:r w:rsidRPr="00B319D6">
              <w:rPr>
                <w:rFonts w:eastAsia="MS PGothic" w:cs="Arial"/>
                <w:b/>
                <w:snapToGrid w:val="0"/>
                <w:sz w:val="22"/>
                <w:szCs w:val="22"/>
                <w:lang w:eastAsia="ja-JP"/>
              </w:rPr>
              <w:t>Geometric Mean (CV%)</w:t>
            </w:r>
          </w:p>
        </w:tc>
      </w:tr>
      <w:tr w:rsidR="00B319D6" w:rsidRPr="009A096F" w14:paraId="7E3C7D84" w14:textId="77777777" w:rsidTr="00B319D6">
        <w:tc>
          <w:tcPr>
            <w:tcW w:w="3020" w:type="dxa"/>
            <w:vAlign w:val="center"/>
          </w:tcPr>
          <w:p w14:paraId="4E86B660" w14:textId="1303C9DA" w:rsidR="00B319D6" w:rsidRPr="00CD0DFF"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eastAsia="ja-JP"/>
              </w:rPr>
            </w:pPr>
            <w:r w:rsidRPr="00CD0DFF">
              <w:rPr>
                <w:rFonts w:eastAsia="MS PGothic" w:cs="Arial"/>
                <w:kern w:val="2"/>
                <w:sz w:val="22"/>
                <w:szCs w:val="22"/>
                <w:lang w:eastAsia="ja-JP"/>
              </w:rPr>
              <w:t>N</w:t>
            </w:r>
          </w:p>
        </w:tc>
        <w:tc>
          <w:tcPr>
            <w:tcW w:w="4205" w:type="dxa"/>
            <w:vAlign w:val="center"/>
          </w:tcPr>
          <w:p w14:paraId="210F4FC7" w14:textId="13636C71" w:rsidR="00B319D6" w:rsidRPr="00CD0DFF"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kern w:val="2"/>
                <w:sz w:val="22"/>
                <w:szCs w:val="22"/>
                <w:lang w:eastAsia="ja-JP"/>
              </w:rPr>
              <w:t>12</w:t>
            </w:r>
          </w:p>
        </w:tc>
      </w:tr>
      <w:tr w:rsidR="00B319D6" w:rsidRPr="009A096F" w14:paraId="7FD4B137" w14:textId="77777777" w:rsidTr="00B319D6">
        <w:tc>
          <w:tcPr>
            <w:tcW w:w="3020" w:type="dxa"/>
            <w:vAlign w:val="center"/>
          </w:tcPr>
          <w:p w14:paraId="71A83B91" w14:textId="6843E006" w:rsidR="00B319D6" w:rsidRPr="009A096F"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val="de-DE" w:eastAsia="ja-JP"/>
              </w:rPr>
            </w:pPr>
            <w:proofErr w:type="spellStart"/>
            <w:r w:rsidRPr="00CD0DFF">
              <w:rPr>
                <w:rFonts w:eastAsia="MS PGothic" w:cs="Arial"/>
                <w:kern w:val="2"/>
                <w:sz w:val="22"/>
                <w:szCs w:val="22"/>
                <w:lang w:eastAsia="ja-JP"/>
              </w:rPr>
              <w:t>C</w:t>
            </w:r>
            <w:r w:rsidRPr="00CD0DFF">
              <w:rPr>
                <w:rFonts w:eastAsia="MS PGothic" w:cs="Arial"/>
                <w:kern w:val="2"/>
                <w:sz w:val="22"/>
                <w:szCs w:val="22"/>
                <w:vertAlign w:val="subscript"/>
                <w:lang w:eastAsia="ja-JP"/>
              </w:rPr>
              <w:t>max</w:t>
            </w:r>
            <w:proofErr w:type="spellEnd"/>
            <w:r w:rsidRPr="00CD0DFF">
              <w:rPr>
                <w:rFonts w:eastAsia="MS PGothic" w:cs="Arial"/>
                <w:kern w:val="2"/>
                <w:sz w:val="22"/>
                <w:szCs w:val="22"/>
                <w:lang w:eastAsia="ja-JP"/>
              </w:rPr>
              <w:t xml:space="preserve"> (ng/mL)</w:t>
            </w:r>
          </w:p>
        </w:tc>
        <w:tc>
          <w:tcPr>
            <w:tcW w:w="4205" w:type="dxa"/>
            <w:vAlign w:val="center"/>
          </w:tcPr>
          <w:p w14:paraId="5E022B60" w14:textId="0EF63022" w:rsidR="00B319D6" w:rsidRPr="00CD0DFF"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145 (25.4)</w:t>
            </w:r>
          </w:p>
        </w:tc>
      </w:tr>
      <w:tr w:rsidR="00B319D6" w:rsidRPr="009A096F" w14:paraId="7E409F1A" w14:textId="77777777" w:rsidTr="00B319D6">
        <w:tc>
          <w:tcPr>
            <w:tcW w:w="3020" w:type="dxa"/>
            <w:vAlign w:val="center"/>
          </w:tcPr>
          <w:p w14:paraId="1D9F82F1" w14:textId="15A135B0" w:rsidR="00B319D6" w:rsidRPr="00B319D6"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val="en-AU" w:eastAsia="ja-JP"/>
              </w:rPr>
            </w:pPr>
            <w:r w:rsidRPr="00CD0DFF">
              <w:rPr>
                <w:rFonts w:eastAsia="MS PGothic" w:cs="Arial"/>
                <w:kern w:val="2"/>
                <w:sz w:val="22"/>
                <w:szCs w:val="22"/>
                <w:lang w:eastAsia="ja-JP"/>
              </w:rPr>
              <w:t>AUC</w:t>
            </w:r>
            <w:r w:rsidRPr="00CD0DFF">
              <w:rPr>
                <w:rFonts w:eastAsia="MS PGothic" w:cs="Arial"/>
                <w:kern w:val="2"/>
                <w:sz w:val="22"/>
                <w:szCs w:val="22"/>
                <w:vertAlign w:val="subscript"/>
                <w:lang w:eastAsia="ja-JP"/>
              </w:rPr>
              <w:t>0-last</w:t>
            </w:r>
            <w:r w:rsidRPr="00CD0DFF">
              <w:rPr>
                <w:rFonts w:eastAsia="MS PGothic" w:cs="Arial"/>
                <w:kern w:val="2"/>
                <w:sz w:val="22"/>
                <w:szCs w:val="22"/>
                <w:lang w:eastAsia="ja-JP"/>
              </w:rPr>
              <w:t xml:space="preserve"> (</w:t>
            </w:r>
            <w:proofErr w:type="spellStart"/>
            <w:r w:rsidRPr="00CD0DFF">
              <w:rPr>
                <w:rFonts w:eastAsia="MS PGothic" w:cs="Arial"/>
                <w:kern w:val="2"/>
                <w:sz w:val="22"/>
                <w:szCs w:val="22"/>
                <w:lang w:eastAsia="ja-JP"/>
              </w:rPr>
              <w:t>ng</w:t>
            </w:r>
            <w:r w:rsidRPr="00CD0DFF">
              <w:rPr>
                <w:rFonts w:eastAsia="MS Mincho" w:cs="Arial"/>
                <w:kern w:val="2"/>
                <w:sz w:val="22"/>
                <w:szCs w:val="22"/>
                <w:lang w:eastAsia="ja-JP"/>
              </w:rPr>
              <w:t>·</w:t>
            </w:r>
            <w:r w:rsidRPr="00CD0DFF">
              <w:rPr>
                <w:rFonts w:eastAsia="MS PGothic" w:cs="Arial"/>
                <w:kern w:val="2"/>
                <w:sz w:val="22"/>
                <w:szCs w:val="22"/>
                <w:lang w:eastAsia="ja-JP"/>
              </w:rPr>
              <w:t>hr</w:t>
            </w:r>
            <w:proofErr w:type="spellEnd"/>
            <w:r w:rsidRPr="00CD0DFF">
              <w:rPr>
                <w:rFonts w:eastAsia="MS PGothic" w:cs="Arial"/>
                <w:kern w:val="2"/>
                <w:sz w:val="22"/>
                <w:szCs w:val="22"/>
                <w:lang w:eastAsia="ja-JP"/>
              </w:rPr>
              <w:t>/mL)</w:t>
            </w:r>
          </w:p>
        </w:tc>
        <w:tc>
          <w:tcPr>
            <w:tcW w:w="4205" w:type="dxa"/>
            <w:vAlign w:val="center"/>
          </w:tcPr>
          <w:p w14:paraId="0B6F2A0D" w14:textId="6495504A" w:rsidR="00B319D6" w:rsidRPr="00CD0DFF"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6305 (21.2)</w:t>
            </w:r>
          </w:p>
        </w:tc>
      </w:tr>
      <w:tr w:rsidR="00B319D6" w:rsidRPr="009A096F" w14:paraId="395F5FA8" w14:textId="77777777" w:rsidTr="00B319D6">
        <w:tc>
          <w:tcPr>
            <w:tcW w:w="3020" w:type="dxa"/>
            <w:vAlign w:val="center"/>
          </w:tcPr>
          <w:p w14:paraId="10249EAF" w14:textId="4F361F4B" w:rsidR="00B319D6" w:rsidRPr="00B319D6"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val="de-DE" w:eastAsia="ja-JP"/>
              </w:rPr>
            </w:pPr>
            <w:r w:rsidRPr="00CD0DFF">
              <w:rPr>
                <w:rFonts w:eastAsia="MS PGothic" w:cs="Arial"/>
                <w:kern w:val="2"/>
                <w:sz w:val="22"/>
                <w:szCs w:val="22"/>
                <w:lang w:val="de-CH" w:eastAsia="ja-JP"/>
              </w:rPr>
              <w:t>AUC</w:t>
            </w:r>
            <w:r w:rsidRPr="00CD0DFF">
              <w:rPr>
                <w:rFonts w:eastAsia="MS PGothic" w:cs="Arial"/>
                <w:kern w:val="2"/>
                <w:sz w:val="22"/>
                <w:szCs w:val="22"/>
                <w:vertAlign w:val="subscript"/>
                <w:lang w:val="de-CH" w:eastAsia="ja-JP"/>
              </w:rPr>
              <w:t>0-inf</w:t>
            </w:r>
            <w:r w:rsidRPr="00CD0DFF">
              <w:rPr>
                <w:rFonts w:eastAsia="MS PGothic" w:cs="Arial"/>
                <w:kern w:val="2"/>
                <w:sz w:val="22"/>
                <w:szCs w:val="22"/>
                <w:lang w:val="de-CH" w:eastAsia="ja-JP"/>
              </w:rPr>
              <w:t xml:space="preserve"> (ng</w:t>
            </w:r>
            <w:r w:rsidRPr="00CD0DFF">
              <w:rPr>
                <w:rFonts w:eastAsia="MS Mincho" w:cs="Arial"/>
                <w:kern w:val="2"/>
                <w:sz w:val="22"/>
                <w:szCs w:val="22"/>
                <w:lang w:val="de-CH" w:eastAsia="ja-JP"/>
              </w:rPr>
              <w:t>·</w:t>
            </w:r>
            <w:r w:rsidRPr="00CD0DFF">
              <w:rPr>
                <w:rFonts w:eastAsia="MS PGothic" w:cs="Arial"/>
                <w:kern w:val="2"/>
                <w:sz w:val="22"/>
                <w:szCs w:val="22"/>
                <w:lang w:val="de-CH" w:eastAsia="ja-JP"/>
              </w:rPr>
              <w:t>hr/mL)</w:t>
            </w:r>
          </w:p>
        </w:tc>
        <w:tc>
          <w:tcPr>
            <w:tcW w:w="4205" w:type="dxa"/>
            <w:vAlign w:val="center"/>
          </w:tcPr>
          <w:p w14:paraId="67E86B53" w14:textId="6A5B561D" w:rsidR="00B319D6" w:rsidRPr="00CD0DFF"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6551 (22.5)</w:t>
            </w:r>
          </w:p>
        </w:tc>
      </w:tr>
      <w:tr w:rsidR="00B319D6" w:rsidRPr="009A096F" w14:paraId="5D01E6B5" w14:textId="77777777" w:rsidTr="00B319D6">
        <w:tc>
          <w:tcPr>
            <w:tcW w:w="3020" w:type="dxa"/>
            <w:vAlign w:val="center"/>
          </w:tcPr>
          <w:p w14:paraId="1AE5848E" w14:textId="4D037685" w:rsidR="00B319D6" w:rsidRPr="00CD0DFF"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eastAsia="ja-JP"/>
              </w:rPr>
            </w:pPr>
            <w:r w:rsidRPr="00CD0DFF">
              <w:rPr>
                <w:rFonts w:eastAsia="MS PGothic" w:cs="Arial"/>
                <w:kern w:val="2"/>
                <w:sz w:val="22"/>
                <w:szCs w:val="22"/>
                <w:lang w:eastAsia="ja-JP"/>
              </w:rPr>
              <w:t>t</w:t>
            </w:r>
            <w:r w:rsidRPr="00CD0DFF">
              <w:rPr>
                <w:rFonts w:eastAsia="MS PGothic" w:cs="Arial"/>
                <w:kern w:val="2"/>
                <w:sz w:val="22"/>
                <w:szCs w:val="22"/>
                <w:vertAlign w:val="subscript"/>
                <w:lang w:eastAsia="ja-JP"/>
              </w:rPr>
              <w:t>1/2,z</w:t>
            </w:r>
            <w:r w:rsidRPr="00CD0DFF">
              <w:rPr>
                <w:rFonts w:eastAsia="MS PGothic" w:cs="Arial"/>
                <w:kern w:val="2"/>
                <w:sz w:val="22"/>
                <w:szCs w:val="22"/>
                <w:lang w:eastAsia="ja-JP"/>
              </w:rPr>
              <w:t xml:space="preserve"> (hr)</w:t>
            </w:r>
          </w:p>
        </w:tc>
        <w:tc>
          <w:tcPr>
            <w:tcW w:w="4205" w:type="dxa"/>
            <w:vAlign w:val="center"/>
          </w:tcPr>
          <w:p w14:paraId="721AEADD" w14:textId="18E699F2" w:rsidR="00B319D6" w:rsidRPr="00CD0DFF" w:rsidRDefault="00B319D6" w:rsidP="00B739DB">
            <w:pPr>
              <w:keepNext/>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79.1 (22.4)</w:t>
            </w:r>
          </w:p>
        </w:tc>
      </w:tr>
      <w:tr w:rsidR="00B319D6" w:rsidRPr="009A096F" w14:paraId="4AFC8E49" w14:textId="77777777" w:rsidTr="00B319D6">
        <w:tc>
          <w:tcPr>
            <w:tcW w:w="3020" w:type="dxa"/>
            <w:vAlign w:val="center"/>
          </w:tcPr>
          <w:p w14:paraId="3DDEA955" w14:textId="55EB68F9" w:rsidR="00B319D6" w:rsidRPr="00CD0DFF" w:rsidRDefault="00B319D6" w:rsidP="00B319D6">
            <w:pPr>
              <w:pBdr>
                <w:top w:val="none" w:sz="0" w:space="0" w:color="auto"/>
                <w:left w:val="none" w:sz="0" w:space="0" w:color="auto"/>
                <w:bottom w:val="none" w:sz="0" w:space="0" w:color="auto"/>
                <w:right w:val="none" w:sz="0" w:space="0" w:color="auto"/>
                <w:between w:val="none" w:sz="0" w:space="0" w:color="auto"/>
              </w:pBdr>
              <w:spacing w:before="40" w:after="40"/>
              <w:rPr>
                <w:rFonts w:eastAsia="MS PGothic" w:cs="Arial"/>
                <w:kern w:val="2"/>
                <w:sz w:val="22"/>
                <w:szCs w:val="22"/>
                <w:lang w:eastAsia="ja-JP"/>
              </w:rPr>
            </w:pPr>
            <w:r w:rsidRPr="00CD0DFF">
              <w:rPr>
                <w:rFonts w:eastAsia="MS PGothic" w:cs="Arial"/>
                <w:kern w:val="2"/>
                <w:sz w:val="22"/>
                <w:szCs w:val="22"/>
                <w:lang w:eastAsia="ja-JP"/>
              </w:rPr>
              <w:t>CL/F (L/hr)</w:t>
            </w:r>
          </w:p>
        </w:tc>
        <w:tc>
          <w:tcPr>
            <w:tcW w:w="4205" w:type="dxa"/>
            <w:vAlign w:val="center"/>
          </w:tcPr>
          <w:p w14:paraId="2212EC36" w14:textId="43270C39" w:rsidR="00B319D6" w:rsidRPr="00CD0DFF" w:rsidRDefault="00B319D6" w:rsidP="00B319D6">
            <w:pPr>
              <w:pBdr>
                <w:top w:val="none" w:sz="0" w:space="0" w:color="auto"/>
                <w:left w:val="none" w:sz="0" w:space="0" w:color="auto"/>
                <w:bottom w:val="none" w:sz="0" w:space="0" w:color="auto"/>
                <w:right w:val="none" w:sz="0" w:space="0" w:color="auto"/>
                <w:between w:val="none" w:sz="0" w:space="0" w:color="auto"/>
              </w:pBdr>
              <w:spacing w:before="40" w:after="40"/>
              <w:jc w:val="center"/>
              <w:rPr>
                <w:rFonts w:eastAsia="MS PGothic" w:cs="Arial"/>
                <w:snapToGrid w:val="0"/>
                <w:sz w:val="22"/>
                <w:szCs w:val="22"/>
                <w:lang w:eastAsia="ja-JP"/>
              </w:rPr>
            </w:pPr>
            <w:r w:rsidRPr="00CD0DFF">
              <w:rPr>
                <w:rFonts w:eastAsia="MS PGothic" w:cs="Arial"/>
                <w:snapToGrid w:val="0"/>
                <w:sz w:val="22"/>
                <w:szCs w:val="22"/>
                <w:lang w:eastAsia="ja-JP"/>
              </w:rPr>
              <w:t>10.3 (22.5)</w:t>
            </w:r>
          </w:p>
        </w:tc>
      </w:tr>
    </w:tbl>
    <w:p w14:paraId="65912AEA" w14:textId="77777777" w:rsidR="00B739DB" w:rsidRDefault="00B739DB" w:rsidP="00B739DB"/>
    <w:p w14:paraId="2877FBB2" w14:textId="58450FF8" w:rsidR="006543BF" w:rsidRDefault="00B739DB" w:rsidP="00B739DB">
      <w:r w:rsidRPr="00EA07BB">
        <w:t>Oral drug clearance of baloxavir in the typical Asian and non-Asian patient (65 kg) was respectively 9.3 L/h and 5.4 L/h. In the Phase 3 study</w:t>
      </w:r>
      <w:r>
        <w:t xml:space="preserve"> in otherwise health</w:t>
      </w:r>
      <w:r w:rsidR="005405E5">
        <w:t>y</w:t>
      </w:r>
      <w:r>
        <w:t xml:space="preserve"> patients</w:t>
      </w:r>
      <w:r w:rsidRPr="00EA07BB">
        <w:t xml:space="preserve"> (CAPSTONE</w:t>
      </w:r>
      <w:r>
        <w:t>-</w:t>
      </w:r>
      <w:r w:rsidRPr="00EA07BB">
        <w:t>1), mean drug exposure to baloxavir in terms of AUC</w:t>
      </w:r>
      <w:r w:rsidR="00A02B14" w:rsidRPr="00A02B14">
        <w:rPr>
          <w:vertAlign w:val="subscript"/>
        </w:rPr>
        <w:t>0-</w:t>
      </w:r>
      <w:r w:rsidRPr="00B739DB">
        <w:rPr>
          <w:vertAlign w:val="subscript"/>
        </w:rPr>
        <w:t>inf</w:t>
      </w:r>
      <w:r w:rsidRPr="00EA07BB">
        <w:t xml:space="preserve"> and </w:t>
      </w:r>
      <w:proofErr w:type="spellStart"/>
      <w:r w:rsidRPr="00EA07BB">
        <w:t>C</w:t>
      </w:r>
      <w:r w:rsidRPr="00B739DB">
        <w:rPr>
          <w:vertAlign w:val="subscript"/>
        </w:rPr>
        <w:t>max</w:t>
      </w:r>
      <w:proofErr w:type="spellEnd"/>
      <w:r w:rsidRPr="00EA07BB">
        <w:t xml:space="preserve"> were respectively 6881 ng.hr/mL and 103 ng/mL in the typical Asian</w:t>
      </w:r>
      <w:r>
        <w:t xml:space="preserve"> patient, and respectively 4645 </w:t>
      </w:r>
      <w:r w:rsidRPr="00EA07BB">
        <w:t xml:space="preserve">ng.hr/mL and 70.5 ng/mL in the typical non-Asian patient. There were no differences in </w:t>
      </w:r>
      <w:r>
        <w:t>pharmacokinetic</w:t>
      </w:r>
      <w:r w:rsidRPr="00EA07BB">
        <w:t xml:space="preserve"> parameters between influenza patients who are otherwise healthy (CAPSTONE</w:t>
      </w:r>
      <w:r>
        <w:t>-</w:t>
      </w:r>
      <w:r w:rsidRPr="00EA07BB">
        <w:t>1) and patients who are at high risk</w:t>
      </w:r>
      <w:r>
        <w:t xml:space="preserve"> of complications (CAPSTONE-2).</w:t>
      </w:r>
    </w:p>
    <w:p w14:paraId="492292F8" w14:textId="77777777" w:rsidR="00B739DB" w:rsidRDefault="00B739DB" w:rsidP="00B739DB"/>
    <w:p w14:paraId="4B8D4B40" w14:textId="765326BD" w:rsidR="006543BF" w:rsidRDefault="006543BF" w:rsidP="006543BF">
      <w:r>
        <w:lastRenderedPageBreak/>
        <w:t>The apparent terminal elimination half-life (t</w:t>
      </w:r>
      <w:r w:rsidRPr="006543BF">
        <w:rPr>
          <w:vertAlign w:val="subscript"/>
        </w:rPr>
        <w:t>1/2,z</w:t>
      </w:r>
      <w:r>
        <w:t xml:space="preserve">) of baloxavir after a single oral administration of baloxavir marboxil is 79.1 hours in Caucasian </w:t>
      </w:r>
      <w:r w:rsidR="005C7D06">
        <w:t>subjects</w:t>
      </w:r>
      <w:r>
        <w:t xml:space="preserve"> and 93.9 hours in Japanese subjects (Tables </w:t>
      </w:r>
      <w:r w:rsidR="004E486E">
        <w:t>8</w:t>
      </w:r>
      <w:r>
        <w:t xml:space="preserve"> and </w:t>
      </w:r>
      <w:r w:rsidR="004E486E">
        <w:t>9</w:t>
      </w:r>
      <w:r>
        <w:t>).</w:t>
      </w:r>
    </w:p>
    <w:p w14:paraId="03ED4BAA" w14:textId="77777777" w:rsidR="006543BF" w:rsidRDefault="006543BF" w:rsidP="006543BF"/>
    <w:p w14:paraId="5F9B50B4" w14:textId="0B392582" w:rsidR="00B319D6" w:rsidRDefault="006543BF" w:rsidP="006543BF">
      <w:r w:rsidRPr="006543BF">
        <w:rPr>
          <w:i/>
        </w:rPr>
        <w:t>Linearity/non-linearity:</w:t>
      </w:r>
      <w:r>
        <w:t xml:space="preserve"> Following single oral administration of baloxavir marboxil, baloxavir exhibits linear pharmacokinetics in the fasted state within the dose range of 6 mg to 80 mg</w:t>
      </w:r>
      <w:r w:rsidR="00755DAC">
        <w:t>.</w:t>
      </w:r>
    </w:p>
    <w:p w14:paraId="12A5BC2D" w14:textId="6AB40360" w:rsidR="004303A3" w:rsidRDefault="004303A3" w:rsidP="00DF4D42">
      <w:pPr>
        <w:pStyle w:val="Heading3"/>
        <w:keepNext/>
      </w:pPr>
      <w:r w:rsidRPr="0004230C">
        <w:t>Absorption</w:t>
      </w:r>
    </w:p>
    <w:p w14:paraId="16F27CC7" w14:textId="77777777" w:rsidR="007F07E7" w:rsidRPr="007F07E7" w:rsidRDefault="007F07E7" w:rsidP="007F07E7"/>
    <w:p w14:paraId="06B016C6" w14:textId="6770F83D" w:rsidR="00B319D6" w:rsidRDefault="00B319D6" w:rsidP="00B319D6">
      <w:r>
        <w:t>Following a single oral administration of 80 mg of baloxavir marboxil, peak plasma concentration (</w:t>
      </w:r>
      <w:proofErr w:type="spellStart"/>
      <w:r>
        <w:t>T</w:t>
      </w:r>
      <w:r w:rsidRPr="00B319D6">
        <w:rPr>
          <w:vertAlign w:val="subscript"/>
        </w:rPr>
        <w:t>max</w:t>
      </w:r>
      <w:proofErr w:type="spellEnd"/>
      <w:r>
        <w:t>) of baloxavir was reached at approximately 4 hours in the fasted state. The absolute bioavailability of baloxavir marboxil has not been established.</w:t>
      </w:r>
    </w:p>
    <w:p w14:paraId="2C665923" w14:textId="2E0EBA51" w:rsidR="00B319D6" w:rsidRDefault="00B319D6" w:rsidP="00755DAC">
      <w:pPr>
        <w:pStyle w:val="Heading4"/>
        <w:keepNext/>
      </w:pPr>
      <w:r>
        <w:t>Food effect</w:t>
      </w:r>
    </w:p>
    <w:p w14:paraId="060E8813" w14:textId="77777777" w:rsidR="00B319D6" w:rsidRPr="00B319D6" w:rsidRDefault="00B319D6" w:rsidP="00755DAC">
      <w:pPr>
        <w:keepNext/>
      </w:pPr>
    </w:p>
    <w:p w14:paraId="1595DE6C" w14:textId="47972D6D" w:rsidR="004303A3" w:rsidRDefault="00B319D6" w:rsidP="00B319D6">
      <w:r>
        <w:t xml:space="preserve">A food-effect study involving </w:t>
      </w:r>
      <w:r w:rsidR="008C3A9E">
        <w:t xml:space="preserve">the </w:t>
      </w:r>
      <w:r>
        <w:t xml:space="preserve">administration of baloxavir marboxil </w:t>
      </w:r>
      <w:r w:rsidR="008C3A9E">
        <w:t xml:space="preserve">20 mg tablets </w:t>
      </w:r>
      <w:r>
        <w:t>to healthy volunteers under fasting conditions and with a</w:t>
      </w:r>
      <w:r w:rsidR="008C3A9E">
        <w:t xml:space="preserve"> moderate fat, moderate calorie</w:t>
      </w:r>
      <w:r>
        <w:t xml:space="preserve"> meal (approximately 400 to 500 kcal including 150 kcal from fat) indicated that the </w:t>
      </w:r>
      <w:proofErr w:type="spellStart"/>
      <w:r>
        <w:t>C</w:t>
      </w:r>
      <w:r w:rsidRPr="00B319D6">
        <w:rPr>
          <w:vertAlign w:val="subscript"/>
        </w:rPr>
        <w:t>max</w:t>
      </w:r>
      <w:proofErr w:type="spellEnd"/>
      <w:r w:rsidR="008C3A9E" w:rsidRPr="008C3A9E">
        <w:t>,</w:t>
      </w:r>
      <w:r>
        <w:t xml:space="preserve"> AUC</w:t>
      </w:r>
      <w:r w:rsidR="008C3A9E" w:rsidRPr="008C3A9E">
        <w:rPr>
          <w:vertAlign w:val="subscript"/>
        </w:rPr>
        <w:t>0-72</w:t>
      </w:r>
      <w:r w:rsidR="008C3A9E">
        <w:t xml:space="preserve"> and AUC</w:t>
      </w:r>
      <w:r w:rsidR="00A02B14" w:rsidRPr="00A02B14">
        <w:rPr>
          <w:vertAlign w:val="subscript"/>
        </w:rPr>
        <w:t>0-</w:t>
      </w:r>
      <w:r w:rsidR="008C3A9E" w:rsidRPr="008C3A9E">
        <w:rPr>
          <w:vertAlign w:val="subscript"/>
        </w:rPr>
        <w:t>inf</w:t>
      </w:r>
      <w:r>
        <w:t xml:space="preserve"> of baloxavir were decreased by 48%</w:t>
      </w:r>
      <w:r w:rsidR="008C3A9E">
        <w:t>, 44%</w:t>
      </w:r>
      <w:r>
        <w:t xml:space="preserve"> and </w:t>
      </w:r>
      <w:r w:rsidR="008C3A9E">
        <w:t>37</w:t>
      </w:r>
      <w:r>
        <w:t xml:space="preserve">%, respectively, under fed conditions. </w:t>
      </w:r>
      <w:proofErr w:type="spellStart"/>
      <w:r>
        <w:t>T</w:t>
      </w:r>
      <w:r w:rsidRPr="00B319D6">
        <w:rPr>
          <w:vertAlign w:val="subscript"/>
        </w:rPr>
        <w:t>max</w:t>
      </w:r>
      <w:proofErr w:type="spellEnd"/>
      <w:r>
        <w:t xml:space="preserve"> was unchanged in the presence of food. In clinical studies with influenza patients where </w:t>
      </w:r>
      <w:r w:rsidR="002F0E1A">
        <w:t>Xofluza</w:t>
      </w:r>
      <w:r>
        <w:t xml:space="preserve"> was administered with or without food, no clinically relevant differences in efficacy were observed.</w:t>
      </w:r>
    </w:p>
    <w:p w14:paraId="0AA14067" w14:textId="77777777" w:rsidR="004303A3" w:rsidRDefault="004303A3" w:rsidP="00B57EDF">
      <w:pPr>
        <w:pStyle w:val="Heading3"/>
        <w:keepNext/>
      </w:pPr>
      <w:r>
        <w:t>Distribution</w:t>
      </w:r>
    </w:p>
    <w:p w14:paraId="3D66CF6E" w14:textId="77777777" w:rsidR="004303A3" w:rsidRDefault="004303A3" w:rsidP="004303A3"/>
    <w:p w14:paraId="673075B3" w14:textId="422543C3" w:rsidR="004303A3" w:rsidRDefault="005A1ACD" w:rsidP="004303A3">
      <w:r w:rsidRPr="005A1ACD">
        <w:t xml:space="preserve">In an </w:t>
      </w:r>
      <w:r w:rsidRPr="005A1ACD">
        <w:rPr>
          <w:i/>
        </w:rPr>
        <w:t>in vitro</w:t>
      </w:r>
      <w:r w:rsidRPr="005A1ACD">
        <w:t xml:space="preserve"> study, the binding of baloxavir to human serum proteins, primarily albumin, is 92.9% to 93.9%. The apparent volume of distribution of baloxavir following a single oral administration of 80 mg of baloxavir marb</w:t>
      </w:r>
      <w:r>
        <w:t>oxil is approximately 1180 litre</w:t>
      </w:r>
      <w:r w:rsidRPr="005A1ACD">
        <w:t>s in Caucasian patients</w:t>
      </w:r>
      <w:r>
        <w:t xml:space="preserve"> and 647 lit</w:t>
      </w:r>
      <w:r w:rsidRPr="005A1ACD">
        <w:t>r</w:t>
      </w:r>
      <w:r>
        <w:t>e</w:t>
      </w:r>
      <w:r w:rsidRPr="005A1ACD">
        <w:t>s in Japanese subjects</w:t>
      </w:r>
      <w:r w:rsidR="004303A3">
        <w:t>.</w:t>
      </w:r>
    </w:p>
    <w:p w14:paraId="49203C67" w14:textId="77777777" w:rsidR="004303A3" w:rsidRDefault="004303A3" w:rsidP="006F0CBF">
      <w:pPr>
        <w:pStyle w:val="Heading3"/>
        <w:keepNext/>
      </w:pPr>
      <w:r>
        <w:t>Metabolism</w:t>
      </w:r>
    </w:p>
    <w:p w14:paraId="4690DF40" w14:textId="77777777" w:rsidR="004303A3" w:rsidRDefault="004303A3" w:rsidP="006F0CBF">
      <w:pPr>
        <w:keepNext/>
      </w:pPr>
    </w:p>
    <w:p w14:paraId="4B1E19FA" w14:textId="3E28DF24" w:rsidR="005A1ACD" w:rsidRDefault="005A1ACD" w:rsidP="005A1ACD">
      <w:r w:rsidRPr="005A1ACD">
        <w:rPr>
          <w:i/>
        </w:rPr>
        <w:t>In vitro</w:t>
      </w:r>
      <w:r>
        <w:t xml:space="preserve"> studies revealed that </w:t>
      </w:r>
      <w:proofErr w:type="spellStart"/>
      <w:r>
        <w:t>arylacetamide</w:t>
      </w:r>
      <w:proofErr w:type="spellEnd"/>
      <w:r>
        <w:t xml:space="preserve"> deacetylase in the gastrointestinal lumen, intestinal epithelium, and the liver mainly contributes to the conversion from baloxavir marboxil to baloxavir</w:t>
      </w:r>
      <w:r w:rsidR="00F16903">
        <w:t>,</w:t>
      </w:r>
      <w:r>
        <w:t xml:space="preserve"> and baloxavir is primarily </w:t>
      </w:r>
      <w:r w:rsidR="00F16903">
        <w:t xml:space="preserve">metabolised </w:t>
      </w:r>
      <w:r>
        <w:t>by UGT1A3 with minor contribution from CYP3A4.</w:t>
      </w:r>
    </w:p>
    <w:p w14:paraId="424751D3" w14:textId="77777777" w:rsidR="005A1ACD" w:rsidRDefault="005A1ACD" w:rsidP="005A1ACD"/>
    <w:p w14:paraId="74BA163A" w14:textId="4FB7E369" w:rsidR="004303A3" w:rsidRPr="00F81A86" w:rsidRDefault="005A1ACD" w:rsidP="005A1ACD">
      <w:r>
        <w:t>In the human mass balance study, after administration of a single oral dose of 40 mg of [</w:t>
      </w:r>
      <w:r w:rsidRPr="005A1ACD">
        <w:rPr>
          <w:vertAlign w:val="superscript"/>
        </w:rPr>
        <w:t>14</w:t>
      </w:r>
      <w:r>
        <w:t>C]</w:t>
      </w:r>
      <w:r>
        <w:noBreakHyphen/>
        <w:t>labelled baloxavir marboxil, baloxavir accounted for 82.2% of the plasma AUC for total radioactivity. Baloxavir glucuronide (16.4% of the plasma AUC for total radioactivity) and (12aR,5R,11S) sulfoxide of baloxavir (1.5% of the plasma AUC for total radioactivity) were also detected in plasma</w:t>
      </w:r>
      <w:r w:rsidR="004303A3">
        <w:t>.</w:t>
      </w:r>
    </w:p>
    <w:p w14:paraId="21F3B4F8" w14:textId="77777777" w:rsidR="004303A3" w:rsidRDefault="004303A3" w:rsidP="004303A3">
      <w:pPr>
        <w:pStyle w:val="Heading3"/>
      </w:pPr>
      <w:r>
        <w:t>Excretion</w:t>
      </w:r>
    </w:p>
    <w:p w14:paraId="1DFD0A8B" w14:textId="77777777" w:rsidR="004303A3" w:rsidRDefault="004303A3" w:rsidP="004303A3"/>
    <w:p w14:paraId="72C31E54" w14:textId="0250F968" w:rsidR="004303A3" w:rsidRDefault="00433DBD" w:rsidP="004303A3">
      <w:r w:rsidRPr="00433DBD">
        <w:t xml:space="preserve">Baloxavir marboxil and baloxavir </w:t>
      </w:r>
      <w:r>
        <w:t>are</w:t>
      </w:r>
      <w:r w:rsidRPr="00433DBD">
        <w:t xml:space="preserve"> excreted mainly via</w:t>
      </w:r>
      <w:r>
        <w:t xml:space="preserve"> the</w:t>
      </w:r>
      <w:r w:rsidRPr="00433DBD">
        <w:t xml:space="preserve"> f</w:t>
      </w:r>
      <w:r>
        <w:t>a</w:t>
      </w:r>
      <w:r w:rsidRPr="00433DBD">
        <w:t>ecal route in humans. Following a single oral administration of 40 mg of [</w:t>
      </w:r>
      <w:r w:rsidRPr="00433DBD">
        <w:rPr>
          <w:vertAlign w:val="superscript"/>
        </w:rPr>
        <w:t>14</w:t>
      </w:r>
      <w:r w:rsidRPr="00433DBD">
        <w:t>C]-label</w:t>
      </w:r>
      <w:r>
        <w:t>l</w:t>
      </w:r>
      <w:r w:rsidRPr="00433DBD">
        <w:t xml:space="preserve">ed baloxavir marboxil, the </w:t>
      </w:r>
      <w:r w:rsidR="007F07E7">
        <w:t>proportion</w:t>
      </w:r>
      <w:r w:rsidR="007F07E7" w:rsidRPr="00433DBD">
        <w:t xml:space="preserve"> </w:t>
      </w:r>
      <w:r w:rsidRPr="00433DBD">
        <w:t xml:space="preserve">of total radioactivity excreted </w:t>
      </w:r>
      <w:r w:rsidR="007F07E7">
        <w:t>was</w:t>
      </w:r>
      <w:r w:rsidR="007F07E7" w:rsidRPr="00433DBD">
        <w:t xml:space="preserve"> </w:t>
      </w:r>
      <w:r w:rsidRPr="00433DBD">
        <w:t>80.1% in the f</w:t>
      </w:r>
      <w:r>
        <w:t>a</w:t>
      </w:r>
      <w:r w:rsidRPr="00433DBD">
        <w:t xml:space="preserve">eces and 14.7% in </w:t>
      </w:r>
      <w:r>
        <w:t xml:space="preserve">the </w:t>
      </w:r>
      <w:r w:rsidRPr="00433DBD">
        <w:t xml:space="preserve">urine. The </w:t>
      </w:r>
      <w:r w:rsidR="00C66998">
        <w:t>fraction</w:t>
      </w:r>
      <w:r w:rsidR="00C66998" w:rsidRPr="00433DBD">
        <w:t xml:space="preserve"> </w:t>
      </w:r>
      <w:r w:rsidRPr="00433DBD">
        <w:t>of</w:t>
      </w:r>
      <w:r w:rsidR="00C66998">
        <w:t xml:space="preserve"> administered</w:t>
      </w:r>
      <w:r w:rsidRPr="00433DBD">
        <w:t xml:space="preserve"> </w:t>
      </w:r>
      <w:r w:rsidR="00C66998">
        <w:t>dose</w:t>
      </w:r>
      <w:r w:rsidRPr="00433DBD">
        <w:t xml:space="preserve"> excreted in the urine </w:t>
      </w:r>
      <w:r w:rsidR="00C66998">
        <w:t xml:space="preserve">as baloxavir </w:t>
      </w:r>
      <w:r w:rsidRPr="00433DBD">
        <w:t>was 3.3%</w:t>
      </w:r>
      <w:r w:rsidR="004303A3">
        <w:t>.</w:t>
      </w:r>
    </w:p>
    <w:p w14:paraId="6A932F76" w14:textId="77777777" w:rsidR="004303A3" w:rsidRDefault="004303A3" w:rsidP="00EE05A8">
      <w:pPr>
        <w:pStyle w:val="Heading3"/>
        <w:keepNext/>
      </w:pPr>
      <w:r>
        <w:lastRenderedPageBreak/>
        <w:t>Pharmacokinetics in s</w:t>
      </w:r>
      <w:r w:rsidRPr="004F69A3">
        <w:t xml:space="preserve">pecial </w:t>
      </w:r>
      <w:r>
        <w:t>p</w:t>
      </w:r>
      <w:r w:rsidRPr="004F69A3">
        <w:t>opulations</w:t>
      </w:r>
    </w:p>
    <w:p w14:paraId="20CCAF52" w14:textId="77777777" w:rsidR="00665095" w:rsidRPr="006F6343" w:rsidRDefault="00665095" w:rsidP="00665095">
      <w:pPr>
        <w:pStyle w:val="Heading4"/>
        <w:keepNext/>
        <w:rPr>
          <w:lang w:val="en-AU"/>
        </w:rPr>
      </w:pPr>
      <w:r w:rsidRPr="006F6343">
        <w:rPr>
          <w:lang w:val="en-AU"/>
        </w:rPr>
        <w:t>Hepatic impairment</w:t>
      </w:r>
    </w:p>
    <w:p w14:paraId="676EAE3C" w14:textId="77777777" w:rsidR="00665095" w:rsidRDefault="00665095" w:rsidP="00665095">
      <w:pPr>
        <w:keepNext/>
        <w:rPr>
          <w:lang w:val="en-AU"/>
        </w:rPr>
      </w:pPr>
    </w:p>
    <w:p w14:paraId="2CD52950" w14:textId="2AEAFFE1" w:rsidR="00665095" w:rsidRDefault="00665095" w:rsidP="00665095">
      <w:pPr>
        <w:rPr>
          <w:lang w:val="en-AU"/>
        </w:rPr>
      </w:pPr>
      <w:r w:rsidRPr="00665095">
        <w:rPr>
          <w:lang w:val="en-AU"/>
        </w:rPr>
        <w:t xml:space="preserve">Geometric mean ratios (90% confidence interval) of </w:t>
      </w:r>
      <w:proofErr w:type="spellStart"/>
      <w:r w:rsidRPr="00665095">
        <w:rPr>
          <w:lang w:val="en-AU"/>
        </w:rPr>
        <w:t>C</w:t>
      </w:r>
      <w:r w:rsidRPr="00665095">
        <w:rPr>
          <w:vertAlign w:val="subscript"/>
          <w:lang w:val="en-AU"/>
        </w:rPr>
        <w:t>max</w:t>
      </w:r>
      <w:proofErr w:type="spellEnd"/>
      <w:r w:rsidRPr="00665095">
        <w:rPr>
          <w:lang w:val="en-AU"/>
        </w:rPr>
        <w:t xml:space="preserve"> and AUC of baloxavir in patients with moderate hepatic impairment (Child-Pugh class B) compared to healthy controls were 0.80 (0.50 – 1.28) and 1.12 (0.78 – 1.61), respectively. Since no clinically meaningful differences in the pharmacokinetics of baloxavir were observed in patients with moderate hepatic impairment (Child-Pugh class B) compared with healthy controls with normal hepatic function, no dose adjustment is required in patients with mild or m</w:t>
      </w:r>
      <w:r>
        <w:rPr>
          <w:lang w:val="en-AU"/>
        </w:rPr>
        <w:t>oderate hepatic impairment</w:t>
      </w:r>
      <w:r w:rsidRPr="00665095">
        <w:rPr>
          <w:lang w:val="en-AU"/>
        </w:rPr>
        <w:t>.</w:t>
      </w:r>
    </w:p>
    <w:p w14:paraId="14671ABB" w14:textId="77777777" w:rsidR="00665095" w:rsidRPr="00665095" w:rsidRDefault="00665095" w:rsidP="00665095">
      <w:pPr>
        <w:rPr>
          <w:lang w:val="en-AU"/>
        </w:rPr>
      </w:pPr>
    </w:p>
    <w:p w14:paraId="1C1F1EA6" w14:textId="2BB8EF07" w:rsidR="00665095" w:rsidRPr="006F6343" w:rsidRDefault="00665095" w:rsidP="00665095">
      <w:pPr>
        <w:rPr>
          <w:lang w:val="en-AU"/>
        </w:rPr>
      </w:pPr>
      <w:r w:rsidRPr="00665095">
        <w:rPr>
          <w:lang w:val="en-AU"/>
        </w:rPr>
        <w:t>The pharmacokinetics in patients with severe hepatic impairment has not been evaluated.</w:t>
      </w:r>
    </w:p>
    <w:p w14:paraId="4CFC433F" w14:textId="77777777" w:rsidR="00665095" w:rsidRPr="006F6343" w:rsidRDefault="00665095" w:rsidP="00E42F85">
      <w:pPr>
        <w:pStyle w:val="Heading4"/>
        <w:keepNext/>
        <w:rPr>
          <w:lang w:val="en-AU"/>
        </w:rPr>
      </w:pPr>
      <w:r w:rsidRPr="006F6343">
        <w:rPr>
          <w:lang w:val="en-AU"/>
        </w:rPr>
        <w:t>Renal impairment</w:t>
      </w:r>
    </w:p>
    <w:p w14:paraId="04ACA76D" w14:textId="77777777" w:rsidR="00665095" w:rsidRDefault="00665095" w:rsidP="00E42F85">
      <w:pPr>
        <w:keepNext/>
        <w:rPr>
          <w:lang w:val="en-AU"/>
        </w:rPr>
      </w:pPr>
    </w:p>
    <w:p w14:paraId="0C20B045" w14:textId="5AF1EBF1" w:rsidR="00665095" w:rsidRDefault="00665095" w:rsidP="00665095">
      <w:pPr>
        <w:rPr>
          <w:lang w:val="en-AU"/>
        </w:rPr>
      </w:pPr>
      <w:r w:rsidRPr="00665095">
        <w:rPr>
          <w:lang w:val="en-AU"/>
        </w:rPr>
        <w:t xml:space="preserve">The effects of renal impairment on the pharmacokinetics of baloxavir marboxil or baloxavir have not been evaluated. Renal impairment is not expected to alter the elimination of baloxavir marboxil or baloxavir. Renal excretion represents a minor pathway of elimination for baloxavir marboxil </w:t>
      </w:r>
      <w:r>
        <w:rPr>
          <w:lang w:val="en-AU"/>
        </w:rPr>
        <w:t>and</w:t>
      </w:r>
      <w:r w:rsidRPr="00665095">
        <w:rPr>
          <w:lang w:val="en-AU"/>
        </w:rPr>
        <w:t xml:space="preserve"> baloxavir. A population pharmacokinetic analysis did not identify a clinically meaningful effect of renal function on the pharmacokinetics of baloxavir</w:t>
      </w:r>
      <w:r w:rsidR="00FF3671" w:rsidRPr="0055002E">
        <w:t xml:space="preserve"> </w:t>
      </w:r>
      <w:r w:rsidR="00FF3671" w:rsidRPr="0055002E">
        <w:rPr>
          <w:lang w:val="en-AU"/>
        </w:rPr>
        <w:t>in patients with creatinine clearance (</w:t>
      </w:r>
      <w:proofErr w:type="spellStart"/>
      <w:r w:rsidR="00FF3671" w:rsidRPr="0055002E">
        <w:rPr>
          <w:lang w:val="en-AU"/>
        </w:rPr>
        <w:t>CrCl</w:t>
      </w:r>
      <w:proofErr w:type="spellEnd"/>
      <w:r w:rsidR="00FF3671" w:rsidRPr="0055002E">
        <w:rPr>
          <w:lang w:val="en-AU"/>
        </w:rPr>
        <w:t>) 50 mL/min and above</w:t>
      </w:r>
      <w:r w:rsidRPr="00665095">
        <w:rPr>
          <w:lang w:val="en-AU"/>
        </w:rPr>
        <w:t xml:space="preserve">. No dose adjustment is required in patients with renal impairment. </w:t>
      </w:r>
    </w:p>
    <w:p w14:paraId="5C8013C5" w14:textId="77777777" w:rsidR="00665095" w:rsidRPr="00665095" w:rsidRDefault="00665095" w:rsidP="00665095">
      <w:pPr>
        <w:rPr>
          <w:lang w:val="en-AU"/>
        </w:rPr>
      </w:pPr>
    </w:p>
    <w:p w14:paraId="6E9FA469" w14:textId="02D82D74" w:rsidR="00665095" w:rsidRDefault="00665095" w:rsidP="00665095">
      <w:pPr>
        <w:rPr>
          <w:lang w:val="en-AU"/>
        </w:rPr>
      </w:pPr>
      <w:r w:rsidRPr="00665095">
        <w:rPr>
          <w:lang w:val="en-AU"/>
        </w:rPr>
        <w:t>Baloxavir is unlikely to be si</w:t>
      </w:r>
      <w:r>
        <w:rPr>
          <w:lang w:val="en-AU"/>
        </w:rPr>
        <w:t>gnificantly removed by dialysis</w:t>
      </w:r>
      <w:r w:rsidRPr="00665095">
        <w:rPr>
          <w:lang w:val="en-AU"/>
        </w:rPr>
        <w:t>.</w:t>
      </w:r>
      <w:r w:rsidRPr="007C292D">
        <w:rPr>
          <w:lang w:val="en-AU"/>
        </w:rPr>
        <w:t xml:space="preserve"> </w:t>
      </w:r>
    </w:p>
    <w:p w14:paraId="0BC39493" w14:textId="77777777" w:rsidR="00AE3405" w:rsidRPr="00665095" w:rsidRDefault="00AE3405" w:rsidP="00FF3671">
      <w:pPr>
        <w:pStyle w:val="Heading4"/>
        <w:keepNext/>
        <w:rPr>
          <w:lang w:val="en-AU"/>
        </w:rPr>
      </w:pPr>
      <w:r w:rsidRPr="00665095">
        <w:rPr>
          <w:lang w:val="en-AU"/>
        </w:rPr>
        <w:t>Age</w:t>
      </w:r>
    </w:p>
    <w:p w14:paraId="69277C07" w14:textId="77777777" w:rsidR="00AE3405" w:rsidRDefault="00AE3405" w:rsidP="00FF3671">
      <w:pPr>
        <w:keepNext/>
        <w:rPr>
          <w:lang w:val="en-AU"/>
        </w:rPr>
      </w:pPr>
    </w:p>
    <w:p w14:paraId="2ACE1453" w14:textId="7FA4FB2E" w:rsidR="00AE3405" w:rsidRPr="006F6343" w:rsidRDefault="00AE3405" w:rsidP="00AE3405">
      <w:pPr>
        <w:rPr>
          <w:lang w:val="en-AU"/>
        </w:rPr>
      </w:pPr>
      <w:r w:rsidRPr="00665095">
        <w:rPr>
          <w:lang w:val="en-AU"/>
        </w:rPr>
        <w:t>A population pharmacokinetic analysis using plasma baloxavir concentrations from clinical studies with baloxavir marboxil for subjects aged 12 to 64 years did not identify a clinically meaningful effect of age on the pharmacokinetics of baloxavir.</w:t>
      </w:r>
    </w:p>
    <w:p w14:paraId="53C793FD" w14:textId="77777777" w:rsidR="00665095" w:rsidRPr="006F6343" w:rsidRDefault="00665095" w:rsidP="00665095">
      <w:pPr>
        <w:pStyle w:val="Heading4"/>
        <w:rPr>
          <w:lang w:val="en-AU"/>
        </w:rPr>
      </w:pPr>
      <w:r>
        <w:rPr>
          <w:lang w:val="en-AU"/>
        </w:rPr>
        <w:t>Elderly</w:t>
      </w:r>
    </w:p>
    <w:p w14:paraId="2A8521AF" w14:textId="77777777" w:rsidR="00665095" w:rsidRDefault="00665095" w:rsidP="00665095">
      <w:pPr>
        <w:rPr>
          <w:lang w:val="en-AU"/>
        </w:rPr>
      </w:pPr>
    </w:p>
    <w:p w14:paraId="506A0912" w14:textId="28BF7840" w:rsidR="00665095" w:rsidRPr="006F6343" w:rsidRDefault="00665095" w:rsidP="00665095">
      <w:pPr>
        <w:rPr>
          <w:lang w:val="en-AU"/>
        </w:rPr>
      </w:pPr>
      <w:r w:rsidRPr="00665095">
        <w:rPr>
          <w:lang w:val="en-AU"/>
        </w:rPr>
        <w:t xml:space="preserve">Pharmacokinetic data collected in patients ≥ 65 years show that drug exposure to baloxavir was similar to patients aged ≥ 12 to </w:t>
      </w:r>
      <w:r>
        <w:rPr>
          <w:lang w:val="en-AU"/>
        </w:rPr>
        <w:t>&lt; </w:t>
      </w:r>
      <w:r w:rsidRPr="00665095">
        <w:rPr>
          <w:lang w:val="en-AU"/>
        </w:rPr>
        <w:t>64 years</w:t>
      </w:r>
      <w:r w:rsidRPr="006F6343">
        <w:rPr>
          <w:lang w:val="en-AU"/>
        </w:rPr>
        <w:t xml:space="preserve">. </w:t>
      </w:r>
      <w:r>
        <w:rPr>
          <w:lang w:val="en-AU"/>
        </w:rPr>
        <w:t xml:space="preserve"> </w:t>
      </w:r>
    </w:p>
    <w:p w14:paraId="19C13046" w14:textId="77777777" w:rsidR="004303A3" w:rsidRPr="006F6343" w:rsidRDefault="004303A3" w:rsidP="004303A3">
      <w:pPr>
        <w:pStyle w:val="Heading4"/>
        <w:rPr>
          <w:lang w:val="en-AU"/>
        </w:rPr>
      </w:pPr>
      <w:r w:rsidRPr="006F6343">
        <w:rPr>
          <w:lang w:val="en-AU"/>
        </w:rPr>
        <w:t>P</w:t>
      </w:r>
      <w:r>
        <w:rPr>
          <w:lang w:val="en-AU"/>
        </w:rPr>
        <w:t>a</w:t>
      </w:r>
      <w:r w:rsidRPr="006F6343">
        <w:rPr>
          <w:lang w:val="en-AU"/>
        </w:rPr>
        <w:t>ediatrics</w:t>
      </w:r>
    </w:p>
    <w:p w14:paraId="039AC3B2" w14:textId="77777777" w:rsidR="004303A3" w:rsidRDefault="004303A3" w:rsidP="004303A3">
      <w:pPr>
        <w:rPr>
          <w:lang w:val="en-AU"/>
        </w:rPr>
      </w:pPr>
    </w:p>
    <w:p w14:paraId="2365A3FB" w14:textId="756CB8D0" w:rsidR="004303A3" w:rsidRDefault="00665095" w:rsidP="00767877">
      <w:pPr>
        <w:rPr>
          <w:lang w:val="en-AU"/>
        </w:rPr>
      </w:pPr>
      <w:r w:rsidRPr="00665095">
        <w:rPr>
          <w:lang w:val="en-AU"/>
        </w:rPr>
        <w:t xml:space="preserve">The pharmacokinetics of </w:t>
      </w:r>
      <w:r w:rsidR="002F0E1A">
        <w:rPr>
          <w:lang w:val="en-AU"/>
        </w:rPr>
        <w:t>Xofluza</w:t>
      </w:r>
      <w:r w:rsidRPr="00665095">
        <w:rPr>
          <w:lang w:val="en-AU"/>
        </w:rPr>
        <w:t xml:space="preserve"> in p</w:t>
      </w:r>
      <w:r>
        <w:rPr>
          <w:lang w:val="en-AU"/>
        </w:rPr>
        <w:t>a</w:t>
      </w:r>
      <w:r w:rsidRPr="00665095">
        <w:rPr>
          <w:lang w:val="en-AU"/>
        </w:rPr>
        <w:t>ediatric patients (&lt; 12 years of age) has not been established</w:t>
      </w:r>
      <w:r w:rsidR="00767877" w:rsidRPr="00767877">
        <w:rPr>
          <w:lang w:val="en-AU"/>
        </w:rPr>
        <w:t>.</w:t>
      </w:r>
    </w:p>
    <w:p w14:paraId="2CFADD56" w14:textId="5C9C0C28" w:rsidR="00665095" w:rsidRPr="00665095" w:rsidRDefault="00665095" w:rsidP="00665095">
      <w:pPr>
        <w:pStyle w:val="Heading4"/>
        <w:rPr>
          <w:lang w:val="en-AU"/>
        </w:rPr>
      </w:pPr>
      <w:r>
        <w:rPr>
          <w:lang w:val="en-AU"/>
        </w:rPr>
        <w:t>B</w:t>
      </w:r>
      <w:r w:rsidRPr="00665095">
        <w:rPr>
          <w:lang w:val="en-AU"/>
        </w:rPr>
        <w:t>ody weight</w:t>
      </w:r>
    </w:p>
    <w:p w14:paraId="78EB24A9" w14:textId="77777777" w:rsidR="00AE3405" w:rsidRDefault="00AE3405" w:rsidP="00665095">
      <w:pPr>
        <w:rPr>
          <w:lang w:val="en-AU"/>
        </w:rPr>
      </w:pPr>
    </w:p>
    <w:p w14:paraId="2F09E830" w14:textId="698B52A4" w:rsidR="00665095" w:rsidRPr="00665095" w:rsidRDefault="00FF3671" w:rsidP="00665095">
      <w:pPr>
        <w:rPr>
          <w:lang w:val="en-AU"/>
        </w:rPr>
      </w:pPr>
      <w:r w:rsidRPr="00773742">
        <w:rPr>
          <w:lang w:val="en-AU"/>
        </w:rPr>
        <w:t xml:space="preserve">Body weight had a significant effect on the pharmacokinetics of baloxavir (as body weight increases, baloxavir exposure decreases). </w:t>
      </w:r>
      <w:r w:rsidR="00665095" w:rsidRPr="00665095">
        <w:rPr>
          <w:lang w:val="en-AU"/>
        </w:rPr>
        <w:t>Th</w:t>
      </w:r>
      <w:r>
        <w:rPr>
          <w:lang w:val="en-AU"/>
        </w:rPr>
        <w:t>e dose proposed in adults is 40 </w:t>
      </w:r>
      <w:r w:rsidR="00665095" w:rsidRPr="00665095">
        <w:rPr>
          <w:lang w:val="en-AU"/>
        </w:rPr>
        <w:t>mg for patients with body weight 40 kg to &lt; 80 kg and 80 mg for pa</w:t>
      </w:r>
      <w:r>
        <w:rPr>
          <w:lang w:val="en-AU"/>
        </w:rPr>
        <w:t>tients with body weight ≥ </w:t>
      </w:r>
      <w:r w:rsidR="00AE3405">
        <w:rPr>
          <w:lang w:val="en-AU"/>
        </w:rPr>
        <w:t>80 kg</w:t>
      </w:r>
      <w:r w:rsidR="00665095" w:rsidRPr="00665095">
        <w:rPr>
          <w:lang w:val="en-AU"/>
        </w:rPr>
        <w:t>.</w:t>
      </w:r>
      <w:r w:rsidRPr="00FF3671">
        <w:rPr>
          <w:lang w:val="en-AU"/>
        </w:rPr>
        <w:t xml:space="preserve"> </w:t>
      </w:r>
      <w:r w:rsidRPr="00773742">
        <w:rPr>
          <w:lang w:val="en-AU"/>
        </w:rPr>
        <w:t>When dosed with the recommended weight-based dosing, no clinically significant difference in exposure was observed between body weight groups</w:t>
      </w:r>
      <w:r>
        <w:rPr>
          <w:lang w:val="en-AU"/>
        </w:rPr>
        <w:t>.</w:t>
      </w:r>
    </w:p>
    <w:p w14:paraId="2A1D38E7" w14:textId="77777777" w:rsidR="00665095" w:rsidRPr="00665095" w:rsidRDefault="00665095" w:rsidP="00EE05A8">
      <w:pPr>
        <w:pStyle w:val="Heading4"/>
        <w:keepNext/>
        <w:rPr>
          <w:lang w:val="en-AU"/>
        </w:rPr>
      </w:pPr>
      <w:r w:rsidRPr="00665095">
        <w:rPr>
          <w:lang w:val="en-AU"/>
        </w:rPr>
        <w:lastRenderedPageBreak/>
        <w:t>Gender</w:t>
      </w:r>
    </w:p>
    <w:p w14:paraId="51BE4876" w14:textId="77777777" w:rsidR="00AE3405" w:rsidRDefault="00AE3405" w:rsidP="00EE05A8">
      <w:pPr>
        <w:keepNext/>
        <w:rPr>
          <w:lang w:val="en-AU"/>
        </w:rPr>
      </w:pPr>
    </w:p>
    <w:p w14:paraId="3E1CC9FD" w14:textId="428DB750" w:rsidR="00665095" w:rsidRPr="00665095" w:rsidRDefault="00665095" w:rsidP="00665095">
      <w:pPr>
        <w:rPr>
          <w:lang w:val="en-AU"/>
        </w:rPr>
      </w:pPr>
      <w:r w:rsidRPr="00665095">
        <w:rPr>
          <w:lang w:val="en-AU"/>
        </w:rPr>
        <w:t>A population pharmacokinetic analysis did not identify a clinically meaningful effect of gender on the pharmacokinetics of baloxavir. No dose adjustment based on gender is required.</w:t>
      </w:r>
    </w:p>
    <w:p w14:paraId="717DC11B" w14:textId="77777777" w:rsidR="00665095" w:rsidRPr="00665095" w:rsidRDefault="00665095" w:rsidP="00665095">
      <w:pPr>
        <w:pStyle w:val="Heading4"/>
        <w:rPr>
          <w:lang w:val="en-AU"/>
        </w:rPr>
      </w:pPr>
      <w:r w:rsidRPr="00665095">
        <w:rPr>
          <w:lang w:val="en-AU"/>
        </w:rPr>
        <w:t>Race</w:t>
      </w:r>
    </w:p>
    <w:p w14:paraId="45F8A0C3" w14:textId="77777777" w:rsidR="00AE3405" w:rsidRDefault="00AE3405" w:rsidP="00665095">
      <w:pPr>
        <w:rPr>
          <w:lang w:val="en-AU"/>
        </w:rPr>
      </w:pPr>
    </w:p>
    <w:p w14:paraId="00660C9E" w14:textId="6EB4D2B2" w:rsidR="00665095" w:rsidRPr="00665095" w:rsidRDefault="006B7499" w:rsidP="00665095">
      <w:pPr>
        <w:rPr>
          <w:lang w:val="en-AU"/>
        </w:rPr>
      </w:pPr>
      <w:r w:rsidRPr="00E85759">
        <w:rPr>
          <w:lang w:val="en-AU"/>
        </w:rPr>
        <w:t>Based on a population pharmacokinetic analysis, baloxavir exposure is approximately 35% lower in non-Asians as compared to Asians</w:t>
      </w:r>
      <w:r>
        <w:rPr>
          <w:lang w:val="en-AU"/>
        </w:rPr>
        <w:t>.</w:t>
      </w:r>
      <w:r w:rsidRPr="00E85759">
        <w:rPr>
          <w:lang w:val="en-AU"/>
        </w:rPr>
        <w:t xml:space="preserve"> </w:t>
      </w:r>
      <w:r w:rsidR="00276004" w:rsidRPr="00276004">
        <w:rPr>
          <w:lang w:val="en-AU"/>
        </w:rPr>
        <w:t>At the recommended dose, this difference is not considered to be clinically significant and no dose adjustment based on race is required.</w:t>
      </w:r>
    </w:p>
    <w:p w14:paraId="1AAB0770" w14:textId="0991C93F" w:rsidR="00D52399" w:rsidRDefault="00615052" w:rsidP="00DF4D42">
      <w:pPr>
        <w:pStyle w:val="Heading2"/>
        <w:keepNext/>
        <w:ind w:left="788" w:hanging="788"/>
      </w:pPr>
      <w:r>
        <w:t>5.3</w:t>
      </w:r>
      <w:r>
        <w:tab/>
      </w:r>
      <w:r w:rsidR="00EF2D3A">
        <w:t>PRECLINICAL SAFETY DATA</w:t>
      </w:r>
    </w:p>
    <w:p w14:paraId="450F7940" w14:textId="2F057649" w:rsidR="00EF2D3A" w:rsidRDefault="00EF2D3A" w:rsidP="0051765B">
      <w:pPr>
        <w:pStyle w:val="Heading3"/>
        <w:keepNext/>
      </w:pPr>
      <w:proofErr w:type="spellStart"/>
      <w:r>
        <w:t>Genotoxicity</w:t>
      </w:r>
      <w:proofErr w:type="spellEnd"/>
    </w:p>
    <w:p w14:paraId="3C3BC6E8" w14:textId="77777777" w:rsidR="00EF2D3A" w:rsidRDefault="00EF2D3A" w:rsidP="0051765B">
      <w:pPr>
        <w:keepNext/>
        <w:rPr>
          <w:lang w:val="en-AU"/>
        </w:rPr>
      </w:pPr>
    </w:p>
    <w:p w14:paraId="7DAB75F8" w14:textId="23A11FE6" w:rsidR="00EF2D3A" w:rsidRPr="00836A32" w:rsidRDefault="0051765B" w:rsidP="00EF2D3A">
      <w:pPr>
        <w:rPr>
          <w:lang w:val="en-AU"/>
        </w:rPr>
      </w:pPr>
      <w:r>
        <w:rPr>
          <w:lang w:val="en-AU"/>
        </w:rPr>
        <w:t>B</w:t>
      </w:r>
      <w:r w:rsidRPr="0051765B">
        <w:rPr>
          <w:lang w:val="en-AU"/>
        </w:rPr>
        <w:t>aloxavir marboxil, and its active form, baloxavir, were negative in b</w:t>
      </w:r>
      <w:r>
        <w:rPr>
          <w:lang w:val="en-AU"/>
        </w:rPr>
        <w:t>acterial reverse mutation tests and</w:t>
      </w:r>
      <w:r w:rsidRPr="0051765B">
        <w:rPr>
          <w:lang w:val="en-AU"/>
        </w:rPr>
        <w:t xml:space="preserve"> micronucleus test</w:t>
      </w:r>
      <w:r>
        <w:rPr>
          <w:lang w:val="en-AU"/>
        </w:rPr>
        <w:t>s with cultured mammalian cells.</w:t>
      </w:r>
      <w:r w:rsidRPr="0051765B">
        <w:rPr>
          <w:lang w:val="en-AU"/>
        </w:rPr>
        <w:t xml:space="preserve"> </w:t>
      </w:r>
      <w:r>
        <w:rPr>
          <w:lang w:val="en-AU"/>
        </w:rPr>
        <w:t>B</w:t>
      </w:r>
      <w:r w:rsidRPr="0051765B">
        <w:rPr>
          <w:lang w:val="en-AU"/>
        </w:rPr>
        <w:t xml:space="preserve">aloxavir marboxil was negative in an </w:t>
      </w:r>
      <w:r w:rsidRPr="0051765B">
        <w:rPr>
          <w:i/>
          <w:lang w:val="en-AU"/>
        </w:rPr>
        <w:t>in vivo</w:t>
      </w:r>
      <w:r w:rsidRPr="0051765B">
        <w:rPr>
          <w:lang w:val="en-AU"/>
        </w:rPr>
        <w:t xml:space="preserve"> rodent micronucleus test</w:t>
      </w:r>
      <w:r w:rsidR="00EF2D3A">
        <w:rPr>
          <w:lang w:val="en-AU"/>
        </w:rPr>
        <w:t>.</w:t>
      </w:r>
    </w:p>
    <w:p w14:paraId="35D9B69C" w14:textId="77777777" w:rsidR="00EF2D3A" w:rsidRDefault="00EF2D3A" w:rsidP="00EF2045">
      <w:pPr>
        <w:pStyle w:val="Heading3"/>
        <w:keepNext/>
      </w:pPr>
      <w:r>
        <w:t>Carcinogenicity</w:t>
      </w:r>
    </w:p>
    <w:p w14:paraId="27C8D5E5" w14:textId="77777777" w:rsidR="00EF2D3A" w:rsidRDefault="00EF2D3A" w:rsidP="00EF2045">
      <w:pPr>
        <w:keepNext/>
        <w:rPr>
          <w:lang w:val="en-AU"/>
        </w:rPr>
      </w:pPr>
    </w:p>
    <w:p w14:paraId="2E4921C4" w14:textId="5A343E37" w:rsidR="00D52399" w:rsidRPr="00EF2D3A" w:rsidRDefault="0051765B">
      <w:pPr>
        <w:rPr>
          <w:lang w:val="en-AU"/>
        </w:rPr>
      </w:pPr>
      <w:r w:rsidRPr="0051765B">
        <w:rPr>
          <w:lang w:val="en-AU"/>
        </w:rPr>
        <w:t>Carcinogenicity studies have not been performed with baloxavir marboxil</w:t>
      </w:r>
      <w:r w:rsidR="00EF2D3A" w:rsidRPr="0051765B">
        <w:rPr>
          <w:lang w:val="en-AU"/>
        </w:rPr>
        <w:t>.</w:t>
      </w:r>
    </w:p>
    <w:p w14:paraId="662250F4" w14:textId="77777777" w:rsidR="00D52399" w:rsidRDefault="00615052" w:rsidP="00435230">
      <w:pPr>
        <w:pStyle w:val="Heading1"/>
        <w:numPr>
          <w:ilvl w:val="0"/>
          <w:numId w:val="2"/>
        </w:numPr>
      </w:pPr>
      <w:r>
        <w:t>PHARMACEUTICAL PARTICULARS</w:t>
      </w:r>
    </w:p>
    <w:p w14:paraId="0992DE0E" w14:textId="713D09A9" w:rsidR="00D52399" w:rsidRDefault="00615052" w:rsidP="008903F2">
      <w:pPr>
        <w:pStyle w:val="Heading2"/>
        <w:ind w:hanging="786"/>
      </w:pPr>
      <w:r>
        <w:t>6.1</w:t>
      </w:r>
      <w:r>
        <w:tab/>
      </w:r>
      <w:r w:rsidR="00EF2D3A">
        <w:t>LIST OF EXCIPIENTS</w:t>
      </w:r>
    </w:p>
    <w:p w14:paraId="625D7748" w14:textId="77777777" w:rsidR="00D52399" w:rsidRDefault="00D52399"/>
    <w:p w14:paraId="3FF8B530" w14:textId="39AE470F" w:rsidR="00D52399" w:rsidRDefault="004716A0">
      <w:r>
        <w:t>Lactose monohydrate</w:t>
      </w:r>
    </w:p>
    <w:p w14:paraId="6DE8CD82" w14:textId="3D734E31" w:rsidR="004716A0" w:rsidRDefault="004716A0">
      <w:proofErr w:type="spellStart"/>
      <w:r w:rsidRPr="004716A0">
        <w:t>Croscarmellose</w:t>
      </w:r>
      <w:proofErr w:type="spellEnd"/>
      <w:r w:rsidRPr="004716A0">
        <w:t xml:space="preserve"> </w:t>
      </w:r>
      <w:r>
        <w:t>s</w:t>
      </w:r>
      <w:r w:rsidRPr="004716A0">
        <w:t>odium</w:t>
      </w:r>
    </w:p>
    <w:p w14:paraId="20732327" w14:textId="5B6D2A6D" w:rsidR="004716A0" w:rsidRDefault="004716A0" w:rsidP="004716A0">
      <w:r w:rsidRPr="004716A0">
        <w:t>Povidone</w:t>
      </w:r>
    </w:p>
    <w:p w14:paraId="06018D3D" w14:textId="504AE608" w:rsidR="004716A0" w:rsidRDefault="004716A0" w:rsidP="004716A0">
      <w:r>
        <w:t>Microcrystalline c</w:t>
      </w:r>
      <w:r w:rsidRPr="004716A0">
        <w:t>ellulose</w:t>
      </w:r>
    </w:p>
    <w:p w14:paraId="6467AEF9" w14:textId="6B616352" w:rsidR="004716A0" w:rsidRDefault="004716A0" w:rsidP="004716A0">
      <w:r w:rsidRPr="004716A0">
        <w:t xml:space="preserve">Sodium </w:t>
      </w:r>
      <w:proofErr w:type="spellStart"/>
      <w:r>
        <w:t>stearylf</w:t>
      </w:r>
      <w:r w:rsidRPr="004716A0">
        <w:t>umarate</w:t>
      </w:r>
      <w:proofErr w:type="spellEnd"/>
    </w:p>
    <w:p w14:paraId="122C2484" w14:textId="2674D130" w:rsidR="003E342B" w:rsidRDefault="003E342B" w:rsidP="004716A0">
      <w:proofErr w:type="spellStart"/>
      <w:r w:rsidRPr="003E342B">
        <w:t>Hypromellose</w:t>
      </w:r>
      <w:proofErr w:type="spellEnd"/>
    </w:p>
    <w:p w14:paraId="21812F89" w14:textId="3EEF03CA" w:rsidR="003E342B" w:rsidRDefault="003E342B" w:rsidP="004716A0">
      <w:r>
        <w:t>Purified talc</w:t>
      </w:r>
    </w:p>
    <w:p w14:paraId="72713CB3" w14:textId="3EE21ED5" w:rsidR="003E342B" w:rsidRPr="004716A0" w:rsidRDefault="003E342B" w:rsidP="004716A0">
      <w:r>
        <w:t>Titanium dioxide</w:t>
      </w:r>
    </w:p>
    <w:p w14:paraId="434BC695" w14:textId="09ED511B" w:rsidR="00D52399" w:rsidRDefault="00615052" w:rsidP="008903F2">
      <w:pPr>
        <w:pStyle w:val="Heading2"/>
        <w:ind w:hanging="786"/>
      </w:pPr>
      <w:r>
        <w:t>6.2</w:t>
      </w:r>
      <w:r>
        <w:tab/>
      </w:r>
      <w:r w:rsidR="00EF2D3A">
        <w:t>INCOMPATIBILITIES</w:t>
      </w:r>
    </w:p>
    <w:p w14:paraId="4D0E1B4B" w14:textId="77777777" w:rsidR="00D52399" w:rsidRDefault="00D52399" w:rsidP="00EF2D3A"/>
    <w:p w14:paraId="6D06B59E" w14:textId="288584B0" w:rsidR="00D52399" w:rsidRPr="003E342B" w:rsidRDefault="003E342B" w:rsidP="003E342B">
      <w:pPr>
        <w:rPr>
          <w:lang w:val="en-AU"/>
        </w:rPr>
      </w:pPr>
      <w:r>
        <w:rPr>
          <w:lang w:val="en-AU"/>
        </w:rPr>
        <w:t>Refer to section 4.5 Interactions with other medicines and other forms of interactions.</w:t>
      </w:r>
    </w:p>
    <w:p w14:paraId="3815E76F" w14:textId="791A2566" w:rsidR="00D52399" w:rsidRDefault="00615052" w:rsidP="00EF2D3A">
      <w:pPr>
        <w:pStyle w:val="Heading2"/>
        <w:keepNext/>
        <w:ind w:hanging="786"/>
      </w:pPr>
      <w:r>
        <w:t>6.3</w:t>
      </w:r>
      <w:r>
        <w:tab/>
      </w:r>
      <w:r w:rsidR="00EF2D3A">
        <w:t>SHELF LIFE</w:t>
      </w:r>
    </w:p>
    <w:p w14:paraId="04701EAB" w14:textId="3F0023DC" w:rsidR="00EF2D3A" w:rsidRDefault="00EF2D3A" w:rsidP="00EF2D3A">
      <w:pPr>
        <w:keepNext/>
      </w:pPr>
    </w:p>
    <w:p w14:paraId="036C737C" w14:textId="5866C0C6" w:rsidR="00EF2D3A" w:rsidRDefault="00EF2D3A" w:rsidP="00EF2D3A">
      <w:r w:rsidRPr="008903F2">
        <w:t>In Australia, information on the shelf life can be found on the public summary of the Australian Register of Therapeutic Goods (ARTG). The expiry date</w:t>
      </w:r>
      <w:r>
        <w:t xml:space="preserve"> can be found on the packaging.</w:t>
      </w:r>
      <w:r w:rsidR="003E342B">
        <w:t xml:space="preserve"> Xofluza</w:t>
      </w:r>
      <w:r w:rsidR="003E342B" w:rsidRPr="003E342B">
        <w:t xml:space="preserve"> should not be used after the expiry date (EXP) shown on the pack</w:t>
      </w:r>
      <w:r w:rsidR="003E342B">
        <w:t>.</w:t>
      </w:r>
    </w:p>
    <w:p w14:paraId="5FDDEC5C" w14:textId="5D743691" w:rsidR="00D52399" w:rsidRDefault="00615052" w:rsidP="00A146EF">
      <w:pPr>
        <w:pStyle w:val="Heading2"/>
        <w:keepNext/>
        <w:ind w:hanging="786"/>
      </w:pPr>
      <w:r>
        <w:t>6.4</w:t>
      </w:r>
      <w:r>
        <w:tab/>
      </w:r>
      <w:r w:rsidR="00EF2D3A">
        <w:t>SPECIAL PRECAUTIONS FOR STORAGE</w:t>
      </w:r>
    </w:p>
    <w:p w14:paraId="5FC17D28" w14:textId="77777777" w:rsidR="00D52399" w:rsidRDefault="00D52399" w:rsidP="00A146EF">
      <w:pPr>
        <w:keepNext/>
      </w:pPr>
    </w:p>
    <w:p w14:paraId="7ECE844F" w14:textId="2A98FA88" w:rsidR="00787171" w:rsidRDefault="005F750E" w:rsidP="005F750E">
      <w:pPr>
        <w:rPr>
          <w:lang w:val="en-AU"/>
        </w:rPr>
      </w:pPr>
      <w:r>
        <w:rPr>
          <w:lang w:val="en-AU"/>
        </w:rPr>
        <w:t xml:space="preserve">Store below 30°C. </w:t>
      </w:r>
      <w:r w:rsidRPr="005F750E">
        <w:rPr>
          <w:lang w:val="en-AU"/>
        </w:rPr>
        <w:t>Keep in original carton to protect from light and moisture</w:t>
      </w:r>
      <w:r w:rsidR="00787171">
        <w:rPr>
          <w:lang w:val="en-AU"/>
        </w:rPr>
        <w:t>.</w:t>
      </w:r>
    </w:p>
    <w:p w14:paraId="138A70D1" w14:textId="4652B0A6" w:rsidR="00D52399" w:rsidRDefault="00615052" w:rsidP="0027409F">
      <w:pPr>
        <w:pStyle w:val="Heading2"/>
        <w:keepNext/>
        <w:ind w:hanging="786"/>
      </w:pPr>
      <w:r>
        <w:lastRenderedPageBreak/>
        <w:t>6.5</w:t>
      </w:r>
      <w:r>
        <w:tab/>
      </w:r>
      <w:r w:rsidR="00787171">
        <w:t>NATURE AND CONTENTS OF CONTAINER</w:t>
      </w:r>
    </w:p>
    <w:p w14:paraId="4116B5A0" w14:textId="77777777" w:rsidR="00D52399" w:rsidRDefault="00D52399" w:rsidP="0027409F">
      <w:pPr>
        <w:keepNext/>
      </w:pPr>
    </w:p>
    <w:p w14:paraId="13EE11F2" w14:textId="5C114C30" w:rsidR="00787171" w:rsidRDefault="005F750E" w:rsidP="005F750E">
      <w:pPr>
        <w:pBdr>
          <w:top w:val="none" w:sz="0" w:space="0" w:color="auto"/>
          <w:left w:val="none" w:sz="0" w:space="0" w:color="auto"/>
          <w:bottom w:val="none" w:sz="0" w:space="0" w:color="auto"/>
          <w:right w:val="none" w:sz="0" w:space="0" w:color="auto"/>
          <w:between w:val="none" w:sz="0" w:space="0" w:color="auto"/>
        </w:pBdr>
        <w:spacing w:before="40"/>
        <w:rPr>
          <w:lang w:val="en-AU"/>
        </w:rPr>
      </w:pPr>
      <w:r w:rsidRPr="005F750E">
        <w:rPr>
          <w:lang w:val="en-AU"/>
        </w:rPr>
        <w:t xml:space="preserve">Xofluza 20 mg </w:t>
      </w:r>
      <w:r>
        <w:rPr>
          <w:lang w:val="en-AU"/>
        </w:rPr>
        <w:t xml:space="preserve">is supplied in aluminium blister packs of 2 </w:t>
      </w:r>
      <w:r w:rsidRPr="005F750E">
        <w:rPr>
          <w:lang w:val="en-AU"/>
        </w:rPr>
        <w:t>film-coated tablets</w:t>
      </w:r>
      <w:r>
        <w:rPr>
          <w:lang w:val="en-AU"/>
        </w:rPr>
        <w:t xml:space="preserve">. </w:t>
      </w:r>
    </w:p>
    <w:p w14:paraId="2D841255" w14:textId="3BFF1CF3" w:rsidR="00C16219" w:rsidRPr="005F750E" w:rsidRDefault="005F750E" w:rsidP="005F750E">
      <w:pPr>
        <w:pBdr>
          <w:top w:val="none" w:sz="0" w:space="0" w:color="auto"/>
          <w:left w:val="none" w:sz="0" w:space="0" w:color="auto"/>
          <w:bottom w:val="none" w:sz="0" w:space="0" w:color="auto"/>
          <w:right w:val="none" w:sz="0" w:space="0" w:color="auto"/>
          <w:between w:val="none" w:sz="0" w:space="0" w:color="auto"/>
        </w:pBdr>
        <w:spacing w:before="40"/>
        <w:rPr>
          <w:lang w:val="en-AU"/>
        </w:rPr>
      </w:pPr>
      <w:r w:rsidRPr="005F750E">
        <w:rPr>
          <w:lang w:val="en-AU"/>
        </w:rPr>
        <w:t xml:space="preserve">Xofluza </w:t>
      </w:r>
      <w:r>
        <w:rPr>
          <w:lang w:val="en-AU"/>
        </w:rPr>
        <w:t>4</w:t>
      </w:r>
      <w:r w:rsidRPr="005F750E">
        <w:rPr>
          <w:lang w:val="en-AU"/>
        </w:rPr>
        <w:t xml:space="preserve">0 mg </w:t>
      </w:r>
      <w:r>
        <w:rPr>
          <w:lang w:val="en-AU"/>
        </w:rPr>
        <w:t xml:space="preserve">is supplied in aluminium blister packs of 2 </w:t>
      </w:r>
      <w:r w:rsidRPr="005F750E">
        <w:rPr>
          <w:lang w:val="en-AU"/>
        </w:rPr>
        <w:t>film-coated tablets</w:t>
      </w:r>
      <w:r>
        <w:rPr>
          <w:lang w:val="en-AU"/>
        </w:rPr>
        <w:t>.</w:t>
      </w:r>
    </w:p>
    <w:p w14:paraId="5A42436A" w14:textId="314444B2" w:rsidR="00D52399" w:rsidRDefault="00615052" w:rsidP="008903F2">
      <w:pPr>
        <w:pStyle w:val="Heading2"/>
        <w:ind w:hanging="786"/>
      </w:pPr>
      <w:r>
        <w:t>6.6</w:t>
      </w:r>
      <w:r>
        <w:tab/>
      </w:r>
      <w:r w:rsidR="00787171">
        <w:t xml:space="preserve">SPECIAL PRECAUTIONS FOR DISPOSAL </w:t>
      </w:r>
    </w:p>
    <w:p w14:paraId="5227CB18" w14:textId="77777777" w:rsidR="00345AB2" w:rsidRDefault="00345AB2">
      <w:pPr>
        <w:rPr>
          <w:lang w:val="en-AU"/>
        </w:rPr>
      </w:pPr>
    </w:p>
    <w:p w14:paraId="475BFC43" w14:textId="2F9DC1FD" w:rsidR="008903F2" w:rsidRPr="00296201" w:rsidRDefault="00787171">
      <w:r w:rsidRPr="00FB5609">
        <w:rPr>
          <w:lang w:val="en-AU"/>
        </w:rPr>
        <w:t>The release of pharmaceuticals in the environm</w:t>
      </w:r>
      <w:r>
        <w:rPr>
          <w:lang w:val="en-AU"/>
        </w:rPr>
        <w:t>ent should be minimis</w:t>
      </w:r>
      <w:r w:rsidRPr="00FB5609">
        <w:rPr>
          <w:lang w:val="en-AU"/>
        </w:rPr>
        <w:t>ed. Medicines should not be disposed of via wastewater and disposal through household waste should be avoided. Unused or expired medicine should be returned to a pharmacy for disposal.</w:t>
      </w:r>
    </w:p>
    <w:p w14:paraId="2EE97B0B" w14:textId="0251F30B" w:rsidR="008903F2" w:rsidRDefault="008903F2" w:rsidP="00685337">
      <w:pPr>
        <w:pStyle w:val="Heading2"/>
        <w:keepNext/>
        <w:ind w:left="788" w:hanging="788"/>
      </w:pPr>
      <w:r w:rsidRPr="00BA0878">
        <w:t>6.7</w:t>
      </w:r>
      <w:r w:rsidRPr="00BA0878">
        <w:tab/>
      </w:r>
      <w:r w:rsidR="005E0551">
        <w:t>PHYSICOCHEMICAL PROPERTIES</w:t>
      </w:r>
      <w:r w:rsidR="009B3628" w:rsidRPr="00BA0878">
        <w:t xml:space="preserve"> </w:t>
      </w:r>
    </w:p>
    <w:p w14:paraId="2AE65BB9" w14:textId="77777777" w:rsidR="009872F9" w:rsidRDefault="009872F9" w:rsidP="009872F9"/>
    <w:p w14:paraId="62599AC7" w14:textId="77777777" w:rsidR="009872F9" w:rsidRDefault="009872F9" w:rsidP="009872F9">
      <w:r>
        <w:t xml:space="preserve">Baloxavir marboxil has a molecular weight of 571.55 and a partition coefficient (log P) of 2.26. It is freely soluble in </w:t>
      </w:r>
      <w:proofErr w:type="spellStart"/>
      <w:r>
        <w:t>dimethylsulfoxide</w:t>
      </w:r>
      <w:proofErr w:type="spellEnd"/>
      <w:r>
        <w:t xml:space="preserve">, soluble in acetonitrile, slightly soluble in methanol and ethanol and practically insoluble in water. </w:t>
      </w:r>
    </w:p>
    <w:p w14:paraId="2B2CEEBB" w14:textId="77777777" w:rsidR="00DA4E6F" w:rsidRDefault="00DA4E6F" w:rsidP="00EF2045">
      <w:pPr>
        <w:rPr>
          <w:b/>
        </w:rPr>
      </w:pPr>
    </w:p>
    <w:p w14:paraId="39FEF6E6" w14:textId="03B680F1" w:rsidR="005E0551" w:rsidRPr="00DA4E6F" w:rsidRDefault="00296201" w:rsidP="00685337">
      <w:pPr>
        <w:keepNext/>
        <w:rPr>
          <w:b/>
        </w:rPr>
      </w:pPr>
      <w:r w:rsidRPr="00DA4E6F">
        <w:rPr>
          <w:b/>
        </w:rPr>
        <w:t>Chemical structure</w:t>
      </w:r>
      <w:r w:rsidR="00DA4E6F">
        <w:rPr>
          <w:b/>
        </w:rPr>
        <w:t>:</w:t>
      </w:r>
    </w:p>
    <w:p w14:paraId="03EFA87D" w14:textId="47F625E8" w:rsidR="00296201" w:rsidRDefault="00296201" w:rsidP="00685337">
      <w:pPr>
        <w:keepNext/>
      </w:pPr>
    </w:p>
    <w:p w14:paraId="491907C7" w14:textId="1AAC8058" w:rsidR="00296201" w:rsidRDefault="00296201" w:rsidP="00296201">
      <w:r w:rsidRPr="009E3967">
        <w:rPr>
          <w:noProof/>
          <w:lang w:val="en-AU"/>
        </w:rPr>
        <w:drawing>
          <wp:inline distT="0" distB="0" distL="0" distR="0" wp14:anchorId="79E4B6BE" wp14:editId="5643A158">
            <wp:extent cx="2142490" cy="1714500"/>
            <wp:effectExtent l="0" t="0" r="0" b="0"/>
            <wp:docPr id="13" name="図 1"/>
            <wp:cNvGraphicFramePr/>
            <a:graphic xmlns:a="http://schemas.openxmlformats.org/drawingml/2006/main">
              <a:graphicData uri="http://schemas.openxmlformats.org/drawingml/2006/picture">
                <pic:pic xmlns:pic="http://schemas.openxmlformats.org/drawingml/2006/picture">
                  <pic:nvPicPr>
                    <pic:cNvPr id="2" name="図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2490" cy="1714500"/>
                    </a:xfrm>
                    <a:prstGeom prst="rect">
                      <a:avLst/>
                    </a:prstGeom>
                    <a:noFill/>
                    <a:ln>
                      <a:noFill/>
                    </a:ln>
                  </pic:spPr>
                </pic:pic>
              </a:graphicData>
            </a:graphic>
          </wp:inline>
        </w:drawing>
      </w:r>
    </w:p>
    <w:p w14:paraId="67F7CBFA" w14:textId="77777777" w:rsidR="00C72FBB" w:rsidRDefault="00C72FBB" w:rsidP="00C72FBB"/>
    <w:p w14:paraId="641FA00C" w14:textId="1714F765" w:rsidR="00C72FBB" w:rsidRDefault="00C72FBB" w:rsidP="00C72FBB">
      <w:r w:rsidRPr="00C72FBB">
        <w:rPr>
          <w:b/>
        </w:rPr>
        <w:t>CAS-number:</w:t>
      </w:r>
      <w:r>
        <w:t xml:space="preserve"> </w:t>
      </w:r>
      <w:r w:rsidRPr="00C72FBB">
        <w:t>1985606-14-1</w:t>
      </w:r>
    </w:p>
    <w:p w14:paraId="1A63A015" w14:textId="7284C32D" w:rsidR="00DA4E6F" w:rsidRDefault="00DA4E6F" w:rsidP="00C72FBB"/>
    <w:p w14:paraId="45921BE4" w14:textId="77777777" w:rsidR="00DA4E6F" w:rsidRDefault="00DA4E6F" w:rsidP="00DA4E6F">
      <w:r w:rsidRPr="00DA4E6F">
        <w:rPr>
          <w:b/>
        </w:rPr>
        <w:t xml:space="preserve">Chemical name: </w:t>
      </w:r>
      <w:r w:rsidRPr="00DA4E6F">
        <w:t xml:space="preserve">({(12aR)-12-[(11S)-7,8-Difluoro-6,11-dihydrodibenzo[b,e]thiepin-11-yl]-6,8-dioxo-3,4,6,8,12,12a-hexahydro-1H-[1,4]oxazino[3,4-c]pyrido[2,1-f][1,2,4]triazin-7-yl}oxy)methyl methyl carbonate. </w:t>
      </w:r>
    </w:p>
    <w:p w14:paraId="7C54E907" w14:textId="77777777" w:rsidR="00DA4E6F" w:rsidRDefault="00DA4E6F" w:rsidP="00DA4E6F"/>
    <w:p w14:paraId="6A408B48" w14:textId="209DC0C6" w:rsidR="00DA4E6F" w:rsidRPr="00DA4E6F" w:rsidRDefault="00DA4E6F" w:rsidP="00DA4E6F">
      <w:pPr>
        <w:rPr>
          <w:lang w:val="pt-BR"/>
        </w:rPr>
      </w:pPr>
      <w:r w:rsidRPr="00DA4E6F">
        <w:rPr>
          <w:b/>
          <w:lang w:val="pt-BR"/>
        </w:rPr>
        <w:t>Empirical formula:</w:t>
      </w:r>
      <w:r w:rsidRPr="00DA4E6F">
        <w:rPr>
          <w:lang w:val="pt-BR"/>
        </w:rPr>
        <w:t xml:space="preserve"> C</w:t>
      </w:r>
      <w:r w:rsidRPr="00DA4E6F">
        <w:rPr>
          <w:vertAlign w:val="subscript"/>
          <w:lang w:val="pt-BR"/>
        </w:rPr>
        <w:t>27</w:t>
      </w:r>
      <w:r w:rsidRPr="00DA4E6F">
        <w:rPr>
          <w:lang w:val="pt-BR"/>
        </w:rPr>
        <w:t>H</w:t>
      </w:r>
      <w:r w:rsidRPr="00DA4E6F">
        <w:rPr>
          <w:vertAlign w:val="subscript"/>
          <w:lang w:val="pt-BR"/>
        </w:rPr>
        <w:t>23</w:t>
      </w:r>
      <w:r w:rsidRPr="00DA4E6F">
        <w:rPr>
          <w:lang w:val="pt-BR"/>
        </w:rPr>
        <w:t>F</w:t>
      </w:r>
      <w:r w:rsidRPr="00DA4E6F">
        <w:rPr>
          <w:vertAlign w:val="subscript"/>
          <w:lang w:val="pt-BR"/>
        </w:rPr>
        <w:t>2</w:t>
      </w:r>
      <w:r w:rsidRPr="00DA4E6F">
        <w:rPr>
          <w:lang w:val="pt-BR"/>
        </w:rPr>
        <w:t>N</w:t>
      </w:r>
      <w:r w:rsidRPr="00DA4E6F">
        <w:rPr>
          <w:vertAlign w:val="subscript"/>
          <w:lang w:val="pt-BR"/>
        </w:rPr>
        <w:t>3</w:t>
      </w:r>
      <w:r w:rsidRPr="00DA4E6F">
        <w:rPr>
          <w:lang w:val="pt-BR"/>
        </w:rPr>
        <w:t>O</w:t>
      </w:r>
      <w:r w:rsidRPr="00DA4E6F">
        <w:rPr>
          <w:vertAlign w:val="subscript"/>
          <w:lang w:val="pt-BR"/>
        </w:rPr>
        <w:t>7</w:t>
      </w:r>
      <w:r w:rsidRPr="00DA4E6F">
        <w:rPr>
          <w:lang w:val="pt-BR"/>
        </w:rPr>
        <w:t>S.</w:t>
      </w:r>
    </w:p>
    <w:p w14:paraId="32AE3C13" w14:textId="720E8BAA" w:rsidR="00D52399" w:rsidRDefault="00615052" w:rsidP="00435230">
      <w:pPr>
        <w:pStyle w:val="Heading1"/>
        <w:numPr>
          <w:ilvl w:val="0"/>
          <w:numId w:val="2"/>
        </w:numPr>
      </w:pPr>
      <w:r>
        <w:t>MEDICINE SCHEDULE</w:t>
      </w:r>
      <w:r w:rsidR="00594C19" w:rsidRPr="005E0551">
        <w:t xml:space="preserve"> (POISONS STANDARD)</w:t>
      </w:r>
    </w:p>
    <w:p w14:paraId="61436198" w14:textId="77777777" w:rsidR="00D52399" w:rsidRDefault="00D52399" w:rsidP="005E0551"/>
    <w:p w14:paraId="798893C5" w14:textId="77777777" w:rsidR="005E0551" w:rsidRPr="007877AA" w:rsidRDefault="005E0551" w:rsidP="005E0551">
      <w:r>
        <w:t>Schedule 4 – Prescription Only Medicine</w:t>
      </w:r>
    </w:p>
    <w:p w14:paraId="3D286E96" w14:textId="77777777" w:rsidR="00D52399" w:rsidRDefault="00615052" w:rsidP="002A6A3C">
      <w:pPr>
        <w:pStyle w:val="Heading1"/>
        <w:numPr>
          <w:ilvl w:val="0"/>
          <w:numId w:val="2"/>
        </w:numPr>
      </w:pPr>
      <w:r>
        <w:t>SPONSOR</w:t>
      </w:r>
    </w:p>
    <w:p w14:paraId="5327466F" w14:textId="77777777" w:rsidR="00D52399" w:rsidRDefault="00D52399" w:rsidP="002A6A3C">
      <w:pPr>
        <w:keepNext/>
      </w:pPr>
    </w:p>
    <w:p w14:paraId="10268E66" w14:textId="77777777" w:rsidR="00363C7F" w:rsidRPr="003F4DF6" w:rsidRDefault="00363C7F" w:rsidP="002A6A3C">
      <w:pPr>
        <w:keepNext/>
        <w:rPr>
          <w:lang w:val="en-GB"/>
        </w:rPr>
      </w:pPr>
      <w:r w:rsidRPr="003F4DF6">
        <w:rPr>
          <w:lang w:val="en-GB"/>
        </w:rPr>
        <w:t>Roche Products Pty Limited</w:t>
      </w:r>
    </w:p>
    <w:p w14:paraId="32318F76" w14:textId="77777777" w:rsidR="00363C7F" w:rsidRPr="003F4DF6" w:rsidRDefault="00363C7F" w:rsidP="002A6A3C">
      <w:pPr>
        <w:keepNext/>
        <w:rPr>
          <w:lang w:val="en-GB"/>
        </w:rPr>
      </w:pPr>
      <w:r w:rsidRPr="003F4DF6">
        <w:rPr>
          <w:lang w:val="en-GB"/>
        </w:rPr>
        <w:t>ABN 70 000 132 865</w:t>
      </w:r>
    </w:p>
    <w:p w14:paraId="32596262" w14:textId="59264A8C" w:rsidR="00363C7F" w:rsidRPr="003F4DF6" w:rsidRDefault="005E0551" w:rsidP="002A6A3C">
      <w:pPr>
        <w:keepNext/>
        <w:rPr>
          <w:lang w:val="en-GB"/>
        </w:rPr>
      </w:pPr>
      <w:r>
        <w:rPr>
          <w:lang w:val="en-GB"/>
        </w:rPr>
        <w:t>Level 8, 30-</w:t>
      </w:r>
      <w:r w:rsidR="00363C7F" w:rsidRPr="003F4DF6">
        <w:rPr>
          <w:lang w:val="en-GB"/>
        </w:rPr>
        <w:t xml:space="preserve">34 </w:t>
      </w:r>
      <w:proofErr w:type="spellStart"/>
      <w:r w:rsidR="00363C7F" w:rsidRPr="003F4DF6">
        <w:rPr>
          <w:lang w:val="en-GB"/>
        </w:rPr>
        <w:t>Hickson</w:t>
      </w:r>
      <w:proofErr w:type="spellEnd"/>
      <w:r w:rsidR="00363C7F" w:rsidRPr="003F4DF6">
        <w:rPr>
          <w:lang w:val="en-GB"/>
        </w:rPr>
        <w:t xml:space="preserve"> Road </w:t>
      </w:r>
    </w:p>
    <w:p w14:paraId="2A200C24" w14:textId="77777777" w:rsidR="00363C7F" w:rsidRPr="003F4DF6" w:rsidRDefault="00363C7F" w:rsidP="002A6A3C">
      <w:pPr>
        <w:keepNext/>
        <w:rPr>
          <w:lang w:val="en-GB"/>
        </w:rPr>
      </w:pPr>
      <w:r w:rsidRPr="003F4DF6">
        <w:rPr>
          <w:lang w:val="en-GB"/>
        </w:rPr>
        <w:t>Sydney NSW 2000</w:t>
      </w:r>
    </w:p>
    <w:p w14:paraId="2A7E7FF2" w14:textId="77777777" w:rsidR="00363C7F" w:rsidRPr="003F4DF6" w:rsidRDefault="00363C7F" w:rsidP="005E0551">
      <w:pPr>
        <w:rPr>
          <w:lang w:val="en-GB"/>
        </w:rPr>
      </w:pPr>
      <w:r w:rsidRPr="003F4DF6">
        <w:rPr>
          <w:lang w:val="en-GB"/>
        </w:rPr>
        <w:t>AUSTRALIA</w:t>
      </w:r>
    </w:p>
    <w:p w14:paraId="51FF2999" w14:textId="77777777" w:rsidR="00363C7F" w:rsidRPr="003F4DF6" w:rsidRDefault="00363C7F" w:rsidP="005E0551">
      <w:pPr>
        <w:rPr>
          <w:lang w:val="en-GB"/>
        </w:rPr>
      </w:pPr>
    </w:p>
    <w:p w14:paraId="240E1132" w14:textId="29032475" w:rsidR="00363C7F" w:rsidRPr="003F4DF6" w:rsidRDefault="005E0551" w:rsidP="005E0551">
      <w:r>
        <w:rPr>
          <w:lang w:val="en-GB"/>
        </w:rPr>
        <w:t>Medical</w:t>
      </w:r>
      <w:r w:rsidRPr="003F4DF6">
        <w:rPr>
          <w:lang w:val="en-GB"/>
        </w:rPr>
        <w:t xml:space="preserve"> </w:t>
      </w:r>
      <w:r w:rsidR="00363C7F" w:rsidRPr="003F4DF6">
        <w:rPr>
          <w:lang w:val="en-GB"/>
        </w:rPr>
        <w:t>enquiries: 1800 233 950</w:t>
      </w:r>
    </w:p>
    <w:p w14:paraId="4AB678B7" w14:textId="77777777" w:rsidR="00D52399" w:rsidRDefault="00615052" w:rsidP="00435230">
      <w:pPr>
        <w:pStyle w:val="Heading1"/>
        <w:numPr>
          <w:ilvl w:val="0"/>
          <w:numId w:val="2"/>
        </w:numPr>
      </w:pPr>
      <w:r>
        <w:t>DATE OF FIRST APPROVAL</w:t>
      </w:r>
    </w:p>
    <w:p w14:paraId="1A6032DA" w14:textId="77777777" w:rsidR="005E0551" w:rsidRDefault="005E0551" w:rsidP="005E0551"/>
    <w:p w14:paraId="7A321DA9" w14:textId="5BEF8C61" w:rsidR="00C72FBB" w:rsidRDefault="006C563E" w:rsidP="00C72FBB">
      <w:r>
        <w:t>21 February 2020</w:t>
      </w:r>
    </w:p>
    <w:p w14:paraId="35AB4492" w14:textId="6E5FE909" w:rsidR="0073441D" w:rsidRPr="0073441D" w:rsidRDefault="0073441D" w:rsidP="00E541A8">
      <w:pPr>
        <w:pStyle w:val="Heading1"/>
        <w:numPr>
          <w:ilvl w:val="0"/>
          <w:numId w:val="2"/>
        </w:numPr>
      </w:pPr>
      <w:r>
        <w:t>DATE OF REVISION</w:t>
      </w:r>
    </w:p>
    <w:p w14:paraId="10E25858" w14:textId="0178B91E" w:rsidR="0073441D" w:rsidRDefault="0073441D" w:rsidP="00E541A8">
      <w:pPr>
        <w:keepNext/>
      </w:pPr>
    </w:p>
    <w:p w14:paraId="11665F54" w14:textId="4ED3F8FA" w:rsidR="00F27BB0" w:rsidRDefault="00C72FBB" w:rsidP="005E0551">
      <w:r>
        <w:t>Not applicable</w:t>
      </w:r>
    </w:p>
    <w:p w14:paraId="6A06DC8D" w14:textId="77777777" w:rsidR="00F27BB0" w:rsidRPr="001564CF" w:rsidRDefault="00F27BB0" w:rsidP="00F27BB0">
      <w:pPr>
        <w:pStyle w:val="Heading3"/>
        <w:keepNext/>
        <w:spacing w:after="240"/>
        <w:rPr>
          <w:color w:val="auto"/>
        </w:rPr>
      </w:pPr>
      <w:r w:rsidRPr="001564CF">
        <w:rPr>
          <w:color w:val="auto"/>
        </w:rPr>
        <w:t>Summary table of changes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F27BB0" w14:paraId="6EC221EF" w14:textId="77777777" w:rsidTr="001A1304">
        <w:tc>
          <w:tcPr>
            <w:tcW w:w="1951" w:type="dxa"/>
          </w:tcPr>
          <w:p w14:paraId="2448058F" w14:textId="77777777" w:rsidR="00F27BB0" w:rsidRDefault="00F27BB0" w:rsidP="00880D6D">
            <w:pPr>
              <w:spacing w:before="20" w:after="20"/>
              <w:rPr>
                <w:b/>
              </w:rPr>
            </w:pPr>
            <w:r>
              <w:rPr>
                <w:b/>
              </w:rPr>
              <w:t>Section Changed</w:t>
            </w:r>
          </w:p>
        </w:tc>
        <w:tc>
          <w:tcPr>
            <w:tcW w:w="7291" w:type="dxa"/>
          </w:tcPr>
          <w:p w14:paraId="7A0A0DD8" w14:textId="77777777" w:rsidR="00F27BB0" w:rsidRDefault="00F27BB0" w:rsidP="00880D6D">
            <w:pPr>
              <w:spacing w:before="20" w:after="20"/>
              <w:rPr>
                <w:b/>
              </w:rPr>
            </w:pPr>
            <w:r>
              <w:rPr>
                <w:b/>
              </w:rPr>
              <w:t>Summary of new information</w:t>
            </w:r>
          </w:p>
        </w:tc>
      </w:tr>
      <w:tr w:rsidR="00443244" w14:paraId="7913DD9B" w14:textId="77777777" w:rsidTr="001A1304">
        <w:tc>
          <w:tcPr>
            <w:tcW w:w="1951" w:type="dxa"/>
          </w:tcPr>
          <w:p w14:paraId="289CC171" w14:textId="48DCA708" w:rsidR="00443244" w:rsidRPr="00D53709" w:rsidRDefault="00443244" w:rsidP="00443244">
            <w:pPr>
              <w:spacing w:before="20" w:after="20"/>
              <w:rPr>
                <w:lang w:val="en-AU"/>
              </w:rPr>
            </w:pPr>
          </w:p>
        </w:tc>
        <w:tc>
          <w:tcPr>
            <w:tcW w:w="7291" w:type="dxa"/>
          </w:tcPr>
          <w:p w14:paraId="20B5CA05" w14:textId="07B51469" w:rsidR="00443244" w:rsidRDefault="00443244" w:rsidP="00443244">
            <w:pPr>
              <w:spacing w:before="20" w:after="20"/>
            </w:pPr>
          </w:p>
        </w:tc>
      </w:tr>
    </w:tbl>
    <w:p w14:paraId="09A72579" w14:textId="77777777" w:rsidR="00F27BB0" w:rsidRPr="00EF2045" w:rsidRDefault="00F27BB0" w:rsidP="005E0551">
      <w:pPr>
        <w:rPr>
          <w:sz w:val="20"/>
        </w:rPr>
      </w:pPr>
    </w:p>
    <w:sectPr w:rsidR="00F27BB0" w:rsidRPr="00EF2045" w:rsidSect="00C31B7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418" w:bottom="1418" w:left="1418" w:header="284"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C78BA" w14:textId="77777777" w:rsidR="00C16219" w:rsidRDefault="00C16219">
      <w:r>
        <w:separator/>
      </w:r>
    </w:p>
  </w:endnote>
  <w:endnote w:type="continuationSeparator" w:id="0">
    <w:p w14:paraId="13340F83" w14:textId="77777777" w:rsidR="00C16219" w:rsidRDefault="00C1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MS PGothic">
    <w:panose1 w:val="020B0600070205080204"/>
    <w:charset w:val="80"/>
    <w:family w:val="swiss"/>
    <w:pitch w:val="variable"/>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A29A9" w14:textId="77777777" w:rsidR="00EB3056" w:rsidRDefault="00EB3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6D0D" w14:textId="0C975C64" w:rsidR="00C16219" w:rsidRDefault="00C16219" w:rsidP="00C457DE">
    <w:pPr>
      <w:pBdr>
        <w:top w:val="single" w:sz="4" w:space="3" w:color="auto"/>
      </w:pBdr>
      <w:tabs>
        <w:tab w:val="center" w:pos="4513"/>
        <w:tab w:val="right" w:pos="9026"/>
      </w:tabs>
    </w:pPr>
    <w:r w:rsidRPr="0058077C">
      <w:t xml:space="preserve"> </w:t>
    </w:r>
    <w:r w:rsidR="00EB3056">
      <w:t>ropxoflu10220</w:t>
    </w:r>
    <w:r>
      <w:tab/>
    </w:r>
    <w:r>
      <w:tab/>
    </w:r>
    <w:r>
      <w:fldChar w:fldCharType="begin"/>
    </w:r>
    <w:r>
      <w:instrText>PAGE</w:instrText>
    </w:r>
    <w:r>
      <w:fldChar w:fldCharType="separate"/>
    </w:r>
    <w:r w:rsidR="00DA1835">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1DF31" w14:textId="4D533358" w:rsidR="00C16219" w:rsidRPr="00C31B7D" w:rsidRDefault="00EB3056" w:rsidP="00C31B7D">
    <w:pPr>
      <w:pBdr>
        <w:top w:val="single" w:sz="4" w:space="3" w:color="auto"/>
      </w:pBdr>
      <w:tabs>
        <w:tab w:val="center" w:pos="4513"/>
        <w:tab w:val="right" w:pos="9026"/>
      </w:tabs>
    </w:pPr>
    <w:r>
      <w:t>ropxoflu10220</w:t>
    </w:r>
    <w:r w:rsidR="00C16219">
      <w:tab/>
    </w:r>
    <w:r w:rsidR="00C16219">
      <w:tab/>
    </w:r>
    <w:r w:rsidR="00C16219">
      <w:fldChar w:fldCharType="begin"/>
    </w:r>
    <w:r w:rsidR="00C16219">
      <w:instrText>PAGE</w:instrText>
    </w:r>
    <w:r w:rsidR="00C16219">
      <w:fldChar w:fldCharType="separate"/>
    </w:r>
    <w:r w:rsidR="00DA1835">
      <w:rPr>
        <w:noProof/>
      </w:rPr>
      <w:t>1</w:t>
    </w:r>
    <w:r w:rsidR="00C1621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DEBCE" w14:textId="77777777" w:rsidR="00C16219" w:rsidRDefault="00C16219">
      <w:r>
        <w:separator/>
      </w:r>
    </w:p>
  </w:footnote>
  <w:footnote w:type="continuationSeparator" w:id="0">
    <w:p w14:paraId="684DAEBA" w14:textId="77777777" w:rsidR="00C16219" w:rsidRDefault="00C1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FDC5D" w14:textId="77777777" w:rsidR="00EB3056" w:rsidRDefault="00EB3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DA1835" w:rsidRPr="000B2145" w14:paraId="674076CA" w14:textId="77777777" w:rsidTr="00833385">
      <w:trPr>
        <w:trHeight w:val="590"/>
      </w:trPr>
      <w:tc>
        <w:tcPr>
          <w:tcW w:w="8720" w:type="dxa"/>
          <w:shd w:val="clear" w:color="auto" w:fill="E4F2E0"/>
        </w:tcPr>
        <w:p w14:paraId="3037C9AB" w14:textId="77777777" w:rsidR="00DA1835" w:rsidRPr="000B2145" w:rsidRDefault="00DA1835" w:rsidP="00DA1835">
          <w:pPr>
            <w:pStyle w:val="Footer"/>
            <w:rPr>
              <w:b/>
              <w:sz w:val="18"/>
              <w:szCs w:val="18"/>
            </w:rPr>
          </w:pPr>
          <w:r w:rsidRPr="000B2145">
            <w:rPr>
              <w:b/>
              <w:sz w:val="18"/>
              <w:szCs w:val="18"/>
            </w:rPr>
            <w:t xml:space="preserve">Attachment </w:t>
          </w:r>
          <w:r w:rsidRPr="004072E5">
            <w:rPr>
              <w:b/>
            </w:rPr>
            <w:t>AusPAR -XOFLUZA - baloxavir marboxil - Roche Products Pty Limited (Australia) - PM-2019-01386-1-2 FINAL 4 June 2020</w:t>
          </w:r>
          <w:r w:rsidRPr="000B2145">
            <w:rPr>
              <w:b/>
              <w:sz w:val="18"/>
              <w:szCs w:val="18"/>
            </w:rPr>
            <w:t>. This is the Product Information that was approved with the submission described in this AusPAR. It may have been superseded. For the most recent PI, please refer to the TGA website at &lt;</w:t>
          </w:r>
          <w:hyperlink r:id="rId1" w:history="1">
            <w:r w:rsidRPr="000B2145">
              <w:rPr>
                <w:rStyle w:val="Hyperlink"/>
                <w:b/>
              </w:rPr>
              <w:t>https://www.tga.gov.au/product-information-pi</w:t>
            </w:r>
          </w:hyperlink>
          <w:r w:rsidRPr="000B2145">
            <w:rPr>
              <w:b/>
              <w:sz w:val="18"/>
              <w:szCs w:val="18"/>
              <w:u w:val="single"/>
            </w:rPr>
            <w:t>&gt;</w:t>
          </w:r>
        </w:p>
      </w:tc>
    </w:tr>
  </w:tbl>
  <w:p w14:paraId="0DE2DE97" w14:textId="77777777" w:rsidR="00EB3056" w:rsidRDefault="00EB3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DA1835" w:rsidRPr="000B2145" w14:paraId="6C103263" w14:textId="77777777" w:rsidTr="00833385">
      <w:trPr>
        <w:trHeight w:val="590"/>
      </w:trPr>
      <w:tc>
        <w:tcPr>
          <w:tcW w:w="8720" w:type="dxa"/>
          <w:shd w:val="clear" w:color="auto" w:fill="E4F2E0"/>
        </w:tcPr>
        <w:p w14:paraId="0A5EA5ED" w14:textId="77777777" w:rsidR="00DA1835" w:rsidRPr="000B2145" w:rsidRDefault="00DA1835" w:rsidP="00DA1835">
          <w:pPr>
            <w:pStyle w:val="Footer"/>
            <w:rPr>
              <w:b/>
              <w:sz w:val="18"/>
              <w:szCs w:val="18"/>
            </w:rPr>
          </w:pPr>
          <w:bookmarkStart w:id="3" w:name="_GoBack"/>
          <w:r w:rsidRPr="000B2145">
            <w:rPr>
              <w:b/>
              <w:sz w:val="18"/>
              <w:szCs w:val="18"/>
            </w:rPr>
            <w:t xml:space="preserve">Attachment </w:t>
          </w:r>
          <w:r w:rsidRPr="004072E5">
            <w:rPr>
              <w:b/>
            </w:rPr>
            <w:t>AusPAR -XOFLUZA - baloxavir marboxil - Roche Products Pty Limited (Australia) - PM-2019-01386-1-2 FINAL 4 June 2020</w:t>
          </w:r>
          <w:r w:rsidRPr="000B2145">
            <w:rPr>
              <w:b/>
              <w:sz w:val="18"/>
              <w:szCs w:val="18"/>
            </w:rPr>
            <w:t>. This is the Product Information that was approved with the submission described in this AusPAR. It may have been superseded. For the most recent PI, please refer to the TGA website at &lt;</w:t>
          </w:r>
          <w:hyperlink r:id="rId1" w:history="1">
            <w:r w:rsidRPr="000B2145">
              <w:rPr>
                <w:rStyle w:val="Hyperlink"/>
                <w:b/>
              </w:rPr>
              <w:t>https://www.tga.gov.au/product-information-pi</w:t>
            </w:r>
          </w:hyperlink>
          <w:r w:rsidRPr="000B2145">
            <w:rPr>
              <w:b/>
              <w:sz w:val="18"/>
              <w:szCs w:val="18"/>
              <w:u w:val="single"/>
            </w:rPr>
            <w:t>&gt;</w:t>
          </w:r>
        </w:p>
      </w:tc>
    </w:tr>
  </w:tbl>
  <w:p w14:paraId="75140BEA" w14:textId="6BD4709E" w:rsidR="00C16219" w:rsidRDefault="00C16219" w:rsidP="00C31B7D">
    <w:pPr>
      <w:tabs>
        <w:tab w:val="left" w:pos="284"/>
      </w:tabs>
      <w:spacing w:after="480"/>
    </w:pPr>
    <w:r>
      <w:rPr>
        <w:noProof/>
        <w:lang w:val="en-AU"/>
      </w:rPr>
      <mc:AlternateContent>
        <mc:Choice Requires="wps">
          <w:drawing>
            <wp:inline distT="0" distB="0" distL="0" distR="0" wp14:anchorId="512D0E9F" wp14:editId="4896D73B">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0D4DF" w14:textId="77777777" w:rsidR="00C16219" w:rsidRPr="00BE2A26" w:rsidRDefault="00C16219" w:rsidP="00C31B7D">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12D0E9F"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3i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rn&#10;GCnSAUX3fPDoRg8oD9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CSp3eJ0AgAA/gQAAA4AAAAAAAAAAAAA&#10;AAAALgIAAGRycy9lMm9Eb2MueG1sUEsBAi0AFAAGAAgAAAAhAGP1TgzZAAAAAwEAAA8AAAAAAAAA&#10;AAAAAAAAzgQAAGRycy9kb3ducmV2LnhtbFBLBQYAAAAABAAEAPMAAADUBQAAAAA=&#10;" stroked="f">
              <v:textbox inset="0,0,0,0">
                <w:txbxContent>
                  <w:p w14:paraId="4500D4DF" w14:textId="77777777" w:rsidR="00C16219" w:rsidRPr="00BE2A26" w:rsidRDefault="00C16219" w:rsidP="00C31B7D">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B9034D">
      <w:t xml:space="preserve">This medicinal product is subject to additional monitoring </w:t>
    </w:r>
    <w:r w:rsidRPr="009626BC">
      <w:t>in Australia.</w:t>
    </w:r>
    <w:r w:rsidRPr="00B9034D">
      <w:t xml:space="preserve"> This will allow </w:t>
    </w:r>
    <w:bookmarkEnd w:id="3"/>
    <w:r w:rsidRPr="00B9034D">
      <w:t xml:space="preserve">quick identification of new safety information. Healthcare professionals are asked to report any suspected adverse events at </w:t>
    </w:r>
    <w:hyperlink r:id="rId2" w:history="1">
      <w:r w:rsidRPr="00B9034D">
        <w:rPr>
          <w:rStyle w:val="Hyperlink"/>
        </w:rPr>
        <w:t>www.tga.gov.au/reporting-problems</w:t>
      </w:r>
    </w:hyperlink>
    <w:r w:rsidRPr="00B9034D">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E4FE6"/>
    <w:multiLevelType w:val="hybridMultilevel"/>
    <w:tmpl w:val="BEA6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0546C"/>
    <w:multiLevelType w:val="multilevel"/>
    <w:tmpl w:val="4816DBAC"/>
    <w:lvl w:ilvl="0">
      <w:start w:val="1"/>
      <w:numFmt w:val="decimal"/>
      <w:pStyle w:val="Heading1"/>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4D14027"/>
    <w:multiLevelType w:val="hybridMultilevel"/>
    <w:tmpl w:val="7B8AD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500BB7"/>
    <w:multiLevelType w:val="hybridMultilevel"/>
    <w:tmpl w:val="2FECF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F7FC8"/>
    <w:multiLevelType w:val="hybridMultilevel"/>
    <w:tmpl w:val="D1567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6555DEE"/>
    <w:multiLevelType w:val="hybridMultilevel"/>
    <w:tmpl w:val="691A9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D77F2F"/>
    <w:multiLevelType w:val="hybridMultilevel"/>
    <w:tmpl w:val="EE4C5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6"/>
  </w:num>
  <w:num w:numId="3">
    <w:abstractNumId w:val="2"/>
  </w:num>
  <w:num w:numId="4">
    <w:abstractNumId w:val="9"/>
  </w:num>
  <w:num w:numId="5">
    <w:abstractNumId w:val="8"/>
  </w:num>
  <w:num w:numId="6">
    <w:abstractNumId w:val="0"/>
  </w:num>
  <w:num w:numId="7">
    <w:abstractNumId w:val="2"/>
  </w:num>
  <w:num w:numId="8">
    <w:abstractNumId w:val="4"/>
  </w:num>
  <w:num w:numId="9">
    <w:abstractNumId w:val="3"/>
  </w:num>
  <w:num w:numId="10">
    <w:abstractNumId w:val="7"/>
  </w:num>
  <w:num w:numId="11">
    <w:abstractNumId w:val="2"/>
  </w:num>
  <w:num w:numId="12">
    <w:abstractNumId w:val="5"/>
  </w:num>
  <w:num w:numId="13">
    <w:abstractNumId w:val="2"/>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de-CH" w:vendorID="64" w:dllVersion="131078" w:nlCheck="1" w:checkStyle="0"/>
  <w:activeWritingStyle w:appName="MSWord" w:lang="pt-BR" w:vendorID="64" w:dllVersion="131078" w:nlCheck="1" w:checkStyle="0"/>
  <w:activeWritingStyle w:appName="MSWord" w:lang="en-GB" w:vendorID="64" w:dllVersion="131078" w:nlCheck="1" w:checkStyle="1"/>
  <w:proofState w:spelling="clean"/>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10"/>
    <w:rsid w:val="00000D32"/>
    <w:rsid w:val="00003032"/>
    <w:rsid w:val="000061CD"/>
    <w:rsid w:val="00033D36"/>
    <w:rsid w:val="00035F18"/>
    <w:rsid w:val="000366C1"/>
    <w:rsid w:val="00040F3F"/>
    <w:rsid w:val="00041BB3"/>
    <w:rsid w:val="00053CCE"/>
    <w:rsid w:val="0005423A"/>
    <w:rsid w:val="00054947"/>
    <w:rsid w:val="00057010"/>
    <w:rsid w:val="0006027B"/>
    <w:rsid w:val="00063684"/>
    <w:rsid w:val="00070BE2"/>
    <w:rsid w:val="000774D1"/>
    <w:rsid w:val="000841EC"/>
    <w:rsid w:val="000844F6"/>
    <w:rsid w:val="00085AAD"/>
    <w:rsid w:val="00085E3B"/>
    <w:rsid w:val="0009058E"/>
    <w:rsid w:val="00094105"/>
    <w:rsid w:val="000961F5"/>
    <w:rsid w:val="000A0357"/>
    <w:rsid w:val="000A155B"/>
    <w:rsid w:val="000A57CC"/>
    <w:rsid w:val="000A6EC5"/>
    <w:rsid w:val="000B78F4"/>
    <w:rsid w:val="000D4FD7"/>
    <w:rsid w:val="000D6544"/>
    <w:rsid w:val="000E2E73"/>
    <w:rsid w:val="000E4D71"/>
    <w:rsid w:val="000F1B30"/>
    <w:rsid w:val="000F5DA1"/>
    <w:rsid w:val="00104D2C"/>
    <w:rsid w:val="00106E7C"/>
    <w:rsid w:val="00113F60"/>
    <w:rsid w:val="00131855"/>
    <w:rsid w:val="00132EB8"/>
    <w:rsid w:val="001503C3"/>
    <w:rsid w:val="001564CF"/>
    <w:rsid w:val="00160EC2"/>
    <w:rsid w:val="00163AC5"/>
    <w:rsid w:val="00174F45"/>
    <w:rsid w:val="00177498"/>
    <w:rsid w:val="00181910"/>
    <w:rsid w:val="00183D0E"/>
    <w:rsid w:val="00183F29"/>
    <w:rsid w:val="001871BC"/>
    <w:rsid w:val="001A0C8D"/>
    <w:rsid w:val="001A1304"/>
    <w:rsid w:val="001C1C80"/>
    <w:rsid w:val="001D02BB"/>
    <w:rsid w:val="001D0931"/>
    <w:rsid w:val="001D0A17"/>
    <w:rsid w:val="001D17CD"/>
    <w:rsid w:val="001D1AE2"/>
    <w:rsid w:val="001D7B9B"/>
    <w:rsid w:val="001E0647"/>
    <w:rsid w:val="001E7F10"/>
    <w:rsid w:val="001F21E4"/>
    <w:rsid w:val="001F30EE"/>
    <w:rsid w:val="001F3703"/>
    <w:rsid w:val="001F6B46"/>
    <w:rsid w:val="00201090"/>
    <w:rsid w:val="0020172A"/>
    <w:rsid w:val="00205A38"/>
    <w:rsid w:val="00226A16"/>
    <w:rsid w:val="00232D90"/>
    <w:rsid w:val="00232F91"/>
    <w:rsid w:val="00233F9C"/>
    <w:rsid w:val="00236CAF"/>
    <w:rsid w:val="00244801"/>
    <w:rsid w:val="00247E45"/>
    <w:rsid w:val="00252F98"/>
    <w:rsid w:val="002533C6"/>
    <w:rsid w:val="00254C63"/>
    <w:rsid w:val="00262CF8"/>
    <w:rsid w:val="00266C6E"/>
    <w:rsid w:val="002678CE"/>
    <w:rsid w:val="0027409F"/>
    <w:rsid w:val="0027576D"/>
    <w:rsid w:val="00276004"/>
    <w:rsid w:val="002824AE"/>
    <w:rsid w:val="00296201"/>
    <w:rsid w:val="002A0CE0"/>
    <w:rsid w:val="002A5D07"/>
    <w:rsid w:val="002A6A3C"/>
    <w:rsid w:val="002B5D02"/>
    <w:rsid w:val="002C1F59"/>
    <w:rsid w:val="002C3A65"/>
    <w:rsid w:val="002D72C7"/>
    <w:rsid w:val="002E67E5"/>
    <w:rsid w:val="002E746A"/>
    <w:rsid w:val="002F0E1A"/>
    <w:rsid w:val="00300F6B"/>
    <w:rsid w:val="00302709"/>
    <w:rsid w:val="00312430"/>
    <w:rsid w:val="0031430F"/>
    <w:rsid w:val="00316254"/>
    <w:rsid w:val="00322361"/>
    <w:rsid w:val="0032466F"/>
    <w:rsid w:val="00325583"/>
    <w:rsid w:val="00333E81"/>
    <w:rsid w:val="00340D2E"/>
    <w:rsid w:val="00343240"/>
    <w:rsid w:val="00345AB2"/>
    <w:rsid w:val="00346569"/>
    <w:rsid w:val="00352F84"/>
    <w:rsid w:val="003619C9"/>
    <w:rsid w:val="00363C7F"/>
    <w:rsid w:val="003657FA"/>
    <w:rsid w:val="003728F5"/>
    <w:rsid w:val="003A3BA1"/>
    <w:rsid w:val="003A7E63"/>
    <w:rsid w:val="003B3BC5"/>
    <w:rsid w:val="003B4A6B"/>
    <w:rsid w:val="003B54C7"/>
    <w:rsid w:val="003C01EA"/>
    <w:rsid w:val="003C30FA"/>
    <w:rsid w:val="003D07C5"/>
    <w:rsid w:val="003D2894"/>
    <w:rsid w:val="003E342B"/>
    <w:rsid w:val="003F3694"/>
    <w:rsid w:val="003F4DF6"/>
    <w:rsid w:val="004020B3"/>
    <w:rsid w:val="00403E34"/>
    <w:rsid w:val="00410BAE"/>
    <w:rsid w:val="004115A1"/>
    <w:rsid w:val="00417DF3"/>
    <w:rsid w:val="00417E6D"/>
    <w:rsid w:val="004303A3"/>
    <w:rsid w:val="0043279A"/>
    <w:rsid w:val="00433DBD"/>
    <w:rsid w:val="00435230"/>
    <w:rsid w:val="004378F9"/>
    <w:rsid w:val="00437DBA"/>
    <w:rsid w:val="0044133D"/>
    <w:rsid w:val="00443244"/>
    <w:rsid w:val="0044710F"/>
    <w:rsid w:val="0045720B"/>
    <w:rsid w:val="004626D8"/>
    <w:rsid w:val="004667E1"/>
    <w:rsid w:val="004712BE"/>
    <w:rsid w:val="004716A0"/>
    <w:rsid w:val="0047399C"/>
    <w:rsid w:val="00473D5C"/>
    <w:rsid w:val="00475CD1"/>
    <w:rsid w:val="004A4B02"/>
    <w:rsid w:val="004B4FD2"/>
    <w:rsid w:val="004B64C3"/>
    <w:rsid w:val="004C2563"/>
    <w:rsid w:val="004D63D0"/>
    <w:rsid w:val="004E3ED4"/>
    <w:rsid w:val="004E486E"/>
    <w:rsid w:val="004F1432"/>
    <w:rsid w:val="004F2AF9"/>
    <w:rsid w:val="004F2FB4"/>
    <w:rsid w:val="00502B8A"/>
    <w:rsid w:val="00515DB8"/>
    <w:rsid w:val="0051765B"/>
    <w:rsid w:val="005178E5"/>
    <w:rsid w:val="00517FED"/>
    <w:rsid w:val="00524A28"/>
    <w:rsid w:val="005405E5"/>
    <w:rsid w:val="0055263A"/>
    <w:rsid w:val="005616C2"/>
    <w:rsid w:val="00570912"/>
    <w:rsid w:val="0058021C"/>
    <w:rsid w:val="0058077C"/>
    <w:rsid w:val="0058141F"/>
    <w:rsid w:val="005847BA"/>
    <w:rsid w:val="005904B8"/>
    <w:rsid w:val="00594C19"/>
    <w:rsid w:val="00595572"/>
    <w:rsid w:val="00596BCB"/>
    <w:rsid w:val="005A1ACD"/>
    <w:rsid w:val="005A3A62"/>
    <w:rsid w:val="005A487A"/>
    <w:rsid w:val="005A5476"/>
    <w:rsid w:val="005A7286"/>
    <w:rsid w:val="005B060C"/>
    <w:rsid w:val="005B1F7F"/>
    <w:rsid w:val="005B4683"/>
    <w:rsid w:val="005B5644"/>
    <w:rsid w:val="005C572D"/>
    <w:rsid w:val="005C7D06"/>
    <w:rsid w:val="005E0551"/>
    <w:rsid w:val="005E2211"/>
    <w:rsid w:val="005E64F3"/>
    <w:rsid w:val="005F33C5"/>
    <w:rsid w:val="005F750E"/>
    <w:rsid w:val="006012A1"/>
    <w:rsid w:val="00601523"/>
    <w:rsid w:val="00615052"/>
    <w:rsid w:val="006169F0"/>
    <w:rsid w:val="0062200E"/>
    <w:rsid w:val="0062377D"/>
    <w:rsid w:val="00624397"/>
    <w:rsid w:val="00627B2B"/>
    <w:rsid w:val="00631DF2"/>
    <w:rsid w:val="00636279"/>
    <w:rsid w:val="00646070"/>
    <w:rsid w:val="006517C8"/>
    <w:rsid w:val="006543BF"/>
    <w:rsid w:val="00657831"/>
    <w:rsid w:val="006623AF"/>
    <w:rsid w:val="00663EE6"/>
    <w:rsid w:val="00665095"/>
    <w:rsid w:val="006657C9"/>
    <w:rsid w:val="00666F11"/>
    <w:rsid w:val="00670787"/>
    <w:rsid w:val="00671ECF"/>
    <w:rsid w:val="00672B68"/>
    <w:rsid w:val="00674CFD"/>
    <w:rsid w:val="006826D7"/>
    <w:rsid w:val="0068495C"/>
    <w:rsid w:val="00685337"/>
    <w:rsid w:val="006A16FA"/>
    <w:rsid w:val="006A2611"/>
    <w:rsid w:val="006B7499"/>
    <w:rsid w:val="006B75A4"/>
    <w:rsid w:val="006B7995"/>
    <w:rsid w:val="006C28B3"/>
    <w:rsid w:val="006C48D2"/>
    <w:rsid w:val="006C563E"/>
    <w:rsid w:val="006C5801"/>
    <w:rsid w:val="006C73C2"/>
    <w:rsid w:val="006C7B7D"/>
    <w:rsid w:val="006D2664"/>
    <w:rsid w:val="006D5284"/>
    <w:rsid w:val="006E1417"/>
    <w:rsid w:val="006E53FC"/>
    <w:rsid w:val="006F052E"/>
    <w:rsid w:val="006F0CBF"/>
    <w:rsid w:val="006F1264"/>
    <w:rsid w:val="006F410D"/>
    <w:rsid w:val="006F5F4B"/>
    <w:rsid w:val="006F781F"/>
    <w:rsid w:val="006F7839"/>
    <w:rsid w:val="00700010"/>
    <w:rsid w:val="00701192"/>
    <w:rsid w:val="00705463"/>
    <w:rsid w:val="00706A84"/>
    <w:rsid w:val="007111EE"/>
    <w:rsid w:val="00711F73"/>
    <w:rsid w:val="00712706"/>
    <w:rsid w:val="00714720"/>
    <w:rsid w:val="0071676A"/>
    <w:rsid w:val="00717106"/>
    <w:rsid w:val="00717BC0"/>
    <w:rsid w:val="007229B2"/>
    <w:rsid w:val="0073441D"/>
    <w:rsid w:val="00755DAC"/>
    <w:rsid w:val="00767877"/>
    <w:rsid w:val="007818DE"/>
    <w:rsid w:val="007828E3"/>
    <w:rsid w:val="00784EC0"/>
    <w:rsid w:val="00787171"/>
    <w:rsid w:val="007929F2"/>
    <w:rsid w:val="0079523E"/>
    <w:rsid w:val="007A1D32"/>
    <w:rsid w:val="007A4E7A"/>
    <w:rsid w:val="007B47D1"/>
    <w:rsid w:val="007C292D"/>
    <w:rsid w:val="007C3EF6"/>
    <w:rsid w:val="007C7061"/>
    <w:rsid w:val="007D1544"/>
    <w:rsid w:val="007D558A"/>
    <w:rsid w:val="007D5B9B"/>
    <w:rsid w:val="007E42CD"/>
    <w:rsid w:val="007E70B3"/>
    <w:rsid w:val="007F07E7"/>
    <w:rsid w:val="007F186D"/>
    <w:rsid w:val="007F58BB"/>
    <w:rsid w:val="0080148B"/>
    <w:rsid w:val="00811FEA"/>
    <w:rsid w:val="0081316F"/>
    <w:rsid w:val="008224D6"/>
    <w:rsid w:val="00824958"/>
    <w:rsid w:val="0084079D"/>
    <w:rsid w:val="00840C56"/>
    <w:rsid w:val="00841537"/>
    <w:rsid w:val="00842E5A"/>
    <w:rsid w:val="00851ACE"/>
    <w:rsid w:val="00852526"/>
    <w:rsid w:val="008549BB"/>
    <w:rsid w:val="00862A7C"/>
    <w:rsid w:val="0086513E"/>
    <w:rsid w:val="00876277"/>
    <w:rsid w:val="00880D6D"/>
    <w:rsid w:val="008863B8"/>
    <w:rsid w:val="008903F2"/>
    <w:rsid w:val="00891A5A"/>
    <w:rsid w:val="008923B7"/>
    <w:rsid w:val="00894BB6"/>
    <w:rsid w:val="0089539D"/>
    <w:rsid w:val="00896B23"/>
    <w:rsid w:val="008A3181"/>
    <w:rsid w:val="008A7B92"/>
    <w:rsid w:val="008B5635"/>
    <w:rsid w:val="008B7226"/>
    <w:rsid w:val="008C3A9E"/>
    <w:rsid w:val="008C4F39"/>
    <w:rsid w:val="008D26D4"/>
    <w:rsid w:val="008D29EE"/>
    <w:rsid w:val="008D54B4"/>
    <w:rsid w:val="008E39AB"/>
    <w:rsid w:val="008F20D3"/>
    <w:rsid w:val="008F3947"/>
    <w:rsid w:val="008F4CFE"/>
    <w:rsid w:val="00902C18"/>
    <w:rsid w:val="00911F08"/>
    <w:rsid w:val="00917C36"/>
    <w:rsid w:val="009255F7"/>
    <w:rsid w:val="00935615"/>
    <w:rsid w:val="00936094"/>
    <w:rsid w:val="0093644E"/>
    <w:rsid w:val="009379A2"/>
    <w:rsid w:val="009416FB"/>
    <w:rsid w:val="009419BA"/>
    <w:rsid w:val="009462B9"/>
    <w:rsid w:val="00947662"/>
    <w:rsid w:val="00957121"/>
    <w:rsid w:val="00961FE1"/>
    <w:rsid w:val="009626BC"/>
    <w:rsid w:val="00964DFF"/>
    <w:rsid w:val="00967471"/>
    <w:rsid w:val="0097149D"/>
    <w:rsid w:val="00975C88"/>
    <w:rsid w:val="00976816"/>
    <w:rsid w:val="00976C2F"/>
    <w:rsid w:val="009856B7"/>
    <w:rsid w:val="009872F9"/>
    <w:rsid w:val="009945DF"/>
    <w:rsid w:val="009A096F"/>
    <w:rsid w:val="009B3628"/>
    <w:rsid w:val="009B5B20"/>
    <w:rsid w:val="009C06CF"/>
    <w:rsid w:val="009C38F7"/>
    <w:rsid w:val="009E0E43"/>
    <w:rsid w:val="009E3D5B"/>
    <w:rsid w:val="009E51F5"/>
    <w:rsid w:val="009F03CC"/>
    <w:rsid w:val="00A02B14"/>
    <w:rsid w:val="00A052CD"/>
    <w:rsid w:val="00A134EF"/>
    <w:rsid w:val="00A146EF"/>
    <w:rsid w:val="00A14FFF"/>
    <w:rsid w:val="00A1739B"/>
    <w:rsid w:val="00A1787A"/>
    <w:rsid w:val="00A242B0"/>
    <w:rsid w:val="00A26385"/>
    <w:rsid w:val="00A31D6A"/>
    <w:rsid w:val="00A354BA"/>
    <w:rsid w:val="00A35C2F"/>
    <w:rsid w:val="00A3616E"/>
    <w:rsid w:val="00A4180F"/>
    <w:rsid w:val="00A5027D"/>
    <w:rsid w:val="00A509B1"/>
    <w:rsid w:val="00A5114F"/>
    <w:rsid w:val="00A52E15"/>
    <w:rsid w:val="00A536D4"/>
    <w:rsid w:val="00A707C5"/>
    <w:rsid w:val="00A730BF"/>
    <w:rsid w:val="00A76F2D"/>
    <w:rsid w:val="00A8475A"/>
    <w:rsid w:val="00A916EB"/>
    <w:rsid w:val="00A975B6"/>
    <w:rsid w:val="00AA166E"/>
    <w:rsid w:val="00AA609F"/>
    <w:rsid w:val="00AA7BC6"/>
    <w:rsid w:val="00AD38F1"/>
    <w:rsid w:val="00AE3405"/>
    <w:rsid w:val="00AE3F60"/>
    <w:rsid w:val="00AE69EE"/>
    <w:rsid w:val="00AE6E52"/>
    <w:rsid w:val="00AF5927"/>
    <w:rsid w:val="00B0719E"/>
    <w:rsid w:val="00B07B4D"/>
    <w:rsid w:val="00B11B62"/>
    <w:rsid w:val="00B14276"/>
    <w:rsid w:val="00B203EF"/>
    <w:rsid w:val="00B274AF"/>
    <w:rsid w:val="00B319D6"/>
    <w:rsid w:val="00B33684"/>
    <w:rsid w:val="00B55BDA"/>
    <w:rsid w:val="00B57EDF"/>
    <w:rsid w:val="00B62885"/>
    <w:rsid w:val="00B63FA4"/>
    <w:rsid w:val="00B67D08"/>
    <w:rsid w:val="00B70187"/>
    <w:rsid w:val="00B7020F"/>
    <w:rsid w:val="00B7028B"/>
    <w:rsid w:val="00B739DB"/>
    <w:rsid w:val="00B86540"/>
    <w:rsid w:val="00B9034D"/>
    <w:rsid w:val="00B92E5D"/>
    <w:rsid w:val="00B93645"/>
    <w:rsid w:val="00B9637E"/>
    <w:rsid w:val="00BA0878"/>
    <w:rsid w:val="00BA28CC"/>
    <w:rsid w:val="00BA3BF9"/>
    <w:rsid w:val="00BB671D"/>
    <w:rsid w:val="00BC50FF"/>
    <w:rsid w:val="00BD156E"/>
    <w:rsid w:val="00BD38F9"/>
    <w:rsid w:val="00BD64BF"/>
    <w:rsid w:val="00BE1773"/>
    <w:rsid w:val="00BE5798"/>
    <w:rsid w:val="00BF1FB1"/>
    <w:rsid w:val="00C0048E"/>
    <w:rsid w:val="00C04C9F"/>
    <w:rsid w:val="00C114D0"/>
    <w:rsid w:val="00C16219"/>
    <w:rsid w:val="00C167AC"/>
    <w:rsid w:val="00C268D5"/>
    <w:rsid w:val="00C31B7D"/>
    <w:rsid w:val="00C340B0"/>
    <w:rsid w:val="00C363DB"/>
    <w:rsid w:val="00C457DE"/>
    <w:rsid w:val="00C466D6"/>
    <w:rsid w:val="00C4752C"/>
    <w:rsid w:val="00C520E5"/>
    <w:rsid w:val="00C539BF"/>
    <w:rsid w:val="00C66998"/>
    <w:rsid w:val="00C67F7A"/>
    <w:rsid w:val="00C70DA6"/>
    <w:rsid w:val="00C72FBB"/>
    <w:rsid w:val="00C73916"/>
    <w:rsid w:val="00C75C25"/>
    <w:rsid w:val="00C80A75"/>
    <w:rsid w:val="00C80D00"/>
    <w:rsid w:val="00C93569"/>
    <w:rsid w:val="00CA528E"/>
    <w:rsid w:val="00CB0F99"/>
    <w:rsid w:val="00CB6D43"/>
    <w:rsid w:val="00CC457D"/>
    <w:rsid w:val="00CC4D98"/>
    <w:rsid w:val="00CC7E3A"/>
    <w:rsid w:val="00CD75D3"/>
    <w:rsid w:val="00CE00B1"/>
    <w:rsid w:val="00CE5F5B"/>
    <w:rsid w:val="00CF1AAF"/>
    <w:rsid w:val="00CF3BFF"/>
    <w:rsid w:val="00D043F2"/>
    <w:rsid w:val="00D05E28"/>
    <w:rsid w:val="00D128EC"/>
    <w:rsid w:val="00D15197"/>
    <w:rsid w:val="00D15F06"/>
    <w:rsid w:val="00D21F2F"/>
    <w:rsid w:val="00D343C9"/>
    <w:rsid w:val="00D351DD"/>
    <w:rsid w:val="00D45FB5"/>
    <w:rsid w:val="00D52399"/>
    <w:rsid w:val="00D53709"/>
    <w:rsid w:val="00D630CE"/>
    <w:rsid w:val="00D635E1"/>
    <w:rsid w:val="00D64338"/>
    <w:rsid w:val="00D743BC"/>
    <w:rsid w:val="00D74AF0"/>
    <w:rsid w:val="00D75206"/>
    <w:rsid w:val="00D76667"/>
    <w:rsid w:val="00D76910"/>
    <w:rsid w:val="00D82153"/>
    <w:rsid w:val="00D941D0"/>
    <w:rsid w:val="00DA1835"/>
    <w:rsid w:val="00DA2413"/>
    <w:rsid w:val="00DA4E6F"/>
    <w:rsid w:val="00DC06BF"/>
    <w:rsid w:val="00DC2D63"/>
    <w:rsid w:val="00DD5662"/>
    <w:rsid w:val="00DE0BE2"/>
    <w:rsid w:val="00DE41A7"/>
    <w:rsid w:val="00DF4D42"/>
    <w:rsid w:val="00E01033"/>
    <w:rsid w:val="00E036E9"/>
    <w:rsid w:val="00E103FD"/>
    <w:rsid w:val="00E114B1"/>
    <w:rsid w:val="00E13D4A"/>
    <w:rsid w:val="00E153FF"/>
    <w:rsid w:val="00E20048"/>
    <w:rsid w:val="00E21CCD"/>
    <w:rsid w:val="00E27718"/>
    <w:rsid w:val="00E27B03"/>
    <w:rsid w:val="00E36804"/>
    <w:rsid w:val="00E37E62"/>
    <w:rsid w:val="00E422A6"/>
    <w:rsid w:val="00E42F85"/>
    <w:rsid w:val="00E541A8"/>
    <w:rsid w:val="00E638BF"/>
    <w:rsid w:val="00E725A5"/>
    <w:rsid w:val="00E76E30"/>
    <w:rsid w:val="00E818F2"/>
    <w:rsid w:val="00E8439C"/>
    <w:rsid w:val="00E84806"/>
    <w:rsid w:val="00E94719"/>
    <w:rsid w:val="00E947F3"/>
    <w:rsid w:val="00E96BC3"/>
    <w:rsid w:val="00EA60E7"/>
    <w:rsid w:val="00EA7299"/>
    <w:rsid w:val="00EB3056"/>
    <w:rsid w:val="00EB758E"/>
    <w:rsid w:val="00EC289C"/>
    <w:rsid w:val="00EE05A8"/>
    <w:rsid w:val="00EE3A87"/>
    <w:rsid w:val="00EF06F2"/>
    <w:rsid w:val="00EF2045"/>
    <w:rsid w:val="00EF2D3A"/>
    <w:rsid w:val="00EF5D60"/>
    <w:rsid w:val="00EF6316"/>
    <w:rsid w:val="00F0280A"/>
    <w:rsid w:val="00F11FA5"/>
    <w:rsid w:val="00F15D43"/>
    <w:rsid w:val="00F16903"/>
    <w:rsid w:val="00F22E35"/>
    <w:rsid w:val="00F27732"/>
    <w:rsid w:val="00F27BB0"/>
    <w:rsid w:val="00F35187"/>
    <w:rsid w:val="00F35476"/>
    <w:rsid w:val="00F401EB"/>
    <w:rsid w:val="00F46F12"/>
    <w:rsid w:val="00F477E2"/>
    <w:rsid w:val="00F50455"/>
    <w:rsid w:val="00F54A67"/>
    <w:rsid w:val="00F55867"/>
    <w:rsid w:val="00F60B0A"/>
    <w:rsid w:val="00F72340"/>
    <w:rsid w:val="00F81FA5"/>
    <w:rsid w:val="00F840A0"/>
    <w:rsid w:val="00FA3C95"/>
    <w:rsid w:val="00FA4F98"/>
    <w:rsid w:val="00FB6EEE"/>
    <w:rsid w:val="00FC0A0D"/>
    <w:rsid w:val="00FD32C0"/>
    <w:rsid w:val="00FE33DA"/>
    <w:rsid w:val="00FE7409"/>
    <w:rsid w:val="00FF367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6A4E479E"/>
  <w15:docId w15:val="{04563202-C46B-4AEA-B876-E67A5EB4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435230"/>
    <w:pPr>
      <w:keepNext/>
      <w:numPr>
        <w:numId w:val="3"/>
      </w:numPr>
      <w:spacing w:before="480"/>
      <w:contextualSpacing/>
      <w:outlineLvl w:val="0"/>
    </w:pPr>
    <w:rPr>
      <w:b/>
      <w:color w:val="auto"/>
    </w:rPr>
  </w:style>
  <w:style w:type="paragraph" w:styleId="Heading2">
    <w:name w:val="heading 2"/>
    <w:basedOn w:val="Normal"/>
    <w:next w:val="Normal"/>
    <w:pPr>
      <w:spacing w:before="200"/>
      <w:ind w:left="786" w:hanging="360"/>
      <w:outlineLvl w:val="1"/>
    </w:pPr>
    <w:rPr>
      <w:b/>
    </w:rPr>
  </w:style>
  <w:style w:type="paragraph" w:styleId="Heading3">
    <w:name w:val="heading 3"/>
    <w:basedOn w:val="Normal"/>
    <w:next w:val="Normal"/>
    <w:link w:val="Heading3Char"/>
    <w:pPr>
      <w:spacing w:before="200" w:line="271" w:lineRule="auto"/>
      <w:outlineLvl w:val="2"/>
    </w:pPr>
    <w:rPr>
      <w:b/>
    </w:rPr>
  </w:style>
  <w:style w:type="paragraph" w:styleId="Heading4">
    <w:name w:val="heading 4"/>
    <w:basedOn w:val="Normal"/>
    <w:next w:val="Normal"/>
    <w:pPr>
      <w:spacing w:before="200"/>
      <w:outlineLvl w:val="3"/>
    </w:pPr>
    <w:rPr>
      <w:u w:val="single"/>
    </w:rPr>
  </w:style>
  <w:style w:type="paragraph" w:styleId="Heading5">
    <w:name w:val="heading 5"/>
    <w:basedOn w:val="Normal"/>
    <w:next w:val="Normal"/>
    <w:rsid w:val="00947662"/>
    <w:pPr>
      <w:spacing w:before="200" w:after="120"/>
      <w:outlineLvl w:val="4"/>
    </w:pPr>
    <w:rPr>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table" w:styleId="TableGrid">
    <w:name w:val="Table Grid"/>
    <w:basedOn w:val="TableNormal"/>
    <w:uiPriority w:val="59"/>
    <w:rsid w:val="00435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16C2"/>
    <w:rPr>
      <w:sz w:val="16"/>
      <w:szCs w:val="16"/>
    </w:rPr>
  </w:style>
  <w:style w:type="paragraph" w:styleId="CommentText">
    <w:name w:val="annotation text"/>
    <w:basedOn w:val="Normal"/>
    <w:link w:val="CommentTextChar"/>
    <w:uiPriority w:val="99"/>
    <w:unhideWhenUsed/>
    <w:rsid w:val="005616C2"/>
    <w:rPr>
      <w:sz w:val="20"/>
      <w:szCs w:val="20"/>
    </w:rPr>
  </w:style>
  <w:style w:type="character" w:customStyle="1" w:styleId="CommentTextChar">
    <w:name w:val="Comment Text Char"/>
    <w:basedOn w:val="DefaultParagraphFont"/>
    <w:link w:val="CommentText"/>
    <w:uiPriority w:val="99"/>
    <w:rsid w:val="005616C2"/>
    <w:rPr>
      <w:sz w:val="20"/>
      <w:szCs w:val="20"/>
    </w:rPr>
  </w:style>
  <w:style w:type="paragraph" w:styleId="CommentSubject">
    <w:name w:val="annotation subject"/>
    <w:basedOn w:val="CommentText"/>
    <w:next w:val="CommentText"/>
    <w:link w:val="CommentSubjectChar"/>
    <w:uiPriority w:val="99"/>
    <w:semiHidden/>
    <w:unhideWhenUsed/>
    <w:rsid w:val="005616C2"/>
    <w:rPr>
      <w:b/>
      <w:bCs/>
    </w:rPr>
  </w:style>
  <w:style w:type="character" w:customStyle="1" w:styleId="CommentSubjectChar">
    <w:name w:val="Comment Subject Char"/>
    <w:basedOn w:val="CommentTextChar"/>
    <w:link w:val="CommentSubject"/>
    <w:uiPriority w:val="99"/>
    <w:semiHidden/>
    <w:rsid w:val="005616C2"/>
    <w:rPr>
      <w:b/>
      <w:bCs/>
      <w:sz w:val="20"/>
      <w:szCs w:val="20"/>
    </w:rPr>
  </w:style>
  <w:style w:type="paragraph" w:styleId="BalloonText">
    <w:name w:val="Balloon Text"/>
    <w:basedOn w:val="Normal"/>
    <w:link w:val="BalloonTextChar"/>
    <w:uiPriority w:val="99"/>
    <w:semiHidden/>
    <w:unhideWhenUsed/>
    <w:rsid w:val="00561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C2"/>
    <w:rPr>
      <w:rFonts w:ascii="Segoe UI" w:hAnsi="Segoe UI" w:cs="Segoe UI"/>
      <w:sz w:val="18"/>
      <w:szCs w:val="18"/>
    </w:rPr>
  </w:style>
  <w:style w:type="paragraph" w:customStyle="1" w:styleId="Tableheading">
    <w:name w:val="Table heading"/>
    <w:basedOn w:val="Normal"/>
    <w:link w:val="TableheadingChar"/>
    <w:qFormat/>
    <w:rsid w:val="007828E3"/>
    <w:pPr>
      <w:keepNext/>
      <w:pBdr>
        <w:top w:val="none" w:sz="0" w:space="0" w:color="auto"/>
        <w:left w:val="none" w:sz="0" w:space="0" w:color="auto"/>
        <w:bottom w:val="none" w:sz="0" w:space="0" w:color="auto"/>
        <w:right w:val="none" w:sz="0" w:space="0" w:color="auto"/>
        <w:between w:val="none" w:sz="0" w:space="0" w:color="auto"/>
      </w:pBdr>
      <w:spacing w:before="120" w:after="120"/>
      <w:ind w:left="1134" w:hanging="1134"/>
    </w:pPr>
    <w:rPr>
      <w:rFonts w:eastAsia="PMingLiU"/>
      <w:b/>
      <w:color w:val="auto"/>
      <w:sz w:val="22"/>
      <w:szCs w:val="22"/>
      <w:lang w:val="en-AU" w:eastAsia="zh-TW"/>
    </w:rPr>
  </w:style>
  <w:style w:type="paragraph" w:customStyle="1" w:styleId="Tabletext">
    <w:name w:val="Table text"/>
    <w:basedOn w:val="Normal"/>
    <w:link w:val="TabletextChar"/>
    <w:qFormat/>
    <w:rsid w:val="007828E3"/>
    <w:pPr>
      <w:pBdr>
        <w:top w:val="none" w:sz="0" w:space="0" w:color="auto"/>
        <w:left w:val="none" w:sz="0" w:space="0" w:color="auto"/>
        <w:bottom w:val="none" w:sz="0" w:space="0" w:color="auto"/>
        <w:right w:val="none" w:sz="0" w:space="0" w:color="auto"/>
        <w:between w:val="none" w:sz="0" w:space="0" w:color="auto"/>
      </w:pBdr>
      <w:spacing w:before="40" w:after="40"/>
    </w:pPr>
    <w:rPr>
      <w:rFonts w:eastAsia="PMingLiU"/>
      <w:color w:val="auto"/>
      <w:sz w:val="22"/>
      <w:szCs w:val="22"/>
      <w:lang w:val="en-GB" w:eastAsia="zh-TW"/>
    </w:rPr>
  </w:style>
  <w:style w:type="character" w:customStyle="1" w:styleId="TableheadingChar">
    <w:name w:val="Table heading Char"/>
    <w:basedOn w:val="DefaultParagraphFont"/>
    <w:link w:val="Tableheading"/>
    <w:rsid w:val="007828E3"/>
    <w:rPr>
      <w:rFonts w:eastAsia="PMingLiU"/>
      <w:b/>
      <w:color w:val="auto"/>
      <w:sz w:val="22"/>
      <w:szCs w:val="22"/>
      <w:lang w:val="en-AU" w:eastAsia="zh-TW"/>
    </w:rPr>
  </w:style>
  <w:style w:type="character" w:customStyle="1" w:styleId="TabletextChar">
    <w:name w:val="Table text Char"/>
    <w:basedOn w:val="DefaultParagraphFont"/>
    <w:link w:val="Tabletext"/>
    <w:rsid w:val="007828E3"/>
    <w:rPr>
      <w:rFonts w:eastAsia="PMingLiU"/>
      <w:color w:val="auto"/>
      <w:sz w:val="22"/>
      <w:szCs w:val="22"/>
      <w:lang w:val="en-GB" w:eastAsia="zh-TW"/>
    </w:rPr>
  </w:style>
  <w:style w:type="paragraph" w:styleId="Date">
    <w:name w:val="Date"/>
    <w:basedOn w:val="Normal"/>
    <w:next w:val="Normal"/>
    <w:link w:val="DateChar"/>
    <w:uiPriority w:val="99"/>
    <w:semiHidden/>
    <w:unhideWhenUsed/>
    <w:rsid w:val="00DE41A7"/>
  </w:style>
  <w:style w:type="character" w:customStyle="1" w:styleId="DateChar">
    <w:name w:val="Date Char"/>
    <w:basedOn w:val="DefaultParagraphFont"/>
    <w:link w:val="Date"/>
    <w:uiPriority w:val="99"/>
    <w:semiHidden/>
    <w:rsid w:val="00DE41A7"/>
  </w:style>
  <w:style w:type="paragraph" w:customStyle="1" w:styleId="TableCell10Left">
    <w:name w:val="Table Cell 10 Left"/>
    <w:basedOn w:val="Normal"/>
    <w:link w:val="TableCell10LeftChar"/>
    <w:qFormat/>
    <w:rsid w:val="00E725A5"/>
    <w:pPr>
      <w:keepNext/>
      <w:keepLines/>
      <w:pBdr>
        <w:top w:val="none" w:sz="0" w:space="0" w:color="auto"/>
        <w:left w:val="none" w:sz="0" w:space="0" w:color="auto"/>
        <w:bottom w:val="none" w:sz="0" w:space="0" w:color="auto"/>
        <w:right w:val="none" w:sz="0" w:space="0" w:color="auto"/>
        <w:between w:val="none" w:sz="0" w:space="0" w:color="auto"/>
      </w:pBdr>
      <w:spacing w:before="50" w:after="50" w:line="240" w:lineRule="exact"/>
    </w:pPr>
    <w:rPr>
      <w:rFonts w:ascii="Arial" w:eastAsia="SimSun" w:hAnsi="Arial"/>
      <w:color w:val="auto"/>
      <w:sz w:val="20"/>
      <w:lang w:val="en-US" w:eastAsia="zh-CN"/>
    </w:rPr>
  </w:style>
  <w:style w:type="character" w:customStyle="1" w:styleId="TableCell10LeftChar">
    <w:name w:val="Table Cell 10 Left Char"/>
    <w:link w:val="TableCell10Left"/>
    <w:rsid w:val="00E725A5"/>
    <w:rPr>
      <w:rFonts w:ascii="Arial" w:eastAsia="SimSun" w:hAnsi="Arial"/>
      <w:color w:val="auto"/>
      <w:sz w:val="20"/>
      <w:lang w:val="en-US" w:eastAsia="zh-CN"/>
    </w:rPr>
  </w:style>
  <w:style w:type="paragraph" w:customStyle="1" w:styleId="SAS8">
    <w:name w:val="SAS 8"/>
    <w:basedOn w:val="Normal"/>
    <w:rsid w:val="0089539D"/>
    <w:pPr>
      <w:pBdr>
        <w:top w:val="none" w:sz="0" w:space="0" w:color="auto"/>
        <w:left w:val="none" w:sz="0" w:space="0" w:color="auto"/>
        <w:bottom w:val="none" w:sz="0" w:space="0" w:color="auto"/>
        <w:right w:val="none" w:sz="0" w:space="0" w:color="auto"/>
        <w:between w:val="none" w:sz="0" w:space="0" w:color="auto"/>
      </w:pBdr>
      <w:spacing w:line="150" w:lineRule="exact"/>
    </w:pPr>
    <w:rPr>
      <w:rFonts w:ascii="Courier New" w:eastAsia="SimSun" w:hAnsi="Courier New"/>
      <w:color w:val="auto"/>
      <w:spacing w:val="-10"/>
      <w:sz w:val="16"/>
      <w:lang w:val="en-US" w:eastAsia="zh-CN"/>
    </w:rPr>
  </w:style>
  <w:style w:type="paragraph" w:customStyle="1" w:styleId="Paragraph">
    <w:name w:val="Paragraph"/>
    <w:basedOn w:val="Normal"/>
    <w:link w:val="ParagraphChar"/>
    <w:qFormat/>
    <w:rsid w:val="00D05E28"/>
    <w:pPr>
      <w:pBdr>
        <w:top w:val="none" w:sz="0" w:space="0" w:color="auto"/>
        <w:left w:val="none" w:sz="0" w:space="0" w:color="auto"/>
        <w:bottom w:val="none" w:sz="0" w:space="0" w:color="auto"/>
        <w:right w:val="none" w:sz="0" w:space="0" w:color="auto"/>
        <w:between w:val="none" w:sz="0" w:space="0" w:color="auto"/>
      </w:pBdr>
      <w:spacing w:after="170" w:line="280" w:lineRule="exact"/>
    </w:pPr>
    <w:rPr>
      <w:rFonts w:ascii="Arial" w:eastAsia="SimSun" w:hAnsi="Arial"/>
      <w:color w:val="auto"/>
      <w:lang w:val="en-US" w:eastAsia="zh-CN"/>
    </w:rPr>
  </w:style>
  <w:style w:type="character" w:customStyle="1" w:styleId="ParagraphChar">
    <w:name w:val="Paragraph Char"/>
    <w:link w:val="Paragraph"/>
    <w:rsid w:val="00D05E28"/>
    <w:rPr>
      <w:rFonts w:ascii="Arial" w:eastAsia="SimSun" w:hAnsi="Arial"/>
      <w:color w:val="auto"/>
      <w:lang w:val="en-US" w:eastAsia="zh-CN"/>
    </w:rPr>
  </w:style>
  <w:style w:type="character" w:styleId="FollowedHyperlink">
    <w:name w:val="FollowedHyperlink"/>
    <w:basedOn w:val="DefaultParagraphFont"/>
    <w:uiPriority w:val="99"/>
    <w:semiHidden/>
    <w:unhideWhenUsed/>
    <w:rsid w:val="00BE1773"/>
    <w:rPr>
      <w:color w:val="800080" w:themeColor="followedHyperlink"/>
      <w:u w:val="single"/>
    </w:rPr>
  </w:style>
  <w:style w:type="character" w:customStyle="1" w:styleId="Heading3Char">
    <w:name w:val="Heading 3 Char"/>
    <w:basedOn w:val="DefaultParagraphFont"/>
    <w:link w:val="Heading3"/>
    <w:rsid w:val="00F27BB0"/>
    <w:rPr>
      <w:b/>
    </w:rPr>
  </w:style>
  <w:style w:type="paragraph" w:styleId="Revision">
    <w:name w:val="Revision"/>
    <w:hidden/>
    <w:uiPriority w:val="99"/>
    <w:semiHidden/>
    <w:rsid w:val="0031430F"/>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818187">
      <w:bodyDiv w:val="1"/>
      <w:marLeft w:val="0"/>
      <w:marRight w:val="0"/>
      <w:marTop w:val="0"/>
      <w:marBottom w:val="0"/>
      <w:divBdr>
        <w:top w:val="none" w:sz="0" w:space="0" w:color="auto"/>
        <w:left w:val="none" w:sz="0" w:space="0" w:color="auto"/>
        <w:bottom w:val="none" w:sz="0" w:space="0" w:color="auto"/>
        <w:right w:val="none" w:sz="0" w:space="0" w:color="auto"/>
      </w:divBdr>
    </w:div>
    <w:div w:id="2029091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tga.gov.au/reporting-problems" TargetMode="External"/><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6050</Words>
  <Characters>33947</Characters>
  <Application>Microsoft Office Word</Application>
  <DocSecurity>0</DocSecurity>
  <Lines>678</Lines>
  <Paragraphs>327</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39670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Baloxavir marboxil</dc:title>
  <dc:subject>prescription medicines</dc:subject>
  <dc:creator>Smith, Karen {MAAQ~Sydney}</dc:creator>
  <cp:keywords/>
  <dc:description/>
  <cp:lastPrinted>2020-02-14T05:32:00Z</cp:lastPrinted>
  <dcterms:created xsi:type="dcterms:W3CDTF">2020-06-11T03:45:00Z</dcterms:created>
  <dcterms:modified xsi:type="dcterms:W3CDTF">2020-06-11T03:47:00Z</dcterms:modified>
</cp:coreProperties>
</file>